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51850" w14:textId="77777777" w:rsidR="000E276E" w:rsidRDefault="000E276E" w:rsidP="00E36081">
      <w:pPr>
        <w:sectPr w:rsidR="000E276E" w:rsidSect="00DF1707">
          <w:headerReference w:type="default" r:id="rId11"/>
          <w:footerReference w:type="default" r:id="rId12"/>
          <w:headerReference w:type="first" r:id="rId13"/>
          <w:footerReference w:type="first" r:id="rId14"/>
          <w:pgSz w:w="11906" w:h="16838" w:code="9"/>
          <w:pgMar w:top="1440" w:right="1440" w:bottom="567" w:left="1440" w:header="709" w:footer="709" w:gutter="0"/>
          <w:cols w:space="708"/>
          <w:vAlign w:val="center"/>
          <w:titlePg/>
          <w:docGrid w:linePitch="360"/>
        </w:sectPr>
      </w:pPr>
    </w:p>
    <w:p w14:paraId="67E5C8E8" w14:textId="77777777" w:rsidR="00E1134C" w:rsidRPr="007D5BA8" w:rsidRDefault="00E1134C" w:rsidP="002309E3">
      <w:pPr>
        <w:pStyle w:val="SWADisclaimerheading"/>
      </w:pPr>
      <w:bookmarkStart w:id="1" w:name="_Hlk157615336"/>
      <w:r w:rsidRPr="007D5BA8">
        <w:lastRenderedPageBreak/>
        <w:t>Disclaimer</w:t>
      </w:r>
    </w:p>
    <w:p w14:paraId="65AE7E50" w14:textId="77777777" w:rsidR="00F21CE3" w:rsidRDefault="0097283D" w:rsidP="0097283D">
      <w:pPr>
        <w:pStyle w:val="Disclaimer"/>
        <w:spacing w:after="120"/>
        <w:rPr>
          <w:rFonts w:ascii="Aptos" w:hAnsi="Aptos"/>
          <w:lang w:eastAsia="en-AU"/>
        </w:rPr>
      </w:pPr>
      <w:r w:rsidRPr="0077158D">
        <w:rPr>
          <w:rFonts w:ascii="Aptos" w:hAnsi="Aptos"/>
          <w:lang w:eastAsia="en-AU"/>
        </w:rPr>
        <w:t xml:space="preserve">Safe Work Australia is an Australian Government statutory agency established in 2009. Safe Work Australia includes Members from the </w:t>
      </w:r>
      <w:r>
        <w:rPr>
          <w:rFonts w:ascii="Aptos" w:hAnsi="Aptos"/>
          <w:lang w:eastAsia="en-AU"/>
        </w:rPr>
        <w:t>Commonwealth</w:t>
      </w:r>
      <w:r w:rsidRPr="0077158D">
        <w:rPr>
          <w:rFonts w:ascii="Aptos" w:hAnsi="Aptos"/>
          <w:lang w:eastAsia="en-AU"/>
        </w:rPr>
        <w:t>, and each state and territory, Members representing the interests of workers and Members representing the interests of employers.</w:t>
      </w:r>
    </w:p>
    <w:p w14:paraId="79DF9219" w14:textId="7D0C8DF2" w:rsidR="0097283D" w:rsidRPr="0077158D" w:rsidRDefault="0097283D" w:rsidP="0097283D">
      <w:pPr>
        <w:pStyle w:val="Disclaimer"/>
        <w:spacing w:after="120"/>
        <w:rPr>
          <w:rFonts w:ascii="Aptos" w:hAnsi="Aptos"/>
          <w:b/>
          <w:lang w:eastAsia="en-AU"/>
        </w:rPr>
      </w:pPr>
      <w:r w:rsidRPr="0077158D">
        <w:rPr>
          <w:rFonts w:ascii="Aptos" w:hAnsi="Aptos"/>
          <w:lang w:eastAsia="en-AU"/>
        </w:rPr>
        <w:t xml:space="preserve">Safe Work Australia works with the </w:t>
      </w:r>
      <w:r>
        <w:rPr>
          <w:rFonts w:ascii="Aptos" w:hAnsi="Aptos"/>
          <w:lang w:eastAsia="en-AU"/>
        </w:rPr>
        <w:t>Commonwealth</w:t>
      </w:r>
      <w:r w:rsidRPr="0077158D">
        <w:rPr>
          <w:rFonts w:ascii="Aptos" w:hAnsi="Aptos"/>
          <w:lang w:eastAsia="en-AU"/>
        </w:rPr>
        <w:t xml:space="preserve">, state and territory governments to improve work health and safety and workers’ compensation arrangements. Safe Work Australia is a national policy body, not a regulator of work health and safety. The </w:t>
      </w:r>
      <w:r>
        <w:rPr>
          <w:rFonts w:ascii="Aptos" w:hAnsi="Aptos"/>
          <w:lang w:eastAsia="en-AU"/>
        </w:rPr>
        <w:t>Commonwealth</w:t>
      </w:r>
      <w:r w:rsidRPr="0077158D">
        <w:rPr>
          <w:rFonts w:ascii="Aptos" w:hAnsi="Aptos"/>
          <w:lang w:eastAsia="en-AU"/>
        </w:rPr>
        <w:t>, states and territories have responsibility for regulating and enforcing work health and safety laws in their jurisdiction.</w:t>
      </w:r>
    </w:p>
    <w:p w14:paraId="04C70781" w14:textId="77777777" w:rsidR="00E1134C" w:rsidRPr="00CD675A" w:rsidRDefault="00E1134C" w:rsidP="002309E3">
      <w:pPr>
        <w:pStyle w:val="SWADisclaimerheading"/>
      </w:pPr>
      <w:r w:rsidRPr="00CD675A">
        <w:t xml:space="preserve">Creative </w:t>
      </w:r>
      <w:r w:rsidRPr="002309E3">
        <w:t>Commons</w:t>
      </w:r>
    </w:p>
    <w:p w14:paraId="2F527C7A" w14:textId="77777777" w:rsidR="0097283D" w:rsidRDefault="0097283D" w:rsidP="0097283D">
      <w:pPr>
        <w:pStyle w:val="Disclaimer"/>
      </w:pPr>
      <w:r w:rsidRPr="0077158D">
        <w:t>With the exception of the Safe Work Australia logo, this copyright work is licensed under a Creative Commons Attribution 4.0 International licence. To view a copy of this licence, visit creativecommons.org/licenses</w:t>
      </w:r>
      <w:r>
        <w:t>.</w:t>
      </w:r>
      <w:r w:rsidRPr="0077158D">
        <w:t xml:space="preserve"> In essence, you are free to copy, communicate and adapt the work, even commercially, as long as you attribute the work to Safe Work Australia and abide by the other licence terms.</w:t>
      </w:r>
    </w:p>
    <w:p w14:paraId="1E62590B" w14:textId="7230B793" w:rsidR="00E1134C" w:rsidRPr="0029654A" w:rsidRDefault="00E1134C" w:rsidP="002309E3">
      <w:pPr>
        <w:pStyle w:val="SWADisclaimerheading"/>
      </w:pPr>
      <w:r w:rsidRPr="0029654A">
        <w:t>Contact information</w:t>
      </w:r>
    </w:p>
    <w:p w14:paraId="3DFEAA6D" w14:textId="35333395" w:rsidR="00E1134C" w:rsidRDefault="00E1134C" w:rsidP="00E1134C">
      <w:pPr>
        <w:pStyle w:val="Disclaimer"/>
      </w:pPr>
      <w:r w:rsidRPr="00A034C4">
        <w:rPr>
          <w:lang w:eastAsia="en-AU"/>
        </w:rPr>
        <w:t xml:space="preserve">Safe Work Australia | </w:t>
      </w:r>
      <w:hyperlink r:id="rId15" w:history="1">
        <w:r w:rsidR="0057400E" w:rsidRPr="00704C1C">
          <w:rPr>
            <w:rStyle w:val="Hyperlink"/>
            <w:rFonts w:eastAsia="Times New Roman" w:cs="Times New Roman"/>
            <w:lang w:eastAsia="en-AU"/>
          </w:rPr>
          <w:t>info@swa.gov.au</w:t>
        </w:r>
      </w:hyperlink>
      <w:r w:rsidRPr="00A034C4">
        <w:rPr>
          <w:lang w:eastAsia="en-AU"/>
        </w:rPr>
        <w:t xml:space="preserve"> | </w:t>
      </w:r>
      <w:hyperlink r:id="rId16" w:history="1">
        <w:r w:rsidRPr="00A034C4">
          <w:rPr>
            <w:rStyle w:val="Hyperlink"/>
            <w:rFonts w:eastAsia="Times New Roman" w:cs="Times New Roman"/>
            <w:lang w:eastAsia="en-AU"/>
          </w:rPr>
          <w:t>www.swa.gov.au</w:t>
        </w:r>
      </w:hyperlink>
    </w:p>
    <w:bookmarkEnd w:id="1"/>
    <w:p w14:paraId="0484A1ED" w14:textId="77777777" w:rsidR="00241746" w:rsidRDefault="00241746" w:rsidP="002309E3">
      <w:pPr>
        <w:pStyle w:val="Disclaimer"/>
        <w:sectPr w:rsidR="00241746" w:rsidSect="00DF1707">
          <w:headerReference w:type="default" r:id="rId17"/>
          <w:headerReference w:type="first" r:id="rId18"/>
          <w:footerReference w:type="first" r:id="rId19"/>
          <w:pgSz w:w="11906" w:h="16838" w:code="9"/>
          <w:pgMar w:top="1440" w:right="1080" w:bottom="1440" w:left="1080" w:header="709" w:footer="709" w:gutter="0"/>
          <w:cols w:space="708"/>
          <w:vAlign w:val="bottom"/>
          <w:titlePg/>
          <w:docGrid w:linePitch="360"/>
        </w:sectPr>
      </w:pPr>
    </w:p>
    <w:p w14:paraId="6F44C14F" w14:textId="0D952AF2" w:rsidR="00FB5F0A" w:rsidRPr="00D96F47" w:rsidRDefault="00BF204D" w:rsidP="00BF204D">
      <w:pPr>
        <w:pStyle w:val="TOC"/>
      </w:pPr>
      <w:bookmarkStart w:id="2" w:name="_Toc488677861"/>
      <w:r w:rsidRPr="006777D3">
        <w:lastRenderedPageBreak/>
        <w:t>Contents</w:t>
      </w:r>
      <w:bookmarkEnd w:id="2"/>
    </w:p>
    <w:p w14:paraId="37ED9F07" w14:textId="1FFA3D33" w:rsidR="00D17BC1" w:rsidRDefault="00C06885">
      <w:pPr>
        <w:pStyle w:val="TOC1"/>
        <w:rPr>
          <w:rFonts w:eastAsiaTheme="minorEastAsia"/>
          <w:b w:val="0"/>
          <w:bCs w:val="0"/>
          <w:kern w:val="2"/>
          <w:sz w:val="24"/>
          <w:lang w:eastAsia="en-AU"/>
          <w14:ligatures w14:val="standardContextual"/>
        </w:rPr>
      </w:pPr>
      <w:r>
        <w:fldChar w:fldCharType="begin"/>
      </w:r>
      <w:r>
        <w:instrText xml:space="preserve"> TOC \o "1-2" \h \z \u </w:instrText>
      </w:r>
      <w:r>
        <w:fldChar w:fldCharType="separate"/>
      </w:r>
      <w:hyperlink w:anchor="_Toc239845136" w:history="1">
        <w:r w:rsidR="00D17BC1" w:rsidRPr="00192793">
          <w:rPr>
            <w:rStyle w:val="Hyperlink"/>
          </w:rPr>
          <w:t>Executive summary</w:t>
        </w:r>
        <w:r w:rsidR="00D17BC1">
          <w:rPr>
            <w:webHidden/>
          </w:rPr>
          <w:tab/>
        </w:r>
        <w:r w:rsidR="00D17BC1">
          <w:rPr>
            <w:webHidden/>
          </w:rPr>
          <w:fldChar w:fldCharType="begin"/>
        </w:r>
        <w:r w:rsidR="00D17BC1">
          <w:rPr>
            <w:webHidden/>
          </w:rPr>
          <w:instrText xml:space="preserve"> PAGEREF _Toc239845136 \h </w:instrText>
        </w:r>
        <w:r w:rsidR="00D17BC1">
          <w:rPr>
            <w:webHidden/>
          </w:rPr>
        </w:r>
        <w:r w:rsidR="00D17BC1">
          <w:rPr>
            <w:webHidden/>
          </w:rPr>
          <w:fldChar w:fldCharType="separate"/>
        </w:r>
        <w:r w:rsidR="00D17BC1">
          <w:rPr>
            <w:webHidden/>
          </w:rPr>
          <w:t>5</w:t>
        </w:r>
        <w:r w:rsidR="00D17BC1">
          <w:rPr>
            <w:webHidden/>
          </w:rPr>
          <w:fldChar w:fldCharType="end"/>
        </w:r>
      </w:hyperlink>
    </w:p>
    <w:p w14:paraId="31FAA377" w14:textId="559EE28A" w:rsidR="00D17BC1" w:rsidRDefault="00D17BC1">
      <w:pPr>
        <w:pStyle w:val="TOC1"/>
        <w:rPr>
          <w:rFonts w:eastAsiaTheme="minorEastAsia"/>
          <w:b w:val="0"/>
          <w:bCs w:val="0"/>
          <w:kern w:val="2"/>
          <w:sz w:val="24"/>
          <w:lang w:eastAsia="en-AU"/>
          <w14:ligatures w14:val="standardContextual"/>
        </w:rPr>
      </w:pPr>
      <w:hyperlink w:anchor="_Toc239845137" w:history="1">
        <w:r w:rsidRPr="00192793">
          <w:rPr>
            <w:rStyle w:val="Hyperlink"/>
          </w:rPr>
          <w:t>Recommendations</w:t>
        </w:r>
        <w:r>
          <w:rPr>
            <w:webHidden/>
          </w:rPr>
          <w:tab/>
        </w:r>
        <w:r>
          <w:rPr>
            <w:webHidden/>
          </w:rPr>
          <w:fldChar w:fldCharType="begin"/>
        </w:r>
        <w:r>
          <w:rPr>
            <w:webHidden/>
          </w:rPr>
          <w:instrText xml:space="preserve"> PAGEREF _Toc239845137 \h </w:instrText>
        </w:r>
        <w:r>
          <w:rPr>
            <w:webHidden/>
          </w:rPr>
        </w:r>
        <w:r>
          <w:rPr>
            <w:webHidden/>
          </w:rPr>
          <w:fldChar w:fldCharType="separate"/>
        </w:r>
        <w:r>
          <w:rPr>
            <w:webHidden/>
          </w:rPr>
          <w:t>8</w:t>
        </w:r>
        <w:r>
          <w:rPr>
            <w:webHidden/>
          </w:rPr>
          <w:fldChar w:fldCharType="end"/>
        </w:r>
      </w:hyperlink>
    </w:p>
    <w:p w14:paraId="775DD07D" w14:textId="189E559E" w:rsidR="00D17BC1" w:rsidRDefault="00D17BC1">
      <w:pPr>
        <w:pStyle w:val="TOC1"/>
        <w:rPr>
          <w:rFonts w:eastAsiaTheme="minorEastAsia"/>
          <w:b w:val="0"/>
          <w:bCs w:val="0"/>
          <w:kern w:val="2"/>
          <w:sz w:val="24"/>
          <w:lang w:eastAsia="en-AU"/>
          <w14:ligatures w14:val="standardContextual"/>
        </w:rPr>
      </w:pPr>
      <w:hyperlink w:anchor="_Toc239845138" w:history="1">
        <w:r w:rsidRPr="00192793">
          <w:rPr>
            <w:rStyle w:val="Hyperlink"/>
          </w:rPr>
          <w:t>Safe Work Australia actions</w:t>
        </w:r>
        <w:r>
          <w:rPr>
            <w:webHidden/>
          </w:rPr>
          <w:tab/>
        </w:r>
        <w:r>
          <w:rPr>
            <w:webHidden/>
          </w:rPr>
          <w:fldChar w:fldCharType="begin"/>
        </w:r>
        <w:r>
          <w:rPr>
            <w:webHidden/>
          </w:rPr>
          <w:instrText xml:space="preserve"> PAGEREF _Toc239845138 \h </w:instrText>
        </w:r>
        <w:r>
          <w:rPr>
            <w:webHidden/>
          </w:rPr>
        </w:r>
        <w:r>
          <w:rPr>
            <w:webHidden/>
          </w:rPr>
          <w:fldChar w:fldCharType="separate"/>
        </w:r>
        <w:r>
          <w:rPr>
            <w:webHidden/>
          </w:rPr>
          <w:t>11</w:t>
        </w:r>
        <w:r>
          <w:rPr>
            <w:webHidden/>
          </w:rPr>
          <w:fldChar w:fldCharType="end"/>
        </w:r>
      </w:hyperlink>
    </w:p>
    <w:p w14:paraId="65143774" w14:textId="049F7E8E" w:rsidR="00D17BC1" w:rsidRDefault="00D17BC1">
      <w:pPr>
        <w:pStyle w:val="TOC1"/>
        <w:rPr>
          <w:rFonts w:eastAsiaTheme="minorEastAsia"/>
          <w:b w:val="0"/>
          <w:bCs w:val="0"/>
          <w:kern w:val="2"/>
          <w:sz w:val="24"/>
          <w:lang w:eastAsia="en-AU"/>
          <w14:ligatures w14:val="standardContextual"/>
        </w:rPr>
      </w:pPr>
      <w:hyperlink w:anchor="_Toc239845139" w:history="1">
        <w:r w:rsidRPr="00192793">
          <w:rPr>
            <w:rStyle w:val="Hyperlink"/>
          </w:rPr>
          <w:t>Introduction</w:t>
        </w:r>
        <w:r>
          <w:rPr>
            <w:webHidden/>
          </w:rPr>
          <w:tab/>
        </w:r>
        <w:r>
          <w:rPr>
            <w:webHidden/>
          </w:rPr>
          <w:fldChar w:fldCharType="begin"/>
        </w:r>
        <w:r>
          <w:rPr>
            <w:webHidden/>
          </w:rPr>
          <w:instrText xml:space="preserve"> PAGEREF _Toc239845139 \h </w:instrText>
        </w:r>
        <w:r>
          <w:rPr>
            <w:webHidden/>
          </w:rPr>
        </w:r>
        <w:r>
          <w:rPr>
            <w:webHidden/>
          </w:rPr>
          <w:fldChar w:fldCharType="separate"/>
        </w:r>
        <w:r>
          <w:rPr>
            <w:webHidden/>
          </w:rPr>
          <w:t>12</w:t>
        </w:r>
        <w:r>
          <w:rPr>
            <w:webHidden/>
          </w:rPr>
          <w:fldChar w:fldCharType="end"/>
        </w:r>
      </w:hyperlink>
    </w:p>
    <w:p w14:paraId="53A05AA5" w14:textId="65DDA97D" w:rsidR="00D17BC1" w:rsidRDefault="00D17BC1">
      <w:pPr>
        <w:pStyle w:val="TOC1"/>
        <w:rPr>
          <w:rFonts w:eastAsiaTheme="minorEastAsia"/>
          <w:b w:val="0"/>
          <w:bCs w:val="0"/>
          <w:kern w:val="2"/>
          <w:sz w:val="24"/>
          <w:lang w:eastAsia="en-AU"/>
          <w14:ligatures w14:val="standardContextual"/>
        </w:rPr>
      </w:pPr>
      <w:hyperlink w:anchor="_Toc239845140" w:history="1">
        <w:r w:rsidRPr="00192793">
          <w:rPr>
            <w:rStyle w:val="Hyperlink"/>
          </w:rPr>
          <w:t>1.</w:t>
        </w:r>
        <w:r>
          <w:rPr>
            <w:rFonts w:eastAsiaTheme="minorEastAsia"/>
            <w:b w:val="0"/>
            <w:bCs w:val="0"/>
            <w:kern w:val="2"/>
            <w:sz w:val="24"/>
            <w:lang w:eastAsia="en-AU"/>
            <w14:ligatures w14:val="standardContextual"/>
          </w:rPr>
          <w:tab/>
        </w:r>
        <w:r w:rsidRPr="00192793">
          <w:rPr>
            <w:rStyle w:val="Hyperlink"/>
          </w:rPr>
          <w:t>The harmonisation objective</w:t>
        </w:r>
        <w:r>
          <w:rPr>
            <w:webHidden/>
          </w:rPr>
          <w:tab/>
        </w:r>
        <w:r>
          <w:rPr>
            <w:webHidden/>
          </w:rPr>
          <w:fldChar w:fldCharType="begin"/>
        </w:r>
        <w:r>
          <w:rPr>
            <w:webHidden/>
          </w:rPr>
          <w:instrText xml:space="preserve"> PAGEREF _Toc239845140 \h </w:instrText>
        </w:r>
        <w:r>
          <w:rPr>
            <w:webHidden/>
          </w:rPr>
        </w:r>
        <w:r>
          <w:rPr>
            <w:webHidden/>
          </w:rPr>
          <w:fldChar w:fldCharType="separate"/>
        </w:r>
        <w:r>
          <w:rPr>
            <w:webHidden/>
          </w:rPr>
          <w:t>14</w:t>
        </w:r>
        <w:r>
          <w:rPr>
            <w:webHidden/>
          </w:rPr>
          <w:fldChar w:fldCharType="end"/>
        </w:r>
      </w:hyperlink>
    </w:p>
    <w:p w14:paraId="49C24F4C" w14:textId="626D0204" w:rsidR="00D17BC1" w:rsidRDefault="00D17BC1">
      <w:pPr>
        <w:pStyle w:val="TOC2"/>
        <w:rPr>
          <w:rFonts w:eastAsiaTheme="minorEastAsia"/>
          <w:noProof/>
          <w:kern w:val="2"/>
          <w:sz w:val="24"/>
          <w:lang w:eastAsia="en-AU"/>
          <w14:ligatures w14:val="standardContextual"/>
        </w:rPr>
      </w:pPr>
      <w:hyperlink w:anchor="_Toc239845141" w:history="1">
        <w:r w:rsidRPr="00192793">
          <w:rPr>
            <w:rStyle w:val="Hyperlink"/>
            <w:noProof/>
          </w:rPr>
          <w:t>1.1</w:t>
        </w:r>
        <w:r>
          <w:rPr>
            <w:rFonts w:eastAsiaTheme="minorEastAsia"/>
            <w:noProof/>
            <w:kern w:val="2"/>
            <w:sz w:val="24"/>
            <w:lang w:eastAsia="en-AU"/>
            <w14:ligatures w14:val="standardContextual"/>
          </w:rPr>
          <w:tab/>
        </w:r>
        <w:r w:rsidRPr="00192793">
          <w:rPr>
            <w:rStyle w:val="Hyperlink"/>
            <w:noProof/>
          </w:rPr>
          <w:t>The impact of jurisdictional variations on harmonisation</w:t>
        </w:r>
        <w:r>
          <w:rPr>
            <w:noProof/>
            <w:webHidden/>
          </w:rPr>
          <w:tab/>
        </w:r>
        <w:r>
          <w:rPr>
            <w:noProof/>
            <w:webHidden/>
          </w:rPr>
          <w:fldChar w:fldCharType="begin"/>
        </w:r>
        <w:r>
          <w:rPr>
            <w:noProof/>
            <w:webHidden/>
          </w:rPr>
          <w:instrText xml:space="preserve"> PAGEREF _Toc239845141 \h </w:instrText>
        </w:r>
        <w:r>
          <w:rPr>
            <w:noProof/>
            <w:webHidden/>
          </w:rPr>
        </w:r>
        <w:r>
          <w:rPr>
            <w:noProof/>
            <w:webHidden/>
          </w:rPr>
          <w:fldChar w:fldCharType="separate"/>
        </w:r>
        <w:r>
          <w:rPr>
            <w:noProof/>
            <w:webHidden/>
          </w:rPr>
          <w:t>15</w:t>
        </w:r>
        <w:r>
          <w:rPr>
            <w:noProof/>
            <w:webHidden/>
          </w:rPr>
          <w:fldChar w:fldCharType="end"/>
        </w:r>
      </w:hyperlink>
    </w:p>
    <w:p w14:paraId="3E68EAE7" w14:textId="3244F812" w:rsidR="00D17BC1" w:rsidRDefault="00D17BC1">
      <w:pPr>
        <w:pStyle w:val="TOC2"/>
        <w:rPr>
          <w:rFonts w:eastAsiaTheme="minorEastAsia"/>
          <w:noProof/>
          <w:kern w:val="2"/>
          <w:sz w:val="24"/>
          <w:lang w:eastAsia="en-AU"/>
          <w14:ligatures w14:val="standardContextual"/>
        </w:rPr>
      </w:pPr>
      <w:hyperlink w:anchor="_Toc239845142" w:history="1">
        <w:r w:rsidRPr="00192793">
          <w:rPr>
            <w:rStyle w:val="Hyperlink"/>
            <w:noProof/>
          </w:rPr>
          <w:t>1.2</w:t>
        </w:r>
        <w:r>
          <w:rPr>
            <w:rFonts w:eastAsiaTheme="minorEastAsia"/>
            <w:noProof/>
            <w:kern w:val="2"/>
            <w:sz w:val="24"/>
            <w:lang w:eastAsia="en-AU"/>
            <w14:ligatures w14:val="standardContextual"/>
          </w:rPr>
          <w:tab/>
        </w:r>
        <w:r w:rsidRPr="00192793">
          <w:rPr>
            <w:rStyle w:val="Hyperlink"/>
            <w:noProof/>
          </w:rPr>
          <w:t>Strengthening and maintaining harmonisation</w:t>
        </w:r>
        <w:r>
          <w:rPr>
            <w:noProof/>
            <w:webHidden/>
          </w:rPr>
          <w:tab/>
        </w:r>
        <w:r>
          <w:rPr>
            <w:noProof/>
            <w:webHidden/>
          </w:rPr>
          <w:fldChar w:fldCharType="begin"/>
        </w:r>
        <w:r>
          <w:rPr>
            <w:noProof/>
            <w:webHidden/>
          </w:rPr>
          <w:instrText xml:space="preserve"> PAGEREF _Toc239845142 \h </w:instrText>
        </w:r>
        <w:r>
          <w:rPr>
            <w:noProof/>
            <w:webHidden/>
          </w:rPr>
        </w:r>
        <w:r>
          <w:rPr>
            <w:noProof/>
            <w:webHidden/>
          </w:rPr>
          <w:fldChar w:fldCharType="separate"/>
        </w:r>
        <w:r>
          <w:rPr>
            <w:noProof/>
            <w:webHidden/>
          </w:rPr>
          <w:t>19</w:t>
        </w:r>
        <w:r>
          <w:rPr>
            <w:noProof/>
            <w:webHidden/>
          </w:rPr>
          <w:fldChar w:fldCharType="end"/>
        </w:r>
      </w:hyperlink>
    </w:p>
    <w:p w14:paraId="5A088705" w14:textId="256CA117" w:rsidR="00D17BC1" w:rsidRDefault="00D17BC1">
      <w:pPr>
        <w:pStyle w:val="TOC2"/>
        <w:rPr>
          <w:rFonts w:eastAsiaTheme="minorEastAsia"/>
          <w:noProof/>
          <w:kern w:val="2"/>
          <w:sz w:val="24"/>
          <w:lang w:eastAsia="en-AU"/>
          <w14:ligatures w14:val="standardContextual"/>
        </w:rPr>
      </w:pPr>
      <w:hyperlink w:anchor="_Toc239845143" w:history="1">
        <w:r w:rsidRPr="00192793">
          <w:rPr>
            <w:rStyle w:val="Hyperlink"/>
            <w:noProof/>
          </w:rPr>
          <w:t>1.3</w:t>
        </w:r>
        <w:r>
          <w:rPr>
            <w:rFonts w:eastAsiaTheme="minorEastAsia"/>
            <w:noProof/>
            <w:kern w:val="2"/>
            <w:sz w:val="24"/>
            <w:lang w:eastAsia="en-AU"/>
            <w14:ligatures w14:val="standardContextual"/>
          </w:rPr>
          <w:tab/>
        </w:r>
        <w:r w:rsidRPr="00192793">
          <w:rPr>
            <w:rStyle w:val="Hyperlink"/>
            <w:noProof/>
          </w:rPr>
          <w:t>Harmonisation in the approach to compliance and enforcement</w:t>
        </w:r>
        <w:r>
          <w:rPr>
            <w:noProof/>
            <w:webHidden/>
          </w:rPr>
          <w:tab/>
        </w:r>
        <w:r>
          <w:rPr>
            <w:noProof/>
            <w:webHidden/>
          </w:rPr>
          <w:fldChar w:fldCharType="begin"/>
        </w:r>
        <w:r>
          <w:rPr>
            <w:noProof/>
            <w:webHidden/>
          </w:rPr>
          <w:instrText xml:space="preserve"> PAGEREF _Toc239845143 \h </w:instrText>
        </w:r>
        <w:r>
          <w:rPr>
            <w:noProof/>
            <w:webHidden/>
          </w:rPr>
        </w:r>
        <w:r>
          <w:rPr>
            <w:noProof/>
            <w:webHidden/>
          </w:rPr>
          <w:fldChar w:fldCharType="separate"/>
        </w:r>
        <w:r>
          <w:rPr>
            <w:noProof/>
            <w:webHidden/>
          </w:rPr>
          <w:t>22</w:t>
        </w:r>
        <w:r>
          <w:rPr>
            <w:noProof/>
            <w:webHidden/>
          </w:rPr>
          <w:fldChar w:fldCharType="end"/>
        </w:r>
      </w:hyperlink>
    </w:p>
    <w:p w14:paraId="1430A243" w14:textId="0D86AAD3" w:rsidR="00D17BC1" w:rsidRDefault="00D17BC1">
      <w:pPr>
        <w:pStyle w:val="TOC2"/>
        <w:rPr>
          <w:rFonts w:eastAsiaTheme="minorEastAsia"/>
          <w:noProof/>
          <w:kern w:val="2"/>
          <w:sz w:val="24"/>
          <w:lang w:eastAsia="en-AU"/>
          <w14:ligatures w14:val="standardContextual"/>
        </w:rPr>
      </w:pPr>
      <w:hyperlink w:anchor="_Toc239845144" w:history="1">
        <w:r w:rsidRPr="00192793">
          <w:rPr>
            <w:rStyle w:val="Hyperlink"/>
            <w:noProof/>
          </w:rPr>
          <w:t>1.4</w:t>
        </w:r>
        <w:r>
          <w:rPr>
            <w:rFonts w:eastAsiaTheme="minorEastAsia"/>
            <w:noProof/>
            <w:kern w:val="2"/>
            <w:sz w:val="24"/>
            <w:lang w:eastAsia="en-AU"/>
            <w14:ligatures w14:val="standardContextual"/>
          </w:rPr>
          <w:tab/>
        </w:r>
        <w:r w:rsidRPr="00192793">
          <w:rPr>
            <w:rStyle w:val="Hyperlink"/>
            <w:noProof/>
          </w:rPr>
          <w:t>A harmonised national approach to reducing work related fatalities</w:t>
        </w:r>
        <w:r>
          <w:rPr>
            <w:noProof/>
            <w:webHidden/>
          </w:rPr>
          <w:tab/>
        </w:r>
        <w:r>
          <w:rPr>
            <w:noProof/>
            <w:webHidden/>
          </w:rPr>
          <w:fldChar w:fldCharType="begin"/>
        </w:r>
        <w:r>
          <w:rPr>
            <w:noProof/>
            <w:webHidden/>
          </w:rPr>
          <w:instrText xml:space="preserve"> PAGEREF _Toc239845144 \h </w:instrText>
        </w:r>
        <w:r>
          <w:rPr>
            <w:noProof/>
            <w:webHidden/>
          </w:rPr>
        </w:r>
        <w:r>
          <w:rPr>
            <w:noProof/>
            <w:webHidden/>
          </w:rPr>
          <w:fldChar w:fldCharType="separate"/>
        </w:r>
        <w:r>
          <w:rPr>
            <w:noProof/>
            <w:webHidden/>
          </w:rPr>
          <w:t>26</w:t>
        </w:r>
        <w:r>
          <w:rPr>
            <w:noProof/>
            <w:webHidden/>
          </w:rPr>
          <w:fldChar w:fldCharType="end"/>
        </w:r>
      </w:hyperlink>
    </w:p>
    <w:p w14:paraId="28CD96D8" w14:textId="7004F71B" w:rsidR="00D17BC1" w:rsidRDefault="00D17BC1">
      <w:pPr>
        <w:pStyle w:val="TOC2"/>
        <w:rPr>
          <w:rFonts w:eastAsiaTheme="minorEastAsia"/>
          <w:noProof/>
          <w:kern w:val="2"/>
          <w:sz w:val="24"/>
          <w:lang w:eastAsia="en-AU"/>
          <w14:ligatures w14:val="standardContextual"/>
        </w:rPr>
      </w:pPr>
      <w:hyperlink w:anchor="_Toc239845145" w:history="1">
        <w:r w:rsidRPr="00192793">
          <w:rPr>
            <w:rStyle w:val="Hyperlink"/>
            <w:noProof/>
          </w:rPr>
          <w:t>1.5</w:t>
        </w:r>
        <w:r>
          <w:rPr>
            <w:rFonts w:eastAsiaTheme="minorEastAsia"/>
            <w:noProof/>
            <w:kern w:val="2"/>
            <w:sz w:val="24"/>
            <w:lang w:eastAsia="en-AU"/>
            <w14:ligatures w14:val="standardContextual"/>
          </w:rPr>
          <w:tab/>
        </w:r>
        <w:r w:rsidRPr="00192793">
          <w:rPr>
            <w:rStyle w:val="Hyperlink"/>
            <w:noProof/>
          </w:rPr>
          <w:t>Overlapping safety frameworks</w:t>
        </w:r>
        <w:r>
          <w:rPr>
            <w:noProof/>
            <w:webHidden/>
          </w:rPr>
          <w:tab/>
        </w:r>
        <w:r>
          <w:rPr>
            <w:noProof/>
            <w:webHidden/>
          </w:rPr>
          <w:fldChar w:fldCharType="begin"/>
        </w:r>
        <w:r>
          <w:rPr>
            <w:noProof/>
            <w:webHidden/>
          </w:rPr>
          <w:instrText xml:space="preserve"> PAGEREF _Toc239845145 \h </w:instrText>
        </w:r>
        <w:r>
          <w:rPr>
            <w:noProof/>
            <w:webHidden/>
          </w:rPr>
        </w:r>
        <w:r>
          <w:rPr>
            <w:noProof/>
            <w:webHidden/>
          </w:rPr>
          <w:fldChar w:fldCharType="separate"/>
        </w:r>
        <w:r>
          <w:rPr>
            <w:noProof/>
            <w:webHidden/>
          </w:rPr>
          <w:t>27</w:t>
        </w:r>
        <w:r>
          <w:rPr>
            <w:noProof/>
            <w:webHidden/>
          </w:rPr>
          <w:fldChar w:fldCharType="end"/>
        </w:r>
      </w:hyperlink>
    </w:p>
    <w:p w14:paraId="7220A047" w14:textId="5AE69933" w:rsidR="00D17BC1" w:rsidRDefault="00D17BC1">
      <w:pPr>
        <w:pStyle w:val="TOC1"/>
        <w:rPr>
          <w:rFonts w:eastAsiaTheme="minorEastAsia"/>
          <w:b w:val="0"/>
          <w:bCs w:val="0"/>
          <w:kern w:val="2"/>
          <w:sz w:val="24"/>
          <w:lang w:eastAsia="en-AU"/>
          <w14:ligatures w14:val="standardContextual"/>
        </w:rPr>
      </w:pPr>
      <w:hyperlink w:anchor="_Toc239845146" w:history="1">
        <w:r w:rsidRPr="00192793">
          <w:rPr>
            <w:rStyle w:val="Hyperlink"/>
          </w:rPr>
          <w:t>2.</w:t>
        </w:r>
        <w:r>
          <w:rPr>
            <w:rFonts w:eastAsiaTheme="minorEastAsia"/>
            <w:b w:val="0"/>
            <w:bCs w:val="0"/>
            <w:kern w:val="2"/>
            <w:sz w:val="24"/>
            <w:lang w:eastAsia="en-AU"/>
            <w14:ligatures w14:val="standardContextual"/>
          </w:rPr>
          <w:tab/>
        </w:r>
        <w:r w:rsidRPr="00192793">
          <w:rPr>
            <w:rStyle w:val="Hyperlink"/>
          </w:rPr>
          <w:t>The duties framework</w:t>
        </w:r>
        <w:r>
          <w:rPr>
            <w:webHidden/>
          </w:rPr>
          <w:tab/>
        </w:r>
        <w:r>
          <w:rPr>
            <w:webHidden/>
          </w:rPr>
          <w:fldChar w:fldCharType="begin"/>
        </w:r>
        <w:r>
          <w:rPr>
            <w:webHidden/>
          </w:rPr>
          <w:instrText xml:space="preserve"> PAGEREF _Toc239845146 \h </w:instrText>
        </w:r>
        <w:r>
          <w:rPr>
            <w:webHidden/>
          </w:rPr>
        </w:r>
        <w:r>
          <w:rPr>
            <w:webHidden/>
          </w:rPr>
          <w:fldChar w:fldCharType="separate"/>
        </w:r>
        <w:r>
          <w:rPr>
            <w:webHidden/>
          </w:rPr>
          <w:t>34</w:t>
        </w:r>
        <w:r>
          <w:rPr>
            <w:webHidden/>
          </w:rPr>
          <w:fldChar w:fldCharType="end"/>
        </w:r>
      </w:hyperlink>
    </w:p>
    <w:p w14:paraId="68B1AC64" w14:textId="44FB4403" w:rsidR="00D17BC1" w:rsidRDefault="00D17BC1">
      <w:pPr>
        <w:pStyle w:val="TOC2"/>
        <w:rPr>
          <w:rFonts w:eastAsiaTheme="minorEastAsia"/>
          <w:noProof/>
          <w:kern w:val="2"/>
          <w:sz w:val="24"/>
          <w:lang w:eastAsia="en-AU"/>
          <w14:ligatures w14:val="standardContextual"/>
        </w:rPr>
      </w:pPr>
      <w:hyperlink w:anchor="_Toc239845147" w:history="1">
        <w:r w:rsidRPr="00192793">
          <w:rPr>
            <w:rStyle w:val="Hyperlink"/>
            <w:noProof/>
          </w:rPr>
          <w:t>2.1</w:t>
        </w:r>
        <w:r>
          <w:rPr>
            <w:rFonts w:eastAsiaTheme="minorEastAsia"/>
            <w:noProof/>
            <w:kern w:val="2"/>
            <w:sz w:val="24"/>
            <w:lang w:eastAsia="en-AU"/>
            <w14:ligatures w14:val="standardContextual"/>
          </w:rPr>
          <w:tab/>
        </w:r>
        <w:r w:rsidRPr="00192793">
          <w:rPr>
            <w:rStyle w:val="Hyperlink"/>
            <w:noProof/>
          </w:rPr>
          <w:t>Health and safety duties (Part 2, ss 13–34, model WHS Act)</w:t>
        </w:r>
        <w:r>
          <w:rPr>
            <w:noProof/>
            <w:webHidden/>
          </w:rPr>
          <w:tab/>
        </w:r>
        <w:r>
          <w:rPr>
            <w:noProof/>
            <w:webHidden/>
          </w:rPr>
          <w:fldChar w:fldCharType="begin"/>
        </w:r>
        <w:r>
          <w:rPr>
            <w:noProof/>
            <w:webHidden/>
          </w:rPr>
          <w:instrText xml:space="preserve"> PAGEREF _Toc239845147 \h </w:instrText>
        </w:r>
        <w:r>
          <w:rPr>
            <w:noProof/>
            <w:webHidden/>
          </w:rPr>
        </w:r>
        <w:r>
          <w:rPr>
            <w:noProof/>
            <w:webHidden/>
          </w:rPr>
          <w:fldChar w:fldCharType="separate"/>
        </w:r>
        <w:r>
          <w:rPr>
            <w:noProof/>
            <w:webHidden/>
          </w:rPr>
          <w:t>35</w:t>
        </w:r>
        <w:r>
          <w:rPr>
            <w:noProof/>
            <w:webHidden/>
          </w:rPr>
          <w:fldChar w:fldCharType="end"/>
        </w:r>
      </w:hyperlink>
    </w:p>
    <w:p w14:paraId="032F680D" w14:textId="5144BF8D" w:rsidR="00D17BC1" w:rsidRDefault="00D17BC1">
      <w:pPr>
        <w:pStyle w:val="TOC2"/>
        <w:rPr>
          <w:rFonts w:eastAsiaTheme="minorEastAsia"/>
          <w:noProof/>
          <w:kern w:val="2"/>
          <w:sz w:val="24"/>
          <w:lang w:eastAsia="en-AU"/>
          <w14:ligatures w14:val="standardContextual"/>
        </w:rPr>
      </w:pPr>
      <w:hyperlink w:anchor="_Toc239845148" w:history="1">
        <w:r w:rsidRPr="00192793">
          <w:rPr>
            <w:rStyle w:val="Hyperlink"/>
            <w:noProof/>
          </w:rPr>
          <w:t>2.2</w:t>
        </w:r>
        <w:r>
          <w:rPr>
            <w:rFonts w:eastAsiaTheme="minorEastAsia"/>
            <w:noProof/>
            <w:kern w:val="2"/>
            <w:sz w:val="24"/>
            <w:lang w:eastAsia="en-AU"/>
            <w14:ligatures w14:val="standardContextual"/>
          </w:rPr>
          <w:tab/>
        </w:r>
        <w:r w:rsidRPr="00192793">
          <w:rPr>
            <w:rStyle w:val="Hyperlink"/>
            <w:noProof/>
          </w:rPr>
          <w:t>WHS knowledge and capability</w:t>
        </w:r>
        <w:r>
          <w:rPr>
            <w:noProof/>
            <w:webHidden/>
          </w:rPr>
          <w:tab/>
        </w:r>
        <w:r>
          <w:rPr>
            <w:noProof/>
            <w:webHidden/>
          </w:rPr>
          <w:fldChar w:fldCharType="begin"/>
        </w:r>
        <w:r>
          <w:rPr>
            <w:noProof/>
            <w:webHidden/>
          </w:rPr>
          <w:instrText xml:space="preserve"> PAGEREF _Toc239845148 \h </w:instrText>
        </w:r>
        <w:r>
          <w:rPr>
            <w:noProof/>
            <w:webHidden/>
          </w:rPr>
        </w:r>
        <w:r>
          <w:rPr>
            <w:noProof/>
            <w:webHidden/>
          </w:rPr>
          <w:fldChar w:fldCharType="separate"/>
        </w:r>
        <w:r>
          <w:rPr>
            <w:noProof/>
            <w:webHidden/>
          </w:rPr>
          <w:t>39</w:t>
        </w:r>
        <w:r>
          <w:rPr>
            <w:noProof/>
            <w:webHidden/>
          </w:rPr>
          <w:fldChar w:fldCharType="end"/>
        </w:r>
      </w:hyperlink>
    </w:p>
    <w:p w14:paraId="4CB76788" w14:textId="14164CEF" w:rsidR="00D17BC1" w:rsidRDefault="00D17BC1">
      <w:pPr>
        <w:pStyle w:val="TOC1"/>
        <w:rPr>
          <w:rFonts w:eastAsiaTheme="minorEastAsia"/>
          <w:b w:val="0"/>
          <w:bCs w:val="0"/>
          <w:kern w:val="2"/>
          <w:sz w:val="24"/>
          <w:lang w:eastAsia="en-AU"/>
          <w14:ligatures w14:val="standardContextual"/>
        </w:rPr>
      </w:pPr>
      <w:hyperlink w:anchor="_Toc239845149" w:history="1">
        <w:r w:rsidRPr="00192793">
          <w:rPr>
            <w:rStyle w:val="Hyperlink"/>
          </w:rPr>
          <w:t>3.</w:t>
        </w:r>
        <w:r>
          <w:rPr>
            <w:rFonts w:eastAsiaTheme="minorEastAsia"/>
            <w:b w:val="0"/>
            <w:bCs w:val="0"/>
            <w:kern w:val="2"/>
            <w:sz w:val="24"/>
            <w:lang w:eastAsia="en-AU"/>
            <w14:ligatures w14:val="standardContextual"/>
          </w:rPr>
          <w:tab/>
        </w:r>
        <w:r w:rsidRPr="00192793">
          <w:rPr>
            <w:rStyle w:val="Hyperlink"/>
          </w:rPr>
          <w:t>Consultation, representation and participation</w:t>
        </w:r>
        <w:r>
          <w:rPr>
            <w:webHidden/>
          </w:rPr>
          <w:tab/>
        </w:r>
        <w:r>
          <w:rPr>
            <w:webHidden/>
          </w:rPr>
          <w:fldChar w:fldCharType="begin"/>
        </w:r>
        <w:r>
          <w:rPr>
            <w:webHidden/>
          </w:rPr>
          <w:instrText xml:space="preserve"> PAGEREF _Toc239845149 \h </w:instrText>
        </w:r>
        <w:r>
          <w:rPr>
            <w:webHidden/>
          </w:rPr>
        </w:r>
        <w:r>
          <w:rPr>
            <w:webHidden/>
          </w:rPr>
          <w:fldChar w:fldCharType="separate"/>
        </w:r>
        <w:r>
          <w:rPr>
            <w:webHidden/>
          </w:rPr>
          <w:t>42</w:t>
        </w:r>
        <w:r>
          <w:rPr>
            <w:webHidden/>
          </w:rPr>
          <w:fldChar w:fldCharType="end"/>
        </w:r>
      </w:hyperlink>
    </w:p>
    <w:p w14:paraId="330B97B6" w14:textId="204CABDE" w:rsidR="00D17BC1" w:rsidRDefault="00D17BC1">
      <w:pPr>
        <w:pStyle w:val="TOC2"/>
        <w:rPr>
          <w:rFonts w:eastAsiaTheme="minorEastAsia"/>
          <w:noProof/>
          <w:kern w:val="2"/>
          <w:sz w:val="24"/>
          <w:lang w:eastAsia="en-AU"/>
          <w14:ligatures w14:val="standardContextual"/>
        </w:rPr>
      </w:pPr>
      <w:hyperlink w:anchor="_Toc239845150" w:history="1">
        <w:r w:rsidRPr="00192793">
          <w:rPr>
            <w:rStyle w:val="Hyperlink"/>
            <w:noProof/>
          </w:rPr>
          <w:t>3.1</w:t>
        </w:r>
        <w:r>
          <w:rPr>
            <w:rFonts w:eastAsiaTheme="minorEastAsia"/>
            <w:noProof/>
            <w:kern w:val="2"/>
            <w:sz w:val="24"/>
            <w:lang w:eastAsia="en-AU"/>
            <w14:ligatures w14:val="standardContextual"/>
          </w:rPr>
          <w:tab/>
        </w:r>
        <w:r w:rsidRPr="00192793">
          <w:rPr>
            <w:rStyle w:val="Hyperlink"/>
            <w:noProof/>
          </w:rPr>
          <w:t>Right to cease unsafe work (Part 5, Division 6, s 84, model WHS Act)</w:t>
        </w:r>
        <w:r>
          <w:rPr>
            <w:noProof/>
            <w:webHidden/>
          </w:rPr>
          <w:tab/>
        </w:r>
        <w:r>
          <w:rPr>
            <w:noProof/>
            <w:webHidden/>
          </w:rPr>
          <w:fldChar w:fldCharType="begin"/>
        </w:r>
        <w:r>
          <w:rPr>
            <w:noProof/>
            <w:webHidden/>
          </w:rPr>
          <w:instrText xml:space="preserve"> PAGEREF _Toc239845150 \h </w:instrText>
        </w:r>
        <w:r>
          <w:rPr>
            <w:noProof/>
            <w:webHidden/>
          </w:rPr>
        </w:r>
        <w:r>
          <w:rPr>
            <w:noProof/>
            <w:webHidden/>
          </w:rPr>
          <w:fldChar w:fldCharType="separate"/>
        </w:r>
        <w:r>
          <w:rPr>
            <w:noProof/>
            <w:webHidden/>
          </w:rPr>
          <w:t>56</w:t>
        </w:r>
        <w:r>
          <w:rPr>
            <w:noProof/>
            <w:webHidden/>
          </w:rPr>
          <w:fldChar w:fldCharType="end"/>
        </w:r>
      </w:hyperlink>
    </w:p>
    <w:p w14:paraId="5EC800A6" w14:textId="5E193DD7" w:rsidR="00D17BC1" w:rsidRDefault="00D17BC1">
      <w:pPr>
        <w:pStyle w:val="TOC2"/>
        <w:rPr>
          <w:rFonts w:eastAsiaTheme="minorEastAsia"/>
          <w:noProof/>
          <w:kern w:val="2"/>
          <w:sz w:val="24"/>
          <w:lang w:eastAsia="en-AU"/>
          <w14:ligatures w14:val="standardContextual"/>
        </w:rPr>
      </w:pPr>
      <w:hyperlink w:anchor="_Toc239845151" w:history="1">
        <w:r w:rsidRPr="00192793">
          <w:rPr>
            <w:rStyle w:val="Hyperlink"/>
            <w:noProof/>
          </w:rPr>
          <w:t>3.2</w:t>
        </w:r>
        <w:r>
          <w:rPr>
            <w:rFonts w:eastAsiaTheme="minorEastAsia"/>
            <w:noProof/>
            <w:kern w:val="2"/>
            <w:sz w:val="24"/>
            <w:lang w:eastAsia="en-AU"/>
            <w14:ligatures w14:val="standardContextual"/>
          </w:rPr>
          <w:tab/>
        </w:r>
        <w:r w:rsidRPr="00192793">
          <w:rPr>
            <w:rStyle w:val="Hyperlink"/>
            <w:noProof/>
          </w:rPr>
          <w:t>Discriminatory conduct (Part 6, ss 104–115, model WHS Act)</w:t>
        </w:r>
        <w:r>
          <w:rPr>
            <w:noProof/>
            <w:webHidden/>
          </w:rPr>
          <w:tab/>
        </w:r>
        <w:r>
          <w:rPr>
            <w:noProof/>
            <w:webHidden/>
          </w:rPr>
          <w:fldChar w:fldCharType="begin"/>
        </w:r>
        <w:r>
          <w:rPr>
            <w:noProof/>
            <w:webHidden/>
          </w:rPr>
          <w:instrText xml:space="preserve"> PAGEREF _Toc239845151 \h </w:instrText>
        </w:r>
        <w:r>
          <w:rPr>
            <w:noProof/>
            <w:webHidden/>
          </w:rPr>
        </w:r>
        <w:r>
          <w:rPr>
            <w:noProof/>
            <w:webHidden/>
          </w:rPr>
          <w:fldChar w:fldCharType="separate"/>
        </w:r>
        <w:r>
          <w:rPr>
            <w:noProof/>
            <w:webHidden/>
          </w:rPr>
          <w:t>57</w:t>
        </w:r>
        <w:r>
          <w:rPr>
            <w:noProof/>
            <w:webHidden/>
          </w:rPr>
          <w:fldChar w:fldCharType="end"/>
        </w:r>
      </w:hyperlink>
    </w:p>
    <w:p w14:paraId="39CDD0D9" w14:textId="346E4AE0" w:rsidR="00D17BC1" w:rsidRDefault="00D17BC1">
      <w:pPr>
        <w:pStyle w:val="TOC2"/>
        <w:rPr>
          <w:rFonts w:eastAsiaTheme="minorEastAsia"/>
          <w:noProof/>
          <w:kern w:val="2"/>
          <w:sz w:val="24"/>
          <w:lang w:eastAsia="en-AU"/>
          <w14:ligatures w14:val="standardContextual"/>
        </w:rPr>
      </w:pPr>
      <w:hyperlink w:anchor="_Toc239845152" w:history="1">
        <w:r w:rsidRPr="00192793">
          <w:rPr>
            <w:rStyle w:val="Hyperlink"/>
            <w:noProof/>
          </w:rPr>
          <w:t>3.3</w:t>
        </w:r>
        <w:r>
          <w:rPr>
            <w:rFonts w:eastAsiaTheme="minorEastAsia"/>
            <w:noProof/>
            <w:kern w:val="2"/>
            <w:sz w:val="24"/>
            <w:lang w:eastAsia="en-AU"/>
            <w14:ligatures w14:val="standardContextual"/>
          </w:rPr>
          <w:tab/>
        </w:r>
        <w:r w:rsidRPr="00192793">
          <w:rPr>
            <w:rStyle w:val="Hyperlink"/>
            <w:noProof/>
          </w:rPr>
          <w:t>Right of entry (Part 7, ss 116–151, model WHS Act)</w:t>
        </w:r>
        <w:r>
          <w:rPr>
            <w:noProof/>
            <w:webHidden/>
          </w:rPr>
          <w:tab/>
        </w:r>
        <w:r>
          <w:rPr>
            <w:noProof/>
            <w:webHidden/>
          </w:rPr>
          <w:fldChar w:fldCharType="begin"/>
        </w:r>
        <w:r>
          <w:rPr>
            <w:noProof/>
            <w:webHidden/>
          </w:rPr>
          <w:instrText xml:space="preserve"> PAGEREF _Toc239845152 \h </w:instrText>
        </w:r>
        <w:r>
          <w:rPr>
            <w:noProof/>
            <w:webHidden/>
          </w:rPr>
        </w:r>
        <w:r>
          <w:rPr>
            <w:noProof/>
            <w:webHidden/>
          </w:rPr>
          <w:fldChar w:fldCharType="separate"/>
        </w:r>
        <w:r>
          <w:rPr>
            <w:noProof/>
            <w:webHidden/>
          </w:rPr>
          <w:t>59</w:t>
        </w:r>
        <w:r>
          <w:rPr>
            <w:noProof/>
            <w:webHidden/>
          </w:rPr>
          <w:fldChar w:fldCharType="end"/>
        </w:r>
      </w:hyperlink>
    </w:p>
    <w:p w14:paraId="27D1E7EE" w14:textId="2CDCFF58" w:rsidR="00D17BC1" w:rsidRDefault="00D17BC1">
      <w:pPr>
        <w:pStyle w:val="TOC1"/>
        <w:rPr>
          <w:rFonts w:eastAsiaTheme="minorEastAsia"/>
          <w:b w:val="0"/>
          <w:bCs w:val="0"/>
          <w:kern w:val="2"/>
          <w:sz w:val="24"/>
          <w:lang w:eastAsia="en-AU"/>
          <w14:ligatures w14:val="standardContextual"/>
        </w:rPr>
      </w:pPr>
      <w:hyperlink w:anchor="_Toc239845153" w:history="1">
        <w:r w:rsidRPr="00192793">
          <w:rPr>
            <w:rStyle w:val="Hyperlink"/>
          </w:rPr>
          <w:t>4.</w:t>
        </w:r>
        <w:r>
          <w:rPr>
            <w:rFonts w:eastAsiaTheme="minorEastAsia"/>
            <w:b w:val="0"/>
            <w:bCs w:val="0"/>
            <w:kern w:val="2"/>
            <w:sz w:val="24"/>
            <w:lang w:eastAsia="en-AU"/>
            <w14:ligatures w14:val="standardContextual"/>
          </w:rPr>
          <w:tab/>
        </w:r>
        <w:r w:rsidRPr="00192793">
          <w:rPr>
            <w:rStyle w:val="Hyperlink"/>
          </w:rPr>
          <w:t>Compliance and enforcement</w:t>
        </w:r>
        <w:r>
          <w:rPr>
            <w:webHidden/>
          </w:rPr>
          <w:tab/>
        </w:r>
        <w:r>
          <w:rPr>
            <w:webHidden/>
          </w:rPr>
          <w:fldChar w:fldCharType="begin"/>
        </w:r>
        <w:r>
          <w:rPr>
            <w:webHidden/>
          </w:rPr>
          <w:instrText xml:space="preserve"> PAGEREF _Toc239845153 \h </w:instrText>
        </w:r>
        <w:r>
          <w:rPr>
            <w:webHidden/>
          </w:rPr>
        </w:r>
        <w:r>
          <w:rPr>
            <w:webHidden/>
          </w:rPr>
          <w:fldChar w:fldCharType="separate"/>
        </w:r>
        <w:r>
          <w:rPr>
            <w:webHidden/>
          </w:rPr>
          <w:t>63</w:t>
        </w:r>
        <w:r>
          <w:rPr>
            <w:webHidden/>
          </w:rPr>
          <w:fldChar w:fldCharType="end"/>
        </w:r>
      </w:hyperlink>
    </w:p>
    <w:p w14:paraId="3ABB59CC" w14:textId="6F744445" w:rsidR="00D17BC1" w:rsidRDefault="00D17BC1">
      <w:pPr>
        <w:pStyle w:val="TOC2"/>
        <w:rPr>
          <w:rFonts w:eastAsiaTheme="minorEastAsia"/>
          <w:noProof/>
          <w:kern w:val="2"/>
          <w:sz w:val="24"/>
          <w:lang w:eastAsia="en-AU"/>
          <w14:ligatures w14:val="standardContextual"/>
        </w:rPr>
      </w:pPr>
      <w:hyperlink w:anchor="_Toc239845154" w:history="1">
        <w:r w:rsidRPr="00192793">
          <w:rPr>
            <w:rStyle w:val="Hyperlink"/>
            <w:noProof/>
          </w:rPr>
          <w:t>4.1</w:t>
        </w:r>
        <w:r>
          <w:rPr>
            <w:rFonts w:eastAsiaTheme="minorEastAsia"/>
            <w:noProof/>
            <w:kern w:val="2"/>
            <w:sz w:val="24"/>
            <w:lang w:eastAsia="en-AU"/>
            <w14:ligatures w14:val="standardContextual"/>
          </w:rPr>
          <w:tab/>
        </w:r>
        <w:r w:rsidRPr="00192793">
          <w:rPr>
            <w:rStyle w:val="Hyperlink"/>
            <w:noProof/>
          </w:rPr>
          <w:t>Compliance and enforcement</w:t>
        </w:r>
        <w:r>
          <w:rPr>
            <w:noProof/>
            <w:webHidden/>
          </w:rPr>
          <w:tab/>
        </w:r>
        <w:r>
          <w:rPr>
            <w:noProof/>
            <w:webHidden/>
          </w:rPr>
          <w:fldChar w:fldCharType="begin"/>
        </w:r>
        <w:r>
          <w:rPr>
            <w:noProof/>
            <w:webHidden/>
          </w:rPr>
          <w:instrText xml:space="preserve"> PAGEREF _Toc239845154 \h </w:instrText>
        </w:r>
        <w:r>
          <w:rPr>
            <w:noProof/>
            <w:webHidden/>
          </w:rPr>
        </w:r>
        <w:r>
          <w:rPr>
            <w:noProof/>
            <w:webHidden/>
          </w:rPr>
          <w:fldChar w:fldCharType="separate"/>
        </w:r>
        <w:r>
          <w:rPr>
            <w:noProof/>
            <w:webHidden/>
          </w:rPr>
          <w:t>64</w:t>
        </w:r>
        <w:r>
          <w:rPr>
            <w:noProof/>
            <w:webHidden/>
          </w:rPr>
          <w:fldChar w:fldCharType="end"/>
        </w:r>
      </w:hyperlink>
    </w:p>
    <w:p w14:paraId="4070B3C3" w14:textId="7E1BA642" w:rsidR="00D17BC1" w:rsidRDefault="00D17BC1">
      <w:pPr>
        <w:pStyle w:val="TOC2"/>
        <w:rPr>
          <w:rFonts w:eastAsiaTheme="minorEastAsia"/>
          <w:noProof/>
          <w:kern w:val="2"/>
          <w:sz w:val="24"/>
          <w:lang w:eastAsia="en-AU"/>
          <w14:ligatures w14:val="standardContextual"/>
        </w:rPr>
      </w:pPr>
      <w:hyperlink w:anchor="_Toc239845155" w:history="1">
        <w:r w:rsidRPr="00192793">
          <w:rPr>
            <w:rStyle w:val="Hyperlink"/>
            <w:noProof/>
          </w:rPr>
          <w:t>4.2</w:t>
        </w:r>
        <w:r>
          <w:rPr>
            <w:rFonts w:eastAsiaTheme="minorEastAsia"/>
            <w:noProof/>
            <w:kern w:val="2"/>
            <w:sz w:val="24"/>
            <w:lang w:eastAsia="en-AU"/>
            <w14:ligatures w14:val="standardContextual"/>
          </w:rPr>
          <w:tab/>
        </w:r>
        <w:r w:rsidRPr="00192793">
          <w:rPr>
            <w:rStyle w:val="Hyperlink"/>
            <w:noProof/>
          </w:rPr>
          <w:t>Inspector powers (Part 9, ss 156–190, model WHS Act)</w:t>
        </w:r>
        <w:r>
          <w:rPr>
            <w:noProof/>
            <w:webHidden/>
          </w:rPr>
          <w:tab/>
        </w:r>
        <w:r>
          <w:rPr>
            <w:noProof/>
            <w:webHidden/>
          </w:rPr>
          <w:fldChar w:fldCharType="begin"/>
        </w:r>
        <w:r>
          <w:rPr>
            <w:noProof/>
            <w:webHidden/>
          </w:rPr>
          <w:instrText xml:space="preserve"> PAGEREF _Toc239845155 \h </w:instrText>
        </w:r>
        <w:r>
          <w:rPr>
            <w:noProof/>
            <w:webHidden/>
          </w:rPr>
        </w:r>
        <w:r>
          <w:rPr>
            <w:noProof/>
            <w:webHidden/>
          </w:rPr>
          <w:fldChar w:fldCharType="separate"/>
        </w:r>
        <w:r>
          <w:rPr>
            <w:noProof/>
            <w:webHidden/>
          </w:rPr>
          <w:t>67</w:t>
        </w:r>
        <w:r>
          <w:rPr>
            <w:noProof/>
            <w:webHidden/>
          </w:rPr>
          <w:fldChar w:fldCharType="end"/>
        </w:r>
      </w:hyperlink>
    </w:p>
    <w:p w14:paraId="3EAD12B6" w14:textId="1ED0886D" w:rsidR="00D17BC1" w:rsidRDefault="00D17BC1">
      <w:pPr>
        <w:pStyle w:val="TOC2"/>
        <w:rPr>
          <w:rFonts w:eastAsiaTheme="minorEastAsia"/>
          <w:noProof/>
          <w:kern w:val="2"/>
          <w:sz w:val="24"/>
          <w:lang w:eastAsia="en-AU"/>
          <w14:ligatures w14:val="standardContextual"/>
        </w:rPr>
      </w:pPr>
      <w:hyperlink w:anchor="_Toc239845156" w:history="1">
        <w:r w:rsidRPr="00192793">
          <w:rPr>
            <w:rStyle w:val="Hyperlink"/>
            <w:noProof/>
          </w:rPr>
          <w:t>4.3</w:t>
        </w:r>
        <w:r>
          <w:rPr>
            <w:rFonts w:eastAsiaTheme="minorEastAsia"/>
            <w:noProof/>
            <w:kern w:val="2"/>
            <w:sz w:val="24"/>
            <w:lang w:eastAsia="en-AU"/>
            <w14:ligatures w14:val="standardContextual"/>
          </w:rPr>
          <w:tab/>
        </w:r>
        <w:r w:rsidRPr="00192793">
          <w:rPr>
            <w:rStyle w:val="Hyperlink"/>
            <w:noProof/>
          </w:rPr>
          <w:t>Legal proceedings (Part 13, ss 230–267, model WHS Act)</w:t>
        </w:r>
        <w:r>
          <w:rPr>
            <w:noProof/>
            <w:webHidden/>
          </w:rPr>
          <w:tab/>
        </w:r>
        <w:r>
          <w:rPr>
            <w:noProof/>
            <w:webHidden/>
          </w:rPr>
          <w:fldChar w:fldCharType="begin"/>
        </w:r>
        <w:r>
          <w:rPr>
            <w:noProof/>
            <w:webHidden/>
          </w:rPr>
          <w:instrText xml:space="preserve"> PAGEREF _Toc239845156 \h </w:instrText>
        </w:r>
        <w:r>
          <w:rPr>
            <w:noProof/>
            <w:webHidden/>
          </w:rPr>
        </w:r>
        <w:r>
          <w:rPr>
            <w:noProof/>
            <w:webHidden/>
          </w:rPr>
          <w:fldChar w:fldCharType="separate"/>
        </w:r>
        <w:r>
          <w:rPr>
            <w:noProof/>
            <w:webHidden/>
          </w:rPr>
          <w:t>73</w:t>
        </w:r>
        <w:r>
          <w:rPr>
            <w:noProof/>
            <w:webHidden/>
          </w:rPr>
          <w:fldChar w:fldCharType="end"/>
        </w:r>
      </w:hyperlink>
    </w:p>
    <w:p w14:paraId="10B3A5EA" w14:textId="6187DDE9" w:rsidR="00D17BC1" w:rsidRDefault="00D17BC1">
      <w:pPr>
        <w:pStyle w:val="TOC2"/>
        <w:rPr>
          <w:rFonts w:eastAsiaTheme="minorEastAsia"/>
          <w:noProof/>
          <w:kern w:val="2"/>
          <w:sz w:val="24"/>
          <w:lang w:eastAsia="en-AU"/>
          <w14:ligatures w14:val="standardContextual"/>
        </w:rPr>
      </w:pPr>
      <w:hyperlink w:anchor="_Toc239845157" w:history="1">
        <w:r w:rsidRPr="00192793">
          <w:rPr>
            <w:rStyle w:val="Hyperlink"/>
            <w:noProof/>
          </w:rPr>
          <w:t>4.4</w:t>
        </w:r>
        <w:r>
          <w:rPr>
            <w:rFonts w:eastAsiaTheme="minorEastAsia"/>
            <w:noProof/>
            <w:kern w:val="2"/>
            <w:sz w:val="24"/>
            <w:lang w:eastAsia="en-AU"/>
            <w14:ligatures w14:val="standardContextual"/>
          </w:rPr>
          <w:tab/>
        </w:r>
        <w:r w:rsidRPr="00192793">
          <w:rPr>
            <w:rStyle w:val="Hyperlink"/>
            <w:noProof/>
          </w:rPr>
          <w:t>Offences and penalties (Part 13, ss 230–267, model WHS Act)</w:t>
        </w:r>
        <w:r>
          <w:rPr>
            <w:noProof/>
            <w:webHidden/>
          </w:rPr>
          <w:tab/>
        </w:r>
        <w:r>
          <w:rPr>
            <w:noProof/>
            <w:webHidden/>
          </w:rPr>
          <w:fldChar w:fldCharType="begin"/>
        </w:r>
        <w:r>
          <w:rPr>
            <w:noProof/>
            <w:webHidden/>
          </w:rPr>
          <w:instrText xml:space="preserve"> PAGEREF _Toc239845157 \h </w:instrText>
        </w:r>
        <w:r>
          <w:rPr>
            <w:noProof/>
            <w:webHidden/>
          </w:rPr>
        </w:r>
        <w:r>
          <w:rPr>
            <w:noProof/>
            <w:webHidden/>
          </w:rPr>
          <w:fldChar w:fldCharType="separate"/>
        </w:r>
        <w:r>
          <w:rPr>
            <w:noProof/>
            <w:webHidden/>
          </w:rPr>
          <w:t>85</w:t>
        </w:r>
        <w:r>
          <w:rPr>
            <w:noProof/>
            <w:webHidden/>
          </w:rPr>
          <w:fldChar w:fldCharType="end"/>
        </w:r>
      </w:hyperlink>
    </w:p>
    <w:p w14:paraId="56F0B4A9" w14:textId="58D9EF09" w:rsidR="00D17BC1" w:rsidRDefault="00D17BC1">
      <w:pPr>
        <w:pStyle w:val="TOC2"/>
        <w:rPr>
          <w:rFonts w:eastAsiaTheme="minorEastAsia"/>
          <w:noProof/>
          <w:kern w:val="2"/>
          <w:sz w:val="24"/>
          <w:lang w:eastAsia="en-AU"/>
          <w14:ligatures w14:val="standardContextual"/>
        </w:rPr>
      </w:pPr>
      <w:hyperlink w:anchor="_Toc239845158" w:history="1">
        <w:r w:rsidRPr="00192793">
          <w:rPr>
            <w:rStyle w:val="Hyperlink"/>
            <w:noProof/>
          </w:rPr>
          <w:t>4.5</w:t>
        </w:r>
        <w:r>
          <w:rPr>
            <w:rFonts w:eastAsiaTheme="minorEastAsia"/>
            <w:noProof/>
            <w:kern w:val="2"/>
            <w:sz w:val="24"/>
            <w:lang w:eastAsia="en-AU"/>
            <w14:ligatures w14:val="standardContextual"/>
          </w:rPr>
          <w:tab/>
        </w:r>
        <w:r w:rsidRPr="00192793">
          <w:rPr>
            <w:rStyle w:val="Hyperlink"/>
            <w:noProof/>
          </w:rPr>
          <w:t>Confidentiality of information (Part 14, Division 1, s 271, model WHS Act)</w:t>
        </w:r>
        <w:r>
          <w:rPr>
            <w:noProof/>
            <w:webHidden/>
          </w:rPr>
          <w:tab/>
        </w:r>
        <w:r>
          <w:rPr>
            <w:noProof/>
            <w:webHidden/>
          </w:rPr>
          <w:fldChar w:fldCharType="begin"/>
        </w:r>
        <w:r>
          <w:rPr>
            <w:noProof/>
            <w:webHidden/>
          </w:rPr>
          <w:instrText xml:space="preserve"> PAGEREF _Toc239845158 \h </w:instrText>
        </w:r>
        <w:r>
          <w:rPr>
            <w:noProof/>
            <w:webHidden/>
          </w:rPr>
        </w:r>
        <w:r>
          <w:rPr>
            <w:noProof/>
            <w:webHidden/>
          </w:rPr>
          <w:fldChar w:fldCharType="separate"/>
        </w:r>
        <w:r>
          <w:rPr>
            <w:noProof/>
            <w:webHidden/>
          </w:rPr>
          <w:t>90</w:t>
        </w:r>
        <w:r>
          <w:rPr>
            <w:noProof/>
            <w:webHidden/>
          </w:rPr>
          <w:fldChar w:fldCharType="end"/>
        </w:r>
      </w:hyperlink>
    </w:p>
    <w:p w14:paraId="6B4F8924" w14:textId="051BC92F" w:rsidR="00D17BC1" w:rsidRDefault="00D17BC1">
      <w:pPr>
        <w:pStyle w:val="TOC1"/>
        <w:rPr>
          <w:rFonts w:eastAsiaTheme="minorEastAsia"/>
          <w:b w:val="0"/>
          <w:bCs w:val="0"/>
          <w:kern w:val="2"/>
          <w:sz w:val="24"/>
          <w:lang w:eastAsia="en-AU"/>
          <w14:ligatures w14:val="standardContextual"/>
        </w:rPr>
      </w:pPr>
      <w:hyperlink w:anchor="_Toc239845159" w:history="1">
        <w:r w:rsidRPr="00192793">
          <w:rPr>
            <w:rStyle w:val="Hyperlink"/>
          </w:rPr>
          <w:t>5.</w:t>
        </w:r>
        <w:r>
          <w:rPr>
            <w:rFonts w:eastAsiaTheme="minorEastAsia"/>
            <w:b w:val="0"/>
            <w:bCs w:val="0"/>
            <w:kern w:val="2"/>
            <w:sz w:val="24"/>
            <w:lang w:eastAsia="en-AU"/>
            <w14:ligatures w14:val="standardContextual"/>
          </w:rPr>
          <w:tab/>
        </w:r>
        <w:r w:rsidRPr="00192793">
          <w:rPr>
            <w:rStyle w:val="Hyperlink"/>
          </w:rPr>
          <w:t>Codes of Practice</w:t>
        </w:r>
        <w:r>
          <w:rPr>
            <w:webHidden/>
          </w:rPr>
          <w:tab/>
        </w:r>
        <w:r>
          <w:rPr>
            <w:webHidden/>
          </w:rPr>
          <w:fldChar w:fldCharType="begin"/>
        </w:r>
        <w:r>
          <w:rPr>
            <w:webHidden/>
          </w:rPr>
          <w:instrText xml:space="preserve"> PAGEREF _Toc239845159 \h </w:instrText>
        </w:r>
        <w:r>
          <w:rPr>
            <w:webHidden/>
          </w:rPr>
        </w:r>
        <w:r>
          <w:rPr>
            <w:webHidden/>
          </w:rPr>
          <w:fldChar w:fldCharType="separate"/>
        </w:r>
        <w:r>
          <w:rPr>
            <w:webHidden/>
          </w:rPr>
          <w:t>93</w:t>
        </w:r>
        <w:r>
          <w:rPr>
            <w:webHidden/>
          </w:rPr>
          <w:fldChar w:fldCharType="end"/>
        </w:r>
      </w:hyperlink>
    </w:p>
    <w:p w14:paraId="654D0A6F" w14:textId="5B8437BB" w:rsidR="00D17BC1" w:rsidRDefault="00D17BC1">
      <w:pPr>
        <w:pStyle w:val="TOC2"/>
        <w:rPr>
          <w:rFonts w:eastAsiaTheme="minorEastAsia"/>
          <w:noProof/>
          <w:kern w:val="2"/>
          <w:sz w:val="24"/>
          <w:lang w:eastAsia="en-AU"/>
          <w14:ligatures w14:val="standardContextual"/>
        </w:rPr>
      </w:pPr>
      <w:hyperlink w:anchor="_Toc239845160" w:history="1">
        <w:r w:rsidRPr="00192793">
          <w:rPr>
            <w:rStyle w:val="Hyperlink"/>
            <w:noProof/>
          </w:rPr>
          <w:t>5.1</w:t>
        </w:r>
        <w:r>
          <w:rPr>
            <w:rFonts w:eastAsiaTheme="minorEastAsia"/>
            <w:noProof/>
            <w:kern w:val="2"/>
            <w:sz w:val="24"/>
            <w:lang w:eastAsia="en-AU"/>
            <w14:ligatures w14:val="standardContextual"/>
          </w:rPr>
          <w:tab/>
        </w:r>
        <w:r w:rsidRPr="00192793">
          <w:rPr>
            <w:rStyle w:val="Hyperlink"/>
            <w:noProof/>
          </w:rPr>
          <w:t>Codes of Practice</w:t>
        </w:r>
        <w:r>
          <w:rPr>
            <w:noProof/>
            <w:webHidden/>
          </w:rPr>
          <w:tab/>
        </w:r>
        <w:r>
          <w:rPr>
            <w:noProof/>
            <w:webHidden/>
          </w:rPr>
          <w:fldChar w:fldCharType="begin"/>
        </w:r>
        <w:r>
          <w:rPr>
            <w:noProof/>
            <w:webHidden/>
          </w:rPr>
          <w:instrText xml:space="preserve"> PAGEREF _Toc239845160 \h </w:instrText>
        </w:r>
        <w:r>
          <w:rPr>
            <w:noProof/>
            <w:webHidden/>
          </w:rPr>
        </w:r>
        <w:r>
          <w:rPr>
            <w:noProof/>
            <w:webHidden/>
          </w:rPr>
          <w:fldChar w:fldCharType="separate"/>
        </w:r>
        <w:r>
          <w:rPr>
            <w:noProof/>
            <w:webHidden/>
          </w:rPr>
          <w:t>93</w:t>
        </w:r>
        <w:r>
          <w:rPr>
            <w:noProof/>
            <w:webHidden/>
          </w:rPr>
          <w:fldChar w:fldCharType="end"/>
        </w:r>
      </w:hyperlink>
    </w:p>
    <w:p w14:paraId="579634F1" w14:textId="0D4DAFA9" w:rsidR="00D17BC1" w:rsidRDefault="00D17BC1">
      <w:pPr>
        <w:pStyle w:val="TOC1"/>
        <w:rPr>
          <w:rFonts w:eastAsiaTheme="minorEastAsia"/>
          <w:b w:val="0"/>
          <w:bCs w:val="0"/>
          <w:kern w:val="2"/>
          <w:sz w:val="24"/>
          <w:lang w:eastAsia="en-AU"/>
          <w14:ligatures w14:val="standardContextual"/>
        </w:rPr>
      </w:pPr>
      <w:hyperlink w:anchor="_Toc239845161" w:history="1">
        <w:r w:rsidRPr="00192793">
          <w:rPr>
            <w:rStyle w:val="Hyperlink"/>
          </w:rPr>
          <w:t>6.</w:t>
        </w:r>
        <w:r>
          <w:rPr>
            <w:rFonts w:eastAsiaTheme="minorEastAsia"/>
            <w:b w:val="0"/>
            <w:bCs w:val="0"/>
            <w:kern w:val="2"/>
            <w:sz w:val="24"/>
            <w:lang w:eastAsia="en-AU"/>
            <w14:ligatures w14:val="standardContextual"/>
          </w:rPr>
          <w:tab/>
        </w:r>
        <w:r w:rsidRPr="00192793">
          <w:rPr>
            <w:rStyle w:val="Hyperlink"/>
          </w:rPr>
          <w:t>The model WHS Regulations: variations</w:t>
        </w:r>
        <w:r>
          <w:rPr>
            <w:webHidden/>
          </w:rPr>
          <w:tab/>
        </w:r>
        <w:r>
          <w:rPr>
            <w:webHidden/>
          </w:rPr>
          <w:fldChar w:fldCharType="begin"/>
        </w:r>
        <w:r>
          <w:rPr>
            <w:webHidden/>
          </w:rPr>
          <w:instrText xml:space="preserve"> PAGEREF _Toc239845161 \h </w:instrText>
        </w:r>
        <w:r>
          <w:rPr>
            <w:webHidden/>
          </w:rPr>
        </w:r>
        <w:r>
          <w:rPr>
            <w:webHidden/>
          </w:rPr>
          <w:fldChar w:fldCharType="separate"/>
        </w:r>
        <w:r>
          <w:rPr>
            <w:webHidden/>
          </w:rPr>
          <w:t>98</w:t>
        </w:r>
        <w:r>
          <w:rPr>
            <w:webHidden/>
          </w:rPr>
          <w:fldChar w:fldCharType="end"/>
        </w:r>
      </w:hyperlink>
    </w:p>
    <w:p w14:paraId="3879DB9E" w14:textId="7CB4736B" w:rsidR="00D17BC1" w:rsidRDefault="00D17BC1">
      <w:pPr>
        <w:pStyle w:val="TOC2"/>
        <w:rPr>
          <w:rFonts w:eastAsiaTheme="minorEastAsia"/>
          <w:noProof/>
          <w:kern w:val="2"/>
          <w:sz w:val="24"/>
          <w:lang w:eastAsia="en-AU"/>
          <w14:ligatures w14:val="standardContextual"/>
        </w:rPr>
      </w:pPr>
      <w:hyperlink w:anchor="_Toc239845162" w:history="1">
        <w:r w:rsidRPr="00192793">
          <w:rPr>
            <w:rStyle w:val="Hyperlink"/>
            <w:noProof/>
          </w:rPr>
          <w:t>6.1</w:t>
        </w:r>
        <w:r>
          <w:rPr>
            <w:rFonts w:eastAsiaTheme="minorEastAsia"/>
            <w:noProof/>
            <w:kern w:val="2"/>
            <w:sz w:val="24"/>
            <w:lang w:eastAsia="en-AU"/>
            <w14:ligatures w14:val="standardContextual"/>
          </w:rPr>
          <w:tab/>
        </w:r>
        <w:r w:rsidRPr="00192793">
          <w:rPr>
            <w:rStyle w:val="Hyperlink"/>
            <w:noProof/>
          </w:rPr>
          <w:t>Variations recommended for adoption</w:t>
        </w:r>
        <w:r>
          <w:rPr>
            <w:noProof/>
            <w:webHidden/>
          </w:rPr>
          <w:tab/>
        </w:r>
        <w:r>
          <w:rPr>
            <w:noProof/>
            <w:webHidden/>
          </w:rPr>
          <w:fldChar w:fldCharType="begin"/>
        </w:r>
        <w:r>
          <w:rPr>
            <w:noProof/>
            <w:webHidden/>
          </w:rPr>
          <w:instrText xml:space="preserve"> PAGEREF _Toc239845162 \h </w:instrText>
        </w:r>
        <w:r>
          <w:rPr>
            <w:noProof/>
            <w:webHidden/>
          </w:rPr>
        </w:r>
        <w:r>
          <w:rPr>
            <w:noProof/>
            <w:webHidden/>
          </w:rPr>
          <w:fldChar w:fldCharType="separate"/>
        </w:r>
        <w:r>
          <w:rPr>
            <w:noProof/>
            <w:webHidden/>
          </w:rPr>
          <w:t>99</w:t>
        </w:r>
        <w:r>
          <w:rPr>
            <w:noProof/>
            <w:webHidden/>
          </w:rPr>
          <w:fldChar w:fldCharType="end"/>
        </w:r>
      </w:hyperlink>
    </w:p>
    <w:p w14:paraId="35EAFC9D" w14:textId="32ACC47B" w:rsidR="00D17BC1" w:rsidRDefault="00D17BC1">
      <w:pPr>
        <w:pStyle w:val="TOC2"/>
        <w:rPr>
          <w:rFonts w:eastAsiaTheme="minorEastAsia"/>
          <w:noProof/>
          <w:kern w:val="2"/>
          <w:sz w:val="24"/>
          <w:lang w:eastAsia="en-AU"/>
          <w14:ligatures w14:val="standardContextual"/>
        </w:rPr>
      </w:pPr>
      <w:hyperlink w:anchor="_Toc239845163" w:history="1">
        <w:r w:rsidRPr="00192793">
          <w:rPr>
            <w:rStyle w:val="Hyperlink"/>
            <w:noProof/>
          </w:rPr>
          <w:t>6.2</w:t>
        </w:r>
        <w:r>
          <w:rPr>
            <w:rFonts w:eastAsiaTheme="minorEastAsia"/>
            <w:noProof/>
            <w:kern w:val="2"/>
            <w:sz w:val="24"/>
            <w:lang w:eastAsia="en-AU"/>
            <w14:ligatures w14:val="standardContextual"/>
          </w:rPr>
          <w:tab/>
        </w:r>
        <w:r w:rsidRPr="00192793">
          <w:rPr>
            <w:rStyle w:val="Hyperlink"/>
            <w:noProof/>
          </w:rPr>
          <w:t>Variations not recommended for adoption</w:t>
        </w:r>
        <w:r>
          <w:rPr>
            <w:noProof/>
            <w:webHidden/>
          </w:rPr>
          <w:tab/>
        </w:r>
        <w:r>
          <w:rPr>
            <w:noProof/>
            <w:webHidden/>
          </w:rPr>
          <w:fldChar w:fldCharType="begin"/>
        </w:r>
        <w:r>
          <w:rPr>
            <w:noProof/>
            <w:webHidden/>
          </w:rPr>
          <w:instrText xml:space="preserve"> PAGEREF _Toc239845163 \h </w:instrText>
        </w:r>
        <w:r>
          <w:rPr>
            <w:noProof/>
            <w:webHidden/>
          </w:rPr>
        </w:r>
        <w:r>
          <w:rPr>
            <w:noProof/>
            <w:webHidden/>
          </w:rPr>
          <w:fldChar w:fldCharType="separate"/>
        </w:r>
        <w:r>
          <w:rPr>
            <w:noProof/>
            <w:webHidden/>
          </w:rPr>
          <w:t>102</w:t>
        </w:r>
        <w:r>
          <w:rPr>
            <w:noProof/>
            <w:webHidden/>
          </w:rPr>
          <w:fldChar w:fldCharType="end"/>
        </w:r>
      </w:hyperlink>
    </w:p>
    <w:p w14:paraId="12E9E011" w14:textId="28B3BE74" w:rsidR="00D17BC1" w:rsidRDefault="00D17BC1">
      <w:pPr>
        <w:pStyle w:val="TOC2"/>
        <w:rPr>
          <w:rFonts w:eastAsiaTheme="minorEastAsia"/>
          <w:noProof/>
          <w:kern w:val="2"/>
          <w:sz w:val="24"/>
          <w:lang w:eastAsia="en-AU"/>
          <w14:ligatures w14:val="standardContextual"/>
        </w:rPr>
      </w:pPr>
      <w:hyperlink w:anchor="_Toc239845164" w:history="1">
        <w:r w:rsidRPr="00192793">
          <w:rPr>
            <w:rStyle w:val="Hyperlink"/>
            <w:noProof/>
          </w:rPr>
          <w:t>6.3</w:t>
        </w:r>
        <w:r>
          <w:rPr>
            <w:rFonts w:eastAsiaTheme="minorEastAsia"/>
            <w:noProof/>
            <w:kern w:val="2"/>
            <w:sz w:val="24"/>
            <w:lang w:eastAsia="en-AU"/>
            <w14:ligatures w14:val="standardContextual"/>
          </w:rPr>
          <w:tab/>
        </w:r>
        <w:r w:rsidRPr="00192793">
          <w:rPr>
            <w:rStyle w:val="Hyperlink"/>
            <w:noProof/>
          </w:rPr>
          <w:t>Issues recommended for inclusion in Codes of Practice or guidance</w:t>
        </w:r>
        <w:r>
          <w:rPr>
            <w:noProof/>
            <w:webHidden/>
          </w:rPr>
          <w:tab/>
        </w:r>
        <w:r>
          <w:rPr>
            <w:noProof/>
            <w:webHidden/>
          </w:rPr>
          <w:fldChar w:fldCharType="begin"/>
        </w:r>
        <w:r>
          <w:rPr>
            <w:noProof/>
            <w:webHidden/>
          </w:rPr>
          <w:instrText xml:space="preserve"> PAGEREF _Toc239845164 \h </w:instrText>
        </w:r>
        <w:r>
          <w:rPr>
            <w:noProof/>
            <w:webHidden/>
          </w:rPr>
        </w:r>
        <w:r>
          <w:rPr>
            <w:noProof/>
            <w:webHidden/>
          </w:rPr>
          <w:fldChar w:fldCharType="separate"/>
        </w:r>
        <w:r>
          <w:rPr>
            <w:noProof/>
            <w:webHidden/>
          </w:rPr>
          <w:t>103</w:t>
        </w:r>
        <w:r>
          <w:rPr>
            <w:noProof/>
            <w:webHidden/>
          </w:rPr>
          <w:fldChar w:fldCharType="end"/>
        </w:r>
      </w:hyperlink>
    </w:p>
    <w:p w14:paraId="3145952A" w14:textId="5A258513" w:rsidR="00D17BC1" w:rsidRDefault="00D17BC1">
      <w:pPr>
        <w:pStyle w:val="TOC2"/>
        <w:rPr>
          <w:rFonts w:eastAsiaTheme="minorEastAsia"/>
          <w:noProof/>
          <w:kern w:val="2"/>
          <w:sz w:val="24"/>
          <w:lang w:eastAsia="en-AU"/>
          <w14:ligatures w14:val="standardContextual"/>
        </w:rPr>
      </w:pPr>
      <w:hyperlink w:anchor="_Toc239845165" w:history="1">
        <w:r w:rsidRPr="00192793">
          <w:rPr>
            <w:rStyle w:val="Hyperlink"/>
            <w:noProof/>
          </w:rPr>
          <w:t>6.4</w:t>
        </w:r>
        <w:r>
          <w:rPr>
            <w:rFonts w:eastAsiaTheme="minorEastAsia"/>
            <w:noProof/>
            <w:kern w:val="2"/>
            <w:sz w:val="24"/>
            <w:lang w:eastAsia="en-AU"/>
            <w14:ligatures w14:val="standardContextual"/>
          </w:rPr>
          <w:tab/>
        </w:r>
        <w:r w:rsidRPr="00192793">
          <w:rPr>
            <w:rStyle w:val="Hyperlink"/>
            <w:noProof/>
          </w:rPr>
          <w:t>Issues for further consideration</w:t>
        </w:r>
        <w:r>
          <w:rPr>
            <w:noProof/>
            <w:webHidden/>
          </w:rPr>
          <w:tab/>
        </w:r>
        <w:r>
          <w:rPr>
            <w:noProof/>
            <w:webHidden/>
          </w:rPr>
          <w:fldChar w:fldCharType="begin"/>
        </w:r>
        <w:r>
          <w:rPr>
            <w:noProof/>
            <w:webHidden/>
          </w:rPr>
          <w:instrText xml:space="preserve"> PAGEREF _Toc239845165 \h </w:instrText>
        </w:r>
        <w:r>
          <w:rPr>
            <w:noProof/>
            <w:webHidden/>
          </w:rPr>
        </w:r>
        <w:r>
          <w:rPr>
            <w:noProof/>
            <w:webHidden/>
          </w:rPr>
          <w:fldChar w:fldCharType="separate"/>
        </w:r>
        <w:r>
          <w:rPr>
            <w:noProof/>
            <w:webHidden/>
          </w:rPr>
          <w:t>104</w:t>
        </w:r>
        <w:r>
          <w:rPr>
            <w:noProof/>
            <w:webHidden/>
          </w:rPr>
          <w:fldChar w:fldCharType="end"/>
        </w:r>
      </w:hyperlink>
    </w:p>
    <w:p w14:paraId="55782D72" w14:textId="799085F6" w:rsidR="00D17BC1" w:rsidRDefault="00D17BC1">
      <w:pPr>
        <w:pStyle w:val="TOC1"/>
        <w:rPr>
          <w:rFonts w:eastAsiaTheme="minorEastAsia"/>
          <w:b w:val="0"/>
          <w:bCs w:val="0"/>
          <w:kern w:val="2"/>
          <w:sz w:val="24"/>
          <w:lang w:eastAsia="en-AU"/>
          <w14:ligatures w14:val="standardContextual"/>
        </w:rPr>
      </w:pPr>
      <w:hyperlink w:anchor="_Toc239845166" w:history="1">
        <w:r w:rsidRPr="00192793">
          <w:rPr>
            <w:rStyle w:val="Hyperlink"/>
          </w:rPr>
          <w:t>7.</w:t>
        </w:r>
        <w:r>
          <w:rPr>
            <w:rFonts w:eastAsiaTheme="minorEastAsia"/>
            <w:b w:val="0"/>
            <w:bCs w:val="0"/>
            <w:kern w:val="2"/>
            <w:sz w:val="24"/>
            <w:lang w:eastAsia="en-AU"/>
            <w14:ligatures w14:val="standardContextual"/>
          </w:rPr>
          <w:tab/>
        </w:r>
        <w:r w:rsidRPr="00192793">
          <w:rPr>
            <w:rStyle w:val="Hyperlink"/>
          </w:rPr>
          <w:t>The model WHS Regulations: modernisation project</w:t>
        </w:r>
        <w:r>
          <w:rPr>
            <w:webHidden/>
          </w:rPr>
          <w:tab/>
        </w:r>
        <w:r>
          <w:rPr>
            <w:webHidden/>
          </w:rPr>
          <w:fldChar w:fldCharType="begin"/>
        </w:r>
        <w:r>
          <w:rPr>
            <w:webHidden/>
          </w:rPr>
          <w:instrText xml:space="preserve"> PAGEREF _Toc239845166 \h </w:instrText>
        </w:r>
        <w:r>
          <w:rPr>
            <w:webHidden/>
          </w:rPr>
        </w:r>
        <w:r>
          <w:rPr>
            <w:webHidden/>
          </w:rPr>
          <w:fldChar w:fldCharType="separate"/>
        </w:r>
        <w:r>
          <w:rPr>
            <w:webHidden/>
          </w:rPr>
          <w:t>112</w:t>
        </w:r>
        <w:r>
          <w:rPr>
            <w:webHidden/>
          </w:rPr>
          <w:fldChar w:fldCharType="end"/>
        </w:r>
      </w:hyperlink>
    </w:p>
    <w:p w14:paraId="7E74494C" w14:textId="400B4791" w:rsidR="00D17BC1" w:rsidRDefault="00D17BC1">
      <w:pPr>
        <w:pStyle w:val="TOC2"/>
        <w:rPr>
          <w:rFonts w:eastAsiaTheme="minorEastAsia"/>
          <w:noProof/>
          <w:kern w:val="2"/>
          <w:sz w:val="24"/>
          <w:lang w:eastAsia="en-AU"/>
          <w14:ligatures w14:val="standardContextual"/>
        </w:rPr>
      </w:pPr>
      <w:hyperlink w:anchor="_Toc239845167" w:history="1">
        <w:r w:rsidRPr="00192793">
          <w:rPr>
            <w:rStyle w:val="Hyperlink"/>
            <w:noProof/>
          </w:rPr>
          <w:t>7.1</w:t>
        </w:r>
        <w:r>
          <w:rPr>
            <w:rFonts w:eastAsiaTheme="minorEastAsia"/>
            <w:noProof/>
            <w:kern w:val="2"/>
            <w:sz w:val="24"/>
            <w:lang w:eastAsia="en-AU"/>
            <w14:ligatures w14:val="standardContextual"/>
          </w:rPr>
          <w:tab/>
        </w:r>
        <w:r w:rsidRPr="00192793">
          <w:rPr>
            <w:rStyle w:val="Hyperlink"/>
            <w:noProof/>
          </w:rPr>
          <w:t>The model WHS Regulations: modernisation project</w:t>
        </w:r>
        <w:r>
          <w:rPr>
            <w:noProof/>
            <w:webHidden/>
          </w:rPr>
          <w:tab/>
        </w:r>
        <w:r>
          <w:rPr>
            <w:noProof/>
            <w:webHidden/>
          </w:rPr>
          <w:fldChar w:fldCharType="begin"/>
        </w:r>
        <w:r>
          <w:rPr>
            <w:noProof/>
            <w:webHidden/>
          </w:rPr>
          <w:instrText xml:space="preserve"> PAGEREF _Toc239845167 \h </w:instrText>
        </w:r>
        <w:r>
          <w:rPr>
            <w:noProof/>
            <w:webHidden/>
          </w:rPr>
        </w:r>
        <w:r>
          <w:rPr>
            <w:noProof/>
            <w:webHidden/>
          </w:rPr>
          <w:fldChar w:fldCharType="separate"/>
        </w:r>
        <w:r>
          <w:rPr>
            <w:noProof/>
            <w:webHidden/>
          </w:rPr>
          <w:t>112</w:t>
        </w:r>
        <w:r>
          <w:rPr>
            <w:noProof/>
            <w:webHidden/>
          </w:rPr>
          <w:fldChar w:fldCharType="end"/>
        </w:r>
      </w:hyperlink>
    </w:p>
    <w:p w14:paraId="4E2CF579" w14:textId="2C6A0E16" w:rsidR="00D17BC1" w:rsidRDefault="00D17BC1">
      <w:pPr>
        <w:pStyle w:val="TOC1"/>
        <w:rPr>
          <w:rFonts w:eastAsiaTheme="minorEastAsia"/>
          <w:b w:val="0"/>
          <w:bCs w:val="0"/>
          <w:kern w:val="2"/>
          <w:sz w:val="24"/>
          <w:lang w:eastAsia="en-AU"/>
          <w14:ligatures w14:val="standardContextual"/>
        </w:rPr>
      </w:pPr>
      <w:hyperlink w:anchor="_Toc239845168" w:history="1">
        <w:r w:rsidRPr="00192793">
          <w:rPr>
            <w:rStyle w:val="Hyperlink"/>
          </w:rPr>
          <w:t>8.</w:t>
        </w:r>
        <w:r>
          <w:rPr>
            <w:rFonts w:eastAsiaTheme="minorEastAsia"/>
            <w:b w:val="0"/>
            <w:bCs w:val="0"/>
            <w:kern w:val="2"/>
            <w:sz w:val="24"/>
            <w:lang w:eastAsia="en-AU"/>
            <w14:ligatures w14:val="standardContextual"/>
          </w:rPr>
          <w:tab/>
        </w:r>
        <w:r w:rsidRPr="00192793">
          <w:rPr>
            <w:rStyle w:val="Hyperlink"/>
          </w:rPr>
          <w:t>Environmental scan</w:t>
        </w:r>
        <w:r>
          <w:rPr>
            <w:webHidden/>
          </w:rPr>
          <w:tab/>
        </w:r>
        <w:r>
          <w:rPr>
            <w:webHidden/>
          </w:rPr>
          <w:fldChar w:fldCharType="begin"/>
        </w:r>
        <w:r>
          <w:rPr>
            <w:webHidden/>
          </w:rPr>
          <w:instrText xml:space="preserve"> PAGEREF _Toc239845168 \h </w:instrText>
        </w:r>
        <w:r>
          <w:rPr>
            <w:webHidden/>
          </w:rPr>
        </w:r>
        <w:r>
          <w:rPr>
            <w:webHidden/>
          </w:rPr>
          <w:fldChar w:fldCharType="separate"/>
        </w:r>
        <w:r>
          <w:rPr>
            <w:webHidden/>
          </w:rPr>
          <w:t>115</w:t>
        </w:r>
        <w:r>
          <w:rPr>
            <w:webHidden/>
          </w:rPr>
          <w:fldChar w:fldCharType="end"/>
        </w:r>
      </w:hyperlink>
    </w:p>
    <w:p w14:paraId="2DD20F61" w14:textId="7034EDCD" w:rsidR="00D17BC1" w:rsidRDefault="00D17BC1">
      <w:pPr>
        <w:pStyle w:val="TOC2"/>
        <w:rPr>
          <w:rFonts w:eastAsiaTheme="minorEastAsia"/>
          <w:noProof/>
          <w:kern w:val="2"/>
          <w:sz w:val="24"/>
          <w:lang w:eastAsia="en-AU"/>
          <w14:ligatures w14:val="standardContextual"/>
        </w:rPr>
      </w:pPr>
      <w:hyperlink w:anchor="_Toc239845169" w:history="1">
        <w:r w:rsidRPr="00192793">
          <w:rPr>
            <w:rStyle w:val="Hyperlink"/>
            <w:noProof/>
          </w:rPr>
          <w:t>8.1</w:t>
        </w:r>
        <w:r>
          <w:rPr>
            <w:rFonts w:eastAsiaTheme="minorEastAsia"/>
            <w:noProof/>
            <w:kern w:val="2"/>
            <w:sz w:val="24"/>
            <w:lang w:eastAsia="en-AU"/>
            <w14:ligatures w14:val="standardContextual"/>
          </w:rPr>
          <w:tab/>
        </w:r>
        <w:r w:rsidRPr="00192793">
          <w:rPr>
            <w:rStyle w:val="Hyperlink"/>
            <w:noProof/>
          </w:rPr>
          <w:t>Digital transformation of work and workplaces</w:t>
        </w:r>
        <w:r>
          <w:rPr>
            <w:noProof/>
            <w:webHidden/>
          </w:rPr>
          <w:tab/>
        </w:r>
        <w:r>
          <w:rPr>
            <w:noProof/>
            <w:webHidden/>
          </w:rPr>
          <w:fldChar w:fldCharType="begin"/>
        </w:r>
        <w:r>
          <w:rPr>
            <w:noProof/>
            <w:webHidden/>
          </w:rPr>
          <w:instrText xml:space="preserve"> PAGEREF _Toc239845169 \h </w:instrText>
        </w:r>
        <w:r>
          <w:rPr>
            <w:noProof/>
            <w:webHidden/>
          </w:rPr>
        </w:r>
        <w:r>
          <w:rPr>
            <w:noProof/>
            <w:webHidden/>
          </w:rPr>
          <w:fldChar w:fldCharType="separate"/>
        </w:r>
        <w:r>
          <w:rPr>
            <w:noProof/>
            <w:webHidden/>
          </w:rPr>
          <w:t>115</w:t>
        </w:r>
        <w:r>
          <w:rPr>
            <w:noProof/>
            <w:webHidden/>
          </w:rPr>
          <w:fldChar w:fldCharType="end"/>
        </w:r>
      </w:hyperlink>
    </w:p>
    <w:p w14:paraId="6EA4CFB5" w14:textId="7707E9C8" w:rsidR="00D17BC1" w:rsidRDefault="00D17BC1">
      <w:pPr>
        <w:pStyle w:val="TOC2"/>
        <w:rPr>
          <w:rFonts w:eastAsiaTheme="minorEastAsia"/>
          <w:noProof/>
          <w:kern w:val="2"/>
          <w:sz w:val="24"/>
          <w:lang w:eastAsia="en-AU"/>
          <w14:ligatures w14:val="standardContextual"/>
        </w:rPr>
      </w:pPr>
      <w:hyperlink w:anchor="_Toc239845170" w:history="1">
        <w:r w:rsidRPr="00192793">
          <w:rPr>
            <w:rStyle w:val="Hyperlink"/>
            <w:noProof/>
          </w:rPr>
          <w:t>8.2</w:t>
        </w:r>
        <w:r>
          <w:rPr>
            <w:rFonts w:eastAsiaTheme="minorEastAsia"/>
            <w:noProof/>
            <w:kern w:val="2"/>
            <w:sz w:val="24"/>
            <w:lang w:eastAsia="en-AU"/>
            <w14:ligatures w14:val="standardContextual"/>
          </w:rPr>
          <w:tab/>
        </w:r>
        <w:r w:rsidRPr="00192793">
          <w:rPr>
            <w:rStyle w:val="Hyperlink"/>
            <w:noProof/>
          </w:rPr>
          <w:t>Climate change</w:t>
        </w:r>
        <w:r>
          <w:rPr>
            <w:noProof/>
            <w:webHidden/>
          </w:rPr>
          <w:tab/>
        </w:r>
        <w:r>
          <w:rPr>
            <w:noProof/>
            <w:webHidden/>
          </w:rPr>
          <w:fldChar w:fldCharType="begin"/>
        </w:r>
        <w:r>
          <w:rPr>
            <w:noProof/>
            <w:webHidden/>
          </w:rPr>
          <w:instrText xml:space="preserve"> PAGEREF _Toc239845170 \h </w:instrText>
        </w:r>
        <w:r>
          <w:rPr>
            <w:noProof/>
            <w:webHidden/>
          </w:rPr>
        </w:r>
        <w:r>
          <w:rPr>
            <w:noProof/>
            <w:webHidden/>
          </w:rPr>
          <w:fldChar w:fldCharType="separate"/>
        </w:r>
        <w:r>
          <w:rPr>
            <w:noProof/>
            <w:webHidden/>
          </w:rPr>
          <w:t>122</w:t>
        </w:r>
        <w:r>
          <w:rPr>
            <w:noProof/>
            <w:webHidden/>
          </w:rPr>
          <w:fldChar w:fldCharType="end"/>
        </w:r>
      </w:hyperlink>
    </w:p>
    <w:p w14:paraId="43C139EE" w14:textId="7BE948B5" w:rsidR="00D17BC1" w:rsidRDefault="00D17BC1">
      <w:pPr>
        <w:pStyle w:val="TOC2"/>
        <w:rPr>
          <w:rFonts w:eastAsiaTheme="minorEastAsia"/>
          <w:noProof/>
          <w:kern w:val="2"/>
          <w:sz w:val="24"/>
          <w:lang w:eastAsia="en-AU"/>
          <w14:ligatures w14:val="standardContextual"/>
        </w:rPr>
      </w:pPr>
      <w:hyperlink w:anchor="_Toc239845171" w:history="1">
        <w:r w:rsidRPr="00192793">
          <w:rPr>
            <w:rStyle w:val="Hyperlink"/>
            <w:noProof/>
          </w:rPr>
          <w:t>8.3</w:t>
        </w:r>
        <w:r>
          <w:rPr>
            <w:rFonts w:eastAsiaTheme="minorEastAsia"/>
            <w:noProof/>
            <w:kern w:val="2"/>
            <w:sz w:val="24"/>
            <w:lang w:eastAsia="en-AU"/>
            <w14:ligatures w14:val="standardContextual"/>
          </w:rPr>
          <w:tab/>
        </w:r>
        <w:r w:rsidRPr="00192793">
          <w:rPr>
            <w:rStyle w:val="Hyperlink"/>
            <w:noProof/>
          </w:rPr>
          <w:t>Harmful workplace behaviours</w:t>
        </w:r>
        <w:r>
          <w:rPr>
            <w:noProof/>
            <w:webHidden/>
          </w:rPr>
          <w:tab/>
        </w:r>
        <w:r>
          <w:rPr>
            <w:noProof/>
            <w:webHidden/>
          </w:rPr>
          <w:fldChar w:fldCharType="begin"/>
        </w:r>
        <w:r>
          <w:rPr>
            <w:noProof/>
            <w:webHidden/>
          </w:rPr>
          <w:instrText xml:space="preserve"> PAGEREF _Toc239845171 \h </w:instrText>
        </w:r>
        <w:r>
          <w:rPr>
            <w:noProof/>
            <w:webHidden/>
          </w:rPr>
        </w:r>
        <w:r>
          <w:rPr>
            <w:noProof/>
            <w:webHidden/>
          </w:rPr>
          <w:fldChar w:fldCharType="separate"/>
        </w:r>
        <w:r>
          <w:rPr>
            <w:noProof/>
            <w:webHidden/>
          </w:rPr>
          <w:t>127</w:t>
        </w:r>
        <w:r>
          <w:rPr>
            <w:noProof/>
            <w:webHidden/>
          </w:rPr>
          <w:fldChar w:fldCharType="end"/>
        </w:r>
      </w:hyperlink>
    </w:p>
    <w:p w14:paraId="66D83DF2" w14:textId="25FE9E60" w:rsidR="00D17BC1" w:rsidRDefault="00D17BC1">
      <w:pPr>
        <w:pStyle w:val="TOC1"/>
        <w:rPr>
          <w:rFonts w:eastAsiaTheme="minorEastAsia"/>
          <w:b w:val="0"/>
          <w:bCs w:val="0"/>
          <w:kern w:val="2"/>
          <w:sz w:val="24"/>
          <w:lang w:eastAsia="en-AU"/>
          <w14:ligatures w14:val="standardContextual"/>
        </w:rPr>
      </w:pPr>
      <w:hyperlink w:anchor="_Toc239845172" w:history="1">
        <w:r w:rsidRPr="00192793">
          <w:rPr>
            <w:rStyle w:val="Hyperlink"/>
          </w:rPr>
          <w:t>Appendix A: Communiqué – Meeting of WHS ministers 18 September 202</w:t>
        </w:r>
        <w:r w:rsidRPr="00192793">
          <w:rPr>
            <w:rStyle w:val="Hyperlink"/>
            <w:iCs/>
          </w:rPr>
          <w:t>4</w:t>
        </w:r>
        <w:r>
          <w:rPr>
            <w:webHidden/>
          </w:rPr>
          <w:tab/>
        </w:r>
        <w:r>
          <w:rPr>
            <w:webHidden/>
          </w:rPr>
          <w:fldChar w:fldCharType="begin"/>
        </w:r>
        <w:r>
          <w:rPr>
            <w:webHidden/>
          </w:rPr>
          <w:instrText xml:space="preserve"> PAGEREF _Toc239845172 \h </w:instrText>
        </w:r>
        <w:r>
          <w:rPr>
            <w:webHidden/>
          </w:rPr>
        </w:r>
        <w:r>
          <w:rPr>
            <w:webHidden/>
          </w:rPr>
          <w:fldChar w:fldCharType="separate"/>
        </w:r>
        <w:r>
          <w:rPr>
            <w:webHidden/>
          </w:rPr>
          <w:t>132</w:t>
        </w:r>
        <w:r>
          <w:rPr>
            <w:webHidden/>
          </w:rPr>
          <w:fldChar w:fldCharType="end"/>
        </w:r>
      </w:hyperlink>
    </w:p>
    <w:p w14:paraId="10CD48A1" w14:textId="2EC1CC75" w:rsidR="00D17BC1" w:rsidRDefault="00D17BC1">
      <w:pPr>
        <w:pStyle w:val="TOC1"/>
        <w:rPr>
          <w:rFonts w:eastAsiaTheme="minorEastAsia"/>
          <w:b w:val="0"/>
          <w:bCs w:val="0"/>
          <w:kern w:val="2"/>
          <w:sz w:val="24"/>
          <w:lang w:eastAsia="en-AU"/>
          <w14:ligatures w14:val="standardContextual"/>
        </w:rPr>
      </w:pPr>
      <w:hyperlink w:anchor="_Toc239845173" w:history="1">
        <w:r w:rsidRPr="00192793">
          <w:rPr>
            <w:rStyle w:val="Hyperlink"/>
          </w:rPr>
          <w:t>Appendix B: Terms of Reference</w:t>
        </w:r>
        <w:r>
          <w:rPr>
            <w:webHidden/>
          </w:rPr>
          <w:tab/>
        </w:r>
        <w:r>
          <w:rPr>
            <w:webHidden/>
          </w:rPr>
          <w:fldChar w:fldCharType="begin"/>
        </w:r>
        <w:r>
          <w:rPr>
            <w:webHidden/>
          </w:rPr>
          <w:instrText xml:space="preserve"> PAGEREF _Toc239845173 \h </w:instrText>
        </w:r>
        <w:r>
          <w:rPr>
            <w:webHidden/>
          </w:rPr>
        </w:r>
        <w:r>
          <w:rPr>
            <w:webHidden/>
          </w:rPr>
          <w:fldChar w:fldCharType="separate"/>
        </w:r>
        <w:r>
          <w:rPr>
            <w:webHidden/>
          </w:rPr>
          <w:t>133</w:t>
        </w:r>
        <w:r>
          <w:rPr>
            <w:webHidden/>
          </w:rPr>
          <w:fldChar w:fldCharType="end"/>
        </w:r>
      </w:hyperlink>
    </w:p>
    <w:p w14:paraId="2E68088E" w14:textId="749D3156" w:rsidR="00D17BC1" w:rsidRDefault="00D17BC1">
      <w:pPr>
        <w:pStyle w:val="TOC1"/>
        <w:rPr>
          <w:rFonts w:eastAsiaTheme="minorEastAsia"/>
          <w:b w:val="0"/>
          <w:bCs w:val="0"/>
          <w:kern w:val="2"/>
          <w:sz w:val="24"/>
          <w:lang w:eastAsia="en-AU"/>
          <w14:ligatures w14:val="standardContextual"/>
        </w:rPr>
      </w:pPr>
      <w:hyperlink w:anchor="_Toc239845174" w:history="1">
        <w:r w:rsidRPr="00192793">
          <w:rPr>
            <w:rStyle w:val="Hyperlink"/>
          </w:rPr>
          <w:t>Appendix C: Overlapping safety frameworks</w:t>
        </w:r>
        <w:r>
          <w:rPr>
            <w:webHidden/>
          </w:rPr>
          <w:tab/>
        </w:r>
        <w:r>
          <w:rPr>
            <w:webHidden/>
          </w:rPr>
          <w:fldChar w:fldCharType="begin"/>
        </w:r>
        <w:r>
          <w:rPr>
            <w:webHidden/>
          </w:rPr>
          <w:instrText xml:space="preserve"> PAGEREF _Toc239845174 \h </w:instrText>
        </w:r>
        <w:r>
          <w:rPr>
            <w:webHidden/>
          </w:rPr>
        </w:r>
        <w:r>
          <w:rPr>
            <w:webHidden/>
          </w:rPr>
          <w:fldChar w:fldCharType="separate"/>
        </w:r>
        <w:r>
          <w:rPr>
            <w:webHidden/>
          </w:rPr>
          <w:t>135</w:t>
        </w:r>
        <w:r>
          <w:rPr>
            <w:webHidden/>
          </w:rPr>
          <w:fldChar w:fldCharType="end"/>
        </w:r>
      </w:hyperlink>
    </w:p>
    <w:p w14:paraId="681CEEAC" w14:textId="7711F442" w:rsidR="00D17BC1" w:rsidRDefault="00D17BC1">
      <w:pPr>
        <w:pStyle w:val="TOC1"/>
        <w:rPr>
          <w:rFonts w:eastAsiaTheme="minorEastAsia"/>
          <w:b w:val="0"/>
          <w:bCs w:val="0"/>
          <w:kern w:val="2"/>
          <w:sz w:val="24"/>
          <w:lang w:eastAsia="en-AU"/>
          <w14:ligatures w14:val="standardContextual"/>
        </w:rPr>
      </w:pPr>
      <w:hyperlink w:anchor="_Toc239845175" w:history="1">
        <w:r w:rsidRPr="00192793">
          <w:rPr>
            <w:rStyle w:val="Hyperlink"/>
          </w:rPr>
          <w:t>Appendix D: Consultation, representation and participation</w:t>
        </w:r>
        <w:r>
          <w:rPr>
            <w:webHidden/>
          </w:rPr>
          <w:tab/>
        </w:r>
        <w:r>
          <w:rPr>
            <w:webHidden/>
          </w:rPr>
          <w:fldChar w:fldCharType="begin"/>
        </w:r>
        <w:r>
          <w:rPr>
            <w:webHidden/>
          </w:rPr>
          <w:instrText xml:space="preserve"> PAGEREF _Toc239845175 \h </w:instrText>
        </w:r>
        <w:r>
          <w:rPr>
            <w:webHidden/>
          </w:rPr>
        </w:r>
        <w:r>
          <w:rPr>
            <w:webHidden/>
          </w:rPr>
          <w:fldChar w:fldCharType="separate"/>
        </w:r>
        <w:r>
          <w:rPr>
            <w:webHidden/>
          </w:rPr>
          <w:t>142</w:t>
        </w:r>
        <w:r>
          <w:rPr>
            <w:webHidden/>
          </w:rPr>
          <w:fldChar w:fldCharType="end"/>
        </w:r>
      </w:hyperlink>
    </w:p>
    <w:p w14:paraId="38FD3A71" w14:textId="21C9C66C" w:rsidR="00D17BC1" w:rsidRDefault="00D17BC1">
      <w:pPr>
        <w:pStyle w:val="TOC1"/>
        <w:rPr>
          <w:rFonts w:eastAsiaTheme="minorEastAsia"/>
          <w:b w:val="0"/>
          <w:bCs w:val="0"/>
          <w:kern w:val="2"/>
          <w:sz w:val="24"/>
          <w:lang w:eastAsia="en-AU"/>
          <w14:ligatures w14:val="standardContextual"/>
        </w:rPr>
      </w:pPr>
      <w:hyperlink w:anchor="_Toc239845176" w:history="1">
        <w:r w:rsidRPr="00192793">
          <w:rPr>
            <w:rStyle w:val="Hyperlink"/>
          </w:rPr>
          <w:t>Appendix E: Compliance and enforcement</w:t>
        </w:r>
        <w:r>
          <w:rPr>
            <w:webHidden/>
          </w:rPr>
          <w:tab/>
        </w:r>
        <w:r>
          <w:rPr>
            <w:webHidden/>
          </w:rPr>
          <w:fldChar w:fldCharType="begin"/>
        </w:r>
        <w:r>
          <w:rPr>
            <w:webHidden/>
          </w:rPr>
          <w:instrText xml:space="preserve"> PAGEREF _Toc239845176 \h </w:instrText>
        </w:r>
        <w:r>
          <w:rPr>
            <w:webHidden/>
          </w:rPr>
        </w:r>
        <w:r>
          <w:rPr>
            <w:webHidden/>
          </w:rPr>
          <w:fldChar w:fldCharType="separate"/>
        </w:r>
        <w:r>
          <w:rPr>
            <w:webHidden/>
          </w:rPr>
          <w:t>144</w:t>
        </w:r>
        <w:r>
          <w:rPr>
            <w:webHidden/>
          </w:rPr>
          <w:fldChar w:fldCharType="end"/>
        </w:r>
      </w:hyperlink>
    </w:p>
    <w:p w14:paraId="65B7C17D" w14:textId="7BFF8BE8" w:rsidR="00D17BC1" w:rsidRDefault="00D17BC1">
      <w:pPr>
        <w:pStyle w:val="TOC1"/>
        <w:rPr>
          <w:rFonts w:eastAsiaTheme="minorEastAsia"/>
          <w:b w:val="0"/>
          <w:bCs w:val="0"/>
          <w:kern w:val="2"/>
          <w:sz w:val="24"/>
          <w:lang w:eastAsia="en-AU"/>
          <w14:ligatures w14:val="standardContextual"/>
        </w:rPr>
      </w:pPr>
      <w:hyperlink w:anchor="_Toc239845177" w:history="1">
        <w:r w:rsidRPr="00192793">
          <w:rPr>
            <w:rStyle w:val="Hyperlink"/>
          </w:rPr>
          <w:t>Appendix F: The model WHS Regulations: variations</w:t>
        </w:r>
        <w:r>
          <w:rPr>
            <w:webHidden/>
          </w:rPr>
          <w:tab/>
        </w:r>
        <w:r>
          <w:rPr>
            <w:webHidden/>
          </w:rPr>
          <w:fldChar w:fldCharType="begin"/>
        </w:r>
        <w:r>
          <w:rPr>
            <w:webHidden/>
          </w:rPr>
          <w:instrText xml:space="preserve"> PAGEREF _Toc239845177 \h </w:instrText>
        </w:r>
        <w:r>
          <w:rPr>
            <w:webHidden/>
          </w:rPr>
        </w:r>
        <w:r>
          <w:rPr>
            <w:webHidden/>
          </w:rPr>
          <w:fldChar w:fldCharType="separate"/>
        </w:r>
        <w:r>
          <w:rPr>
            <w:webHidden/>
          </w:rPr>
          <w:t>146</w:t>
        </w:r>
        <w:r>
          <w:rPr>
            <w:webHidden/>
          </w:rPr>
          <w:fldChar w:fldCharType="end"/>
        </w:r>
      </w:hyperlink>
    </w:p>
    <w:p w14:paraId="5586BA57" w14:textId="4E478D09" w:rsidR="00D17BC1" w:rsidRDefault="00D17BC1">
      <w:pPr>
        <w:pStyle w:val="TOC1"/>
        <w:rPr>
          <w:rFonts w:eastAsiaTheme="minorEastAsia"/>
          <w:b w:val="0"/>
          <w:bCs w:val="0"/>
          <w:kern w:val="2"/>
          <w:sz w:val="24"/>
          <w:lang w:eastAsia="en-AU"/>
          <w14:ligatures w14:val="standardContextual"/>
        </w:rPr>
      </w:pPr>
      <w:hyperlink w:anchor="_Toc239845178" w:history="1">
        <w:r w:rsidRPr="00192793">
          <w:rPr>
            <w:rStyle w:val="Hyperlink"/>
          </w:rPr>
          <w:t>Appendix G: The model WHS Regulations: modernisation project</w:t>
        </w:r>
        <w:r>
          <w:rPr>
            <w:webHidden/>
          </w:rPr>
          <w:tab/>
        </w:r>
        <w:r>
          <w:rPr>
            <w:webHidden/>
          </w:rPr>
          <w:fldChar w:fldCharType="begin"/>
        </w:r>
        <w:r>
          <w:rPr>
            <w:webHidden/>
          </w:rPr>
          <w:instrText xml:space="preserve"> PAGEREF _Toc239845178 \h </w:instrText>
        </w:r>
        <w:r>
          <w:rPr>
            <w:webHidden/>
          </w:rPr>
        </w:r>
        <w:r>
          <w:rPr>
            <w:webHidden/>
          </w:rPr>
          <w:fldChar w:fldCharType="separate"/>
        </w:r>
        <w:r>
          <w:rPr>
            <w:webHidden/>
          </w:rPr>
          <w:t>147</w:t>
        </w:r>
        <w:r>
          <w:rPr>
            <w:webHidden/>
          </w:rPr>
          <w:fldChar w:fldCharType="end"/>
        </w:r>
      </w:hyperlink>
    </w:p>
    <w:p w14:paraId="2CA784F5" w14:textId="07D2D72F" w:rsidR="00D17BC1" w:rsidRDefault="00D17BC1">
      <w:pPr>
        <w:pStyle w:val="TOC1"/>
        <w:rPr>
          <w:rFonts w:eastAsiaTheme="minorEastAsia"/>
          <w:b w:val="0"/>
          <w:bCs w:val="0"/>
          <w:kern w:val="2"/>
          <w:sz w:val="24"/>
          <w:lang w:eastAsia="en-AU"/>
          <w14:ligatures w14:val="standardContextual"/>
        </w:rPr>
      </w:pPr>
      <w:hyperlink w:anchor="_Toc239845179" w:history="1">
        <w:r w:rsidRPr="00192793">
          <w:rPr>
            <w:rStyle w:val="Hyperlink"/>
          </w:rPr>
          <w:t>Appendix H: Key terms</w:t>
        </w:r>
        <w:r>
          <w:rPr>
            <w:webHidden/>
          </w:rPr>
          <w:tab/>
        </w:r>
        <w:r>
          <w:rPr>
            <w:webHidden/>
          </w:rPr>
          <w:fldChar w:fldCharType="begin"/>
        </w:r>
        <w:r>
          <w:rPr>
            <w:webHidden/>
          </w:rPr>
          <w:instrText xml:space="preserve"> PAGEREF _Toc239845179 \h </w:instrText>
        </w:r>
        <w:r>
          <w:rPr>
            <w:webHidden/>
          </w:rPr>
        </w:r>
        <w:r>
          <w:rPr>
            <w:webHidden/>
          </w:rPr>
          <w:fldChar w:fldCharType="separate"/>
        </w:r>
        <w:r>
          <w:rPr>
            <w:webHidden/>
          </w:rPr>
          <w:t>149</w:t>
        </w:r>
        <w:r>
          <w:rPr>
            <w:webHidden/>
          </w:rPr>
          <w:fldChar w:fldCharType="end"/>
        </w:r>
      </w:hyperlink>
    </w:p>
    <w:p w14:paraId="31A46D51" w14:textId="149435BC" w:rsidR="00D17BC1" w:rsidRDefault="00D17BC1">
      <w:pPr>
        <w:pStyle w:val="TOC1"/>
        <w:rPr>
          <w:rFonts w:eastAsiaTheme="minorEastAsia"/>
          <w:b w:val="0"/>
          <w:bCs w:val="0"/>
          <w:kern w:val="2"/>
          <w:sz w:val="24"/>
          <w:lang w:eastAsia="en-AU"/>
          <w14:ligatures w14:val="standardContextual"/>
        </w:rPr>
      </w:pPr>
      <w:hyperlink w:anchor="_Toc239845180" w:history="1">
        <w:r w:rsidRPr="00192793">
          <w:rPr>
            <w:rStyle w:val="Hyperlink"/>
          </w:rPr>
          <w:t>Appendix I: Data insights</w:t>
        </w:r>
        <w:r>
          <w:rPr>
            <w:webHidden/>
          </w:rPr>
          <w:tab/>
        </w:r>
        <w:r>
          <w:rPr>
            <w:webHidden/>
          </w:rPr>
          <w:fldChar w:fldCharType="begin"/>
        </w:r>
        <w:r>
          <w:rPr>
            <w:webHidden/>
          </w:rPr>
          <w:instrText xml:space="preserve"> PAGEREF _Toc239845180 \h </w:instrText>
        </w:r>
        <w:r>
          <w:rPr>
            <w:webHidden/>
          </w:rPr>
        </w:r>
        <w:r>
          <w:rPr>
            <w:webHidden/>
          </w:rPr>
          <w:fldChar w:fldCharType="separate"/>
        </w:r>
        <w:r>
          <w:rPr>
            <w:webHidden/>
          </w:rPr>
          <w:t>157</w:t>
        </w:r>
        <w:r>
          <w:rPr>
            <w:webHidden/>
          </w:rPr>
          <w:fldChar w:fldCharType="end"/>
        </w:r>
      </w:hyperlink>
    </w:p>
    <w:p w14:paraId="0C028CC1" w14:textId="2B621DA9" w:rsidR="00D17BC1" w:rsidRDefault="00D17BC1">
      <w:pPr>
        <w:pStyle w:val="TOC1"/>
        <w:rPr>
          <w:rFonts w:eastAsiaTheme="minorEastAsia"/>
          <w:b w:val="0"/>
          <w:bCs w:val="0"/>
          <w:kern w:val="2"/>
          <w:sz w:val="24"/>
          <w:lang w:eastAsia="en-AU"/>
          <w14:ligatures w14:val="standardContextual"/>
        </w:rPr>
      </w:pPr>
      <w:hyperlink w:anchor="_Toc239845181" w:history="1">
        <w:r w:rsidRPr="00192793">
          <w:rPr>
            <w:rStyle w:val="Hyperlink"/>
          </w:rPr>
          <w:t>Appendix J: Best Practice Review survey responses</w:t>
        </w:r>
        <w:r>
          <w:rPr>
            <w:webHidden/>
          </w:rPr>
          <w:tab/>
        </w:r>
        <w:r>
          <w:rPr>
            <w:webHidden/>
          </w:rPr>
          <w:fldChar w:fldCharType="begin"/>
        </w:r>
        <w:r>
          <w:rPr>
            <w:webHidden/>
          </w:rPr>
          <w:instrText xml:space="preserve"> PAGEREF _Toc239845181 \h </w:instrText>
        </w:r>
        <w:r>
          <w:rPr>
            <w:webHidden/>
          </w:rPr>
        </w:r>
        <w:r>
          <w:rPr>
            <w:webHidden/>
          </w:rPr>
          <w:fldChar w:fldCharType="separate"/>
        </w:r>
        <w:r>
          <w:rPr>
            <w:webHidden/>
          </w:rPr>
          <w:t>169</w:t>
        </w:r>
        <w:r>
          <w:rPr>
            <w:webHidden/>
          </w:rPr>
          <w:fldChar w:fldCharType="end"/>
        </w:r>
      </w:hyperlink>
    </w:p>
    <w:p w14:paraId="58DE70CC" w14:textId="41F1F18D" w:rsidR="00D17BC1" w:rsidRDefault="00D17BC1">
      <w:pPr>
        <w:pStyle w:val="TOC1"/>
        <w:rPr>
          <w:rFonts w:eastAsiaTheme="minorEastAsia"/>
          <w:b w:val="0"/>
          <w:bCs w:val="0"/>
          <w:kern w:val="2"/>
          <w:sz w:val="24"/>
          <w:lang w:eastAsia="en-AU"/>
          <w14:ligatures w14:val="standardContextual"/>
        </w:rPr>
      </w:pPr>
      <w:hyperlink w:anchor="_Toc239845182" w:history="1">
        <w:r w:rsidRPr="00192793">
          <w:rPr>
            <w:rStyle w:val="Hyperlink"/>
          </w:rPr>
          <w:t>Appendix K: Case Law</w:t>
        </w:r>
        <w:r>
          <w:rPr>
            <w:webHidden/>
          </w:rPr>
          <w:tab/>
        </w:r>
        <w:r>
          <w:rPr>
            <w:webHidden/>
          </w:rPr>
          <w:fldChar w:fldCharType="begin"/>
        </w:r>
        <w:r>
          <w:rPr>
            <w:webHidden/>
          </w:rPr>
          <w:instrText xml:space="preserve"> PAGEREF _Toc239845182 \h </w:instrText>
        </w:r>
        <w:r>
          <w:rPr>
            <w:webHidden/>
          </w:rPr>
        </w:r>
        <w:r>
          <w:rPr>
            <w:webHidden/>
          </w:rPr>
          <w:fldChar w:fldCharType="separate"/>
        </w:r>
        <w:r>
          <w:rPr>
            <w:webHidden/>
          </w:rPr>
          <w:t>187</w:t>
        </w:r>
        <w:r>
          <w:rPr>
            <w:webHidden/>
          </w:rPr>
          <w:fldChar w:fldCharType="end"/>
        </w:r>
      </w:hyperlink>
    </w:p>
    <w:p w14:paraId="689A3426" w14:textId="36532212" w:rsidR="00D17BC1" w:rsidRDefault="00D17BC1">
      <w:pPr>
        <w:pStyle w:val="TOC1"/>
        <w:rPr>
          <w:rFonts w:eastAsiaTheme="minorEastAsia"/>
          <w:b w:val="0"/>
          <w:bCs w:val="0"/>
          <w:kern w:val="2"/>
          <w:sz w:val="24"/>
          <w:lang w:eastAsia="en-AU"/>
          <w14:ligatures w14:val="standardContextual"/>
        </w:rPr>
      </w:pPr>
      <w:hyperlink w:anchor="_Toc239845183" w:history="1">
        <w:r w:rsidRPr="00192793">
          <w:rPr>
            <w:rStyle w:val="Hyperlink"/>
          </w:rPr>
          <w:t>Appendix L: Commencing a prosecution</w:t>
        </w:r>
        <w:r>
          <w:rPr>
            <w:webHidden/>
          </w:rPr>
          <w:tab/>
        </w:r>
        <w:r>
          <w:rPr>
            <w:webHidden/>
          </w:rPr>
          <w:fldChar w:fldCharType="begin"/>
        </w:r>
        <w:r>
          <w:rPr>
            <w:webHidden/>
          </w:rPr>
          <w:instrText xml:space="preserve"> PAGEREF _Toc239845183 \h </w:instrText>
        </w:r>
        <w:r>
          <w:rPr>
            <w:webHidden/>
          </w:rPr>
        </w:r>
        <w:r>
          <w:rPr>
            <w:webHidden/>
          </w:rPr>
          <w:fldChar w:fldCharType="separate"/>
        </w:r>
        <w:r>
          <w:rPr>
            <w:webHidden/>
          </w:rPr>
          <w:t>191</w:t>
        </w:r>
        <w:r>
          <w:rPr>
            <w:webHidden/>
          </w:rPr>
          <w:fldChar w:fldCharType="end"/>
        </w:r>
      </w:hyperlink>
    </w:p>
    <w:p w14:paraId="7ECF812C" w14:textId="24B7DF9A" w:rsidR="00D17BC1" w:rsidRDefault="00D17BC1">
      <w:pPr>
        <w:pStyle w:val="TOC1"/>
        <w:rPr>
          <w:rFonts w:eastAsiaTheme="minorEastAsia"/>
          <w:b w:val="0"/>
          <w:bCs w:val="0"/>
          <w:kern w:val="2"/>
          <w:sz w:val="24"/>
          <w:lang w:eastAsia="en-AU"/>
          <w14:ligatures w14:val="standardContextual"/>
        </w:rPr>
      </w:pPr>
      <w:hyperlink w:anchor="_Toc239845184" w:history="1">
        <w:r w:rsidRPr="00192793">
          <w:rPr>
            <w:rStyle w:val="Hyperlink"/>
          </w:rPr>
          <w:t>Appendix M: Review submissions and consultations</w:t>
        </w:r>
        <w:r>
          <w:rPr>
            <w:webHidden/>
          </w:rPr>
          <w:tab/>
        </w:r>
        <w:r>
          <w:rPr>
            <w:webHidden/>
          </w:rPr>
          <w:fldChar w:fldCharType="begin"/>
        </w:r>
        <w:r>
          <w:rPr>
            <w:webHidden/>
          </w:rPr>
          <w:instrText xml:space="preserve"> PAGEREF _Toc239845184 \h </w:instrText>
        </w:r>
        <w:r>
          <w:rPr>
            <w:webHidden/>
          </w:rPr>
        </w:r>
        <w:r>
          <w:rPr>
            <w:webHidden/>
          </w:rPr>
          <w:fldChar w:fldCharType="separate"/>
        </w:r>
        <w:r>
          <w:rPr>
            <w:webHidden/>
          </w:rPr>
          <w:t>192</w:t>
        </w:r>
        <w:r>
          <w:rPr>
            <w:webHidden/>
          </w:rPr>
          <w:fldChar w:fldCharType="end"/>
        </w:r>
      </w:hyperlink>
    </w:p>
    <w:p w14:paraId="334A9C3C" w14:textId="799B8059" w:rsidR="00C06885" w:rsidRDefault="00C06885" w:rsidP="009810C6">
      <w:pPr>
        <w:spacing w:after="100"/>
        <w:contextualSpacing w:val="0"/>
        <w:rPr>
          <w:b/>
          <w:noProof/>
        </w:rPr>
      </w:pPr>
      <w:r>
        <w:rPr>
          <w:rFonts w:asciiTheme="minorHAnsi" w:hAnsiTheme="minorHAnsi"/>
          <w:noProof/>
        </w:rPr>
        <w:fldChar w:fldCharType="end"/>
      </w:r>
    </w:p>
    <w:p w14:paraId="3690047C" w14:textId="77777777" w:rsidR="002309E3" w:rsidRDefault="002309E3">
      <w:pPr>
        <w:spacing w:after="200" w:line="276" w:lineRule="auto"/>
        <w:contextualSpacing w:val="0"/>
        <w:rPr>
          <w:b/>
          <w:noProof/>
        </w:rPr>
        <w:sectPr w:rsidR="002309E3" w:rsidSect="00DF1707">
          <w:headerReference w:type="default" r:id="rId20"/>
          <w:footerReference w:type="default" r:id="rId21"/>
          <w:headerReference w:type="first" r:id="rId22"/>
          <w:pgSz w:w="11906" w:h="16838" w:code="9"/>
          <w:pgMar w:top="1440" w:right="1080" w:bottom="1440" w:left="1080" w:header="709" w:footer="709" w:gutter="0"/>
          <w:cols w:space="708"/>
          <w:titlePg/>
          <w:docGrid w:linePitch="360"/>
        </w:sectPr>
      </w:pPr>
    </w:p>
    <w:p w14:paraId="0E81C657" w14:textId="5B68D3F7" w:rsidR="002309E3" w:rsidRPr="00635849" w:rsidRDefault="002309E3" w:rsidP="002309E3">
      <w:pPr>
        <w:pStyle w:val="SWAHeading1"/>
        <w:numPr>
          <w:ilvl w:val="0"/>
          <w:numId w:val="0"/>
        </w:numPr>
        <w:rPr>
          <w:noProof/>
          <w:color w:val="FFFFFF" w:themeColor="background1"/>
        </w:rPr>
      </w:pPr>
      <w:bookmarkStart w:id="3" w:name="_Toc239845136"/>
      <w:r w:rsidRPr="00635849">
        <w:rPr>
          <w:noProof/>
          <w:color w:val="FFFFFF" w:themeColor="background1"/>
        </w:rPr>
        <w:lastRenderedPageBreak/>
        <w:t xml:space="preserve">Executive </w:t>
      </w:r>
      <w:r w:rsidR="0092215B">
        <w:rPr>
          <w:noProof/>
          <w:color w:val="FFFFFF" w:themeColor="background1"/>
        </w:rPr>
        <w:t>s</w:t>
      </w:r>
      <w:r w:rsidRPr="00635849">
        <w:rPr>
          <w:noProof/>
          <w:color w:val="FFFFFF" w:themeColor="background1"/>
        </w:rPr>
        <w:t>ummary</w:t>
      </w:r>
      <w:bookmarkEnd w:id="3"/>
    </w:p>
    <w:p w14:paraId="054548E5" w14:textId="03D25CFE" w:rsidR="009E3BAE" w:rsidRPr="000F1DE6" w:rsidRDefault="009E3BAE" w:rsidP="009E3BAE">
      <w:pPr>
        <w:pStyle w:val="Paragraph"/>
      </w:pPr>
      <w:r w:rsidRPr="000F1DE6">
        <w:t>Safe Work Australia is pleased to present its best practice review of the model work health and safety (WHS) laws (</w:t>
      </w:r>
      <w:r>
        <w:t>this</w:t>
      </w:r>
      <w:r w:rsidRPr="000F1DE6">
        <w:t xml:space="preserve"> Review). In line with its </w:t>
      </w:r>
      <w:r>
        <w:t>T</w:t>
      </w:r>
      <w:r w:rsidRPr="000F1DE6">
        <w:t xml:space="preserve">erms of </w:t>
      </w:r>
      <w:r>
        <w:t>R</w:t>
      </w:r>
      <w:r w:rsidRPr="000F1DE6">
        <w:t>eference, th</w:t>
      </w:r>
      <w:r>
        <w:t>is</w:t>
      </w:r>
      <w:r w:rsidRPr="000F1DE6">
        <w:t xml:space="preserve"> Review has considered the model laws in the context of seeking to strengthen and maintain a harmonised approach. It also examined jurisdictional variations that could be considered for adoption nationally.</w:t>
      </w:r>
    </w:p>
    <w:p w14:paraId="4E0A30B6" w14:textId="77777777" w:rsidR="002309E3" w:rsidRPr="000804E7" w:rsidRDefault="002309E3" w:rsidP="002309E3">
      <w:pPr>
        <w:pStyle w:val="Paragraph"/>
      </w:pPr>
      <w:r w:rsidRPr="000804E7">
        <w:t>On 1 February 2008, Ministers of the Workplace Relations Ministers’ Council (WRMC) agreed that model legislation would be the most effective way to harmonise health and safety laws for all of Australia.</w:t>
      </w:r>
    </w:p>
    <w:p w14:paraId="77FBA6CE" w14:textId="77777777" w:rsidR="009E3BAE" w:rsidRPr="000F1DE6" w:rsidRDefault="009E3BAE" w:rsidP="009E3BAE">
      <w:pPr>
        <w:pStyle w:val="Paragraph"/>
      </w:pPr>
      <w:r w:rsidRPr="000F1DE6">
        <w:t xml:space="preserve">In July 2008, the Council of Australian Governments (COAG) signed an </w:t>
      </w:r>
      <w:r w:rsidRPr="00292914">
        <w:t>intergovernmenta</w:t>
      </w:r>
      <w:r w:rsidRPr="00C719DA">
        <w:t>l agreement</w:t>
      </w:r>
      <w:r w:rsidRPr="000F1DE6">
        <w:t xml:space="preserve"> setting out how the Commonwealth, states and territories would achieve this goal.</w:t>
      </w:r>
    </w:p>
    <w:p w14:paraId="0C3B343C" w14:textId="77777777" w:rsidR="002309E3" w:rsidRDefault="002309E3" w:rsidP="002309E3">
      <w:pPr>
        <w:pStyle w:val="Paragraph"/>
      </w:pPr>
      <w:r w:rsidRPr="000804E7">
        <w:t xml:space="preserve">The agreement </w:t>
      </w:r>
      <w:r>
        <w:t>created and implemented</w:t>
      </w:r>
      <w:r w:rsidRPr="000804E7">
        <w:t>:</w:t>
      </w:r>
    </w:p>
    <w:p w14:paraId="564F9DF7" w14:textId="77777777" w:rsidR="002309E3" w:rsidRPr="000804E7" w:rsidRDefault="002309E3" w:rsidP="006D27D8">
      <w:pPr>
        <w:pStyle w:val="ListBullet"/>
      </w:pPr>
      <w:r w:rsidRPr="000804E7">
        <w:t>a model Act and model Regulations</w:t>
      </w:r>
    </w:p>
    <w:p w14:paraId="476BE119" w14:textId="77777777" w:rsidR="009E3BAE" w:rsidRPr="000F1DE6" w:rsidRDefault="009E3BAE" w:rsidP="006D27D8">
      <w:pPr>
        <w:pStyle w:val="ListBullet"/>
      </w:pPr>
      <w:r w:rsidRPr="000F1DE6">
        <w:t>model Codes of Practice</w:t>
      </w:r>
    </w:p>
    <w:p w14:paraId="10A76A28" w14:textId="77777777" w:rsidR="009E3BAE" w:rsidRPr="000F1DE6" w:rsidRDefault="009E3BAE" w:rsidP="006D27D8">
      <w:pPr>
        <w:pStyle w:val="ListBullet"/>
      </w:pPr>
      <w:r w:rsidRPr="000F1DE6">
        <w:t>a National Compliance and Enforcement Policy (NCEP)</w:t>
      </w:r>
    </w:p>
    <w:p w14:paraId="01A02D7E" w14:textId="77777777" w:rsidR="002309E3" w:rsidRPr="000804E7" w:rsidRDefault="002309E3" w:rsidP="006D27D8">
      <w:pPr>
        <w:pStyle w:val="ListBullet"/>
      </w:pPr>
      <w:r w:rsidRPr="000804E7">
        <w:t>an independent body to drive the model laws’ development and implementation</w:t>
      </w:r>
      <w:r>
        <w:t xml:space="preserve"> (Safe Work Australia).</w:t>
      </w:r>
    </w:p>
    <w:p w14:paraId="321EA61B" w14:textId="77777777" w:rsidR="00F21CE3" w:rsidRDefault="002309E3" w:rsidP="002309E3">
      <w:pPr>
        <w:pStyle w:val="Paragraph"/>
      </w:pPr>
      <w:r w:rsidRPr="000804E7">
        <w:t>These are the pillars of harmonisation.</w:t>
      </w:r>
    </w:p>
    <w:p w14:paraId="431F646E" w14:textId="77777777" w:rsidR="00F21CE3" w:rsidRDefault="002309E3" w:rsidP="002309E3">
      <w:pPr>
        <w:pStyle w:val="Paragraph"/>
      </w:pPr>
      <w:r w:rsidRPr="000804E7">
        <w:t>This Review makes recommendations to strengthen</w:t>
      </w:r>
      <w:r>
        <w:t xml:space="preserve"> the role of</w:t>
      </w:r>
      <w:r w:rsidRPr="000804E7">
        <w:t xml:space="preserve"> each of them</w:t>
      </w:r>
      <w:r>
        <w:t xml:space="preserve"> in maintaining harmonisation</w:t>
      </w:r>
      <w:r w:rsidRPr="000804E7">
        <w:t>.</w:t>
      </w:r>
    </w:p>
    <w:p w14:paraId="4C63A9B6" w14:textId="77777777" w:rsidR="00F21CE3" w:rsidRDefault="002309E3" w:rsidP="002309E3">
      <w:pPr>
        <w:pStyle w:val="Paragraph"/>
      </w:pPr>
      <w:r w:rsidRPr="000804E7">
        <w:t xml:space="preserve">Over the last 12 </w:t>
      </w:r>
      <w:r w:rsidRPr="00827EDB">
        <w:t>months, we’ve consulted</w:t>
      </w:r>
      <w:r w:rsidRPr="000804E7">
        <w:t xml:space="preserve"> widely in line with our </w:t>
      </w:r>
      <w:r w:rsidR="009E3BAE">
        <w:t>T</w:t>
      </w:r>
      <w:r w:rsidR="009E3BAE" w:rsidRPr="000F1DE6">
        <w:t>erms</w:t>
      </w:r>
      <w:r w:rsidRPr="000804E7">
        <w:t xml:space="preserve"> of </w:t>
      </w:r>
      <w:r w:rsidR="009E3BAE">
        <w:t>R</w:t>
      </w:r>
      <w:r w:rsidR="009E3BAE" w:rsidRPr="000F1DE6">
        <w:t>eference</w:t>
      </w:r>
      <w:r w:rsidRPr="000804E7">
        <w:t>, hearing directly from workers, families</w:t>
      </w:r>
      <w:r>
        <w:t xml:space="preserve"> affected by workplace fatalities</w:t>
      </w:r>
      <w:r w:rsidRPr="000804E7">
        <w:t>, businesses, unions, peak bodies, community groups, inspectors, experts, prosecutors and judges across Australia; and learned a tremendous amount about how the model WHS laws are working (and how they can be improved). We’re incredibly grateful to all those who gave generously of their time to meet with us and help explain how things look from their corner of the WHS system.</w:t>
      </w:r>
    </w:p>
    <w:p w14:paraId="5B5D0D4F" w14:textId="265CACF3" w:rsidR="002309E3" w:rsidRPr="000804E7" w:rsidRDefault="002309E3" w:rsidP="002309E3">
      <w:pPr>
        <w:pStyle w:val="Paragraph"/>
      </w:pPr>
      <w:r w:rsidRPr="000804E7">
        <w:t xml:space="preserve">A clear message from consultation is that harmonisation continues to be strongly supported by industry, unions, regulators and the broader WHS </w:t>
      </w:r>
      <w:r w:rsidRPr="00E85641">
        <w:t xml:space="preserve">community. </w:t>
      </w:r>
      <w:r w:rsidR="009E3BAE" w:rsidRPr="000F1DE6">
        <w:t>Since the enactment of the principles</w:t>
      </w:r>
      <w:r w:rsidR="009E3BAE" w:rsidRPr="000F1DE6">
        <w:noBreakHyphen/>
        <w:t>based approach contained in the model WHS Act (2012)</w:t>
      </w:r>
      <w:r w:rsidR="009E3BAE">
        <w:t>,</w:t>
      </w:r>
      <w:r w:rsidR="009E3BAE" w:rsidRPr="000F1DE6">
        <w:t xml:space="preserve"> there have been significant declines in work</w:t>
      </w:r>
      <w:r w:rsidR="009E3BAE" w:rsidRPr="000F1DE6">
        <w:noBreakHyphen/>
        <w:t xml:space="preserve">related fatalities, which a stakeholder described as </w:t>
      </w:r>
      <w:r w:rsidR="009E3BAE">
        <w:t>‘</w:t>
      </w:r>
      <w:r w:rsidR="009E3BAE" w:rsidRPr="000F1DE6">
        <w:t>one of the greatest public policy successes in Australia in the last 20 years</w:t>
      </w:r>
      <w:r w:rsidR="009E3BAE">
        <w:t>’</w:t>
      </w:r>
      <w:r w:rsidR="009E3BAE" w:rsidRPr="000F1DE6">
        <w:t>.</w:t>
      </w:r>
    </w:p>
    <w:p w14:paraId="1520DD20" w14:textId="13C8E4D1" w:rsidR="00F21CE3" w:rsidRDefault="002309E3" w:rsidP="002309E3">
      <w:pPr>
        <w:pStyle w:val="Paragraph"/>
      </w:pPr>
      <w:r w:rsidRPr="5BD9D930">
        <w:t xml:space="preserve">The harmonisation project </w:t>
      </w:r>
      <w:r>
        <w:t xml:space="preserve">was one of 27 areas of </w:t>
      </w:r>
      <w:r w:rsidRPr="00827EDB">
        <w:t>regulatory reform that</w:t>
      </w:r>
      <w:r>
        <w:t xml:space="preserve"> COAG agreed to in 2008 with </w:t>
      </w:r>
      <w:r w:rsidRPr="5BD9D930">
        <w:t>the objective of reducing compliance and regulatory costs for employers.</w:t>
      </w:r>
    </w:p>
    <w:p w14:paraId="44F4ADDC" w14:textId="77777777" w:rsidR="00F21CE3" w:rsidRDefault="002309E3" w:rsidP="002309E3">
      <w:pPr>
        <w:pStyle w:val="Paragraph"/>
      </w:pPr>
      <w:r w:rsidRPr="5BD9D930">
        <w:t>Businesses remain strongly supportive of maintaining and strengthening harmonisation</w:t>
      </w:r>
      <w:r>
        <w:t xml:space="preserve"> within that context</w:t>
      </w:r>
      <w:r w:rsidRPr="5BD9D930">
        <w:t>.</w:t>
      </w:r>
    </w:p>
    <w:p w14:paraId="4F169821" w14:textId="28CFBF90" w:rsidR="00635849" w:rsidRDefault="00635849">
      <w:pPr>
        <w:spacing w:after="200" w:line="276" w:lineRule="auto"/>
        <w:contextualSpacing w:val="0"/>
        <w:rPr>
          <w:rFonts w:asciiTheme="minorHAnsi" w:eastAsia="Times New Roman" w:hAnsiTheme="minorHAnsi"/>
          <w:lang w:eastAsia="en-AU"/>
        </w:rPr>
      </w:pPr>
      <w:r>
        <w:br w:type="page"/>
      </w:r>
    </w:p>
    <w:p w14:paraId="2402BCFF" w14:textId="77777777" w:rsidR="00F21CE3" w:rsidRDefault="009E3BAE" w:rsidP="00F66AA4">
      <w:pPr>
        <w:pStyle w:val="Paragraph"/>
      </w:pPr>
      <w:r w:rsidRPr="000F1DE6">
        <w:lastRenderedPageBreak/>
        <w:t xml:space="preserve">The last major review of the model WHS laws in 2018 </w:t>
      </w:r>
      <w:r>
        <w:t>(</w:t>
      </w:r>
      <w:r w:rsidRPr="00842F46">
        <w:rPr>
          <w:i/>
          <w:iCs/>
        </w:rPr>
        <w:t>2018 National Review</w:t>
      </w:r>
      <w:r>
        <w:t xml:space="preserve">) </w:t>
      </w:r>
      <w:r w:rsidRPr="000F1DE6">
        <w:t xml:space="preserve">found that they were operating as intended but warned </w:t>
      </w:r>
      <w:r w:rsidRPr="00407244">
        <w:t>‘</w:t>
      </w:r>
      <w:r w:rsidRPr="00AC1858">
        <w:t>if the harmonisation objective is to be sustained into the future, it is critical that all jurisdictions commit to it</w:t>
      </w:r>
      <w:r w:rsidRPr="00407244">
        <w:t>’</w:t>
      </w:r>
      <w:r w:rsidRPr="000F1DE6">
        <w:t>.</w:t>
      </w:r>
      <w:r w:rsidRPr="006B0C98">
        <w:rPr>
          <w:vertAlign w:val="superscript"/>
        </w:rPr>
        <w:footnoteReference w:id="1"/>
      </w:r>
      <w:r>
        <w:t xml:space="preserve"> </w:t>
      </w:r>
      <w:r w:rsidRPr="000F1DE6">
        <w:t>However, variations continue to be enacted across the jurisdictions, and Victoria remains outside of the model framework.</w:t>
      </w:r>
    </w:p>
    <w:p w14:paraId="1AD3417C" w14:textId="77777777" w:rsidR="00F21CE3" w:rsidRDefault="009E3BAE" w:rsidP="00F66AA4">
      <w:pPr>
        <w:pStyle w:val="Paragraph"/>
      </w:pPr>
      <w:r w:rsidRPr="000F1DE6">
        <w:t>This Review is recommending changes that will strengthen the model WHS framework, including updating Safe Work Australia’s governance arrangements and reframing model Codes of Practice as National Codes which will apply automatically once agreed. As a starting point, to support the continued work being done to strengthen and maintain harmonisation, th</w:t>
      </w:r>
      <w:r>
        <w:t>is</w:t>
      </w:r>
      <w:r w:rsidRPr="000F1DE6">
        <w:t xml:space="preserve"> Review is recommending that WHS ministers recommit to harmonisation and the objectives of the model laws.</w:t>
      </w:r>
    </w:p>
    <w:p w14:paraId="22980415" w14:textId="18193A03" w:rsidR="009E3BAE" w:rsidRPr="000F1DE6" w:rsidRDefault="009E3BAE" w:rsidP="00F66AA4">
      <w:pPr>
        <w:pStyle w:val="Paragraph"/>
      </w:pPr>
      <w:r w:rsidRPr="000F1DE6">
        <w:t>Th</w:t>
      </w:r>
      <w:r>
        <w:t>is</w:t>
      </w:r>
      <w:r w:rsidRPr="000F1DE6">
        <w:t xml:space="preserve"> Review identifies several actions which will support harmonisation that do not require agreement by WHS ministers to implement. Safe Work Australia Members have agreed to action these immediately, including developing an annual scorecard highlighting jurisdictional variations and creating </w:t>
      </w:r>
      <w:r w:rsidRPr="00C719DA">
        <w:t>new Strategic Interest Groups</w:t>
      </w:r>
      <w:r w:rsidRPr="000F1DE6">
        <w:t xml:space="preserve"> to focus on compliance and enforcement and the reduction of work-related fatalities.</w:t>
      </w:r>
    </w:p>
    <w:p w14:paraId="3CE14C48" w14:textId="77777777" w:rsidR="009E3BAE" w:rsidRPr="000F1DE6" w:rsidRDefault="009E3BAE" w:rsidP="00F66AA4">
      <w:pPr>
        <w:pStyle w:val="Paragraph"/>
      </w:pPr>
      <w:r w:rsidRPr="000F1DE6">
        <w:t xml:space="preserve">One of the strongest messages from the </w:t>
      </w:r>
      <w:r w:rsidRPr="00842F46">
        <w:rPr>
          <w:i/>
          <w:iCs/>
        </w:rPr>
        <w:t>2018 National Review</w:t>
      </w:r>
      <w:r w:rsidRPr="000F1DE6">
        <w:t xml:space="preserve"> was that ‘regulators are not consistently implementing the model WHS laws</w:t>
      </w:r>
      <w:r>
        <w:t>’</w:t>
      </w:r>
      <w:r w:rsidRPr="000F1DE6">
        <w:t>.</w:t>
      </w:r>
      <w:r w:rsidR="006B0C98" w:rsidRPr="006B0C98">
        <w:rPr>
          <w:vertAlign w:val="superscript"/>
        </w:rPr>
        <w:footnoteReference w:id="2"/>
      </w:r>
      <w:r w:rsidRPr="000F1DE6">
        <w:rPr>
          <w:vertAlign w:val="superscript"/>
        </w:rPr>
        <w:t> </w:t>
      </w:r>
      <w:r w:rsidRPr="000F1DE6">
        <w:t>It recommended reviewing the NCEP to include transparent decision</w:t>
      </w:r>
      <w:r w:rsidRPr="000F1DE6">
        <w:noBreakHyphen/>
        <w:t>making frameworks for inspectors and regulators to promote national consistency. This work was never completed and</w:t>
      </w:r>
      <w:r>
        <w:t>,</w:t>
      </w:r>
      <w:r w:rsidRPr="000F1DE6">
        <w:t xml:space="preserve"> from what this Review heard, compliance and enforcement inconsistency continues to be a concern. The NCEP is a key pillar of the harmonised system, but in recent years </w:t>
      </w:r>
      <w:r>
        <w:t xml:space="preserve">it </w:t>
      </w:r>
      <w:r w:rsidRPr="000F1DE6">
        <w:t xml:space="preserve">appears not to have been operating as such. This Review therefore recommends </w:t>
      </w:r>
      <w:r>
        <w:t xml:space="preserve">that </w:t>
      </w:r>
      <w:r w:rsidRPr="000F1DE6">
        <w:t xml:space="preserve">a new NCEP </w:t>
      </w:r>
      <w:r>
        <w:t xml:space="preserve">be </w:t>
      </w:r>
      <w:r w:rsidRPr="000F1DE6">
        <w:t>written to support consistency.</w:t>
      </w:r>
    </w:p>
    <w:p w14:paraId="2A3837E8" w14:textId="2B04C2DB" w:rsidR="006B0C98" w:rsidRPr="006B0C98" w:rsidRDefault="006B0C98" w:rsidP="00F66AA4">
      <w:pPr>
        <w:pStyle w:val="Paragraph"/>
      </w:pPr>
      <w:r w:rsidRPr="006B0C98">
        <w:t xml:space="preserve">As required by its Terms of Reference, the Review examined significant jurisdictional variations and made recommendations on whether they incorporate a best practice approach </w:t>
      </w:r>
      <w:r w:rsidRPr="00FA3A87">
        <w:t xml:space="preserve">and therefore </w:t>
      </w:r>
      <w:r w:rsidR="00FA3A87">
        <w:t xml:space="preserve">should </w:t>
      </w:r>
      <w:r w:rsidRPr="00FA3A87">
        <w:t>be</w:t>
      </w:r>
      <w:r w:rsidRPr="006B0C98">
        <w:t xml:space="preserve"> included in the model WHS laws. A threshold question for every variation was ‘Does it meet the objects of the model </w:t>
      </w:r>
      <w:r w:rsidRPr="00FA3A87">
        <w:t>WHS Act?’ The</w:t>
      </w:r>
      <w:r w:rsidRPr="006B0C98">
        <w:t xml:space="preserve"> Review considers adopting the recommended variations identified in this report will deliver a best practice and harmonised approach.</w:t>
      </w:r>
    </w:p>
    <w:p w14:paraId="22593CB6" w14:textId="098D7BE3" w:rsidR="00F21CE3" w:rsidRDefault="009E3BAE" w:rsidP="00F66AA4">
      <w:pPr>
        <w:pStyle w:val="Paragraph"/>
      </w:pPr>
      <w:r w:rsidRPr="000F1DE6">
        <w:t xml:space="preserve">Since 2018, the nature of work and workplaces has undergone significant change. There have also been several reviews of jurisdictional WHS laws. This Review has therefore not only considered harmonisation and variations to the model </w:t>
      </w:r>
      <w:r w:rsidRPr="00FA3A87">
        <w:t>laws</w:t>
      </w:r>
      <w:r w:rsidR="006B0C98" w:rsidRPr="00FA3A87">
        <w:t>,</w:t>
      </w:r>
      <w:r w:rsidRPr="00FA3A87">
        <w:t xml:space="preserve"> but also these other reviews</w:t>
      </w:r>
      <w:r w:rsidR="006B0C98" w:rsidRPr="00FA3A87">
        <w:t xml:space="preserve"> and</w:t>
      </w:r>
      <w:r w:rsidR="006B0C98" w:rsidRPr="006B0C98">
        <w:t xml:space="preserve"> the ongoing capacity of the model laws to respond to current and emerging workplace challenges.</w:t>
      </w:r>
    </w:p>
    <w:p w14:paraId="09EBF0FE" w14:textId="5894ABA4" w:rsidR="00F21CE3" w:rsidRDefault="009E3BAE" w:rsidP="00F66AA4">
      <w:pPr>
        <w:pStyle w:val="Paragraph"/>
      </w:pPr>
      <w:r w:rsidRPr="000F1DE6">
        <w:t>In 2022</w:t>
      </w:r>
      <w:r>
        <w:t>,</w:t>
      </w:r>
      <w:r w:rsidR="002309E3" w:rsidRPr="000804E7">
        <w:t xml:space="preserve"> new model WHS Regulations were introduced to </w:t>
      </w:r>
      <w:r w:rsidR="002309E3">
        <w:t xml:space="preserve">manage </w:t>
      </w:r>
      <w:r w:rsidR="002309E3" w:rsidRPr="000804E7">
        <w:t xml:space="preserve">psychosocial </w:t>
      </w:r>
      <w:r w:rsidR="002309E3" w:rsidRPr="00FA3A87">
        <w:t>hazards which have dramatically</w:t>
      </w:r>
      <w:r w:rsidR="002309E3" w:rsidRPr="000804E7">
        <w:t xml:space="preserve"> increased awareness and understanding of work-related mental health risks. This has led to a new focus on the WHS framework as the primary set of laws for managing risks from harmful behaviours such as racism, occupational violence, harassment and other forms of discrimination.</w:t>
      </w:r>
    </w:p>
    <w:p w14:paraId="6A40DDAE" w14:textId="547AE68F" w:rsidR="002309E3" w:rsidRPr="000804E7" w:rsidRDefault="002309E3" w:rsidP="00F66AA4">
      <w:pPr>
        <w:pStyle w:val="Paragraph"/>
      </w:pPr>
      <w:r w:rsidRPr="000804E7">
        <w:t xml:space="preserve">The environmental context has also changed. In 2022, the International Labor Organization (ILO) amended the </w:t>
      </w:r>
      <w:r w:rsidRPr="00FE6D65">
        <w:rPr>
          <w:i/>
          <w:iCs/>
        </w:rPr>
        <w:t>Declaration on Fundamental Principles and Rights at Work</w:t>
      </w:r>
      <w:r w:rsidRPr="00FA3A87">
        <w:rPr>
          <w:i/>
          <w:iCs/>
        </w:rPr>
        <w:t xml:space="preserve"> </w:t>
      </w:r>
      <w:r w:rsidRPr="00FA3A87">
        <w:t>to</w:t>
      </w:r>
      <w:r w:rsidRPr="000804E7">
        <w:t xml:space="preserve"> recognise the fundamental right to a safe and healthy working environment. Australia is a founding member of the ILO and one of only 28 countries to ratify all 10 fundamental conventions. </w:t>
      </w:r>
      <w:r>
        <w:t>One of the</w:t>
      </w:r>
      <w:r w:rsidRPr="000804E7">
        <w:t xml:space="preserve"> model WHS </w:t>
      </w:r>
      <w:r>
        <w:t xml:space="preserve">Act’s </w:t>
      </w:r>
      <w:r w:rsidRPr="000804E7">
        <w:t>core premise</w:t>
      </w:r>
      <w:r>
        <w:t>s</w:t>
      </w:r>
      <w:r w:rsidRPr="000804E7">
        <w:t xml:space="preserve"> is that all workers have a fundamental right to a healthy and safe working environment free from the risk of death, illness or injury</w:t>
      </w:r>
      <w:r w:rsidR="009E3BAE">
        <w:t>,</w:t>
      </w:r>
      <w:r w:rsidR="009E3BAE" w:rsidRPr="000F1DE6">
        <w:t xml:space="preserve"> with elimination or minimisation of risk a priority. </w:t>
      </w:r>
      <w:r>
        <w:t>Consistent with a rights</w:t>
      </w:r>
      <w:r w:rsidR="009E3BAE">
        <w:noBreakHyphen/>
      </w:r>
      <w:r>
        <w:t>based approach</w:t>
      </w:r>
      <w:r w:rsidR="009E3BAE">
        <w:t>,</w:t>
      </w:r>
      <w:r w:rsidR="009E3BAE" w:rsidRPr="000F1DE6">
        <w:t xml:space="preserve"> it</w:t>
      </w:r>
      <w:r w:rsidR="009E3BAE">
        <w:t>:</w:t>
      </w:r>
    </w:p>
    <w:p w14:paraId="55854B07" w14:textId="77777777" w:rsidR="009E3BAE" w:rsidRPr="000F1DE6" w:rsidRDefault="009E3BAE" w:rsidP="00BF204D">
      <w:pPr>
        <w:pStyle w:val="ListBullet"/>
      </w:pPr>
      <w:r w:rsidRPr="000F1DE6">
        <w:t>empowers workers with the right to be consulted, participate in safety decisions and cease unsafe work</w:t>
      </w:r>
      <w:r w:rsidR="006B0C98" w:rsidRPr="006B0C98">
        <w:t>, and</w:t>
      </w:r>
    </w:p>
    <w:p w14:paraId="16CEA0B9" w14:textId="4BBF307E" w:rsidR="0016789A" w:rsidRPr="0016789A" w:rsidRDefault="002309E3" w:rsidP="0016789A">
      <w:pPr>
        <w:pStyle w:val="ListBullet"/>
      </w:pPr>
      <w:r w:rsidRPr="000804E7">
        <w:t>provid</w:t>
      </w:r>
      <w:r>
        <w:t>es</w:t>
      </w:r>
      <w:r w:rsidRPr="000804E7">
        <w:t xml:space="preserve"> legal protections against discrimination or adverse action for exercising these rights.</w:t>
      </w:r>
      <w:r w:rsidR="0016789A">
        <w:br w:type="page"/>
      </w:r>
    </w:p>
    <w:p w14:paraId="0E63B0CA" w14:textId="77777777" w:rsidR="00F21CE3" w:rsidRDefault="009E3BAE" w:rsidP="00F66AA4">
      <w:pPr>
        <w:pStyle w:val="Paragraph"/>
      </w:pPr>
      <w:r w:rsidRPr="000F1DE6">
        <w:lastRenderedPageBreak/>
        <w:t xml:space="preserve">It is crucial that we support businesses to comply with the model WHS laws and this Review makes several recommendations </w:t>
      </w:r>
      <w:r w:rsidRPr="00C719DA">
        <w:t>for which industry and businesses have been advocating</w:t>
      </w:r>
      <w:r w:rsidRPr="000F1DE6">
        <w:t xml:space="preserve"> for many years. These include developing industry-based </w:t>
      </w:r>
      <w:r>
        <w:t>C</w:t>
      </w:r>
      <w:r w:rsidRPr="000F1DE6">
        <w:t xml:space="preserve">odes of </w:t>
      </w:r>
      <w:r>
        <w:t>P</w:t>
      </w:r>
      <w:r w:rsidRPr="000F1DE6">
        <w:t>ractice, ‘deeming’ that compliance with a Code fulfils an employer’s duties to the extent the Code deals with a safety matter (which is intended to address the call particularly from small business to ‘tell us what to do’), and comprehensively reviewing the model WHS Regulations.</w:t>
      </w:r>
    </w:p>
    <w:p w14:paraId="58302AB4" w14:textId="20B2FB62" w:rsidR="009E3BAE" w:rsidRPr="000F1DE6" w:rsidRDefault="009E3BAE" w:rsidP="00F66AA4">
      <w:pPr>
        <w:pStyle w:val="Paragraph"/>
      </w:pPr>
      <w:r w:rsidRPr="000F1DE6">
        <w:t>Th</w:t>
      </w:r>
      <w:r>
        <w:t>is</w:t>
      </w:r>
      <w:r w:rsidRPr="000F1DE6">
        <w:t xml:space="preserve"> Review welcomes the announcement by the Commonwealth Treasurer in May 2026 that the Australian Government will make all mandatory Australian standards free, including across construction and occupational health and safety. </w:t>
      </w:r>
      <w:r w:rsidR="006B0C98" w:rsidRPr="006B0C98">
        <w:t>Business has consistently advocated for free standards</w:t>
      </w:r>
      <w:r w:rsidR="0092215B">
        <w:t>,</w:t>
      </w:r>
      <w:r w:rsidR="006B0C98" w:rsidRPr="006B0C98">
        <w:t xml:space="preserve"> as has Safe Work Australia,</w:t>
      </w:r>
      <w:r w:rsidRPr="000F1DE6">
        <w:t xml:space="preserve"> and many individuals and organisations </w:t>
      </w:r>
      <w:r w:rsidR="00FA3A87">
        <w:t xml:space="preserve">that </w:t>
      </w:r>
      <w:r w:rsidRPr="000F1DE6">
        <w:t>made submissions to th</w:t>
      </w:r>
      <w:r>
        <w:t>is</w:t>
      </w:r>
      <w:r w:rsidRPr="000F1DE6">
        <w:t xml:space="preserve"> Review.</w:t>
      </w:r>
    </w:p>
    <w:p w14:paraId="1133818F" w14:textId="704D84F5" w:rsidR="00F21CE3" w:rsidRDefault="009E3BAE" w:rsidP="00F66AA4">
      <w:pPr>
        <w:pStyle w:val="Paragraph"/>
      </w:pPr>
      <w:r w:rsidRPr="000F1DE6">
        <w:t>Th</w:t>
      </w:r>
      <w:r>
        <w:t>is</w:t>
      </w:r>
      <w:r w:rsidR="002309E3" w:rsidRPr="00A7054E">
        <w:t xml:space="preserve"> Review </w:t>
      </w:r>
      <w:r w:rsidR="002309E3">
        <w:t>received significant</w:t>
      </w:r>
      <w:r w:rsidR="002309E3" w:rsidRPr="00A7054E">
        <w:t xml:space="preserve"> feedback about major trends impacting Australian workplaces. </w:t>
      </w:r>
      <w:r w:rsidR="002309E3">
        <w:t>A</w:t>
      </w:r>
      <w:r w:rsidR="002309E3" w:rsidRPr="00A7054E">
        <w:t>rtificial intelligence</w:t>
      </w:r>
      <w:r w:rsidR="002309E3">
        <w:t xml:space="preserve"> (AI) is transforming the way </w:t>
      </w:r>
      <w:r w:rsidR="002309E3" w:rsidRPr="00FA3A87">
        <w:t>we work</w:t>
      </w:r>
      <w:r w:rsidR="006B0C98" w:rsidRPr="00FA3A87">
        <w:t>,</w:t>
      </w:r>
      <w:r w:rsidR="002309E3" w:rsidRPr="00FA3A87">
        <w:t xml:space="preserve"> introducing both new methods for improving WHS</w:t>
      </w:r>
      <w:r w:rsidR="006B0C98" w:rsidRPr="00FA3A87">
        <w:t>, and new hazards.</w:t>
      </w:r>
    </w:p>
    <w:p w14:paraId="51ED810A" w14:textId="77777777" w:rsidR="00F21CE3" w:rsidRDefault="002309E3" w:rsidP="00F66AA4">
      <w:pPr>
        <w:pStyle w:val="Paragraph"/>
      </w:pPr>
      <w:r>
        <w:t>The impacts of climate change are exacerbating risks associated with extreme weather</w:t>
      </w:r>
      <w:r w:rsidRPr="00A7054E">
        <w:t>.</w:t>
      </w:r>
    </w:p>
    <w:p w14:paraId="7CB28112" w14:textId="77777777" w:rsidR="00F21CE3" w:rsidRDefault="002309E3" w:rsidP="00F66AA4">
      <w:pPr>
        <w:pStyle w:val="Paragraph"/>
      </w:pPr>
      <w:r>
        <w:t xml:space="preserve">There is increased attention being paid to harmful behaviours such as harassment, violence and racism within a </w:t>
      </w:r>
      <w:r w:rsidR="009E3BAE" w:rsidRPr="00C719DA">
        <w:t>WHS</w:t>
      </w:r>
      <w:r>
        <w:t xml:space="preserve"> context.</w:t>
      </w:r>
    </w:p>
    <w:p w14:paraId="34D19950" w14:textId="1F7C4011" w:rsidR="009E3BAE" w:rsidRPr="000F1DE6" w:rsidRDefault="009E3BAE" w:rsidP="00F66AA4">
      <w:pPr>
        <w:pStyle w:val="Paragraph"/>
      </w:pPr>
      <w:r w:rsidRPr="000F1DE6">
        <w:t>While the principles-based model WHS laws are well</w:t>
      </w:r>
      <w:r>
        <w:t xml:space="preserve"> </w:t>
      </w:r>
      <w:r w:rsidRPr="000F1DE6">
        <w:t xml:space="preserve">placed to regulate these challenges, this Review is recommending </w:t>
      </w:r>
      <w:r w:rsidR="006B0C98" w:rsidRPr="006B0C98">
        <w:t>new strategies be developed specifically to deal with AI, climate change and harmful behaviours.</w:t>
      </w:r>
    </w:p>
    <w:p w14:paraId="67F354E5" w14:textId="77777777" w:rsidR="006B0C98" w:rsidRPr="006B0C98" w:rsidRDefault="006B0C98" w:rsidP="00F66AA4">
      <w:pPr>
        <w:pStyle w:val="Paragraph"/>
      </w:pPr>
      <w:r w:rsidRPr="006B0C98">
        <w:t>Safe Work Australia is looking forward to working with its Members and WHS ministers as they consider these important reforms which the Review considers will go a long way towards strengthening and maintaining harmonisation and ensuring the model WHS laws adequately regulate emerging and persistent workplace risks and hazards.</w:t>
      </w:r>
    </w:p>
    <w:p w14:paraId="231273A8" w14:textId="77777777" w:rsidR="001C2B13" w:rsidRDefault="001C2B13" w:rsidP="002309E3">
      <w:pPr>
        <w:pStyle w:val="Paragraph"/>
        <w:rPr>
          <w:noProof/>
        </w:rPr>
      </w:pPr>
    </w:p>
    <w:p w14:paraId="032CE0B4" w14:textId="77777777" w:rsidR="002309E3" w:rsidRDefault="002309E3" w:rsidP="002309E3">
      <w:pPr>
        <w:pStyle w:val="Paragraph"/>
        <w:sectPr w:rsidR="002309E3" w:rsidSect="00DF1707">
          <w:headerReference w:type="default" r:id="rId23"/>
          <w:footerReference w:type="default" r:id="rId24"/>
          <w:headerReference w:type="first" r:id="rId25"/>
          <w:footerReference w:type="first" r:id="rId26"/>
          <w:pgSz w:w="11906" w:h="16838" w:code="9"/>
          <w:pgMar w:top="1440" w:right="1080" w:bottom="1418" w:left="1080" w:header="709" w:footer="709" w:gutter="0"/>
          <w:cols w:space="708"/>
          <w:titlePg/>
          <w:docGrid w:linePitch="360"/>
        </w:sectPr>
      </w:pPr>
    </w:p>
    <w:p w14:paraId="1F0D1871" w14:textId="60E1B58A" w:rsidR="00FB5F0A" w:rsidRPr="00635849" w:rsidRDefault="00E9508B" w:rsidP="002309E3">
      <w:pPr>
        <w:pStyle w:val="SWAHeading1"/>
        <w:numPr>
          <w:ilvl w:val="0"/>
          <w:numId w:val="0"/>
        </w:numPr>
        <w:rPr>
          <w:noProof/>
          <w:color w:val="FFFFFF" w:themeColor="background1"/>
        </w:rPr>
      </w:pPr>
      <w:bookmarkStart w:id="4" w:name="_Toc239845137"/>
      <w:r w:rsidRPr="00635849">
        <w:rPr>
          <w:noProof/>
          <w:color w:val="FFFFFF" w:themeColor="background1"/>
        </w:rPr>
        <w:lastRenderedPageBreak/>
        <w:t>Recommendations</w:t>
      </w:r>
      <w:bookmarkEnd w:id="4"/>
    </w:p>
    <w:tbl>
      <w:tblPr>
        <w:tblStyle w:val="Style3"/>
        <w:tblW w:w="0" w:type="auto"/>
        <w:tblLook w:val="04A0" w:firstRow="1" w:lastRow="0" w:firstColumn="1" w:lastColumn="0" w:noHBand="0" w:noVBand="1"/>
      </w:tblPr>
      <w:tblGrid>
        <w:gridCol w:w="9736"/>
      </w:tblGrid>
      <w:tr w:rsidR="00D95E34" w:rsidRPr="00B81622" w14:paraId="3AEE2AA5" w14:textId="77777777" w:rsidTr="006C7872">
        <w:trPr>
          <w:cnfStyle w:val="100000000000" w:firstRow="1" w:lastRow="0" w:firstColumn="0" w:lastColumn="0" w:oddVBand="0" w:evenVBand="0" w:oddHBand="0" w:evenHBand="0" w:firstRowFirstColumn="0" w:firstRowLastColumn="0" w:lastRowFirstColumn="0" w:lastRowLastColumn="0"/>
        </w:trPr>
        <w:tc>
          <w:tcPr>
            <w:tcW w:w="9736" w:type="dxa"/>
          </w:tcPr>
          <w:p w14:paraId="0B0ADDDD" w14:textId="63370981" w:rsidR="00D95E34" w:rsidRPr="006C7872" w:rsidRDefault="00D95E34" w:rsidP="002309E3">
            <w:pPr>
              <w:pStyle w:val="Tableheader"/>
            </w:pPr>
            <w:r w:rsidRPr="006C7872">
              <w:t>The harmonisation objective</w:t>
            </w:r>
          </w:p>
        </w:tc>
      </w:tr>
      <w:tr w:rsidR="00D95E34" w:rsidRPr="00B81622" w14:paraId="7D5637CC" w14:textId="77777777" w:rsidTr="006C7872">
        <w:tc>
          <w:tcPr>
            <w:tcW w:w="9736" w:type="dxa"/>
          </w:tcPr>
          <w:p w14:paraId="70631C0C" w14:textId="77777777" w:rsidR="00D95E34" w:rsidRPr="00B81622" w:rsidRDefault="00D95E34" w:rsidP="002309E3">
            <w:pPr>
              <w:pStyle w:val="Listnumbertables"/>
            </w:pPr>
            <w:r w:rsidRPr="00B81622">
              <w:t xml:space="preserve">That </w:t>
            </w:r>
            <w:r w:rsidRPr="001579F9">
              <w:t>WHS</w:t>
            </w:r>
            <w:r w:rsidRPr="00B81622">
              <w:t xml:space="preserve"> ministers recommit to the harmonisation of WHS laws and their objectives, which include:</w:t>
            </w:r>
          </w:p>
          <w:p w14:paraId="2537DCEA" w14:textId="77777777" w:rsidR="00D95E34" w:rsidRPr="005432AF" w:rsidRDefault="00D95E34" w:rsidP="00447786">
            <w:pPr>
              <w:pStyle w:val="Listnumber2tables"/>
              <w:numPr>
                <w:ilvl w:val="0"/>
                <w:numId w:val="35"/>
              </w:numPr>
            </w:pPr>
            <w:r w:rsidRPr="00B81622">
              <w:t>nationally consistent protections for workers</w:t>
            </w:r>
          </w:p>
          <w:p w14:paraId="6B22CDDA" w14:textId="77777777" w:rsidR="00D95E34" w:rsidRPr="005432AF" w:rsidRDefault="00D95E34" w:rsidP="00447786">
            <w:pPr>
              <w:pStyle w:val="Listnumber2tables"/>
              <w:numPr>
                <w:ilvl w:val="0"/>
                <w:numId w:val="35"/>
              </w:numPr>
            </w:pPr>
            <w:r w:rsidRPr="00B81622">
              <w:t>nationally consistent obligations for businesses and employers</w:t>
            </w:r>
          </w:p>
          <w:p w14:paraId="6FE760DC" w14:textId="77777777" w:rsidR="00F21CE3" w:rsidRDefault="00D95E34" w:rsidP="00447786">
            <w:pPr>
              <w:pStyle w:val="Listnumber2tables"/>
              <w:numPr>
                <w:ilvl w:val="0"/>
                <w:numId w:val="35"/>
              </w:numPr>
            </w:pPr>
            <w:r w:rsidRPr="00B81622">
              <w:t>reduced compliance impact</w:t>
            </w:r>
          </w:p>
          <w:p w14:paraId="04B2CF87" w14:textId="71C00E09" w:rsidR="00D95E34" w:rsidRPr="005432AF" w:rsidRDefault="00D95E34" w:rsidP="00447786">
            <w:pPr>
              <w:pStyle w:val="Listnumber2tables"/>
              <w:numPr>
                <w:ilvl w:val="0"/>
                <w:numId w:val="35"/>
              </w:numPr>
            </w:pPr>
            <w:r w:rsidRPr="00B81622">
              <w:t>improved regulatory efficiency</w:t>
            </w:r>
          </w:p>
          <w:p w14:paraId="5AD01D3F" w14:textId="77777777" w:rsidR="00D95E34" w:rsidRPr="005432AF" w:rsidRDefault="00D95E34" w:rsidP="00447786">
            <w:pPr>
              <w:pStyle w:val="Listnumber2tables"/>
              <w:numPr>
                <w:ilvl w:val="0"/>
                <w:numId w:val="35"/>
              </w:numPr>
            </w:pPr>
            <w:r w:rsidRPr="00B81622">
              <w:t>progressively higher standards of protection</w:t>
            </w:r>
          </w:p>
          <w:p w14:paraId="7CFEE45B" w14:textId="77777777" w:rsidR="00D95E34" w:rsidRPr="005432AF" w:rsidRDefault="00D95E34" w:rsidP="00447786">
            <w:pPr>
              <w:pStyle w:val="Listnumber2tables"/>
              <w:numPr>
                <w:ilvl w:val="0"/>
                <w:numId w:val="35"/>
              </w:numPr>
            </w:pPr>
            <w:r w:rsidRPr="00B81622">
              <w:t>fair and effective representation, consultation, cooperation and issue resolution</w:t>
            </w:r>
            <w:r w:rsidR="005432AF" w:rsidRPr="005432AF">
              <w:t>, and</w:t>
            </w:r>
          </w:p>
          <w:p w14:paraId="5DE6E118" w14:textId="489AC44D" w:rsidR="00D95E34" w:rsidRPr="00B81622" w:rsidRDefault="00D95E34" w:rsidP="00447786">
            <w:pPr>
              <w:pStyle w:val="Listnumber2tables"/>
              <w:numPr>
                <w:ilvl w:val="0"/>
                <w:numId w:val="35"/>
              </w:numPr>
            </w:pPr>
            <w:r w:rsidRPr="00B81622">
              <w:t>a constructive role for unions and employer organisations.</w:t>
            </w:r>
          </w:p>
        </w:tc>
      </w:tr>
      <w:tr w:rsidR="00D95E34" w:rsidRPr="00B81622" w14:paraId="088EF721" w14:textId="77777777" w:rsidTr="006C7872">
        <w:tc>
          <w:tcPr>
            <w:tcW w:w="9736" w:type="dxa"/>
          </w:tcPr>
          <w:p w14:paraId="0A737DE8" w14:textId="77777777" w:rsidR="00D95E34" w:rsidRPr="00B81622" w:rsidRDefault="00D95E34" w:rsidP="002309E3">
            <w:pPr>
              <w:pStyle w:val="Listnumbertables"/>
            </w:pPr>
            <w:r w:rsidRPr="00B81622">
              <w:t>That harmonisation is maintained and strengthened through:</w:t>
            </w:r>
          </w:p>
          <w:p w14:paraId="0BB1F55E" w14:textId="385F8BE2" w:rsidR="0024408D" w:rsidRPr="000F1DE6" w:rsidRDefault="0024408D" w:rsidP="00447786">
            <w:pPr>
              <w:pStyle w:val="Listnumber2tables"/>
              <w:numPr>
                <w:ilvl w:val="0"/>
                <w:numId w:val="40"/>
              </w:numPr>
            </w:pPr>
            <w:r w:rsidRPr="000F1DE6">
              <w:t>jurisdictions committing to potential local WHS law changes being considered at the national level</w:t>
            </w:r>
          </w:p>
          <w:p w14:paraId="187BBF47" w14:textId="77777777" w:rsidR="00F21CE3" w:rsidRDefault="00D95E34" w:rsidP="00447786">
            <w:pPr>
              <w:pStyle w:val="Listnumber2tables"/>
              <w:numPr>
                <w:ilvl w:val="0"/>
                <w:numId w:val="40"/>
              </w:numPr>
            </w:pPr>
            <w:r w:rsidRPr="00B81622">
              <w:t>ensuring amendments to the model WHS laws agreed nationally are prioritised for passage through jurisdictional parliaments</w:t>
            </w:r>
            <w:r w:rsidR="00B37849">
              <w:t>, and</w:t>
            </w:r>
          </w:p>
          <w:p w14:paraId="6FA78465" w14:textId="1A7BBFDA" w:rsidR="00D95E34" w:rsidRPr="00B81622" w:rsidRDefault="00D95E34" w:rsidP="00447786">
            <w:pPr>
              <w:pStyle w:val="Listnumber2tables"/>
              <w:numPr>
                <w:ilvl w:val="0"/>
                <w:numId w:val="40"/>
              </w:numPr>
            </w:pPr>
            <w:r w:rsidRPr="00B81622">
              <w:t>introducing a harmonised approach to jurisdictional WHS Act and WHS Regulations reviews.</w:t>
            </w:r>
          </w:p>
        </w:tc>
      </w:tr>
      <w:tr w:rsidR="00D95E34" w:rsidRPr="00B81622" w14:paraId="1B5315E8" w14:textId="77777777" w:rsidTr="006C7872">
        <w:tc>
          <w:tcPr>
            <w:tcW w:w="9736" w:type="dxa"/>
          </w:tcPr>
          <w:p w14:paraId="6FAB57C5" w14:textId="6E5C8592" w:rsidR="00D95E34" w:rsidRPr="00B81622" w:rsidRDefault="00D95E34" w:rsidP="002309E3">
            <w:pPr>
              <w:pStyle w:val="Listnumbertables"/>
            </w:pPr>
            <w:r w:rsidRPr="00B81622">
              <w:t xml:space="preserve">That harmonisation is enhanced through developing a new National Compliance and Enforcement Policy </w:t>
            </w:r>
            <w:r w:rsidR="00164F64" w:rsidRPr="00164F64">
              <w:t xml:space="preserve">(NCEP) </w:t>
            </w:r>
            <w:r w:rsidRPr="00B81622">
              <w:t>to support compliance and enforcement consistency and clarity.</w:t>
            </w:r>
          </w:p>
        </w:tc>
      </w:tr>
    </w:tbl>
    <w:p w14:paraId="178C7A58" w14:textId="77777777" w:rsidR="00D95E34" w:rsidRPr="00635849" w:rsidRDefault="00D95E34" w:rsidP="002309E3">
      <w:pPr>
        <w:pStyle w:val="Tableheader"/>
        <w:rPr>
          <w:sz w:val="18"/>
          <w:szCs w:val="20"/>
        </w:rPr>
      </w:pPr>
    </w:p>
    <w:tbl>
      <w:tblPr>
        <w:tblStyle w:val="Style4"/>
        <w:tblW w:w="0" w:type="auto"/>
        <w:tblLook w:val="04A0" w:firstRow="1" w:lastRow="0" w:firstColumn="1" w:lastColumn="0" w:noHBand="0" w:noVBand="1"/>
      </w:tblPr>
      <w:tblGrid>
        <w:gridCol w:w="9736"/>
      </w:tblGrid>
      <w:tr w:rsidR="00B81622" w14:paraId="798B42A7" w14:textId="77777777" w:rsidTr="00B81622">
        <w:trPr>
          <w:cnfStyle w:val="100000000000" w:firstRow="1" w:lastRow="0" w:firstColumn="0" w:lastColumn="0" w:oddVBand="0" w:evenVBand="0" w:oddHBand="0" w:evenHBand="0" w:firstRowFirstColumn="0" w:firstRowLastColumn="0" w:lastRowFirstColumn="0" w:lastRowLastColumn="0"/>
        </w:trPr>
        <w:tc>
          <w:tcPr>
            <w:tcW w:w="9736" w:type="dxa"/>
          </w:tcPr>
          <w:p w14:paraId="3892F9F0" w14:textId="085FC6A3" w:rsidR="00B81622" w:rsidRPr="002309E3" w:rsidRDefault="00B55BFB" w:rsidP="002309E3">
            <w:pPr>
              <w:pStyle w:val="Tableheader"/>
            </w:pPr>
            <w:r>
              <w:t>The</w:t>
            </w:r>
            <w:r w:rsidR="00B81622" w:rsidRPr="002309E3">
              <w:t xml:space="preserve"> duties framework</w:t>
            </w:r>
          </w:p>
        </w:tc>
      </w:tr>
      <w:tr w:rsidR="00B81622" w14:paraId="16BA165E" w14:textId="77777777" w:rsidTr="00B81622">
        <w:tc>
          <w:tcPr>
            <w:tcW w:w="9736" w:type="dxa"/>
          </w:tcPr>
          <w:p w14:paraId="6E88F208" w14:textId="069CE95D" w:rsidR="00B81622" w:rsidRPr="00B81622" w:rsidRDefault="00B81622" w:rsidP="002309E3">
            <w:pPr>
              <w:pStyle w:val="Listnumbertables"/>
            </w:pPr>
            <w:r w:rsidRPr="00B81622">
              <w:t>Amend section 19(3) of the model WHS Act to clarify that the duty of care in section 19 includes the management of risks arising from harmful workplace behaviours.</w:t>
            </w:r>
          </w:p>
        </w:tc>
      </w:tr>
      <w:tr w:rsidR="00B81622" w14:paraId="1498B992" w14:textId="77777777" w:rsidTr="00B81622">
        <w:tc>
          <w:tcPr>
            <w:tcW w:w="9736" w:type="dxa"/>
          </w:tcPr>
          <w:p w14:paraId="7BF8D88E" w14:textId="3D8DB4D0" w:rsidR="00B81622" w:rsidRPr="00B81622" w:rsidRDefault="00B81622" w:rsidP="002309E3">
            <w:pPr>
              <w:pStyle w:val="Listnumbertables"/>
            </w:pPr>
            <w:r w:rsidRPr="00B81622">
              <w:t>Amend section 34 of the model WHS Act to reflect the South Australian variation providing that volunteer officers of a strata/community titles corporation are not liable for a breach of officer duties.</w:t>
            </w:r>
          </w:p>
        </w:tc>
      </w:tr>
      <w:tr w:rsidR="00B81622" w14:paraId="103CEF8E" w14:textId="77777777" w:rsidTr="00B81622">
        <w:tc>
          <w:tcPr>
            <w:tcW w:w="9736" w:type="dxa"/>
          </w:tcPr>
          <w:p w14:paraId="0170FD7F" w14:textId="77777777" w:rsidR="00513E30" w:rsidRPr="00513E30" w:rsidRDefault="00513E30" w:rsidP="00513E30">
            <w:pPr>
              <w:pStyle w:val="Listnumbertables"/>
            </w:pPr>
            <w:r w:rsidRPr="000F1DE6">
              <w:t>Clarify that the risk management process outlined in Part 3.1 of the WHS Regulations:</w:t>
            </w:r>
          </w:p>
          <w:p w14:paraId="66B992ED" w14:textId="77777777" w:rsidR="00B81622" w:rsidRPr="00B81622" w:rsidRDefault="00B81622" w:rsidP="00447786">
            <w:pPr>
              <w:pStyle w:val="Listnumber2tables"/>
              <w:numPr>
                <w:ilvl w:val="0"/>
                <w:numId w:val="41"/>
              </w:numPr>
            </w:pPr>
            <w:r w:rsidRPr="00B81622">
              <w:t>applies to all work and workplaces by elevating it into the model WHS Act, and</w:t>
            </w:r>
          </w:p>
          <w:p w14:paraId="4213E4CA" w14:textId="6BA12E38" w:rsidR="00B81622" w:rsidRPr="00B81622" w:rsidRDefault="00B81622" w:rsidP="00447786">
            <w:pPr>
              <w:pStyle w:val="Listnumber2tables"/>
              <w:numPr>
                <w:ilvl w:val="0"/>
                <w:numId w:val="41"/>
              </w:numPr>
            </w:pPr>
            <w:r w:rsidRPr="00B81622">
              <w:t xml:space="preserve">in the short term, amend regulation 55C(a) of the model WHS Regulations to ensure that the hierarchy of control measures </w:t>
            </w:r>
            <w:r w:rsidR="00513E30" w:rsidRPr="00513E30">
              <w:t>applies</w:t>
            </w:r>
            <w:r w:rsidRPr="00B81622">
              <w:t xml:space="preserve"> to the management of psychosocial risks.</w:t>
            </w:r>
          </w:p>
        </w:tc>
      </w:tr>
      <w:tr w:rsidR="00B81622" w14:paraId="71F479BC" w14:textId="77777777" w:rsidTr="00B81622">
        <w:tc>
          <w:tcPr>
            <w:tcW w:w="9736" w:type="dxa"/>
          </w:tcPr>
          <w:p w14:paraId="7F825C6A" w14:textId="77777777" w:rsidR="00F21CE3" w:rsidRDefault="00B81622" w:rsidP="002309E3">
            <w:pPr>
              <w:pStyle w:val="Listnumbertables"/>
            </w:pPr>
            <w:r w:rsidRPr="00B81622">
              <w:t xml:space="preserve">Amend the </w:t>
            </w:r>
            <w:r w:rsidRPr="002309E3">
              <w:t>model</w:t>
            </w:r>
            <w:r w:rsidRPr="00B81622">
              <w:t xml:space="preserve"> WHS Act to:</w:t>
            </w:r>
          </w:p>
          <w:p w14:paraId="05FDD2B1" w14:textId="5E65B94B" w:rsidR="001B4640" w:rsidRPr="000F1DE6" w:rsidRDefault="001B4640" w:rsidP="00447786">
            <w:pPr>
              <w:pStyle w:val="Listnumber2tables"/>
              <w:numPr>
                <w:ilvl w:val="0"/>
                <w:numId w:val="42"/>
              </w:numPr>
            </w:pPr>
            <w:r w:rsidRPr="000F1DE6">
              <w:t xml:space="preserve">require </w:t>
            </w:r>
            <w:r>
              <w:t xml:space="preserve">persons conducting a business or undertaking (PCBU) </w:t>
            </w:r>
            <w:r w:rsidRPr="000F1DE6">
              <w:t xml:space="preserve">to provide workers with a WHS Information Statement that sets out the fundamentals of WHS, modelled on the </w:t>
            </w:r>
            <w:r w:rsidRPr="00DD6450">
              <w:rPr>
                <w:i/>
                <w:iCs/>
              </w:rPr>
              <w:t>Fair Work Information Statement</w:t>
            </w:r>
            <w:r w:rsidR="00B37C4A">
              <w:t>, and</w:t>
            </w:r>
          </w:p>
          <w:p w14:paraId="0D93962A" w14:textId="7377594A" w:rsidR="00B81622" w:rsidRPr="00B81622" w:rsidRDefault="00B81622" w:rsidP="00447786">
            <w:pPr>
              <w:pStyle w:val="Listnumber2tables"/>
              <w:numPr>
                <w:ilvl w:val="0"/>
                <w:numId w:val="42"/>
              </w:numPr>
            </w:pPr>
            <w:r w:rsidRPr="00B81622">
              <w:t>develop a WHS Information Statement specifically for small business owners.</w:t>
            </w:r>
          </w:p>
        </w:tc>
      </w:tr>
    </w:tbl>
    <w:p w14:paraId="37180A56" w14:textId="77777777" w:rsidR="006C7872" w:rsidRPr="00EB7C33" w:rsidRDefault="006C7872" w:rsidP="002309E3">
      <w:pPr>
        <w:pStyle w:val="Tableheader"/>
        <w:rPr>
          <w:sz w:val="18"/>
          <w:szCs w:val="18"/>
        </w:rPr>
      </w:pPr>
    </w:p>
    <w:p w14:paraId="6B6634DE" w14:textId="77777777" w:rsidR="008B2E3C" w:rsidRDefault="008B2E3C">
      <w:pPr>
        <w:spacing w:after="200" w:line="276" w:lineRule="auto"/>
        <w:contextualSpacing w:val="0"/>
        <w:rPr>
          <w:rFonts w:asciiTheme="majorHAnsi" w:eastAsia="Times New Roman" w:hAnsiTheme="majorHAnsi"/>
          <w:sz w:val="18"/>
          <w:szCs w:val="18"/>
          <w:lang w:eastAsia="en-AU"/>
        </w:rPr>
      </w:pPr>
      <w:r>
        <w:rPr>
          <w:sz w:val="18"/>
          <w:szCs w:val="18"/>
        </w:rPr>
        <w:br w:type="page"/>
      </w:r>
    </w:p>
    <w:p w14:paraId="41C8163A" w14:textId="77777777" w:rsidR="006C7872" w:rsidRPr="00EB7C33" w:rsidRDefault="006C7872" w:rsidP="002309E3">
      <w:pPr>
        <w:pStyle w:val="Tableheader"/>
        <w:rPr>
          <w:sz w:val="18"/>
          <w:szCs w:val="18"/>
        </w:rPr>
      </w:pPr>
    </w:p>
    <w:tbl>
      <w:tblPr>
        <w:tblStyle w:val="TableGrid"/>
        <w:tblW w:w="0" w:type="auto"/>
        <w:tblLook w:val="04A0" w:firstRow="1" w:lastRow="0" w:firstColumn="1" w:lastColumn="0" w:noHBand="0" w:noVBand="1"/>
      </w:tblPr>
      <w:tblGrid>
        <w:gridCol w:w="9736"/>
      </w:tblGrid>
      <w:tr w:rsidR="00BA7C1E" w14:paraId="39B8D4E1" w14:textId="77777777">
        <w:trPr>
          <w:cnfStyle w:val="100000000000" w:firstRow="1" w:lastRow="0" w:firstColumn="0" w:lastColumn="0" w:oddVBand="0" w:evenVBand="0" w:oddHBand="0" w:evenHBand="0" w:firstRowFirstColumn="0" w:firstRowLastColumn="0" w:lastRowFirstColumn="0" w:lastRowLastColumn="0"/>
        </w:trPr>
        <w:tc>
          <w:tcPr>
            <w:tcW w:w="9736" w:type="dxa"/>
          </w:tcPr>
          <w:p w14:paraId="73485A30" w14:textId="77777777" w:rsidR="00BA7C1E" w:rsidRDefault="00BA7C1E">
            <w:pPr>
              <w:pStyle w:val="Tableheader"/>
            </w:pPr>
            <w:r w:rsidRPr="006C7872">
              <w:t>Consultation, representation and participation</w:t>
            </w:r>
          </w:p>
        </w:tc>
      </w:tr>
      <w:tr w:rsidR="00BA7C1E" w14:paraId="61F81290" w14:textId="77777777">
        <w:tc>
          <w:tcPr>
            <w:tcW w:w="9736" w:type="dxa"/>
          </w:tcPr>
          <w:p w14:paraId="29C0AB01" w14:textId="1B3ED5B0" w:rsidR="00084C50" w:rsidRPr="00E669E7" w:rsidRDefault="00084C50" w:rsidP="00AC1858">
            <w:pPr>
              <w:pStyle w:val="Listnumbertables"/>
              <w:spacing w:after="0"/>
              <w:rPr>
                <w:szCs w:val="20"/>
              </w:rPr>
            </w:pPr>
            <w:r w:rsidRPr="004C1667">
              <w:rPr>
                <w:szCs w:val="20"/>
              </w:rPr>
              <w:t xml:space="preserve">Amend the model WHS Act and model WHS </w:t>
            </w:r>
            <w:r w:rsidRPr="00DE15F8">
              <w:t>Regulations</w:t>
            </w:r>
            <w:r w:rsidRPr="004C1667">
              <w:rPr>
                <w:szCs w:val="20"/>
              </w:rPr>
              <w:t xml:space="preserve"> to enact the best practice variations at </w:t>
            </w:r>
            <w:r w:rsidRPr="004C1667">
              <w:rPr>
                <w:b/>
                <w:szCs w:val="20"/>
              </w:rPr>
              <w:t>Appendix D, Appendix F</w:t>
            </w:r>
            <w:r w:rsidR="00FB0145" w:rsidRPr="0025248C">
              <w:rPr>
                <w:bCs/>
                <w:szCs w:val="20"/>
              </w:rPr>
              <w:t>,</w:t>
            </w:r>
            <w:r w:rsidR="00FB0145">
              <w:rPr>
                <w:b/>
                <w:szCs w:val="20"/>
              </w:rPr>
              <w:t xml:space="preserve"> </w:t>
            </w:r>
            <w:r w:rsidRPr="004C1667">
              <w:rPr>
                <w:b/>
                <w:szCs w:val="20"/>
              </w:rPr>
              <w:t xml:space="preserve">1 </w:t>
            </w:r>
            <w:r w:rsidRPr="004C1667">
              <w:rPr>
                <w:szCs w:val="20"/>
              </w:rPr>
              <w:t>and</w:t>
            </w:r>
            <w:r w:rsidRPr="004C1667">
              <w:rPr>
                <w:b/>
                <w:szCs w:val="20"/>
              </w:rPr>
              <w:t xml:space="preserve"> Appendix G</w:t>
            </w:r>
            <w:r w:rsidR="00FB0145" w:rsidRPr="0025248C">
              <w:rPr>
                <w:bCs/>
                <w:szCs w:val="20"/>
              </w:rPr>
              <w:t>,</w:t>
            </w:r>
            <w:r w:rsidR="00FB0145">
              <w:rPr>
                <w:b/>
                <w:szCs w:val="20"/>
              </w:rPr>
              <w:t xml:space="preserve"> </w:t>
            </w:r>
            <w:r w:rsidRPr="004C1667">
              <w:rPr>
                <w:b/>
                <w:szCs w:val="20"/>
              </w:rPr>
              <w:t>1</w:t>
            </w:r>
            <w:r w:rsidRPr="004C1667">
              <w:rPr>
                <w:szCs w:val="20"/>
              </w:rPr>
              <w:t xml:space="preserve"> in </w:t>
            </w:r>
            <w:r w:rsidRPr="00E669E7">
              <w:rPr>
                <w:szCs w:val="20"/>
              </w:rPr>
              <w:t>relation to:</w:t>
            </w:r>
          </w:p>
          <w:p w14:paraId="57419FEB" w14:textId="2170B9C1" w:rsidR="00BA7C1E" w:rsidRPr="00E669E7" w:rsidRDefault="00267D68" w:rsidP="00AC1858">
            <w:pPr>
              <w:pStyle w:val="ListBullet2tables"/>
              <w:numPr>
                <w:ilvl w:val="0"/>
                <w:numId w:val="60"/>
              </w:numPr>
            </w:pPr>
            <w:r w:rsidRPr="00E669E7">
              <w:t>h</w:t>
            </w:r>
            <w:r w:rsidR="00BA7C1E" w:rsidRPr="00E669E7">
              <w:t xml:space="preserve">ealth and </w:t>
            </w:r>
            <w:r w:rsidRPr="00E669E7">
              <w:t>s</w:t>
            </w:r>
            <w:r w:rsidR="00BA7C1E" w:rsidRPr="00E669E7">
              <w:t xml:space="preserve">afety </w:t>
            </w:r>
            <w:r w:rsidRPr="00E669E7">
              <w:t>r</w:t>
            </w:r>
            <w:r w:rsidR="00BA7C1E" w:rsidRPr="00E669E7">
              <w:t xml:space="preserve">epresentative </w:t>
            </w:r>
            <w:r w:rsidR="00733FA2" w:rsidRPr="00E669E7">
              <w:t xml:space="preserve">(HSR) </w:t>
            </w:r>
            <w:r w:rsidR="00BA7C1E" w:rsidRPr="00E669E7">
              <w:t>elections, powers, functions and training entitlements</w:t>
            </w:r>
          </w:p>
          <w:p w14:paraId="0BA0E9A5" w14:textId="0B4E2F73" w:rsidR="00BA7C1E" w:rsidRPr="00E669E7" w:rsidRDefault="00EB7C33" w:rsidP="00AC1858">
            <w:pPr>
              <w:pStyle w:val="ListBullet2tables"/>
              <w:numPr>
                <w:ilvl w:val="0"/>
                <w:numId w:val="60"/>
              </w:numPr>
            </w:pPr>
            <w:r w:rsidRPr="00E669E7">
              <w:t>h</w:t>
            </w:r>
            <w:r w:rsidR="00BA7C1E" w:rsidRPr="00E669E7">
              <w:t xml:space="preserve">ealth and </w:t>
            </w:r>
            <w:r w:rsidRPr="00E669E7">
              <w:t>s</w:t>
            </w:r>
            <w:r w:rsidR="00BA7C1E" w:rsidRPr="00E669E7">
              <w:t xml:space="preserve">afety </w:t>
            </w:r>
            <w:r w:rsidRPr="00E669E7">
              <w:t>c</w:t>
            </w:r>
            <w:r w:rsidR="00BA7C1E" w:rsidRPr="00E669E7">
              <w:t>ommittee processes</w:t>
            </w:r>
          </w:p>
          <w:p w14:paraId="37301F4E" w14:textId="77777777" w:rsidR="00BA7C1E" w:rsidRPr="00E669E7" w:rsidRDefault="00BA7C1E" w:rsidP="00AC1858">
            <w:pPr>
              <w:pStyle w:val="ListBullet2tables"/>
              <w:numPr>
                <w:ilvl w:val="0"/>
                <w:numId w:val="60"/>
              </w:numPr>
            </w:pPr>
            <w:r w:rsidRPr="00E669E7">
              <w:t>consultation and representation processes</w:t>
            </w:r>
          </w:p>
          <w:p w14:paraId="4C2DCE4C" w14:textId="7C92D4E3" w:rsidR="00BA7C1E" w:rsidRPr="00E669E7" w:rsidRDefault="00BA7C1E" w:rsidP="00AC1858">
            <w:pPr>
              <w:pStyle w:val="ListBullet2tables"/>
              <w:numPr>
                <w:ilvl w:val="0"/>
                <w:numId w:val="60"/>
              </w:numPr>
            </w:pPr>
            <w:r w:rsidRPr="00E669E7">
              <w:t>the right to cease unsafe work</w:t>
            </w:r>
            <w:r w:rsidR="00733FA2" w:rsidRPr="00E669E7">
              <w:t>, and</w:t>
            </w:r>
          </w:p>
          <w:p w14:paraId="14502715" w14:textId="3CBFDE8F" w:rsidR="00BA7C1E" w:rsidRDefault="00BA7C1E" w:rsidP="00AC1858">
            <w:pPr>
              <w:pStyle w:val="ListBullet2tables"/>
              <w:numPr>
                <w:ilvl w:val="0"/>
                <w:numId w:val="60"/>
              </w:numPr>
            </w:pPr>
            <w:r w:rsidRPr="00E669E7">
              <w:t>union right of entry.</w:t>
            </w:r>
          </w:p>
        </w:tc>
      </w:tr>
    </w:tbl>
    <w:p w14:paraId="2F3A07BF" w14:textId="77777777" w:rsidR="00BA7C1E" w:rsidRPr="00EB7C33" w:rsidRDefault="00BA7C1E" w:rsidP="002309E3">
      <w:pPr>
        <w:pStyle w:val="Tableheader"/>
        <w:rPr>
          <w:sz w:val="18"/>
          <w:szCs w:val="18"/>
        </w:rPr>
      </w:pPr>
    </w:p>
    <w:tbl>
      <w:tblPr>
        <w:tblStyle w:val="Style5"/>
        <w:tblW w:w="0" w:type="auto"/>
        <w:tblLook w:val="04A0" w:firstRow="1" w:lastRow="0" w:firstColumn="1" w:lastColumn="0" w:noHBand="0" w:noVBand="1"/>
      </w:tblPr>
      <w:tblGrid>
        <w:gridCol w:w="9746"/>
      </w:tblGrid>
      <w:tr w:rsidR="006C7872" w14:paraId="6F1A6F29" w14:textId="77777777" w:rsidTr="006C7872">
        <w:trPr>
          <w:cnfStyle w:val="100000000000" w:firstRow="1" w:lastRow="0" w:firstColumn="0" w:lastColumn="0" w:oddVBand="0" w:evenVBand="0" w:oddHBand="0" w:evenHBand="0" w:firstRowFirstColumn="0" w:firstRowLastColumn="0" w:lastRowFirstColumn="0" w:lastRowLastColumn="0"/>
        </w:trPr>
        <w:tc>
          <w:tcPr>
            <w:tcW w:w="9746" w:type="dxa"/>
          </w:tcPr>
          <w:p w14:paraId="0336F9D1" w14:textId="20B937F2" w:rsidR="006C7872" w:rsidRDefault="006C7872" w:rsidP="002309E3">
            <w:pPr>
              <w:pStyle w:val="Tableheader"/>
            </w:pPr>
            <w:r>
              <w:t>Compliance and enforcement</w:t>
            </w:r>
          </w:p>
        </w:tc>
      </w:tr>
      <w:tr w:rsidR="006C7872" w14:paraId="5693BE39" w14:textId="77777777" w:rsidTr="006C7872">
        <w:tc>
          <w:tcPr>
            <w:tcW w:w="9746" w:type="dxa"/>
          </w:tcPr>
          <w:p w14:paraId="267191F0" w14:textId="77777777" w:rsidR="006C7872" w:rsidRPr="008F3C10" w:rsidRDefault="006C7872" w:rsidP="002309E3">
            <w:pPr>
              <w:pStyle w:val="Listnumbertables"/>
              <w:rPr>
                <w:szCs w:val="20"/>
              </w:rPr>
            </w:pPr>
            <w:r w:rsidRPr="008F3C10">
              <w:rPr>
                <w:szCs w:val="20"/>
              </w:rPr>
              <w:t>Amend the model WHS Act to:</w:t>
            </w:r>
          </w:p>
          <w:p w14:paraId="6DF87A21" w14:textId="77777777" w:rsidR="006C7872" w:rsidRPr="006C7872" w:rsidRDefault="006C7872" w:rsidP="00447786">
            <w:pPr>
              <w:pStyle w:val="Listnumber2tables"/>
              <w:numPr>
                <w:ilvl w:val="0"/>
                <w:numId w:val="43"/>
              </w:numPr>
            </w:pPr>
            <w:r w:rsidRPr="006C7872">
              <w:t>extend the timeframes for internal review from 14 to 21 calendar days, with further extension by mutual agreement</w:t>
            </w:r>
          </w:p>
          <w:p w14:paraId="70722AF0" w14:textId="77777777" w:rsidR="008F3C10" w:rsidRPr="008F3C10" w:rsidRDefault="008F3C10" w:rsidP="00447786">
            <w:pPr>
              <w:pStyle w:val="Listnumber2tables"/>
              <w:numPr>
                <w:ilvl w:val="0"/>
                <w:numId w:val="43"/>
              </w:numPr>
            </w:pPr>
            <w:r w:rsidRPr="008F3C10">
              <w:t>provide workers, HSRs and unions standing in an external review, where they have raised or been involved in a matter, and</w:t>
            </w:r>
          </w:p>
          <w:p w14:paraId="6427667D" w14:textId="4C9ED563" w:rsidR="006C7872" w:rsidRPr="006C7872" w:rsidRDefault="006C7872" w:rsidP="00447786">
            <w:pPr>
              <w:pStyle w:val="Listnumber2tables"/>
              <w:numPr>
                <w:ilvl w:val="0"/>
                <w:numId w:val="43"/>
              </w:numPr>
            </w:pPr>
            <w:r w:rsidRPr="006C7872">
              <w:t>include an offence for non-payment of WHS infringement notices.</w:t>
            </w:r>
          </w:p>
        </w:tc>
      </w:tr>
      <w:tr w:rsidR="006C7872" w14:paraId="6F0AE2C3" w14:textId="77777777" w:rsidTr="006C7872">
        <w:tc>
          <w:tcPr>
            <w:tcW w:w="9746" w:type="dxa"/>
          </w:tcPr>
          <w:p w14:paraId="7CF5715C" w14:textId="62E496B8" w:rsidR="006C7872" w:rsidRPr="006C7872" w:rsidRDefault="006C7872" w:rsidP="002309E3">
            <w:pPr>
              <w:pStyle w:val="Listnumbertables"/>
            </w:pPr>
            <w:r w:rsidRPr="006C7872">
              <w:t xml:space="preserve">Amend the model WHS Act to provide general standing for any person or organisation to </w:t>
            </w:r>
            <w:r w:rsidRPr="008A11BF">
              <w:rPr>
                <w:szCs w:val="20"/>
              </w:rPr>
              <w:t>prosecute</w:t>
            </w:r>
            <w:r w:rsidRPr="006C7872">
              <w:t xml:space="preserve"> WHS offences informed by the </w:t>
            </w:r>
            <w:r w:rsidR="007B61D3">
              <w:t>New South Wales (</w:t>
            </w:r>
            <w:r w:rsidRPr="006C7872">
              <w:t>NSW</w:t>
            </w:r>
            <w:r w:rsidR="007B61D3">
              <w:t>)</w:t>
            </w:r>
            <w:r w:rsidRPr="006C7872">
              <w:t xml:space="preserve"> and New Zealand approaches, with a review of the provisions 3 years after their commencement across all jurisdictions.</w:t>
            </w:r>
            <w:r w:rsidR="007B61D3" w:rsidRPr="000F1DE6">
              <w:t xml:space="preserve"> </w:t>
            </w:r>
          </w:p>
        </w:tc>
      </w:tr>
      <w:tr w:rsidR="006C7872" w14:paraId="0FBD12BC" w14:textId="77777777" w:rsidTr="006C7872">
        <w:tc>
          <w:tcPr>
            <w:tcW w:w="9746" w:type="dxa"/>
          </w:tcPr>
          <w:p w14:paraId="0FAA34ED" w14:textId="7FFC4676" w:rsidR="006C7872" w:rsidRPr="006C7872" w:rsidRDefault="006C7872" w:rsidP="002309E3">
            <w:pPr>
              <w:pStyle w:val="Listnumbertables"/>
            </w:pPr>
            <w:r w:rsidRPr="006C7872">
              <w:t>Amend the model WHS Act to ensure that a contract of insurance or grant of indemnity cannot be used to cover the legal fees of a person subject to a WHS prosecution.</w:t>
            </w:r>
            <w:r w:rsidR="00454248" w:rsidRPr="000F1DE6">
              <w:rPr>
                <w:rFonts w:eastAsia="Segoe UI"/>
              </w:rPr>
              <w:t xml:space="preserve"> </w:t>
            </w:r>
          </w:p>
        </w:tc>
      </w:tr>
      <w:tr w:rsidR="006C7872" w14:paraId="6BE2EB31" w14:textId="77777777" w:rsidTr="006C7872">
        <w:tc>
          <w:tcPr>
            <w:tcW w:w="9746" w:type="dxa"/>
          </w:tcPr>
          <w:p w14:paraId="63847755" w14:textId="28445C27" w:rsidR="006C7872" w:rsidRPr="006C7872" w:rsidRDefault="006C7872" w:rsidP="002309E3">
            <w:pPr>
              <w:pStyle w:val="Listnumbertables"/>
              <w:rPr>
                <w:rFonts w:eastAsia="Segoe UI" w:cs="Arial"/>
              </w:rPr>
            </w:pPr>
            <w:r w:rsidRPr="006C7872">
              <w:rPr>
                <w:rFonts w:eastAsia="Arial"/>
              </w:rPr>
              <w:t>Amend the model WHS Act to impose limits on the use of non-disclosure agreements where WHS rights and obligations under the model WHS Act might be compromised, drawing on the </w:t>
            </w:r>
            <w:hyperlink r:id="rId27">
              <w:r w:rsidR="00BB2DE1" w:rsidRPr="0037578F">
                <w:rPr>
                  <w:rStyle w:val="Hyperlink"/>
                  <w:rFonts w:eastAsia="Arial"/>
                  <w:i/>
                  <w:iCs/>
                </w:rPr>
                <w:t>Restricting Non-disclosure Agreements (Sexual Harassment at Work) Act 2025</w:t>
              </w:r>
              <w:r w:rsidR="00BB2DE1" w:rsidRPr="000F1DE6">
                <w:rPr>
                  <w:rStyle w:val="Hyperlink"/>
                  <w:rFonts w:eastAsia="Arial"/>
                </w:rPr>
                <w:t xml:space="preserve"> (Vic)</w:t>
              </w:r>
            </w:hyperlink>
            <w:r w:rsidRPr="006C7872">
              <w:t>.</w:t>
            </w:r>
          </w:p>
        </w:tc>
      </w:tr>
      <w:tr w:rsidR="006C7872" w14:paraId="058CB152" w14:textId="77777777" w:rsidTr="006C7872">
        <w:tc>
          <w:tcPr>
            <w:tcW w:w="9746" w:type="dxa"/>
          </w:tcPr>
          <w:p w14:paraId="7B65A58B" w14:textId="79F5923D" w:rsidR="006C7872" w:rsidRPr="006C7872" w:rsidRDefault="002F3396" w:rsidP="002309E3">
            <w:pPr>
              <w:pStyle w:val="Listnumbertables"/>
              <w:rPr>
                <w:rFonts w:eastAsia="Segoe UI"/>
              </w:rPr>
            </w:pPr>
            <w:r w:rsidRPr="00111D4B">
              <w:t>Develop a nationally consistent approach to infringement notice schemes as part of a larger project to consider which provisions of the model WHS laws should attract infringement penalties and which should attract civil penalties.</w:t>
            </w:r>
          </w:p>
        </w:tc>
      </w:tr>
      <w:tr w:rsidR="006C7872" w14:paraId="405C164A" w14:textId="77777777" w:rsidTr="006C7872">
        <w:tc>
          <w:tcPr>
            <w:tcW w:w="9746" w:type="dxa"/>
          </w:tcPr>
          <w:p w14:paraId="63B6C85E" w14:textId="77777777" w:rsidR="006C7872" w:rsidRPr="006C7872" w:rsidRDefault="006C7872" w:rsidP="00AC1858">
            <w:pPr>
              <w:pStyle w:val="Listnumbertables"/>
              <w:spacing w:after="0"/>
            </w:pPr>
            <w:r w:rsidRPr="006C7872">
              <w:t xml:space="preserve">Amend the model WHS Act to enact the best practice variations set out at </w:t>
            </w:r>
            <w:r w:rsidRPr="006C7872">
              <w:rPr>
                <w:b/>
              </w:rPr>
              <w:t xml:space="preserve">Appendix E </w:t>
            </w:r>
            <w:r w:rsidRPr="006C7872">
              <w:rPr>
                <w:bCs/>
              </w:rPr>
              <w:t>in relation to</w:t>
            </w:r>
            <w:r w:rsidRPr="006C7872">
              <w:t>:</w:t>
            </w:r>
          </w:p>
          <w:p w14:paraId="7631A52C" w14:textId="77777777" w:rsidR="006C7872" w:rsidRPr="00E669E7" w:rsidRDefault="006C7872" w:rsidP="00AC1858">
            <w:pPr>
              <w:pStyle w:val="ListBullet2tables"/>
              <w:numPr>
                <w:ilvl w:val="0"/>
                <w:numId w:val="61"/>
              </w:numPr>
            </w:pPr>
            <w:r w:rsidRPr="00E669E7">
              <w:t>regulator and inspector powers and functions</w:t>
            </w:r>
          </w:p>
          <w:p w14:paraId="699A7FD2" w14:textId="77777777" w:rsidR="006C7872" w:rsidRPr="00E669E7" w:rsidRDefault="006C7872" w:rsidP="00AC1858">
            <w:pPr>
              <w:pStyle w:val="ListBullet2tables"/>
              <w:numPr>
                <w:ilvl w:val="0"/>
                <w:numId w:val="61"/>
              </w:numPr>
            </w:pPr>
            <w:r w:rsidRPr="00E669E7">
              <w:t>enforceable undertakings</w:t>
            </w:r>
          </w:p>
          <w:p w14:paraId="6726786C" w14:textId="77777777" w:rsidR="006C7872" w:rsidRPr="00E669E7" w:rsidRDefault="006C7872" w:rsidP="00AC1858">
            <w:pPr>
              <w:pStyle w:val="ListBullet2tables"/>
              <w:numPr>
                <w:ilvl w:val="0"/>
                <w:numId w:val="61"/>
              </w:numPr>
            </w:pPr>
            <w:r w:rsidRPr="00E669E7">
              <w:t>review of decisions</w:t>
            </w:r>
          </w:p>
          <w:p w14:paraId="49E6BEF8" w14:textId="589E8C04" w:rsidR="006C7872" w:rsidRPr="00E669E7" w:rsidRDefault="006C7872" w:rsidP="00AC1858">
            <w:pPr>
              <w:pStyle w:val="ListBullet2tables"/>
              <w:numPr>
                <w:ilvl w:val="0"/>
                <w:numId w:val="61"/>
              </w:numPr>
            </w:pPr>
            <w:r w:rsidRPr="00E669E7">
              <w:t>legal proceedings</w:t>
            </w:r>
            <w:r w:rsidR="0074789B" w:rsidRPr="00E669E7">
              <w:t>, and</w:t>
            </w:r>
          </w:p>
          <w:p w14:paraId="2A84B68D" w14:textId="35B77174" w:rsidR="006C7872" w:rsidRPr="00283455" w:rsidRDefault="006C7872" w:rsidP="00AC1858">
            <w:pPr>
              <w:pStyle w:val="ListBullet2tables"/>
              <w:numPr>
                <w:ilvl w:val="0"/>
                <w:numId w:val="61"/>
              </w:numPr>
              <w:rPr>
                <w:rFonts w:eastAsia="Segoe UI" w:cs="Arial"/>
              </w:rPr>
            </w:pPr>
            <w:r w:rsidRPr="00E669E7">
              <w:t>confidentiality of information</w:t>
            </w:r>
            <w:r w:rsidR="00600678" w:rsidRPr="00E669E7">
              <w:t>.</w:t>
            </w:r>
            <w:r w:rsidR="0074789B" w:rsidRPr="000F1DE6">
              <w:rPr>
                <w:rFonts w:cs="Arial"/>
              </w:rPr>
              <w:t xml:space="preserve"> </w:t>
            </w:r>
          </w:p>
        </w:tc>
      </w:tr>
    </w:tbl>
    <w:p w14:paraId="223A1A8C" w14:textId="7F9DBD3E" w:rsidR="00BC4C23" w:rsidRDefault="00BC4C23" w:rsidP="002309E3">
      <w:pPr>
        <w:pStyle w:val="Tableheader"/>
      </w:pPr>
    </w:p>
    <w:tbl>
      <w:tblPr>
        <w:tblStyle w:val="Style6"/>
        <w:tblW w:w="0" w:type="auto"/>
        <w:tblLook w:val="04A0" w:firstRow="1" w:lastRow="0" w:firstColumn="1" w:lastColumn="0" w:noHBand="0" w:noVBand="1"/>
      </w:tblPr>
      <w:tblGrid>
        <w:gridCol w:w="9746"/>
      </w:tblGrid>
      <w:tr w:rsidR="006C7872" w14:paraId="394A0F08" w14:textId="77777777" w:rsidTr="006C7872">
        <w:trPr>
          <w:cnfStyle w:val="100000000000" w:firstRow="1" w:lastRow="0" w:firstColumn="0" w:lastColumn="0" w:oddVBand="0" w:evenVBand="0" w:oddHBand="0" w:evenHBand="0" w:firstRowFirstColumn="0" w:firstRowLastColumn="0" w:lastRowFirstColumn="0" w:lastRowLastColumn="0"/>
        </w:trPr>
        <w:tc>
          <w:tcPr>
            <w:tcW w:w="9746" w:type="dxa"/>
          </w:tcPr>
          <w:p w14:paraId="5597BD67" w14:textId="2628D477" w:rsidR="006C7872" w:rsidRDefault="00BC4C23" w:rsidP="002309E3">
            <w:pPr>
              <w:pStyle w:val="Tableheader"/>
            </w:pPr>
            <w:r>
              <w:br w:type="page"/>
            </w:r>
            <w:r w:rsidR="006C7872">
              <w:t xml:space="preserve">Codes of </w:t>
            </w:r>
            <w:r w:rsidR="00E368B1">
              <w:t>P</w:t>
            </w:r>
            <w:r w:rsidR="006C7872">
              <w:t>ractice</w:t>
            </w:r>
          </w:p>
        </w:tc>
      </w:tr>
      <w:tr w:rsidR="006C7872" w14:paraId="5B9B52B5" w14:textId="77777777" w:rsidTr="006C7872">
        <w:tc>
          <w:tcPr>
            <w:tcW w:w="9746" w:type="dxa"/>
          </w:tcPr>
          <w:p w14:paraId="692F6DFC" w14:textId="2360B26D" w:rsidR="006C7872" w:rsidRPr="00BC4C23" w:rsidRDefault="00BC4C23" w:rsidP="002309E3">
            <w:pPr>
              <w:pStyle w:val="Listnumbertables"/>
              <w:rPr>
                <w:rFonts w:cs="Arial"/>
              </w:rPr>
            </w:pPr>
            <w:r w:rsidRPr="00BC4C23">
              <w:t xml:space="preserve">Amend </w:t>
            </w:r>
            <w:r w:rsidRPr="00055265">
              <w:t>the</w:t>
            </w:r>
            <w:r w:rsidRPr="00BC4C23">
              <w:t xml:space="preserve"> model WHS Act to provide that a person who complies with a Code is taken to have complied with the relevant WHS duty in relation to matters addressed by that Code</w:t>
            </w:r>
            <w:r w:rsidRPr="00055265">
              <w:t>.</w:t>
            </w:r>
          </w:p>
        </w:tc>
      </w:tr>
      <w:tr w:rsidR="006C7872" w14:paraId="30AEB247" w14:textId="77777777" w:rsidTr="006C7872">
        <w:tc>
          <w:tcPr>
            <w:tcW w:w="9746" w:type="dxa"/>
          </w:tcPr>
          <w:p w14:paraId="70C0D4C0" w14:textId="553AAF36" w:rsidR="006C7872" w:rsidRPr="005E0F5B" w:rsidRDefault="00BC4C23" w:rsidP="002309E3">
            <w:pPr>
              <w:pStyle w:val="Listnumbertables"/>
              <w:rPr>
                <w:rFonts w:cs="Arial"/>
                <w:b/>
              </w:rPr>
            </w:pPr>
            <w:r w:rsidRPr="00BC4C23">
              <w:t xml:space="preserve">Develop industry-based </w:t>
            </w:r>
            <w:r w:rsidR="005E0F5B">
              <w:t>C</w:t>
            </w:r>
            <w:r w:rsidR="005E0F5B" w:rsidRPr="000F1DE6">
              <w:t>odes</w:t>
            </w:r>
            <w:r w:rsidRPr="00BC4C23">
              <w:t xml:space="preserve"> of </w:t>
            </w:r>
            <w:r w:rsidR="005E0F5B">
              <w:t>P</w:t>
            </w:r>
            <w:r w:rsidR="005E0F5B" w:rsidRPr="000F1DE6">
              <w:t>ractice</w:t>
            </w:r>
            <w:r w:rsidRPr="00BC4C23">
              <w:t>, with accompanying small business implementation toolkits, with initial priority given to the retail, education and training, agriculture and construction sectors.</w:t>
            </w:r>
            <w:r w:rsidRPr="000F1DE6">
              <w:rPr>
                <w:szCs w:val="22"/>
              </w:rPr>
              <w:t xml:space="preserve"> </w:t>
            </w:r>
          </w:p>
        </w:tc>
      </w:tr>
      <w:tr w:rsidR="006C7872" w14:paraId="6C4E6BDF" w14:textId="77777777" w:rsidTr="001579F9">
        <w:trPr>
          <w:trHeight w:val="17"/>
        </w:trPr>
        <w:tc>
          <w:tcPr>
            <w:tcW w:w="9746" w:type="dxa"/>
          </w:tcPr>
          <w:p w14:paraId="38FA1041" w14:textId="3E8051F6" w:rsidR="006C7872" w:rsidRPr="008256E6" w:rsidRDefault="008256E6" w:rsidP="002309E3">
            <w:pPr>
              <w:pStyle w:val="Listnumbertables"/>
              <w:rPr>
                <w:rFonts w:cs="Arial"/>
                <w:b/>
              </w:rPr>
            </w:pPr>
            <w:r>
              <w:t>Consider amending</w:t>
            </w:r>
            <w:r w:rsidR="00BC4C23" w:rsidRPr="00BC4C23">
              <w:t xml:space="preserve"> the model WHS Act to frame the model Codes of Practice as National Codes which apply automatically in model law jurisdictions once agreed by WHS ministers. </w:t>
            </w:r>
          </w:p>
        </w:tc>
      </w:tr>
    </w:tbl>
    <w:tbl>
      <w:tblPr>
        <w:tblStyle w:val="Style7"/>
        <w:tblW w:w="0" w:type="auto"/>
        <w:tblLook w:val="04A0" w:firstRow="1" w:lastRow="0" w:firstColumn="1" w:lastColumn="0" w:noHBand="0" w:noVBand="1"/>
      </w:tblPr>
      <w:tblGrid>
        <w:gridCol w:w="9746"/>
      </w:tblGrid>
      <w:tr w:rsidR="00BC4C23" w14:paraId="40ECF693" w14:textId="77777777" w:rsidTr="00BC4C23">
        <w:trPr>
          <w:cnfStyle w:val="100000000000" w:firstRow="1" w:lastRow="0" w:firstColumn="0" w:lastColumn="0" w:oddVBand="0" w:evenVBand="0" w:oddHBand="0" w:evenHBand="0" w:firstRowFirstColumn="0" w:firstRowLastColumn="0" w:lastRowFirstColumn="0" w:lastRowLastColumn="0"/>
        </w:trPr>
        <w:tc>
          <w:tcPr>
            <w:tcW w:w="9746" w:type="dxa"/>
          </w:tcPr>
          <w:p w14:paraId="51518F22" w14:textId="7325E374" w:rsidR="00BC4C23" w:rsidRPr="00BC4C23" w:rsidRDefault="00F22F22" w:rsidP="002309E3">
            <w:pPr>
              <w:pStyle w:val="Tableheader"/>
            </w:pPr>
            <w:r>
              <w:lastRenderedPageBreak/>
              <w:t>The model WHS Regulations: modernisation project</w:t>
            </w:r>
          </w:p>
        </w:tc>
      </w:tr>
      <w:tr w:rsidR="00BC4C23" w14:paraId="1968A3FC" w14:textId="77777777" w:rsidTr="001579F9">
        <w:trPr>
          <w:trHeight w:val="356"/>
        </w:trPr>
        <w:tc>
          <w:tcPr>
            <w:tcW w:w="9746" w:type="dxa"/>
          </w:tcPr>
          <w:p w14:paraId="1F0CB46A" w14:textId="77777777" w:rsidR="00641826" w:rsidRPr="00641826" w:rsidRDefault="00641826" w:rsidP="00641826">
            <w:pPr>
              <w:pStyle w:val="Listnumbertables"/>
            </w:pPr>
            <w:r w:rsidRPr="000F1DE6">
              <w:t>Undertake a model WHS Regulations modernisation project to improve consistency and appropriately regulate modern work, workplaces</w:t>
            </w:r>
            <w:r w:rsidRPr="00641826">
              <w:t xml:space="preserve"> and emerging hazards, including by:</w:t>
            </w:r>
          </w:p>
          <w:p w14:paraId="457212EF" w14:textId="6E77D8B5" w:rsidR="00641826" w:rsidRPr="0019737E" w:rsidRDefault="00641826" w:rsidP="00447786">
            <w:pPr>
              <w:pStyle w:val="Listnumber2tables"/>
              <w:numPr>
                <w:ilvl w:val="0"/>
                <w:numId w:val="31"/>
              </w:numPr>
            </w:pPr>
            <w:r w:rsidRPr="0019737E">
              <w:t>developing clear criteria for identifying where regulations are required</w:t>
            </w:r>
            <w:r w:rsidR="004F2615" w:rsidRPr="004F2615">
              <w:t>, and</w:t>
            </w:r>
          </w:p>
          <w:p w14:paraId="5DBC3C78" w14:textId="2CD9C4B3" w:rsidR="00BC4C23" w:rsidRDefault="00BC4C23" w:rsidP="00447786">
            <w:pPr>
              <w:pStyle w:val="Listnumber2tables"/>
              <w:numPr>
                <w:ilvl w:val="0"/>
                <w:numId w:val="31"/>
              </w:numPr>
            </w:pPr>
            <w:r w:rsidRPr="00BC4C23">
              <w:t xml:space="preserve">considering the issues outlined in </w:t>
            </w:r>
            <w:r w:rsidR="00641826" w:rsidRPr="00CF4338">
              <w:rPr>
                <w:b/>
              </w:rPr>
              <w:t>Appendix</w:t>
            </w:r>
            <w:r w:rsidRPr="00CF4338">
              <w:rPr>
                <w:b/>
              </w:rPr>
              <w:t xml:space="preserve"> F</w:t>
            </w:r>
            <w:r w:rsidRPr="00BC4C23">
              <w:t xml:space="preserve"> and </w:t>
            </w:r>
            <w:r w:rsidR="00641826" w:rsidRPr="00CF4338">
              <w:rPr>
                <w:b/>
              </w:rPr>
              <w:t xml:space="preserve">Appendix </w:t>
            </w:r>
            <w:r w:rsidRPr="00CF4338">
              <w:rPr>
                <w:b/>
              </w:rPr>
              <w:t>G</w:t>
            </w:r>
            <w:r w:rsidRPr="00BC4C23">
              <w:t xml:space="preserve"> (subject to the criteria in (a) above).</w:t>
            </w:r>
          </w:p>
        </w:tc>
      </w:tr>
    </w:tbl>
    <w:p w14:paraId="5212854B" w14:textId="77777777" w:rsidR="00BC4C23" w:rsidRDefault="00BC4C23" w:rsidP="002309E3">
      <w:pPr>
        <w:pStyle w:val="Tableheader"/>
      </w:pPr>
    </w:p>
    <w:tbl>
      <w:tblPr>
        <w:tblStyle w:val="Style8"/>
        <w:tblW w:w="0" w:type="auto"/>
        <w:tblLook w:val="04A0" w:firstRow="1" w:lastRow="0" w:firstColumn="1" w:lastColumn="0" w:noHBand="0" w:noVBand="1"/>
      </w:tblPr>
      <w:tblGrid>
        <w:gridCol w:w="9746"/>
      </w:tblGrid>
      <w:tr w:rsidR="00BC4C23" w14:paraId="15FB6923" w14:textId="77777777" w:rsidTr="00BC4C23">
        <w:trPr>
          <w:cnfStyle w:val="100000000000" w:firstRow="1" w:lastRow="0" w:firstColumn="0" w:lastColumn="0" w:oddVBand="0" w:evenVBand="0" w:oddHBand="0" w:evenHBand="0" w:firstRowFirstColumn="0" w:firstRowLastColumn="0" w:lastRowFirstColumn="0" w:lastRowLastColumn="0"/>
        </w:trPr>
        <w:tc>
          <w:tcPr>
            <w:tcW w:w="9746" w:type="dxa"/>
          </w:tcPr>
          <w:p w14:paraId="27662DE5" w14:textId="173DBBC9" w:rsidR="00BC4C23" w:rsidRDefault="00BC4C23" w:rsidP="002309E3">
            <w:pPr>
              <w:pStyle w:val="Tableheader"/>
            </w:pPr>
            <w:r w:rsidRPr="00BC4C23">
              <w:t>Environmental scan</w:t>
            </w:r>
          </w:p>
        </w:tc>
      </w:tr>
      <w:tr w:rsidR="00BC4C23" w14:paraId="517518B4" w14:textId="77777777" w:rsidTr="00BC4C23">
        <w:tc>
          <w:tcPr>
            <w:tcW w:w="9746" w:type="dxa"/>
          </w:tcPr>
          <w:p w14:paraId="6E804696" w14:textId="77777777" w:rsidR="00BC4C23" w:rsidRPr="000F1DE6" w:rsidRDefault="00BC4C23" w:rsidP="002309E3">
            <w:pPr>
              <w:pStyle w:val="Listnumbertables"/>
              <w:rPr>
                <w:rFonts w:cs="Arial"/>
              </w:rPr>
            </w:pPr>
            <w:r w:rsidRPr="001579F9">
              <w:t>Safe Work Australia to develop</w:t>
            </w:r>
            <w:r w:rsidRPr="000F1DE6">
              <w:rPr>
                <w:rFonts w:cs="Arial"/>
              </w:rPr>
              <w:t xml:space="preserve"> a strategy on artificial intelligence and other emerging digital technologies which:</w:t>
            </w:r>
          </w:p>
          <w:p w14:paraId="3FAEB450" w14:textId="77777777" w:rsidR="00F21CE3" w:rsidRDefault="00BC4C23" w:rsidP="00447786">
            <w:pPr>
              <w:pStyle w:val="Listnumber2tables"/>
              <w:numPr>
                <w:ilvl w:val="0"/>
                <w:numId w:val="44"/>
              </w:numPr>
            </w:pPr>
            <w:r w:rsidRPr="001579F9">
              <w:t>monitors how WHS laws are interpreted, applied and enforced in relation to digital technologies to ensure the model WHS Act, Regulations and Codes remain fit for purpose as new technologies develop and working arrangements change</w:t>
            </w:r>
          </w:p>
          <w:p w14:paraId="69A8DC23" w14:textId="47205D79" w:rsidR="00BC4C23" w:rsidRPr="001579F9" w:rsidRDefault="00BC4C23" w:rsidP="00447786">
            <w:pPr>
              <w:pStyle w:val="Listnumber2tables"/>
              <w:numPr>
                <w:ilvl w:val="0"/>
                <w:numId w:val="44"/>
              </w:numPr>
            </w:pPr>
            <w:r w:rsidRPr="001579F9">
              <w:t>makes new Regulations, Codes and/or amendments to the model WHS Act where gaps are identified</w:t>
            </w:r>
          </w:p>
          <w:p w14:paraId="0E120CE0" w14:textId="77777777" w:rsidR="001B5541" w:rsidRPr="000F1DE6" w:rsidRDefault="001B5541" w:rsidP="00447786">
            <w:pPr>
              <w:pStyle w:val="Listnumber2tables"/>
              <w:numPr>
                <w:ilvl w:val="0"/>
                <w:numId w:val="44"/>
              </w:numPr>
            </w:pPr>
            <w:r w:rsidRPr="000F1DE6">
              <w:t xml:space="preserve">identifies, and clarifies through industry </w:t>
            </w:r>
            <w:r>
              <w:t>C</w:t>
            </w:r>
            <w:r w:rsidRPr="000F1DE6">
              <w:t xml:space="preserve">odes of </w:t>
            </w:r>
            <w:r>
              <w:t>P</w:t>
            </w:r>
            <w:r w:rsidRPr="000F1DE6">
              <w:t>ractice</w:t>
            </w:r>
            <w:r>
              <w:t>,</w:t>
            </w:r>
            <w:r w:rsidRPr="000F1DE6">
              <w:t xml:space="preserve"> any areas of current regulatory uncertainty</w:t>
            </w:r>
            <w:r w:rsidR="008502CC">
              <w:t>, and</w:t>
            </w:r>
          </w:p>
          <w:p w14:paraId="68FD1E02" w14:textId="376743D2" w:rsidR="00BC4C23" w:rsidRPr="001579F9" w:rsidRDefault="00BC4C23" w:rsidP="00447786">
            <w:pPr>
              <w:pStyle w:val="Listnumber2tables"/>
              <w:numPr>
                <w:ilvl w:val="0"/>
                <w:numId w:val="44"/>
              </w:numPr>
            </w:pPr>
            <w:r w:rsidRPr="001579F9">
              <w:t xml:space="preserve">supports through its </w:t>
            </w:r>
            <w:r w:rsidRPr="006D5A8E">
              <w:rPr>
                <w:i/>
                <w:iCs/>
              </w:rPr>
              <w:t>Research and Evaluation Strategy</w:t>
            </w:r>
            <w:r w:rsidRPr="001579F9">
              <w:t xml:space="preserve"> research on how digital technologies impact WHS (including both benefits and risks) with practical solutions that can be applied in workplaces as a priority outcome of the research.</w:t>
            </w:r>
          </w:p>
        </w:tc>
      </w:tr>
      <w:tr w:rsidR="00BC4C23" w14:paraId="32C07A03" w14:textId="77777777" w:rsidTr="00BC4C23">
        <w:tc>
          <w:tcPr>
            <w:tcW w:w="9746" w:type="dxa"/>
          </w:tcPr>
          <w:p w14:paraId="6908AD19" w14:textId="77777777" w:rsidR="00F21CE3" w:rsidRDefault="00BC4C23" w:rsidP="002309E3">
            <w:pPr>
              <w:pStyle w:val="Listnumbertables"/>
            </w:pPr>
            <w:r w:rsidRPr="001579F9">
              <w:t>Safe Work Australia to develop a strategy on climate change which:</w:t>
            </w:r>
          </w:p>
          <w:p w14:paraId="76B8F916" w14:textId="2C48343C" w:rsidR="00BC4C23" w:rsidRPr="001579F9" w:rsidRDefault="00BC4C23" w:rsidP="00447786">
            <w:pPr>
              <w:pStyle w:val="Listnumber2tables"/>
              <w:numPr>
                <w:ilvl w:val="0"/>
                <w:numId w:val="45"/>
              </w:numPr>
            </w:pPr>
            <w:r w:rsidRPr="001579F9">
              <w:t>includes new model WHS Regulations to regulate extreme heat, air quality and vector-borne diseases</w:t>
            </w:r>
          </w:p>
          <w:p w14:paraId="3138C325" w14:textId="77777777" w:rsidR="00112974" w:rsidRPr="00112974" w:rsidRDefault="00112974" w:rsidP="00447786">
            <w:pPr>
              <w:pStyle w:val="Listnumber2tables"/>
              <w:numPr>
                <w:ilvl w:val="0"/>
                <w:numId w:val="45"/>
              </w:numPr>
            </w:pPr>
            <w:r w:rsidRPr="00112974">
              <w:t>monitors how WHS laws are interpreted, applied and enforced in relation to extreme weather to identify any gaps in the model WHS Act, Regulations and Codes</w:t>
            </w:r>
          </w:p>
          <w:p w14:paraId="69A3298C" w14:textId="77777777" w:rsidR="00112974" w:rsidRPr="00112974" w:rsidRDefault="00112974" w:rsidP="00447786">
            <w:pPr>
              <w:pStyle w:val="Listnumber2tables"/>
              <w:numPr>
                <w:ilvl w:val="0"/>
                <w:numId w:val="45"/>
              </w:numPr>
            </w:pPr>
            <w:r w:rsidRPr="000F1DE6">
              <w:t>makes new Regulations, Codes and/or amendments to the model WHS Act where gaps are identified</w:t>
            </w:r>
          </w:p>
          <w:p w14:paraId="337DC829" w14:textId="668351AD" w:rsidR="00112974" w:rsidRPr="000F1DE6" w:rsidRDefault="00112974" w:rsidP="00447786">
            <w:pPr>
              <w:pStyle w:val="Listnumber2tables"/>
              <w:numPr>
                <w:ilvl w:val="0"/>
                <w:numId w:val="45"/>
              </w:numPr>
            </w:pPr>
            <w:r w:rsidRPr="000F1DE6">
              <w:t>outlines how it will engage with stakeholders</w:t>
            </w:r>
            <w:r>
              <w:t>,</w:t>
            </w:r>
            <w:r w:rsidRPr="000F1DE6">
              <w:t xml:space="preserve"> including social partners, experts and other government agencies</w:t>
            </w:r>
            <w:r>
              <w:t>,</w:t>
            </w:r>
            <w:r w:rsidRPr="000F1DE6">
              <w:t xml:space="preserve"> to promote a national approach to managing climate-related WHS risks</w:t>
            </w:r>
            <w:r w:rsidR="001A437E">
              <w:t>,</w:t>
            </w:r>
            <w:r w:rsidR="001A437E" w:rsidRPr="000F1DE6">
              <w:t xml:space="preserve"> and integrate WHS into a whole-of-government approach to climate change adaptation</w:t>
            </w:r>
            <w:r w:rsidR="001A437E">
              <w:t>, and</w:t>
            </w:r>
          </w:p>
          <w:p w14:paraId="14419366" w14:textId="30844C15" w:rsidR="00BC4C23" w:rsidRPr="001579F9" w:rsidRDefault="00BC4C23" w:rsidP="00447786">
            <w:pPr>
              <w:pStyle w:val="Listnumber2tables"/>
              <w:numPr>
                <w:ilvl w:val="0"/>
                <w:numId w:val="45"/>
              </w:numPr>
            </w:pPr>
            <w:r w:rsidRPr="001579F9">
              <w:t xml:space="preserve">supports further research through its </w:t>
            </w:r>
            <w:r w:rsidRPr="006D5A8E">
              <w:rPr>
                <w:i/>
                <w:iCs/>
              </w:rPr>
              <w:t>Research and Evaluation Strategy</w:t>
            </w:r>
            <w:r w:rsidRPr="001579F9">
              <w:t xml:space="preserve"> on the WHS risks of climate</w:t>
            </w:r>
            <w:r w:rsidR="00112974" w:rsidRPr="000F1DE6">
              <w:noBreakHyphen/>
            </w:r>
            <w:r w:rsidRPr="001579F9">
              <w:t>related hazards and the WHS impacts of climate change on under-researched industries.</w:t>
            </w:r>
          </w:p>
        </w:tc>
      </w:tr>
      <w:tr w:rsidR="00BC4C23" w14:paraId="5D5A31DA" w14:textId="77777777" w:rsidTr="00BC4C23">
        <w:tc>
          <w:tcPr>
            <w:tcW w:w="9746" w:type="dxa"/>
          </w:tcPr>
          <w:p w14:paraId="5C77F810" w14:textId="77777777" w:rsidR="00F21CE3" w:rsidRDefault="00BC4C23" w:rsidP="002309E3">
            <w:pPr>
              <w:pStyle w:val="Listnumbertables"/>
            </w:pPr>
            <w:r w:rsidRPr="001579F9">
              <w:t>Safe Work Australia to develop a strategy on harmful behaviours which:</w:t>
            </w:r>
          </w:p>
          <w:p w14:paraId="30D44DB3" w14:textId="0CE586FB" w:rsidR="004F48FE" w:rsidRPr="000F1DE6" w:rsidRDefault="004F48FE" w:rsidP="00447786">
            <w:pPr>
              <w:pStyle w:val="Listnumber2tables"/>
              <w:numPr>
                <w:ilvl w:val="0"/>
                <w:numId w:val="46"/>
              </w:numPr>
            </w:pPr>
            <w:r w:rsidRPr="000F1DE6">
              <w:t xml:space="preserve">amends the model WHS Act to clarify that the duty of care in section 19 includes the management of risks arising from harmful behaviours (see </w:t>
            </w:r>
            <w:r>
              <w:t>R</w:t>
            </w:r>
            <w:r w:rsidRPr="000F1DE6">
              <w:t>ecommendation 4)</w:t>
            </w:r>
          </w:p>
          <w:p w14:paraId="5BB587E5" w14:textId="77777777" w:rsidR="004F48FE" w:rsidRPr="000F1DE6" w:rsidRDefault="004F48FE" w:rsidP="00447786">
            <w:pPr>
              <w:pStyle w:val="Listnumber2tables"/>
              <w:numPr>
                <w:ilvl w:val="0"/>
                <w:numId w:val="46"/>
              </w:numPr>
            </w:pPr>
            <w:r w:rsidRPr="000F1DE6">
              <w:t>develops new model WHS Regulations to regulate access to facilities, including female designated toilets, and prevention of work-related violence and harassment, including gender-related violence</w:t>
            </w:r>
          </w:p>
          <w:p w14:paraId="5E2B3B0D" w14:textId="77777777" w:rsidR="00BC4C23" w:rsidRPr="001579F9" w:rsidRDefault="00BC4C23" w:rsidP="00447786">
            <w:pPr>
              <w:pStyle w:val="Listnumber2tables"/>
              <w:numPr>
                <w:ilvl w:val="0"/>
                <w:numId w:val="46"/>
              </w:numPr>
            </w:pPr>
            <w:r w:rsidRPr="001579F9">
              <w:t>supports a greater understanding of how the model WHS laws apply to harmful workplace behaviours</w:t>
            </w:r>
          </w:p>
          <w:p w14:paraId="3B8539EA" w14:textId="0D43E6CC" w:rsidR="00BC4C23" w:rsidRPr="001579F9" w:rsidRDefault="00BC4C23" w:rsidP="00447786">
            <w:pPr>
              <w:pStyle w:val="Listnumber2tables"/>
              <w:numPr>
                <w:ilvl w:val="0"/>
                <w:numId w:val="46"/>
              </w:numPr>
            </w:pPr>
            <w:r w:rsidRPr="001579F9">
              <w:t xml:space="preserve">strengthens through its </w:t>
            </w:r>
            <w:r w:rsidRPr="006D5A8E">
              <w:rPr>
                <w:i/>
                <w:iCs/>
              </w:rPr>
              <w:t>Research and Evaluation Strategy</w:t>
            </w:r>
            <w:r w:rsidRPr="001579F9">
              <w:t xml:space="preserve"> the evidence base on the management of harmful workplace behaviours, including how system level controls can prevent risks across different industries</w:t>
            </w:r>
            <w:r w:rsidR="00AC28F9">
              <w:t>, and</w:t>
            </w:r>
          </w:p>
          <w:p w14:paraId="1D158348" w14:textId="04EF2B27" w:rsidR="00BC4C23" w:rsidRPr="001579F9" w:rsidRDefault="00BC4C23" w:rsidP="00447786">
            <w:pPr>
              <w:pStyle w:val="Listnumber2tables"/>
              <w:numPr>
                <w:ilvl w:val="0"/>
                <w:numId w:val="46"/>
              </w:numPr>
            </w:pPr>
            <w:r w:rsidRPr="001579F9">
              <w:t xml:space="preserve">provides transparency and consistency of enforcement approach through the </w:t>
            </w:r>
            <w:r w:rsidR="00AC28F9" w:rsidRPr="00FE157E">
              <w:t>N</w:t>
            </w:r>
            <w:r w:rsidR="00AC28F9">
              <w:t>CEP</w:t>
            </w:r>
            <w:r w:rsidR="004F48FE" w:rsidRPr="00C378B7">
              <w:t>, Codes</w:t>
            </w:r>
            <w:r w:rsidRPr="001579F9">
              <w:t xml:space="preserve"> and other supporting materials to support duty holders to manage risks.</w:t>
            </w:r>
          </w:p>
        </w:tc>
      </w:tr>
    </w:tbl>
    <w:p w14:paraId="1CF95323" w14:textId="77777777" w:rsidR="002309E3" w:rsidRDefault="002309E3" w:rsidP="002309E3">
      <w:pPr>
        <w:pStyle w:val="Paragraph"/>
        <w:sectPr w:rsidR="002309E3" w:rsidSect="00DF1707">
          <w:headerReference w:type="default" r:id="rId28"/>
          <w:pgSz w:w="11906" w:h="16838" w:code="9"/>
          <w:pgMar w:top="1440" w:right="1080" w:bottom="1440" w:left="1080" w:header="709" w:footer="709" w:gutter="0"/>
          <w:cols w:space="708"/>
          <w:titlePg/>
          <w:docGrid w:linePitch="360"/>
        </w:sectPr>
      </w:pPr>
    </w:p>
    <w:p w14:paraId="67490507" w14:textId="0053E5C5" w:rsidR="00BC4C23" w:rsidRPr="00635849" w:rsidRDefault="001579F9" w:rsidP="001579F9">
      <w:pPr>
        <w:pStyle w:val="SWAHeading1"/>
        <w:numPr>
          <w:ilvl w:val="0"/>
          <w:numId w:val="0"/>
        </w:numPr>
        <w:rPr>
          <w:color w:val="FFFFFF" w:themeColor="background1"/>
        </w:rPr>
      </w:pPr>
      <w:bookmarkStart w:id="5" w:name="_Toc239845138"/>
      <w:r w:rsidRPr="00635849">
        <w:rPr>
          <w:color w:val="FFFFFF" w:themeColor="background1"/>
        </w:rPr>
        <w:lastRenderedPageBreak/>
        <w:t>Safe Work Australia actions</w:t>
      </w:r>
      <w:bookmarkEnd w:id="5"/>
    </w:p>
    <w:p w14:paraId="5EF563B9" w14:textId="77777777" w:rsidR="008A5959" w:rsidRPr="008A5959" w:rsidRDefault="008A5959" w:rsidP="00A44DE5">
      <w:pPr>
        <w:pStyle w:val="ListNumber"/>
        <w:numPr>
          <w:ilvl w:val="0"/>
          <w:numId w:val="10"/>
        </w:numPr>
      </w:pPr>
      <w:r w:rsidRPr="008A5959">
        <w:t>Develop and publish an annual scorecard which highlights jurisdictional variations to the model WHS laws; and variations where changes to the model WHS laws agreed at a national level have not been adopted.</w:t>
      </w:r>
    </w:p>
    <w:p w14:paraId="6BF0DE2F" w14:textId="77777777" w:rsidR="00F21CE3" w:rsidRDefault="008A5959" w:rsidP="00A44DE5">
      <w:pPr>
        <w:pStyle w:val="ListNumber"/>
        <w:numPr>
          <w:ilvl w:val="0"/>
          <w:numId w:val="10"/>
        </w:numPr>
      </w:pPr>
      <w:r w:rsidRPr="000F1DE6">
        <w:t xml:space="preserve">Confirm the procedure in the </w:t>
      </w:r>
      <w:r w:rsidR="00307F8A" w:rsidRPr="00307F8A">
        <w:rPr>
          <w:i/>
          <w:iCs/>
        </w:rPr>
        <w:t>Intergovernmental Agreement for Regulatory and Operational Reform in Occupational Health and Safety</w:t>
      </w:r>
      <w:r w:rsidRPr="000F1DE6">
        <w:t xml:space="preserve"> which establishes that no response by a WHS minister to a request by the set deadline will be counted as the minister having voted to approve the recommendation.</w:t>
      </w:r>
    </w:p>
    <w:p w14:paraId="201738BD" w14:textId="78A17BAE" w:rsidR="00F21CE3" w:rsidRDefault="001579F9" w:rsidP="00A44DE5">
      <w:pPr>
        <w:pStyle w:val="ListNumber"/>
        <w:numPr>
          <w:ilvl w:val="0"/>
          <w:numId w:val="10"/>
        </w:numPr>
      </w:pPr>
      <w:r w:rsidRPr="002309E3">
        <w:t>Establish</w:t>
      </w:r>
      <w:r w:rsidRPr="00307F8A">
        <w:t xml:space="preserve"> a Safe Work Australia Strategic Issues Group (SIG) </w:t>
      </w:r>
      <w:r w:rsidR="00A52FCE">
        <w:t>-</w:t>
      </w:r>
      <w:r w:rsidRPr="00307F8A">
        <w:t xml:space="preserve"> Compliance and Enforcement.</w:t>
      </w:r>
    </w:p>
    <w:p w14:paraId="25D4B4CC" w14:textId="70CA7CC6" w:rsidR="001579F9" w:rsidRPr="00307F8A" w:rsidRDefault="001579F9" w:rsidP="00A44DE5">
      <w:pPr>
        <w:pStyle w:val="ListNumber"/>
        <w:numPr>
          <w:ilvl w:val="0"/>
          <w:numId w:val="10"/>
        </w:numPr>
      </w:pPr>
      <w:r w:rsidRPr="00307F8A">
        <w:t>Establish a Safe Work Australia SIG</w:t>
      </w:r>
      <w:r w:rsidR="008B412D">
        <w:t>-</w:t>
      </w:r>
      <w:r w:rsidRPr="00307F8A">
        <w:t>Reducing Work Related Fatalities.</w:t>
      </w:r>
    </w:p>
    <w:p w14:paraId="6C28CED2" w14:textId="77777777" w:rsidR="008A5959" w:rsidRPr="00307F8A" w:rsidRDefault="008A5959" w:rsidP="00A44DE5">
      <w:pPr>
        <w:pStyle w:val="ListNumber"/>
        <w:numPr>
          <w:ilvl w:val="0"/>
          <w:numId w:val="10"/>
        </w:numPr>
      </w:pPr>
      <w:r w:rsidRPr="00307F8A">
        <w:t>Engage with coroners’ courts to establish arrangements for sharing findings quickly and systematically.</w:t>
      </w:r>
    </w:p>
    <w:p w14:paraId="749350E3" w14:textId="77777777" w:rsidR="001579F9" w:rsidRPr="00307F8A" w:rsidRDefault="001579F9" w:rsidP="00A44DE5">
      <w:pPr>
        <w:pStyle w:val="ListNumber"/>
        <w:numPr>
          <w:ilvl w:val="0"/>
          <w:numId w:val="10"/>
        </w:numPr>
      </w:pPr>
      <w:r w:rsidRPr="00307F8A">
        <w:t>Monitor opportunities to promote harmonisation of overlapping safety frameworks with the model WHS laws.</w:t>
      </w:r>
    </w:p>
    <w:p w14:paraId="52930562" w14:textId="77777777" w:rsidR="008A5959" w:rsidRPr="00307F8A" w:rsidRDefault="008A5959" w:rsidP="00A44DE5">
      <w:pPr>
        <w:pStyle w:val="ListNumber"/>
        <w:numPr>
          <w:ilvl w:val="0"/>
          <w:numId w:val="10"/>
        </w:numPr>
      </w:pPr>
      <w:r w:rsidRPr="00307F8A">
        <w:t>Work with relevant agencies, including the Australian Human Rights Commission, with the aim of advocating for positive duties in anti-discrimination laws to directly reference the primary duty of care in the model WHS Act.</w:t>
      </w:r>
    </w:p>
    <w:p w14:paraId="6D42503F" w14:textId="77777777" w:rsidR="008A5959" w:rsidRPr="000F1DE6" w:rsidRDefault="008A5959" w:rsidP="00A44DE5">
      <w:pPr>
        <w:pStyle w:val="ListNumber"/>
        <w:numPr>
          <w:ilvl w:val="0"/>
          <w:numId w:val="10"/>
        </w:numPr>
      </w:pPr>
      <w:r w:rsidRPr="050C3BF3">
        <w:t xml:space="preserve">Establish agreements with </w:t>
      </w:r>
      <w:r>
        <w:t>d</w:t>
      </w:r>
      <w:r w:rsidRPr="050C3BF3">
        <w:t xml:space="preserve">epartments of </w:t>
      </w:r>
      <w:r>
        <w:t>j</w:t>
      </w:r>
      <w:r w:rsidRPr="050C3BF3">
        <w:t xml:space="preserve">ustice (or equivalent) in each state and territory to </w:t>
      </w:r>
      <w:r w:rsidRPr="00307F8A">
        <w:t>access</w:t>
      </w:r>
      <w:r w:rsidRPr="050C3BF3">
        <w:t xml:space="preserve"> decisions relating to WHS matters.</w:t>
      </w:r>
    </w:p>
    <w:p w14:paraId="240D8450" w14:textId="77777777" w:rsidR="008A5959" w:rsidRPr="00307F8A" w:rsidRDefault="008A5959" w:rsidP="00A44DE5">
      <w:pPr>
        <w:pStyle w:val="ListNumber"/>
        <w:numPr>
          <w:ilvl w:val="0"/>
          <w:numId w:val="10"/>
        </w:numPr>
      </w:pPr>
      <w:r w:rsidRPr="00307F8A">
        <w:t>Consider the Commonwealth, WA, NSW and Queensland approaches of an express statement that no limitation period should apply for an alternative verdict.</w:t>
      </w:r>
    </w:p>
    <w:p w14:paraId="3599BB9E" w14:textId="35058B1A" w:rsidR="008A5959" w:rsidRPr="000F1DE6" w:rsidRDefault="008A5959" w:rsidP="00A44DE5">
      <w:pPr>
        <w:pStyle w:val="ListNumber"/>
        <w:numPr>
          <w:ilvl w:val="0"/>
          <w:numId w:val="10"/>
        </w:numPr>
      </w:pPr>
      <w:r w:rsidRPr="000F1DE6">
        <w:t xml:space="preserve">Do </w:t>
      </w:r>
      <w:r w:rsidRPr="00307F8A">
        <w:t>further</w:t>
      </w:r>
      <w:r w:rsidRPr="000F1DE6">
        <w:t xml:space="preserve"> work to inform potential amendments to the model WHS Act in relation to increasing the use of alternative sentencing for WHS offences, drawing on </w:t>
      </w:r>
      <w:r>
        <w:t>R</w:t>
      </w:r>
      <w:r w:rsidRPr="000F1DE6">
        <w:t>ecommendations 1</w:t>
      </w:r>
      <w:r w:rsidRPr="00307F8A">
        <w:t>-</w:t>
      </w:r>
      <w:r w:rsidRPr="000F1DE6">
        <w:t xml:space="preserve">6 of the </w:t>
      </w:r>
      <w:r w:rsidRPr="000F1DE6">
        <w:rPr>
          <w:i/>
        </w:rPr>
        <w:t xml:space="preserve">Sentencing </w:t>
      </w:r>
      <w:r w:rsidR="008B412D">
        <w:rPr>
          <w:i/>
        </w:rPr>
        <w:t>o</w:t>
      </w:r>
      <w:r>
        <w:rPr>
          <w:i/>
        </w:rPr>
        <w:t xml:space="preserve">ccupational </w:t>
      </w:r>
      <w:r w:rsidR="008B412D">
        <w:rPr>
          <w:i/>
        </w:rPr>
        <w:t>h</w:t>
      </w:r>
      <w:r>
        <w:rPr>
          <w:i/>
        </w:rPr>
        <w:t xml:space="preserve">ealth and </w:t>
      </w:r>
      <w:r w:rsidR="008B412D">
        <w:rPr>
          <w:i/>
        </w:rPr>
        <w:t>s</w:t>
      </w:r>
      <w:r>
        <w:rPr>
          <w:i/>
        </w:rPr>
        <w:t xml:space="preserve">afety </w:t>
      </w:r>
      <w:r w:rsidR="008B412D">
        <w:rPr>
          <w:i/>
        </w:rPr>
        <w:t>o</w:t>
      </w:r>
      <w:r w:rsidRPr="000F1DE6">
        <w:rPr>
          <w:i/>
        </w:rPr>
        <w:t>ffences in Victoria</w:t>
      </w:r>
      <w:r w:rsidRPr="000F1DE6">
        <w:t xml:space="preserve"> </w:t>
      </w:r>
      <w:r>
        <w:t>r</w:t>
      </w:r>
      <w:r w:rsidRPr="000F1DE6">
        <w:t>eport.</w:t>
      </w:r>
    </w:p>
    <w:p w14:paraId="65BF6BF8" w14:textId="77777777" w:rsidR="001579F9" w:rsidRPr="00307F8A" w:rsidRDefault="001579F9" w:rsidP="00A44DE5">
      <w:pPr>
        <w:pStyle w:val="ListNumber"/>
        <w:numPr>
          <w:ilvl w:val="0"/>
          <w:numId w:val="10"/>
        </w:numPr>
      </w:pPr>
      <w:r w:rsidRPr="00307F8A">
        <w:t>Do further work to inform potential amendments to the model WHS Act in relation to WHS penalties for large corporations, drawing on recent reforms to Commonwealth civil penalty regimes.</w:t>
      </w:r>
    </w:p>
    <w:p w14:paraId="337ADC52" w14:textId="77777777" w:rsidR="00F21CE3" w:rsidRDefault="001579F9" w:rsidP="00A44DE5">
      <w:pPr>
        <w:pStyle w:val="ListNumber"/>
        <w:numPr>
          <w:ilvl w:val="0"/>
          <w:numId w:val="10"/>
        </w:numPr>
      </w:pPr>
      <w:r w:rsidRPr="00307F8A">
        <w:t>Establish</w:t>
      </w:r>
      <w:r w:rsidRPr="002309E3">
        <w:t xml:space="preserve"> a WHS technical panel to support informed decision-making on specialist WHS matters.</w:t>
      </w:r>
    </w:p>
    <w:p w14:paraId="7847C0BF" w14:textId="35E87FC8" w:rsidR="008A5959" w:rsidRPr="009A3740" w:rsidRDefault="008A5959" w:rsidP="00A44DE5">
      <w:pPr>
        <w:pStyle w:val="ListNumber"/>
        <w:numPr>
          <w:ilvl w:val="0"/>
          <w:numId w:val="10"/>
        </w:numPr>
      </w:pPr>
      <w:r w:rsidRPr="00307F8A">
        <w:t xml:space="preserve">Develop education and communications activities to ensure PCBUs, workers and others have clear, simple and easily accessible advice on how the current model WHS laws apply to artificial intelligence </w:t>
      </w:r>
      <w:r w:rsidR="00307F8A" w:rsidRPr="00307F8A">
        <w:t>use in the workplace.</w:t>
      </w:r>
    </w:p>
    <w:p w14:paraId="4132B178" w14:textId="77777777" w:rsidR="002309E3" w:rsidRDefault="002309E3">
      <w:pPr>
        <w:spacing w:after="200" w:line="276" w:lineRule="auto"/>
        <w:contextualSpacing w:val="0"/>
      </w:pPr>
    </w:p>
    <w:p w14:paraId="60E3094E" w14:textId="77777777" w:rsidR="002309E3" w:rsidRDefault="002309E3">
      <w:pPr>
        <w:spacing w:after="200" w:line="276" w:lineRule="auto"/>
        <w:contextualSpacing w:val="0"/>
        <w:sectPr w:rsidR="002309E3" w:rsidSect="00DF1707">
          <w:headerReference w:type="default" r:id="rId29"/>
          <w:pgSz w:w="11906" w:h="16838" w:code="9"/>
          <w:pgMar w:top="1440" w:right="1080" w:bottom="1440" w:left="1080" w:header="709" w:footer="709" w:gutter="0"/>
          <w:cols w:space="708"/>
          <w:titlePg/>
          <w:docGrid w:linePitch="360"/>
        </w:sectPr>
      </w:pPr>
    </w:p>
    <w:p w14:paraId="50C1683A" w14:textId="2ECBC9DD" w:rsidR="00E6439B" w:rsidRPr="00635849" w:rsidRDefault="002309E3" w:rsidP="005E24DF">
      <w:pPr>
        <w:pStyle w:val="SWAHeading1"/>
        <w:numPr>
          <w:ilvl w:val="0"/>
          <w:numId w:val="0"/>
        </w:numPr>
        <w:spacing w:after="440"/>
        <w:rPr>
          <w:color w:val="FFFFFF" w:themeColor="background1"/>
        </w:rPr>
      </w:pPr>
      <w:bookmarkStart w:id="6" w:name="_Toc239845139"/>
      <w:r w:rsidRPr="00635849">
        <w:rPr>
          <w:color w:val="FFFFFF" w:themeColor="background1"/>
        </w:rPr>
        <w:lastRenderedPageBreak/>
        <w:t>Introduction</w:t>
      </w:r>
      <w:bookmarkEnd w:id="6"/>
    </w:p>
    <w:p w14:paraId="31CB5AC0" w14:textId="77777777" w:rsidR="00523621" w:rsidRPr="000F1DE6" w:rsidRDefault="00523621" w:rsidP="00523621">
      <w:pPr>
        <w:pStyle w:val="Paragraph"/>
        <w:rPr>
          <w:lang w:eastAsia="en-US"/>
        </w:rPr>
      </w:pPr>
      <w:r w:rsidRPr="000F1DE6">
        <w:rPr>
          <w:lang w:eastAsia="en-US"/>
        </w:rPr>
        <w:t xml:space="preserve">The model WHS laws provide the framework for nationally consistent regulation of WHS in each Australian jurisdiction. They include the model WHS Act, model WHS Regulations, and 32 model Codes of Practice, supported by </w:t>
      </w:r>
      <w:r w:rsidRPr="00FA3A87">
        <w:rPr>
          <w:lang w:eastAsia="en-US"/>
        </w:rPr>
        <w:t>an NCEP.</w:t>
      </w:r>
      <w:r w:rsidRPr="000F1DE6">
        <w:rPr>
          <w:lang w:eastAsia="en-US"/>
        </w:rPr>
        <w:t xml:space="preserve"> For the model WHS laws to be legally binding, each jurisdiction must separately adopt them. Since 1 January 2012, all jurisdictions have adopted the model WHS laws except Victoria.</w:t>
      </w:r>
    </w:p>
    <w:p w14:paraId="5A7D8DAC" w14:textId="4D0C3EFC" w:rsidR="002309E3" w:rsidRPr="000F1DE6" w:rsidRDefault="002309E3" w:rsidP="00523621">
      <w:pPr>
        <w:pStyle w:val="Paragraph"/>
      </w:pPr>
      <w:r w:rsidRPr="005E54EA">
        <w:t>In September 2024, WHS ministers asked Safe Work Australia to prepare a proposal on how it would</w:t>
      </w:r>
      <w:r w:rsidRPr="000F1DE6">
        <w:t xml:space="preserve"> undertake a best practice review of the model WHS laws in the context of seeking to maintain a harmonised </w:t>
      </w:r>
      <w:r w:rsidRPr="009A3740">
        <w:t>approach (</w:t>
      </w:r>
      <w:r w:rsidR="00523621" w:rsidRPr="00A81DE9">
        <w:t xml:space="preserve">this </w:t>
      </w:r>
      <w:r w:rsidR="00523621" w:rsidRPr="009A3740">
        <w:t>Review).</w:t>
      </w:r>
      <w:r w:rsidRPr="000F1DE6">
        <w:t xml:space="preserve"> This would involve examining alternative approaches </w:t>
      </w:r>
      <w:r w:rsidR="00523621">
        <w:t xml:space="preserve">that </w:t>
      </w:r>
      <w:r>
        <w:t xml:space="preserve">jurisdictions </w:t>
      </w:r>
      <w:r w:rsidR="00523621">
        <w:t xml:space="preserve">are using </w:t>
      </w:r>
      <w:r w:rsidR="00523621" w:rsidRPr="009A3740">
        <w:t>that could be considered for adoption nationally.</w:t>
      </w:r>
      <w:r w:rsidRPr="000F1DE6">
        <w:t xml:space="preserve"> WHS ministers also requested Safe Work Australia look at relevant recommendations from the most recent South Australian and Queensland reviews for consideration nationally. The relevant WHS ministers’ communique is provided at </w:t>
      </w:r>
      <w:r w:rsidRPr="000F1DE6">
        <w:rPr>
          <w:b/>
        </w:rPr>
        <w:t>Appendix A</w:t>
      </w:r>
      <w:r w:rsidRPr="000F1DE6">
        <w:t xml:space="preserve">. WHS ministers subsequently agreed the Terms of Reference for this Review in </w:t>
      </w:r>
      <w:r w:rsidR="00EC6DCB">
        <w:t>June</w:t>
      </w:r>
      <w:r w:rsidRPr="000F1DE6">
        <w:t xml:space="preserve"> 2025, which are provided at </w:t>
      </w:r>
      <w:r w:rsidRPr="000F1DE6">
        <w:rPr>
          <w:b/>
        </w:rPr>
        <w:t>Appendix B</w:t>
      </w:r>
      <w:r w:rsidRPr="000F1DE6">
        <w:t>.</w:t>
      </w:r>
    </w:p>
    <w:p w14:paraId="70F41553" w14:textId="25ECBDB2" w:rsidR="00F21CE3" w:rsidRDefault="002309E3" w:rsidP="00523621">
      <w:pPr>
        <w:pStyle w:val="Paragraph"/>
      </w:pPr>
      <w:r w:rsidRPr="000F1DE6">
        <w:t>A formal consultation process to inform this Review – the first national review of the model WHS laws since 2018 – ran from 1 September 2025 to 31 March 202</w:t>
      </w:r>
      <w:r w:rsidR="00696D20">
        <w:t>6</w:t>
      </w:r>
      <w:r w:rsidRPr="000F1DE6">
        <w:t xml:space="preserve">. </w:t>
      </w:r>
      <w:r w:rsidR="00523621" w:rsidRPr="000F1DE6">
        <w:t xml:space="preserve">It involved the release of a </w:t>
      </w:r>
      <w:r w:rsidR="00523621">
        <w:t>d</w:t>
      </w:r>
      <w:r w:rsidR="00523621" w:rsidRPr="000F1DE6">
        <w:t xml:space="preserve">iscussion </w:t>
      </w:r>
      <w:r w:rsidR="00523621">
        <w:t>p</w:t>
      </w:r>
      <w:r w:rsidR="00523621" w:rsidRPr="000F1DE6">
        <w:t>aper</w:t>
      </w:r>
      <w:r w:rsidR="00523621">
        <w:t>;</w:t>
      </w:r>
      <w:r w:rsidR="00523621" w:rsidRPr="000F1DE6">
        <w:t xml:space="preserve"> a call for written stakeholder submissions</w:t>
      </w:r>
      <w:r w:rsidR="00523621">
        <w:t>;</w:t>
      </w:r>
      <w:r w:rsidR="00523621" w:rsidRPr="000F1DE6">
        <w:t xml:space="preserve"> and the publication of 3 online surveys to gain further insight from employers, workers</w:t>
      </w:r>
      <w:r w:rsidRPr="000F1DE6">
        <w:t xml:space="preserve"> and health and safety representatives (HSRs).</w:t>
      </w:r>
    </w:p>
    <w:p w14:paraId="44C22866" w14:textId="77777777" w:rsidR="00F21CE3" w:rsidRDefault="002309E3" w:rsidP="00523621">
      <w:pPr>
        <w:pStyle w:val="Paragraph"/>
      </w:pPr>
      <w:r w:rsidRPr="000F1DE6">
        <w:t xml:space="preserve">Safe Work Australia held over 100 in-person and online meetings with stakeholders across the WHS system. This included in-person meetings in every capital city and 2 regional centres; and several site visits. </w:t>
      </w:r>
      <w:r w:rsidR="00523621" w:rsidRPr="000F1DE6">
        <w:t>In March 2026,</w:t>
      </w:r>
      <w:r w:rsidR="00523621" w:rsidRPr="000F1DE6" w:rsidDel="00C631E2">
        <w:t xml:space="preserve"> </w:t>
      </w:r>
      <w:r w:rsidR="00523621" w:rsidRPr="000F1DE6">
        <w:t>a </w:t>
      </w:r>
      <w:r w:rsidRPr="000F1DE6">
        <w:t>consultation summary</w:t>
      </w:r>
      <w:r w:rsidR="00523621" w:rsidRPr="000F1DE6">
        <w:t> </w:t>
      </w:r>
      <w:r w:rsidRPr="000F1DE6">
        <w:t>was published which identified key themes and issues raised during the consultation process.</w:t>
      </w:r>
      <w:r w:rsidR="00680D1A" w:rsidRPr="005E54EA">
        <w:rPr>
          <w:vertAlign w:val="superscript"/>
        </w:rPr>
        <w:footnoteReference w:id="3"/>
      </w:r>
      <w:r w:rsidRPr="000F1DE6">
        <w:t xml:space="preserve"> All feedback within the scope of the Terms of Reference was considered.</w:t>
      </w:r>
    </w:p>
    <w:p w14:paraId="4E0AFDC0" w14:textId="77777777" w:rsidR="00F21CE3" w:rsidRDefault="002309E3" w:rsidP="00523621">
      <w:pPr>
        <w:pStyle w:val="Paragraph"/>
      </w:pPr>
      <w:r w:rsidRPr="000F1DE6">
        <w:t>This Review also considered the outcomes of other best practice reviews and other inquiries relevant to its Terms of Reference. Wherever available, this Review has drawn on available data and research to inform its recommendations; and has pointed out key areas where there are gaps in the relevant evidence base.</w:t>
      </w:r>
    </w:p>
    <w:p w14:paraId="567D4613" w14:textId="6794AF03" w:rsidR="002309E3" w:rsidRPr="000F1DE6" w:rsidRDefault="002309E3" w:rsidP="00523621">
      <w:pPr>
        <w:pStyle w:val="Paragraph"/>
      </w:pPr>
      <w:r w:rsidRPr="000F1DE6">
        <w:t>As required by its Terms of Reference, Safe Work Australia also received expert advice on a range of matters to inform this Review. These experts included:</w:t>
      </w:r>
    </w:p>
    <w:p w14:paraId="1EF61C79" w14:textId="77777777" w:rsidR="002309E3" w:rsidRPr="001F6410" w:rsidRDefault="002309E3" w:rsidP="00B92D5B">
      <w:pPr>
        <w:pStyle w:val="ListBullet"/>
      </w:pPr>
      <w:r w:rsidRPr="001F6410">
        <w:t xml:space="preserve">Mr Richard Dennis AM PSM, </w:t>
      </w:r>
      <w:r w:rsidR="00523621" w:rsidRPr="001F6410">
        <w:t>legal</w:t>
      </w:r>
      <w:r w:rsidRPr="001F6410">
        <w:t xml:space="preserve"> practitioner and legislative drafter</w:t>
      </w:r>
    </w:p>
    <w:p w14:paraId="62AF1211" w14:textId="77777777" w:rsidR="002309E3" w:rsidRPr="001F6410" w:rsidRDefault="002309E3" w:rsidP="00B92D5B">
      <w:pPr>
        <w:pStyle w:val="ListBullet"/>
      </w:pPr>
      <w:r w:rsidRPr="001F6410">
        <w:t>Ms Jane Hall, Partner, Thomson Geer Law</w:t>
      </w:r>
    </w:p>
    <w:p w14:paraId="4DBBB539" w14:textId="77777777" w:rsidR="00F21CE3" w:rsidRDefault="002309E3" w:rsidP="00B92D5B">
      <w:pPr>
        <w:pStyle w:val="ListBullet"/>
      </w:pPr>
      <w:r w:rsidRPr="001F6410">
        <w:t>Mr Edward Santow, Director, Human Technology Institute, University of Technology Sydney</w:t>
      </w:r>
    </w:p>
    <w:p w14:paraId="632C73C0" w14:textId="16B58BAA" w:rsidR="002309E3" w:rsidRPr="001F6410" w:rsidRDefault="002309E3" w:rsidP="00B92D5B">
      <w:pPr>
        <w:pStyle w:val="ListBullet"/>
      </w:pPr>
      <w:r w:rsidRPr="001F6410">
        <w:t>Dr Elizabeth Humphrys, Head of Social and Political Sciences, University of Technology Sydney</w:t>
      </w:r>
    </w:p>
    <w:p w14:paraId="269CB2C3" w14:textId="3DB94D5A" w:rsidR="0016789A" w:rsidRPr="0016789A" w:rsidRDefault="002309E3" w:rsidP="0016789A">
      <w:pPr>
        <w:pStyle w:val="ListBullet"/>
      </w:pPr>
      <w:r w:rsidRPr="001F6410">
        <w:t>Dr Eugene Schofield-Georgeson, Senior Lecturer, Faculty of Law, University of Technology Sydney</w:t>
      </w:r>
      <w:r w:rsidR="00523621" w:rsidRPr="001F6410">
        <w:t>.</w:t>
      </w:r>
      <w:r w:rsidR="0016789A">
        <w:br w:type="page"/>
      </w:r>
    </w:p>
    <w:p w14:paraId="4A1CB6DD" w14:textId="77777777" w:rsidR="00F21CE3" w:rsidRPr="00AF70A2" w:rsidRDefault="002309E3" w:rsidP="00523621">
      <w:pPr>
        <w:pStyle w:val="Paragraph"/>
      </w:pPr>
      <w:r w:rsidRPr="000F1DE6">
        <w:lastRenderedPageBreak/>
        <w:t>Safe Work Australia thanks all experts for their important contributions, noting this Review’s conclusions and recommendations are our own. Safe Work Australia also established a Reference Group of its Members</w:t>
      </w:r>
      <w:r w:rsidR="00523621">
        <w:t>,</w:t>
      </w:r>
      <w:r w:rsidRPr="000F1DE6">
        <w:t xml:space="preserve"> who met throughout this Review process to consider key documents and provide valuable </w:t>
      </w:r>
      <w:r w:rsidRPr="00AF70A2">
        <w:t>feedback. Thank you to the Reference Group for your input.</w:t>
      </w:r>
    </w:p>
    <w:p w14:paraId="1DD43BE4" w14:textId="35243BF3" w:rsidR="002309E3" w:rsidRPr="00AF70A2" w:rsidRDefault="002309E3" w:rsidP="00523621">
      <w:pPr>
        <w:pStyle w:val="Paragraph"/>
      </w:pPr>
      <w:r w:rsidRPr="00AF70A2">
        <w:t>This Review is making 21 recommendations to WHS ministers to strengthen and maintain harmonisation and to incorporate best practice approaches currently contained in jurisdictional variations to support the objectives of the model WHS Act</w:t>
      </w:r>
      <w:r w:rsidR="00523621" w:rsidRPr="00AF70A2">
        <w:t>.</w:t>
      </w:r>
      <w:r w:rsidR="00523621" w:rsidRPr="00AF70A2">
        <w:rPr>
          <w:vertAlign w:val="superscript"/>
        </w:rPr>
        <w:footnoteReference w:id="4"/>
      </w:r>
      <w:r w:rsidR="00523621" w:rsidRPr="00AF70A2">
        <w:t xml:space="preserve"> Some recommendations are made to provide the foundation for future work by Safe Work Australia to deal with emerging issues such as AI. The Review also identified several actions that do not require agreement by WHS ministers to implement. Safe Work Australia Members have agreed to progress these immediately.</w:t>
      </w:r>
      <w:r w:rsidR="00523621" w:rsidRPr="00AF70A2">
        <w:rPr>
          <w:vertAlign w:val="superscript"/>
        </w:rPr>
        <w:footnoteReference w:id="5"/>
      </w:r>
    </w:p>
    <w:p w14:paraId="457A5152" w14:textId="71D26D24" w:rsidR="002309E3" w:rsidRPr="002309E3" w:rsidRDefault="002309E3" w:rsidP="002309E3">
      <w:pPr>
        <w:pStyle w:val="Paragraph"/>
        <w:rPr>
          <w:lang w:eastAsia="en-US"/>
        </w:rPr>
      </w:pPr>
      <w:r w:rsidRPr="00AF70A2">
        <w:rPr>
          <w:lang w:eastAsia="en-US"/>
        </w:rPr>
        <w:t>Thank you to everyone who contributed to this Review.</w:t>
      </w:r>
    </w:p>
    <w:p w14:paraId="342B11C8" w14:textId="77777777" w:rsidR="002309E3" w:rsidRDefault="002309E3" w:rsidP="00C55110"/>
    <w:p w14:paraId="2776A07F" w14:textId="77777777" w:rsidR="002309E3" w:rsidRPr="00C55110" w:rsidRDefault="002309E3" w:rsidP="00C55110">
      <w:pPr>
        <w:sectPr w:rsidR="002309E3" w:rsidRPr="00C55110" w:rsidSect="00DF1707">
          <w:headerReference w:type="default" r:id="rId30"/>
          <w:pgSz w:w="11906" w:h="16838" w:code="9"/>
          <w:pgMar w:top="1440" w:right="1080" w:bottom="1560" w:left="1080" w:header="709" w:footer="709" w:gutter="0"/>
          <w:cols w:space="708"/>
          <w:titlePg/>
          <w:docGrid w:linePitch="360"/>
        </w:sectPr>
      </w:pPr>
    </w:p>
    <w:p w14:paraId="02CB8F3C" w14:textId="07EA80ED" w:rsidR="00BF204D" w:rsidRPr="00BF204D" w:rsidRDefault="00E9508B" w:rsidP="00BF204D">
      <w:pPr>
        <w:pStyle w:val="SWAHeading1"/>
      </w:pPr>
      <w:bookmarkStart w:id="7" w:name="_Toc239845140"/>
      <w:r>
        <w:lastRenderedPageBreak/>
        <w:t>The harmonisation objective</w:t>
      </w:r>
      <w:bookmarkEnd w:id="7"/>
    </w:p>
    <w:p w14:paraId="4A572ADE" w14:textId="64B931FA" w:rsidR="00BF204D" w:rsidRPr="00BF204D" w:rsidRDefault="00E9508B" w:rsidP="00BF204D">
      <w:pPr>
        <w:pStyle w:val="Boxedshaded"/>
        <w:rPr>
          <w:b/>
          <w:bCs/>
        </w:rPr>
      </w:pPr>
      <w:r w:rsidRPr="00BF204D">
        <w:rPr>
          <w:b/>
          <w:bCs/>
        </w:rPr>
        <w:t>Terms of Reference:</w:t>
      </w:r>
    </w:p>
    <w:p w14:paraId="0882A908" w14:textId="236DB77B" w:rsidR="00BF204D" w:rsidRDefault="00E9508B" w:rsidP="00BF204D">
      <w:pPr>
        <w:pStyle w:val="Boxedshaded"/>
        <w:rPr>
          <w:b/>
          <w:bCs/>
        </w:rPr>
      </w:pPr>
      <w:r w:rsidRPr="001D6782">
        <w:t>2.1, 2.2, 2.3, 2.4, 2.6</w:t>
      </w:r>
    </w:p>
    <w:p w14:paraId="560EC433" w14:textId="77777777" w:rsidR="00BF204D" w:rsidRPr="00BF204D" w:rsidRDefault="00E9508B" w:rsidP="00BF204D">
      <w:pPr>
        <w:pStyle w:val="Boxedshaded"/>
        <w:rPr>
          <w:b/>
          <w:bCs/>
        </w:rPr>
      </w:pPr>
      <w:r w:rsidRPr="00BF204D">
        <w:rPr>
          <w:b/>
          <w:bCs/>
        </w:rPr>
        <w:t>Reviews considered in this chapter:</w:t>
      </w:r>
    </w:p>
    <w:p w14:paraId="31C16CF6" w14:textId="77777777" w:rsidR="00BF204D" w:rsidRPr="005E5BED" w:rsidRDefault="00E9508B" w:rsidP="00BF204D">
      <w:pPr>
        <w:pStyle w:val="Boxedshadedbullets"/>
      </w:pPr>
      <w:r w:rsidRPr="005E5BED">
        <w:t xml:space="preserve">1972 </w:t>
      </w:r>
      <w:r w:rsidRPr="005E5BED">
        <w:rPr>
          <w:i/>
        </w:rPr>
        <w:t>Safety and Health at Work</w:t>
      </w:r>
      <w:r w:rsidRPr="005E5BED">
        <w:t>, Report of the Committee</w:t>
      </w:r>
    </w:p>
    <w:p w14:paraId="79BD03F5" w14:textId="2E0A21F2" w:rsidR="00F21CE3" w:rsidRPr="005E5BED" w:rsidRDefault="00E9508B" w:rsidP="00BF204D">
      <w:pPr>
        <w:pStyle w:val="Boxedshadedbullets"/>
      </w:pPr>
      <w:r w:rsidRPr="005E5BED">
        <w:t xml:space="preserve">2004 </w:t>
      </w:r>
      <w:r w:rsidRPr="005E5BED">
        <w:rPr>
          <w:i/>
          <w:iCs/>
        </w:rPr>
        <w:t>Occupational Health and Safety Act Review</w:t>
      </w:r>
    </w:p>
    <w:p w14:paraId="3AC9576A" w14:textId="4AA0111B" w:rsidR="00E9508B" w:rsidRPr="005E5BED" w:rsidRDefault="00E9508B" w:rsidP="00BF204D">
      <w:pPr>
        <w:pStyle w:val="Boxedshadedbullets"/>
      </w:pPr>
      <w:r w:rsidRPr="005E5BED">
        <w:t xml:space="preserve">2008 </w:t>
      </w:r>
      <w:r w:rsidRPr="005E5BED">
        <w:rPr>
          <w:i/>
          <w:iCs/>
        </w:rPr>
        <w:t xml:space="preserve">National Review into </w:t>
      </w:r>
      <w:r w:rsidR="00B94400" w:rsidRPr="005E5BED">
        <w:rPr>
          <w:i/>
          <w:iCs/>
        </w:rPr>
        <w:t>Model</w:t>
      </w:r>
      <w:r w:rsidRPr="005E5BED">
        <w:rPr>
          <w:i/>
          <w:iCs/>
        </w:rPr>
        <w:t xml:space="preserve"> Occupational Health and Safety Laws</w:t>
      </w:r>
      <w:r w:rsidRPr="005E5BED">
        <w:t xml:space="preserve"> (</w:t>
      </w:r>
      <w:r w:rsidRPr="00994FB5">
        <w:rPr>
          <w:i/>
          <w:iCs/>
        </w:rPr>
        <w:t>2008 National Review</w:t>
      </w:r>
      <w:r w:rsidRPr="005E5BED">
        <w:t>)</w:t>
      </w:r>
    </w:p>
    <w:p w14:paraId="592B632F" w14:textId="1D46EBB6" w:rsidR="00E9508B" w:rsidRPr="005E5BED" w:rsidRDefault="00E9508B" w:rsidP="00BF204D">
      <w:pPr>
        <w:pStyle w:val="Boxedshadedbullets"/>
      </w:pPr>
      <w:r w:rsidRPr="005E5BED">
        <w:t xml:space="preserve">2014 </w:t>
      </w:r>
      <w:r w:rsidRPr="005E5BED">
        <w:rPr>
          <w:i/>
          <w:iCs/>
        </w:rPr>
        <w:t>COAG Review: Improving the model Work Health and Safety laws</w:t>
      </w:r>
    </w:p>
    <w:p w14:paraId="7088EE91" w14:textId="14EE3B3C" w:rsidR="00246EF7" w:rsidRPr="005E5BED" w:rsidRDefault="00E9508B" w:rsidP="00BF204D">
      <w:pPr>
        <w:pStyle w:val="Boxedshadedbullets"/>
      </w:pPr>
      <w:r w:rsidRPr="005E5BED">
        <w:t xml:space="preserve">2018 </w:t>
      </w:r>
      <w:r w:rsidRPr="005E5BED">
        <w:rPr>
          <w:i/>
          <w:iCs/>
        </w:rPr>
        <w:t>Review of the model Work Health and Safety laws</w:t>
      </w:r>
      <w:r w:rsidRPr="005E5BED">
        <w:t xml:space="preserve"> (</w:t>
      </w:r>
      <w:r w:rsidRPr="00994FB5">
        <w:rPr>
          <w:i/>
          <w:iCs/>
        </w:rPr>
        <w:t>2018 National Review</w:t>
      </w:r>
      <w:r w:rsidRPr="005E5BED">
        <w:t>)</w:t>
      </w:r>
    </w:p>
    <w:p w14:paraId="5035317A" w14:textId="37BD266B" w:rsidR="001D6782" w:rsidRPr="005F02CB" w:rsidRDefault="001D6782" w:rsidP="00BF204D">
      <w:pPr>
        <w:pStyle w:val="Boxedshadedbullets"/>
      </w:pPr>
      <w:r w:rsidRPr="005E5BED">
        <w:t xml:space="preserve">2018 </w:t>
      </w:r>
      <w:r w:rsidR="00804EFA" w:rsidRPr="005E5BED">
        <w:t>R</w:t>
      </w:r>
      <w:r w:rsidR="00984F2F" w:rsidRPr="005E5BED">
        <w:t xml:space="preserve">eport of the </w:t>
      </w:r>
      <w:r w:rsidRPr="005E5BED">
        <w:t>Senate Education and Employment</w:t>
      </w:r>
      <w:r w:rsidRPr="001D6782">
        <w:t xml:space="preserve"> References Committee</w:t>
      </w:r>
      <w:r w:rsidR="00883B09">
        <w:t>,</w:t>
      </w:r>
      <w:r w:rsidRPr="001D6782">
        <w:t xml:space="preserve"> </w:t>
      </w:r>
      <w:r w:rsidRPr="00104770">
        <w:rPr>
          <w:i/>
          <w:iCs/>
        </w:rPr>
        <w:t xml:space="preserve">They </w:t>
      </w:r>
      <w:r w:rsidR="005F02CB" w:rsidRPr="00104770">
        <w:rPr>
          <w:i/>
          <w:iCs/>
        </w:rPr>
        <w:t>never came home</w:t>
      </w:r>
      <w:r w:rsidRPr="00104770">
        <w:rPr>
          <w:i/>
          <w:iCs/>
        </w:rPr>
        <w:t xml:space="preserve"> – </w:t>
      </w:r>
      <w:r w:rsidR="00BE16BE">
        <w:rPr>
          <w:i/>
          <w:iCs/>
        </w:rPr>
        <w:t>T</w:t>
      </w:r>
      <w:r w:rsidRPr="00104770">
        <w:rPr>
          <w:i/>
          <w:iCs/>
        </w:rPr>
        <w:t>he framework surrounding the prevention, investigation and prosecution of industrial deaths in Australia</w:t>
      </w:r>
      <w:r w:rsidR="005F02CB">
        <w:t xml:space="preserve"> (</w:t>
      </w:r>
      <w:r w:rsidR="005F02CB" w:rsidRPr="00994FB5">
        <w:rPr>
          <w:i/>
          <w:iCs/>
        </w:rPr>
        <w:t>2018 They Never Came Home Report</w:t>
      </w:r>
      <w:r w:rsidR="005F02CB">
        <w:t>).</w:t>
      </w:r>
    </w:p>
    <w:p w14:paraId="16362929" w14:textId="5E88C0A2" w:rsidR="001749AB" w:rsidRPr="001749AB" w:rsidRDefault="001749AB" w:rsidP="006608D3">
      <w:pPr>
        <w:pStyle w:val="SWAHeading3"/>
        <w:rPr>
          <w:rFonts w:ascii="Aptos" w:eastAsia="Aptos" w:hAnsi="Aptos"/>
          <w:color w:val="2B0A99"/>
        </w:rPr>
      </w:pPr>
      <w:r w:rsidRPr="001749AB">
        <w:t>Introduction</w:t>
      </w:r>
    </w:p>
    <w:p w14:paraId="614ED225" w14:textId="77777777" w:rsidR="00F21CE3" w:rsidRDefault="00680D1A" w:rsidP="00F66AA4">
      <w:pPr>
        <w:pStyle w:val="Paragraph"/>
      </w:pPr>
      <w:r w:rsidRPr="008E0C65">
        <w:t>Harmonisation of WHS laws is the result of a significant amount of work done over many years to create a national system where every worker, no matter where they work or what industry they work in, will have the same WHS rights and protections; and every business, no matter where they are located, will be operating within the same set of rules and obligations.</w:t>
      </w:r>
    </w:p>
    <w:p w14:paraId="175941AF" w14:textId="41FB5092" w:rsidR="00F21CE3" w:rsidRDefault="001749AB" w:rsidP="00F66AA4">
      <w:pPr>
        <w:pStyle w:val="Paragraph"/>
      </w:pPr>
      <w:r w:rsidRPr="00645FD3">
        <w:t xml:space="preserve">In 2007, the Australian Government committed to achieving harmonised occupational health and safety (OHS) laws by </w:t>
      </w:r>
      <w:r w:rsidRPr="00337285">
        <w:rPr>
          <w:kern w:val="2"/>
          <w14:ligatures w14:val="standardContextual"/>
        </w:rPr>
        <w:t>working</w:t>
      </w:r>
      <w:r w:rsidRPr="00645FD3">
        <w:t xml:space="preserve"> with all state and territory governments to develop and implement model legislation.</w:t>
      </w:r>
    </w:p>
    <w:p w14:paraId="16880BB6" w14:textId="0DDAA0D8" w:rsidR="00680D1A" w:rsidRPr="00645FD3" w:rsidRDefault="00680D1A" w:rsidP="00F66AA4">
      <w:pPr>
        <w:pStyle w:val="Paragraph"/>
      </w:pPr>
      <w:r w:rsidRPr="00645FD3">
        <w:t xml:space="preserve">The </w:t>
      </w:r>
      <w:r w:rsidRPr="00410154">
        <w:rPr>
          <w:i/>
          <w:iCs/>
        </w:rPr>
        <w:t>2008 National Review</w:t>
      </w:r>
      <w:r w:rsidRPr="00645FD3">
        <w:t xml:space="preserve"> examined OHS legislation across all jurisdictions to recommend the optimal structure and content of a model OHS Act. </w:t>
      </w:r>
      <w:r w:rsidR="001749AB" w:rsidRPr="00645FD3">
        <w:t xml:space="preserve">In parallel, </w:t>
      </w:r>
      <w:r w:rsidRPr="00645FD3">
        <w:t xml:space="preserve">COAG signed the 2008 </w:t>
      </w:r>
      <w:r w:rsidRPr="001D7F4A">
        <w:rPr>
          <w:i/>
          <w:iCs/>
        </w:rPr>
        <w:t>Intergovernmental Agreement for Regulatory and Operational Reform in Occupational Health and Safety</w:t>
      </w:r>
      <w:r w:rsidRPr="001D7F4A">
        <w:t xml:space="preserve"> (IGA).</w:t>
      </w:r>
      <w:r w:rsidRPr="00645FD3">
        <w:t xml:space="preserve"> The IGA included the commitment of all jurisdictions, including Victoria, to</w:t>
      </w:r>
      <w:r w:rsidRPr="00337285">
        <w:rPr>
          <w:i/>
        </w:rPr>
        <w:t xml:space="preserve"> </w:t>
      </w:r>
      <w:r w:rsidRPr="00645FD3">
        <w:t>‘work cooperatively to harmonise OHS regulation through the adoption and implementation of model OHS legislation’.</w:t>
      </w:r>
      <w:r w:rsidR="00455CC7" w:rsidRPr="00337285">
        <w:rPr>
          <w:vertAlign w:val="superscript"/>
        </w:rPr>
        <w:footnoteReference w:id="6"/>
      </w:r>
    </w:p>
    <w:p w14:paraId="780D4AEB" w14:textId="77777777" w:rsidR="00F21CE3" w:rsidRDefault="00680D1A" w:rsidP="00F66AA4">
      <w:pPr>
        <w:pStyle w:val="Paragraph"/>
      </w:pPr>
      <w:r w:rsidRPr="00645FD3">
        <w:t>Harmonisation is underpinned by the model WHS Act, model WHS Regulations and model Codes of Practice, supported by the NCEP</w:t>
      </w:r>
      <w:r w:rsidR="001749AB" w:rsidRPr="00645FD3">
        <w:t>, to provide a nationally consistent approach to compliance and enforcement.</w:t>
      </w:r>
    </w:p>
    <w:p w14:paraId="0566B7E8" w14:textId="5639876D" w:rsidR="006724AE" w:rsidRDefault="006724AE">
      <w:pPr>
        <w:spacing w:after="200" w:line="276" w:lineRule="auto"/>
        <w:contextualSpacing w:val="0"/>
        <w:rPr>
          <w:rFonts w:ascii="Aptos" w:eastAsia="Times New Roman" w:hAnsi="Aptos" w:cs="Arial"/>
          <w:lang w:eastAsia="en-AU"/>
        </w:rPr>
      </w:pPr>
      <w:r>
        <w:rPr>
          <w:rFonts w:ascii="Aptos" w:eastAsia="Times New Roman" w:hAnsi="Aptos" w:cs="Arial"/>
          <w:lang w:eastAsia="en-AU"/>
        </w:rPr>
        <w:br w:type="page"/>
      </w:r>
    </w:p>
    <w:p w14:paraId="4106E8EE" w14:textId="60465639" w:rsidR="006724AE" w:rsidRPr="00645FD3" w:rsidRDefault="006724AE" w:rsidP="00104770">
      <w:pPr>
        <w:pStyle w:val="Paragraph"/>
        <w:spacing w:after="80"/>
      </w:pPr>
      <w:r w:rsidRPr="00645FD3">
        <w:lastRenderedPageBreak/>
        <w:t>Section 3(1) of the model WHS Act provides:</w:t>
      </w:r>
    </w:p>
    <w:p w14:paraId="740713ED" w14:textId="77777777" w:rsidR="00F21CE3" w:rsidRDefault="006724AE" w:rsidP="00104770">
      <w:pPr>
        <w:pStyle w:val="Emphasisquote"/>
      </w:pPr>
      <w:r w:rsidRPr="00E8201C">
        <w:t>The main object of this Act is to provide for a balanced and nationally consistent framework to secure the health and safety of workers and workplaces by</w:t>
      </w:r>
    </w:p>
    <w:p w14:paraId="6DD98518" w14:textId="27E0BEDE" w:rsidR="006724AE" w:rsidRPr="00E8201C" w:rsidRDefault="006724AE" w:rsidP="00104770">
      <w:pPr>
        <w:pStyle w:val="Emphasisquote"/>
      </w:pPr>
      <w:r w:rsidRPr="00E8201C">
        <w:t>(a) protecting workers and other persons against harm to their health, safety and welfare through the elimination or minimisation of risks arising from work</w:t>
      </w:r>
    </w:p>
    <w:p w14:paraId="4CD3C9B4" w14:textId="77777777" w:rsidR="006724AE" w:rsidRPr="00E8201C" w:rsidRDefault="006724AE" w:rsidP="00104770">
      <w:pPr>
        <w:pStyle w:val="Emphasisquote"/>
      </w:pPr>
      <w:r w:rsidRPr="00E8201C">
        <w:t>(b) providing for fair and effective workplace representation, consultation, co-operation and issue resolution in relation to work health and safety</w:t>
      </w:r>
    </w:p>
    <w:p w14:paraId="73EDCC17" w14:textId="77777777" w:rsidR="006724AE" w:rsidRPr="00E8201C" w:rsidRDefault="006724AE" w:rsidP="00104770">
      <w:pPr>
        <w:pStyle w:val="Emphasisquote"/>
      </w:pPr>
      <w:r w:rsidRPr="00E8201C">
        <w:t>(c) encouraging unions and employer organisations to take a constructive role in promoting improvements in work health and safety practices, and assisting persons conducting businesses or undertakings and workers to achieve a healthier and safer working environment</w:t>
      </w:r>
    </w:p>
    <w:p w14:paraId="04BB760F" w14:textId="77777777" w:rsidR="006724AE" w:rsidRPr="00E8201C" w:rsidRDefault="006724AE" w:rsidP="00104770">
      <w:pPr>
        <w:pStyle w:val="Emphasisquote"/>
      </w:pPr>
      <w:r w:rsidRPr="00E8201C">
        <w:t>(d) promoting the provision of advice, information, education and training in relation to work health and safety</w:t>
      </w:r>
    </w:p>
    <w:p w14:paraId="26ACDFEA" w14:textId="77777777" w:rsidR="006724AE" w:rsidRPr="00E8201C" w:rsidRDefault="006724AE" w:rsidP="00104770">
      <w:pPr>
        <w:pStyle w:val="Emphasisquote"/>
      </w:pPr>
      <w:r w:rsidRPr="00E8201C">
        <w:t>(e) securing compliance with this Act through effective and appropriate compliance and enforcement measures</w:t>
      </w:r>
    </w:p>
    <w:p w14:paraId="5116CBE7" w14:textId="77777777" w:rsidR="006724AE" w:rsidRPr="00E8201C" w:rsidRDefault="006724AE" w:rsidP="00104770">
      <w:pPr>
        <w:pStyle w:val="Emphasisquote"/>
      </w:pPr>
      <w:r w:rsidRPr="00E8201C">
        <w:t>(f) ensuring appropriate scrutiny and review of actions taken by persons exercising powers and performing functions under this Act</w:t>
      </w:r>
    </w:p>
    <w:p w14:paraId="72994A16" w14:textId="77777777" w:rsidR="006724AE" w:rsidRPr="00E8201C" w:rsidRDefault="006724AE" w:rsidP="00104770">
      <w:pPr>
        <w:pStyle w:val="Emphasisquote"/>
      </w:pPr>
      <w:r w:rsidRPr="00E8201C">
        <w:t>(g) providing a framework for continuous improvement and progressively higher standards of work health and safety; and</w:t>
      </w:r>
    </w:p>
    <w:p w14:paraId="7DBC20C7" w14:textId="77777777" w:rsidR="006724AE" w:rsidRPr="00E8201C" w:rsidRDefault="006724AE" w:rsidP="00104770">
      <w:pPr>
        <w:pStyle w:val="Emphasisquote"/>
      </w:pPr>
      <w:r w:rsidRPr="00E8201C">
        <w:t>(h) maintaining and strengthening the national harmonisation of laws relating to work health and safety and to facilitate a consistent national approach to work health and safety in this jurisdiction.</w:t>
      </w:r>
      <w:r w:rsidRPr="00E8201C">
        <w:rPr>
          <w:vertAlign w:val="superscript"/>
        </w:rPr>
        <w:footnoteReference w:id="7"/>
      </w:r>
    </w:p>
    <w:p w14:paraId="35427CFC" w14:textId="77777777" w:rsidR="006724AE" w:rsidRPr="00E8201C" w:rsidRDefault="006724AE" w:rsidP="00104770">
      <w:pPr>
        <w:pStyle w:val="Paragraph"/>
        <w:spacing w:before="80"/>
      </w:pPr>
      <w:r w:rsidRPr="00E8201C">
        <w:t>In all its considerations and recommendations, this Review has referred to section 3</w:t>
      </w:r>
      <w:r w:rsidR="001749AB" w:rsidRPr="00E8201C">
        <w:t>(1)</w:t>
      </w:r>
      <w:r w:rsidRPr="00E8201C">
        <w:t xml:space="preserve"> of the model WHS Act.</w:t>
      </w:r>
    </w:p>
    <w:p w14:paraId="0A69FD19" w14:textId="77777777" w:rsidR="00F21CE3" w:rsidRDefault="001749AB" w:rsidP="00F66AA4">
      <w:pPr>
        <w:pStyle w:val="Paragraph"/>
      </w:pPr>
      <w:r w:rsidRPr="00E8201C">
        <w:t>In line with this Review’s Terms of Reference, this chapter considers the impact of jurisdictional variations on the harmonisation objective and makes recommendations which it considers will help maintain and strengthen harmonisation.</w:t>
      </w:r>
    </w:p>
    <w:p w14:paraId="6BCDFE26" w14:textId="44018C23" w:rsidR="001749AB" w:rsidRPr="00E8201C" w:rsidRDefault="001749AB" w:rsidP="00F66AA4">
      <w:pPr>
        <w:pStyle w:val="Paragraph"/>
      </w:pPr>
      <w:r w:rsidRPr="00E8201C">
        <w:t>Other opportunities to maintain and strengthen harmonisation are considered throughout this report under the various chapter headings with associated recommendations.</w:t>
      </w:r>
      <w:r w:rsidRPr="00E8201C">
        <w:rPr>
          <w:vertAlign w:val="superscript"/>
        </w:rPr>
        <w:footnoteReference w:id="8"/>
      </w:r>
    </w:p>
    <w:p w14:paraId="6D384CF2" w14:textId="77777777" w:rsidR="00FB5F0A" w:rsidRPr="005F2069" w:rsidRDefault="006724AE" w:rsidP="00447786">
      <w:pPr>
        <w:pStyle w:val="SWAHeading2"/>
        <w:numPr>
          <w:ilvl w:val="3"/>
          <w:numId w:val="33"/>
        </w:numPr>
        <w:spacing w:line="240" w:lineRule="auto"/>
        <w:rPr>
          <w:rFonts w:asciiTheme="minorHAnsi" w:hAnsiTheme="minorHAnsi"/>
        </w:rPr>
      </w:pPr>
      <w:bookmarkStart w:id="8" w:name="_Toc228195456"/>
      <w:bookmarkStart w:id="9" w:name="_Toc234853668"/>
      <w:bookmarkStart w:id="10" w:name="_Toc236326799"/>
      <w:bookmarkStart w:id="11" w:name="_Toc239845141"/>
      <w:r w:rsidRPr="005F2069">
        <w:rPr>
          <w:rFonts w:asciiTheme="minorHAnsi" w:hAnsiTheme="minorHAnsi"/>
        </w:rPr>
        <w:t>The impact of jurisdictional variations</w:t>
      </w:r>
      <w:bookmarkEnd w:id="8"/>
      <w:r w:rsidRPr="005F2069">
        <w:rPr>
          <w:rFonts w:asciiTheme="minorHAnsi" w:hAnsiTheme="minorHAnsi"/>
        </w:rPr>
        <w:t xml:space="preserve"> on harmonisation</w:t>
      </w:r>
      <w:bookmarkEnd w:id="9"/>
      <w:bookmarkEnd w:id="10"/>
      <w:bookmarkEnd w:id="11"/>
    </w:p>
    <w:p w14:paraId="2CDA1242" w14:textId="77777777" w:rsidR="00F21CE3" w:rsidRDefault="006724AE" w:rsidP="00F66AA4">
      <w:pPr>
        <w:pStyle w:val="Paragraph"/>
      </w:pPr>
      <w:r w:rsidRPr="00557742">
        <w:t>Between 1 January 2012 and 31 March 2022, all jurisdictions implemented the model WHS laws except Victoria.</w:t>
      </w:r>
    </w:p>
    <w:p w14:paraId="5E9A00B1" w14:textId="4E945DAA" w:rsidR="00F21CE3" w:rsidRDefault="00201AE9" w:rsidP="00F66AA4">
      <w:pPr>
        <w:pStyle w:val="Paragraph"/>
      </w:pPr>
      <w:r w:rsidRPr="00557742">
        <w:t>The initial adoption of the model WHS laws involved some level of variation, as compromises were often required and amendments were passed during the passage of the various jurisdictional WHS Bills through local parliamentary processes.</w:t>
      </w:r>
      <w:r w:rsidRPr="00557742">
        <w:rPr>
          <w:vertAlign w:val="superscript"/>
        </w:rPr>
        <w:footnoteReference w:id="9"/>
      </w:r>
    </w:p>
    <w:p w14:paraId="4BE2F2B9" w14:textId="77777777" w:rsidR="00F21CE3" w:rsidRDefault="00201AE9" w:rsidP="00F66AA4">
      <w:pPr>
        <w:pStyle w:val="Paragraph"/>
      </w:pPr>
      <w:r w:rsidRPr="00557742">
        <w:t>The IGA anticipated future variations to the model WHS laws and established an agreed process by which variations contemplated by jurisdictions could be managed. Fundamentally the process required jurisdictions to bring local variations to the national table for consideration prior to their enactment.</w:t>
      </w:r>
      <w:r w:rsidRPr="00557742">
        <w:rPr>
          <w:vertAlign w:val="superscript"/>
        </w:rPr>
        <w:footnoteReference w:id="10"/>
      </w:r>
    </w:p>
    <w:p w14:paraId="3032B31E" w14:textId="77777777" w:rsidR="00F21CE3" w:rsidRDefault="006724AE" w:rsidP="00F66AA4">
      <w:pPr>
        <w:pStyle w:val="Paragraph"/>
      </w:pPr>
      <w:r w:rsidRPr="00557742">
        <w:t>This process for managing variations has not been consistently used, with jurisdictions increasingly amending their WHS laws without national consideration.</w:t>
      </w:r>
    </w:p>
    <w:p w14:paraId="259B223A" w14:textId="5C868895" w:rsidR="006724AE" w:rsidRPr="00104770" w:rsidRDefault="006724AE" w:rsidP="00BF204D">
      <w:pPr>
        <w:pStyle w:val="Boxedshaded"/>
        <w:rPr>
          <w:b/>
          <w:bCs/>
        </w:rPr>
      </w:pPr>
      <w:r w:rsidRPr="00104770">
        <w:rPr>
          <w:b/>
          <w:bCs/>
        </w:rPr>
        <w:lastRenderedPageBreak/>
        <w:t>What we heard</w:t>
      </w:r>
    </w:p>
    <w:p w14:paraId="534B4C0F" w14:textId="77777777" w:rsidR="00F21CE3" w:rsidRDefault="006724AE" w:rsidP="00BF204D">
      <w:pPr>
        <w:pStyle w:val="Boxedshaded"/>
      </w:pPr>
      <w:r>
        <w:t xml:space="preserve">Stakeholders </w:t>
      </w:r>
      <w:r w:rsidRPr="0077158D">
        <w:t>expressed strong, continued support for a harmonised approach to WHS</w:t>
      </w:r>
      <w:r>
        <w:t xml:space="preserve"> regulation</w:t>
      </w:r>
      <w:r w:rsidRPr="0077158D">
        <w:t>. However, many</w:t>
      </w:r>
      <w:r>
        <w:t>,</w:t>
      </w:r>
      <w:r w:rsidRPr="0077158D">
        <w:t xml:space="preserve"> including WHS regulators, industry, unions, members of the public and WHS professionals</w:t>
      </w:r>
      <w:r w:rsidR="00201AE9" w:rsidRPr="003B58E0">
        <w:t>,</w:t>
      </w:r>
      <w:r w:rsidRPr="0077158D">
        <w:t xml:space="preserve"> highlighted that</w:t>
      </w:r>
      <w:r w:rsidR="00201AE9" w:rsidRPr="003B58E0">
        <w:t>,</w:t>
      </w:r>
      <w:r>
        <w:t xml:space="preserve"> despite this support,</w:t>
      </w:r>
      <w:r w:rsidRPr="0077158D">
        <w:t xml:space="preserve"> variations in WHS </w:t>
      </w:r>
      <w:r>
        <w:t xml:space="preserve">regulation </w:t>
      </w:r>
      <w:r w:rsidRPr="0077158D">
        <w:t xml:space="preserve">exist across all jurisdictions </w:t>
      </w:r>
      <w:r>
        <w:t xml:space="preserve">and </w:t>
      </w:r>
      <w:r w:rsidRPr="0077158D">
        <w:t xml:space="preserve">at all levels of the WHS </w:t>
      </w:r>
      <w:r>
        <w:t xml:space="preserve">legal </w:t>
      </w:r>
      <w:r w:rsidRPr="0077158D">
        <w:t>framework.</w:t>
      </w:r>
    </w:p>
    <w:p w14:paraId="115B10D6" w14:textId="756D34FD" w:rsidR="006724AE" w:rsidRPr="003B58E0" w:rsidRDefault="006724AE" w:rsidP="00BF204D">
      <w:pPr>
        <w:pStyle w:val="Boxedshaded"/>
      </w:pPr>
      <w:r w:rsidRPr="0077158D">
        <w:t xml:space="preserve">A recurring message from business and industry groups was the need for a renewed and sustained commitment to harmonisation. </w:t>
      </w:r>
      <w:r>
        <w:t>Submissions from</w:t>
      </w:r>
      <w:r w:rsidRPr="003B58E0">
        <w:t xml:space="preserve"> a range of industry bodies called for jurisdictions to recommit to harmonisation, the IGA and its processes to ensure its sustainability</w:t>
      </w:r>
      <w:r w:rsidR="00201AE9" w:rsidRPr="003B58E0">
        <w:t>; and for Victoria to adopt the model WHS laws.</w:t>
      </w:r>
      <w:r w:rsidR="00201AE9" w:rsidRPr="003B58E0" w:rsidDel="005C0315">
        <w:rPr>
          <w:vertAlign w:val="superscript"/>
        </w:rPr>
        <w:footnoteReference w:id="11"/>
      </w:r>
      <w:r w:rsidR="00201AE9" w:rsidRPr="003B58E0">
        <w:t xml:space="preserve"> Regulators in model laws jurisdictions supported these calls,</w:t>
      </w:r>
      <w:r w:rsidR="00201AE9" w:rsidRPr="003B58E0">
        <w:rPr>
          <w:vertAlign w:val="superscript"/>
        </w:rPr>
        <w:footnoteReference w:id="12"/>
      </w:r>
      <w:r w:rsidR="00201AE9" w:rsidRPr="003B58E0">
        <w:t xml:space="preserve"> while NT </w:t>
      </w:r>
      <w:r w:rsidRPr="003B58E0">
        <w:t xml:space="preserve">WorkSafe emphasised </w:t>
      </w:r>
      <w:r w:rsidR="001D7F4A">
        <w:t xml:space="preserve">the </w:t>
      </w:r>
      <w:r w:rsidRPr="003B58E0">
        <w:t xml:space="preserve">importance </w:t>
      </w:r>
      <w:r w:rsidR="001D7F4A">
        <w:t xml:space="preserve">of harmonisation </w:t>
      </w:r>
      <w:r w:rsidRPr="003B58E0">
        <w:t xml:space="preserve">in smaller jurisdictions, </w:t>
      </w:r>
      <w:r>
        <w:t>which</w:t>
      </w:r>
      <w:r w:rsidRPr="00D517EC">
        <w:t xml:space="preserve"> </w:t>
      </w:r>
      <w:r>
        <w:t xml:space="preserve">have fewer resources and therefore </w:t>
      </w:r>
      <w:r w:rsidRPr="00D517EC">
        <w:t>benefit</w:t>
      </w:r>
      <w:r>
        <w:t xml:space="preserve"> more</w:t>
      </w:r>
      <w:r w:rsidRPr="00D517EC">
        <w:t xml:space="preserve"> </w:t>
      </w:r>
      <w:r>
        <w:t>from a shared national approach</w:t>
      </w:r>
      <w:r w:rsidRPr="003B58E0">
        <w:t>.</w:t>
      </w:r>
      <w:r w:rsidRPr="003B58E0">
        <w:rPr>
          <w:vertAlign w:val="superscript"/>
        </w:rPr>
        <w:footnoteReference w:id="13"/>
      </w:r>
    </w:p>
    <w:p w14:paraId="6DA1A540" w14:textId="77777777" w:rsidR="00201AE9" w:rsidRPr="003B58E0" w:rsidRDefault="00201AE9" w:rsidP="00BF204D">
      <w:pPr>
        <w:pStyle w:val="Boxedshaded"/>
      </w:pPr>
      <w:r w:rsidRPr="003B58E0">
        <w:t>Australian Industry Group outlined how a lack of harmonisation across jurisdictions impacts everyday work processes, making things that should be simple confusing for businesses and workers. Australian Industry Group also expressed frustration that important policy positions about the content of the model WHS laws, settled nationally through robust debate, were sometimes later re-prosecuted within individual jurisdictions.</w:t>
      </w:r>
      <w:r w:rsidRPr="003B58E0">
        <w:rPr>
          <w:vertAlign w:val="superscript"/>
        </w:rPr>
        <w:footnoteReference w:id="14"/>
      </w:r>
    </w:p>
    <w:p w14:paraId="615EC8B4" w14:textId="77777777" w:rsidR="00F21CE3" w:rsidRDefault="00201AE9" w:rsidP="00BF204D">
      <w:pPr>
        <w:pStyle w:val="Boxedshaded"/>
      </w:pPr>
      <w:r w:rsidRPr="003B58E0">
        <w:t>Industry and WHS professionals noted that, for multi-jurisdictional businesses, jurisdictional differences lead to inefficient, low-value engagement with the WHS system, which can undermine the safety culture of an organisation.</w:t>
      </w:r>
      <w:r w:rsidRPr="003B58E0">
        <w:rPr>
          <w:vertAlign w:val="superscript"/>
        </w:rPr>
        <w:footnoteReference w:id="15"/>
      </w:r>
      <w:r w:rsidRPr="003B58E0">
        <w:t xml:space="preserve"> Carnival Safety Australia (CSA) highlighted the practical impacts of different requirements for plant registration and variations in auditing certificates and approvals when working in different jurisdictions.</w:t>
      </w:r>
      <w:r w:rsidRPr="003B58E0">
        <w:rPr>
          <w:vertAlign w:val="superscript"/>
        </w:rPr>
        <w:footnoteReference w:id="16"/>
      </w:r>
      <w:r w:rsidRPr="003B58E0">
        <w:t xml:space="preserve"> Another multi-jurisdictional business pointed to inconsistent compliance and enforcement approaches across jurisdictions, undermining the harmonisation of the model WHS Act and creating avoidable confusion and complexity for duty holders.</w:t>
      </w:r>
      <w:r w:rsidRPr="003B58E0">
        <w:rPr>
          <w:vertAlign w:val="superscript"/>
        </w:rPr>
        <w:footnoteReference w:id="17"/>
      </w:r>
      <w:r w:rsidRPr="003B58E0">
        <w:t xml:space="preserve"> Regulators also voiced concerns about the practical implications of jurisdictional variations that can result in different protections being applied to workers in a single workplace, and different obligations on businesses and employers, where they fall under the jurisdiction of multiple WHS regulators.</w:t>
      </w:r>
      <w:r w:rsidRPr="003B58E0">
        <w:rPr>
          <w:vertAlign w:val="superscript"/>
        </w:rPr>
        <w:footnoteReference w:id="18"/>
      </w:r>
    </w:p>
    <w:p w14:paraId="3C0E7505" w14:textId="0AB1C853" w:rsidR="00201AE9" w:rsidRPr="00557742" w:rsidRDefault="00201AE9" w:rsidP="00BF204D">
      <w:pPr>
        <w:pStyle w:val="Boxedshaded"/>
        <w:rPr>
          <w:lang w:eastAsia="en-AU"/>
        </w:rPr>
      </w:pPr>
      <w:r w:rsidRPr="00DC290A">
        <w:t xml:space="preserve">Some unions, WHS regulators and industry representatives were more qualified in their support for </w:t>
      </w:r>
      <w:r w:rsidRPr="00557742">
        <w:rPr>
          <w:lang w:eastAsia="en-AU"/>
        </w:rPr>
        <w:t>harmonisation. Unions and some WHS regulators noted that jurisdictions need flexibility to respond to changing needs and emerging hazards at the local level.</w:t>
      </w:r>
      <w:r w:rsidRPr="00557742">
        <w:rPr>
          <w:vertAlign w:val="superscript"/>
          <w:lang w:eastAsia="en-AU"/>
        </w:rPr>
        <w:footnoteReference w:id="19"/>
      </w:r>
      <w:r w:rsidRPr="00557742">
        <w:rPr>
          <w:lang w:eastAsia="en-AU"/>
        </w:rPr>
        <w:t xml:space="preserve"> The </w:t>
      </w:r>
      <w:r w:rsidRPr="003B58E0">
        <w:t>Australian Council of Trade Unions</w:t>
      </w:r>
      <w:r w:rsidRPr="00557742">
        <w:rPr>
          <w:lang w:eastAsia="en-AU"/>
        </w:rPr>
        <w:t xml:space="preserve"> (ACTU) noted it supports variations to the model WHS laws where they advance the object of the model WHS Act and strengthen protections for workers.</w:t>
      </w:r>
      <w:r w:rsidRPr="00557742">
        <w:rPr>
          <w:vertAlign w:val="superscript"/>
          <w:lang w:eastAsia="en-AU"/>
        </w:rPr>
        <w:footnoteReference w:id="20"/>
      </w:r>
      <w:r w:rsidRPr="00557742">
        <w:rPr>
          <w:lang w:eastAsia="en-AU"/>
        </w:rPr>
        <w:t xml:space="preserve"> The Minerals Council of Australia (MCA) acknowledged that some variations address unique industry risks but emphasised these should be limited to essential changes and should not compromise the intent of the harmonisation objective contained in the model WHS framework.</w:t>
      </w:r>
      <w:r w:rsidRPr="00557742">
        <w:rPr>
          <w:vertAlign w:val="superscript"/>
          <w:lang w:eastAsia="en-AU"/>
        </w:rPr>
        <w:footnoteReference w:id="21"/>
      </w:r>
    </w:p>
    <w:p w14:paraId="55201BF1" w14:textId="012578F9" w:rsidR="00104770" w:rsidRDefault="00104770">
      <w:pPr>
        <w:spacing w:after="200" w:line="276" w:lineRule="auto"/>
        <w:contextualSpacing w:val="0"/>
        <w:rPr>
          <w:rFonts w:asciiTheme="minorHAnsi" w:eastAsia="Arial" w:hAnsiTheme="minorHAnsi"/>
          <w:lang w:eastAsia="en-AU"/>
        </w:rPr>
      </w:pPr>
      <w:r>
        <w:rPr>
          <w:rFonts w:eastAsia="Arial"/>
        </w:rPr>
        <w:br w:type="page"/>
      </w:r>
    </w:p>
    <w:p w14:paraId="15DBF12A" w14:textId="1D6C0C49" w:rsidR="006724AE" w:rsidRPr="00201AE9" w:rsidRDefault="006724AE" w:rsidP="004420D1">
      <w:pPr>
        <w:pStyle w:val="SWAHeading4"/>
        <w:rPr>
          <w:lang w:eastAsia="en-AU"/>
        </w:rPr>
      </w:pPr>
      <w:r w:rsidRPr="00201AE9">
        <w:rPr>
          <w:lang w:eastAsia="en-AU"/>
        </w:rPr>
        <w:lastRenderedPageBreak/>
        <w:t>Discussion and recommendations</w:t>
      </w:r>
    </w:p>
    <w:p w14:paraId="0AFD298D" w14:textId="77777777" w:rsidR="00F21CE3" w:rsidRDefault="006724AE" w:rsidP="00F66AA4">
      <w:pPr>
        <w:pStyle w:val="Paragraph"/>
      </w:pPr>
      <w:r w:rsidRPr="00557742">
        <w:t>What is clear from consultation is that the model WHS laws, and the objective of national harmonisation, remain strongly supported and have real practical benefits for businesses, employers and workers.</w:t>
      </w:r>
    </w:p>
    <w:p w14:paraId="7563E117" w14:textId="77777777" w:rsidR="00F21CE3" w:rsidRDefault="006724AE" w:rsidP="00F66AA4">
      <w:pPr>
        <w:pStyle w:val="Paragraph"/>
      </w:pPr>
      <w:r w:rsidRPr="00557742">
        <w:t xml:space="preserve">However, there is a growing pessimism about whether these benefits will continue to be realised if solutions are not found to </w:t>
      </w:r>
      <w:r w:rsidR="00201AE9" w:rsidRPr="00557742">
        <w:t>prevent the increase in jurisdictional variations.</w:t>
      </w:r>
      <w:r w:rsidRPr="00557742">
        <w:t xml:space="preserve"> The benefits of harmonisation are being compromised by the continuing increase in those variations.</w:t>
      </w:r>
    </w:p>
    <w:p w14:paraId="0A0374F3" w14:textId="44FB3D1A" w:rsidR="00F21CE3" w:rsidRDefault="006724AE" w:rsidP="00F66AA4">
      <w:pPr>
        <w:pStyle w:val="Paragraph"/>
      </w:pPr>
      <w:r w:rsidRPr="00557742">
        <w:t>While some of the jurisdictional variations have led to increased protections and rights for workers,</w:t>
      </w:r>
      <w:r w:rsidRPr="00557742">
        <w:rPr>
          <w:vertAlign w:val="superscript"/>
        </w:rPr>
        <w:footnoteReference w:id="22"/>
      </w:r>
      <w:r w:rsidRPr="00557742">
        <w:t xml:space="preserve"> a key goal of the model WHS laws is that workers should have the same protections and rights no matter where they live and work. And this Review did not hear of any compelling example of a WHS issue that requires a different legislative standard due to the state or territory where the work is being carried out or within which the workplace is situated.</w:t>
      </w:r>
      <w:r w:rsidRPr="00557742">
        <w:rPr>
          <w:vertAlign w:val="superscript"/>
        </w:rPr>
        <w:footnoteReference w:id="23"/>
      </w:r>
    </w:p>
    <w:p w14:paraId="776819B6" w14:textId="608283B4" w:rsidR="00774BDC" w:rsidRDefault="00201AE9" w:rsidP="00F66AA4">
      <w:pPr>
        <w:pStyle w:val="Paragraph"/>
      </w:pPr>
      <w:r w:rsidRPr="00557742">
        <w:t>Some variations reduce obligations for businesses and employers. However, these in turn require businesses to ‘navigate different rules, duplicate training and administrative requirements, and adjust procedures for each state and territory’.</w:t>
      </w:r>
      <w:r w:rsidRPr="00557742">
        <w:rPr>
          <w:vertAlign w:val="superscript"/>
        </w:rPr>
        <w:footnoteReference w:id="24"/>
      </w:r>
      <w:r w:rsidRPr="00557742">
        <w:t xml:space="preserve"> This can result in inefficiencies for business and reduction in productivity. Findings from previous reviews, and feedback from the Business Council of Australia (BCA), recognised that the cost of compliance for multi</w:t>
      </w:r>
      <w:r w:rsidRPr="00557742">
        <w:noBreakHyphen/>
        <w:t>jurisdictional businesses is greater where WHS legal provisions differ between jurisdictions.</w:t>
      </w:r>
      <w:r w:rsidRPr="00557742">
        <w:rPr>
          <w:vertAlign w:val="superscript"/>
        </w:rPr>
        <w:footnoteReference w:id="25"/>
      </w:r>
      <w:r w:rsidRPr="00557742">
        <w:t xml:space="preserve"> The impact of variations is often compounded for smaller businesses operating across multiple jurisdictions, as they lack dedicated resources to navigate different regulatory frameworks.</w:t>
      </w:r>
      <w:r w:rsidRPr="00557742">
        <w:rPr>
          <w:vertAlign w:val="superscript"/>
        </w:rPr>
        <w:footnoteReference w:id="26"/>
      </w:r>
    </w:p>
    <w:p w14:paraId="3A4AAA90" w14:textId="72A04E37" w:rsidR="00F21CE3" w:rsidRDefault="006724AE" w:rsidP="00F66AA4">
      <w:pPr>
        <w:pStyle w:val="Paragraph"/>
      </w:pPr>
      <w:r w:rsidRPr="00557742">
        <w:t>However, medium and large businesses, which are more likely to operate in more than one jurisdiction, account for over 60% of Australia’s employment</w:t>
      </w:r>
      <w:r w:rsidRPr="00557742">
        <w:rPr>
          <w:vertAlign w:val="superscript"/>
        </w:rPr>
        <w:footnoteReference w:id="27"/>
      </w:r>
      <w:r w:rsidRPr="00557742">
        <w:t xml:space="preserve"> and close to 70% of Gross Domestic Product (GDP).</w:t>
      </w:r>
      <w:r w:rsidRPr="00557742">
        <w:rPr>
          <w:vertAlign w:val="superscript"/>
        </w:rPr>
        <w:footnoteReference w:id="28"/>
      </w:r>
      <w:r w:rsidRPr="00557742">
        <w:t xml:space="preserve"> And because multi-jurisdictional businesses represent such a large share of Australia’s economic activity, the productivity impact from varied approaches to WHS regulation is likely to be significant. </w:t>
      </w:r>
      <w:r w:rsidR="00201AE9" w:rsidRPr="00557742">
        <w:t>This conclusion</w:t>
      </w:r>
      <w:r w:rsidRPr="00557742">
        <w:t xml:space="preserve"> is consistent with the </w:t>
      </w:r>
      <w:r w:rsidRPr="00F404F2">
        <w:rPr>
          <w:i/>
          <w:iCs/>
        </w:rPr>
        <w:t>2008 National Review</w:t>
      </w:r>
      <w:r w:rsidR="00201AE9" w:rsidRPr="00557742">
        <w:t>,</w:t>
      </w:r>
      <w:r w:rsidRPr="00557742">
        <w:t xml:space="preserve"> which stated</w:t>
      </w:r>
      <w:r w:rsidR="00201AE9" w:rsidRPr="00557742">
        <w:t>,</w:t>
      </w:r>
      <w:r w:rsidRPr="00557742">
        <w:t xml:space="preserve"> ‘it is widely accepted that harmonised OHS laws will reduce red tape and compliance costs for multi-state </w:t>
      </w:r>
      <w:r w:rsidRPr="00CC45EB">
        <w:t>employers’</w:t>
      </w:r>
      <w:r w:rsidR="00786668">
        <w:t>.</w:t>
      </w:r>
      <w:r w:rsidRPr="00CC45EB">
        <w:rPr>
          <w:vertAlign w:val="superscript"/>
        </w:rPr>
        <w:footnoteReference w:id="29"/>
      </w:r>
    </w:p>
    <w:p w14:paraId="4D9413A2" w14:textId="77777777" w:rsidR="00F21CE3" w:rsidRDefault="006724AE" w:rsidP="00F66AA4">
      <w:pPr>
        <w:pStyle w:val="Paragraph"/>
      </w:pPr>
      <w:r w:rsidRPr="00557742">
        <w:t xml:space="preserve">Adopting and maintaining the harmonised model WHS laws also provides the foundation for strong and consistent compliance and enforcement of those laws across Australia. </w:t>
      </w:r>
      <w:r w:rsidR="00201AE9" w:rsidRPr="00557742">
        <w:t xml:space="preserve">It supports increased sharing of inspector expertise and resources between jurisdictions. The </w:t>
      </w:r>
      <w:r w:rsidR="00201AE9" w:rsidRPr="00F404F2">
        <w:rPr>
          <w:i/>
          <w:iCs/>
        </w:rPr>
        <w:t>2008 National Review</w:t>
      </w:r>
      <w:r w:rsidR="00201AE9" w:rsidRPr="00557742">
        <w:t xml:space="preserve"> argued this would ‘be cost saving, optimising inspector numbers and expertise across the country, and limiting the duplication of costly and time</w:t>
      </w:r>
      <w:r w:rsidR="00201AE9" w:rsidRPr="00557742">
        <w:noBreakHyphen/>
        <w:t>consuming training’.</w:t>
      </w:r>
      <w:r w:rsidRPr="00557742">
        <w:rPr>
          <w:vertAlign w:val="superscript"/>
        </w:rPr>
        <w:footnoteReference w:id="30"/>
      </w:r>
    </w:p>
    <w:p w14:paraId="4636DD42" w14:textId="5D7E33BF" w:rsidR="00104770" w:rsidRDefault="00104770">
      <w:pPr>
        <w:spacing w:after="200" w:line="276" w:lineRule="auto"/>
        <w:contextualSpacing w:val="0"/>
        <w:rPr>
          <w:rFonts w:asciiTheme="minorHAnsi" w:eastAsia="Times New Roman" w:hAnsiTheme="minorHAnsi"/>
          <w:lang w:eastAsia="en-AU"/>
        </w:rPr>
      </w:pPr>
      <w:r>
        <w:br w:type="page"/>
      </w:r>
    </w:p>
    <w:p w14:paraId="61B6AE18" w14:textId="77777777" w:rsidR="00F21CE3" w:rsidRDefault="00201AE9" w:rsidP="00F66AA4">
      <w:pPr>
        <w:pStyle w:val="Paragraph"/>
      </w:pPr>
      <w:r w:rsidRPr="00557742">
        <w:lastRenderedPageBreak/>
        <w:t>Following the commencement of the model WHS laws in 2012,</w:t>
      </w:r>
      <w:r w:rsidR="006724AE" w:rsidRPr="00557742">
        <w:t xml:space="preserve"> there was an initial and significant decline in the rate of work-related fatalities. Between 2014 and 2021, the fatality rate decreased by 24%.</w:t>
      </w:r>
      <w:r w:rsidR="006724AE" w:rsidRPr="00557742">
        <w:rPr>
          <w:szCs w:val="22"/>
          <w:vertAlign w:val="superscript"/>
        </w:rPr>
        <w:footnoteReference w:id="31"/>
      </w:r>
      <w:r w:rsidR="006724AE" w:rsidRPr="00557742">
        <w:t xml:space="preserve"> However, over recent years, this progress appears to have plateaued.</w:t>
      </w:r>
      <w:r w:rsidR="006724AE" w:rsidRPr="00557742">
        <w:rPr>
          <w:szCs w:val="22"/>
          <w:vertAlign w:val="superscript"/>
        </w:rPr>
        <w:footnoteReference w:id="32"/>
      </w:r>
    </w:p>
    <w:p w14:paraId="07196C24" w14:textId="19C2A5F8" w:rsidR="006724AE" w:rsidRPr="00557742" w:rsidRDefault="006724AE" w:rsidP="00F66AA4">
      <w:pPr>
        <w:pStyle w:val="Paragraph"/>
      </w:pPr>
      <w:r w:rsidRPr="00557742">
        <w:t>Injury trends are more complex. The overall incidence rate for serious workers’ compensation claims increased by 13.6% from 2018</w:t>
      </w:r>
      <w:r w:rsidR="00CA7A04">
        <w:rPr>
          <w:rFonts w:ascii="Symbol" w:eastAsia="Symbol" w:hAnsi="Symbol" w:cs="Symbol"/>
        </w:rPr>
        <w:t>-</w:t>
      </w:r>
      <w:r w:rsidRPr="00557742">
        <w:t>19 to 2023</w:t>
      </w:r>
      <w:r w:rsidR="00CA7A04">
        <w:rPr>
          <w:rFonts w:ascii="Symbol" w:eastAsia="Symbol" w:hAnsi="Symbol" w:cs="Symbol"/>
        </w:rPr>
        <w:t>-</w:t>
      </w:r>
      <w:r w:rsidRPr="00557742">
        <w:t>24, driven by growing claims for psychological injury in some jurisdictions.</w:t>
      </w:r>
      <w:r w:rsidRPr="00557742">
        <w:rPr>
          <w:szCs w:val="22"/>
          <w:vertAlign w:val="superscript"/>
        </w:rPr>
        <w:footnoteReference w:id="33"/>
      </w:r>
      <w:r w:rsidRPr="00557742">
        <w:t xml:space="preserve"> However, this period saw widened claim eligibility in some workers’ compensation schemes, increased understanding of work-related psychological injury and reduced stigma in relation to these claims, and statistics may reflect these factors rather than an increase in the number of actual injuries. Equally, however, not everyone who suffers a work-related psychological injury will make a workers’ compensation claim. </w:t>
      </w:r>
      <w:r w:rsidR="00201AE9" w:rsidRPr="00557742">
        <w:t>And,</w:t>
      </w:r>
      <w:r w:rsidRPr="00557742">
        <w:t xml:space="preserve"> more recently, some schemes have narrowed eligibility rules for psychological injury claims.</w:t>
      </w:r>
    </w:p>
    <w:p w14:paraId="236C0996" w14:textId="77777777" w:rsidR="00F21CE3" w:rsidRDefault="00201AE9" w:rsidP="00F66AA4">
      <w:pPr>
        <w:pStyle w:val="Paragraph"/>
      </w:pPr>
      <w:r w:rsidRPr="00557742">
        <w:t>Where variations have resulted in WHS improvements which are helping to reduce injuries, illnesses and deaths, this Review suggests they should be considered for adoption nationally. An objective of the model WHS Act is to provide a framework ‘for continuous improvement and progressively higher standards of work health and safety’.</w:t>
      </w:r>
      <w:r w:rsidRPr="00557742">
        <w:rPr>
          <w:vertAlign w:val="superscript"/>
        </w:rPr>
        <w:footnoteReference w:id="34"/>
      </w:r>
      <w:r w:rsidRPr="00557742">
        <w:t xml:space="preserve"> A consistent and responsive approach to maintaining and updating the model WHS laws is critical to ensuring that safety improvements identified in one jurisdiction can be adopted and implemented nationally.</w:t>
      </w:r>
    </w:p>
    <w:p w14:paraId="5B9695EA" w14:textId="28374C91" w:rsidR="00F21CE3" w:rsidRDefault="006724AE" w:rsidP="00F66AA4">
      <w:pPr>
        <w:pStyle w:val="Paragraph"/>
      </w:pPr>
      <w:r w:rsidRPr="00557742">
        <w:t xml:space="preserve">The </w:t>
      </w:r>
      <w:r w:rsidRPr="00973523">
        <w:rPr>
          <w:i/>
          <w:iCs/>
        </w:rPr>
        <w:t>2018 National Review</w:t>
      </w:r>
      <w:r w:rsidRPr="00557742">
        <w:t xml:space="preserve"> foresaw that ‘if the harmonisation objective is to be sustained into the future, it is critical that all jurisdictions </w:t>
      </w:r>
      <w:r w:rsidRPr="00CC45EB">
        <w:t>commit to it’</w:t>
      </w:r>
      <w:r w:rsidR="001776EB">
        <w:t>.</w:t>
      </w:r>
      <w:r w:rsidRPr="00CC45EB">
        <w:rPr>
          <w:vertAlign w:val="superscript"/>
        </w:rPr>
        <w:footnoteReference w:id="35"/>
      </w:r>
      <w:r w:rsidRPr="00CC45EB">
        <w:t xml:space="preserve"> This</w:t>
      </w:r>
      <w:r w:rsidRPr="00557742" w:rsidDel="003675E0">
        <w:t xml:space="preserve"> </w:t>
      </w:r>
      <w:r w:rsidRPr="00557742">
        <w:t xml:space="preserve">Review reinforces that sentiment and extends that call for commitment to </w:t>
      </w:r>
      <w:r w:rsidRPr="00CC45EB">
        <w:t>the industry and worker representatives and other partners</w:t>
      </w:r>
      <w:r w:rsidRPr="00557742">
        <w:t xml:space="preserve"> who play an important role in maintaining the model WHS laws.</w:t>
      </w:r>
    </w:p>
    <w:p w14:paraId="58766200" w14:textId="77777777" w:rsidR="00F21CE3" w:rsidRDefault="006724AE" w:rsidP="00F66AA4">
      <w:pPr>
        <w:pStyle w:val="Paragraph"/>
      </w:pPr>
      <w:r w:rsidRPr="00557742">
        <w:t>The current approach to maintaining the model WHS laws, through the Safe Work Australia tripartite process, provides the opportunity to resolve issues through informed debate</w:t>
      </w:r>
      <w:r w:rsidR="00201AE9" w:rsidRPr="00557742">
        <w:t>;</w:t>
      </w:r>
      <w:r w:rsidRPr="00557742">
        <w:t xml:space="preserve"> consideration of different points of view from worker, business, industry, union, regulator and jurisdictional perspectives</w:t>
      </w:r>
      <w:r w:rsidR="00201AE9" w:rsidRPr="00557742">
        <w:t>; and analysis of evidence and data.</w:t>
      </w:r>
    </w:p>
    <w:p w14:paraId="0ED47C00" w14:textId="593B78DF" w:rsidR="006724AE" w:rsidRPr="00557742" w:rsidRDefault="006724AE" w:rsidP="00F66AA4">
      <w:pPr>
        <w:pStyle w:val="Paragraph"/>
      </w:pPr>
      <w:r w:rsidRPr="00557742">
        <w:t>This</w:t>
      </w:r>
      <w:r w:rsidRPr="00557742" w:rsidDel="0060644A">
        <w:t xml:space="preserve"> </w:t>
      </w:r>
      <w:r w:rsidRPr="00557742">
        <w:t>approach has proven successful in mitigating short-term policy fluctuations within the model WHS</w:t>
      </w:r>
      <w:r w:rsidR="00CA7A04">
        <w:t> </w:t>
      </w:r>
      <w:r w:rsidRPr="00557742">
        <w:t>Act, WHS Regulations and model Codes of Practice. Such fluctuations can be driven locally by changes in the political landscape and responses to specific incidents.</w:t>
      </w:r>
    </w:p>
    <w:p w14:paraId="0F3661A8" w14:textId="77777777" w:rsidR="00F21CE3" w:rsidRDefault="006724AE" w:rsidP="00F66AA4">
      <w:pPr>
        <w:pStyle w:val="Paragraph"/>
      </w:pPr>
      <w:r w:rsidRPr="00557742">
        <w:t>While there have been numerous variations to jurisdictional versions of the model WHS laws, with some jurisdictional legal instruments swinging back and forth on the political and ideological pendulum, the model WHS laws themselves, which are maintained at the national level through the tripartite process, have tended to avoid those significant swings.</w:t>
      </w:r>
    </w:p>
    <w:p w14:paraId="0EB6A74A" w14:textId="77777777" w:rsidR="00F21CE3" w:rsidRDefault="00201AE9" w:rsidP="00F66AA4">
      <w:pPr>
        <w:pStyle w:val="Paragraph"/>
      </w:pPr>
      <w:r w:rsidRPr="00557742">
        <w:t>Tripartism does not always lead to consensus, but, when we are talking about workers’ health and safety, consensus is more often than not reached. Tripartism has provided a strong, stable national set of model WHS laws.</w:t>
      </w:r>
    </w:p>
    <w:p w14:paraId="46F915EB" w14:textId="344D25FA" w:rsidR="004420D1" w:rsidRDefault="006724AE" w:rsidP="00405B37">
      <w:pPr>
        <w:pStyle w:val="Paragraph"/>
        <w:rPr>
          <w:rFonts w:eastAsia="Aptos"/>
        </w:rPr>
      </w:pPr>
      <w:r w:rsidRPr="000511BF">
        <w:rPr>
          <w:rFonts w:eastAsia="Aptos"/>
        </w:rPr>
        <w:t>To maintain and strengthen harmonisation, and ensure its sustainability, this Review recommends that WHS ministers renew their commitment to this significant reform project.</w:t>
      </w:r>
    </w:p>
    <w:p w14:paraId="33B8BF6D" w14:textId="77777777" w:rsidR="004420D1" w:rsidRDefault="004420D1">
      <w:pPr>
        <w:spacing w:after="200" w:line="276" w:lineRule="auto"/>
        <w:contextualSpacing w:val="0"/>
        <w:rPr>
          <w:rFonts w:asciiTheme="minorHAnsi" w:eastAsia="Aptos" w:hAnsiTheme="minorHAnsi"/>
          <w:lang w:eastAsia="en-AU"/>
        </w:rPr>
      </w:pPr>
      <w:r>
        <w:rPr>
          <w:rFonts w:eastAsia="Aptos"/>
        </w:rPr>
        <w:br w:type="page"/>
      </w:r>
    </w:p>
    <w:tbl>
      <w:tblPr>
        <w:tblStyle w:val="Style3"/>
        <w:tblW w:w="0" w:type="auto"/>
        <w:tblCellMar>
          <w:top w:w="113" w:type="dxa"/>
          <w:bottom w:w="113" w:type="dxa"/>
        </w:tblCellMar>
        <w:tblLook w:val="04A0" w:firstRow="1" w:lastRow="0" w:firstColumn="1" w:lastColumn="0" w:noHBand="0" w:noVBand="1"/>
      </w:tblPr>
      <w:tblGrid>
        <w:gridCol w:w="9746"/>
      </w:tblGrid>
      <w:tr w:rsidR="006724AE" w14:paraId="7E73C22D" w14:textId="77777777" w:rsidTr="0016789A">
        <w:trPr>
          <w:cnfStyle w:val="100000000000" w:firstRow="1" w:lastRow="0" w:firstColumn="0" w:lastColumn="0" w:oddVBand="0" w:evenVBand="0" w:oddHBand="0" w:evenHBand="0" w:firstRowFirstColumn="0" w:firstRowLastColumn="0" w:lastRowFirstColumn="0" w:lastRowLastColumn="0"/>
        </w:trPr>
        <w:tc>
          <w:tcPr>
            <w:tcW w:w="9746" w:type="dxa"/>
          </w:tcPr>
          <w:p w14:paraId="2EFEC261" w14:textId="2F432B65" w:rsidR="006724AE" w:rsidRDefault="006724AE" w:rsidP="006724AE">
            <w:pPr>
              <w:pStyle w:val="Tableheader"/>
            </w:pPr>
            <w:r w:rsidRPr="006724AE">
              <w:lastRenderedPageBreak/>
              <w:t>The harmonisation objective</w:t>
            </w:r>
            <w:r w:rsidR="0016789A">
              <w:t xml:space="preserve"> – Recommendation 1</w:t>
            </w:r>
          </w:p>
        </w:tc>
      </w:tr>
      <w:tr w:rsidR="006724AE" w14:paraId="5A3266E7" w14:textId="77777777" w:rsidTr="0016789A">
        <w:tc>
          <w:tcPr>
            <w:tcW w:w="9746" w:type="dxa"/>
          </w:tcPr>
          <w:p w14:paraId="6067D215" w14:textId="68BA1518" w:rsidR="006724AE" w:rsidRPr="0016789A" w:rsidRDefault="006724AE" w:rsidP="004420D1">
            <w:pPr>
              <w:pStyle w:val="Paragraphtable"/>
              <w:rPr>
                <w:sz w:val="21"/>
                <w:szCs w:val="21"/>
              </w:rPr>
            </w:pPr>
            <w:r w:rsidRPr="0016789A">
              <w:rPr>
                <w:sz w:val="21"/>
                <w:szCs w:val="21"/>
              </w:rPr>
              <w:t>That WHS ministers recommit to the harmonisation of WHS laws and their objectives, which include:</w:t>
            </w:r>
          </w:p>
          <w:p w14:paraId="09F35E87" w14:textId="77777777" w:rsidR="006724AE" w:rsidRPr="0016789A" w:rsidRDefault="006724AE" w:rsidP="00447786">
            <w:pPr>
              <w:pStyle w:val="Listnumber2tables"/>
              <w:numPr>
                <w:ilvl w:val="0"/>
                <w:numId w:val="51"/>
              </w:numPr>
              <w:rPr>
                <w:sz w:val="21"/>
                <w:szCs w:val="21"/>
              </w:rPr>
            </w:pPr>
            <w:r w:rsidRPr="0016789A">
              <w:rPr>
                <w:sz w:val="21"/>
                <w:szCs w:val="21"/>
              </w:rPr>
              <w:t>nationally consistent protections for workers</w:t>
            </w:r>
          </w:p>
          <w:p w14:paraId="587E0DED" w14:textId="77777777" w:rsidR="006724AE" w:rsidRPr="0016789A" w:rsidRDefault="006724AE" w:rsidP="00447786">
            <w:pPr>
              <w:pStyle w:val="Listnumber2tables"/>
              <w:numPr>
                <w:ilvl w:val="0"/>
                <w:numId w:val="51"/>
              </w:numPr>
              <w:rPr>
                <w:sz w:val="21"/>
                <w:szCs w:val="21"/>
              </w:rPr>
            </w:pPr>
            <w:r w:rsidRPr="0016789A">
              <w:rPr>
                <w:sz w:val="21"/>
                <w:szCs w:val="21"/>
              </w:rPr>
              <w:t>nationally consistent obligations for businesses and employers</w:t>
            </w:r>
          </w:p>
          <w:p w14:paraId="372C8D74" w14:textId="77777777" w:rsidR="00F21CE3" w:rsidRDefault="006724AE" w:rsidP="00447786">
            <w:pPr>
              <w:pStyle w:val="Listnumber2tables"/>
              <w:numPr>
                <w:ilvl w:val="0"/>
                <w:numId w:val="51"/>
              </w:numPr>
              <w:rPr>
                <w:sz w:val="21"/>
                <w:szCs w:val="21"/>
              </w:rPr>
            </w:pPr>
            <w:r w:rsidRPr="0016789A">
              <w:rPr>
                <w:sz w:val="21"/>
                <w:szCs w:val="21"/>
              </w:rPr>
              <w:t>reduced compliance impact</w:t>
            </w:r>
          </w:p>
          <w:p w14:paraId="65FF73EB" w14:textId="18DB7BE4" w:rsidR="006724AE" w:rsidRPr="0016789A" w:rsidRDefault="006724AE" w:rsidP="00447786">
            <w:pPr>
              <w:pStyle w:val="Listnumber2tables"/>
              <w:numPr>
                <w:ilvl w:val="0"/>
                <w:numId w:val="51"/>
              </w:numPr>
              <w:rPr>
                <w:sz w:val="21"/>
                <w:szCs w:val="21"/>
              </w:rPr>
            </w:pPr>
            <w:r w:rsidRPr="0016789A">
              <w:rPr>
                <w:sz w:val="21"/>
                <w:szCs w:val="21"/>
              </w:rPr>
              <w:t>improved regulatory efficiency</w:t>
            </w:r>
          </w:p>
          <w:p w14:paraId="140EF86F" w14:textId="77777777" w:rsidR="006724AE" w:rsidRPr="0016789A" w:rsidRDefault="006724AE" w:rsidP="00447786">
            <w:pPr>
              <w:pStyle w:val="Listnumber2tables"/>
              <w:numPr>
                <w:ilvl w:val="0"/>
                <w:numId w:val="51"/>
              </w:numPr>
              <w:rPr>
                <w:sz w:val="21"/>
                <w:szCs w:val="21"/>
              </w:rPr>
            </w:pPr>
            <w:r w:rsidRPr="0016789A">
              <w:rPr>
                <w:sz w:val="21"/>
                <w:szCs w:val="21"/>
              </w:rPr>
              <w:t>progressively higher standards of protection</w:t>
            </w:r>
          </w:p>
          <w:p w14:paraId="1D5D69AE" w14:textId="6390F3BF" w:rsidR="006724AE" w:rsidRPr="0016789A" w:rsidRDefault="006724AE" w:rsidP="00447786">
            <w:pPr>
              <w:pStyle w:val="Listnumber2tables"/>
              <w:numPr>
                <w:ilvl w:val="0"/>
                <w:numId w:val="51"/>
              </w:numPr>
              <w:rPr>
                <w:sz w:val="21"/>
                <w:szCs w:val="21"/>
              </w:rPr>
            </w:pPr>
            <w:r w:rsidRPr="0016789A">
              <w:rPr>
                <w:sz w:val="21"/>
                <w:szCs w:val="21"/>
              </w:rPr>
              <w:t>fair and effective representation, consultation, cooperation and issue resolution</w:t>
            </w:r>
            <w:r w:rsidR="002251E5" w:rsidRPr="0016789A">
              <w:rPr>
                <w:sz w:val="21"/>
                <w:szCs w:val="21"/>
              </w:rPr>
              <w:t>, and</w:t>
            </w:r>
          </w:p>
          <w:p w14:paraId="39ED285E" w14:textId="27B352B9" w:rsidR="006724AE" w:rsidRPr="00FB74B2" w:rsidRDefault="006724AE" w:rsidP="00447786">
            <w:pPr>
              <w:pStyle w:val="Listnumber2tables"/>
              <w:numPr>
                <w:ilvl w:val="0"/>
                <w:numId w:val="51"/>
              </w:numPr>
            </w:pPr>
            <w:r w:rsidRPr="0016789A">
              <w:rPr>
                <w:sz w:val="21"/>
                <w:szCs w:val="21"/>
              </w:rPr>
              <w:t>a constructive role for unions and employer organisations.</w:t>
            </w:r>
          </w:p>
        </w:tc>
      </w:tr>
    </w:tbl>
    <w:p w14:paraId="16A2C458" w14:textId="3ED4F78D" w:rsidR="00FB5F0A" w:rsidRPr="00CE6FA5" w:rsidRDefault="00F47E1D" w:rsidP="004420D1">
      <w:pPr>
        <w:pStyle w:val="SWAHeading2"/>
        <w:spacing w:before="360" w:line="240" w:lineRule="auto"/>
        <w:rPr>
          <w:rFonts w:asciiTheme="minorHAnsi" w:hAnsiTheme="minorHAnsi"/>
        </w:rPr>
      </w:pPr>
      <w:bookmarkStart w:id="20" w:name="_Toc239845142"/>
      <w:r w:rsidRPr="00CE6FA5">
        <w:rPr>
          <w:rFonts w:asciiTheme="minorHAnsi" w:hAnsiTheme="minorHAnsi"/>
        </w:rPr>
        <w:t>Strengthening and maintaining harmonisation</w:t>
      </w:r>
      <w:bookmarkEnd w:id="20"/>
    </w:p>
    <w:p w14:paraId="19444826" w14:textId="12A1C52D" w:rsidR="009971F7" w:rsidRPr="004420D1" w:rsidRDefault="00F47E1D" w:rsidP="00BF204D">
      <w:pPr>
        <w:pStyle w:val="Boxedshaded"/>
        <w:rPr>
          <w:b/>
          <w:bCs/>
        </w:rPr>
      </w:pPr>
      <w:r w:rsidRPr="004420D1">
        <w:rPr>
          <w:b/>
          <w:bCs/>
        </w:rPr>
        <w:t>What we heard</w:t>
      </w:r>
    </w:p>
    <w:p w14:paraId="5BE0E8E5" w14:textId="77777777" w:rsidR="00F21CE3" w:rsidRDefault="00615608" w:rsidP="00BF204D">
      <w:pPr>
        <w:pStyle w:val="Boxedshaded"/>
      </w:pPr>
      <w:r w:rsidRPr="00615608">
        <w:t>This Review heard there were several reasons for jurisdictional variations. Safe Work Australia Members and others believed national processes can take too long, leading jurisdictions to act alone more swiftly.</w:t>
      </w:r>
      <w:r w:rsidRPr="00615608">
        <w:rPr>
          <w:vertAlign w:val="superscript"/>
        </w:rPr>
        <w:footnoteReference w:id="36"/>
      </w:r>
      <w:r w:rsidRPr="00615608">
        <w:t xml:space="preserve"> NT WorkSafe highlighted that it can take longer for smaller jurisdictions to adopt national changes in WHS laws; it stated that it is difficult for jurisdictions to go through legislative change concurrently.</w:t>
      </w:r>
      <w:r w:rsidRPr="00615608">
        <w:rPr>
          <w:vertAlign w:val="superscript"/>
        </w:rPr>
        <w:footnoteReference w:id="37"/>
      </w:r>
      <w:r w:rsidRPr="00615608">
        <w:t xml:space="preserve"> Australian Industry Group and other Safe Work Australia Member bodies noted that change is often driven by political agendas,</w:t>
      </w:r>
      <w:r w:rsidRPr="00615608">
        <w:rPr>
          <w:vertAlign w:val="superscript"/>
        </w:rPr>
        <w:footnoteReference w:id="38"/>
      </w:r>
      <w:r w:rsidRPr="00615608">
        <w:t xml:space="preserve"> while the Australian</w:t>
      </w:r>
      <w:r w:rsidR="005115F2">
        <w:t> </w:t>
      </w:r>
      <w:r w:rsidRPr="00615608">
        <w:t>Institute of Health and Safety (AIHS) called for more Safe Work Australia decisions to be driven by objective technical expertise.</w:t>
      </w:r>
      <w:r w:rsidRPr="00615608">
        <w:rPr>
          <w:vertAlign w:val="superscript"/>
        </w:rPr>
        <w:footnoteReference w:id="39"/>
      </w:r>
    </w:p>
    <w:p w14:paraId="106B82AB" w14:textId="433B7AC0" w:rsidR="00615608" w:rsidRPr="00615608" w:rsidRDefault="00615608" w:rsidP="00BF204D">
      <w:pPr>
        <w:pStyle w:val="Boxedshaded"/>
      </w:pPr>
      <w:r w:rsidRPr="00615608">
        <w:t>Some solutions to addressing variations and ensuring a sustained national approach were provided. Curran Risk Management,</w:t>
      </w:r>
      <w:r w:rsidRPr="00615608">
        <w:rPr>
          <w:vertAlign w:val="superscript"/>
        </w:rPr>
        <w:footnoteReference w:id="40"/>
      </w:r>
      <w:r w:rsidRPr="00615608">
        <w:t xml:space="preserve"> and Professor Andrew Stewart and Peter Thorning,</w:t>
      </w:r>
      <w:r w:rsidRPr="00615608">
        <w:rPr>
          <w:vertAlign w:val="superscript"/>
        </w:rPr>
        <w:footnoteReference w:id="41"/>
      </w:r>
      <w:r w:rsidRPr="00615608">
        <w:t xml:space="preserve"> suggested that deviations from the model WHS laws could be addressed by establishing a national, independent regulator using mirror legislation or the referral of powers to the Commonwealth.</w:t>
      </w:r>
    </w:p>
    <w:p w14:paraId="07809F5C" w14:textId="77777777" w:rsidR="00615608" w:rsidRPr="00615608" w:rsidRDefault="00615608" w:rsidP="00BF204D">
      <w:pPr>
        <w:pStyle w:val="Boxedshaded"/>
      </w:pPr>
      <w:r w:rsidRPr="00615608">
        <w:t xml:space="preserve">Others called for greater powers for Safe Work Australia to safeguard against fragmentation. Specifically, government and industry representatives suggested that the </w:t>
      </w:r>
      <w:r w:rsidRPr="00615608">
        <w:rPr>
          <w:i/>
        </w:rPr>
        <w:t>Safe Work Australia Act 2008</w:t>
      </w:r>
      <w:r w:rsidRPr="00615608">
        <w:t xml:space="preserve"> (Cth) be amended to strengthen Safe Work Australia’s ability to review jurisdiction-level changes, reinforce tripartite processes, and ensure proposed amendments are assessed nationally before enactment locally.</w:t>
      </w:r>
      <w:r w:rsidRPr="00615608">
        <w:rPr>
          <w:vertAlign w:val="superscript"/>
        </w:rPr>
        <w:footnoteReference w:id="42"/>
      </w:r>
    </w:p>
    <w:p w14:paraId="468FBC1E" w14:textId="77777777" w:rsidR="00F21CE3" w:rsidRDefault="00615608" w:rsidP="00BF204D">
      <w:pPr>
        <w:pStyle w:val="Boxedshaded"/>
      </w:pPr>
      <w:r w:rsidRPr="00615608">
        <w:t>Industry and unions also proposed ideas to provide greater transparency of jurisdictional variations, including the publication of a scorecard to detail jurisdictional variations;</w:t>
      </w:r>
      <w:r w:rsidRPr="00615608">
        <w:rPr>
          <w:vertAlign w:val="superscript"/>
        </w:rPr>
        <w:footnoteReference w:id="43"/>
      </w:r>
      <w:r w:rsidRPr="00615608">
        <w:t xml:space="preserve"> and periodic audits to monitor, review and evaluate variations at the national level.</w:t>
      </w:r>
      <w:r w:rsidRPr="00615608">
        <w:rPr>
          <w:vertAlign w:val="superscript"/>
        </w:rPr>
        <w:footnoteReference w:id="44"/>
      </w:r>
    </w:p>
    <w:p w14:paraId="611B9664" w14:textId="5E538E87" w:rsidR="004420D1" w:rsidRDefault="004420D1" w:rsidP="004420D1">
      <w:pPr>
        <w:pStyle w:val="Paragraph"/>
        <w:rPr>
          <w:rFonts w:eastAsiaTheme="majorEastAsia"/>
        </w:rPr>
      </w:pPr>
      <w:r>
        <w:br w:type="page"/>
      </w:r>
    </w:p>
    <w:p w14:paraId="36E511B8" w14:textId="1341DF2E" w:rsidR="009971F7" w:rsidRDefault="009971F7" w:rsidP="004420D1">
      <w:pPr>
        <w:pStyle w:val="SWAHeading4"/>
      </w:pPr>
      <w:r>
        <w:lastRenderedPageBreak/>
        <w:t xml:space="preserve">Discussion and </w:t>
      </w:r>
      <w:r w:rsidR="00C54733">
        <w:t>r</w:t>
      </w:r>
      <w:r>
        <w:t>ecommendations</w:t>
      </w:r>
    </w:p>
    <w:p w14:paraId="5439FA8F" w14:textId="77777777" w:rsidR="00B21E4B" w:rsidRPr="00B21E4B" w:rsidRDefault="00B21E4B" w:rsidP="009A7C7E">
      <w:pPr>
        <w:pStyle w:val="Paragraph"/>
      </w:pPr>
      <w:r w:rsidRPr="00B21E4B">
        <w:t>This Review considered the suggestions made to adopt alternative schemes for regulating WHS.</w:t>
      </w:r>
    </w:p>
    <w:p w14:paraId="4F4E3057" w14:textId="77777777" w:rsidR="00B21E4B" w:rsidRPr="00B21E4B" w:rsidRDefault="00B21E4B" w:rsidP="00B21E4B">
      <w:pPr>
        <w:pStyle w:val="Paragraph"/>
      </w:pPr>
      <w:r w:rsidRPr="00B21E4B">
        <w:t>The alternative schemes proposed were:</w:t>
      </w:r>
    </w:p>
    <w:p w14:paraId="05A16522" w14:textId="77777777" w:rsidR="00B21E4B" w:rsidRPr="00B21E4B" w:rsidRDefault="00B21E4B" w:rsidP="00843579">
      <w:pPr>
        <w:pStyle w:val="ListBullet"/>
        <w:rPr>
          <w:rFonts w:eastAsia="Times New Roman"/>
          <w:lang w:eastAsia="en-AU"/>
        </w:rPr>
      </w:pPr>
      <w:r w:rsidRPr="00B21E4B">
        <w:rPr>
          <w:b/>
          <w:lang w:eastAsia="en-AU"/>
        </w:rPr>
        <w:t>an applied law scheme</w:t>
      </w:r>
      <w:r w:rsidRPr="00B21E4B">
        <w:rPr>
          <w:rFonts w:eastAsia="Times New Roman"/>
          <w:lang w:eastAsia="en-AU"/>
        </w:rPr>
        <w:t xml:space="preserve"> where standard provisions are enacted in one jurisdiction and adopted as law in participating jurisdictions with a </w:t>
      </w:r>
      <w:r w:rsidRPr="00215860">
        <w:rPr>
          <w:rFonts w:eastAsia="Times New Roman"/>
          <w:lang w:eastAsia="en-AU"/>
        </w:rPr>
        <w:t>single</w:t>
      </w:r>
      <w:r w:rsidRPr="00B21E4B">
        <w:rPr>
          <w:rFonts w:eastAsia="Times New Roman"/>
          <w:lang w:eastAsia="en-AU"/>
        </w:rPr>
        <w:t>, co-funded national regulator, similar to the National Heavy Vehicle Regulator (NHVR) or Office of the National Rail Safety Regulator (ONRSR)</w:t>
      </w:r>
    </w:p>
    <w:p w14:paraId="1BB16F91" w14:textId="77777777" w:rsidR="00B21E4B" w:rsidRPr="00B21E4B" w:rsidRDefault="00B21E4B" w:rsidP="00843579">
      <w:pPr>
        <w:pStyle w:val="ListBullet"/>
        <w:rPr>
          <w:rFonts w:eastAsia="Times New Roman"/>
          <w:lang w:eastAsia="en-AU"/>
        </w:rPr>
      </w:pPr>
      <w:r w:rsidRPr="00B21E4B">
        <w:rPr>
          <w:b/>
          <w:lang w:eastAsia="en-AU"/>
        </w:rPr>
        <w:t>referral of powers to the Commonwealth</w:t>
      </w:r>
      <w:r w:rsidRPr="00B21E4B">
        <w:rPr>
          <w:rFonts w:eastAsia="Times New Roman"/>
          <w:lang w:eastAsia="en-AU"/>
        </w:rPr>
        <w:t xml:space="preserve"> under section 51(xxxvii) of the Australian Constitution, enabling a single </w:t>
      </w:r>
      <w:r w:rsidRPr="00215860">
        <w:rPr>
          <w:rFonts w:eastAsia="Times New Roman"/>
          <w:lang w:eastAsia="en-AU"/>
        </w:rPr>
        <w:t>Commonwealth</w:t>
      </w:r>
      <w:r w:rsidRPr="00B21E4B">
        <w:rPr>
          <w:rFonts w:eastAsia="Times New Roman"/>
          <w:lang w:eastAsia="en-AU"/>
        </w:rPr>
        <w:t xml:space="preserve"> law to apply across participating states and territories; and requiring the Commonwealth to take over regulatory functions, including compliance and enforcement functions, achieving uniformity of WHS laws.</w:t>
      </w:r>
    </w:p>
    <w:p w14:paraId="0111D995" w14:textId="77777777" w:rsidR="00B21E4B" w:rsidRPr="00B21E4B" w:rsidRDefault="00B21E4B" w:rsidP="00B21E4B">
      <w:pPr>
        <w:pStyle w:val="Paragraph"/>
      </w:pPr>
      <w:r w:rsidRPr="00B21E4B">
        <w:t>While it is true that both options could play a role in maintaining and strengthening harmonisation by ensuring consistent approaches and removing jurisdictional inconsistencies, there are drawbacks, including upfront costs and state and territory rights issues. Most crucially, both options would diminish the important contribution of the states and territories and their considerable existing experience and capability in WHS.</w:t>
      </w:r>
    </w:p>
    <w:p w14:paraId="24D4DCAE" w14:textId="77777777" w:rsidR="00B21E4B" w:rsidRPr="00B21E4B" w:rsidRDefault="00B21E4B" w:rsidP="00B21E4B">
      <w:pPr>
        <w:pStyle w:val="Paragraph"/>
      </w:pPr>
      <w:r w:rsidRPr="00B21E4B">
        <w:t>While feedback to this Review certainly pointed to frustration with the status quo and the readiness of jurisdictions to vary their laws or delay adoption of national changes, it did not indicate a broad appetite for structural or institutional reform. Instead, the focus of contributors to this Review was on how Safe Work Australia could more effectively manage and limit unilateral jurisdictional variations into the future.</w:t>
      </w:r>
    </w:p>
    <w:p w14:paraId="49ABB52C" w14:textId="77777777" w:rsidR="00F21CE3" w:rsidRDefault="00B21E4B" w:rsidP="00B21E4B">
      <w:pPr>
        <w:pStyle w:val="Paragraph"/>
      </w:pPr>
      <w:r w:rsidRPr="00B21E4B">
        <w:t>Feedback to this Review clearly indicated that Safe Work Australia’s governance arrangements have a role to play in preventing future variations. It was noted that simply following the process outlined in the IGA would have allowed many jurisdictional variations to be considered nationally.</w:t>
      </w:r>
      <w:r w:rsidRPr="00B21E4B">
        <w:rPr>
          <w:vertAlign w:val="superscript"/>
        </w:rPr>
        <w:footnoteReference w:id="45"/>
      </w:r>
    </w:p>
    <w:p w14:paraId="7B213E12" w14:textId="77777777" w:rsidR="00F21CE3" w:rsidRDefault="00B21E4B" w:rsidP="00B21E4B">
      <w:pPr>
        <w:pStyle w:val="Paragraph"/>
      </w:pPr>
      <w:r w:rsidRPr="00B21E4B">
        <w:t>The IGA requires:</w:t>
      </w:r>
    </w:p>
    <w:p w14:paraId="77752EFA" w14:textId="5B5230A6" w:rsidR="00B21E4B" w:rsidRPr="00B21E4B" w:rsidRDefault="00B21E4B" w:rsidP="005E53AD">
      <w:pPr>
        <w:pStyle w:val="Paragraph"/>
        <w:ind w:left="720"/>
      </w:pPr>
      <w:r w:rsidRPr="00FE2362">
        <w:rPr>
          <w:rStyle w:val="EmphasisquoteChar"/>
          <w:rFonts w:asciiTheme="minorHAnsi" w:hAnsiTheme="minorHAnsi"/>
          <w:sz w:val="22"/>
          <w:szCs w:val="22"/>
        </w:rPr>
        <w:t>Any Party that proposes to amend its legislation or introduce new legislation so as to materially affect the operation of model OHS legislation will submit the proposed amendments or new legislation to Workplace Relations Ministers Council [WRMC] for decision. Each Party agrees that it will not progress implementation of any such amendment or such new legislation unless WRMC has endorsed the proposed amendment or new legislation.</w:t>
      </w:r>
      <w:r w:rsidRPr="00B21E4B">
        <w:rPr>
          <w:vertAlign w:val="superscript"/>
        </w:rPr>
        <w:footnoteReference w:id="46"/>
      </w:r>
    </w:p>
    <w:p w14:paraId="65981BF0" w14:textId="77777777" w:rsidR="00B21E4B" w:rsidRPr="00B21E4B" w:rsidRDefault="00B21E4B" w:rsidP="00B21E4B">
      <w:pPr>
        <w:pStyle w:val="Paragraph"/>
      </w:pPr>
      <w:r w:rsidRPr="00B21E4B">
        <w:t>Some Safe Work Australia Members believed the length of time it takes to consult and make decisions nationally contributes to jurisdictional variations and why the IGA process has not been followed.</w:t>
      </w:r>
      <w:r w:rsidRPr="00B21E4B">
        <w:rPr>
          <w:vertAlign w:val="superscript"/>
        </w:rPr>
        <w:footnoteReference w:id="47"/>
      </w:r>
      <w:r w:rsidRPr="00B21E4B">
        <w:t xml:space="preserve"> Simultaneously, there were calls for more time, believing national processes to be too rushed. For example, WorkSafe WA stated that, on one hand, Safe Work Australia can set timeframes that are too short for jurisdictions to properly consult on issues; and, on the other hand, if a jurisdiction identifies an issue requiring immediate action, Safe Work Australia’s processes can move too slowly.</w:t>
      </w:r>
      <w:r w:rsidRPr="00B21E4B">
        <w:rPr>
          <w:vertAlign w:val="superscript"/>
        </w:rPr>
        <w:footnoteReference w:id="48"/>
      </w:r>
    </w:p>
    <w:p w14:paraId="3EC0FBD7" w14:textId="77777777" w:rsidR="00F21CE3" w:rsidRDefault="00B21E4B" w:rsidP="00B21E4B">
      <w:pPr>
        <w:pStyle w:val="Paragraph"/>
      </w:pPr>
      <w:r w:rsidRPr="00B21E4B">
        <w:t xml:space="preserve">This Review recommends there should be a </w:t>
      </w:r>
      <w:r w:rsidR="001D6BD1" w:rsidRPr="001D6BD1">
        <w:t>commitment</w:t>
      </w:r>
      <w:r w:rsidRPr="00B21E4B">
        <w:t xml:space="preserve"> to jurisdictions bringing any proposed variations to their WHS laws to Safe Work Australia for national consideration (as outlined in Part 5.5 of the IGA). This would require Safe Work Australia Members (particularly jurisdictional Members) to more routinely identify legislative, policy and compliance and enforcement issues affecting their jurisdictions at the national table.</w:t>
      </w:r>
    </w:p>
    <w:p w14:paraId="309C620F" w14:textId="77777777" w:rsidR="00F21CE3" w:rsidRDefault="00B21E4B" w:rsidP="00B21E4B">
      <w:pPr>
        <w:pStyle w:val="Paragraph"/>
      </w:pPr>
      <w:r w:rsidRPr="00B21E4B">
        <w:lastRenderedPageBreak/>
        <w:t>The Review also heard that delays in passing nationally agreed amendments to the model WHS Act and Regulations in some jurisdictions had contributed to a lack of harmonisation. This Review therefore recommends ensuring amendments to the model WHS laws agreed nationally are prioritised for passage through jurisdictional parliaments.</w:t>
      </w:r>
    </w:p>
    <w:p w14:paraId="6916DEF1" w14:textId="77777777" w:rsidR="00F21CE3" w:rsidRDefault="00B21E4B" w:rsidP="00B21E4B">
      <w:pPr>
        <w:pStyle w:val="Paragraph"/>
      </w:pPr>
      <w:r w:rsidRPr="00B21E4B">
        <w:t>All jurisdictions have implemented tripartite advisory councils or committees to provide advice to the Minister.</w:t>
      </w:r>
      <w:r w:rsidRPr="00B21E4B">
        <w:rPr>
          <w:vertAlign w:val="superscript"/>
        </w:rPr>
        <w:footnoteReference w:id="49"/>
      </w:r>
      <w:r w:rsidRPr="00B21E4B">
        <w:t xml:space="preserve"> While these jurisdictional consultation mechanisms are important, it would strengthen harmonisation if they operated as part of the harmonised national decision-making process. This includes having mechanisms in place to ensure issues identified through local tripartite processes are communicated by the relevant Safe Work Australia Member and brought forward for national consideration. Similarly, mechanisms to inform and seek feedback from jurisdictional advisory bodies as part of national policy discussion would be helpful so that issues raised during</w:t>
      </w:r>
      <w:r w:rsidRPr="00B21E4B" w:rsidDel="00D75272">
        <w:t xml:space="preserve"> </w:t>
      </w:r>
      <w:r w:rsidRPr="00B21E4B">
        <w:t>national decision-making are not later re</w:t>
      </w:r>
      <w:r w:rsidRPr="00B21E4B">
        <w:noBreakHyphen/>
        <w:t>prosecuted at the local level.</w:t>
      </w:r>
    </w:p>
    <w:p w14:paraId="1B7AFABF" w14:textId="7A6AAA5E" w:rsidR="00B21E4B" w:rsidRPr="00B21E4B" w:rsidRDefault="00B21E4B" w:rsidP="00B21E4B">
      <w:pPr>
        <w:pStyle w:val="Paragraph"/>
      </w:pPr>
      <w:r w:rsidRPr="00B21E4B">
        <w:t>This Review makes no recommendation on consultation timeframes, as this should be at the discretion of Safe Work Australia Members and may vary from issue to issue. However, to ensure matters ready for decision are resolved more swiftly, this Review recommends consistently following the voting processes outlined in 2.2.1(d) of the IGA. This provides:</w:t>
      </w:r>
    </w:p>
    <w:p w14:paraId="57F22C21" w14:textId="77777777" w:rsidR="00B21E4B" w:rsidRPr="00B21E4B" w:rsidRDefault="00B21E4B" w:rsidP="00D05829">
      <w:pPr>
        <w:pStyle w:val="Paragraph"/>
        <w:ind w:left="720"/>
      </w:pPr>
      <w:r w:rsidRPr="00685ABF">
        <w:rPr>
          <w:rStyle w:val="EmphasisquoteChar"/>
          <w:rFonts w:asciiTheme="minorHAnsi" w:hAnsiTheme="minorHAnsi"/>
          <w:sz w:val="22"/>
          <w:szCs w:val="22"/>
        </w:rPr>
        <w:t>at a meeting of Workplace Relations Ministers Council, members who do not vote in person or by written vote or by proxy will be counted as having voted to approve a recommendation. Where a vote is conducted without a meeting, a member who does not submit his or her vote by the deadline set, will be counted as having voted to approve the recommendation.</w:t>
      </w:r>
      <w:r w:rsidRPr="00B21E4B">
        <w:rPr>
          <w:vertAlign w:val="superscript"/>
        </w:rPr>
        <w:footnoteReference w:id="50"/>
      </w:r>
    </w:p>
    <w:p w14:paraId="4BDC23C9" w14:textId="77777777" w:rsidR="00F21CE3" w:rsidRDefault="00B21E4B" w:rsidP="00B21E4B">
      <w:pPr>
        <w:pStyle w:val="Paragraph"/>
      </w:pPr>
      <w:r w:rsidRPr="00B21E4B">
        <w:t>In their submissions, the ACTU and the Water Services Association identified that a scorecard or public register of jurisdictional variations would improve public transparency and accountability.</w:t>
      </w:r>
      <w:r w:rsidRPr="00B21E4B">
        <w:rPr>
          <w:vertAlign w:val="superscript"/>
        </w:rPr>
        <w:footnoteReference w:id="51"/>
      </w:r>
      <w:r w:rsidRPr="00B21E4B">
        <w:t xml:space="preserve"> This proposal is also consistent with Recommendation 2</w:t>
      </w:r>
      <w:r w:rsidRPr="00B21E4B" w:rsidDel="0015209D">
        <w:t xml:space="preserve"> </w:t>
      </w:r>
      <w:r w:rsidRPr="00B21E4B">
        <w:t>of</w:t>
      </w:r>
      <w:r w:rsidRPr="00B21E4B" w:rsidDel="00A22E1E">
        <w:t xml:space="preserve"> the </w:t>
      </w:r>
      <w:r w:rsidRPr="00392F5E">
        <w:rPr>
          <w:i/>
          <w:iCs/>
        </w:rPr>
        <w:t>2018</w:t>
      </w:r>
      <w:r w:rsidRPr="00B21E4B">
        <w:t> </w:t>
      </w:r>
      <w:r w:rsidRPr="008E7785" w:rsidDel="00A22E1E">
        <w:rPr>
          <w:i/>
          <w:iCs/>
        </w:rPr>
        <w:t>They Never Came Home</w:t>
      </w:r>
      <w:r w:rsidRPr="00B21E4B" w:rsidDel="00A22E1E">
        <w:t xml:space="preserve"> </w:t>
      </w:r>
      <w:r w:rsidRPr="00392F5E" w:rsidDel="00A22E1E">
        <w:rPr>
          <w:i/>
          <w:iCs/>
        </w:rPr>
        <w:t>Report</w:t>
      </w:r>
      <w:r w:rsidRPr="00B21E4B">
        <w:t>.</w:t>
      </w:r>
      <w:r w:rsidRPr="00B21E4B">
        <w:rPr>
          <w:vertAlign w:val="superscript"/>
        </w:rPr>
        <w:footnoteReference w:id="52"/>
      </w:r>
    </w:p>
    <w:p w14:paraId="42BBC6CA" w14:textId="2D73BB10" w:rsidR="00B21E4B" w:rsidRPr="00B21E4B" w:rsidRDefault="00B21E4B" w:rsidP="00B21E4B">
      <w:pPr>
        <w:pStyle w:val="Paragraph"/>
      </w:pPr>
      <w:r w:rsidRPr="00B21E4B">
        <w:t xml:space="preserve">This Review recommends that Safe Work </w:t>
      </w:r>
      <w:r w:rsidRPr="006F5016">
        <w:t>Australia should</w:t>
      </w:r>
      <w:r w:rsidRPr="00B21E4B">
        <w:t xml:space="preserve"> develop and publish an annual scorecard detailing information on individual variations to the model WHS laws, including local variations and variations where changes to the model WHS laws which have been agreed at a national level have not been adopted. The scorecard should also require jurisdictions to explain their reasons for retaining variations should they elect to remain outside of the nationally agreed approach. The scorecard could also be used to consider whether local variations should be elevated to the national process for consideration. Safe Work Australia Members have agreed that the Agency progress this action as a priority.</w:t>
      </w:r>
    </w:p>
    <w:p w14:paraId="38C5FF96" w14:textId="634B2E46" w:rsidR="004420D1" w:rsidRDefault="00B21E4B" w:rsidP="00B21E4B">
      <w:pPr>
        <w:pStyle w:val="Paragraph"/>
      </w:pPr>
      <w:r w:rsidRPr="00B21E4B">
        <w:t>To support the harmonisation objective, this Review also recommends that amendments to the model WHS laws that have been agreed nationally are prioritised for passage through jurisdictional parliaments.</w:t>
      </w:r>
    </w:p>
    <w:p w14:paraId="563B0D45" w14:textId="77777777" w:rsidR="004420D1" w:rsidRDefault="004420D1">
      <w:pPr>
        <w:spacing w:after="200" w:line="276" w:lineRule="auto"/>
        <w:contextualSpacing w:val="0"/>
        <w:rPr>
          <w:rFonts w:asciiTheme="minorHAnsi" w:eastAsia="Times New Roman" w:hAnsiTheme="minorHAnsi"/>
          <w:lang w:eastAsia="en-AU"/>
        </w:rPr>
      </w:pPr>
      <w:r>
        <w:br w:type="page"/>
      </w:r>
    </w:p>
    <w:p w14:paraId="1EEAF862" w14:textId="77777777" w:rsidR="000815E1" w:rsidRDefault="00B21E4B" w:rsidP="004420D1">
      <w:pPr>
        <w:pStyle w:val="Paragraph"/>
        <w:spacing w:after="240"/>
      </w:pPr>
      <w:r w:rsidRPr="00B21E4B">
        <w:lastRenderedPageBreak/>
        <w:t>Another key driver of variations are jurisdiction-level reviews, which often recommend changes that are then only adopted in one jurisdiction. Ideally, reviews should be nationally harmonised and occur periodically in unison. However, to the extent this is not possible, this Review recommends that jurisdictional reviews should be brought to the national table for discussion as early as possible and involve engagement with Safe Work Australia throughout the process. Where possible, Safe Work Australia should encourage common timing and approaches to jurisdiction-level reviews to reduce variations to the model.</w:t>
      </w:r>
      <w:r w:rsidR="001D6BD1" w:rsidRPr="001D6BD1">
        <w:t xml:space="preserve"> </w:t>
      </w:r>
    </w:p>
    <w:tbl>
      <w:tblPr>
        <w:tblStyle w:val="Style3"/>
        <w:tblW w:w="0" w:type="auto"/>
        <w:tblLook w:val="04A0" w:firstRow="1" w:lastRow="0" w:firstColumn="1" w:lastColumn="0" w:noHBand="0" w:noVBand="1"/>
      </w:tblPr>
      <w:tblGrid>
        <w:gridCol w:w="9746"/>
      </w:tblGrid>
      <w:tr w:rsidR="00A9506D" w14:paraId="2D11355F" w14:textId="77777777">
        <w:trPr>
          <w:cnfStyle w:val="100000000000" w:firstRow="1" w:lastRow="0" w:firstColumn="0" w:lastColumn="0" w:oddVBand="0" w:evenVBand="0" w:oddHBand="0" w:evenHBand="0" w:firstRowFirstColumn="0" w:firstRowLastColumn="0" w:lastRowFirstColumn="0" w:lastRowLastColumn="0"/>
        </w:trPr>
        <w:tc>
          <w:tcPr>
            <w:tcW w:w="9746" w:type="dxa"/>
          </w:tcPr>
          <w:p w14:paraId="17337B63" w14:textId="49A9DCF3" w:rsidR="00A9506D" w:rsidRDefault="00A9506D">
            <w:pPr>
              <w:pStyle w:val="Tableheader"/>
            </w:pPr>
            <w:r w:rsidRPr="006724AE">
              <w:t>The harmonisation objective</w:t>
            </w:r>
            <w:r w:rsidR="0016789A">
              <w:t xml:space="preserve"> – Recommendation 2</w:t>
            </w:r>
          </w:p>
        </w:tc>
      </w:tr>
      <w:tr w:rsidR="00A9506D" w14:paraId="27F65BD3" w14:textId="77777777">
        <w:tc>
          <w:tcPr>
            <w:tcW w:w="9746" w:type="dxa"/>
          </w:tcPr>
          <w:p w14:paraId="08393E07" w14:textId="4D42AF81" w:rsidR="00A9506D" w:rsidRPr="0016789A" w:rsidRDefault="009029EC" w:rsidP="004420D1">
            <w:pPr>
              <w:pStyle w:val="Paragraphtable"/>
              <w:rPr>
                <w:sz w:val="21"/>
                <w:szCs w:val="21"/>
              </w:rPr>
            </w:pPr>
            <w:r w:rsidRPr="0016789A">
              <w:rPr>
                <w:sz w:val="21"/>
                <w:szCs w:val="21"/>
              </w:rPr>
              <w:t>That harmonisation is maintained and strengthened through:</w:t>
            </w:r>
          </w:p>
          <w:p w14:paraId="047800A0" w14:textId="73CFFD15" w:rsidR="00917110" w:rsidRPr="0016789A" w:rsidRDefault="00917110" w:rsidP="00447786">
            <w:pPr>
              <w:pStyle w:val="Listnumber2tables"/>
              <w:numPr>
                <w:ilvl w:val="0"/>
                <w:numId w:val="52"/>
              </w:numPr>
              <w:rPr>
                <w:sz w:val="21"/>
                <w:szCs w:val="21"/>
              </w:rPr>
            </w:pPr>
            <w:r w:rsidRPr="0016789A">
              <w:rPr>
                <w:sz w:val="21"/>
                <w:szCs w:val="21"/>
              </w:rPr>
              <w:t>jurisdictions committing to potential local WHS law changes being considered at the national level</w:t>
            </w:r>
          </w:p>
          <w:p w14:paraId="0ABCA31D" w14:textId="77EF3CC3" w:rsidR="00917110" w:rsidRPr="0016789A" w:rsidRDefault="00917110" w:rsidP="00447786">
            <w:pPr>
              <w:pStyle w:val="Listnumber2tables"/>
              <w:numPr>
                <w:ilvl w:val="0"/>
                <w:numId w:val="52"/>
              </w:numPr>
              <w:rPr>
                <w:sz w:val="21"/>
                <w:szCs w:val="21"/>
              </w:rPr>
            </w:pPr>
            <w:r w:rsidRPr="0016789A">
              <w:rPr>
                <w:sz w:val="21"/>
                <w:szCs w:val="21"/>
              </w:rPr>
              <w:t>ensuring amendments to the model WHS laws agreed nationally are prioritised for passage through jurisdictional parliaments</w:t>
            </w:r>
            <w:r w:rsidR="00D57B9E" w:rsidRPr="0016789A">
              <w:rPr>
                <w:sz w:val="21"/>
                <w:szCs w:val="21"/>
              </w:rPr>
              <w:t>, and</w:t>
            </w:r>
          </w:p>
          <w:p w14:paraId="7585C57E" w14:textId="5924FA20" w:rsidR="00A9506D" w:rsidRDefault="00917110" w:rsidP="00447786">
            <w:pPr>
              <w:pStyle w:val="Listnumber2tables"/>
              <w:numPr>
                <w:ilvl w:val="0"/>
                <w:numId w:val="52"/>
              </w:numPr>
            </w:pPr>
            <w:r w:rsidRPr="0016789A">
              <w:rPr>
                <w:sz w:val="21"/>
                <w:szCs w:val="21"/>
              </w:rPr>
              <w:t>introducing a harmonised approach to jurisdictional WHS Act and WHS Regulations reviews.</w:t>
            </w:r>
          </w:p>
        </w:tc>
      </w:tr>
    </w:tbl>
    <w:p w14:paraId="431054C2" w14:textId="77777777" w:rsidR="00D14A0A" w:rsidRPr="00F73741" w:rsidRDefault="00D14A0A" w:rsidP="004420D1">
      <w:pPr>
        <w:pStyle w:val="SWAHeading2"/>
        <w:spacing w:before="360" w:line="240" w:lineRule="auto"/>
        <w:rPr>
          <w:rFonts w:asciiTheme="minorHAnsi" w:hAnsiTheme="minorHAnsi"/>
        </w:rPr>
      </w:pPr>
      <w:bookmarkStart w:id="21" w:name="_Toc236326801"/>
      <w:bookmarkStart w:id="22" w:name="_Toc239845143"/>
      <w:r w:rsidRPr="00F73741">
        <w:rPr>
          <w:rFonts w:asciiTheme="minorHAnsi" w:hAnsiTheme="minorHAnsi"/>
        </w:rPr>
        <w:t>Harmonisation in the approach to compliance and enforcement</w:t>
      </w:r>
      <w:bookmarkEnd w:id="21"/>
      <w:bookmarkEnd w:id="22"/>
    </w:p>
    <w:p w14:paraId="0FDD7EDA" w14:textId="77777777" w:rsidR="00F21CE3" w:rsidRDefault="00D14A0A" w:rsidP="00D14A0A">
      <w:pPr>
        <w:pStyle w:val="Paragraph"/>
      </w:pPr>
      <w:r w:rsidRPr="00D14A0A">
        <w:t xml:space="preserve">One of Safe Work Australia’s key functions under the </w:t>
      </w:r>
      <w:r w:rsidRPr="00D14A0A">
        <w:rPr>
          <w:i/>
        </w:rPr>
        <w:t xml:space="preserve">Safe Work Australia Act 2008 </w:t>
      </w:r>
      <w:r w:rsidRPr="00D14A0A">
        <w:rPr>
          <w:iCs/>
        </w:rPr>
        <w:t xml:space="preserve">(Cth) </w:t>
      </w:r>
      <w:r w:rsidRPr="00D14A0A">
        <w:t>is to produce an NCEP. The NCEP is fundamental to harmonisation and</w:t>
      </w:r>
      <w:r w:rsidRPr="00D14A0A" w:rsidDel="00480C3C">
        <w:t xml:space="preserve"> </w:t>
      </w:r>
      <w:r w:rsidRPr="00D14A0A">
        <w:t>outlines the approach WHS regulators will follow to achieve nationally consistent compliance and enforcement practices.</w:t>
      </w:r>
      <w:r w:rsidRPr="00D14A0A">
        <w:rPr>
          <w:vertAlign w:val="superscript"/>
        </w:rPr>
        <w:footnoteReference w:id="53"/>
      </w:r>
    </w:p>
    <w:p w14:paraId="11B38D46" w14:textId="5755C117" w:rsidR="00D14A0A" w:rsidRPr="00D14A0A" w:rsidRDefault="00D14A0A" w:rsidP="00D14A0A">
      <w:pPr>
        <w:pStyle w:val="Paragraph"/>
      </w:pPr>
      <w:r w:rsidRPr="00D14A0A">
        <w:t>The NCEP is currently a high-level document outlining 7 principles to guide WHS regulators’</w:t>
      </w:r>
      <w:r w:rsidRPr="00D14A0A" w:rsidDel="004259ED">
        <w:t xml:space="preserve"> </w:t>
      </w:r>
      <w:r w:rsidRPr="00D14A0A">
        <w:t>compliance and enforcement activities.</w:t>
      </w:r>
    </w:p>
    <w:p w14:paraId="35219989" w14:textId="77777777" w:rsidR="00F21CE3" w:rsidRDefault="00D14A0A" w:rsidP="00D14A0A">
      <w:pPr>
        <w:pStyle w:val="Paragraph"/>
      </w:pPr>
      <w:r w:rsidRPr="00D14A0A">
        <w:t xml:space="preserve">One of the strongest messages from the </w:t>
      </w:r>
      <w:r w:rsidRPr="00973523">
        <w:rPr>
          <w:i/>
          <w:iCs/>
        </w:rPr>
        <w:t>2018 National Review</w:t>
      </w:r>
      <w:r w:rsidRPr="00D14A0A">
        <w:t xml:space="preserve"> was that ‘regulators are not consistently implementing the model WHS laws’.</w:t>
      </w:r>
      <w:r w:rsidRPr="00D14A0A">
        <w:rPr>
          <w:vertAlign w:val="superscript"/>
        </w:rPr>
        <w:footnoteReference w:id="54"/>
      </w:r>
      <w:r w:rsidRPr="00D14A0A">
        <w:t xml:space="preserve"> It recommended the NCEP be reviewed and include decision-making frameworks to promote greater national consistency in the approach to compliance and enforcement.</w:t>
      </w:r>
      <w:r w:rsidRPr="00D14A0A">
        <w:rPr>
          <w:vertAlign w:val="superscript"/>
        </w:rPr>
        <w:footnoteReference w:id="55"/>
      </w:r>
    </w:p>
    <w:p w14:paraId="143D7029" w14:textId="77777777" w:rsidR="00F21CE3" w:rsidRDefault="00D14A0A" w:rsidP="0016789A">
      <w:pPr>
        <w:pStyle w:val="Paragraph"/>
        <w:spacing w:after="240"/>
      </w:pPr>
      <w:r w:rsidRPr="00D14A0A">
        <w:t>Safe Work Australia commissioned this NCEP review in 2022; however, it did not ultimately achieve its recommended objective.</w:t>
      </w:r>
    </w:p>
    <w:p w14:paraId="00DC4BAD" w14:textId="650BE42D" w:rsidR="00A97ECC" w:rsidRPr="004420D1" w:rsidRDefault="00A97ECC" w:rsidP="00C125AA">
      <w:pPr>
        <w:pStyle w:val="Boxedshaded"/>
        <w:keepNext w:val="0"/>
        <w:keepLines w:val="0"/>
        <w:rPr>
          <w:b/>
          <w:bCs/>
        </w:rPr>
      </w:pPr>
      <w:r w:rsidRPr="004420D1">
        <w:rPr>
          <w:b/>
          <w:bCs/>
        </w:rPr>
        <w:t>What we heard</w:t>
      </w:r>
    </w:p>
    <w:p w14:paraId="0F51DAC5" w14:textId="77777777" w:rsidR="00F21CE3" w:rsidRDefault="002314AD" w:rsidP="00C125AA">
      <w:pPr>
        <w:pStyle w:val="Boxedshaded"/>
        <w:keepNext w:val="0"/>
        <w:keepLines w:val="0"/>
        <w:rPr>
          <w:vertAlign w:val="superscript"/>
        </w:rPr>
      </w:pPr>
      <w:r w:rsidRPr="002314AD">
        <w:t>As in 2018, concern about compliance and enforcement inconsistency was one of the messages most frequently heard by this Review. There was a broad-ranging consensus that</w:t>
      </w:r>
      <w:r w:rsidRPr="002314AD" w:rsidDel="00151D5D">
        <w:t xml:space="preserve"> the NCEP is not achieving its stated purpose of ensuring a nationally consistent approach to compliance and enforcement. </w:t>
      </w:r>
      <w:r w:rsidRPr="002314AD">
        <w:t>Industry representatives and WorkSafe WA called for further work to address inconsistency in the compliance and enforcement approaches and activities of WHS regulators</w:t>
      </w:r>
      <w:r w:rsidRPr="002314AD">
        <w:rPr>
          <w:vertAlign w:val="superscript"/>
        </w:rPr>
        <w:footnoteReference w:id="56"/>
      </w:r>
      <w:r w:rsidRPr="002314AD">
        <w:t xml:space="preserve"> and to improve transparency and clarity.</w:t>
      </w:r>
      <w:r w:rsidRPr="002314AD">
        <w:rPr>
          <w:vertAlign w:val="superscript"/>
        </w:rPr>
        <w:footnoteReference w:id="57"/>
      </w:r>
    </w:p>
    <w:p w14:paraId="4FE51AFD" w14:textId="14049842" w:rsidR="004420D1" w:rsidRDefault="004420D1" w:rsidP="00D3718E">
      <w:pPr>
        <w:spacing w:after="200" w:line="276" w:lineRule="auto"/>
        <w:contextualSpacing w:val="0"/>
        <w:rPr>
          <w:rFonts w:asciiTheme="minorHAnsi" w:hAnsiTheme="minorHAnsi"/>
          <w:vertAlign w:val="superscript"/>
        </w:rPr>
      </w:pPr>
      <w:r>
        <w:rPr>
          <w:vertAlign w:val="superscript"/>
        </w:rPr>
        <w:br w:type="page"/>
      </w:r>
    </w:p>
    <w:p w14:paraId="5A4D8871" w14:textId="77777777" w:rsidR="00F21CE3" w:rsidRDefault="002314AD" w:rsidP="004105BB">
      <w:pPr>
        <w:pStyle w:val="Boxedshaded"/>
        <w:keepNext w:val="0"/>
        <w:keepLines w:val="0"/>
      </w:pPr>
      <w:r w:rsidRPr="002314AD">
        <w:lastRenderedPageBreak/>
        <w:t>Variations across WHS regulators’ operations were widely seen to affect WHS outcomes by undermining predictability and confidence in WHS laws. The Australian Chamber of Commerce and Industry (ACCI), Master Builders Australia (MBA) and the MCA all called for a further review to restore alignment and promote consistency in compliance and enforcement,</w:t>
      </w:r>
      <w:r w:rsidRPr="002314AD">
        <w:rPr>
          <w:vertAlign w:val="superscript"/>
        </w:rPr>
        <w:footnoteReference w:id="58"/>
      </w:r>
      <w:r w:rsidRPr="002314AD">
        <w:t xml:space="preserve"> while unions were</w:t>
      </w:r>
      <w:r w:rsidRPr="002314AD" w:rsidDel="00480A3A">
        <w:t xml:space="preserve"> </w:t>
      </w:r>
      <w:r w:rsidRPr="002314AD">
        <w:t xml:space="preserve">concerned that worker representation, participation and consultation are not covered by </w:t>
      </w:r>
      <w:r w:rsidRPr="002314AD" w:rsidDel="00A224B3">
        <w:t xml:space="preserve">the </w:t>
      </w:r>
      <w:r w:rsidRPr="002314AD">
        <w:t>current NCEP.</w:t>
      </w:r>
      <w:r w:rsidRPr="002314AD">
        <w:rPr>
          <w:vertAlign w:val="superscript"/>
        </w:rPr>
        <w:footnoteReference w:id="59"/>
      </w:r>
    </w:p>
    <w:p w14:paraId="7DF5611E" w14:textId="77777777" w:rsidR="00F21CE3" w:rsidRDefault="002314AD" w:rsidP="004105BB">
      <w:pPr>
        <w:pStyle w:val="Boxedshaded"/>
        <w:keepNext w:val="0"/>
        <w:keepLines w:val="0"/>
      </w:pPr>
      <w:r w:rsidRPr="002314AD">
        <w:t>The BCA, among many other organisations, reflected</w:t>
      </w:r>
      <w:r w:rsidRPr="002314AD" w:rsidDel="00DA2687">
        <w:t xml:space="preserve"> </w:t>
      </w:r>
      <w:r w:rsidRPr="002314AD">
        <w:t>that inspectors often have very different interpretations of WHS requirements, posing significant challenges for businesses that want to do the right thing.</w:t>
      </w:r>
      <w:r w:rsidRPr="002314AD">
        <w:rPr>
          <w:vertAlign w:val="superscript"/>
        </w:rPr>
        <w:footnoteReference w:id="60"/>
      </w:r>
      <w:r w:rsidRPr="002314AD">
        <w:t xml:space="preserve"> One company told this Review that 2</w:t>
      </w:r>
      <w:r w:rsidRPr="002314AD" w:rsidDel="0039647A">
        <w:t xml:space="preserve"> </w:t>
      </w:r>
      <w:r w:rsidRPr="002314AD">
        <w:t>near</w:t>
      </w:r>
      <w:r w:rsidRPr="002314AD">
        <w:noBreakHyphen/>
        <w:t xml:space="preserve">identical complaints made within the same jurisdiction had been handled with vastly different approaches: the first investigation </w:t>
      </w:r>
      <w:r w:rsidR="00E82FC5">
        <w:t>h</w:t>
      </w:r>
      <w:r w:rsidRPr="002314AD">
        <w:t>ad been resolved quickly with a finding of no infringement, while the second had dragged on for months and cost</w:t>
      </w:r>
      <w:r w:rsidRPr="002314AD" w:rsidDel="007C0E82">
        <w:t xml:space="preserve"> </w:t>
      </w:r>
      <w:r w:rsidRPr="002314AD">
        <w:t>the business over $100,000.</w:t>
      </w:r>
      <w:r w:rsidRPr="002314AD">
        <w:rPr>
          <w:vertAlign w:val="superscript"/>
        </w:rPr>
        <w:footnoteReference w:id="61"/>
      </w:r>
    </w:p>
    <w:p w14:paraId="73E5A1B6" w14:textId="77777777" w:rsidR="00F21CE3" w:rsidRDefault="002314AD" w:rsidP="004105BB">
      <w:pPr>
        <w:pStyle w:val="Boxedshaded"/>
        <w:keepNext w:val="0"/>
        <w:keepLines w:val="0"/>
      </w:pPr>
      <w:r w:rsidRPr="002314AD">
        <w:t>The AIHS suggested a national rollout of scenario-based guidance on the operation of the NCEP for inspectors, similar to that developed by SafeWork NSW, as an effective way to communicate the NCEP principles.</w:t>
      </w:r>
      <w:r w:rsidRPr="002314AD">
        <w:rPr>
          <w:vertAlign w:val="superscript"/>
        </w:rPr>
        <w:footnoteReference w:id="62"/>
      </w:r>
    </w:p>
    <w:p w14:paraId="4ED102D2" w14:textId="499BAA6B" w:rsidR="002314AD" w:rsidRPr="002314AD" w:rsidRDefault="002314AD" w:rsidP="004105BB">
      <w:pPr>
        <w:pStyle w:val="Boxedshaded"/>
        <w:keepNext w:val="0"/>
        <w:keepLines w:val="0"/>
      </w:pPr>
      <w:r w:rsidRPr="002314AD">
        <w:t xml:space="preserve">This Review heard </w:t>
      </w:r>
      <w:r w:rsidRPr="002314AD" w:rsidDel="005D2E7B">
        <w:t xml:space="preserve">the </w:t>
      </w:r>
      <w:r w:rsidRPr="002314AD">
        <w:t>approach taken by regulators and inspectors</w:t>
      </w:r>
      <w:r w:rsidRPr="002314AD" w:rsidDel="00831673">
        <w:t xml:space="preserve"> </w:t>
      </w:r>
      <w:r w:rsidRPr="002314AD">
        <w:t>can change as governments change, swinging like a pendulum between a predominately educative approach to an enforcement approach. The Chamber of Minerals and Energy of Western Australia noted these varied approaches taken by regulators and inspectors.</w:t>
      </w:r>
      <w:r w:rsidRPr="002314AD">
        <w:rPr>
          <w:vertAlign w:val="superscript"/>
        </w:rPr>
        <w:footnoteReference w:id="63"/>
      </w:r>
      <w:r w:rsidRPr="002314AD">
        <w:t xml:space="preserve"> Master Builders Tasmania stated their experience with inspectors, including that the advice provided by regulators and inspectors on the ground can differ, leading to confusion and inconsistencies.</w:t>
      </w:r>
      <w:r w:rsidRPr="002314AD">
        <w:rPr>
          <w:vertAlign w:val="superscript"/>
        </w:rPr>
        <w:footnoteReference w:id="64"/>
      </w:r>
      <w:r w:rsidRPr="002314AD">
        <w:t xml:space="preserve"> Workplace Health and Safety Queensland highlighted it is difficult to achieve uniformity across its approximately 300 inspectors.</w:t>
      </w:r>
      <w:r w:rsidRPr="002314AD">
        <w:rPr>
          <w:vertAlign w:val="superscript"/>
        </w:rPr>
        <w:footnoteReference w:id="65"/>
      </w:r>
      <w:r w:rsidRPr="002314AD">
        <w:t xml:space="preserve"> This Review heard this variability can result in a reluctance to approach the regulator for advice.</w:t>
      </w:r>
      <w:r w:rsidRPr="002314AD">
        <w:rPr>
          <w:vertAlign w:val="superscript"/>
        </w:rPr>
        <w:footnoteReference w:id="66"/>
      </w:r>
      <w:r w:rsidRPr="002314AD">
        <w:t xml:space="preserve"> WorkSafe ACT said this kind of variability between regulators can even occur within a single workplace</w:t>
      </w:r>
      <w:r w:rsidRPr="002314AD" w:rsidDel="00BD1DA1">
        <w:t xml:space="preserve"> </w:t>
      </w:r>
      <w:r w:rsidRPr="002314AD">
        <w:t>when WHS jurisdictions overlap.</w:t>
      </w:r>
      <w:r w:rsidRPr="002314AD">
        <w:rPr>
          <w:vertAlign w:val="superscript"/>
        </w:rPr>
        <w:footnoteReference w:id="67"/>
      </w:r>
      <w:r w:rsidRPr="002314AD">
        <w:t xml:space="preserve"> Comcare agreed, noting the </w:t>
      </w:r>
      <w:r w:rsidRPr="00843579">
        <w:t>NCEP inadequately addresses the complexities of co</w:t>
      </w:r>
      <w:r w:rsidRPr="00843579">
        <w:noBreakHyphen/>
        <w:t>regulated workplaces and interactions with</w:t>
      </w:r>
      <w:r w:rsidRPr="002314AD">
        <w:t xml:space="preserve"> other safety regulators.</w:t>
      </w:r>
      <w:r w:rsidRPr="002314AD">
        <w:rPr>
          <w:vertAlign w:val="superscript"/>
        </w:rPr>
        <w:footnoteReference w:id="68"/>
      </w:r>
    </w:p>
    <w:p w14:paraId="1686B24C" w14:textId="705D3BDE" w:rsidR="00085EA3" w:rsidRDefault="002314AD" w:rsidP="00D3718E">
      <w:pPr>
        <w:pStyle w:val="Boxedshaded"/>
        <w:keepNext w:val="0"/>
        <w:keepLines w:val="0"/>
      </w:pPr>
      <w:r w:rsidRPr="002314AD">
        <w:t>Affected families and injured worker representatives also provided examples of delayed coordination between WHS regulators and other enforcement bodies during fatality investigations.</w:t>
      </w:r>
      <w:r w:rsidRPr="002314AD">
        <w:rPr>
          <w:vertAlign w:val="superscript"/>
        </w:rPr>
        <w:footnoteReference w:id="69"/>
      </w:r>
      <w:r w:rsidRPr="002314AD">
        <w:t xml:space="preserve"> They highlighted the difficulty of navigating a complex system, where multiple government bodies play a role but do not coordinate (for example, WHS regulators, police, courts) while experiencing grief from the death of a loved one or adjusting to a life-altering injury or disease.</w:t>
      </w:r>
    </w:p>
    <w:p w14:paraId="43CEB533" w14:textId="77777777" w:rsidR="00085EA3" w:rsidRDefault="00085EA3">
      <w:pPr>
        <w:spacing w:after="200" w:line="276" w:lineRule="auto"/>
        <w:contextualSpacing w:val="0"/>
        <w:rPr>
          <w:rFonts w:asciiTheme="minorHAnsi" w:hAnsiTheme="minorHAnsi"/>
        </w:rPr>
      </w:pPr>
      <w:r>
        <w:br w:type="page"/>
      </w:r>
    </w:p>
    <w:p w14:paraId="3DAF96DE" w14:textId="4B79B0F6" w:rsidR="002314AD" w:rsidRPr="002314AD" w:rsidRDefault="002314AD" w:rsidP="004105BB">
      <w:pPr>
        <w:pStyle w:val="Boxedshaded"/>
        <w:keepNext w:val="0"/>
        <w:keepLines w:val="0"/>
      </w:pPr>
      <w:r w:rsidRPr="002314AD">
        <w:lastRenderedPageBreak/>
        <w:t>Family representatives also highlighted the importance of the right combination of skills and expertise being available when investigating a work-related fatality or serious injury. Acknowledging inspectors cannot specialise in every area, they called for a national framework to bring together appropriate skills to improve investigations.</w:t>
      </w:r>
      <w:r w:rsidRPr="002314AD">
        <w:rPr>
          <w:vertAlign w:val="superscript"/>
        </w:rPr>
        <w:footnoteReference w:id="70"/>
      </w:r>
    </w:p>
    <w:p w14:paraId="79402E4D" w14:textId="77777777" w:rsidR="00F21CE3" w:rsidRDefault="002314AD" w:rsidP="004105BB">
      <w:pPr>
        <w:pStyle w:val="Boxedshaded"/>
        <w:keepNext w:val="0"/>
        <w:keepLines w:val="0"/>
      </w:pPr>
      <w:r w:rsidRPr="00972C87">
        <w:t>Affected families and injured worker representatives also called for the lessons of fatalities, including coronial recommendations, to be shared across jurisdictions to reduce the risk of similar incidents being repeated.</w:t>
      </w:r>
      <w:r w:rsidRPr="0044521D">
        <w:rPr>
          <w:vertAlign w:val="superscript"/>
        </w:rPr>
        <w:footnoteReference w:id="71"/>
      </w:r>
    </w:p>
    <w:p w14:paraId="4C1D8E08" w14:textId="6DA9DCE6" w:rsidR="00E82FC5" w:rsidRPr="00972C87" w:rsidRDefault="002314AD" w:rsidP="004105BB">
      <w:pPr>
        <w:pStyle w:val="Boxedshaded"/>
        <w:keepNext w:val="0"/>
        <w:keepLines w:val="0"/>
      </w:pPr>
      <w:r w:rsidRPr="00972C87">
        <w:t>WHS professionals supported the establishment of independent non-regulator bodies to undertake investigations into serious incidents and disseminate lessons learned.</w:t>
      </w:r>
      <w:r w:rsidRPr="0044521D">
        <w:rPr>
          <w:vertAlign w:val="superscript"/>
        </w:rPr>
        <w:footnoteReference w:id="72"/>
      </w:r>
      <w:r w:rsidRPr="00972C87">
        <w:t xml:space="preserve"> For example, a submission to the Review proposed establishing an Australian Work Safety Bureau: </w:t>
      </w:r>
    </w:p>
    <w:p w14:paraId="24DEB1BC" w14:textId="19092FA1" w:rsidR="002314AD" w:rsidRPr="00AC1858" w:rsidRDefault="0061455F" w:rsidP="004105BB">
      <w:pPr>
        <w:pStyle w:val="Boxedshaded"/>
        <w:keepNext w:val="0"/>
        <w:keepLines w:val="0"/>
        <w:tabs>
          <w:tab w:val="left" w:pos="709"/>
        </w:tabs>
        <w:ind w:left="720" w:hanging="436"/>
        <w:rPr>
          <w:i/>
          <w:iCs/>
        </w:rPr>
      </w:pPr>
      <w:r>
        <w:rPr>
          <w:i/>
          <w:iCs/>
        </w:rPr>
        <w:tab/>
      </w:r>
      <w:r w:rsidR="002314AD" w:rsidRPr="00AC1858">
        <w:rPr>
          <w:i/>
          <w:iCs/>
        </w:rPr>
        <w:t>Its central proposition is that Australia’s WHS system has a structural gap: while it has regulators, policy agencies, courts and coroners, it lacks a clearly independent national body dedicated to investigating serious workplace incidents for the primary purpose of learning, prevention and public safety knowledge. An agency with that function could strengthen confidence in WHS systems, improve the national evidence base, and turn work-related incidents, fatalities and near misses into practical lessons that help prevent future harm.</w:t>
      </w:r>
      <w:r w:rsidR="002314AD" w:rsidRPr="004105BB">
        <w:rPr>
          <w:vertAlign w:val="superscript"/>
        </w:rPr>
        <w:footnoteReference w:id="73"/>
      </w:r>
    </w:p>
    <w:p w14:paraId="2A204369" w14:textId="6612A498" w:rsidR="00A9506D" w:rsidRDefault="007C2612" w:rsidP="004420D1">
      <w:pPr>
        <w:pStyle w:val="SWAHeading4"/>
      </w:pPr>
      <w:r w:rsidRPr="000F1DE6">
        <w:t xml:space="preserve">Discussion and </w:t>
      </w:r>
      <w:r w:rsidRPr="00D330E8">
        <w:t>recommendations</w:t>
      </w:r>
    </w:p>
    <w:p w14:paraId="6057B6F8" w14:textId="6AAE863E" w:rsidR="009B136A" w:rsidRPr="009B136A" w:rsidRDefault="009B136A" w:rsidP="009B136A">
      <w:pPr>
        <w:pStyle w:val="Paragraph"/>
      </w:pPr>
      <w:r w:rsidRPr="009B136A">
        <w:t xml:space="preserve">The model WHS laws provides the legislative framework for a nationally consistent approach to WHS regulation. But it is often through the compliance and enforcement activities of WHS regulators that the laws are experienced in practice by workers and businesses. What this Review heard most </w:t>
      </w:r>
      <w:r w:rsidRPr="00C16287">
        <w:t xml:space="preserve">often </w:t>
      </w:r>
      <w:r w:rsidR="00C16287">
        <w:t>was</w:t>
      </w:r>
      <w:r w:rsidR="00C16287" w:rsidRPr="00C16287">
        <w:t xml:space="preserve"> </w:t>
      </w:r>
      <w:r w:rsidRPr="00C16287">
        <w:t>that</w:t>
      </w:r>
      <w:r w:rsidRPr="009B136A">
        <w:t xml:space="preserve"> inconsistencies, and a lack of transparency in decision-making, are undermining the effectiveness of harmonised WHS laws on the ground at work and in workplaces. Consistency in compliance and enforcement of the model WHS laws is fundamental to building confidence in the harmonised framework, securing compliance and improving health and safety outcomes.</w:t>
      </w:r>
    </w:p>
    <w:p w14:paraId="7FA5A693" w14:textId="77777777" w:rsidR="00F21CE3" w:rsidRDefault="009B136A" w:rsidP="009B136A">
      <w:pPr>
        <w:pStyle w:val="Paragraph"/>
      </w:pPr>
      <w:r w:rsidRPr="009B136A">
        <w:t>Much of what this Review heard on the topic of harmonisation came in the form of criticism of WHS regulators and inspectors. This Review acknowledges the pressures faced by both. The sheer scope of their compliance and enforcement task across all industries, workplaces and work, coupled with resourcing, recruitment and training challenges and community expectations, all conspire to make the task of a WHS regulator a difficult and, at times, thankless one.</w:t>
      </w:r>
    </w:p>
    <w:p w14:paraId="1CF1F27E" w14:textId="2E3D45A5" w:rsidR="009B136A" w:rsidRPr="009B136A" w:rsidRDefault="009B136A" w:rsidP="009B136A">
      <w:pPr>
        <w:pStyle w:val="Paragraph"/>
      </w:pPr>
      <w:r w:rsidRPr="009B136A">
        <w:t>However, this makes the work to support and strengthen consistency in compliance and enforcement more important. Critical to supporting the work of the regulators and inspectors is the NCEP. It is a crucial component of the model WHS law framework. However, since 2008, it has had little if any attention paid to it to ensure it remains contemporary and fit for purpose to play its role in supporting the harmonisation objective.</w:t>
      </w:r>
    </w:p>
    <w:p w14:paraId="095C836F" w14:textId="77777777" w:rsidR="00F21CE3" w:rsidRDefault="009B136A" w:rsidP="009B136A">
      <w:pPr>
        <w:pStyle w:val="Paragraph"/>
      </w:pPr>
      <w:r w:rsidRPr="009B136A">
        <w:t>This Review recommends moving away from a high-level principle-based NCEP to a new NCEP that provides more detail about how decisions will be made and how key aspects of the model WHS legal framework will be enforced.</w:t>
      </w:r>
    </w:p>
    <w:p w14:paraId="347D529E" w14:textId="77777777" w:rsidR="00F21CE3" w:rsidRDefault="009B136A" w:rsidP="009B136A">
      <w:pPr>
        <w:pStyle w:val="Paragraph"/>
      </w:pPr>
      <w:r w:rsidRPr="009B136A">
        <w:t xml:space="preserve">As recommended by many who contributed to this Review, including a significant number of industry </w:t>
      </w:r>
      <w:r w:rsidRPr="009B136A">
        <w:lastRenderedPageBreak/>
        <w:t>representatives,</w:t>
      </w:r>
      <w:r w:rsidRPr="009B136A">
        <w:rPr>
          <w:vertAlign w:val="superscript"/>
        </w:rPr>
        <w:footnoteReference w:id="74"/>
      </w:r>
      <w:r w:rsidRPr="009B136A">
        <w:t xml:space="preserve"> and the </w:t>
      </w:r>
      <w:r w:rsidRPr="00973523">
        <w:rPr>
          <w:i/>
          <w:iCs/>
        </w:rPr>
        <w:t>2018 National Review</w:t>
      </w:r>
      <w:r w:rsidRPr="009B136A">
        <w:t>,</w:t>
      </w:r>
      <w:r w:rsidRPr="009B136A">
        <w:rPr>
          <w:vertAlign w:val="superscript"/>
        </w:rPr>
        <w:footnoteReference w:id="75"/>
      </w:r>
      <w:r w:rsidRPr="009B136A">
        <w:t xml:space="preserve"> this Review reiterates the NCEP should include a decision</w:t>
      </w:r>
      <w:r w:rsidRPr="009B136A">
        <w:noBreakHyphen/>
        <w:t>making framework to guide and support the activities of inspectors and provide greater transparency for duty</w:t>
      </w:r>
      <w:r w:rsidRPr="009B136A" w:rsidDel="00930454">
        <w:t xml:space="preserve"> holders</w:t>
      </w:r>
      <w:r w:rsidRPr="009B136A">
        <w:t xml:space="preserve"> and workers. This Review suggests a new approach could be informed by existing frameworks such as those in the Australian Capital Territory (ACT) and Queensland.</w:t>
      </w:r>
    </w:p>
    <w:p w14:paraId="229EF03B" w14:textId="3D2AF81D" w:rsidR="007C2612" w:rsidRDefault="009B136A" w:rsidP="009971F7">
      <w:pPr>
        <w:pStyle w:val="Paragraph"/>
      </w:pPr>
      <w:r w:rsidRPr="009B136A">
        <w:t>Unions, industry representatives, WHS regulators and WHS professionals all suggested elements that should be incorporated into a reworked NCEP to provide clarity and strengthen national consistency. These include:</w:t>
      </w:r>
    </w:p>
    <w:p w14:paraId="4672D6B5" w14:textId="77777777" w:rsidR="003674F0" w:rsidRPr="005F1021" w:rsidRDefault="003674F0" w:rsidP="00843579">
      <w:pPr>
        <w:pStyle w:val="ListBullet"/>
        <w:rPr>
          <w:rFonts w:eastAsia="Times New Roman"/>
          <w:lang w:eastAsia="en-AU"/>
        </w:rPr>
      </w:pPr>
      <w:r w:rsidRPr="005F1021">
        <w:rPr>
          <w:lang w:eastAsia="en-AU"/>
        </w:rPr>
        <w:t>additional principles to guide compliance and enforcement activities</w:t>
      </w:r>
      <w:r w:rsidRPr="005F1021">
        <w:rPr>
          <w:rFonts w:eastAsia="Times New Roman"/>
          <w:vertAlign w:val="superscript"/>
          <w:lang w:eastAsia="en-AU"/>
        </w:rPr>
        <w:footnoteReference w:id="76"/>
      </w:r>
    </w:p>
    <w:p w14:paraId="3EA3BE56" w14:textId="77777777" w:rsidR="003674F0" w:rsidRPr="005F1021" w:rsidRDefault="003674F0" w:rsidP="00843579">
      <w:pPr>
        <w:pStyle w:val="ListBullet"/>
        <w:rPr>
          <w:rFonts w:eastAsia="Times New Roman"/>
          <w:lang w:eastAsia="en-AU"/>
        </w:rPr>
      </w:pPr>
      <w:r w:rsidRPr="005F1021">
        <w:rPr>
          <w:lang w:eastAsia="en-AU"/>
        </w:rPr>
        <w:t>minimum training and qualification requirements for inspectors</w:t>
      </w:r>
      <w:r w:rsidRPr="005F1021">
        <w:rPr>
          <w:rFonts w:eastAsia="Times New Roman"/>
          <w:vertAlign w:val="superscript"/>
          <w:lang w:eastAsia="en-AU"/>
        </w:rPr>
        <w:footnoteReference w:id="77"/>
      </w:r>
    </w:p>
    <w:p w14:paraId="2AC9C841" w14:textId="77777777" w:rsidR="003674F0" w:rsidRPr="005F1021" w:rsidRDefault="003674F0" w:rsidP="00843579">
      <w:pPr>
        <w:pStyle w:val="ListBullet"/>
        <w:rPr>
          <w:rFonts w:eastAsia="Times New Roman"/>
          <w:lang w:eastAsia="en-AU"/>
        </w:rPr>
      </w:pPr>
      <w:r w:rsidRPr="005F1021">
        <w:rPr>
          <w:lang w:eastAsia="en-AU"/>
        </w:rPr>
        <w:t>identification of priority areas for investigation</w:t>
      </w:r>
      <w:r w:rsidRPr="005F1021">
        <w:rPr>
          <w:rFonts w:eastAsia="Times New Roman"/>
          <w:vertAlign w:val="superscript"/>
          <w:lang w:eastAsia="en-AU"/>
        </w:rPr>
        <w:footnoteReference w:id="78"/>
      </w:r>
    </w:p>
    <w:p w14:paraId="1A142561" w14:textId="77777777" w:rsidR="003674F0" w:rsidRPr="005F1021" w:rsidRDefault="003674F0" w:rsidP="00843579">
      <w:pPr>
        <w:pStyle w:val="ListBullet"/>
        <w:rPr>
          <w:rFonts w:eastAsia="Times New Roman"/>
          <w:lang w:eastAsia="en-AU"/>
        </w:rPr>
      </w:pPr>
      <w:r w:rsidRPr="005F1021">
        <w:rPr>
          <w:lang w:eastAsia="en-AU"/>
        </w:rPr>
        <w:t>ensuring representation and consultation are covered</w:t>
      </w:r>
      <w:r w:rsidRPr="005F1021">
        <w:rPr>
          <w:rFonts w:eastAsia="Times New Roman"/>
          <w:vertAlign w:val="superscript"/>
          <w:lang w:eastAsia="en-AU"/>
        </w:rPr>
        <w:footnoteReference w:id="79"/>
      </w:r>
    </w:p>
    <w:p w14:paraId="4BFE5239" w14:textId="77777777" w:rsidR="00F21CE3" w:rsidRDefault="003674F0" w:rsidP="00843579">
      <w:pPr>
        <w:pStyle w:val="ListBullet"/>
        <w:rPr>
          <w:rFonts w:eastAsia="Times New Roman"/>
          <w:lang w:eastAsia="en-AU"/>
        </w:rPr>
      </w:pPr>
      <w:r w:rsidRPr="005F1021">
        <w:rPr>
          <w:lang w:eastAsia="en-AU"/>
        </w:rPr>
        <w:t>detail on how inspector decisions can be reviewed</w:t>
      </w:r>
      <w:r w:rsidRPr="005F1021">
        <w:rPr>
          <w:rFonts w:eastAsia="Times New Roman"/>
          <w:vertAlign w:val="superscript"/>
          <w:lang w:eastAsia="en-AU"/>
        </w:rPr>
        <w:footnoteReference w:id="80"/>
      </w:r>
    </w:p>
    <w:p w14:paraId="76671100" w14:textId="46D74852" w:rsidR="003674F0" w:rsidRPr="005F1021" w:rsidRDefault="003674F0" w:rsidP="00843579">
      <w:pPr>
        <w:pStyle w:val="ListBullet"/>
        <w:rPr>
          <w:rFonts w:eastAsia="Times New Roman"/>
          <w:lang w:eastAsia="en-AU"/>
        </w:rPr>
      </w:pPr>
      <w:r w:rsidRPr="005F1021">
        <w:rPr>
          <w:lang w:eastAsia="en-AU"/>
        </w:rPr>
        <w:t>requirements for the new NCEP to be reviewed at regular int</w:t>
      </w:r>
      <w:r w:rsidRPr="005F1021">
        <w:rPr>
          <w:rFonts w:eastAsia="Times New Roman"/>
          <w:lang w:eastAsia="en-AU"/>
        </w:rPr>
        <w:t>ervals.</w:t>
      </w:r>
    </w:p>
    <w:p w14:paraId="38A731AA" w14:textId="77777777" w:rsidR="00F21CE3" w:rsidRDefault="00E57D02" w:rsidP="00E57D02">
      <w:pPr>
        <w:pStyle w:val="Paragraph"/>
      </w:pPr>
      <w:r w:rsidRPr="000F1DE6">
        <w:t>It is suggested the new NCEP should also develop clear arrangements for managing compliance and enforcement activities where more than one WHS regulator, or another government body, has jurisdiction.</w:t>
      </w:r>
      <w:r w:rsidRPr="005F1021">
        <w:rPr>
          <w:vertAlign w:val="superscript"/>
        </w:rPr>
        <w:footnoteReference w:id="81"/>
      </w:r>
    </w:p>
    <w:p w14:paraId="163F03FE" w14:textId="07B3EDBA" w:rsidR="00E57D02" w:rsidRPr="000F1DE6" w:rsidRDefault="00E57D02" w:rsidP="00E57D02">
      <w:pPr>
        <w:pStyle w:val="Paragraph"/>
      </w:pPr>
      <w:r w:rsidRPr="000F1DE6">
        <w:t xml:space="preserve">To support the development of a new NCEP and ensure that compliance and enforcement issues have a strong conduit to the work of Safe Work Australia </w:t>
      </w:r>
      <w:r w:rsidRPr="006E03E2">
        <w:t>and decision</w:t>
      </w:r>
      <w:r>
        <w:t>-</w:t>
      </w:r>
      <w:r w:rsidRPr="006E03E2">
        <w:t>making by its</w:t>
      </w:r>
      <w:r w:rsidRPr="000F1DE6">
        <w:t xml:space="preserve"> Members, this Review recommends establishing a new </w:t>
      </w:r>
      <w:r w:rsidR="006F5016">
        <w:t xml:space="preserve">Strategic </w:t>
      </w:r>
      <w:r w:rsidR="006F5016" w:rsidRPr="006F5016">
        <w:t>Issues Group (</w:t>
      </w:r>
      <w:r w:rsidRPr="006F5016">
        <w:t>SIG</w:t>
      </w:r>
      <w:r w:rsidR="006F5016" w:rsidRPr="006F5016">
        <w:t>)</w:t>
      </w:r>
      <w:r w:rsidRPr="006F5016">
        <w:t xml:space="preserve"> </w:t>
      </w:r>
      <w:r w:rsidR="005F1021" w:rsidRPr="006F5016">
        <w:t>focu</w:t>
      </w:r>
      <w:r w:rsidR="005F1021" w:rsidRPr="005F1021">
        <w:t>sing on Compliance and Enforcement</w:t>
      </w:r>
      <w:r w:rsidRPr="000F1DE6">
        <w:t>.</w:t>
      </w:r>
    </w:p>
    <w:p w14:paraId="0A88F008" w14:textId="05FD28D2" w:rsidR="00E57D02" w:rsidRPr="000F1DE6" w:rsidRDefault="00E57D02" w:rsidP="0016789A">
      <w:pPr>
        <w:pStyle w:val="Paragraph"/>
        <w:spacing w:after="240"/>
      </w:pPr>
      <w:r w:rsidRPr="000F1DE6">
        <w:t xml:space="preserve">This would provide a tripartite forum with appropriate expertise (ensuring all WHS regulators are contributing alongside social partners) to develop the new NCEP and ensure that practical compliance issues associated with applying the model WHS laws and enforcing them can be raised quickly at the national level. </w:t>
      </w:r>
    </w:p>
    <w:tbl>
      <w:tblPr>
        <w:tblStyle w:val="Style3"/>
        <w:tblW w:w="0" w:type="auto"/>
        <w:tblCellMar>
          <w:top w:w="113" w:type="dxa"/>
          <w:bottom w:w="113" w:type="dxa"/>
        </w:tblCellMar>
        <w:tblLook w:val="04A0" w:firstRow="1" w:lastRow="0" w:firstColumn="1" w:lastColumn="0" w:noHBand="0" w:noVBand="1"/>
      </w:tblPr>
      <w:tblGrid>
        <w:gridCol w:w="9746"/>
      </w:tblGrid>
      <w:tr w:rsidR="001B3B23" w14:paraId="3D4CE16D" w14:textId="77777777" w:rsidTr="0016789A">
        <w:trPr>
          <w:cnfStyle w:val="100000000000" w:firstRow="1" w:lastRow="0" w:firstColumn="0" w:lastColumn="0" w:oddVBand="0" w:evenVBand="0" w:oddHBand="0" w:evenHBand="0" w:firstRowFirstColumn="0" w:firstRowLastColumn="0" w:lastRowFirstColumn="0" w:lastRowLastColumn="0"/>
        </w:trPr>
        <w:tc>
          <w:tcPr>
            <w:tcW w:w="9746" w:type="dxa"/>
          </w:tcPr>
          <w:p w14:paraId="0A4CBF20" w14:textId="6905489D" w:rsidR="001B3B23" w:rsidRDefault="001B3B23">
            <w:pPr>
              <w:pStyle w:val="Tableheader"/>
            </w:pPr>
            <w:r w:rsidRPr="006724AE">
              <w:t>The harmonisation objective</w:t>
            </w:r>
            <w:r w:rsidR="0016789A">
              <w:t xml:space="preserve"> – Recommendation 3</w:t>
            </w:r>
          </w:p>
        </w:tc>
      </w:tr>
      <w:tr w:rsidR="001B3B23" w14:paraId="1FA9C99B" w14:textId="77777777" w:rsidTr="0016789A">
        <w:tc>
          <w:tcPr>
            <w:tcW w:w="9746" w:type="dxa"/>
          </w:tcPr>
          <w:p w14:paraId="0F112449" w14:textId="117EFA09" w:rsidR="001B3B23" w:rsidRPr="0016789A" w:rsidRDefault="00A035E8" w:rsidP="004420D1">
            <w:pPr>
              <w:pStyle w:val="Paragraphtable"/>
              <w:rPr>
                <w:sz w:val="21"/>
                <w:szCs w:val="21"/>
              </w:rPr>
            </w:pPr>
            <w:r w:rsidRPr="0016789A">
              <w:rPr>
                <w:sz w:val="21"/>
                <w:szCs w:val="21"/>
              </w:rPr>
              <w:t xml:space="preserve">That harmonisation is enhanced through developing a new National Compliance and Enforcement Policy </w:t>
            </w:r>
            <w:r w:rsidR="00855082" w:rsidRPr="0016789A">
              <w:rPr>
                <w:sz w:val="21"/>
                <w:szCs w:val="21"/>
              </w:rPr>
              <w:t xml:space="preserve">(NCEP) </w:t>
            </w:r>
            <w:r w:rsidRPr="0016789A">
              <w:rPr>
                <w:sz w:val="21"/>
                <w:szCs w:val="21"/>
              </w:rPr>
              <w:t>to support compliance and enforcement consistency and clarity.</w:t>
            </w:r>
          </w:p>
        </w:tc>
      </w:tr>
    </w:tbl>
    <w:p w14:paraId="378280E3" w14:textId="77777777" w:rsidR="00F40FAC" w:rsidRDefault="00F40FAC" w:rsidP="00F40FAC">
      <w:pPr>
        <w:pStyle w:val="Paragraph"/>
      </w:pPr>
      <w:bookmarkStart w:id="23" w:name="_Toc234853671"/>
      <w:bookmarkStart w:id="24" w:name="_Toc236326802"/>
      <w:r>
        <w:br w:type="page"/>
      </w:r>
    </w:p>
    <w:p w14:paraId="5CD8AE5F" w14:textId="0BD9A458" w:rsidR="00834227" w:rsidRPr="000B0047" w:rsidRDefault="00834227" w:rsidP="004420D1">
      <w:pPr>
        <w:pStyle w:val="SWAHeading2"/>
      </w:pPr>
      <w:bookmarkStart w:id="25" w:name="_Toc239845144"/>
      <w:r w:rsidRPr="000B0047">
        <w:lastRenderedPageBreak/>
        <w:t>A harmonised national approach to reducing work related fatalities</w:t>
      </w:r>
      <w:bookmarkEnd w:id="23"/>
      <w:bookmarkEnd w:id="24"/>
      <w:bookmarkEnd w:id="25"/>
    </w:p>
    <w:p w14:paraId="378787EA" w14:textId="46C24607" w:rsidR="00303D1C" w:rsidRPr="004420D1" w:rsidRDefault="00303D1C" w:rsidP="00BF204D">
      <w:pPr>
        <w:pStyle w:val="Boxedshaded"/>
        <w:rPr>
          <w:b/>
          <w:bCs/>
        </w:rPr>
      </w:pPr>
      <w:r w:rsidRPr="004420D1">
        <w:rPr>
          <w:b/>
          <w:bCs/>
        </w:rPr>
        <w:t>What we heard</w:t>
      </w:r>
    </w:p>
    <w:p w14:paraId="449AE31F" w14:textId="30493D26" w:rsidR="00B769A5" w:rsidRPr="00B769A5" w:rsidRDefault="00B769A5" w:rsidP="00BF204D">
      <w:pPr>
        <w:pStyle w:val="Boxedshaded"/>
      </w:pPr>
      <w:r w:rsidRPr="00B769A5">
        <w:t>This Review heard confronting feedback from the families of fatally injured workers about the need for a step-change in efforts to reduce work-related fatalities, including through improved compliance and enforcement actions. Consistent messages were heard throughout this Review’s consultation with families and injured workers regarding the need for more work to be done to reduce the rates of workplace fatalities. The importance of learning from past events was also highlighted.</w:t>
      </w:r>
      <w:r w:rsidRPr="00B769A5">
        <w:rPr>
          <w:vertAlign w:val="superscript"/>
        </w:rPr>
        <w:footnoteReference w:id="82"/>
      </w:r>
    </w:p>
    <w:p w14:paraId="1F4ABC7C" w14:textId="13EA6BAD" w:rsidR="00F21CE3" w:rsidRDefault="00B769A5" w:rsidP="00BF204D">
      <w:pPr>
        <w:pStyle w:val="Boxedshaded"/>
      </w:pPr>
      <w:r w:rsidRPr="00B769A5">
        <w:t>This Review heard calls for leveraging expertise across a range of specific areas, including high risk industries,</w:t>
      </w:r>
      <w:r w:rsidRPr="00B769A5">
        <w:rPr>
          <w:vertAlign w:val="superscript"/>
        </w:rPr>
        <w:footnoteReference w:id="83"/>
      </w:r>
      <w:r w:rsidRPr="00B769A5">
        <w:t xml:space="preserve"> amusement devices,</w:t>
      </w:r>
      <w:r w:rsidRPr="00B769A5">
        <w:rPr>
          <w:vertAlign w:val="superscript"/>
        </w:rPr>
        <w:footnoteReference w:id="84"/>
      </w:r>
      <w:r w:rsidRPr="00B769A5">
        <w:t xml:space="preserve"> rural and remote agriculture,</w:t>
      </w:r>
      <w:r w:rsidRPr="00B769A5">
        <w:rPr>
          <w:vertAlign w:val="superscript"/>
        </w:rPr>
        <w:footnoteReference w:id="85"/>
      </w:r>
      <w:r w:rsidRPr="00B769A5">
        <w:t xml:space="preserve"> and essential utility services.</w:t>
      </w:r>
      <w:r w:rsidRPr="00B769A5">
        <w:rPr>
          <w:vertAlign w:val="superscript"/>
        </w:rPr>
        <w:footnoteReference w:id="86"/>
      </w:r>
    </w:p>
    <w:p w14:paraId="239AFBFB" w14:textId="01290FAB" w:rsidR="006E539A" w:rsidRPr="006E539A" w:rsidRDefault="006E539A" w:rsidP="0016789A">
      <w:pPr>
        <w:pStyle w:val="SWAHeading4"/>
        <w:spacing w:after="0"/>
      </w:pPr>
      <w:r w:rsidRPr="006E539A">
        <w:t>Discussion and recommendations</w:t>
      </w:r>
    </w:p>
    <w:p w14:paraId="1E2EA444" w14:textId="5C9EEBF7" w:rsidR="00F21CE3" w:rsidRDefault="00696293" w:rsidP="0016789A">
      <w:pPr>
        <w:pStyle w:val="Paragraph"/>
        <w:spacing w:before="0"/>
      </w:pPr>
      <w:r w:rsidRPr="00696293">
        <w:t xml:space="preserve">The </w:t>
      </w:r>
      <w:r w:rsidRPr="006F5016">
        <w:rPr>
          <w:i/>
          <w:iCs/>
        </w:rPr>
        <w:t>Australian Work Health and Safety (WHS) Strategy 2023</w:t>
      </w:r>
      <w:r w:rsidR="00CA64B7" w:rsidRPr="00FD6AAD">
        <w:rPr>
          <w:rFonts w:ascii="Symbol" w:eastAsia="Symbol" w:hAnsi="Symbol" w:cs="Symbol"/>
          <w:i/>
          <w:iCs/>
        </w:rPr>
        <w:t>-</w:t>
      </w:r>
      <w:r w:rsidRPr="006F5016">
        <w:rPr>
          <w:i/>
          <w:iCs/>
        </w:rPr>
        <w:t>2033</w:t>
      </w:r>
      <w:r w:rsidRPr="00696293">
        <w:t xml:space="preserve"> sets a target to reduce the number of worker fatalities caused by traumatic </w:t>
      </w:r>
      <w:r w:rsidRPr="00C16287">
        <w:t>injuries of at least</w:t>
      </w:r>
      <w:r w:rsidRPr="00696293">
        <w:t xml:space="preserve"> 30%.</w:t>
      </w:r>
      <w:r w:rsidRPr="00696293">
        <w:rPr>
          <w:vertAlign w:val="superscript"/>
        </w:rPr>
        <w:footnoteReference w:id="87"/>
      </w:r>
      <w:r w:rsidRPr="00696293">
        <w:t xml:space="preserve"> Since 2014, work-related fatalities have seen a 24% decline. However,</w:t>
      </w:r>
      <w:r w:rsidRPr="00696293" w:rsidDel="005213D5">
        <w:t xml:space="preserve"> </w:t>
      </w:r>
      <w:r w:rsidRPr="00696293">
        <w:t>in recent years this decline has stalled, averaging 191 deaths per year, or a rate of 1.4 fatalities per 100,000.</w:t>
      </w:r>
      <w:r w:rsidRPr="00696293">
        <w:rPr>
          <w:vertAlign w:val="superscript"/>
        </w:rPr>
        <w:footnoteReference w:id="88"/>
      </w:r>
      <w:r w:rsidRPr="00696293">
        <w:t xml:space="preserve"> Industries with persistently high fatality rates include transport</w:t>
      </w:r>
      <w:r w:rsidRPr="00696293" w:rsidDel="0041261F">
        <w:t xml:space="preserve">, </w:t>
      </w:r>
      <w:r w:rsidRPr="00696293">
        <w:t>agriculture, mining and construction.</w:t>
      </w:r>
    </w:p>
    <w:p w14:paraId="7991C60C" w14:textId="77777777" w:rsidR="00F21CE3" w:rsidRDefault="00696293" w:rsidP="00696293">
      <w:pPr>
        <w:pStyle w:val="Paragraph"/>
      </w:pPr>
      <w:r w:rsidRPr="00696293">
        <w:t>This Review agrees that dedicated work is needed at a national level to systematically examine workplace fatalities to understand the contributing factors and inform efforts to reduce and prevent them. This would involve ongoing examination of available information, including court cases and coroners’ reports, to understand what went wrong. It should also involve identifying areas for potential improvement within the WHS laws and sharing lessons learned across jurisdictions.</w:t>
      </w:r>
    </w:p>
    <w:p w14:paraId="3C0EA4A5" w14:textId="103C6F98" w:rsidR="002F4C07" w:rsidRPr="002F4C07" w:rsidRDefault="002F4C07" w:rsidP="002F4C07">
      <w:pPr>
        <w:pStyle w:val="Paragraph"/>
      </w:pPr>
      <w:r w:rsidRPr="002F4C07">
        <w:t>To support this work,</w:t>
      </w:r>
      <w:r w:rsidRPr="002F4C07" w:rsidDel="001E7994">
        <w:t xml:space="preserve"> </w:t>
      </w:r>
      <w:r w:rsidRPr="002F4C07">
        <w:t xml:space="preserve">this Review has identified that Safe Work Australia should establish a new SIG focused </w:t>
      </w:r>
      <w:r w:rsidRPr="00C16287">
        <w:t>on Reducing Work Related Fatalities</w:t>
      </w:r>
      <w:r w:rsidRPr="002F4C07">
        <w:t>. This tripartite group would include expertise from relevant industries, social partners and WHS professional bodies to</w:t>
      </w:r>
      <w:r w:rsidRPr="002F4C07" w:rsidDel="00EC4A1F">
        <w:t xml:space="preserve"> </w:t>
      </w:r>
      <w:r w:rsidRPr="002F4C07">
        <w:t>help shape national policy. The group would be responsible</w:t>
      </w:r>
      <w:r w:rsidRPr="002F4C07" w:rsidDel="006479FC">
        <w:t xml:space="preserve"> for </w:t>
      </w:r>
      <w:r w:rsidRPr="002F4C07">
        <w:t>considering lessons learned from workplace fatalities investigations, coroners and court outcomes; and recommending potential responses, including any amendments to the model WHS laws that might be required</w:t>
      </w:r>
      <w:r w:rsidRPr="002F4C07" w:rsidDel="007521C0">
        <w:t xml:space="preserve">. </w:t>
      </w:r>
      <w:r w:rsidRPr="002F4C07">
        <w:t>The group should also consult regularly with the families of fatally injured workers. As a starting point, the group would focus on those industries which consistently record the highest numbers of fatalities each year, including agriculture, mining, construction, warehousing and transport.</w:t>
      </w:r>
    </w:p>
    <w:p w14:paraId="6FEB46C8" w14:textId="08DA075D" w:rsidR="00F21CE3" w:rsidRDefault="002F4C07" w:rsidP="002F4C07">
      <w:pPr>
        <w:pStyle w:val="Paragraph"/>
      </w:pPr>
      <w:r w:rsidRPr="002F4C07">
        <w:t xml:space="preserve">To support the work of the </w:t>
      </w:r>
      <w:r w:rsidRPr="00C16287">
        <w:t>SIG-Reducing</w:t>
      </w:r>
      <w:r w:rsidRPr="002F4C07">
        <w:t xml:space="preserve"> Work Related Fatalities, Safe Work Australia will engage with coroners’ courts to establish arrangements for sharing their findings quickly and systematically and to ensure that recommendations from coroners’ inquests to Safe Work Australia or a jurisdictional regulator are considered by the proposed new SIG-Reducing Work Related Fatalities within 6 months of obtaining the outcomes.</w:t>
      </w:r>
    </w:p>
    <w:p w14:paraId="5CF6E3AF" w14:textId="3191945C" w:rsidR="00696293" w:rsidRPr="00696293" w:rsidRDefault="00696293" w:rsidP="00696293">
      <w:pPr>
        <w:pStyle w:val="Paragraph"/>
      </w:pPr>
      <w:r w:rsidRPr="00696293">
        <w:lastRenderedPageBreak/>
        <w:t>As recommended by some families of deceased workers, there is also often a need for greater technical expertise in some work-related fatality investigations, particularly in smaller states</w:t>
      </w:r>
      <w:r w:rsidRPr="00696293">
        <w:rPr>
          <w:vertAlign w:val="superscript"/>
        </w:rPr>
        <w:footnoteReference w:id="89"/>
      </w:r>
      <w:r w:rsidRPr="00696293">
        <w:t xml:space="preserve"> or where fatalities involve specialist tasks or equipment. It is suggested the new SIG</w:t>
      </w:r>
      <w:r w:rsidR="002F4C07" w:rsidRPr="002F4C07">
        <w:t>-Reducing Work Related Fatalities</w:t>
      </w:r>
      <w:r w:rsidRPr="00696293">
        <w:t xml:space="preserve"> should consider a national approach to fatality investigations, including developing arrangements for jurisdictions to draw on a common pool of high</w:t>
      </w:r>
      <w:r w:rsidR="00C16287">
        <w:t xml:space="preserve"> </w:t>
      </w:r>
      <w:r w:rsidRPr="00696293">
        <w:t>risk industry and other specialist investigators and share this specialist expertise where appropriate.</w:t>
      </w:r>
    </w:p>
    <w:p w14:paraId="0689870C" w14:textId="77777777" w:rsidR="00696293" w:rsidRPr="00696293" w:rsidRDefault="00696293" w:rsidP="00696293">
      <w:pPr>
        <w:pStyle w:val="Paragraph"/>
      </w:pPr>
      <w:r w:rsidRPr="00696293">
        <w:t>This Review suggests a pilot of this approach could occur in the construction industry and, once trialled, be assessed with a view to extending it to other industries.</w:t>
      </w:r>
    </w:p>
    <w:p w14:paraId="650E7BFF" w14:textId="250E3620" w:rsidR="002F4C07" w:rsidRPr="002F4C07" w:rsidRDefault="002F4C07" w:rsidP="002F4C07">
      <w:pPr>
        <w:pStyle w:val="Paragraph"/>
      </w:pPr>
      <w:r w:rsidRPr="002F4C07">
        <w:t>The establishment of the SIG-Reducing Work Related Fatalities and the work with coroners’ courts are actions arising from this Review which Safe Work Australia Members have tasked the Agency with progressing immediately.</w:t>
      </w:r>
    </w:p>
    <w:p w14:paraId="7B6DF3BF" w14:textId="77777777" w:rsidR="00F21CE3" w:rsidRDefault="00DA639D" w:rsidP="004420D1">
      <w:pPr>
        <w:pStyle w:val="SWAHeading2"/>
        <w:spacing w:before="240" w:line="240" w:lineRule="auto"/>
        <w:rPr>
          <w:rFonts w:asciiTheme="minorHAnsi" w:hAnsiTheme="minorHAnsi"/>
        </w:rPr>
      </w:pPr>
      <w:bookmarkStart w:id="26" w:name="_Toc234853672"/>
      <w:bookmarkStart w:id="27" w:name="_Toc236326803"/>
      <w:bookmarkStart w:id="28" w:name="_Toc239845145"/>
      <w:r w:rsidRPr="0014023A">
        <w:rPr>
          <w:rFonts w:asciiTheme="minorHAnsi" w:hAnsiTheme="minorHAnsi"/>
        </w:rPr>
        <w:t>Overlapping safety frameworks</w:t>
      </w:r>
      <w:bookmarkEnd w:id="26"/>
      <w:bookmarkEnd w:id="27"/>
      <w:bookmarkEnd w:id="28"/>
    </w:p>
    <w:p w14:paraId="0A7CF642" w14:textId="403795B7" w:rsidR="00F21CE3" w:rsidRDefault="00DA639D" w:rsidP="00DA639D">
      <w:pPr>
        <w:pStyle w:val="Paragraph"/>
      </w:pPr>
      <w:r w:rsidRPr="00DA639D">
        <w:t>Some states and territories regulate high risk industries or specific hazards through specialist safety regimes which may sit within a jurisdiction’s WHS framework</w:t>
      </w:r>
      <w:r w:rsidRPr="00DA639D">
        <w:rPr>
          <w:vertAlign w:val="superscript"/>
        </w:rPr>
        <w:footnoteReference w:id="90"/>
      </w:r>
      <w:r w:rsidRPr="00DA639D">
        <w:t xml:space="preserve"> or operate under a separate legislative framework.</w:t>
      </w:r>
      <w:r w:rsidRPr="00DA639D">
        <w:rPr>
          <w:vertAlign w:val="superscript"/>
        </w:rPr>
        <w:footnoteReference w:id="91"/>
      </w:r>
      <w:r w:rsidRPr="00DA639D">
        <w:t xml:space="preserve"> Industries subject to separate or specialist legislative arrangements include mining, petroleum and gas, electricity, maritime, and aviation. Sectors such as dangerous goods, heavy vehicles, and rail safety operate under nationally harmonised frameworks that sit outside the WHS framework.</w:t>
      </w:r>
      <w:r w:rsidRPr="00DA639D">
        <w:rPr>
          <w:vertAlign w:val="superscript"/>
        </w:rPr>
        <w:footnoteReference w:id="92"/>
      </w:r>
      <w:r w:rsidRPr="00DA639D">
        <w:t xml:space="preserve"> Most of these safety frameworks are administered by specialist regulators.</w:t>
      </w:r>
    </w:p>
    <w:p w14:paraId="66E4572D" w14:textId="0009A594" w:rsidR="00DA639D" w:rsidRPr="00DA639D" w:rsidRDefault="00DA639D" w:rsidP="00DA639D">
      <w:pPr>
        <w:pStyle w:val="Paragraph"/>
      </w:pPr>
      <w:r w:rsidRPr="00DA639D">
        <w:t>Mining is notable as a high risk industry where safety is not uniformly regulated across the states and territories. Previous efforts to harmonise mining safety legislation through t</w:t>
      </w:r>
      <w:r w:rsidRPr="00C16287">
        <w:t xml:space="preserve">he </w:t>
      </w:r>
      <w:r w:rsidRPr="00857C26">
        <w:rPr>
          <w:i/>
        </w:rPr>
        <w:t>National Mine Safety Framework</w:t>
      </w:r>
      <w:r w:rsidRPr="00C16287">
        <w:rPr>
          <w:i/>
        </w:rPr>
        <w:t xml:space="preserve"> </w:t>
      </w:r>
      <w:r w:rsidRPr="00C16287">
        <w:t>and Chapter 10 of t</w:t>
      </w:r>
      <w:r w:rsidRPr="00DA639D">
        <w:t>he model WHS Regulations, developed by Safe Work Australia in 2014, were never fully realised.</w:t>
      </w:r>
    </w:p>
    <w:p w14:paraId="60F14CCF" w14:textId="77777777" w:rsidR="00DA639D" w:rsidRPr="00DA639D" w:rsidRDefault="00DA639D" w:rsidP="00DA639D">
      <w:pPr>
        <w:pStyle w:val="Paragraph"/>
      </w:pPr>
      <w:r w:rsidRPr="00DA639D">
        <w:t xml:space="preserve">Safety in the maritime industry is regulated under the </w:t>
      </w:r>
      <w:r w:rsidRPr="00DA639D">
        <w:rPr>
          <w:i/>
          <w:iCs/>
        </w:rPr>
        <w:t xml:space="preserve">Occupational Health and Safety (Maritime Industry) Act 1993 </w:t>
      </w:r>
      <w:r w:rsidRPr="00DA639D">
        <w:t xml:space="preserve">(Cth) (OHS(MI) Act), which has not been substantially amended since its enactment over 30 years ago. </w:t>
      </w:r>
      <w:r w:rsidRPr="00DA639D" w:rsidDel="00E03F9A">
        <w:t xml:space="preserve">The </w:t>
      </w:r>
      <w:r w:rsidRPr="00DA639D">
        <w:t>Australian Government Department of Employment and Workplace Relations is currently considering reforms to harmonise the OHS(MI) Act and its subordinate legislation with the model WHS laws.</w:t>
      </w:r>
      <w:r w:rsidRPr="00DA639D" w:rsidDel="000D1007">
        <w:t xml:space="preserve"> </w:t>
      </w:r>
      <w:r w:rsidRPr="00DA639D">
        <w:t xml:space="preserve">Safe Work Australia will monitor this work and there may be opportunities for the Regulations modernisation project proposed at </w:t>
      </w:r>
      <w:r w:rsidRPr="00DA639D">
        <w:rPr>
          <w:b/>
        </w:rPr>
        <w:t>Chapter 7</w:t>
      </w:r>
      <w:r w:rsidRPr="00DA639D">
        <w:t xml:space="preserve"> to consider the outcomes of this work.</w:t>
      </w:r>
    </w:p>
    <w:p w14:paraId="241C9DE2" w14:textId="0880BB94" w:rsidR="00DA639D" w:rsidRPr="00DA639D" w:rsidRDefault="00DA639D" w:rsidP="00DA639D">
      <w:pPr>
        <w:pStyle w:val="Paragraph"/>
      </w:pPr>
      <w:r w:rsidRPr="00DA639D">
        <w:t xml:space="preserve">Previous reviews into WHS, including the 2008 and </w:t>
      </w:r>
      <w:r w:rsidRPr="00C16287">
        <w:t>2018 Reviews</w:t>
      </w:r>
      <w:r w:rsidRPr="00DA639D">
        <w:t>, addressed the interaction of the WHS framework with other safety regimes. This Review has similarly considered how these separate legislative arrangements interact with the model laws.</w:t>
      </w:r>
    </w:p>
    <w:p w14:paraId="57C82EA9" w14:textId="77777777" w:rsidR="00F21CE3" w:rsidRDefault="00DA639D" w:rsidP="00DA639D">
      <w:pPr>
        <w:pStyle w:val="Paragraph"/>
        <w:rPr>
          <w:b/>
        </w:rPr>
      </w:pPr>
      <w:r w:rsidRPr="00DA639D">
        <w:t>Although often similar to the model WHS laws, duties and obligations under specialist work-related safety frameworks (overlapping safety frameworks) are not identical.</w:t>
      </w:r>
      <w:r w:rsidRPr="00DA639D" w:rsidDel="00F7471F">
        <w:t xml:space="preserve"> </w:t>
      </w:r>
      <w:r w:rsidRPr="00DA639D" w:rsidDel="00C914CF">
        <w:t xml:space="preserve">Notwithstanding that </w:t>
      </w:r>
      <w:r w:rsidRPr="00DA639D" w:rsidDel="00F42475">
        <w:t>d</w:t>
      </w:r>
      <w:r w:rsidRPr="00DA639D">
        <w:t>iffering levels of alignment contribute to a complex regulatory landscape</w:t>
      </w:r>
      <w:r w:rsidRPr="00DA639D" w:rsidDel="005672B6">
        <w:t>,</w:t>
      </w:r>
      <w:r w:rsidRPr="00DA639D">
        <w:t xml:space="preserve"> some safety frameworks have recently been reformed to improve national consistency and harmonisation with the model WHS laws.</w:t>
      </w:r>
      <w:r w:rsidRPr="00DA639D">
        <w:rPr>
          <w:vertAlign w:val="superscript"/>
        </w:rPr>
        <w:footnoteReference w:id="93"/>
      </w:r>
      <w:r w:rsidRPr="00DA639D">
        <w:t xml:space="preserve"> A more detailed summary of the overlapping safety frameworks in Australia is at </w:t>
      </w:r>
      <w:r w:rsidRPr="00DA639D">
        <w:rPr>
          <w:b/>
        </w:rPr>
        <w:t>Appendix C</w:t>
      </w:r>
      <w:r w:rsidRPr="00DA639D">
        <w:t>.</w:t>
      </w:r>
    </w:p>
    <w:p w14:paraId="2C58799D" w14:textId="77000B8E" w:rsidR="00DB2B31" w:rsidRPr="004420D1" w:rsidRDefault="00DB2B31" w:rsidP="00BF204D">
      <w:pPr>
        <w:pStyle w:val="Boxedshaded"/>
        <w:rPr>
          <w:b/>
          <w:bCs/>
        </w:rPr>
      </w:pPr>
      <w:r w:rsidRPr="004420D1">
        <w:rPr>
          <w:b/>
          <w:bCs/>
        </w:rPr>
        <w:lastRenderedPageBreak/>
        <w:t>What we heard</w:t>
      </w:r>
    </w:p>
    <w:p w14:paraId="2C7EF28E" w14:textId="4A6D8CBB" w:rsidR="00F21CE3" w:rsidRDefault="008F68CF" w:rsidP="00BF204D">
      <w:pPr>
        <w:pStyle w:val="Boxedshaded"/>
      </w:pPr>
      <w:r w:rsidRPr="008F68CF">
        <w:t>Representatives from high risk industries suggested that the numerous overlapping safety frameworks applicable to their work create complex compliance challenges that divert attention from practical safe work practices and outcomes.</w:t>
      </w:r>
      <w:r w:rsidRPr="008F68CF">
        <w:rPr>
          <w:vertAlign w:val="superscript"/>
        </w:rPr>
        <w:footnoteReference w:id="94"/>
      </w:r>
      <w:r w:rsidRPr="008F68CF">
        <w:t xml:space="preserve"> Mining organisations, including the MCA, identified inconsistencies between various jurisdictions’ mining safety legislation as a particular challenge.</w:t>
      </w:r>
      <w:r w:rsidRPr="008F68CF">
        <w:rPr>
          <w:vertAlign w:val="superscript"/>
        </w:rPr>
        <w:footnoteReference w:id="95"/>
      </w:r>
      <w:r w:rsidRPr="008F68CF">
        <w:t xml:space="preserve"> Notably, Queensland’s standalone mining legislation requires all duty holders at a mine to reduce risk to ‘as low as reasonably achievable’ compared with the standard in the model WHS </w:t>
      </w:r>
      <w:r w:rsidRPr="00C16287">
        <w:t>law</w:t>
      </w:r>
      <w:r w:rsidR="0011217C" w:rsidRPr="00C16287">
        <w:t>s</w:t>
      </w:r>
      <w:r w:rsidRPr="00C16287">
        <w:t xml:space="preserve"> jurisdiction of</w:t>
      </w:r>
      <w:r w:rsidRPr="008F68CF">
        <w:t xml:space="preserve"> ‘so far as is reasonably practicable’. One regulator supported harmonising the mining regulations to assist smaller jurisdictions to prioritise their compliance activities.</w:t>
      </w:r>
      <w:r w:rsidRPr="008F68CF">
        <w:rPr>
          <w:vertAlign w:val="superscript"/>
        </w:rPr>
        <w:footnoteReference w:id="96"/>
      </w:r>
    </w:p>
    <w:p w14:paraId="3A8ECB00" w14:textId="77777777" w:rsidR="00F21CE3" w:rsidRDefault="008F68CF" w:rsidP="00BF204D">
      <w:pPr>
        <w:pStyle w:val="Boxedshaded"/>
      </w:pPr>
      <w:r w:rsidRPr="008F68CF">
        <w:t>Unions</w:t>
      </w:r>
      <w:r w:rsidRPr="008F68CF" w:rsidDel="006A4558">
        <w:t xml:space="preserve"> </w:t>
      </w:r>
      <w:r w:rsidRPr="008F68CF">
        <w:t>supported harmonising safety regimes for the offshore oil, gas and electricity industries to remove gaps that exclude some seafarers and workers from coverage under Australian WHS laws.</w:t>
      </w:r>
      <w:r w:rsidRPr="008F68CF">
        <w:rPr>
          <w:vertAlign w:val="superscript"/>
        </w:rPr>
        <w:footnoteReference w:id="97"/>
      </w:r>
    </w:p>
    <w:p w14:paraId="3C2EC48D" w14:textId="1D2BF626" w:rsidR="008F68CF" w:rsidRPr="008F68CF" w:rsidRDefault="008F68CF" w:rsidP="00BF204D">
      <w:pPr>
        <w:pStyle w:val="Boxedshaded"/>
      </w:pPr>
      <w:r w:rsidRPr="008F68CF">
        <w:t>The Australian Government Department of Climate Change, Energy, the Environment and Water (DCCEEW) raised concerns that regulatory uncertainty and overlap risk being embedded as new sectors develop.</w:t>
      </w:r>
      <w:r w:rsidRPr="008F68CF">
        <w:rPr>
          <w:vertAlign w:val="superscript"/>
        </w:rPr>
        <w:footnoteReference w:id="98"/>
      </w:r>
      <w:r w:rsidRPr="008F68CF">
        <w:t xml:space="preserve"> This includes the emerging hydrogen industry, which will be subject to multiple safety </w:t>
      </w:r>
      <w:r w:rsidRPr="008F68CF" w:rsidDel="00985703">
        <w:t>regimes</w:t>
      </w:r>
      <w:r w:rsidRPr="008F68CF">
        <w:t>.</w:t>
      </w:r>
      <w:r w:rsidRPr="008F68CF">
        <w:rPr>
          <w:vertAlign w:val="superscript"/>
        </w:rPr>
        <w:footnoteReference w:id="99"/>
      </w:r>
    </w:p>
    <w:p w14:paraId="285BA61A" w14:textId="77777777" w:rsidR="0068115F" w:rsidRPr="0068115F" w:rsidRDefault="0068115F" w:rsidP="004420D1">
      <w:pPr>
        <w:pStyle w:val="SWAHeading4"/>
      </w:pPr>
      <w:r w:rsidRPr="0068115F">
        <w:t>Discussion and recommendations</w:t>
      </w:r>
    </w:p>
    <w:p w14:paraId="2F24A325" w14:textId="54FE71A5" w:rsidR="00F21CE3" w:rsidRDefault="0068115F" w:rsidP="004420D1">
      <w:pPr>
        <w:pStyle w:val="Paragraph"/>
        <w:spacing w:before="80"/>
      </w:pPr>
      <w:r w:rsidRPr="0068115F">
        <w:t xml:space="preserve">Harmonisation of overlapping safety frameworks with the model WHS laws remains desirable, consistent with the original intent of the </w:t>
      </w:r>
      <w:r w:rsidRPr="00F404F2">
        <w:rPr>
          <w:i/>
          <w:iCs/>
        </w:rPr>
        <w:t>2008 National Review</w:t>
      </w:r>
      <w:r w:rsidRPr="0068115F">
        <w:t xml:space="preserve"> that ‘there should be a presumption that separate and specific OHS laws … should only continue where they have been </w:t>
      </w:r>
      <w:r w:rsidRPr="00C16287">
        <w:t>objectively justified’</w:t>
      </w:r>
      <w:r w:rsidR="00C17C17">
        <w:t>.</w:t>
      </w:r>
      <w:r w:rsidRPr="00C16287">
        <w:rPr>
          <w:vertAlign w:val="superscript"/>
        </w:rPr>
        <w:footnoteReference w:id="100"/>
      </w:r>
    </w:p>
    <w:p w14:paraId="572A5B7C" w14:textId="77777777" w:rsidR="00F21CE3" w:rsidRDefault="0068115F" w:rsidP="0068115F">
      <w:pPr>
        <w:pStyle w:val="Paragraph"/>
      </w:pPr>
      <w:r w:rsidRPr="0068115F" w:rsidDel="00B46D1E">
        <w:t>The</w:t>
      </w:r>
      <w:r w:rsidRPr="0068115F">
        <w:t xml:space="preserve"> variability of WHS related duties and obligations across overlapping safety frameworks continues to contribute to duty holder confusion about their WHS duties, gives rise to concerns about workers’ rights, and obscures gaps in coverage that reduce WHS protections for some workers. For example, this Review heard operators of domestic commercial vessels were unaware they were subject to both WHS laws and maritime safety laws.</w:t>
      </w:r>
      <w:r w:rsidRPr="0068115F">
        <w:rPr>
          <w:vertAlign w:val="superscript"/>
        </w:rPr>
        <w:footnoteReference w:id="101"/>
      </w:r>
      <w:r w:rsidRPr="0068115F">
        <w:t xml:space="preserve"> It also heard that Queensland host farmers who are legally required to accommodate energy-related infrastructure on their farms have unequal access to some WHS protections due to the structural separation of the </w:t>
      </w:r>
      <w:r w:rsidRPr="0068115F">
        <w:rPr>
          <w:i/>
          <w:iCs/>
        </w:rPr>
        <w:t xml:space="preserve">Petroleum and Gas (Production and Safety) Act 2004 </w:t>
      </w:r>
      <w:r w:rsidRPr="0068115F">
        <w:t>(Qld) and the Queensland WHS Act.</w:t>
      </w:r>
      <w:r w:rsidRPr="0068115F">
        <w:rPr>
          <w:vertAlign w:val="superscript"/>
        </w:rPr>
        <w:footnoteReference w:id="102"/>
      </w:r>
    </w:p>
    <w:p w14:paraId="7DDC668E" w14:textId="2B9390E5" w:rsidR="0016789A" w:rsidRDefault="0016789A">
      <w:pPr>
        <w:spacing w:after="200" w:line="276" w:lineRule="auto"/>
        <w:contextualSpacing w:val="0"/>
        <w:rPr>
          <w:rFonts w:asciiTheme="minorHAnsi" w:eastAsia="Times New Roman" w:hAnsiTheme="minorHAnsi"/>
          <w:lang w:eastAsia="en-AU"/>
        </w:rPr>
      </w:pPr>
      <w:r>
        <w:br w:type="page"/>
      </w:r>
    </w:p>
    <w:p w14:paraId="3C2FEA30" w14:textId="5E7EAA85" w:rsidR="00F21CE3" w:rsidRDefault="0068115F" w:rsidP="0068115F">
      <w:pPr>
        <w:pStyle w:val="Paragraph"/>
      </w:pPr>
      <w:r w:rsidRPr="0068115F">
        <w:lastRenderedPageBreak/>
        <w:t>Several fatalities in the offshore oil and gas industry appear to underscore significant gaps in offshore safety regimes, which the ACTU notes continue to lack the protections contained in the model WHS Act.</w:t>
      </w:r>
      <w:r w:rsidRPr="0068115F">
        <w:rPr>
          <w:vertAlign w:val="superscript"/>
        </w:rPr>
        <w:footnoteReference w:id="103"/>
      </w:r>
      <w:r w:rsidRPr="0068115F">
        <w:t xml:space="preserve"> These include consultation provisions, health monitoring, the right to cease unsafe work and regulations to manage risks from work at heights. If we are genuine about the goal of every Australian worker no matter where they work or what industry they work in having the same level of protections, workers in high risk offshore industries should receive, at minimum, the same protections as those that would apply onshore, and this Review suggests these protections should mirror those in the model WHS laws.</w:t>
      </w:r>
    </w:p>
    <w:p w14:paraId="2000C9E2" w14:textId="77777777" w:rsidR="00F21CE3" w:rsidRDefault="0068115F" w:rsidP="0068115F">
      <w:pPr>
        <w:pStyle w:val="Paragraph"/>
      </w:pPr>
      <w:r w:rsidRPr="0068115F">
        <w:t>It is noted that some overlapping safety frameworks include provisions that are arguably best practice.</w:t>
      </w:r>
      <w:r w:rsidRPr="0068115F">
        <w:rPr>
          <w:vertAlign w:val="superscript"/>
        </w:rPr>
        <w:footnoteReference w:id="104"/>
      </w:r>
      <w:r w:rsidRPr="0068115F">
        <w:t xml:space="preserve"> For example, there are regulations in the Queensland and NSW mining regulations which provide for the appointment of safety and health representatives and enhanced health monitoring.</w:t>
      </w:r>
      <w:r w:rsidRPr="0068115F">
        <w:rPr>
          <w:vertAlign w:val="superscript"/>
        </w:rPr>
        <w:footnoteReference w:id="105"/>
      </w:r>
    </w:p>
    <w:p w14:paraId="14F78B01" w14:textId="14CC88A0" w:rsidR="00F21CE3" w:rsidRDefault="0068115F" w:rsidP="0068115F">
      <w:pPr>
        <w:pStyle w:val="Paragraph"/>
      </w:pPr>
      <w:r w:rsidRPr="0068115F">
        <w:t>This Review recommends that Safe Work Australia continue to work with overlapping safety framework jurisdictions to consider how harmonisation with the model WHS laws could be progressed to ensure workers do not inadvertently fall into regulatory gaps</w:t>
      </w:r>
      <w:r w:rsidRPr="0068115F" w:rsidDel="00185677">
        <w:t>.</w:t>
      </w:r>
      <w:r w:rsidRPr="0068115F">
        <w:t xml:space="preserve"> Where overlapping safety frameworks provide higher levels of protection and provisions which assist in reducing workplace injury, the new SIG</w:t>
      </w:r>
      <w:r w:rsidR="00B35119">
        <w:noBreakHyphen/>
      </w:r>
      <w:r w:rsidR="00C144E9" w:rsidRPr="00C144E9">
        <w:t>Reducing Work Related Fatalities provides an opportunity for their consideration to inform potential adoption in the model WHS laws.</w:t>
      </w:r>
      <w:r w:rsidRPr="0068115F">
        <w:t xml:space="preserve"> Any recommended change arising from the new SIG should be proposed to Safe Work Australia Members through the usual process.</w:t>
      </w:r>
    </w:p>
    <w:p w14:paraId="4492FB92" w14:textId="31CC2A6D" w:rsidR="00F21CE3" w:rsidRDefault="0068115F" w:rsidP="0068115F">
      <w:pPr>
        <w:pStyle w:val="Paragraph"/>
      </w:pPr>
      <w:r w:rsidRPr="0068115F">
        <w:t>Th</w:t>
      </w:r>
      <w:r w:rsidR="0011217C">
        <w:t>is</w:t>
      </w:r>
      <w:r w:rsidRPr="0068115F">
        <w:t xml:space="preserve"> Review suggests t</w:t>
      </w:r>
      <w:r w:rsidRPr="0068115F" w:rsidDel="00D16AF6">
        <w:t xml:space="preserve">he new NCEP should include details about </w:t>
      </w:r>
      <w:r w:rsidRPr="0068115F">
        <w:t xml:space="preserve">how WHS regulators will respond where </w:t>
      </w:r>
      <w:r w:rsidRPr="0068115F" w:rsidDel="00D16AF6">
        <w:t xml:space="preserve">WHS laws and overlapping safety frameworks </w:t>
      </w:r>
      <w:r w:rsidRPr="0068115F">
        <w:t xml:space="preserve">both </w:t>
      </w:r>
      <w:r w:rsidRPr="0068115F" w:rsidDel="00D16AF6">
        <w:t xml:space="preserve">apply, to provide clarity and certainty to </w:t>
      </w:r>
      <w:r w:rsidRPr="0068115F" w:rsidDel="00EA3C51">
        <w:t xml:space="preserve">WHS </w:t>
      </w:r>
      <w:r w:rsidRPr="0068115F" w:rsidDel="00D16AF6">
        <w:t>regulators, duty holders and those owed duties.</w:t>
      </w:r>
    </w:p>
    <w:p w14:paraId="3D2CB946" w14:textId="77777777" w:rsidR="00F21CE3" w:rsidRDefault="0068115F" w:rsidP="0068115F">
      <w:pPr>
        <w:pStyle w:val="Paragraph"/>
      </w:pPr>
      <w:r w:rsidRPr="0068115F">
        <w:t>Safe Work Australia will continue to monitor opportunities to support harmonisation with the model WHS laws as part of industry-specific or jurisdiction-level WHS reviews.</w:t>
      </w:r>
    </w:p>
    <w:p w14:paraId="5987604C" w14:textId="55C9E395" w:rsidR="0068115F" w:rsidRPr="0068115F" w:rsidRDefault="0068115F" w:rsidP="0068115F">
      <w:pPr>
        <w:pStyle w:val="Paragraph"/>
        <w:rPr>
          <w:i/>
        </w:rPr>
      </w:pPr>
      <w:r w:rsidRPr="0068115F">
        <w:t>The proposal to continue monitoring developments in overlapping safety frameworks is an action item arising from this Review which Safe Work Australia Members have tasked the Agency with progressing as part of its ongoing workplan.</w:t>
      </w:r>
    </w:p>
    <w:p w14:paraId="7D3F43F5" w14:textId="77777777" w:rsidR="00F21CE3" w:rsidRDefault="0068115F" w:rsidP="0068115F">
      <w:pPr>
        <w:pStyle w:val="Paragraph"/>
      </w:pPr>
      <w:r w:rsidRPr="0068115F">
        <w:t xml:space="preserve">The model WHS laws also interact with a range of other legislative frameworks that are not primarily safety regimes but which also apply to work or workplaces, including the </w:t>
      </w:r>
      <w:r w:rsidRPr="0068115F">
        <w:rPr>
          <w:i/>
        </w:rPr>
        <w:t xml:space="preserve">Fair Work Act 2009 </w:t>
      </w:r>
      <w:r w:rsidRPr="0068115F">
        <w:t>(Cth) (FW Act) and state and federal anti-discrimination laws.</w:t>
      </w:r>
    </w:p>
    <w:p w14:paraId="5E1C9F94" w14:textId="77CC8CB7" w:rsidR="004420D1" w:rsidRDefault="004420D1">
      <w:pPr>
        <w:spacing w:after="200" w:line="276" w:lineRule="auto"/>
        <w:contextualSpacing w:val="0"/>
        <w:rPr>
          <w:rFonts w:asciiTheme="minorHAnsi" w:eastAsia="Times New Roman" w:hAnsiTheme="minorHAnsi"/>
          <w:lang w:eastAsia="en-AU"/>
        </w:rPr>
      </w:pPr>
      <w:r>
        <w:br w:type="page"/>
      </w:r>
    </w:p>
    <w:p w14:paraId="0DA41E84" w14:textId="77777777" w:rsidR="007A7005" w:rsidRPr="00046B7D" w:rsidRDefault="007A7005" w:rsidP="00843579">
      <w:pPr>
        <w:pStyle w:val="SWAHeading3"/>
      </w:pPr>
      <w:r w:rsidRPr="00046B7D">
        <w:lastRenderedPageBreak/>
        <w:t>Other work-</w:t>
      </w:r>
      <w:r w:rsidRPr="00843579">
        <w:t>related</w:t>
      </w:r>
      <w:r w:rsidRPr="00046B7D">
        <w:t xml:space="preserve"> legislative frameworks</w:t>
      </w:r>
    </w:p>
    <w:p w14:paraId="2A83C190" w14:textId="700C6141" w:rsidR="00070AA5" w:rsidRPr="004420D1" w:rsidRDefault="00070AA5" w:rsidP="00BF204D">
      <w:pPr>
        <w:pStyle w:val="Boxedshaded"/>
        <w:rPr>
          <w:b/>
          <w:bCs/>
        </w:rPr>
      </w:pPr>
      <w:r w:rsidRPr="004420D1">
        <w:rPr>
          <w:b/>
          <w:bCs/>
        </w:rPr>
        <w:t>What we heard</w:t>
      </w:r>
    </w:p>
    <w:p w14:paraId="676AC23D" w14:textId="77777777" w:rsidR="00F21CE3" w:rsidRDefault="0035169F" w:rsidP="00BF204D">
      <w:pPr>
        <w:pStyle w:val="Boxedshaded"/>
      </w:pPr>
      <w:r w:rsidRPr="0035169F">
        <w:t>This Review heard concerns about overlap, duplication and inconsistencies between WHS and other work</w:t>
      </w:r>
      <w:r w:rsidRPr="0035169F">
        <w:noBreakHyphen/>
        <w:t>related legislative frameworks</w:t>
      </w:r>
      <w:r w:rsidRPr="0035169F">
        <w:rPr>
          <w:i/>
        </w:rPr>
        <w:t>,</w:t>
      </w:r>
      <w:r w:rsidRPr="0035169F">
        <w:t xml:space="preserve"> particularly where similar issues are regulated through parallel duties, processes and enforcement mechanisms. It heard the impact of these overlaps is particularly pronounced on small and medium businesses</w:t>
      </w:r>
      <w:r w:rsidRPr="0035169F">
        <w:rPr>
          <w:vertAlign w:val="superscript"/>
        </w:rPr>
        <w:footnoteReference w:id="106"/>
      </w:r>
      <w:r w:rsidRPr="0035169F">
        <w:t xml:space="preserve"> and can impact the mental health of business owners.</w:t>
      </w:r>
      <w:r w:rsidRPr="0035169F">
        <w:rPr>
          <w:vertAlign w:val="superscript"/>
        </w:rPr>
        <w:footnoteReference w:id="107"/>
      </w:r>
    </w:p>
    <w:p w14:paraId="7245006E" w14:textId="7F1F1B64" w:rsidR="0035169F" w:rsidRPr="0035169F" w:rsidRDefault="0035169F" w:rsidP="00BF204D">
      <w:pPr>
        <w:pStyle w:val="Boxedshaded"/>
      </w:pPr>
      <w:r w:rsidRPr="0035169F">
        <w:t>In relation to the FW Act, the MBA asserted that safety laws should focus on safety matters and that non-WHS laws should not replicate WHS obligations.</w:t>
      </w:r>
      <w:r w:rsidRPr="0035169F">
        <w:rPr>
          <w:vertAlign w:val="superscript"/>
        </w:rPr>
        <w:footnoteReference w:id="108"/>
      </w:r>
      <w:r w:rsidRPr="0035169F">
        <w:t xml:space="preserve"> Other industry representatives, including ACCI and the MCA, supported streamlining overlapping requirements and eliminating duplication,</w:t>
      </w:r>
      <w:r w:rsidRPr="0035169F">
        <w:rPr>
          <w:vertAlign w:val="superscript"/>
        </w:rPr>
        <w:footnoteReference w:id="109"/>
      </w:r>
      <w:r w:rsidRPr="0035169F">
        <w:t xml:space="preserve"> as well as cross</w:t>
      </w:r>
      <w:r w:rsidRPr="0035169F">
        <w:noBreakHyphen/>
        <w:t>referencing and aligning terminology.</w:t>
      </w:r>
      <w:r w:rsidRPr="0035169F">
        <w:rPr>
          <w:vertAlign w:val="superscript"/>
        </w:rPr>
        <w:footnoteReference w:id="110"/>
      </w:r>
    </w:p>
    <w:p w14:paraId="5C2E7438" w14:textId="77777777" w:rsidR="0035169F" w:rsidRPr="0035169F" w:rsidRDefault="0035169F" w:rsidP="00BF204D">
      <w:pPr>
        <w:pStyle w:val="Boxedshaded"/>
      </w:pPr>
      <w:r w:rsidRPr="0035169F">
        <w:t xml:space="preserve">This Review also heard from many advocates, especially human rights advocates, that </w:t>
      </w:r>
      <w:r w:rsidRPr="0035169F" w:rsidDel="00314D9F">
        <w:t>the</w:t>
      </w:r>
      <w:r w:rsidRPr="0035169F">
        <w:t xml:space="preserve"> WHS legislative framework was </w:t>
      </w:r>
      <w:r w:rsidRPr="0035169F" w:rsidDel="00314D9F">
        <w:t>a key area of the law where the</w:t>
      </w:r>
      <w:r w:rsidRPr="0035169F">
        <w:t xml:space="preserve"> </w:t>
      </w:r>
      <w:r w:rsidRPr="0035169F" w:rsidDel="00314D9F">
        <w:t xml:space="preserve">focus shifts </w:t>
      </w:r>
      <w:r w:rsidRPr="0035169F">
        <w:t>from individual workers raising complaints or issues relating to their safety to the organisation’s systems and processes to prevent harm.</w:t>
      </w:r>
      <w:r w:rsidRPr="0035169F">
        <w:rPr>
          <w:vertAlign w:val="superscript"/>
        </w:rPr>
        <w:footnoteReference w:id="111"/>
      </w:r>
    </w:p>
    <w:p w14:paraId="2E2116B7" w14:textId="237B4F9B" w:rsidR="009D218F" w:rsidRPr="009D218F" w:rsidRDefault="009D218F" w:rsidP="0016789A">
      <w:pPr>
        <w:pStyle w:val="SWAHeading4"/>
        <w:spacing w:after="0"/>
      </w:pPr>
      <w:r w:rsidRPr="009D218F">
        <w:t>Discussion and recommendation</w:t>
      </w:r>
      <w:r w:rsidR="00915049">
        <w:t>s</w:t>
      </w:r>
    </w:p>
    <w:p w14:paraId="467147EA" w14:textId="77777777" w:rsidR="009D218F" w:rsidRPr="009D218F" w:rsidRDefault="009D218F" w:rsidP="0016789A">
      <w:pPr>
        <w:pStyle w:val="Paragraph"/>
        <w:spacing w:before="0"/>
      </w:pPr>
      <w:r w:rsidRPr="009D218F">
        <w:t>Workplace issues often arise in a single factual setting but may link to a range of legislative frameworks, making some interaction between those frameworks unavoidable. For example, both the WHS laws and the FW Act include consultation, dispute resolution, and right of entry provisions, designed to serve different regulatory purposes.</w:t>
      </w:r>
    </w:p>
    <w:p w14:paraId="1FED2974" w14:textId="036BFE61" w:rsidR="00696FE0" w:rsidRDefault="009D218F" w:rsidP="00EE0AE2">
      <w:pPr>
        <w:pStyle w:val="Paragraph"/>
      </w:pPr>
      <w:r w:rsidRPr="009D218F">
        <w:t>Professor Andrew Stewart has observed that the difficulty lies not in the existence of overlapping laws but in legal incoherence.</w:t>
      </w:r>
      <w:r w:rsidRPr="009D218F">
        <w:rPr>
          <w:vertAlign w:val="superscript"/>
        </w:rPr>
        <w:footnoteReference w:id="112"/>
      </w:r>
      <w:r w:rsidRPr="009D218F">
        <w:t xml:space="preserve"> Poorly aligned frameworks can create unnecessary regulatory impact, uncertainty for duty holders, confusion for workers and inconsistent outcomes in practice. Clear articulation of the scope, purpose and practical operation of each framework and how they interact is therefore essential. This is especially important considering increasing calls for action to prevent harmful behaviours such as racism and sexual harassment at workplaces.</w:t>
      </w:r>
    </w:p>
    <w:p w14:paraId="79515815" w14:textId="77777777" w:rsidR="00F21CE3" w:rsidRDefault="009D218F" w:rsidP="009D218F">
      <w:pPr>
        <w:pStyle w:val="Paragraph"/>
      </w:pPr>
      <w:r w:rsidRPr="009D218F">
        <w:t>Following the Respect@Work national inquiry,</w:t>
      </w:r>
      <w:r w:rsidRPr="009D218F">
        <w:rPr>
          <w:vertAlign w:val="superscript"/>
        </w:rPr>
        <w:footnoteReference w:id="113"/>
      </w:r>
      <w:r w:rsidRPr="009D218F">
        <w:t xml:space="preserve"> which introduced a positive duty to prevent sexual harassment into the </w:t>
      </w:r>
      <w:r w:rsidRPr="009D218F">
        <w:rPr>
          <w:i/>
        </w:rPr>
        <w:t xml:space="preserve">Sex Discrimination Act 1984 </w:t>
      </w:r>
      <w:r w:rsidRPr="009D218F">
        <w:t>(Cth),</w:t>
      </w:r>
      <w:r w:rsidRPr="009D218F">
        <w:rPr>
          <w:vertAlign w:val="superscript"/>
        </w:rPr>
        <w:footnoteReference w:id="114"/>
      </w:r>
      <w:r w:rsidRPr="009D218F">
        <w:t xml:space="preserve"> more recent inquiries have proposed including similar positive duties in anti-discrimination legislation to prevent discrimination on the basis of race, disability, sexual orientation, gender identity and intersex status.</w:t>
      </w:r>
      <w:r w:rsidRPr="009D218F">
        <w:rPr>
          <w:vertAlign w:val="superscript"/>
        </w:rPr>
        <w:footnoteReference w:id="115"/>
      </w:r>
      <w:r w:rsidRPr="009D218F">
        <w:t xml:space="preserve"> This Review supports these proposals, which seek to prevent physical and psychological harm in Australian workplaces.</w:t>
      </w:r>
    </w:p>
    <w:p w14:paraId="48CC2F40" w14:textId="77777777" w:rsidR="00F21CE3" w:rsidRDefault="009D218F" w:rsidP="009D218F">
      <w:pPr>
        <w:pStyle w:val="Paragraph"/>
      </w:pPr>
      <w:r w:rsidRPr="009D218F">
        <w:lastRenderedPageBreak/>
        <w:t xml:space="preserve">However, the WHS framework </w:t>
      </w:r>
      <w:r w:rsidRPr="009D218F" w:rsidDel="00BD5880">
        <w:t>is</w:t>
      </w:r>
      <w:r w:rsidRPr="009D218F">
        <w:t xml:space="preserve"> the primary legislation for the systematic management of health and safety hazards that arise at the workplace or in connection with work. This includes hazards arising from harmful behaviours. This Review has identified that Safe Work Australia should continue to advocate with relevant agencies, including the Australian Government Attorney-General’s Department and the Australian Human Rights Commission (AHRC), for any positive duties in anti-discrimination laws to directly reference the primary duty of care contained in the model WHS Act.</w:t>
      </w:r>
    </w:p>
    <w:p w14:paraId="56B28C59" w14:textId="40AD0601" w:rsidR="009D218F" w:rsidRPr="009D218F" w:rsidRDefault="009D218F" w:rsidP="009D218F">
      <w:pPr>
        <w:pStyle w:val="Paragraph"/>
      </w:pPr>
      <w:r w:rsidRPr="009D218F">
        <w:t>Ensuring positive duties reference the primary duty would provide direct, rather than approximate, harmonisation between legislative frameworks so that overlapping laws operate consistently and employer obligations and workers’ rights are clear. Small and medium businesses without dedicated human resources and WHS capabilities would particularly benefit from this alignment. It is noted that the proposal would not interfere with any other organisation’s education/guidance/compliance and/or enforcement capacities.</w:t>
      </w:r>
    </w:p>
    <w:p w14:paraId="1ABF14DE" w14:textId="4766D77E" w:rsidR="009D218F" w:rsidRPr="009D218F" w:rsidRDefault="009D218F" w:rsidP="009D218F">
      <w:pPr>
        <w:pStyle w:val="Paragraph"/>
      </w:pPr>
      <w:r w:rsidRPr="009D218F">
        <w:t xml:space="preserve">A similar (and potentially instructive) approach has been taken in the FW Act in relation to employer obligations under the superannuation guarantee framework, which directly references the </w:t>
      </w:r>
      <w:r w:rsidRPr="009D218F">
        <w:rPr>
          <w:i/>
        </w:rPr>
        <w:t xml:space="preserve">Superannuation Guarantee Charge Act 1992 </w:t>
      </w:r>
      <w:r w:rsidRPr="009D218F">
        <w:rPr>
          <w:iCs/>
        </w:rPr>
        <w:t xml:space="preserve">(Cth) </w:t>
      </w:r>
      <w:r w:rsidRPr="009D218F">
        <w:t>so that employers can meet their obligations under both regulatory frameworks without duplication or conflict.</w:t>
      </w:r>
      <w:r w:rsidRPr="009D218F">
        <w:rPr>
          <w:vertAlign w:val="superscript"/>
        </w:rPr>
        <w:footnoteReference w:id="116"/>
      </w:r>
      <w:r w:rsidRPr="009D218F">
        <w:t xml:space="preserve"> The essential effect of referencing the superannuation obligation in the FW Act means that there are several regulators which can enforce the obligation and right </w:t>
      </w:r>
      <w:r w:rsidR="0011217C">
        <w:rPr>
          <w:rFonts w:ascii="Symbol" w:eastAsia="Symbol" w:hAnsi="Symbol" w:cs="Symbol"/>
        </w:rPr>
        <w:t>-</w:t>
      </w:r>
      <w:r w:rsidRPr="009D218F">
        <w:t xml:space="preserve"> for example, the Fair Work Ombudsman and the Australian Taxation Office.</w:t>
      </w:r>
    </w:p>
    <w:p w14:paraId="40E7022C" w14:textId="77777777" w:rsidR="00F21CE3" w:rsidRDefault="009D218F" w:rsidP="009D218F">
      <w:pPr>
        <w:pStyle w:val="Paragraph"/>
      </w:pPr>
      <w:r w:rsidRPr="009D218F">
        <w:t xml:space="preserve">This Review’s recommendation does not seek to displace the role of anti-discrimination legal frameworks in protecting individual rights; nor does it intend to diminish the role of the AHRC as the regulator of anti-discrimination positive duty laws. The AHRC would retain its current powers and functions in relation to the </w:t>
      </w:r>
      <w:r w:rsidRPr="009D218F">
        <w:rPr>
          <w:i/>
        </w:rPr>
        <w:t xml:space="preserve">Sex Discrimination Act 1984 </w:t>
      </w:r>
      <w:r w:rsidRPr="009D218F">
        <w:t>(Cth) and any future powers and functions relating to positive duties within anti-discrimination laws that mirror the WHS primary duty.</w:t>
      </w:r>
      <w:r w:rsidRPr="009D218F">
        <w:rPr>
          <w:vertAlign w:val="superscript"/>
        </w:rPr>
        <w:t xml:space="preserve"> </w:t>
      </w:r>
      <w:r w:rsidRPr="009D218F">
        <w:t>Rather, the proposal builds on the importance of the model WHS legal framework as a rights</w:t>
      </w:r>
      <w:r w:rsidRPr="009D218F">
        <w:noBreakHyphen/>
        <w:t>based framework which complements human rights legislation. It also reinforces the ILO’s 2022 recognition of a safe and healthy working environment as a fundamental right at work; and reflects the growing awareness of intersectionality as a key consideration when assessing psychosocial risks at work.</w:t>
      </w:r>
      <w:r w:rsidRPr="009D218F">
        <w:rPr>
          <w:vertAlign w:val="superscript"/>
        </w:rPr>
        <w:footnoteReference w:id="117"/>
      </w:r>
    </w:p>
    <w:p w14:paraId="52E8BA51" w14:textId="2E2D3B98" w:rsidR="00F21CE3" w:rsidRDefault="009D218F" w:rsidP="009D218F">
      <w:pPr>
        <w:pStyle w:val="Paragraph"/>
      </w:pPr>
      <w:r w:rsidRPr="009D218F">
        <w:t xml:space="preserve">Direct cross-referencing of the section 19 primary duty of care within the model WHS Act with anti-discrimination </w:t>
      </w:r>
      <w:r w:rsidRPr="00C16287">
        <w:t xml:space="preserve">positive duties would also reduce the regulatory burden on </w:t>
      </w:r>
      <w:r w:rsidR="00C16287" w:rsidRPr="00C16287">
        <w:t>persons conducting a business or undertaking (</w:t>
      </w:r>
      <w:r w:rsidRPr="00C16287">
        <w:t>PCBUs</w:t>
      </w:r>
      <w:r w:rsidR="00C16287" w:rsidRPr="00C16287">
        <w:t>)</w:t>
      </w:r>
      <w:r w:rsidRPr="00C16287">
        <w:t>, particularly small and medium businesses without dedicated human resources and WHS capabilities</w:t>
      </w:r>
      <w:r w:rsidRPr="009D218F">
        <w:t>.</w:t>
      </w:r>
    </w:p>
    <w:p w14:paraId="34432FFB" w14:textId="794B2574" w:rsidR="004420D1" w:rsidRDefault="009D218F" w:rsidP="009D218F">
      <w:pPr>
        <w:pStyle w:val="Paragraph"/>
      </w:pPr>
      <w:r w:rsidRPr="009D218F">
        <w:t>The advocacy work identified in this part of the report is an action which Safe Work Australia Members have agreed the Agency will progress as part of its general activities.</w:t>
      </w:r>
      <w:r w:rsidR="004420D1">
        <w:br w:type="page"/>
      </w:r>
    </w:p>
    <w:p w14:paraId="71AE6E2A" w14:textId="77777777" w:rsidR="0052488A" w:rsidRPr="0052488A" w:rsidRDefault="0052488A" w:rsidP="004420D1">
      <w:pPr>
        <w:pStyle w:val="SWAHeading3"/>
      </w:pPr>
      <w:r w:rsidRPr="0052488A">
        <w:lastRenderedPageBreak/>
        <w:t xml:space="preserve">Coordination </w:t>
      </w:r>
      <w:r w:rsidRPr="00843579">
        <w:t>between</w:t>
      </w:r>
      <w:r w:rsidRPr="0052488A">
        <w:t xml:space="preserve"> WHS regulators and other regulators</w:t>
      </w:r>
    </w:p>
    <w:p w14:paraId="59772D5B" w14:textId="77777777" w:rsidR="00F21CE3" w:rsidRDefault="0052488A" w:rsidP="004420D1">
      <w:pPr>
        <w:pStyle w:val="Paragraph"/>
        <w:spacing w:before="40"/>
        <w:rPr>
          <w:rFonts w:eastAsia="Aptos"/>
        </w:rPr>
      </w:pPr>
      <w:r w:rsidRPr="0052488A">
        <w:t xml:space="preserve">WHS </w:t>
      </w:r>
      <w:r w:rsidRPr="0052488A">
        <w:rPr>
          <w:rFonts w:eastAsia="Aptos"/>
        </w:rPr>
        <w:t>regulators can share information with each other or with other regulators in certain circumstances.</w:t>
      </w:r>
      <w:r w:rsidRPr="0052488A">
        <w:rPr>
          <w:rFonts w:eastAsia="Aptos"/>
          <w:vertAlign w:val="superscript"/>
        </w:rPr>
        <w:footnoteReference w:id="118"/>
      </w:r>
      <w:r w:rsidRPr="0052488A">
        <w:rPr>
          <w:rFonts w:eastAsia="Aptos"/>
        </w:rPr>
        <w:t xml:space="preserve"> The NCEP acknowledges that WHS regulators may be a lead or support agency where investigations are conducted in conjunction with other relevant agencies or regulators, but the NCEP does not provide any detail on how this may be determined or managed.</w:t>
      </w:r>
      <w:r w:rsidRPr="0052488A">
        <w:rPr>
          <w:rFonts w:eastAsia="Aptos"/>
          <w:vertAlign w:val="superscript"/>
        </w:rPr>
        <w:footnoteReference w:id="119"/>
      </w:r>
      <w:r w:rsidRPr="0052488A">
        <w:rPr>
          <w:rFonts w:eastAsia="Aptos"/>
        </w:rPr>
        <w:t xml:space="preserve"> Similarly, the NCEP notes that WHS regulators may share information and intelligence with each other but does not set out details in relation to the approach to co-regulated workplaces.</w:t>
      </w:r>
      <w:r w:rsidRPr="0052488A">
        <w:rPr>
          <w:rFonts w:eastAsia="Aptos"/>
          <w:vertAlign w:val="superscript"/>
        </w:rPr>
        <w:footnoteReference w:id="120"/>
      </w:r>
      <w:r w:rsidRPr="0052488A">
        <w:rPr>
          <w:rFonts w:eastAsia="Aptos"/>
        </w:rPr>
        <w:t xml:space="preserve"> This can create significant compliance challenges where PCBUs work across geographical borders or need to comply with overlapping safety frameworks.</w:t>
      </w:r>
      <w:r w:rsidRPr="0052488A">
        <w:rPr>
          <w:rFonts w:eastAsia="Aptos"/>
          <w:vertAlign w:val="superscript"/>
        </w:rPr>
        <w:footnoteReference w:id="121"/>
      </w:r>
    </w:p>
    <w:p w14:paraId="31E49480" w14:textId="77777777" w:rsidR="00F21CE3" w:rsidRDefault="0052488A" w:rsidP="004420D1">
      <w:pPr>
        <w:pStyle w:val="Paragraph"/>
        <w:spacing w:after="360"/>
        <w:rPr>
          <w:rFonts w:eastAsia="Aptos"/>
        </w:rPr>
      </w:pPr>
      <w:r w:rsidRPr="0052488A">
        <w:rPr>
          <w:rFonts w:eastAsia="Aptos"/>
        </w:rPr>
        <w:t>There are also challenges where WHS regulators and other enforcement bodies need to determine which one is best placed to respond to matters that may fall jointly within their remit.</w:t>
      </w:r>
    </w:p>
    <w:p w14:paraId="11B8FB31" w14:textId="4C13E27C" w:rsidR="00382B18" w:rsidRPr="004420D1" w:rsidRDefault="00382B18" w:rsidP="00BF204D">
      <w:pPr>
        <w:pStyle w:val="Boxedshaded"/>
        <w:rPr>
          <w:b/>
          <w:bCs/>
        </w:rPr>
      </w:pPr>
      <w:r w:rsidRPr="004420D1">
        <w:rPr>
          <w:b/>
          <w:bCs/>
        </w:rPr>
        <w:t>What we heard</w:t>
      </w:r>
    </w:p>
    <w:p w14:paraId="1052BB29" w14:textId="77777777" w:rsidR="00F21CE3" w:rsidRDefault="00602206" w:rsidP="00BF204D">
      <w:pPr>
        <w:pStyle w:val="Boxedshaded"/>
      </w:pPr>
      <w:r w:rsidRPr="00602206">
        <w:t>WHS regulators reported they currently adopt a case-by-case approach, with broad agreement that matters should be led by the regulator with the most relevant specific legislative mandate and expertise. Most WHS regulators have a triage model or processes to allocate work and refer matters that fit under the remit of another regulator to that regulator.</w:t>
      </w:r>
      <w:r w:rsidRPr="00602206">
        <w:rPr>
          <w:vertAlign w:val="superscript"/>
        </w:rPr>
        <w:footnoteReference w:id="122"/>
      </w:r>
      <w:r w:rsidRPr="00602206">
        <w:t xml:space="preserve"> SafeWork NSW noted challenges in relation to investigating and responding to psychological injury matters arising from sexual assault, violence and aggression, suicide and NDIS</w:t>
      </w:r>
      <w:r w:rsidRPr="00602206">
        <w:noBreakHyphen/>
        <w:t>related matters.</w:t>
      </w:r>
      <w:r w:rsidRPr="00602206">
        <w:rPr>
          <w:vertAlign w:val="superscript"/>
        </w:rPr>
        <w:footnoteReference w:id="123"/>
      </w:r>
      <w:r w:rsidRPr="00602206">
        <w:t xml:space="preserve"> Other challenges to prioritisation and resource allocation were reported to arise from an increase in notifications of matters with a limited connection to work or work activities.</w:t>
      </w:r>
      <w:r w:rsidRPr="00602206">
        <w:rPr>
          <w:vertAlign w:val="superscript"/>
        </w:rPr>
        <w:footnoteReference w:id="124"/>
      </w:r>
      <w:r w:rsidRPr="00602206">
        <w:t xml:space="preserve"> Memorandums of understanding (MOUs) are commonly used to formalise information-sharing arrangements with specialist regulators.</w:t>
      </w:r>
      <w:r w:rsidRPr="00602206">
        <w:rPr>
          <w:vertAlign w:val="superscript"/>
        </w:rPr>
        <w:footnoteReference w:id="125"/>
      </w:r>
      <w:r w:rsidRPr="00602206">
        <w:t xml:space="preserve"> For example, the</w:t>
      </w:r>
      <w:r w:rsidRPr="00602206" w:rsidDel="00065B76">
        <w:t xml:space="preserve"> </w:t>
      </w:r>
      <w:r w:rsidRPr="00602206">
        <w:t>Australian Maritime Safety Authority signed a single MOU with all state and territory WHS regulators (except Comcare) in 2024 to provide guidance on the role of each party in responding to maritime workplace incidents.</w:t>
      </w:r>
      <w:r w:rsidRPr="00602206">
        <w:rPr>
          <w:vertAlign w:val="superscript"/>
        </w:rPr>
        <w:footnoteReference w:id="126"/>
      </w:r>
      <w:r w:rsidRPr="00602206">
        <w:t xml:space="preserve"> The NHVR is also currently developing an MOU to formalise a cooperative working relationship and information sharing on cross-jurisdictional matters.</w:t>
      </w:r>
      <w:r w:rsidRPr="00602206">
        <w:rPr>
          <w:vertAlign w:val="superscript"/>
        </w:rPr>
        <w:footnoteReference w:id="127"/>
      </w:r>
      <w:r w:rsidRPr="00602206">
        <w:t xml:space="preserve"> While WHS regulators generally supported MOUs, they noted they were only effective when they were targeted and flexible and supported information sharing; and that drafting them could be administratively burdensome given the need to ensure they do not create requirements contradicting each agency’s legislation.</w:t>
      </w:r>
      <w:r w:rsidRPr="00602206">
        <w:rPr>
          <w:vertAlign w:val="superscript"/>
        </w:rPr>
        <w:footnoteReference w:id="128"/>
      </w:r>
    </w:p>
    <w:p w14:paraId="256F71F9" w14:textId="2921CA18" w:rsidR="004420D1" w:rsidRDefault="004420D1" w:rsidP="004420D1">
      <w:pPr>
        <w:pStyle w:val="Paragraph"/>
      </w:pPr>
      <w:r>
        <w:br w:type="page"/>
      </w:r>
    </w:p>
    <w:p w14:paraId="3F741474" w14:textId="77777777" w:rsidR="00602206" w:rsidRPr="00602206" w:rsidRDefault="00602206" w:rsidP="00BF204D">
      <w:pPr>
        <w:pStyle w:val="Boxedshaded"/>
      </w:pPr>
      <w:r w:rsidRPr="00602206">
        <w:lastRenderedPageBreak/>
        <w:t>The division of roles and responsibilities among WHS and other enforcement bodies is not always well understood by duty holders. The MCA said that, even with MOUs, the roles of resources regulators and WHS regulators were not clear in multi-hazard incidents.</w:t>
      </w:r>
      <w:r w:rsidRPr="00602206">
        <w:rPr>
          <w:vertAlign w:val="superscript"/>
        </w:rPr>
        <w:footnoteReference w:id="129"/>
      </w:r>
      <w:r w:rsidRPr="00602206">
        <w:t xml:space="preserve"> The Flight Attendants’ Association of Australia noted that in the aviation industry there are differing views about the application of the model WHS Act to aviation operations, which has led to regulatory gaps arising from the division of safety oversight between the Civil Aviation Safety Authority, Australian Transport Safety Bureau and WHS regulators, particularly when incidents occur in flight.</w:t>
      </w:r>
      <w:r w:rsidRPr="00602206">
        <w:rPr>
          <w:vertAlign w:val="superscript"/>
        </w:rPr>
        <w:footnoteReference w:id="130"/>
      </w:r>
      <w:r w:rsidRPr="00602206">
        <w:t xml:space="preserve"> Families affected by workplace fatalities also provided examples of what they considered to be </w:t>
      </w:r>
      <w:r w:rsidRPr="00E75F34">
        <w:t>inadequate coordination between WHS regulators and other enforcement bodies, which can</w:t>
      </w:r>
      <w:r w:rsidRPr="00602206">
        <w:t xml:space="preserve"> lead to adverse impacts on fatality investigations.</w:t>
      </w:r>
      <w:r w:rsidRPr="00602206">
        <w:rPr>
          <w:vertAlign w:val="superscript"/>
        </w:rPr>
        <w:footnoteReference w:id="131"/>
      </w:r>
    </w:p>
    <w:p w14:paraId="283DCB38" w14:textId="25644A56" w:rsidR="00F21CE3" w:rsidRDefault="00602206" w:rsidP="00BF204D">
      <w:pPr>
        <w:pStyle w:val="Boxedshaded"/>
      </w:pPr>
      <w:r w:rsidRPr="00602206">
        <w:t>Government, industry and WHS professionals supported a model of interagency cooperation that could variously enable the activation of different ‘levers’ among regulators, improve information</w:t>
      </w:r>
      <w:r w:rsidR="00F35D76">
        <w:noBreakHyphen/>
      </w:r>
      <w:r w:rsidRPr="00602206">
        <w:t>sharing arrangements, and facilitate a joint education strategy to deliver unified guidance.</w:t>
      </w:r>
      <w:r w:rsidRPr="00602206">
        <w:rPr>
          <w:vertAlign w:val="superscript"/>
        </w:rPr>
        <w:footnoteReference w:id="132"/>
      </w:r>
    </w:p>
    <w:p w14:paraId="144C8CA5" w14:textId="50E2CF76" w:rsidR="00193D5D" w:rsidRPr="00193D5D" w:rsidRDefault="00193D5D" w:rsidP="004420D1">
      <w:pPr>
        <w:pStyle w:val="SWAHeading4"/>
      </w:pPr>
      <w:r w:rsidRPr="00193D5D">
        <w:t>Discussion and recommendations</w:t>
      </w:r>
    </w:p>
    <w:p w14:paraId="254A0B88" w14:textId="77777777" w:rsidR="00F21CE3" w:rsidRDefault="00193D5D" w:rsidP="00193D5D">
      <w:pPr>
        <w:pStyle w:val="Paragraph"/>
      </w:pPr>
      <w:r w:rsidRPr="00193D5D">
        <w:t>Current arrangements between multi-jurisdictional regulators appear to be compromising the delivery of consistent safety outcomes and the provision of clear, accessible information for duty holders. This Review encourages greater coordination and cooperation between WHS and other safety regulators.</w:t>
      </w:r>
    </w:p>
    <w:p w14:paraId="766E85D9" w14:textId="30075B65" w:rsidR="00F21CE3" w:rsidRDefault="00193D5D" w:rsidP="00193D5D">
      <w:pPr>
        <w:pStyle w:val="Paragraph"/>
      </w:pPr>
      <w:r w:rsidRPr="00193D5D">
        <w:t>From the feedback to this Review, greater clarity is needed about each regulator’s respective remit, roles and responsibilities where the WHS laws intersect with other safety or regulatory regimes.</w:t>
      </w:r>
      <w:r w:rsidRPr="00193D5D">
        <w:rPr>
          <w:vertAlign w:val="superscript"/>
        </w:rPr>
        <w:footnoteReference w:id="133"/>
      </w:r>
    </w:p>
    <w:p w14:paraId="092DCCF9" w14:textId="77777777" w:rsidR="00F21CE3" w:rsidRDefault="00193D5D" w:rsidP="00193D5D">
      <w:pPr>
        <w:pStyle w:val="Paragraph"/>
      </w:pPr>
      <w:r w:rsidRPr="00193D5D">
        <w:t>This Review recommends that a summary of these arrangements be included in the new NCEP so they are visible and accessible to regulators, duty holders, health and safety representatives and others who assist with and/or have an interest in ensuring WHS laws are complied with.</w:t>
      </w:r>
      <w:r w:rsidRPr="00193D5D">
        <w:rPr>
          <w:vertAlign w:val="superscript"/>
        </w:rPr>
        <w:footnoteReference w:id="134"/>
      </w:r>
      <w:r w:rsidRPr="00193D5D">
        <w:t xml:space="preserve"> In this context, this Review notes that the Heads of Workplace Safety Authorities (HWSA) has begun moving away from reliance on formal MOUs and is exploring more flexible and responsive mechanisms for cooperation, including communication protocols and the use of letters of intent.</w:t>
      </w:r>
      <w:r w:rsidRPr="00193D5D">
        <w:rPr>
          <w:vertAlign w:val="superscript"/>
        </w:rPr>
        <w:footnoteReference w:id="135"/>
      </w:r>
      <w:r w:rsidRPr="00193D5D">
        <w:t xml:space="preserve"> These approaches have the potential to better support clarity and coordination in practice and to work on a bilateral level within each jurisdiction.</w:t>
      </w:r>
    </w:p>
    <w:p w14:paraId="335FAB30" w14:textId="2A7769B2" w:rsidR="00193D5D" w:rsidRPr="00193D5D" w:rsidRDefault="00193D5D" w:rsidP="00193D5D">
      <w:pPr>
        <w:pStyle w:val="Paragraph"/>
      </w:pPr>
      <w:r w:rsidRPr="00193D5D">
        <w:t>The issues arising from this chapter of the report will be provided to the new SIG</w:t>
      </w:r>
      <w:r w:rsidR="00800816" w:rsidRPr="00800816">
        <w:t>-</w:t>
      </w:r>
      <w:r w:rsidRPr="00193D5D">
        <w:t>Compliance and Enforcement for their consideration.</w:t>
      </w:r>
    </w:p>
    <w:p w14:paraId="7360A8FA" w14:textId="2B7743BD" w:rsidR="009971F7" w:rsidRDefault="009971F7" w:rsidP="009971F7">
      <w:pPr>
        <w:pStyle w:val="Paragraph"/>
        <w:sectPr w:rsidR="009971F7" w:rsidSect="00DF1707">
          <w:headerReference w:type="default" r:id="rId31"/>
          <w:headerReference w:type="first" r:id="rId32"/>
          <w:footerReference w:type="first" r:id="rId33"/>
          <w:pgSz w:w="11906" w:h="16838" w:code="9"/>
          <w:pgMar w:top="1440" w:right="1080" w:bottom="1440" w:left="1080" w:header="709" w:footer="709" w:gutter="0"/>
          <w:cols w:space="708"/>
          <w:titlePg/>
          <w:docGrid w:linePitch="360"/>
        </w:sectPr>
      </w:pPr>
    </w:p>
    <w:p w14:paraId="2D15FA64" w14:textId="28F1C5A2" w:rsidR="00982FB6" w:rsidRDefault="00B94FBA" w:rsidP="007A1116">
      <w:pPr>
        <w:pStyle w:val="SWAHeading1"/>
      </w:pPr>
      <w:bookmarkStart w:id="29" w:name="_Toc234853673"/>
      <w:bookmarkStart w:id="30" w:name="_Toc236326804"/>
      <w:bookmarkStart w:id="31" w:name="_Toc239845146"/>
      <w:r w:rsidRPr="000F1DE6">
        <w:rPr>
          <w:rFonts w:asciiTheme="minorHAnsi" w:hAnsiTheme="minorHAnsi"/>
        </w:rPr>
        <w:lastRenderedPageBreak/>
        <w:t>The duties framework</w:t>
      </w:r>
      <w:bookmarkEnd w:id="29"/>
      <w:bookmarkEnd w:id="30"/>
      <w:bookmarkEnd w:id="31"/>
    </w:p>
    <w:p w14:paraId="7A77AF5F" w14:textId="108507C9" w:rsidR="009971F7" w:rsidRPr="004420D1" w:rsidRDefault="009971F7" w:rsidP="00BF204D">
      <w:pPr>
        <w:pStyle w:val="Boxedshaded"/>
        <w:rPr>
          <w:b/>
          <w:bCs/>
        </w:rPr>
      </w:pPr>
      <w:r w:rsidRPr="004420D1">
        <w:rPr>
          <w:b/>
          <w:bCs/>
        </w:rPr>
        <w:t>Terms of Reference:</w:t>
      </w:r>
    </w:p>
    <w:p w14:paraId="5C8FD7BB" w14:textId="2F0C49D8" w:rsidR="009971F7" w:rsidRDefault="009971F7" w:rsidP="00BF204D">
      <w:pPr>
        <w:pStyle w:val="Boxedshaded"/>
      </w:pPr>
      <w:r>
        <w:t>2.1, 2.2, 2.3, 2.</w:t>
      </w:r>
      <w:r w:rsidR="00D648A5" w:rsidRPr="000F1DE6">
        <w:rPr>
          <w:rFonts w:eastAsia="Arial"/>
        </w:rPr>
        <w:t>5</w:t>
      </w:r>
      <w:r>
        <w:t>, 2.6</w:t>
      </w:r>
      <w:r w:rsidR="00D648A5" w:rsidRPr="000F1DE6">
        <w:rPr>
          <w:rFonts w:eastAsia="Arial"/>
        </w:rPr>
        <w:t>, 3.1, 3.2, 3.3</w:t>
      </w:r>
    </w:p>
    <w:p w14:paraId="15540378" w14:textId="7B78054D" w:rsidR="009971F7" w:rsidRPr="004420D1" w:rsidRDefault="009971F7" w:rsidP="00BF204D">
      <w:pPr>
        <w:pStyle w:val="Boxedshaded"/>
        <w:rPr>
          <w:b/>
          <w:bCs/>
        </w:rPr>
      </w:pPr>
      <w:r w:rsidRPr="004420D1">
        <w:rPr>
          <w:b/>
          <w:bCs/>
        </w:rPr>
        <w:t xml:space="preserve">Reviews considered </w:t>
      </w:r>
      <w:r w:rsidR="00D648A5" w:rsidRPr="004420D1">
        <w:rPr>
          <w:b/>
          <w:bCs/>
        </w:rPr>
        <w:t>for</w:t>
      </w:r>
      <w:r w:rsidRPr="004420D1">
        <w:rPr>
          <w:b/>
          <w:bCs/>
        </w:rPr>
        <w:t xml:space="preserve"> this chapter:</w:t>
      </w:r>
    </w:p>
    <w:p w14:paraId="051C15B3" w14:textId="29F1FDB2" w:rsidR="00E7193B" w:rsidRPr="000F1DE6" w:rsidRDefault="00E7193B" w:rsidP="00BF204D">
      <w:pPr>
        <w:pStyle w:val="Boxedshadedbullets"/>
      </w:pPr>
      <w:r w:rsidRPr="000F1DE6">
        <w:t xml:space="preserve">2008 </w:t>
      </w:r>
      <w:r w:rsidRPr="004420D1">
        <w:rPr>
          <w:i/>
          <w:iCs/>
        </w:rPr>
        <w:t>National Review into Model Occupational Health and Safety Laws</w:t>
      </w:r>
      <w:r w:rsidR="00C16287">
        <w:t xml:space="preserve"> (</w:t>
      </w:r>
      <w:r w:rsidR="00C16287" w:rsidRPr="00BC3798">
        <w:rPr>
          <w:i/>
          <w:iCs/>
        </w:rPr>
        <w:t>2008 National Review</w:t>
      </w:r>
      <w:r w:rsidR="00C16287">
        <w:t>)</w:t>
      </w:r>
    </w:p>
    <w:p w14:paraId="21792ACD" w14:textId="77777777" w:rsidR="00E7193B" w:rsidRPr="000F1DE6" w:rsidRDefault="00E7193B" w:rsidP="00BF204D">
      <w:pPr>
        <w:pStyle w:val="Boxedshadedbullets"/>
      </w:pPr>
      <w:r w:rsidRPr="000F1DE6">
        <w:t xml:space="preserve">2017 </w:t>
      </w:r>
      <w:r w:rsidRPr="004420D1">
        <w:rPr>
          <w:i/>
          <w:iCs/>
        </w:rPr>
        <w:t>Best Practice Review of Workplace Health and Safety Queensland</w:t>
      </w:r>
    </w:p>
    <w:p w14:paraId="406BCBD8" w14:textId="007984BA" w:rsidR="00E7193B" w:rsidRPr="000F1DE6" w:rsidRDefault="00E7193B" w:rsidP="00BF204D">
      <w:pPr>
        <w:pStyle w:val="Boxedshadedbullets"/>
      </w:pPr>
      <w:r w:rsidRPr="000F1DE6">
        <w:t xml:space="preserve">2017 </w:t>
      </w:r>
      <w:r w:rsidRPr="004420D1">
        <w:rPr>
          <w:i/>
          <w:iCs/>
        </w:rPr>
        <w:t>Modernising work health and safety laws in Western Australia</w:t>
      </w:r>
    </w:p>
    <w:p w14:paraId="0278015A" w14:textId="54A59808" w:rsidR="00E7193B" w:rsidRPr="00C16287" w:rsidRDefault="00E7193B" w:rsidP="00BF204D">
      <w:pPr>
        <w:pStyle w:val="Boxedshadedbullets"/>
      </w:pPr>
      <w:r w:rsidRPr="00C16287" w:rsidDel="00D02502">
        <w:t xml:space="preserve">2018 </w:t>
      </w:r>
      <w:r w:rsidRPr="00C16287" w:rsidDel="00D02502">
        <w:rPr>
          <w:i/>
          <w:iCs/>
        </w:rPr>
        <w:t xml:space="preserve">Review of the </w:t>
      </w:r>
      <w:r w:rsidRPr="00C16287">
        <w:rPr>
          <w:i/>
          <w:iCs/>
        </w:rPr>
        <w:t>m</w:t>
      </w:r>
      <w:r w:rsidRPr="00C16287" w:rsidDel="00D02502">
        <w:rPr>
          <w:i/>
          <w:iCs/>
        </w:rPr>
        <w:t xml:space="preserve">odel </w:t>
      </w:r>
      <w:r w:rsidRPr="00C16287">
        <w:rPr>
          <w:i/>
          <w:iCs/>
        </w:rPr>
        <w:t>Work Health and Safety laws</w:t>
      </w:r>
      <w:r w:rsidRPr="00C16287">
        <w:t xml:space="preserve"> </w:t>
      </w:r>
      <w:r w:rsidR="00D2611C" w:rsidRPr="00695C1C">
        <w:t>(</w:t>
      </w:r>
      <w:r w:rsidR="00D2611C" w:rsidRPr="00BC3798">
        <w:rPr>
          <w:i/>
          <w:iCs/>
        </w:rPr>
        <w:t>2018 National Review</w:t>
      </w:r>
      <w:r w:rsidR="00D2611C" w:rsidRPr="00695C1C">
        <w:t>)</w:t>
      </w:r>
    </w:p>
    <w:p w14:paraId="06BFE6B8" w14:textId="77777777" w:rsidR="00F21CE3" w:rsidRDefault="00E7193B" w:rsidP="00BF204D">
      <w:pPr>
        <w:pStyle w:val="Boxedshadedbullets"/>
      </w:pPr>
      <w:r w:rsidRPr="000F1DE6">
        <w:t xml:space="preserve">2020 </w:t>
      </w:r>
      <w:r w:rsidRPr="004420D1">
        <w:rPr>
          <w:i/>
          <w:iCs/>
        </w:rPr>
        <w:t>Respect@Work: National Inquiry into Sexual Harassment in Australian Workplaces</w:t>
      </w:r>
    </w:p>
    <w:p w14:paraId="1F677A41" w14:textId="23441AAB" w:rsidR="00E7193B" w:rsidRPr="000F1DE6" w:rsidRDefault="00E7193B" w:rsidP="00BF204D">
      <w:pPr>
        <w:pStyle w:val="Boxedshadedbullets"/>
      </w:pPr>
      <w:r w:rsidRPr="000F1DE6">
        <w:t xml:space="preserve">2022 </w:t>
      </w:r>
      <w:r w:rsidRPr="004420D1">
        <w:rPr>
          <w:i/>
          <w:iCs/>
        </w:rPr>
        <w:t>Review of the Work Health and Safety Act 2011</w:t>
      </w:r>
      <w:r>
        <w:t xml:space="preserve"> (Queensland) (</w:t>
      </w:r>
      <w:r w:rsidRPr="00FD6AAD">
        <w:rPr>
          <w:i/>
          <w:iCs/>
        </w:rPr>
        <w:t>2022 Queensland Review</w:t>
      </w:r>
      <w:r>
        <w:t>)</w:t>
      </w:r>
    </w:p>
    <w:p w14:paraId="5FC9DA51" w14:textId="75C41E48" w:rsidR="00E7193B" w:rsidRPr="000F1DE6" w:rsidRDefault="00E7193B" w:rsidP="00BF204D">
      <w:pPr>
        <w:pStyle w:val="Boxedshadedbullets"/>
      </w:pPr>
      <w:r w:rsidRPr="000F1DE6">
        <w:t xml:space="preserve">2022 </w:t>
      </w:r>
      <w:r w:rsidRPr="004420D1">
        <w:rPr>
          <w:i/>
          <w:iCs/>
        </w:rPr>
        <w:t>Independent Review of SafeWork SA</w:t>
      </w:r>
    </w:p>
    <w:p w14:paraId="5DC932EF" w14:textId="77777777" w:rsidR="00E7193B" w:rsidRPr="000F1DE6" w:rsidRDefault="00E7193B" w:rsidP="00BF204D">
      <w:pPr>
        <w:pStyle w:val="Boxedshadedbullets"/>
      </w:pPr>
      <w:r w:rsidRPr="000F1DE6">
        <w:t xml:space="preserve">2023 </w:t>
      </w:r>
      <w:r w:rsidRPr="004420D1">
        <w:rPr>
          <w:i/>
          <w:iCs/>
        </w:rPr>
        <w:t>Independent Review of SafeWork NSW</w:t>
      </w:r>
    </w:p>
    <w:p w14:paraId="516B70BA" w14:textId="77777777" w:rsidR="00F21CE3" w:rsidRDefault="00E7193B" w:rsidP="00BF204D">
      <w:pPr>
        <w:pStyle w:val="Boxedshadedbullets"/>
      </w:pPr>
      <w:r w:rsidRPr="000F1DE6">
        <w:t xml:space="preserve">2023 </w:t>
      </w:r>
      <w:r w:rsidRPr="004420D1">
        <w:rPr>
          <w:i/>
          <w:iCs/>
        </w:rPr>
        <w:t>Report of the Royal Commission into Violence, Abuse, Neglect and Exploitation of People with Disability</w:t>
      </w:r>
    </w:p>
    <w:p w14:paraId="33E621E8" w14:textId="4AB9B542" w:rsidR="00E7193B" w:rsidRPr="004420D1" w:rsidRDefault="00E7193B" w:rsidP="00BF204D">
      <w:pPr>
        <w:pStyle w:val="Boxedshadedbullets"/>
        <w:rPr>
          <w:rFonts w:eastAsia="Arial"/>
          <w:i/>
          <w:iCs/>
        </w:rPr>
      </w:pPr>
      <w:r w:rsidRPr="000F1DE6">
        <w:t xml:space="preserve">2024 </w:t>
      </w:r>
      <w:r w:rsidRPr="004420D1">
        <w:rPr>
          <w:i/>
          <w:iCs/>
        </w:rPr>
        <w:t xml:space="preserve">Formal </w:t>
      </w:r>
      <w:r w:rsidRPr="004420D1">
        <w:rPr>
          <w:rFonts w:eastAsia="Arial"/>
          <w:i/>
          <w:iCs/>
        </w:rPr>
        <w:t>Review</w:t>
      </w:r>
      <w:r w:rsidRPr="004420D1">
        <w:rPr>
          <w:i/>
          <w:iCs/>
        </w:rPr>
        <w:t xml:space="preserve"> into Victorian Government Bodies’ Engagement with Construction Companies and Construction Unions</w:t>
      </w:r>
    </w:p>
    <w:p w14:paraId="247F579D" w14:textId="01098084" w:rsidR="009971F7" w:rsidRDefault="00E7193B" w:rsidP="00BF204D">
      <w:pPr>
        <w:pStyle w:val="Boxedshadedbullets"/>
      </w:pPr>
      <w:r w:rsidRPr="00E7193B">
        <w:rPr>
          <w:rFonts w:eastAsia="Arial"/>
        </w:rPr>
        <w:t xml:space="preserve">2025 </w:t>
      </w:r>
      <w:r w:rsidRPr="004420D1">
        <w:rPr>
          <w:rFonts w:eastAsia="Arial"/>
          <w:i/>
          <w:iCs/>
        </w:rPr>
        <w:t>Independent</w:t>
      </w:r>
      <w:r w:rsidRPr="004420D1">
        <w:rPr>
          <w:i/>
          <w:iCs/>
        </w:rPr>
        <w:t xml:space="preserve"> Review of Employee Representatives – </w:t>
      </w:r>
      <w:r w:rsidR="00FD6AAD">
        <w:rPr>
          <w:i/>
          <w:iCs/>
        </w:rPr>
        <w:t>I</w:t>
      </w:r>
      <w:r w:rsidRPr="004420D1">
        <w:rPr>
          <w:i/>
          <w:iCs/>
        </w:rPr>
        <w:t xml:space="preserve">nterim </w:t>
      </w:r>
      <w:r w:rsidR="00C16287">
        <w:rPr>
          <w:i/>
          <w:iCs/>
        </w:rPr>
        <w:t>r</w:t>
      </w:r>
      <w:r w:rsidRPr="004420D1">
        <w:rPr>
          <w:i/>
          <w:iCs/>
        </w:rPr>
        <w:t>eport</w:t>
      </w:r>
      <w:r w:rsidRPr="000F1DE6">
        <w:t xml:space="preserve"> (</w:t>
      </w:r>
      <w:r w:rsidRPr="00FD6AAD">
        <w:rPr>
          <w:i/>
          <w:iCs/>
        </w:rPr>
        <w:t>Victorian Review Interim Report</w:t>
      </w:r>
      <w:r w:rsidRPr="000F1DE6">
        <w:t>)</w:t>
      </w:r>
      <w:r>
        <w:t>.</w:t>
      </w:r>
    </w:p>
    <w:p w14:paraId="04CF0E2B" w14:textId="63D4631A" w:rsidR="00A00390" w:rsidRDefault="00A00390" w:rsidP="00A00390">
      <w:pPr>
        <w:pStyle w:val="SWAHeading3"/>
      </w:pPr>
      <w:r>
        <w:t>Introduction</w:t>
      </w:r>
    </w:p>
    <w:p w14:paraId="1AE6E54D" w14:textId="12BF2510" w:rsidR="00A00390" w:rsidRDefault="004E75E2" w:rsidP="00A00390">
      <w:pPr>
        <w:pStyle w:val="Paragraph"/>
        <w:rPr>
          <w:lang w:eastAsia="en-US"/>
        </w:rPr>
      </w:pPr>
      <w:r w:rsidRPr="000F1DE6">
        <w:t xml:space="preserve">This </w:t>
      </w:r>
      <w:r>
        <w:t>c</w:t>
      </w:r>
      <w:r w:rsidRPr="000F1DE6">
        <w:t>hapter examines the WHS duties framework in the model WHS Act, including the principles that apply to these duties. It also considers options to increase capacity and knowledge of businesses and employers who owe duties under the model WHS Act and the workers who are owed them.</w:t>
      </w:r>
    </w:p>
    <w:p w14:paraId="6FAA9F1A" w14:textId="1EA5D859" w:rsidR="00A00390" w:rsidRDefault="00A00390" w:rsidP="00A00390">
      <w:pPr>
        <w:pStyle w:val="SWAHeading3"/>
      </w:pPr>
      <w:r>
        <w:t>Criteria for assessing variations</w:t>
      </w:r>
    </w:p>
    <w:p w14:paraId="14B908B5" w14:textId="77777777" w:rsidR="00F21CE3" w:rsidRDefault="00CA50FE" w:rsidP="00CA50FE">
      <w:pPr>
        <w:pStyle w:val="Paragraph"/>
      </w:pPr>
      <w:r w:rsidRPr="000F1DE6">
        <w:t>Consistent with its Terms of Reference, this Review has:</w:t>
      </w:r>
    </w:p>
    <w:p w14:paraId="1D047A8A" w14:textId="05291937" w:rsidR="00CA50FE" w:rsidRPr="00C40481" w:rsidRDefault="00CA50FE" w:rsidP="00E75F34">
      <w:pPr>
        <w:pStyle w:val="ListBullet"/>
      </w:pPr>
      <w:r w:rsidRPr="00C40481">
        <w:rPr>
          <w:rFonts w:eastAsia="Times New Roman"/>
          <w:lang w:eastAsia="en-AU"/>
        </w:rPr>
        <w:t>assessed</w:t>
      </w:r>
      <w:r w:rsidRPr="00C40481">
        <w:t xml:space="preserve"> jurisdictional variations that significantly depart from the model WHS Act</w:t>
      </w:r>
    </w:p>
    <w:p w14:paraId="4FDDC298" w14:textId="77777777" w:rsidR="00CA50FE" w:rsidRPr="00C40481" w:rsidRDefault="00CA50FE" w:rsidP="006E249A">
      <w:pPr>
        <w:pStyle w:val="ListBullet"/>
      </w:pPr>
      <w:r w:rsidRPr="00C40481">
        <w:t xml:space="preserve">considered if </w:t>
      </w:r>
      <w:r w:rsidRPr="00C40481">
        <w:rPr>
          <w:rFonts w:eastAsia="Times New Roman"/>
          <w:lang w:eastAsia="en-AU"/>
        </w:rPr>
        <w:t>these</w:t>
      </w:r>
      <w:r w:rsidRPr="00C40481">
        <w:t xml:space="preserve"> best achieve the object of the Act</w:t>
      </w:r>
    </w:p>
    <w:p w14:paraId="2DDD28C4" w14:textId="44753228" w:rsidR="004420D1" w:rsidRDefault="00CA50FE" w:rsidP="006E249A">
      <w:pPr>
        <w:pStyle w:val="ListBullet"/>
      </w:pPr>
      <w:r w:rsidRPr="00C40481">
        <w:t xml:space="preserve">made </w:t>
      </w:r>
      <w:r w:rsidRPr="00C40481">
        <w:rPr>
          <w:rFonts w:eastAsia="Times New Roman"/>
          <w:lang w:eastAsia="en-AU"/>
        </w:rPr>
        <w:t>recommendations</w:t>
      </w:r>
      <w:r w:rsidRPr="00C40481">
        <w:t xml:space="preserve"> on whether they should be incorporated into the model WHS Act.</w:t>
      </w:r>
    </w:p>
    <w:p w14:paraId="5F1203CB" w14:textId="77777777" w:rsidR="004420D1" w:rsidRDefault="004420D1">
      <w:pPr>
        <w:spacing w:after="200" w:line="276" w:lineRule="auto"/>
        <w:contextualSpacing w:val="0"/>
        <w:rPr>
          <w:rFonts w:asciiTheme="minorHAnsi" w:eastAsia="Arial" w:hAnsiTheme="minorHAnsi"/>
        </w:rPr>
      </w:pPr>
      <w:r>
        <w:br w:type="page"/>
      </w:r>
    </w:p>
    <w:p w14:paraId="5C405E27" w14:textId="17788F7C" w:rsidR="00A00390" w:rsidRPr="0015164B" w:rsidRDefault="002122C9" w:rsidP="0015164B">
      <w:pPr>
        <w:pStyle w:val="SWAHeading2"/>
        <w:spacing w:line="240" w:lineRule="auto"/>
        <w:rPr>
          <w:rFonts w:asciiTheme="minorHAnsi" w:hAnsiTheme="minorHAnsi"/>
        </w:rPr>
      </w:pPr>
      <w:bookmarkStart w:id="32" w:name="_Toc239845147"/>
      <w:r w:rsidRPr="000F1DE6">
        <w:rPr>
          <w:rFonts w:asciiTheme="minorHAnsi" w:hAnsiTheme="minorHAnsi"/>
        </w:rPr>
        <w:lastRenderedPageBreak/>
        <w:t>Health and safety duties (Part 2</w:t>
      </w:r>
      <w:r w:rsidRPr="009B6018">
        <w:rPr>
          <w:rFonts w:asciiTheme="minorHAnsi" w:hAnsiTheme="minorHAnsi"/>
        </w:rPr>
        <w:t>, ss 13–</w:t>
      </w:r>
      <w:r w:rsidRPr="000F1DE6">
        <w:rPr>
          <w:rFonts w:asciiTheme="minorHAnsi" w:hAnsiTheme="minorHAnsi"/>
        </w:rPr>
        <w:t>34, model WHS</w:t>
      </w:r>
      <w:r w:rsidR="0042476A">
        <w:rPr>
          <w:rFonts w:asciiTheme="minorHAnsi" w:hAnsiTheme="minorHAnsi"/>
        </w:rPr>
        <w:t xml:space="preserve"> </w:t>
      </w:r>
      <w:r w:rsidRPr="000F1DE6">
        <w:rPr>
          <w:rFonts w:asciiTheme="minorHAnsi" w:hAnsiTheme="minorHAnsi"/>
        </w:rPr>
        <w:t>Act)</w:t>
      </w:r>
      <w:bookmarkEnd w:id="32"/>
    </w:p>
    <w:p w14:paraId="23BA392F" w14:textId="1C542F1E" w:rsidR="00A00390" w:rsidRDefault="00F45C8D" w:rsidP="00A00390">
      <w:pPr>
        <w:pStyle w:val="SWAHeading3"/>
      </w:pPr>
      <w:r w:rsidRPr="000F1DE6">
        <w:t>Principles that apply to duties (ss 13–17, model WHS Act)</w:t>
      </w:r>
    </w:p>
    <w:p w14:paraId="1BB53651" w14:textId="01CE7D85" w:rsidR="003A249F" w:rsidRPr="003A249F" w:rsidRDefault="003A249F" w:rsidP="00AF5E17">
      <w:pPr>
        <w:pStyle w:val="Paragraph"/>
      </w:pPr>
      <w:r w:rsidRPr="003A249F">
        <w:t xml:space="preserve">The principles that apply to WHS duties make it clear </w:t>
      </w:r>
      <w:r w:rsidRPr="00775093">
        <w:t>that these duties are non-transferable</w:t>
      </w:r>
      <w:r w:rsidR="00D2611C" w:rsidRPr="00775093">
        <w:t xml:space="preserve"> and </w:t>
      </w:r>
      <w:r w:rsidRPr="00775093">
        <w:t>can be</w:t>
      </w:r>
      <w:r w:rsidRPr="003A249F">
        <w:t xml:space="preserve"> shared, that a person can have more than one duty, and that duties may be held concurrently by multiple parties.</w:t>
      </w:r>
    </w:p>
    <w:p w14:paraId="3B6A6875" w14:textId="77777777" w:rsidR="00F21CE3" w:rsidRDefault="00CC2AA2" w:rsidP="00AF5E17">
      <w:pPr>
        <w:pStyle w:val="Paragraph"/>
      </w:pPr>
      <w:r w:rsidRPr="003A249F">
        <w:t>Consultation revealed that in complex contracting and investment chains it can be difficult to understand how these principles apply in practice.</w:t>
      </w:r>
      <w:r w:rsidRPr="003A249F" w:rsidDel="00CE189E">
        <w:rPr>
          <w:vertAlign w:val="superscript"/>
        </w:rPr>
        <w:footnoteReference w:id="136"/>
      </w:r>
    </w:p>
    <w:p w14:paraId="44F4E44A" w14:textId="2F7EEA68" w:rsidR="00F21CE3" w:rsidRDefault="00CC2AA2" w:rsidP="00AF5E17">
      <w:pPr>
        <w:pStyle w:val="Paragraph"/>
      </w:pPr>
      <w:r w:rsidRPr="003A249F">
        <w:t xml:space="preserve">The </w:t>
      </w:r>
      <w:r w:rsidRPr="00973523">
        <w:rPr>
          <w:i/>
          <w:iCs/>
        </w:rPr>
        <w:t>2018 National Review</w:t>
      </w:r>
      <w:r w:rsidRPr="003A249F">
        <w:t xml:space="preserve"> recommended that a model Code of Practice be developed to explain how the principles apply, particularly in complex situations; however, guidance was developed instead. This</w:t>
      </w:r>
      <w:r w:rsidRPr="003A249F" w:rsidDel="000B0D7D">
        <w:t xml:space="preserve"> </w:t>
      </w:r>
      <w:r w:rsidRPr="003A249F">
        <w:t xml:space="preserve">Review proposes that an explanation of how the principles apply to complex supply chains and contracting arrangements should be provided in relevant industry model Codes of Practice (as recommended in </w:t>
      </w:r>
      <w:r w:rsidRPr="003A249F">
        <w:rPr>
          <w:b/>
        </w:rPr>
        <w:t>Chapter 5</w:t>
      </w:r>
      <w:r w:rsidRPr="003A249F">
        <w:t>).</w:t>
      </w:r>
    </w:p>
    <w:p w14:paraId="36E1A4D8" w14:textId="7C3629F7" w:rsidR="00CC2AA2" w:rsidRDefault="001D24BE" w:rsidP="00D76EE9">
      <w:pPr>
        <w:pStyle w:val="SWAHeading3"/>
      </w:pPr>
      <w:r w:rsidRPr="000F1DE6">
        <w:t>Management of risks (s 17(2), SA WHS Act)</w:t>
      </w:r>
    </w:p>
    <w:p w14:paraId="0107D581" w14:textId="77777777" w:rsidR="007438F1" w:rsidRPr="004420D1" w:rsidRDefault="00A00390" w:rsidP="00BF204D">
      <w:pPr>
        <w:pStyle w:val="Boxedshaded"/>
        <w:rPr>
          <w:b/>
          <w:bCs/>
        </w:rPr>
      </w:pPr>
      <w:r w:rsidRPr="004420D1">
        <w:rPr>
          <w:b/>
          <w:bCs/>
        </w:rPr>
        <w:t>What we heard</w:t>
      </w:r>
    </w:p>
    <w:p w14:paraId="0793D7BA" w14:textId="6AB8D13E" w:rsidR="00A00390" w:rsidRPr="009971F7" w:rsidRDefault="00542E13" w:rsidP="00BF204D">
      <w:pPr>
        <w:pStyle w:val="Boxedshaded"/>
        <w:rPr>
          <w:b/>
          <w:bCs/>
        </w:rPr>
      </w:pPr>
      <w:r w:rsidRPr="00775093">
        <w:t xml:space="preserve">South Australia </w:t>
      </w:r>
      <w:r w:rsidR="007438F1" w:rsidRPr="00775093">
        <w:rPr>
          <w:lang w:eastAsia="en-AU"/>
        </w:rPr>
        <w:t>(SA) has</w:t>
      </w:r>
      <w:r w:rsidR="007438F1" w:rsidRPr="007438F1">
        <w:rPr>
          <w:lang w:eastAsia="en-AU"/>
        </w:rPr>
        <w:t xml:space="preserve"> varied section 17 of the model WHS Act to require that a PCBU must eliminate or minimise risks so far as is reasonably practicable, but ‘only to the extent to which the PCBU has the capacity to influence or control the matter’.</w:t>
      </w:r>
      <w:r w:rsidR="007438F1" w:rsidRPr="007438F1">
        <w:rPr>
          <w:rFonts w:eastAsia="Arial" w:cs="Times New Roman"/>
          <w:vertAlign w:val="superscript"/>
          <w:lang w:eastAsia="en-AU"/>
        </w:rPr>
        <w:footnoteReference w:id="137"/>
      </w:r>
      <w:r w:rsidR="007438F1" w:rsidRPr="007438F1">
        <w:rPr>
          <w:lang w:eastAsia="en-AU"/>
        </w:rPr>
        <w:t xml:space="preserve"> This Review heard some support for this variation,</w:t>
      </w:r>
      <w:r w:rsidR="007438F1" w:rsidRPr="007438F1">
        <w:rPr>
          <w:vertAlign w:val="superscript"/>
          <w:lang w:eastAsia="en-AU"/>
        </w:rPr>
        <w:footnoteReference w:id="138"/>
      </w:r>
      <w:r w:rsidR="007438F1" w:rsidRPr="007438F1">
        <w:rPr>
          <w:lang w:eastAsia="en-AU"/>
        </w:rPr>
        <w:t xml:space="preserve"> noting that it clarifies how duties apply when multiple PCBUs share WHS duties at a single workplace. However, </w:t>
      </w:r>
      <w:r w:rsidR="007438F1" w:rsidRPr="00775093">
        <w:rPr>
          <w:lang w:eastAsia="en-AU"/>
        </w:rPr>
        <w:t>Western Australia (WA) suggested</w:t>
      </w:r>
      <w:r w:rsidR="007438F1" w:rsidRPr="007438F1">
        <w:rPr>
          <w:lang w:eastAsia="en-AU"/>
        </w:rPr>
        <w:t xml:space="preserve"> that the additional qualifier in section 17 may subvert the requirement under section </w:t>
      </w:r>
      <w:r w:rsidR="007438F1" w:rsidRPr="00775093">
        <w:rPr>
          <w:lang w:eastAsia="en-AU"/>
        </w:rPr>
        <w:t>46 (duty to consult</w:t>
      </w:r>
      <w:r w:rsidR="007438F1" w:rsidRPr="007438F1">
        <w:rPr>
          <w:lang w:eastAsia="en-AU"/>
        </w:rPr>
        <w:t xml:space="preserve"> with other duty holders) and that consideration be given to providing duty holders further guidance on the application of the principles.</w:t>
      </w:r>
      <w:r w:rsidR="007438F1" w:rsidRPr="007438F1">
        <w:rPr>
          <w:vertAlign w:val="superscript"/>
          <w:lang w:eastAsia="en-AU"/>
        </w:rPr>
        <w:footnoteReference w:id="139"/>
      </w:r>
    </w:p>
    <w:p w14:paraId="791CD176" w14:textId="45A6802A" w:rsidR="00A00390" w:rsidRDefault="00A00390" w:rsidP="004420D1">
      <w:pPr>
        <w:pStyle w:val="SWAHeading4"/>
      </w:pPr>
      <w:r>
        <w:t>Discussion and recommendations</w:t>
      </w:r>
    </w:p>
    <w:p w14:paraId="506B7197" w14:textId="77777777" w:rsidR="00530FF5" w:rsidRPr="001C21C5" w:rsidRDefault="00530FF5" w:rsidP="00AF5E17">
      <w:pPr>
        <w:pStyle w:val="Paragraph"/>
      </w:pPr>
      <w:r w:rsidRPr="001C21C5">
        <w:t>This Review has concluded that the SA variation is unnecessary, as the model WHS Act already provides for situations involving multiple duty holders. Section 16 provides that more than one person can have a duty in relation to the same matter. Each person must comply with that duty to the standard required by the Act and must discharge their duty to the extent they have capacity to influence and control the matter (whether that matter is a work activity, workers or the workplace).</w:t>
      </w:r>
      <w:r w:rsidRPr="001C21C5">
        <w:rPr>
          <w:rFonts w:eastAsia="Yu Gothic Light"/>
          <w:vertAlign w:val="superscript"/>
        </w:rPr>
        <w:footnoteReference w:id="140"/>
      </w:r>
      <w:r w:rsidRPr="001C21C5">
        <w:t xml:space="preserve"> Where more than one person has a duty in relation to the same matter, each person must consult, cooperate and coordinate activities with all other persons, so far as is reasonably practicable.</w:t>
      </w:r>
      <w:r w:rsidRPr="001C21C5">
        <w:rPr>
          <w:rFonts w:eastAsia="Yu Gothic Light"/>
          <w:vertAlign w:val="superscript"/>
        </w:rPr>
        <w:footnoteReference w:id="141"/>
      </w:r>
    </w:p>
    <w:p w14:paraId="483C9051" w14:textId="3BA01C6E" w:rsidR="004420D1" w:rsidRDefault="00530FF5" w:rsidP="00AF5E17">
      <w:pPr>
        <w:pStyle w:val="Paragraph"/>
        <w:rPr>
          <w:rFonts w:eastAsia="Arial"/>
        </w:rPr>
      </w:pPr>
      <w:r w:rsidRPr="001C21C5">
        <w:t>However, given some duty holders still experience difficulty in applying these principles in practice,</w:t>
      </w:r>
      <w:r w:rsidRPr="001C21C5">
        <w:rPr>
          <w:rFonts w:eastAsia="Arial"/>
        </w:rPr>
        <w:t xml:space="preserve"> this Review proposes including examples of how ‘influence and control’ may operate across multiple duty holders in industry-based Codes of Practice, as recommended in </w:t>
      </w:r>
      <w:r w:rsidRPr="001C21C5">
        <w:rPr>
          <w:rFonts w:eastAsia="Arial"/>
          <w:b/>
        </w:rPr>
        <w:t>Chapter</w:t>
      </w:r>
      <w:r w:rsidR="009B7094">
        <w:rPr>
          <w:rFonts w:eastAsia="Arial"/>
          <w:b/>
        </w:rPr>
        <w:t> </w:t>
      </w:r>
      <w:r w:rsidRPr="001C21C5">
        <w:rPr>
          <w:rFonts w:eastAsia="Arial"/>
          <w:b/>
        </w:rPr>
        <w:t>5</w:t>
      </w:r>
      <w:r w:rsidRPr="001C21C5">
        <w:rPr>
          <w:rFonts w:eastAsia="Arial"/>
        </w:rPr>
        <w:t>.</w:t>
      </w:r>
    </w:p>
    <w:p w14:paraId="086F8E8B" w14:textId="77777777" w:rsidR="004420D1" w:rsidRDefault="004420D1">
      <w:pPr>
        <w:spacing w:after="200" w:line="276" w:lineRule="auto"/>
        <w:contextualSpacing w:val="0"/>
        <w:rPr>
          <w:rFonts w:asciiTheme="minorHAnsi" w:eastAsia="Arial" w:hAnsiTheme="minorHAnsi"/>
          <w:lang w:eastAsia="en-AU"/>
        </w:rPr>
      </w:pPr>
      <w:r>
        <w:rPr>
          <w:rFonts w:eastAsia="Arial"/>
        </w:rPr>
        <w:br w:type="page"/>
      </w:r>
    </w:p>
    <w:p w14:paraId="2A9146D4" w14:textId="6624B60A" w:rsidR="00A00390" w:rsidRDefault="00EB415A" w:rsidP="00A00390">
      <w:pPr>
        <w:pStyle w:val="SWAHeading3"/>
      </w:pPr>
      <w:r w:rsidRPr="000F1DE6">
        <w:lastRenderedPageBreak/>
        <w:t>Reasonably practicable (s 18, model WHS Act)</w:t>
      </w:r>
    </w:p>
    <w:p w14:paraId="2256F10F" w14:textId="123357DF" w:rsidR="00A00390" w:rsidRDefault="00CD008B" w:rsidP="0016789A">
      <w:pPr>
        <w:pStyle w:val="Paragraph"/>
        <w:spacing w:after="240"/>
        <w:rPr>
          <w:lang w:eastAsia="en-US"/>
        </w:rPr>
      </w:pPr>
      <w:r w:rsidRPr="000F1DE6">
        <w:rPr>
          <w:rFonts w:eastAsia="Arial"/>
        </w:rPr>
        <w:t>In WHS legislation, ‘reasonably practicable’ is the qualifier used to determine what a duty holder is required to do to meet their WHS duties.</w:t>
      </w:r>
      <w:r w:rsidRPr="000F1DE6">
        <w:rPr>
          <w:rFonts w:eastAsia="Arial"/>
          <w:vertAlign w:val="superscript"/>
        </w:rPr>
        <w:footnoteReference w:id="142"/>
      </w:r>
      <w:r w:rsidRPr="000F1DE6">
        <w:rPr>
          <w:rFonts w:eastAsia="Arial"/>
        </w:rPr>
        <w:t xml:space="preserve"> It is defined to mean that which is, or was at a particular time, reasonably able to be done in relation to ensuring health and safety, taking into account and weighing up all relevant matters.</w:t>
      </w:r>
    </w:p>
    <w:p w14:paraId="7C6A9D98" w14:textId="039B2E0F" w:rsidR="00A00390" w:rsidRPr="004420D1" w:rsidRDefault="00A00390" w:rsidP="00BF204D">
      <w:pPr>
        <w:pStyle w:val="Boxedshaded"/>
        <w:rPr>
          <w:b/>
          <w:bCs/>
        </w:rPr>
      </w:pPr>
      <w:r w:rsidRPr="004420D1">
        <w:rPr>
          <w:b/>
          <w:bCs/>
        </w:rPr>
        <w:t>What we heard</w:t>
      </w:r>
    </w:p>
    <w:p w14:paraId="0A5E1E2E" w14:textId="77777777" w:rsidR="00F21CE3" w:rsidRDefault="00D6064F" w:rsidP="00BF204D">
      <w:pPr>
        <w:pStyle w:val="Boxedshaded"/>
      </w:pPr>
      <w:r w:rsidRPr="000F1DE6">
        <w:t>The Construction, Forestry and Maritime Employees Union (CFMEU) recommended the definition be amended to remove the cost consideration at section 18(e).</w:t>
      </w:r>
      <w:r w:rsidRPr="000F1DE6">
        <w:rPr>
          <w:rStyle w:val="FootnoteReference"/>
          <w:rFonts w:eastAsia="Arial"/>
          <w:color w:val="000000"/>
        </w:rPr>
        <w:footnoteReference w:id="143"/>
      </w:r>
      <w:r w:rsidRPr="000F1DE6">
        <w:t xml:space="preserve"> Industry and WHS advocates raised longstanding concerns about the practical application of the concept, noting that it can create uncertainty in practice, particularly for small businesses that lack the expertise to interpret it without legal or consultancy support.</w:t>
      </w:r>
      <w:r w:rsidRPr="000F1DE6">
        <w:rPr>
          <w:vertAlign w:val="superscript"/>
        </w:rPr>
        <w:footnoteReference w:id="144"/>
      </w:r>
      <w:r w:rsidRPr="000F1DE6">
        <w:t xml:space="preserve"> One submission called for ‘clarifying and strengthening the definition and practical application of reasonably practicable’.</w:t>
      </w:r>
      <w:r w:rsidRPr="000F1DE6">
        <w:rPr>
          <w:vertAlign w:val="superscript"/>
        </w:rPr>
        <w:footnoteReference w:id="145"/>
      </w:r>
    </w:p>
    <w:p w14:paraId="4DA3C3CF" w14:textId="01E6B298" w:rsidR="00A00390" w:rsidRDefault="00A00390" w:rsidP="004420D1">
      <w:pPr>
        <w:pStyle w:val="SWAHeading4"/>
      </w:pPr>
      <w:r>
        <w:t>Discussion and recommendations</w:t>
      </w:r>
    </w:p>
    <w:p w14:paraId="5570013E" w14:textId="610C363F" w:rsidR="00A00390" w:rsidRDefault="00752866" w:rsidP="00A00390">
      <w:pPr>
        <w:pStyle w:val="Paragraph"/>
      </w:pPr>
      <w:r w:rsidRPr="000F1DE6">
        <w:rPr>
          <w:rFonts w:eastAsia="Arial"/>
        </w:rPr>
        <w:t xml:space="preserve">This Review does not propose any amendments to the definition of </w:t>
      </w:r>
      <w:r>
        <w:rPr>
          <w:rFonts w:eastAsia="Arial"/>
        </w:rPr>
        <w:t>‘</w:t>
      </w:r>
      <w:r w:rsidRPr="000F1DE6">
        <w:rPr>
          <w:rFonts w:eastAsia="Arial"/>
        </w:rPr>
        <w:t>reasonably practicable</w:t>
      </w:r>
      <w:r>
        <w:rPr>
          <w:rFonts w:eastAsia="Arial"/>
        </w:rPr>
        <w:t>’</w:t>
      </w:r>
      <w:r w:rsidRPr="000F1DE6">
        <w:rPr>
          <w:rFonts w:eastAsia="Arial"/>
        </w:rPr>
        <w:t xml:space="preserve">. However, many stakeholders are calling for clearer, more practical direction on how the standard applies in specific circumstances. This Review’s recommendations on Codes of Practice at </w:t>
      </w:r>
      <w:r w:rsidRPr="0029663E">
        <w:rPr>
          <w:rFonts w:eastAsia="Arial"/>
          <w:b/>
        </w:rPr>
        <w:t>Chapter 5</w:t>
      </w:r>
      <w:r w:rsidRPr="000F1DE6">
        <w:rPr>
          <w:rFonts w:eastAsia="Arial"/>
        </w:rPr>
        <w:t xml:space="preserve"> will directly assist duty holders to understand the application of the reasonably practicable standard in practice in their industry.</w:t>
      </w:r>
    </w:p>
    <w:p w14:paraId="7BAA0F69" w14:textId="6D63E9CC" w:rsidR="001900D9" w:rsidRDefault="001F215F" w:rsidP="001900D9">
      <w:pPr>
        <w:pStyle w:val="SWAHeading3"/>
      </w:pPr>
      <w:r w:rsidRPr="000F1DE6">
        <w:t>Duty of PCBUs that provide services relating to WHS (s 26A, WA WHS Act)</w:t>
      </w:r>
    </w:p>
    <w:p w14:paraId="58F627AE" w14:textId="7D6E749E" w:rsidR="001900D9" w:rsidRDefault="00B13697" w:rsidP="0016789A">
      <w:pPr>
        <w:pStyle w:val="Paragraph"/>
        <w:spacing w:after="240"/>
        <w:rPr>
          <w:rFonts w:eastAsia="Arial"/>
        </w:rPr>
      </w:pPr>
      <w:r w:rsidRPr="000F1DE6">
        <w:t xml:space="preserve">WA </w:t>
      </w:r>
      <w:r w:rsidRPr="00B13697">
        <w:t>has</w:t>
      </w:r>
      <w:r w:rsidRPr="000F1DE6">
        <w:t xml:space="preserve"> an additional duty for PCBUs that provide WHS services to another PCBU. These WHS service providers must ensure</w:t>
      </w:r>
      <w:r>
        <w:t>,</w:t>
      </w:r>
      <w:r w:rsidRPr="000F1DE6">
        <w:t xml:space="preserve"> so far as is reasonably practicable, that the services they provide will not put at risk the health and safety of people at a workplace. This duty picks up on an original recommendation </w:t>
      </w:r>
      <w:r w:rsidRPr="00775093">
        <w:t xml:space="preserve">of the </w:t>
      </w:r>
      <w:r w:rsidRPr="00F404F2">
        <w:rPr>
          <w:i/>
          <w:iCs/>
        </w:rPr>
        <w:t>2008 National Review</w:t>
      </w:r>
      <w:r w:rsidRPr="00775093">
        <w:t>.</w:t>
      </w:r>
      <w:r w:rsidRPr="00775093">
        <w:rPr>
          <w:rStyle w:val="FootnoteReference"/>
        </w:rPr>
        <w:footnoteReference w:id="146"/>
      </w:r>
    </w:p>
    <w:p w14:paraId="6A09B7F8" w14:textId="77777777" w:rsidR="00B13697" w:rsidRPr="004420D1" w:rsidRDefault="00B13697" w:rsidP="00BF204D">
      <w:pPr>
        <w:pStyle w:val="Boxedshaded"/>
        <w:rPr>
          <w:b/>
          <w:bCs/>
        </w:rPr>
      </w:pPr>
      <w:r w:rsidRPr="004420D1">
        <w:rPr>
          <w:b/>
          <w:bCs/>
        </w:rPr>
        <w:t>What we heard</w:t>
      </w:r>
    </w:p>
    <w:p w14:paraId="5BB6E123" w14:textId="77777777" w:rsidR="00F21CE3" w:rsidRDefault="00AA32B4" w:rsidP="00BF204D">
      <w:pPr>
        <w:pStyle w:val="Boxedshaded"/>
      </w:pPr>
      <w:r w:rsidRPr="000F1DE6">
        <w:t>WA indicated in its submission it heard concerns this provision has had unintended consequences, including some professionals and professional associations withdrawing from providing WHS services due to liability concerns.</w:t>
      </w:r>
      <w:r w:rsidRPr="000F1DE6">
        <w:rPr>
          <w:rStyle w:val="FootnoteReference"/>
        </w:rPr>
        <w:footnoteReference w:id="147"/>
      </w:r>
    </w:p>
    <w:p w14:paraId="43BB66A4" w14:textId="57B87D97" w:rsidR="009B10B0" w:rsidRDefault="009B10B0" w:rsidP="004420D1">
      <w:pPr>
        <w:pStyle w:val="SWAHeading4"/>
      </w:pPr>
      <w:r>
        <w:t>Discussion and recommendations</w:t>
      </w:r>
    </w:p>
    <w:p w14:paraId="39BC3CFA" w14:textId="5E650686" w:rsidR="004420D1" w:rsidRDefault="00557FDF" w:rsidP="00A00390">
      <w:pPr>
        <w:pStyle w:val="Paragraph"/>
      </w:pPr>
      <w:r w:rsidRPr="000F1DE6">
        <w:t xml:space="preserve">Noting this matter is also currently being considered by the </w:t>
      </w:r>
      <w:r w:rsidRPr="000F1DE6">
        <w:rPr>
          <w:rFonts w:eastAsia="Arial" w:cs="Arial"/>
          <w:color w:val="000000"/>
        </w:rPr>
        <w:t xml:space="preserve">Statutory Review of the </w:t>
      </w:r>
      <w:r w:rsidRPr="000F1DE6">
        <w:rPr>
          <w:rFonts w:eastAsia="Arial" w:cs="Arial"/>
          <w:i/>
          <w:iCs/>
          <w:color w:val="000000"/>
        </w:rPr>
        <w:t>Work Health and Safety Act 2020</w:t>
      </w:r>
      <w:r w:rsidRPr="000F1DE6">
        <w:rPr>
          <w:rFonts w:eastAsia="Arial" w:cs="Arial"/>
          <w:color w:val="000000"/>
        </w:rPr>
        <w:t xml:space="preserve"> (WA)</w:t>
      </w:r>
      <w:r w:rsidRPr="000F1DE6">
        <w:t>, this Review does not recommend adopting this variation in the model WHS laws</w:t>
      </w:r>
      <w:r>
        <w:t>.</w:t>
      </w:r>
    </w:p>
    <w:p w14:paraId="64B836F7" w14:textId="77777777" w:rsidR="004420D1" w:rsidRDefault="004420D1">
      <w:pPr>
        <w:spacing w:after="200" w:line="276" w:lineRule="auto"/>
        <w:contextualSpacing w:val="0"/>
        <w:rPr>
          <w:rFonts w:asciiTheme="minorHAnsi" w:eastAsia="Times New Roman" w:hAnsiTheme="minorHAnsi"/>
          <w:lang w:eastAsia="en-AU"/>
        </w:rPr>
      </w:pPr>
      <w:r>
        <w:br w:type="page"/>
      </w:r>
    </w:p>
    <w:p w14:paraId="261465F9" w14:textId="1BDBD7AA" w:rsidR="009B10B0" w:rsidRDefault="00311851" w:rsidP="00042ECD">
      <w:pPr>
        <w:pStyle w:val="SWAHeading3"/>
      </w:pPr>
      <w:r w:rsidRPr="000F1DE6">
        <w:lastRenderedPageBreak/>
        <w:t xml:space="preserve">Primary </w:t>
      </w:r>
      <w:r w:rsidRPr="00042ECD">
        <w:t>duty</w:t>
      </w:r>
      <w:r w:rsidRPr="000F1DE6">
        <w:t xml:space="preserve"> of </w:t>
      </w:r>
      <w:r>
        <w:t>c</w:t>
      </w:r>
      <w:r w:rsidRPr="000F1DE6">
        <w:t>are (s 19, model WHS Act)</w:t>
      </w:r>
    </w:p>
    <w:p w14:paraId="47D794B1" w14:textId="09A8F875" w:rsidR="009B10B0" w:rsidRDefault="004B6F81" w:rsidP="00A00390">
      <w:pPr>
        <w:pStyle w:val="Paragraph"/>
      </w:pPr>
      <w:r w:rsidRPr="000F1DE6">
        <w:rPr>
          <w:lang w:eastAsia="en-US"/>
        </w:rPr>
        <w:t xml:space="preserve">This Review makes a recommendation relevant to section 19 of the model WHS Act. This recommendation is discussed in </w:t>
      </w:r>
      <w:r w:rsidRPr="00524BE1">
        <w:rPr>
          <w:b/>
          <w:lang w:eastAsia="en-US"/>
        </w:rPr>
        <w:t>Chapter 8.3</w:t>
      </w:r>
      <w:r>
        <w:rPr>
          <w:lang w:eastAsia="en-US"/>
        </w:rPr>
        <w:t xml:space="preserve"> –</w:t>
      </w:r>
      <w:r w:rsidRPr="000F1DE6">
        <w:rPr>
          <w:lang w:eastAsia="en-US"/>
        </w:rPr>
        <w:t xml:space="preserve"> Harmful </w:t>
      </w:r>
      <w:r>
        <w:rPr>
          <w:lang w:eastAsia="en-US"/>
        </w:rPr>
        <w:t>workplace b</w:t>
      </w:r>
      <w:r w:rsidRPr="000F1DE6">
        <w:rPr>
          <w:lang w:eastAsia="en-US"/>
        </w:rPr>
        <w:t>ehaviours.</w:t>
      </w:r>
    </w:p>
    <w:tbl>
      <w:tblPr>
        <w:tblStyle w:val="Style4"/>
        <w:tblW w:w="5000" w:type="pct"/>
        <w:tblCellMar>
          <w:top w:w="113" w:type="dxa"/>
          <w:bottom w:w="113" w:type="dxa"/>
        </w:tblCellMar>
        <w:tblLook w:val="04A0" w:firstRow="1" w:lastRow="0" w:firstColumn="1" w:lastColumn="0" w:noHBand="0" w:noVBand="1"/>
      </w:tblPr>
      <w:tblGrid>
        <w:gridCol w:w="9746"/>
      </w:tblGrid>
      <w:tr w:rsidR="00A00390" w14:paraId="0E78565C" w14:textId="77777777" w:rsidTr="0016789A">
        <w:trPr>
          <w:cnfStyle w:val="100000000000" w:firstRow="1" w:lastRow="0" w:firstColumn="0" w:lastColumn="0" w:oddVBand="0" w:evenVBand="0" w:oddHBand="0" w:evenHBand="0" w:firstRowFirstColumn="0" w:firstRowLastColumn="0" w:lastRowFirstColumn="0" w:lastRowLastColumn="0"/>
        </w:trPr>
        <w:tc>
          <w:tcPr>
            <w:tcW w:w="5000" w:type="pct"/>
          </w:tcPr>
          <w:p w14:paraId="04821BFC" w14:textId="32D41C93" w:rsidR="00A00390" w:rsidRDefault="00EB6359" w:rsidP="00A00390">
            <w:pPr>
              <w:pStyle w:val="Tableheader"/>
            </w:pPr>
            <w:r>
              <w:t>The</w:t>
            </w:r>
            <w:r w:rsidR="00A00390">
              <w:t xml:space="preserve"> duties framework</w:t>
            </w:r>
            <w:r w:rsidR="0016789A">
              <w:t xml:space="preserve"> – Recommendation 4</w:t>
            </w:r>
          </w:p>
        </w:tc>
      </w:tr>
      <w:tr w:rsidR="00A00390" w14:paraId="426621C0" w14:textId="77777777" w:rsidTr="0016789A">
        <w:tc>
          <w:tcPr>
            <w:tcW w:w="5000" w:type="pct"/>
          </w:tcPr>
          <w:p w14:paraId="3995C9A9" w14:textId="467F84EC" w:rsidR="00A00390" w:rsidRPr="0016789A" w:rsidRDefault="009B27C0" w:rsidP="00A00390">
            <w:pPr>
              <w:pStyle w:val="Paragraphtable"/>
              <w:rPr>
                <w:b/>
                <w:sz w:val="21"/>
                <w:szCs w:val="21"/>
              </w:rPr>
            </w:pPr>
            <w:r w:rsidRPr="0016789A">
              <w:rPr>
                <w:sz w:val="21"/>
                <w:szCs w:val="21"/>
              </w:rPr>
              <w:t>Amend section 19(3) of the model WHS Act to clarify that the duty of care in section 19 includes the management of risks arising from harmful workplace behaviours.</w:t>
            </w:r>
          </w:p>
        </w:tc>
      </w:tr>
    </w:tbl>
    <w:p w14:paraId="0AEB5E47" w14:textId="77777777" w:rsidR="00895F4D" w:rsidRPr="000F1DE6" w:rsidRDefault="00895F4D" w:rsidP="00895F4D">
      <w:pPr>
        <w:pStyle w:val="SWAHeading3"/>
        <w:spacing w:before="200"/>
      </w:pPr>
      <w:r w:rsidRPr="000F1DE6">
        <w:t>Exceptions (s 34, model WHS Act)</w:t>
      </w:r>
    </w:p>
    <w:p w14:paraId="1E264F0D" w14:textId="4BF00C43" w:rsidR="00A00390" w:rsidRDefault="008D10E8" w:rsidP="0016789A">
      <w:pPr>
        <w:pStyle w:val="Paragraph"/>
        <w:spacing w:after="240"/>
      </w:pPr>
      <w:r w:rsidRPr="000F1DE6">
        <w:t>Section 34 of the model WHS Act provides specific exceptions to breach of duties offences for volunteers and unincorporated associations.</w:t>
      </w:r>
    </w:p>
    <w:p w14:paraId="7FCE5D16" w14:textId="77777777" w:rsidR="001D16FB" w:rsidRPr="004420D1" w:rsidRDefault="001D16FB" w:rsidP="00BF204D">
      <w:pPr>
        <w:pStyle w:val="Boxedshaded"/>
        <w:rPr>
          <w:b/>
          <w:bCs/>
        </w:rPr>
      </w:pPr>
      <w:r w:rsidRPr="004420D1">
        <w:rPr>
          <w:b/>
          <w:bCs/>
        </w:rPr>
        <w:t>What we heard</w:t>
      </w:r>
    </w:p>
    <w:p w14:paraId="2AD60BD5" w14:textId="30429356" w:rsidR="001D16FB" w:rsidRDefault="00826D12" w:rsidP="00BF204D">
      <w:pPr>
        <w:pStyle w:val="Boxedshaded"/>
      </w:pPr>
      <w:r w:rsidRPr="000F1DE6">
        <w:t>WA advised that the current drafting of duties and exclusions applying to volunteers is difficult to follow and, while it did not make amendments in its own Act, it identified a need for clearer drafting or supporting explanatory material.</w:t>
      </w:r>
    </w:p>
    <w:p w14:paraId="714EE739" w14:textId="3431FD13" w:rsidR="00826D12" w:rsidRDefault="00DB50DC" w:rsidP="00BF204D">
      <w:pPr>
        <w:pStyle w:val="Boxedshaded"/>
      </w:pPr>
      <w:r w:rsidRPr="000F1DE6">
        <w:t>SA noted its variation to section 34 clarifies</w:t>
      </w:r>
      <w:r w:rsidRPr="000F1DE6">
        <w:rPr>
          <w:rFonts w:cs="Arial"/>
        </w:rPr>
        <w:t xml:space="preserve"> that volunteer officers of a </w:t>
      </w:r>
      <w:r w:rsidRPr="000F1DE6">
        <w:t xml:space="preserve">prescribed strata/community titles corporation, including those operating in mixed residential and commercial settings, </w:t>
      </w:r>
      <w:r w:rsidRPr="000F1DE6">
        <w:rPr>
          <w:rFonts w:cs="Arial"/>
        </w:rPr>
        <w:t>will not be liable for a breach of officer duties under the Act.</w:t>
      </w:r>
    </w:p>
    <w:p w14:paraId="44D317E9" w14:textId="0786BF26" w:rsidR="00EA586E" w:rsidRDefault="004E6D84" w:rsidP="004420D1">
      <w:pPr>
        <w:pStyle w:val="SWAHeading4"/>
      </w:pPr>
      <w:r w:rsidRPr="000F1DE6">
        <w:t>Discussion and recommendation</w:t>
      </w:r>
      <w:r>
        <w:t>s</w:t>
      </w:r>
    </w:p>
    <w:p w14:paraId="05ABF268" w14:textId="46F2209A" w:rsidR="00EA586E" w:rsidRDefault="00E9171F" w:rsidP="00A00390">
      <w:pPr>
        <w:pStyle w:val="Paragraph"/>
      </w:pPr>
      <w:r w:rsidRPr="000F1DE6">
        <w:t>This Review recommends amending section 34 of the model WHS Act, and other relevant provisions, drawing on the SA variation, to ensure the intention of the model WHS Act in relation to exempting volunteers from liability for officer duty breaches is clear.</w:t>
      </w:r>
    </w:p>
    <w:tbl>
      <w:tblPr>
        <w:tblStyle w:val="Style4"/>
        <w:tblW w:w="5000" w:type="pct"/>
        <w:tblCellMar>
          <w:top w:w="113" w:type="dxa"/>
          <w:bottom w:w="113" w:type="dxa"/>
        </w:tblCellMar>
        <w:tblLook w:val="04A0" w:firstRow="1" w:lastRow="0" w:firstColumn="1" w:lastColumn="0" w:noHBand="0" w:noVBand="1"/>
      </w:tblPr>
      <w:tblGrid>
        <w:gridCol w:w="9746"/>
      </w:tblGrid>
      <w:tr w:rsidR="0044503C" w14:paraId="059A812F" w14:textId="77777777" w:rsidTr="0016789A">
        <w:trPr>
          <w:cnfStyle w:val="100000000000" w:firstRow="1" w:lastRow="0" w:firstColumn="0" w:lastColumn="0" w:oddVBand="0" w:evenVBand="0" w:oddHBand="0" w:evenHBand="0" w:firstRowFirstColumn="0" w:firstRowLastColumn="0" w:lastRowFirstColumn="0" w:lastRowLastColumn="0"/>
        </w:trPr>
        <w:tc>
          <w:tcPr>
            <w:tcW w:w="5000" w:type="pct"/>
          </w:tcPr>
          <w:p w14:paraId="01A3D7CD" w14:textId="77C0FDE1" w:rsidR="0044503C" w:rsidRDefault="00546680">
            <w:pPr>
              <w:pStyle w:val="Tableheader"/>
            </w:pPr>
            <w:r>
              <w:t>The</w:t>
            </w:r>
            <w:r w:rsidR="0044503C">
              <w:t xml:space="preserve"> duties framework</w:t>
            </w:r>
            <w:r w:rsidR="0016789A">
              <w:t xml:space="preserve"> – Recommendation 5</w:t>
            </w:r>
          </w:p>
        </w:tc>
      </w:tr>
      <w:tr w:rsidR="0044503C" w14:paraId="14E91A96" w14:textId="77777777" w:rsidTr="0016789A">
        <w:tc>
          <w:tcPr>
            <w:tcW w:w="5000" w:type="pct"/>
          </w:tcPr>
          <w:p w14:paraId="135A93E9" w14:textId="01FF5C75" w:rsidR="0044503C" w:rsidRPr="0016789A" w:rsidRDefault="00D677B2">
            <w:pPr>
              <w:pStyle w:val="Paragraphtable"/>
              <w:rPr>
                <w:b/>
                <w:sz w:val="21"/>
                <w:szCs w:val="21"/>
              </w:rPr>
            </w:pPr>
            <w:r w:rsidRPr="0016789A">
              <w:rPr>
                <w:sz w:val="21"/>
                <w:szCs w:val="21"/>
              </w:rPr>
              <w:t>Amend section 34 of the model WHS Act to reflect the South Australian variation providing that volunteer officers of a strata/community titles corporation are not liable for a breach of officer duties.</w:t>
            </w:r>
          </w:p>
        </w:tc>
      </w:tr>
    </w:tbl>
    <w:p w14:paraId="13394FBF" w14:textId="501D64CE" w:rsidR="00EA586E" w:rsidRDefault="00E61890" w:rsidP="00E61890">
      <w:pPr>
        <w:pStyle w:val="SWAHeading3"/>
      </w:pPr>
      <w:r w:rsidRPr="000F1DE6">
        <w:t xml:space="preserve">General risk and workplace management </w:t>
      </w:r>
      <w:bookmarkStart w:id="33" w:name="_Toc228256061"/>
      <w:r w:rsidRPr="000F1DE6">
        <w:t>(Part 3.1, model WHS Regulations)</w:t>
      </w:r>
      <w:bookmarkEnd w:id="33"/>
    </w:p>
    <w:p w14:paraId="07FD8AF6" w14:textId="77777777" w:rsidR="00E05FE5" w:rsidRPr="00C2301F" w:rsidRDefault="00E05FE5" w:rsidP="00AF5E17">
      <w:pPr>
        <w:pStyle w:val="Paragraph"/>
      </w:pPr>
      <w:r w:rsidRPr="00C2301F">
        <w:t>Part 3.1 of the model WHS Regulations, and specifically model regulation 36, provides the hierarchy of control measures that a PCBU must use to manage risks where elimination of the risk is not reasonably practicable. However, Part 3.1 only applies to a PCBU that has an express duty under the Regulations to manage risks to health and safety.</w:t>
      </w:r>
      <w:r w:rsidRPr="00C2301F">
        <w:rPr>
          <w:vertAlign w:val="superscript"/>
        </w:rPr>
        <w:footnoteReference w:id="148"/>
      </w:r>
      <w:r w:rsidRPr="00C2301F">
        <w:t xml:space="preserve"> Both the </w:t>
      </w:r>
      <w:r w:rsidRPr="00973523">
        <w:rPr>
          <w:i/>
          <w:iCs/>
        </w:rPr>
        <w:t>2018 National Review</w:t>
      </w:r>
      <w:r w:rsidRPr="00C2301F">
        <w:t xml:space="preserve"> and the </w:t>
      </w:r>
      <w:r w:rsidRPr="00C26F2B">
        <w:rPr>
          <w:i/>
          <w:iCs/>
        </w:rPr>
        <w:t xml:space="preserve">2022 </w:t>
      </w:r>
      <w:r w:rsidRPr="00C26F2B">
        <w:rPr>
          <w:rFonts w:eastAsia="Arial"/>
          <w:i/>
          <w:iCs/>
          <w:color w:val="000000"/>
          <w:szCs w:val="22"/>
        </w:rPr>
        <w:t xml:space="preserve">Queensland </w:t>
      </w:r>
      <w:r w:rsidRPr="00C26F2B">
        <w:rPr>
          <w:i/>
          <w:iCs/>
        </w:rPr>
        <w:t>Review</w:t>
      </w:r>
      <w:r w:rsidRPr="00C2301F">
        <w:rPr>
          <w:vertAlign w:val="superscript"/>
        </w:rPr>
        <w:footnoteReference w:id="149"/>
      </w:r>
      <w:r w:rsidRPr="00C2301F">
        <w:t xml:space="preserve"> recommended that the hierarchy of control measures be elevated to the model WHS Act and apply to all risks. The </w:t>
      </w:r>
      <w:r w:rsidRPr="00973523">
        <w:rPr>
          <w:i/>
          <w:iCs/>
        </w:rPr>
        <w:t>2018 National Review</w:t>
      </w:r>
      <w:r w:rsidRPr="00C2301F">
        <w:t xml:space="preserve"> noted that the Act covered all 4 steps of effective risk management except the last (and most important step): that is, how to stop something going wrong.</w:t>
      </w:r>
      <w:r w:rsidRPr="00C2301F">
        <w:rPr>
          <w:vertAlign w:val="superscript"/>
        </w:rPr>
        <w:footnoteReference w:id="150"/>
      </w:r>
      <w:r w:rsidRPr="00C2301F">
        <w:t xml:space="preserve"> This last step is contained in regulation 36.</w:t>
      </w:r>
    </w:p>
    <w:p w14:paraId="5AABCE0E" w14:textId="5284D908" w:rsidR="0016789A" w:rsidRDefault="00E05FE5" w:rsidP="0016789A">
      <w:pPr>
        <w:pStyle w:val="Paragraph"/>
      </w:pPr>
      <w:r w:rsidRPr="00C2301F">
        <w:t xml:space="preserve">The </w:t>
      </w:r>
      <w:r w:rsidRPr="00973523">
        <w:rPr>
          <w:i/>
          <w:iCs/>
        </w:rPr>
        <w:t>2018 National Review</w:t>
      </w:r>
      <w:r w:rsidRPr="00C2301F">
        <w:t xml:space="preserve"> recommendation was never adopted, limiting the hazards and risks to which the hierarchy of control measures apply, and this Review considers this remains problematic.</w:t>
      </w:r>
      <w:r w:rsidR="0016789A">
        <w:br w:type="page"/>
      </w:r>
    </w:p>
    <w:p w14:paraId="0731CC2A" w14:textId="77777777" w:rsidR="00F21CE3" w:rsidRDefault="00C2301F" w:rsidP="0016789A">
      <w:pPr>
        <w:pStyle w:val="Paragraph"/>
        <w:spacing w:after="240"/>
      </w:pPr>
      <w:r w:rsidRPr="00C2301F">
        <w:lastRenderedPageBreak/>
        <w:t xml:space="preserve">The problem was highlighted in </w:t>
      </w:r>
      <w:r w:rsidRPr="00C2301F">
        <w:rPr>
          <w:i/>
        </w:rPr>
        <w:t xml:space="preserve">Catholic Healthcare Limited v SafeWork NSW </w:t>
      </w:r>
      <w:r w:rsidRPr="00C2301F">
        <w:rPr>
          <w:iCs/>
        </w:rPr>
        <w:t>[2025] NSWIRComm 1046</w:t>
      </w:r>
      <w:r w:rsidRPr="00C2301F">
        <w:t xml:space="preserve">, an external review hearing where the NSW Industrial Relations Commission (IRC) set aside an improvement notice issued by an inspector in relation to the requirement for the PCBU to fit test personal protective equipment (PPE). The NSW IRC found that the improvement notice was invalid because WHS regulation 44 did not apply in the circumstances related to managing the risk of work-related biological hazards, given these hazards are not expressly mentioned in </w:t>
      </w:r>
      <w:r w:rsidRPr="00F44645">
        <w:t>the Regulations. This case highlights the problem with limiting the scope of generally applicable risk management principles to a subset of hazards in the model WHS Regulations.</w:t>
      </w:r>
    </w:p>
    <w:p w14:paraId="100268DA" w14:textId="11E7DDB9" w:rsidR="00105CAF" w:rsidRPr="004420D1" w:rsidRDefault="00105CAF" w:rsidP="00BF204D">
      <w:pPr>
        <w:pStyle w:val="Boxedshaded"/>
        <w:rPr>
          <w:b/>
          <w:bCs/>
        </w:rPr>
      </w:pPr>
      <w:r w:rsidRPr="004420D1">
        <w:rPr>
          <w:b/>
          <w:bCs/>
        </w:rPr>
        <w:t>What we heard</w:t>
      </w:r>
    </w:p>
    <w:p w14:paraId="477D2F36" w14:textId="142F9B5F" w:rsidR="00105CAF" w:rsidRDefault="00C71180" w:rsidP="00BF204D">
      <w:pPr>
        <w:pStyle w:val="Boxedshaded"/>
      </w:pPr>
      <w:r w:rsidRPr="000F1DE6">
        <w:t>During consultation some WHS regulators also questioned whether the hierarchy of control measures contained in the model WHS Regulations can be effectively applied to psychosocial hazards. WA</w:t>
      </w:r>
      <w:r w:rsidRPr="000F1DE6" w:rsidDel="00FC3FD7">
        <w:t xml:space="preserve"> noted</w:t>
      </w:r>
      <w:r w:rsidRPr="000F1DE6">
        <w:t xml:space="preserve"> ‘systems of work are not well captured in the hierarchy of controls’ and ‘it is not possible to eliminate psychosocial risks’.</w:t>
      </w:r>
      <w:r w:rsidRPr="000F1DE6">
        <w:rPr>
          <w:vertAlign w:val="superscript"/>
        </w:rPr>
        <w:footnoteReference w:id="151"/>
      </w:r>
      <w:r w:rsidRPr="000F1DE6">
        <w:t xml:space="preserve"> Unions disagreed.</w:t>
      </w:r>
      <w:r w:rsidRPr="000F1DE6">
        <w:rPr>
          <w:vertAlign w:val="superscript"/>
        </w:rPr>
        <w:footnoteReference w:id="152"/>
      </w:r>
    </w:p>
    <w:p w14:paraId="5C92E0AD" w14:textId="3464725D" w:rsidR="005A079A" w:rsidRDefault="005A079A" w:rsidP="004420D1">
      <w:pPr>
        <w:pStyle w:val="SWAHeading4"/>
      </w:pPr>
      <w:r>
        <w:t>Discussion and recommendations</w:t>
      </w:r>
    </w:p>
    <w:p w14:paraId="3C7946F2" w14:textId="79835822" w:rsidR="00A4634E" w:rsidRPr="00675991" w:rsidRDefault="00A4634E" w:rsidP="00AF5E17">
      <w:pPr>
        <w:pStyle w:val="Paragraph"/>
      </w:pPr>
      <w:r w:rsidRPr="00675991">
        <w:t xml:space="preserve">Currently the model WHS Regulations applying to the management of psychosocial risks specifically exclude </w:t>
      </w:r>
      <w:r w:rsidR="00C90659" w:rsidRPr="00675991">
        <w:t xml:space="preserve">regulation </w:t>
      </w:r>
      <w:r w:rsidRPr="00675991">
        <w:t xml:space="preserve">36 </w:t>
      </w:r>
      <w:r w:rsidR="00D2611C">
        <w:rPr>
          <w:rFonts w:ascii="Symbol" w:eastAsia="Symbol" w:hAnsi="Symbol" w:cs="Symbol"/>
        </w:rPr>
        <w:t>-</w:t>
      </w:r>
      <w:r w:rsidRPr="00675991">
        <w:t xml:space="preserve"> the hierarchy of control measures. However, this has led to variations across the jurisdictional WHS regulations, with Queensland, SA, the ACT</w:t>
      </w:r>
      <w:r w:rsidRPr="002E140F">
        <w:t>, the Northern Territory (NT)</w:t>
      </w:r>
      <w:r w:rsidRPr="00675991">
        <w:t xml:space="preserve"> and the Commonwealth all having amended their versions of </w:t>
      </w:r>
      <w:r w:rsidRPr="002E140F">
        <w:t xml:space="preserve">the WHS </w:t>
      </w:r>
      <w:r w:rsidR="00775093" w:rsidRPr="00795D69">
        <w:t>R</w:t>
      </w:r>
      <w:r w:rsidRPr="002E140F">
        <w:t>egulations to explicitly</w:t>
      </w:r>
      <w:r w:rsidRPr="00675991">
        <w:t xml:space="preserve"> require application of the hierarchy of control measures to the management of psychosocial risks.</w:t>
      </w:r>
      <w:r w:rsidRPr="00675991" w:rsidDel="004B45B5">
        <w:rPr>
          <w:vertAlign w:val="superscript"/>
        </w:rPr>
        <w:footnoteReference w:id="153"/>
      </w:r>
      <w:r w:rsidRPr="00675991" w:rsidDel="004B45B5">
        <w:t xml:space="preserve"> </w:t>
      </w:r>
      <w:r w:rsidRPr="00675991">
        <w:t>Victoria has introduced a modified hierarchy under separate regulations.</w:t>
      </w:r>
      <w:r w:rsidRPr="00675991">
        <w:rPr>
          <w:vertAlign w:val="superscript"/>
        </w:rPr>
        <w:footnoteReference w:id="154"/>
      </w:r>
      <w:r w:rsidRPr="00675991">
        <w:t xml:space="preserve"> This Review considers that the hierarchy of control measures should be applied to the management of psychosocial risks.</w:t>
      </w:r>
    </w:p>
    <w:p w14:paraId="5714A887" w14:textId="77777777" w:rsidR="00F21CE3" w:rsidRDefault="00A4634E" w:rsidP="00AF5E17">
      <w:pPr>
        <w:pStyle w:val="Paragraph"/>
      </w:pPr>
      <w:r w:rsidRPr="00675991">
        <w:t>This Review further recommends the hierarchy of control measures be elevated into the model WHS Act. This Review has confirmed through expert advice</w:t>
      </w:r>
      <w:r w:rsidRPr="00675991">
        <w:rPr>
          <w:vertAlign w:val="superscript"/>
        </w:rPr>
        <w:footnoteReference w:id="155"/>
      </w:r>
      <w:r w:rsidRPr="00675991">
        <w:t xml:space="preserve"> that the hierarchy of control measures can be moved into the model WHS Act and that doing so would improve clarity for duty holders and better protect workers.</w:t>
      </w:r>
    </w:p>
    <w:p w14:paraId="39DF6E45" w14:textId="21D081EA" w:rsidR="00F21CE3" w:rsidRDefault="00A4634E" w:rsidP="00AF5E17">
      <w:pPr>
        <w:pStyle w:val="Paragraph"/>
      </w:pPr>
      <w:r w:rsidRPr="00675991">
        <w:t>This Review also recommends consideration be given to clarifying the application of the hierarchy of control measures to psychosocial risks and in circumstances where multiple hazards interact.</w:t>
      </w:r>
    </w:p>
    <w:p w14:paraId="19CBFB55" w14:textId="20C17CDA" w:rsidR="00C71180" w:rsidRPr="00675991" w:rsidRDefault="00A4634E" w:rsidP="0016789A">
      <w:pPr>
        <w:pStyle w:val="Paragraph"/>
        <w:spacing w:after="240"/>
      </w:pPr>
      <w:r w:rsidRPr="00675991">
        <w:t>In the short term, this Review recommends an amendment should be made to the model WHS Regulations (regulation 55C(a)), consistent with jurisdictional variations, to confirm that the hierarchy of control measures apply to the management of psychosocial risks</w:t>
      </w:r>
      <w:r w:rsidR="00675991" w:rsidRPr="00675991">
        <w:t>.</w:t>
      </w:r>
    </w:p>
    <w:tbl>
      <w:tblPr>
        <w:tblStyle w:val="Style4"/>
        <w:tblW w:w="5000" w:type="pct"/>
        <w:tblCellMar>
          <w:top w:w="113" w:type="dxa"/>
          <w:bottom w:w="113" w:type="dxa"/>
        </w:tblCellMar>
        <w:tblLook w:val="04A0" w:firstRow="1" w:lastRow="0" w:firstColumn="1" w:lastColumn="0" w:noHBand="0" w:noVBand="1"/>
      </w:tblPr>
      <w:tblGrid>
        <w:gridCol w:w="9746"/>
      </w:tblGrid>
      <w:tr w:rsidR="008612F7" w14:paraId="1C7EF064" w14:textId="77777777" w:rsidTr="0016789A">
        <w:trPr>
          <w:cnfStyle w:val="100000000000" w:firstRow="1" w:lastRow="0" w:firstColumn="0" w:lastColumn="0" w:oddVBand="0" w:evenVBand="0" w:oddHBand="0" w:evenHBand="0" w:firstRowFirstColumn="0" w:firstRowLastColumn="0" w:lastRowFirstColumn="0" w:lastRowLastColumn="0"/>
        </w:trPr>
        <w:tc>
          <w:tcPr>
            <w:tcW w:w="5000" w:type="pct"/>
          </w:tcPr>
          <w:p w14:paraId="146C5ED6" w14:textId="3E68DA46" w:rsidR="008612F7" w:rsidRDefault="008612F7">
            <w:pPr>
              <w:pStyle w:val="Tableheader"/>
            </w:pPr>
            <w:r>
              <w:t>The duties framework</w:t>
            </w:r>
            <w:r w:rsidR="0016789A">
              <w:t xml:space="preserve"> – Recommendation 6</w:t>
            </w:r>
          </w:p>
        </w:tc>
      </w:tr>
      <w:tr w:rsidR="008612F7" w:rsidRPr="00EA5370" w14:paraId="38E61E4D" w14:textId="77777777" w:rsidTr="0016789A">
        <w:tc>
          <w:tcPr>
            <w:tcW w:w="5000" w:type="pct"/>
          </w:tcPr>
          <w:p w14:paraId="76932DEE" w14:textId="321114A6" w:rsidR="00CC0664" w:rsidRPr="0016789A" w:rsidRDefault="00CC0664" w:rsidP="00EC00F2">
            <w:pPr>
              <w:pStyle w:val="Paragraphtable"/>
              <w:rPr>
                <w:b/>
                <w:sz w:val="21"/>
                <w:szCs w:val="21"/>
              </w:rPr>
            </w:pPr>
            <w:r w:rsidRPr="0016789A">
              <w:rPr>
                <w:bCs w:val="0"/>
                <w:sz w:val="21"/>
                <w:szCs w:val="21"/>
              </w:rPr>
              <w:t>Clarify that the risk management process provided in Part 3.1 of the WHS Regulations:</w:t>
            </w:r>
          </w:p>
          <w:p w14:paraId="0755F4FB" w14:textId="77777777" w:rsidR="00CC0664" w:rsidRPr="0016789A" w:rsidRDefault="00CC0664" w:rsidP="00447786">
            <w:pPr>
              <w:pStyle w:val="Listnumber2tables"/>
              <w:numPr>
                <w:ilvl w:val="0"/>
                <w:numId w:val="53"/>
              </w:numPr>
              <w:rPr>
                <w:sz w:val="21"/>
                <w:szCs w:val="21"/>
              </w:rPr>
            </w:pPr>
            <w:r w:rsidRPr="0016789A">
              <w:rPr>
                <w:sz w:val="21"/>
                <w:szCs w:val="21"/>
              </w:rPr>
              <w:t>applies to all work and workplaces by elevating it into the model WHS Act, and</w:t>
            </w:r>
          </w:p>
          <w:p w14:paraId="4CD8EC17" w14:textId="2C1C7A64" w:rsidR="008612F7" w:rsidRPr="00DD6961" w:rsidRDefault="00CC0664" w:rsidP="00447786">
            <w:pPr>
              <w:pStyle w:val="Listnumber2tables"/>
              <w:numPr>
                <w:ilvl w:val="0"/>
                <w:numId w:val="53"/>
              </w:numPr>
            </w:pPr>
            <w:r w:rsidRPr="0016789A">
              <w:rPr>
                <w:sz w:val="21"/>
                <w:szCs w:val="21"/>
              </w:rPr>
              <w:t>in the short term, amend regulation 55C(a) of the model WHS Regulations to ensure that the hierarchy of control measures applies to the management of psychosocial risks.</w:t>
            </w:r>
          </w:p>
        </w:tc>
      </w:tr>
    </w:tbl>
    <w:p w14:paraId="0A16470E" w14:textId="77777777" w:rsidR="004420D1" w:rsidRDefault="004420D1" w:rsidP="004420D1">
      <w:pPr>
        <w:pStyle w:val="Paragraph"/>
        <w:rPr>
          <w:rFonts w:eastAsiaTheme="majorEastAsia"/>
        </w:rPr>
      </w:pPr>
      <w:r>
        <w:br w:type="page"/>
      </w:r>
    </w:p>
    <w:p w14:paraId="38CF6CD9" w14:textId="7ECC98FE" w:rsidR="00105CAF" w:rsidRPr="00F15D3B" w:rsidRDefault="00A33E5E" w:rsidP="00F15D3B">
      <w:pPr>
        <w:pStyle w:val="SWAHeading2"/>
        <w:spacing w:line="240" w:lineRule="auto"/>
        <w:rPr>
          <w:rFonts w:asciiTheme="minorHAnsi" w:hAnsiTheme="minorHAnsi"/>
        </w:rPr>
      </w:pPr>
      <w:bookmarkStart w:id="34" w:name="_Toc239845148"/>
      <w:r w:rsidRPr="00F15D3B">
        <w:rPr>
          <w:rFonts w:asciiTheme="minorHAnsi" w:hAnsiTheme="minorHAnsi"/>
        </w:rPr>
        <w:lastRenderedPageBreak/>
        <w:t>WHS knowledge and capability</w:t>
      </w:r>
      <w:bookmarkEnd w:id="34"/>
    </w:p>
    <w:p w14:paraId="578824AC" w14:textId="77777777" w:rsidR="00F21CE3" w:rsidRDefault="00A97494" w:rsidP="00BF204D">
      <w:pPr>
        <w:pStyle w:val="Boxedshaded"/>
        <w:rPr>
          <w:b/>
          <w:bCs/>
        </w:rPr>
      </w:pPr>
      <w:r w:rsidRPr="004420D1">
        <w:rPr>
          <w:b/>
          <w:bCs/>
        </w:rPr>
        <w:t>What we heard</w:t>
      </w:r>
    </w:p>
    <w:p w14:paraId="1AA77B81" w14:textId="4B9613F3" w:rsidR="0053390D" w:rsidRPr="000F1DE6" w:rsidRDefault="0053390D" w:rsidP="00BF204D">
      <w:pPr>
        <w:pStyle w:val="Boxedshaded"/>
      </w:pPr>
      <w:r w:rsidRPr="000F1DE6">
        <w:t xml:space="preserve">Industry, unions, and regulators agreed that PCBUs, officers and middle management would benefit from improved WHS knowledge and capability. They emphasised the importance of employers understanding their WHS duties and responsibilities, including the requirement to consult with workers, and the importance of understanding and supporting </w:t>
      </w:r>
      <w:r w:rsidRPr="00C378B7">
        <w:t>the role of HSRs.</w:t>
      </w:r>
      <w:r w:rsidRPr="00C378B7">
        <w:rPr>
          <w:rStyle w:val="FootnoteReference"/>
          <w:rFonts w:eastAsia="Aptos"/>
        </w:rPr>
        <w:footnoteReference w:id="156"/>
      </w:r>
      <w:r w:rsidRPr="000F1DE6">
        <w:t xml:space="preserve"> There was general agreement across all of those consulted that long-term safety improvements depend on lifting WHS competency across all industries.</w:t>
      </w:r>
    </w:p>
    <w:p w14:paraId="4D4DFAD5" w14:textId="77777777" w:rsidR="00F21CE3" w:rsidRDefault="0053390D" w:rsidP="00BF204D">
      <w:pPr>
        <w:pStyle w:val="Boxedshaded"/>
      </w:pPr>
      <w:r w:rsidRPr="000F1DE6">
        <w:t>In calling for better education of officers, WHS advocates also proposed better integration of the due diligence requirements into corporate governance</w:t>
      </w:r>
      <w:r>
        <w:t>;</w:t>
      </w:r>
      <w:r w:rsidRPr="000F1DE6">
        <w:rPr>
          <w:vertAlign w:val="superscript"/>
        </w:rPr>
        <w:footnoteReference w:id="157"/>
      </w:r>
      <w:r w:rsidRPr="000F1DE6">
        <w:t xml:space="preserve"> and a requirement for officers to ensure mechanisms are in place to proactively manage, review and report on psychosocial risks.</w:t>
      </w:r>
      <w:r w:rsidRPr="000F1DE6">
        <w:rPr>
          <w:vertAlign w:val="superscript"/>
        </w:rPr>
        <w:footnoteReference w:id="158"/>
      </w:r>
    </w:p>
    <w:p w14:paraId="6A92CC2E" w14:textId="1CF3BAB2" w:rsidR="008612F7" w:rsidRPr="004420D1" w:rsidRDefault="00A80E74" w:rsidP="004420D1">
      <w:pPr>
        <w:pStyle w:val="SWAHeading4"/>
      </w:pPr>
      <w:r>
        <w:t>Discussion and recommendations</w:t>
      </w:r>
    </w:p>
    <w:p w14:paraId="2140893D" w14:textId="77777777" w:rsidR="00FD3816" w:rsidRPr="005E481E" w:rsidRDefault="00FD3816" w:rsidP="00AF5E17">
      <w:pPr>
        <w:pStyle w:val="Paragraph"/>
      </w:pPr>
      <w:r w:rsidRPr="005E481E">
        <w:t>This Review notes there is a likely gap between what is expected of officers under the model WHS laws and how consistently those obligations are operationalised and discharged in governance practices across many organisations, given:</w:t>
      </w:r>
    </w:p>
    <w:p w14:paraId="68903A74" w14:textId="34FF88C0" w:rsidR="00F21CE3" w:rsidRDefault="00FD3816" w:rsidP="00042ECD">
      <w:pPr>
        <w:pStyle w:val="ListBullet"/>
        <w:rPr>
          <w:rFonts w:eastAsia="Times New Roman" w:cs="Arial"/>
          <w:lang w:eastAsia="en-AU"/>
        </w:rPr>
      </w:pPr>
      <w:r w:rsidRPr="00163EC8">
        <w:rPr>
          <w:lang w:eastAsia="en-AU"/>
        </w:rPr>
        <w:t xml:space="preserve">the </w:t>
      </w:r>
      <w:r w:rsidRPr="00163EC8">
        <w:rPr>
          <w:rFonts w:eastAsia="Times New Roman" w:cs="Arial"/>
          <w:i/>
          <w:lang w:eastAsia="en-AU"/>
        </w:rPr>
        <w:t>Australian WHS Survey – Autumn Edition 2024</w:t>
      </w:r>
      <w:r w:rsidRPr="00163EC8">
        <w:rPr>
          <w:rFonts w:eastAsia="Times New Roman" w:cs="Arial"/>
          <w:vertAlign w:val="superscript"/>
          <w:lang w:eastAsia="en-AU"/>
        </w:rPr>
        <w:footnoteReference w:id="159"/>
      </w:r>
      <w:r w:rsidRPr="00163EC8">
        <w:rPr>
          <w:rFonts w:eastAsia="Times New Roman" w:cs="Arial"/>
          <w:lang w:eastAsia="en-AU"/>
        </w:rPr>
        <w:t xml:space="preserve"> identified ‘lower levels of workplace WHS system and commitment to WHS’,</w:t>
      </w:r>
      <w:r w:rsidRPr="00163EC8">
        <w:rPr>
          <w:rFonts w:eastAsia="Times New Roman" w:cs="Arial"/>
          <w:vertAlign w:val="superscript"/>
          <w:lang w:eastAsia="en-AU"/>
        </w:rPr>
        <w:footnoteReference w:id="160"/>
      </w:r>
      <w:r w:rsidRPr="00163EC8">
        <w:rPr>
          <w:rFonts w:eastAsia="Times New Roman" w:cs="Arial"/>
          <w:lang w:eastAsia="en-AU"/>
        </w:rPr>
        <w:t xml:space="preserve"> </w:t>
      </w:r>
      <w:r w:rsidRPr="00163EC8">
        <w:rPr>
          <w:rFonts w:eastAsia="Times New Roman"/>
          <w:lang w:eastAsia="en-AU"/>
        </w:rPr>
        <w:t>with</w:t>
      </w:r>
      <w:r w:rsidRPr="00163EC8">
        <w:rPr>
          <w:rFonts w:eastAsia="Times New Roman" w:cs="Arial"/>
          <w:lang w:eastAsia="en-AU"/>
        </w:rPr>
        <w:t xml:space="preserve"> ‘cost savings and project delivery taking precedent over WHS’</w:t>
      </w:r>
      <w:r w:rsidRPr="00163EC8">
        <w:rPr>
          <w:rFonts w:eastAsia="Times New Roman" w:cs="Arial"/>
          <w:vertAlign w:val="superscript"/>
          <w:lang w:eastAsia="en-AU"/>
        </w:rPr>
        <w:footnoteReference w:id="161"/>
      </w:r>
    </w:p>
    <w:p w14:paraId="28DD1EBB" w14:textId="439C91C0" w:rsidR="00FD3816" w:rsidRPr="00163EC8" w:rsidRDefault="00FD3816" w:rsidP="00042ECD">
      <w:pPr>
        <w:pStyle w:val="ListBullet"/>
        <w:rPr>
          <w:rFonts w:eastAsia="Times New Roman" w:cs="Arial"/>
          <w:lang w:eastAsia="en-AU"/>
        </w:rPr>
      </w:pPr>
      <w:r w:rsidRPr="00163EC8">
        <w:rPr>
          <w:lang w:eastAsia="en-AU"/>
        </w:rPr>
        <w:t xml:space="preserve">a qualitative study of senior leaders found WHS prioritisation operates along a continuum, with many senior leaders falling </w:t>
      </w:r>
      <w:r w:rsidRPr="00163EC8">
        <w:rPr>
          <w:rFonts w:eastAsia="Times New Roman"/>
          <w:lang w:eastAsia="en-AU"/>
        </w:rPr>
        <w:t>closer</w:t>
      </w:r>
      <w:r w:rsidRPr="00163EC8">
        <w:rPr>
          <w:rFonts w:eastAsia="Times New Roman" w:cs="Arial"/>
          <w:lang w:eastAsia="en-AU"/>
        </w:rPr>
        <w:t xml:space="preserve"> to the compliance-driven end (that is, meeting the minimum standard) rather than being driven by a moral or values-based approach</w:t>
      </w:r>
      <w:r w:rsidRPr="00163EC8">
        <w:rPr>
          <w:rFonts w:eastAsia="Times New Roman" w:cs="Arial"/>
          <w:vertAlign w:val="superscript"/>
          <w:lang w:eastAsia="en-AU"/>
        </w:rPr>
        <w:footnoteReference w:id="162"/>
      </w:r>
    </w:p>
    <w:p w14:paraId="32184174" w14:textId="2C608356" w:rsidR="0016789A" w:rsidRPr="0016789A" w:rsidRDefault="00FD3816" w:rsidP="0016789A">
      <w:pPr>
        <w:pStyle w:val="ListBullet"/>
        <w:rPr>
          <w:rFonts w:eastAsia="Times New Roman" w:cs="Arial"/>
          <w:lang w:eastAsia="en-AU"/>
        </w:rPr>
      </w:pPr>
      <w:r w:rsidRPr="00163EC8">
        <w:rPr>
          <w:lang w:eastAsia="en-AU"/>
        </w:rPr>
        <w:t xml:space="preserve">the </w:t>
      </w:r>
      <w:r w:rsidRPr="00163EC8">
        <w:rPr>
          <w:rFonts w:eastAsia="Times New Roman" w:cs="Arial"/>
          <w:color w:val="000000"/>
          <w:shd w:val="clear" w:color="auto" w:fill="FFFFFF"/>
          <w:lang w:eastAsia="en-AU"/>
        </w:rPr>
        <w:t>Australian Council of Superannuation Investors</w:t>
      </w:r>
      <w:r w:rsidRPr="00163EC8">
        <w:rPr>
          <w:rFonts w:eastAsia="Times New Roman" w:cs="Arial"/>
          <w:color w:val="000000"/>
          <w:shd w:val="clear" w:color="auto" w:fill="FFFFFF"/>
          <w:vertAlign w:val="superscript"/>
          <w:lang w:eastAsia="en-AU"/>
        </w:rPr>
        <w:footnoteReference w:id="163"/>
      </w:r>
      <w:r w:rsidRPr="00163EC8">
        <w:rPr>
          <w:rFonts w:eastAsia="Times New Roman" w:cs="Arial"/>
          <w:color w:val="000000"/>
          <w:shd w:val="clear" w:color="auto" w:fill="FFFFFF"/>
          <w:lang w:eastAsia="en-AU"/>
        </w:rPr>
        <w:t xml:space="preserve"> found that many high risk </w:t>
      </w:r>
      <w:r w:rsidRPr="00163EC8">
        <w:rPr>
          <w:rFonts w:eastAsia="Aptos" w:cs="Arial"/>
          <w:lang w:eastAsia="en-AU"/>
        </w:rPr>
        <w:t>companies</w:t>
      </w:r>
      <w:r w:rsidRPr="00163EC8">
        <w:rPr>
          <w:rFonts w:eastAsia="Times New Roman" w:cs="Arial"/>
          <w:color w:val="000000"/>
          <w:shd w:val="clear" w:color="auto" w:fill="FFFFFF"/>
          <w:lang w:eastAsia="en-AU"/>
        </w:rPr>
        <w:t xml:space="preserve"> continue to rely </w:t>
      </w:r>
      <w:r w:rsidRPr="00163EC8">
        <w:rPr>
          <w:rFonts w:eastAsia="Times New Roman"/>
          <w:lang w:eastAsia="en-AU"/>
        </w:rPr>
        <w:t>heavily</w:t>
      </w:r>
      <w:r w:rsidRPr="00163EC8">
        <w:rPr>
          <w:rFonts w:eastAsia="Times New Roman" w:cs="Arial"/>
          <w:color w:val="000000"/>
          <w:shd w:val="clear" w:color="auto" w:fill="FFFFFF"/>
          <w:lang w:eastAsia="en-AU"/>
        </w:rPr>
        <w:t xml:space="preserve"> on ‘backward looking’ safety metrics, limiting the ability of boards to identify emerging risks or systemic issues before serious incidents occur.</w:t>
      </w:r>
      <w:r w:rsidR="00304F1A">
        <w:rPr>
          <w:rFonts w:eastAsia="Times New Roman" w:cs="Arial"/>
          <w:color w:val="000000"/>
          <w:shd w:val="clear" w:color="auto" w:fill="FFFFFF"/>
          <w:lang w:eastAsia="en-AU"/>
        </w:rPr>
        <w:t xml:space="preserve"> </w:t>
      </w:r>
      <w:r w:rsidR="0016789A">
        <w:br w:type="page"/>
      </w:r>
    </w:p>
    <w:p w14:paraId="50C510E4" w14:textId="77777777" w:rsidR="00F21CE3" w:rsidRDefault="00FD3816" w:rsidP="00AF5E17">
      <w:pPr>
        <w:pStyle w:val="Paragraph"/>
      </w:pPr>
      <w:r w:rsidRPr="005E481E">
        <w:lastRenderedPageBreak/>
        <w:t xml:space="preserve">This Review notes the Safe Work Australia </w:t>
      </w:r>
      <w:r w:rsidRPr="006F5016">
        <w:rPr>
          <w:i/>
          <w:iCs/>
        </w:rPr>
        <w:t>Research and Evaluation Strategy</w:t>
      </w:r>
      <w:r w:rsidRPr="006D5A8E">
        <w:rPr>
          <w:i/>
          <w:iCs/>
        </w:rPr>
        <w:t xml:space="preserve"> </w:t>
      </w:r>
      <w:r w:rsidRPr="005E481E">
        <w:t>has a focus on shifting mindsets around WHS fundamentals to increase understanding and capability around fundamental duties and obligations for risk management and injury recovery, including for senior leaders and boards.</w:t>
      </w:r>
    </w:p>
    <w:p w14:paraId="4F35D975" w14:textId="001F6DD4" w:rsidR="00FD3816" w:rsidRPr="005E481E" w:rsidRDefault="00FD3816" w:rsidP="00AF5E17">
      <w:pPr>
        <w:pStyle w:val="Paragraph"/>
        <w:rPr>
          <w:rFonts w:eastAsia="Arial"/>
        </w:rPr>
      </w:pPr>
      <w:r w:rsidRPr="005E481E">
        <w:rPr>
          <w:rFonts w:eastAsia="Arial"/>
        </w:rPr>
        <w:t>This Review does not have a clear picture of the extent to which WHS training is provided by PCBUs to their workers, including their managers and supervisors who are likely responsible for the day-to-day management of people and the WHS risks their workers are exposed to. This Review notes that the draft report of the Closing Loopholes Review included a recommendation for the Australian Government to work with WHS regulators to ensure targeted and accessible training for PCBUs, HSRs and their assistants (including union officials) to understand their WHS and industrial relations roles and responsibilities.</w:t>
      </w:r>
      <w:r w:rsidRPr="005E481E">
        <w:rPr>
          <w:rFonts w:eastAsia="Arial"/>
          <w:vertAlign w:val="superscript"/>
        </w:rPr>
        <w:footnoteReference w:id="164"/>
      </w:r>
    </w:p>
    <w:p w14:paraId="5A0AF8F0" w14:textId="5FE43D1C" w:rsidR="008612F7" w:rsidRPr="005E481E" w:rsidRDefault="00FD3816" w:rsidP="00AF5E17">
      <w:pPr>
        <w:pStyle w:val="Paragraph"/>
        <w:rPr>
          <w:rFonts w:eastAsia="Arial"/>
        </w:rPr>
      </w:pPr>
      <w:r w:rsidRPr="005E481E">
        <w:rPr>
          <w:rFonts w:eastAsia="Arial"/>
        </w:rPr>
        <w:t xml:space="preserve">While a significant amount of guidance material already exists, industry representatives noted it is not always accessible, practical or </w:t>
      </w:r>
      <w:r w:rsidRPr="005E481E" w:rsidDel="00D43DF3">
        <w:rPr>
          <w:rFonts w:eastAsia="Arial"/>
        </w:rPr>
        <w:t>well</w:t>
      </w:r>
      <w:r w:rsidRPr="005E481E">
        <w:rPr>
          <w:rFonts w:eastAsia="Arial"/>
        </w:rPr>
        <w:t>-known in practice, particularly for small businesses and dispersed workforces.</w:t>
      </w:r>
      <w:r w:rsidRPr="005E481E">
        <w:rPr>
          <w:rFonts w:eastAsia="Arial"/>
          <w:vertAlign w:val="superscript"/>
        </w:rPr>
        <w:footnoteReference w:id="165"/>
      </w:r>
      <w:r w:rsidRPr="005E481E">
        <w:rPr>
          <w:rFonts w:eastAsia="Arial"/>
        </w:rPr>
        <w:t xml:space="preserve"> WHS information is spread across multiple sources and largely relies on individuals actively seeking it out, meaning it may not reach workers who receive minimal or inconsistent WHS induction or training. As a result, workers’ and duty holders’ understanding of WHS concepts, duties and consultation rights likely varies in practice across workplaces.</w:t>
      </w:r>
    </w:p>
    <w:p w14:paraId="1ECDDE86" w14:textId="77777777" w:rsidR="00C254A0" w:rsidRPr="005E481E" w:rsidRDefault="00C254A0" w:rsidP="00AF5E17">
      <w:pPr>
        <w:pStyle w:val="Paragraph"/>
        <w:rPr>
          <w:rFonts w:eastAsia="Arial"/>
        </w:rPr>
      </w:pPr>
      <w:r w:rsidRPr="005E481E">
        <w:rPr>
          <w:rFonts w:eastAsia="Arial"/>
        </w:rPr>
        <w:t>This Review concludes that the existing approach of providing guidance materials has not been sufficiently effective. There is a need to dramatically lift the profile of fundamental WHS duties by providing consistent information to all workers, including managers and supervisors, in a clear and accessible form.</w:t>
      </w:r>
    </w:p>
    <w:p w14:paraId="4F480E10" w14:textId="77777777" w:rsidR="00F21CE3" w:rsidRDefault="00C254A0" w:rsidP="00AF5E17">
      <w:pPr>
        <w:pStyle w:val="Paragraph"/>
        <w:rPr>
          <w:rFonts w:eastAsia="Arial"/>
        </w:rPr>
      </w:pPr>
      <w:r w:rsidRPr="005E481E">
        <w:rPr>
          <w:rFonts w:eastAsia="Arial"/>
        </w:rPr>
        <w:t xml:space="preserve">This Review therefore recommends Safe Work Australia develop a WHS Information Statement, modelled on the </w:t>
      </w:r>
      <w:r w:rsidRPr="002E140F">
        <w:rPr>
          <w:rFonts w:eastAsia="Arial"/>
          <w:i/>
          <w:iCs/>
        </w:rPr>
        <w:t>Fair Work Information Statement</w:t>
      </w:r>
      <w:r w:rsidRPr="002E140F">
        <w:rPr>
          <w:rFonts w:eastAsia="Arial"/>
        </w:rPr>
        <w:t>,</w:t>
      </w:r>
      <w:r w:rsidRPr="002E140F">
        <w:rPr>
          <w:rFonts w:eastAsia="Arial"/>
          <w:vertAlign w:val="superscript"/>
        </w:rPr>
        <w:footnoteReference w:id="166"/>
      </w:r>
      <w:r w:rsidRPr="005E481E">
        <w:rPr>
          <w:rFonts w:eastAsia="Arial"/>
        </w:rPr>
        <w:t xml:space="preserve"> which PCBUs should be required to provide to all workers upon commencement with the business or undertaking. Where multiple PCBUs may owe this duty to the same workers, the consultation, cooperation and coordination duty can be used to avoid duplication.</w:t>
      </w:r>
    </w:p>
    <w:p w14:paraId="19C9F89F" w14:textId="77777777" w:rsidR="00F21CE3" w:rsidRDefault="00C254A0" w:rsidP="00AF5E17">
      <w:pPr>
        <w:pStyle w:val="Paragraph"/>
        <w:rPr>
          <w:rFonts w:eastAsia="Arial"/>
        </w:rPr>
      </w:pPr>
      <w:r w:rsidRPr="005E481E">
        <w:rPr>
          <w:rFonts w:eastAsia="Arial"/>
        </w:rPr>
        <w:t>The WHS Information Statement should be no more than 2 pages and provide a clear overview of the most important WHS rights, duties and consultation requirements that apply to workers, managers and supervisors. As a minimum, the WHS Information Statement should cover:</w:t>
      </w:r>
    </w:p>
    <w:p w14:paraId="4BB9A329" w14:textId="77777777" w:rsidR="00F21CE3" w:rsidRDefault="00C254A0" w:rsidP="00042ECD">
      <w:pPr>
        <w:pStyle w:val="ListBullet"/>
        <w:rPr>
          <w:rFonts w:cs="Arial"/>
          <w:lang w:eastAsia="ja-JP"/>
        </w:rPr>
      </w:pPr>
      <w:r w:rsidRPr="00163EC8">
        <w:rPr>
          <w:lang w:eastAsia="ja-JP"/>
        </w:rPr>
        <w:t xml:space="preserve">the PCBU </w:t>
      </w:r>
      <w:r w:rsidRPr="00163EC8">
        <w:rPr>
          <w:rFonts w:eastAsia="Times New Roman" w:cs="Arial"/>
          <w:lang w:eastAsia="en-AU"/>
        </w:rPr>
        <w:t>primary</w:t>
      </w:r>
      <w:r w:rsidRPr="00163EC8">
        <w:rPr>
          <w:rFonts w:cs="Arial"/>
          <w:lang w:eastAsia="ja-JP"/>
        </w:rPr>
        <w:t xml:space="preserve"> duty of care, including in relation to the work environment, plant, systems of work, adequate facilities and information, training and supervision</w:t>
      </w:r>
    </w:p>
    <w:p w14:paraId="0974E19C" w14:textId="7453BE54" w:rsidR="00C254A0" w:rsidRPr="00163EC8" w:rsidRDefault="00C254A0" w:rsidP="00042ECD">
      <w:pPr>
        <w:pStyle w:val="ListBullet"/>
        <w:rPr>
          <w:rFonts w:cs="Arial"/>
          <w:lang w:eastAsia="ja-JP"/>
        </w:rPr>
      </w:pPr>
      <w:r w:rsidRPr="00163EC8">
        <w:rPr>
          <w:lang w:eastAsia="ja-JP"/>
        </w:rPr>
        <w:t xml:space="preserve">the PCBU duty to eliminate or minimise both physical and psychosocial risks to </w:t>
      </w:r>
      <w:r w:rsidRPr="00163EC8">
        <w:rPr>
          <w:rFonts w:cs="Arial"/>
          <w:lang w:eastAsia="ja-JP"/>
        </w:rPr>
        <w:t>health and safety</w:t>
      </w:r>
    </w:p>
    <w:p w14:paraId="63FFE42D" w14:textId="77777777" w:rsidR="00C254A0" w:rsidRPr="00163EC8" w:rsidRDefault="00C254A0" w:rsidP="00042ECD">
      <w:pPr>
        <w:pStyle w:val="ListBullet"/>
        <w:rPr>
          <w:rFonts w:cs="Arial"/>
          <w:lang w:eastAsia="ja-JP"/>
        </w:rPr>
      </w:pPr>
      <w:r w:rsidRPr="00163EC8">
        <w:rPr>
          <w:lang w:eastAsia="ja-JP"/>
        </w:rPr>
        <w:t xml:space="preserve">that WHS laws apply to digital work systems, including AI (see </w:t>
      </w:r>
      <w:r w:rsidRPr="00163EC8">
        <w:rPr>
          <w:rFonts w:cs="Arial"/>
          <w:b/>
          <w:lang w:eastAsia="ja-JP"/>
        </w:rPr>
        <w:t>Chapter 8.1</w:t>
      </w:r>
      <w:r w:rsidRPr="00163EC8">
        <w:rPr>
          <w:rFonts w:cs="Arial"/>
          <w:lang w:eastAsia="ja-JP"/>
        </w:rPr>
        <w:t>)</w:t>
      </w:r>
    </w:p>
    <w:p w14:paraId="6AE18FA0" w14:textId="77777777" w:rsidR="00C254A0" w:rsidRPr="00163EC8" w:rsidRDefault="00C254A0" w:rsidP="00042ECD">
      <w:pPr>
        <w:pStyle w:val="ListBullet"/>
        <w:rPr>
          <w:rFonts w:cs="Arial"/>
          <w:lang w:eastAsia="ja-JP"/>
        </w:rPr>
      </w:pPr>
      <w:r w:rsidRPr="00163EC8">
        <w:rPr>
          <w:lang w:eastAsia="ja-JP"/>
        </w:rPr>
        <w:t>general duties of officers, workers and other persons</w:t>
      </w:r>
    </w:p>
    <w:p w14:paraId="6436E3CF" w14:textId="77777777" w:rsidR="00F21CE3" w:rsidRDefault="00C254A0" w:rsidP="00042ECD">
      <w:pPr>
        <w:pStyle w:val="ListBullet"/>
        <w:rPr>
          <w:lang w:eastAsia="ja-JP"/>
        </w:rPr>
      </w:pPr>
      <w:r w:rsidRPr="00163EC8">
        <w:rPr>
          <w:lang w:eastAsia="ja-JP"/>
        </w:rPr>
        <w:t>the PCBU duty to consult on WHS matters and the nature of consultation</w:t>
      </w:r>
    </w:p>
    <w:p w14:paraId="159B94EC" w14:textId="2BB54578" w:rsidR="00C254A0" w:rsidRPr="00163EC8" w:rsidRDefault="00C254A0" w:rsidP="00042ECD">
      <w:pPr>
        <w:pStyle w:val="ListBullet"/>
        <w:rPr>
          <w:rFonts w:cs="Arial"/>
          <w:lang w:eastAsia="ja-JP"/>
        </w:rPr>
      </w:pPr>
      <w:r w:rsidRPr="00163EC8">
        <w:rPr>
          <w:lang w:eastAsia="ja-JP"/>
        </w:rPr>
        <w:t>the powers and functions of HSRs and health and safety committees (HSCs)</w:t>
      </w:r>
    </w:p>
    <w:p w14:paraId="0CACE852" w14:textId="77777777" w:rsidR="00C254A0" w:rsidRPr="00163EC8" w:rsidRDefault="00C254A0" w:rsidP="00042ECD">
      <w:pPr>
        <w:pStyle w:val="ListBullet"/>
        <w:rPr>
          <w:rFonts w:cs="Arial"/>
          <w:lang w:eastAsia="ja-JP"/>
        </w:rPr>
      </w:pPr>
      <w:r w:rsidRPr="00163EC8">
        <w:rPr>
          <w:lang w:eastAsia="ja-JP"/>
        </w:rPr>
        <w:t xml:space="preserve">the prohibition of discriminatory conduct (see </w:t>
      </w:r>
      <w:r w:rsidRPr="00163EC8">
        <w:rPr>
          <w:rFonts w:cs="Arial"/>
          <w:b/>
          <w:lang w:eastAsia="ja-JP"/>
        </w:rPr>
        <w:t>Chapter 3.2</w:t>
      </w:r>
      <w:r w:rsidRPr="00163EC8">
        <w:rPr>
          <w:rFonts w:cs="Arial"/>
          <w:lang w:eastAsia="ja-JP"/>
        </w:rPr>
        <w:t>)</w:t>
      </w:r>
    </w:p>
    <w:p w14:paraId="6059494F" w14:textId="77777777" w:rsidR="00C254A0" w:rsidRPr="00163EC8" w:rsidRDefault="00C254A0" w:rsidP="00042ECD">
      <w:pPr>
        <w:pStyle w:val="ListBullet"/>
        <w:rPr>
          <w:rFonts w:cs="Arial"/>
          <w:lang w:eastAsia="ja-JP"/>
        </w:rPr>
      </w:pPr>
      <w:r w:rsidRPr="00163EC8">
        <w:rPr>
          <w:lang w:eastAsia="ja-JP"/>
        </w:rPr>
        <w:t>rights of workers, including the right to cease unsafe work</w:t>
      </w:r>
    </w:p>
    <w:p w14:paraId="5C5E4C64" w14:textId="77777777" w:rsidR="00C254A0" w:rsidRPr="00163EC8" w:rsidRDefault="00C254A0" w:rsidP="00042ECD">
      <w:pPr>
        <w:pStyle w:val="ListBullet"/>
        <w:rPr>
          <w:rFonts w:cs="Arial"/>
          <w:lang w:eastAsia="ja-JP"/>
        </w:rPr>
      </w:pPr>
      <w:r w:rsidRPr="00163EC8">
        <w:rPr>
          <w:lang w:eastAsia="ja-JP"/>
        </w:rPr>
        <w:t>the role of WHS regulators and their contact details.</w:t>
      </w:r>
    </w:p>
    <w:p w14:paraId="38191F91" w14:textId="77777777" w:rsidR="004420D1" w:rsidRDefault="004420D1">
      <w:pPr>
        <w:spacing w:after="200" w:line="276" w:lineRule="auto"/>
        <w:contextualSpacing w:val="0"/>
        <w:rPr>
          <w:rFonts w:asciiTheme="minorHAnsi" w:eastAsia="Arial" w:hAnsiTheme="minorHAnsi"/>
          <w:lang w:eastAsia="en-AU"/>
        </w:rPr>
      </w:pPr>
      <w:r>
        <w:rPr>
          <w:rFonts w:eastAsia="Arial"/>
        </w:rPr>
        <w:br w:type="page"/>
      </w:r>
    </w:p>
    <w:p w14:paraId="3D84E932" w14:textId="11BDC41C" w:rsidR="008F494A" w:rsidRPr="005E481E" w:rsidRDefault="00C254A0" w:rsidP="0016789A">
      <w:pPr>
        <w:pStyle w:val="Paragraph"/>
        <w:spacing w:after="240"/>
        <w:rPr>
          <w:rFonts w:eastAsia="Arial"/>
        </w:rPr>
      </w:pPr>
      <w:r w:rsidRPr="005E481E">
        <w:rPr>
          <w:rFonts w:eastAsia="Arial"/>
        </w:rPr>
        <w:lastRenderedPageBreak/>
        <w:t>This Review also recommends Safe Work Australia develop a second WHS Information Statement specifically designed for small business owners which would include the same fundamental information reframed for these duty holders.</w:t>
      </w:r>
    </w:p>
    <w:tbl>
      <w:tblPr>
        <w:tblStyle w:val="Style4"/>
        <w:tblW w:w="5000" w:type="pct"/>
        <w:tblCellMar>
          <w:top w:w="113" w:type="dxa"/>
          <w:bottom w:w="113" w:type="dxa"/>
        </w:tblCellMar>
        <w:tblLook w:val="04A0" w:firstRow="1" w:lastRow="0" w:firstColumn="1" w:lastColumn="0" w:noHBand="0" w:noVBand="1"/>
      </w:tblPr>
      <w:tblGrid>
        <w:gridCol w:w="9746"/>
      </w:tblGrid>
      <w:tr w:rsidR="00B74A10" w14:paraId="2F060894" w14:textId="77777777" w:rsidTr="0016789A">
        <w:trPr>
          <w:cnfStyle w:val="100000000000" w:firstRow="1" w:lastRow="0" w:firstColumn="0" w:lastColumn="0" w:oddVBand="0" w:evenVBand="0" w:oddHBand="0" w:evenHBand="0" w:firstRowFirstColumn="0" w:firstRowLastColumn="0" w:lastRowFirstColumn="0" w:lastRowLastColumn="0"/>
        </w:trPr>
        <w:tc>
          <w:tcPr>
            <w:tcW w:w="5000" w:type="pct"/>
          </w:tcPr>
          <w:p w14:paraId="661E2F36" w14:textId="029D574D" w:rsidR="00B74A10" w:rsidRDefault="00B74A10">
            <w:pPr>
              <w:pStyle w:val="Tableheader"/>
            </w:pPr>
            <w:r>
              <w:t>The duties framework</w:t>
            </w:r>
            <w:r w:rsidR="004420D1">
              <w:t xml:space="preserve"> – Recommendation 7</w:t>
            </w:r>
          </w:p>
        </w:tc>
      </w:tr>
      <w:tr w:rsidR="00B74A10" w14:paraId="00442DBA" w14:textId="77777777" w:rsidTr="0016789A">
        <w:tc>
          <w:tcPr>
            <w:tcW w:w="5000" w:type="pct"/>
          </w:tcPr>
          <w:p w14:paraId="113FF2DB" w14:textId="77777777" w:rsidR="00F21CE3" w:rsidRDefault="004D19FE" w:rsidP="004420D1">
            <w:pPr>
              <w:pStyle w:val="Paragraphtable"/>
              <w:rPr>
                <w:sz w:val="21"/>
                <w:szCs w:val="21"/>
              </w:rPr>
            </w:pPr>
            <w:r w:rsidRPr="0016789A">
              <w:rPr>
                <w:sz w:val="21"/>
                <w:szCs w:val="21"/>
              </w:rPr>
              <w:t>Amend the model WHS Act to:</w:t>
            </w:r>
          </w:p>
          <w:p w14:paraId="34B85200" w14:textId="28CE6686" w:rsidR="00EB4F8C" w:rsidRPr="0016789A" w:rsidRDefault="000428F7" w:rsidP="00447786">
            <w:pPr>
              <w:pStyle w:val="Listnumber2tables"/>
              <w:numPr>
                <w:ilvl w:val="0"/>
                <w:numId w:val="54"/>
              </w:numPr>
              <w:rPr>
                <w:sz w:val="21"/>
                <w:szCs w:val="21"/>
              </w:rPr>
            </w:pPr>
            <w:r w:rsidRPr="0016789A">
              <w:rPr>
                <w:sz w:val="21"/>
                <w:szCs w:val="21"/>
              </w:rPr>
              <w:t xml:space="preserve">require persons conducting a business or undertaking (PCBU) to provide workers with a WHS Information Statement that sets out the fundamentals of WHS, modelled on the </w:t>
            </w:r>
            <w:r w:rsidRPr="00DD6450">
              <w:rPr>
                <w:i/>
                <w:iCs/>
                <w:sz w:val="21"/>
                <w:szCs w:val="21"/>
              </w:rPr>
              <w:t>Fair Work Information Statement</w:t>
            </w:r>
            <w:r w:rsidR="009E29CF" w:rsidRPr="0016789A">
              <w:rPr>
                <w:sz w:val="21"/>
                <w:szCs w:val="21"/>
              </w:rPr>
              <w:t>, and</w:t>
            </w:r>
          </w:p>
          <w:p w14:paraId="1583E711" w14:textId="6BEC89D0" w:rsidR="00B74A10" w:rsidRPr="0057493E" w:rsidRDefault="00B177FB" w:rsidP="00447786">
            <w:pPr>
              <w:pStyle w:val="Listnumber2tables"/>
              <w:numPr>
                <w:ilvl w:val="0"/>
                <w:numId w:val="54"/>
              </w:numPr>
            </w:pPr>
            <w:r w:rsidRPr="0016789A">
              <w:rPr>
                <w:sz w:val="21"/>
                <w:szCs w:val="21"/>
              </w:rPr>
              <w:t>develop a WHS Information Statement specifically for small business owners</w:t>
            </w:r>
            <w:r w:rsidR="002A02DC" w:rsidRPr="0016789A">
              <w:rPr>
                <w:sz w:val="21"/>
                <w:szCs w:val="21"/>
              </w:rPr>
              <w:t>.</w:t>
            </w:r>
          </w:p>
        </w:tc>
      </w:tr>
    </w:tbl>
    <w:p w14:paraId="48CC4280" w14:textId="77777777" w:rsidR="00EA586E" w:rsidRDefault="00EA586E" w:rsidP="00A00390">
      <w:pPr>
        <w:pStyle w:val="Paragraph"/>
      </w:pPr>
    </w:p>
    <w:p w14:paraId="5E3F7FEC" w14:textId="119F5745" w:rsidR="00A00390" w:rsidRDefault="00A00390" w:rsidP="00982FB6">
      <w:pPr>
        <w:pStyle w:val="Paragraph"/>
        <w:sectPr w:rsidR="00A00390" w:rsidSect="00DF1707">
          <w:headerReference w:type="default" r:id="rId34"/>
          <w:pgSz w:w="11906" w:h="16838" w:code="9"/>
          <w:pgMar w:top="1440" w:right="1080" w:bottom="1440" w:left="1080" w:header="709" w:footer="709" w:gutter="0"/>
          <w:cols w:space="708"/>
          <w:titlePg/>
          <w:docGrid w:linePitch="360"/>
        </w:sectPr>
      </w:pPr>
    </w:p>
    <w:p w14:paraId="1FFF94AD" w14:textId="32546610" w:rsidR="00775484" w:rsidRDefault="006D1704" w:rsidP="00775484">
      <w:pPr>
        <w:pStyle w:val="SWAHeading1"/>
      </w:pPr>
      <w:bookmarkStart w:id="37" w:name="_Toc239845149"/>
      <w:r>
        <w:lastRenderedPageBreak/>
        <w:t>Consultation, representation and participation</w:t>
      </w:r>
      <w:bookmarkEnd w:id="37"/>
    </w:p>
    <w:p w14:paraId="2AF77D47" w14:textId="18CC57DC" w:rsidR="00775484" w:rsidRPr="004420D1" w:rsidRDefault="00775484" w:rsidP="00BF204D">
      <w:pPr>
        <w:pStyle w:val="Boxedshaded"/>
        <w:rPr>
          <w:b/>
          <w:bCs/>
        </w:rPr>
      </w:pPr>
      <w:r w:rsidRPr="004420D1">
        <w:rPr>
          <w:b/>
          <w:bCs/>
        </w:rPr>
        <w:t>Terms of Reference:</w:t>
      </w:r>
    </w:p>
    <w:p w14:paraId="42FCE18C" w14:textId="77777777" w:rsidR="0098369F" w:rsidRPr="0098369F" w:rsidRDefault="0098369F" w:rsidP="00BF204D">
      <w:pPr>
        <w:pStyle w:val="Boxedshaded"/>
      </w:pPr>
      <w:r w:rsidRPr="0098369F">
        <w:t>2.1, 2.2, 2.3, 2.5, 2.6, 3.1, 3.2, 3.3</w:t>
      </w:r>
    </w:p>
    <w:p w14:paraId="21A856A3" w14:textId="3541310D" w:rsidR="00775484" w:rsidRPr="004420D1" w:rsidRDefault="00775484" w:rsidP="00BF204D">
      <w:pPr>
        <w:pStyle w:val="Boxedshaded"/>
        <w:rPr>
          <w:b/>
          <w:bCs/>
        </w:rPr>
      </w:pPr>
      <w:r w:rsidRPr="004420D1">
        <w:rPr>
          <w:b/>
          <w:bCs/>
        </w:rPr>
        <w:t xml:space="preserve">Reviews considered </w:t>
      </w:r>
      <w:r w:rsidR="00FE1D55" w:rsidRPr="004420D1">
        <w:rPr>
          <w:b/>
          <w:bCs/>
        </w:rPr>
        <w:t>for</w:t>
      </w:r>
      <w:r w:rsidRPr="004420D1">
        <w:rPr>
          <w:b/>
          <w:bCs/>
        </w:rPr>
        <w:t xml:space="preserve"> this chapter:</w:t>
      </w:r>
    </w:p>
    <w:p w14:paraId="4789154F" w14:textId="1841FDD5" w:rsidR="00D51217" w:rsidRPr="002E140F" w:rsidRDefault="00D51217" w:rsidP="00BF204D">
      <w:pPr>
        <w:pStyle w:val="Boxedshadedbullets"/>
      </w:pPr>
      <w:r w:rsidRPr="002E140F">
        <w:t xml:space="preserve">2008 </w:t>
      </w:r>
      <w:r w:rsidRPr="002E140F">
        <w:rPr>
          <w:i/>
          <w:iCs/>
        </w:rPr>
        <w:t>National Review into Model Occupational Health and Safety Laws</w:t>
      </w:r>
      <w:r w:rsidR="002E140F" w:rsidRPr="00ED4B69">
        <w:t xml:space="preserve"> (</w:t>
      </w:r>
      <w:r w:rsidR="002E140F" w:rsidRPr="00ED4B69">
        <w:rPr>
          <w:i/>
          <w:iCs/>
        </w:rPr>
        <w:t>2008 National Review</w:t>
      </w:r>
      <w:r w:rsidR="002E140F" w:rsidRPr="00ED4B69">
        <w:t>)</w:t>
      </w:r>
    </w:p>
    <w:p w14:paraId="71035C8D" w14:textId="77777777" w:rsidR="00D51217" w:rsidRPr="00850A25" w:rsidRDefault="00D51217" w:rsidP="00BF204D">
      <w:pPr>
        <w:pStyle w:val="Boxedshadedbullets"/>
      </w:pPr>
      <w:r>
        <w:t xml:space="preserve">2017 </w:t>
      </w:r>
      <w:r w:rsidRPr="004420D1">
        <w:rPr>
          <w:i/>
          <w:iCs/>
        </w:rPr>
        <w:t>Best Practice Review of Workplace Health and Safety Queensland</w:t>
      </w:r>
    </w:p>
    <w:p w14:paraId="290279CC" w14:textId="2631ECD8" w:rsidR="00D51217" w:rsidRPr="00850A25" w:rsidRDefault="00D51217" w:rsidP="00BF204D">
      <w:pPr>
        <w:pStyle w:val="Boxedshadedbullets"/>
      </w:pPr>
      <w:r w:rsidRPr="00850A25">
        <w:t xml:space="preserve">2017 </w:t>
      </w:r>
      <w:r w:rsidRPr="004420D1">
        <w:rPr>
          <w:i/>
          <w:iCs/>
        </w:rPr>
        <w:t>Modernising work health and safety laws in Western Australia</w:t>
      </w:r>
    </w:p>
    <w:p w14:paraId="5F07423A" w14:textId="777AD997" w:rsidR="00D51217" w:rsidRPr="002E140F" w:rsidRDefault="00D51217" w:rsidP="00BF204D">
      <w:pPr>
        <w:pStyle w:val="Boxedshadedbullets"/>
      </w:pPr>
      <w:r w:rsidRPr="002E140F">
        <w:t xml:space="preserve">2018 </w:t>
      </w:r>
      <w:r w:rsidRPr="002E140F">
        <w:rPr>
          <w:i/>
          <w:iCs/>
        </w:rPr>
        <w:t>Review of the model Work Health and Safety laws</w:t>
      </w:r>
      <w:r w:rsidR="002E140F" w:rsidRPr="00ED4B69">
        <w:t xml:space="preserve"> (</w:t>
      </w:r>
      <w:r w:rsidR="002E140F" w:rsidRPr="00ED4B69">
        <w:rPr>
          <w:i/>
          <w:iCs/>
        </w:rPr>
        <w:t>2018 National Review</w:t>
      </w:r>
      <w:r w:rsidR="002E140F" w:rsidRPr="00ED4B69">
        <w:t>)</w:t>
      </w:r>
    </w:p>
    <w:p w14:paraId="0D3FA668" w14:textId="6BAF9DE0" w:rsidR="00F21CE3" w:rsidRDefault="00D51217" w:rsidP="00BF204D">
      <w:pPr>
        <w:pStyle w:val="Boxedshadedbullets"/>
      </w:pPr>
      <w:r w:rsidRPr="00850A25">
        <w:t xml:space="preserve">2022 </w:t>
      </w:r>
      <w:r w:rsidRPr="004420D1">
        <w:rPr>
          <w:i/>
          <w:iCs/>
        </w:rPr>
        <w:t>Review of the Work Health and Safety Act 2011</w:t>
      </w:r>
      <w:r w:rsidRPr="00850A25">
        <w:t xml:space="preserve"> (Queensland)</w:t>
      </w:r>
      <w:r w:rsidR="00881C34" w:rsidRPr="00881C34">
        <w:t xml:space="preserve"> </w:t>
      </w:r>
      <w:r w:rsidR="00881C34">
        <w:t>(</w:t>
      </w:r>
      <w:r w:rsidR="00881C34" w:rsidRPr="00CC72D5">
        <w:rPr>
          <w:i/>
          <w:iCs/>
        </w:rPr>
        <w:t>2022 Queensland Review</w:t>
      </w:r>
      <w:r w:rsidR="00881C34">
        <w:t>)</w:t>
      </w:r>
    </w:p>
    <w:p w14:paraId="348490F9" w14:textId="5D547CAB" w:rsidR="00D51217" w:rsidRPr="00850A25" w:rsidRDefault="00D51217" w:rsidP="00BF204D">
      <w:pPr>
        <w:pStyle w:val="Boxedshadedbullets"/>
      </w:pPr>
      <w:r w:rsidRPr="00850A25">
        <w:t xml:space="preserve">2022 </w:t>
      </w:r>
      <w:r w:rsidRPr="004420D1">
        <w:rPr>
          <w:i/>
          <w:iCs/>
        </w:rPr>
        <w:t>Independent Review of SafeWork SA</w:t>
      </w:r>
    </w:p>
    <w:p w14:paraId="5CBA7B7E" w14:textId="77777777" w:rsidR="00D51217" w:rsidRPr="004420D1" w:rsidRDefault="00D51217" w:rsidP="00BF204D">
      <w:pPr>
        <w:pStyle w:val="Boxedshadedbullets"/>
        <w:rPr>
          <w:i/>
          <w:iCs/>
        </w:rPr>
      </w:pPr>
      <w:r w:rsidRPr="00850A25">
        <w:t xml:space="preserve">2023 </w:t>
      </w:r>
      <w:r w:rsidRPr="004420D1">
        <w:rPr>
          <w:i/>
          <w:iCs/>
        </w:rPr>
        <w:t>Independent Review of SafeWork NSW</w:t>
      </w:r>
    </w:p>
    <w:p w14:paraId="683E73AD" w14:textId="77777777" w:rsidR="00F21CE3" w:rsidRDefault="00D51217" w:rsidP="00BF204D">
      <w:pPr>
        <w:pStyle w:val="Boxedshadedbullets"/>
      </w:pPr>
      <w:r>
        <w:t xml:space="preserve">2024 </w:t>
      </w:r>
      <w:r w:rsidRPr="004420D1">
        <w:rPr>
          <w:i/>
          <w:iCs/>
        </w:rPr>
        <w:t>Formal Review into Victorian Government Bodies’ Engagement with Construction Companies and Construction Unions</w:t>
      </w:r>
    </w:p>
    <w:p w14:paraId="6FA34CCB" w14:textId="3456988A" w:rsidR="00D51217" w:rsidRDefault="00D51217" w:rsidP="00BF204D">
      <w:pPr>
        <w:pStyle w:val="Boxedshadedbullets"/>
      </w:pPr>
      <w:r>
        <w:t xml:space="preserve">2025 </w:t>
      </w:r>
      <w:r w:rsidRPr="004420D1">
        <w:rPr>
          <w:i/>
          <w:iCs/>
        </w:rPr>
        <w:t xml:space="preserve">Independent Review of Employee Representatives – </w:t>
      </w:r>
      <w:r w:rsidR="002E140F">
        <w:rPr>
          <w:i/>
          <w:iCs/>
        </w:rPr>
        <w:t>i</w:t>
      </w:r>
      <w:r w:rsidRPr="004420D1">
        <w:rPr>
          <w:i/>
          <w:iCs/>
        </w:rPr>
        <w:t xml:space="preserve">nterim </w:t>
      </w:r>
      <w:r w:rsidR="002E140F">
        <w:rPr>
          <w:i/>
          <w:iCs/>
        </w:rPr>
        <w:t>r</w:t>
      </w:r>
      <w:r w:rsidRPr="004420D1">
        <w:rPr>
          <w:i/>
          <w:iCs/>
        </w:rPr>
        <w:t>eport</w:t>
      </w:r>
    </w:p>
    <w:p w14:paraId="7FE2ED4E" w14:textId="19AA00B9" w:rsidR="00F21CE3" w:rsidRDefault="00D51217" w:rsidP="00BF204D">
      <w:pPr>
        <w:pStyle w:val="Boxedshadedbullets"/>
      </w:pPr>
      <w:r>
        <w:t xml:space="preserve">2026 </w:t>
      </w:r>
      <w:r w:rsidRPr="004420D1">
        <w:rPr>
          <w:i/>
          <w:iCs/>
        </w:rPr>
        <w:t xml:space="preserve">Closing </w:t>
      </w:r>
      <w:r w:rsidR="002E140F">
        <w:rPr>
          <w:i/>
          <w:iCs/>
        </w:rPr>
        <w:t>l</w:t>
      </w:r>
      <w:r w:rsidRPr="004420D1">
        <w:rPr>
          <w:i/>
          <w:iCs/>
        </w:rPr>
        <w:t>oopholes</w:t>
      </w:r>
      <w:r w:rsidR="002E140F">
        <w:rPr>
          <w:i/>
          <w:iCs/>
        </w:rPr>
        <w:t>:</w:t>
      </w:r>
      <w:r w:rsidRPr="004420D1">
        <w:rPr>
          <w:i/>
          <w:iCs/>
        </w:rPr>
        <w:t xml:space="preserve"> </w:t>
      </w:r>
      <w:r w:rsidR="002E140F">
        <w:rPr>
          <w:i/>
          <w:iCs/>
        </w:rPr>
        <w:t>a</w:t>
      </w:r>
      <w:r w:rsidRPr="004420D1">
        <w:rPr>
          <w:i/>
          <w:iCs/>
        </w:rPr>
        <w:t>n independent statutory review</w:t>
      </w:r>
      <w:r w:rsidR="002E140F">
        <w:rPr>
          <w:i/>
          <w:iCs/>
        </w:rPr>
        <w:t>:</w:t>
      </w:r>
      <w:r w:rsidRPr="004420D1">
        <w:rPr>
          <w:i/>
          <w:iCs/>
        </w:rPr>
        <w:t xml:space="preserve"> Draft </w:t>
      </w:r>
      <w:r w:rsidR="002E140F">
        <w:rPr>
          <w:i/>
          <w:iCs/>
        </w:rPr>
        <w:t>r</w:t>
      </w:r>
      <w:r w:rsidRPr="004420D1">
        <w:rPr>
          <w:i/>
          <w:iCs/>
        </w:rPr>
        <w:t>eport.</w:t>
      </w:r>
    </w:p>
    <w:p w14:paraId="1F0CA579" w14:textId="3EE8B134" w:rsidR="00775484" w:rsidRDefault="00775484" w:rsidP="00775484">
      <w:pPr>
        <w:pStyle w:val="SWAHeading3"/>
      </w:pPr>
      <w:r>
        <w:t>Introduction</w:t>
      </w:r>
    </w:p>
    <w:p w14:paraId="559EC4F4" w14:textId="77777777" w:rsidR="00F21CE3" w:rsidRDefault="004602AD" w:rsidP="00AF5E17">
      <w:pPr>
        <w:pStyle w:val="Paragraph"/>
      </w:pPr>
      <w:r w:rsidRPr="008A4B72">
        <w:t>This chapter examines the consultation, representation and participation provisions in the model WHS Act, including those provisions relevant to HSRs, right of entry and issue resolution.</w:t>
      </w:r>
    </w:p>
    <w:p w14:paraId="5BF2AC7C" w14:textId="4E921790" w:rsidR="00F21CE3" w:rsidRDefault="004602AD" w:rsidP="00AF5E17">
      <w:pPr>
        <w:pStyle w:val="Paragraph"/>
      </w:pPr>
      <w:r w:rsidRPr="008A4B72">
        <w:t>These provisions have frequently shifted over time as governments in harmonised jurisdictions have changed. In some jurisdictions, the same provisions have been amended, repealed and amended again. This chapter is therefore, by necessity, longer than others and deals in some detail with the various provisions under Part 5 of the model WHS Act.</w:t>
      </w:r>
    </w:p>
    <w:p w14:paraId="5D56A358" w14:textId="61037029" w:rsidR="00775484" w:rsidRDefault="00775484" w:rsidP="00775484">
      <w:pPr>
        <w:pStyle w:val="SWAHeading3"/>
      </w:pPr>
      <w:r>
        <w:t>Criteria for assessing variations</w:t>
      </w:r>
    </w:p>
    <w:p w14:paraId="506421C3" w14:textId="77777777" w:rsidR="00F21CE3" w:rsidRDefault="009F602F" w:rsidP="00AF5E17">
      <w:pPr>
        <w:pStyle w:val="Paragraph"/>
      </w:pPr>
      <w:r w:rsidRPr="0039759F">
        <w:t>Consistent with its Terms of Reference, this Review has:</w:t>
      </w:r>
    </w:p>
    <w:p w14:paraId="3572DDD6" w14:textId="07CFF7DA" w:rsidR="009F602F" w:rsidRPr="00163EC8" w:rsidRDefault="009F602F" w:rsidP="00D5554A">
      <w:pPr>
        <w:pStyle w:val="ListBullet"/>
        <w:rPr>
          <w:rFonts w:eastAsia="Times New Roman" w:cs="Arial"/>
          <w:lang w:eastAsia="en-AU"/>
        </w:rPr>
      </w:pPr>
      <w:r w:rsidRPr="00163EC8">
        <w:rPr>
          <w:lang w:eastAsia="en-AU"/>
        </w:rPr>
        <w:t xml:space="preserve">assessed </w:t>
      </w:r>
      <w:r w:rsidRPr="00D62FE3">
        <w:rPr>
          <w:rFonts w:cs="Arial"/>
          <w:lang w:eastAsia="ja-JP"/>
        </w:rPr>
        <w:t>jurisdictional</w:t>
      </w:r>
      <w:r w:rsidRPr="00163EC8">
        <w:rPr>
          <w:rFonts w:eastAsia="Times New Roman" w:cs="Arial"/>
          <w:lang w:eastAsia="en-AU"/>
        </w:rPr>
        <w:t xml:space="preserve"> variations that significantly depart from the model WHS Act</w:t>
      </w:r>
    </w:p>
    <w:p w14:paraId="12B52C44" w14:textId="4A7ED76A" w:rsidR="009F602F" w:rsidRPr="002E140F" w:rsidRDefault="009F602F" w:rsidP="00D5554A">
      <w:pPr>
        <w:pStyle w:val="ListBullet"/>
        <w:rPr>
          <w:rFonts w:eastAsia="Times New Roman" w:cs="Arial"/>
          <w:lang w:eastAsia="en-AU"/>
        </w:rPr>
      </w:pPr>
      <w:r w:rsidRPr="002E140F">
        <w:rPr>
          <w:lang w:eastAsia="en-AU"/>
        </w:rPr>
        <w:t>considered if these best achieve the object of the Act</w:t>
      </w:r>
      <w:r w:rsidR="0039759F" w:rsidRPr="002E140F">
        <w:rPr>
          <w:rFonts w:eastAsia="Times New Roman" w:cs="Arial"/>
          <w:lang w:eastAsia="en-AU"/>
        </w:rPr>
        <w:t>, and</w:t>
      </w:r>
    </w:p>
    <w:p w14:paraId="01B41D9F" w14:textId="77777777" w:rsidR="00F21CE3" w:rsidRDefault="009F602F" w:rsidP="00D5554A">
      <w:pPr>
        <w:pStyle w:val="ListBullet"/>
        <w:rPr>
          <w:lang w:eastAsia="en-AU"/>
        </w:rPr>
      </w:pPr>
      <w:r w:rsidRPr="00163EC8">
        <w:rPr>
          <w:lang w:eastAsia="en-AU"/>
        </w:rPr>
        <w:t>made recommendations on whether they should be incorporated into the model WHS Act.</w:t>
      </w:r>
    </w:p>
    <w:p w14:paraId="218FED00" w14:textId="36853C25" w:rsidR="009F602F" w:rsidRPr="0039759F" w:rsidRDefault="009F602F" w:rsidP="00AF5E17">
      <w:pPr>
        <w:pStyle w:val="Paragraph"/>
        <w:rPr>
          <w:b/>
        </w:rPr>
      </w:pPr>
      <w:r w:rsidRPr="0039759F">
        <w:t xml:space="preserve">Recommendations relating to this chapter which derive from specific jurisdictional variations are set out in </w:t>
      </w:r>
      <w:r w:rsidRPr="0039759F">
        <w:rPr>
          <w:b/>
        </w:rPr>
        <w:t xml:space="preserve">Appendix D </w:t>
      </w:r>
      <w:r w:rsidRPr="0039759F">
        <w:t>and</w:t>
      </w:r>
      <w:r w:rsidRPr="0039759F">
        <w:rPr>
          <w:b/>
        </w:rPr>
        <w:t xml:space="preserve"> Appendix F</w:t>
      </w:r>
      <w:r w:rsidR="002E140F" w:rsidRPr="00856832">
        <w:rPr>
          <w:bCs/>
        </w:rPr>
        <w:t>,</w:t>
      </w:r>
      <w:r w:rsidRPr="0039759F">
        <w:rPr>
          <w:b/>
        </w:rPr>
        <w:t xml:space="preserve"> 1.</w:t>
      </w:r>
    </w:p>
    <w:p w14:paraId="2983E401" w14:textId="301E1857" w:rsidR="009F602F" w:rsidRPr="0039759F" w:rsidRDefault="009F602F" w:rsidP="0039759F">
      <w:pPr>
        <w:spacing w:line="240" w:lineRule="auto"/>
        <w:contextualSpacing w:val="0"/>
        <w:rPr>
          <w:rFonts w:ascii="Aptos" w:eastAsia="Times New Roman" w:hAnsi="Aptos" w:cs="Arial"/>
          <w:lang w:eastAsia="en-AU"/>
        </w:rPr>
      </w:pPr>
      <w:r w:rsidRPr="0039759F">
        <w:rPr>
          <w:rFonts w:ascii="Aptos" w:eastAsia="Times New Roman" w:hAnsi="Aptos" w:cs="Arial"/>
          <w:lang w:eastAsia="en-AU"/>
        </w:rPr>
        <w:lastRenderedPageBreak/>
        <w:t xml:space="preserve">Critical to this part of the Review is the consideration of recommendations from recent jurisdictional reviews – </w:t>
      </w:r>
      <w:r w:rsidRPr="002E140F">
        <w:rPr>
          <w:rFonts w:ascii="Aptos" w:eastAsia="Times New Roman" w:hAnsi="Aptos" w:cs="Arial"/>
          <w:lang w:eastAsia="en-AU"/>
        </w:rPr>
        <w:t xml:space="preserve">the </w:t>
      </w:r>
      <w:r w:rsidRPr="002E140F">
        <w:rPr>
          <w:rFonts w:ascii="Aptos" w:eastAsia="Times New Roman" w:hAnsi="Aptos" w:cs="Arial"/>
          <w:i/>
          <w:lang w:eastAsia="en-AU"/>
        </w:rPr>
        <w:t>Independent Review of SafeWork SA</w:t>
      </w:r>
      <w:r w:rsidRPr="002E140F">
        <w:rPr>
          <w:rFonts w:ascii="Aptos" w:eastAsia="Times New Roman" w:hAnsi="Aptos" w:cs="Arial"/>
          <w:lang w:eastAsia="en-AU"/>
        </w:rPr>
        <w:t xml:space="preserve"> by John Merritt</w:t>
      </w:r>
      <w:r w:rsidRPr="0039759F">
        <w:rPr>
          <w:rFonts w:ascii="Aptos" w:eastAsia="Times New Roman" w:hAnsi="Aptos" w:cs="Arial"/>
          <w:lang w:eastAsia="en-AU"/>
        </w:rPr>
        <w:t xml:space="preserve"> and the </w:t>
      </w:r>
      <w:r w:rsidR="004C535E">
        <w:rPr>
          <w:rFonts w:ascii="Aptos" w:eastAsia="Times New Roman" w:hAnsi="Aptos" w:cs="Arial"/>
          <w:i/>
          <w:lang w:eastAsia="en-AU"/>
        </w:rPr>
        <w:t>2022 Queensland Review</w:t>
      </w:r>
      <w:r w:rsidR="004C535E">
        <w:rPr>
          <w:rFonts w:ascii="Aptos" w:eastAsia="Times New Roman" w:hAnsi="Aptos" w:cs="Arial"/>
          <w:iCs/>
          <w:lang w:eastAsia="en-AU"/>
        </w:rPr>
        <w:t xml:space="preserve"> </w:t>
      </w:r>
      <w:r w:rsidRPr="0039759F">
        <w:rPr>
          <w:rFonts w:ascii="Aptos" w:eastAsia="Times New Roman" w:hAnsi="Aptos" w:cs="Arial"/>
          <w:lang w:eastAsia="en-AU"/>
        </w:rPr>
        <w:t>– as required by WHS ministers and this Review’s Terms of Reference.</w:t>
      </w:r>
    </w:p>
    <w:p w14:paraId="43CECD62" w14:textId="77777777" w:rsidR="009F602F" w:rsidRPr="0039759F" w:rsidRDefault="009F602F" w:rsidP="00AF5E17">
      <w:pPr>
        <w:pStyle w:val="Paragraph"/>
      </w:pPr>
      <w:r w:rsidRPr="0039759F">
        <w:t>Variations that have been adopted in at least one jurisdiction and which meet the object of the model WHS Act have been recommended for inclusion in the model WHS Act.</w:t>
      </w:r>
    </w:p>
    <w:p w14:paraId="6FAA0C54" w14:textId="77777777" w:rsidR="009F602F" w:rsidRPr="0039759F" w:rsidRDefault="009F602F" w:rsidP="00AF5E17">
      <w:pPr>
        <w:pStyle w:val="Paragraph"/>
      </w:pPr>
      <w:r w:rsidRPr="0039759F">
        <w:t>Objects of the model WHS Act that are of relevance to this chapter include:</w:t>
      </w:r>
    </w:p>
    <w:p w14:paraId="69A7E9A6" w14:textId="77777777" w:rsidR="009F602F" w:rsidRPr="002E140F" w:rsidRDefault="009F602F" w:rsidP="00D5554A">
      <w:pPr>
        <w:pStyle w:val="ListBullet"/>
        <w:rPr>
          <w:lang w:eastAsia="en-AU"/>
        </w:rPr>
      </w:pPr>
      <w:r w:rsidRPr="00163EC8">
        <w:rPr>
          <w:lang w:eastAsia="en-AU"/>
        </w:rPr>
        <w:t>providing</w:t>
      </w:r>
      <w:r w:rsidRPr="0039759F">
        <w:rPr>
          <w:lang w:eastAsia="en-AU"/>
        </w:rPr>
        <w:t xml:space="preserve"> for </w:t>
      </w:r>
      <w:r w:rsidRPr="00D62FE3">
        <w:rPr>
          <w:rFonts w:cs="Arial"/>
          <w:lang w:eastAsia="ja-JP"/>
        </w:rPr>
        <w:t>fair</w:t>
      </w:r>
      <w:r w:rsidRPr="0039759F">
        <w:rPr>
          <w:lang w:eastAsia="en-AU"/>
        </w:rPr>
        <w:t xml:space="preserve"> and effective workplace representation, consultation</w:t>
      </w:r>
      <w:r w:rsidRPr="002E140F">
        <w:rPr>
          <w:lang w:eastAsia="en-AU"/>
        </w:rPr>
        <w:t>, co-operation and issue resolution in relation to WHS (s 3(1)(b))</w:t>
      </w:r>
    </w:p>
    <w:p w14:paraId="69BB7E50" w14:textId="77777777" w:rsidR="009F602F" w:rsidRPr="0039759F" w:rsidRDefault="009F602F" w:rsidP="00D5554A">
      <w:pPr>
        <w:pStyle w:val="ListBullet"/>
        <w:rPr>
          <w:lang w:eastAsia="en-AU"/>
        </w:rPr>
      </w:pPr>
      <w:r w:rsidRPr="0039759F">
        <w:rPr>
          <w:lang w:eastAsia="en-AU"/>
        </w:rPr>
        <w:t>encouraging unions and employer organisations to take a constructive role in promoting improvements in work health and safety practices (s 3(1)(c))</w:t>
      </w:r>
    </w:p>
    <w:p w14:paraId="57161BE0" w14:textId="77777777" w:rsidR="00F21CE3" w:rsidRDefault="009F602F" w:rsidP="00D5554A">
      <w:pPr>
        <w:pStyle w:val="ListBullet"/>
        <w:rPr>
          <w:lang w:eastAsia="en-AU"/>
        </w:rPr>
      </w:pPr>
      <w:r w:rsidRPr="0039759F">
        <w:rPr>
          <w:lang w:eastAsia="en-AU"/>
        </w:rPr>
        <w:t>providing a framework for continuous improvement and progressively higher standards of work health and safety (s 3(1)(g))</w:t>
      </w:r>
    </w:p>
    <w:p w14:paraId="1737A471" w14:textId="75E11601" w:rsidR="009F602F" w:rsidRPr="0039759F" w:rsidRDefault="009F602F" w:rsidP="00D5554A">
      <w:pPr>
        <w:pStyle w:val="ListBullet"/>
        <w:rPr>
          <w:lang w:eastAsia="en-AU"/>
        </w:rPr>
      </w:pPr>
      <w:r w:rsidRPr="0039759F">
        <w:rPr>
          <w:lang w:eastAsia="en-AU"/>
        </w:rPr>
        <w:t>providing for a balanced and nationally consistent framework (s 3(1)).</w:t>
      </w:r>
    </w:p>
    <w:p w14:paraId="7BD6D8D5" w14:textId="160A3488" w:rsidR="00F93FD4" w:rsidRDefault="00F93FD4" w:rsidP="00F93FD4">
      <w:pPr>
        <w:pStyle w:val="SWAHeading3"/>
      </w:pPr>
      <w:r>
        <w:t>Consultation, representation and participation (Part 5, ss 46</w:t>
      </w:r>
      <w:r w:rsidR="00D2611C">
        <w:rPr>
          <w:rFonts w:ascii="Symbol" w:eastAsia="Symbol" w:hAnsi="Symbol" w:cs="Symbol"/>
        </w:rPr>
        <w:t>-</w:t>
      </w:r>
      <w:r>
        <w:t xml:space="preserve">103, model </w:t>
      </w:r>
      <w:r w:rsidR="004420D1">
        <w:br/>
      </w:r>
      <w:r>
        <w:t>WHS Act)</w:t>
      </w:r>
    </w:p>
    <w:p w14:paraId="25E00BB1" w14:textId="77777777" w:rsidR="00D57199" w:rsidRPr="00CE68FA" w:rsidRDefault="00D57199" w:rsidP="00AF5E17">
      <w:pPr>
        <w:pStyle w:val="Paragraph"/>
        <w:rPr>
          <w:rFonts w:eastAsia="Aptos"/>
          <w:kern w:val="2"/>
          <w14:ligatures w14:val="standardContextual"/>
        </w:rPr>
      </w:pPr>
      <w:r w:rsidRPr="00CE68FA">
        <w:rPr>
          <w:rFonts w:eastAsia="Arial"/>
        </w:rPr>
        <w:t>Consultation is fundamental to compliance with the model WHS Act. A PCBU must consult with workers who carry out work for the business who are likely to be directly affected by a matter relating to work health or safety, so far as reasonably practicable.</w:t>
      </w:r>
      <w:r w:rsidRPr="00CE68FA">
        <w:rPr>
          <w:rFonts w:eastAsia="Arial"/>
          <w:vertAlign w:val="superscript"/>
        </w:rPr>
        <w:footnoteReference w:id="167"/>
      </w:r>
      <w:r w:rsidRPr="00CE68FA">
        <w:rPr>
          <w:rFonts w:eastAsia="Arial"/>
        </w:rPr>
        <w:t xml:space="preserve"> </w:t>
      </w:r>
      <w:r w:rsidRPr="00CE68FA">
        <w:rPr>
          <w:rFonts w:eastAsia="Arial"/>
          <w:lang w:eastAsia="ja-JP"/>
        </w:rPr>
        <w:t xml:space="preserve">The model WHS Act also provides that workers have a right to elect HSRs to represent their work group; and sets out their </w:t>
      </w:r>
      <w:r w:rsidRPr="00CE68FA">
        <w:rPr>
          <w:rFonts w:eastAsia="Aptos"/>
          <w:kern w:val="2"/>
          <w14:ligatures w14:val="standardContextual"/>
        </w:rPr>
        <w:t>functions and powers,</w:t>
      </w:r>
      <w:r w:rsidRPr="00CE68FA">
        <w:rPr>
          <w:rFonts w:eastAsia="Arial"/>
          <w:lang w:eastAsia="ja-JP"/>
        </w:rPr>
        <w:t xml:space="preserve"> how they are </w:t>
      </w:r>
      <w:r w:rsidRPr="00CE68FA">
        <w:rPr>
          <w:rFonts w:eastAsia="Aptos"/>
          <w:kern w:val="2"/>
          <w14:ligatures w14:val="standardContextual"/>
        </w:rPr>
        <w:t>elected and trained, how work groups are determined, and a PCBU’s obligations to HSRs.</w:t>
      </w:r>
      <w:r w:rsidRPr="00CE68FA">
        <w:rPr>
          <w:rFonts w:eastAsia="Aptos"/>
          <w:kern w:val="2"/>
          <w:vertAlign w:val="superscript"/>
          <w14:ligatures w14:val="standardContextual"/>
        </w:rPr>
        <w:footnoteReference w:id="168"/>
      </w:r>
    </w:p>
    <w:p w14:paraId="2D925AE0" w14:textId="77777777" w:rsidR="00F21CE3" w:rsidRDefault="00D57199" w:rsidP="00AF5E17">
      <w:pPr>
        <w:pStyle w:val="Paragraph"/>
        <w:rPr>
          <w:rFonts w:eastAsia="Aptos"/>
        </w:rPr>
      </w:pPr>
      <w:r w:rsidRPr="004D2636">
        <w:rPr>
          <w:rFonts w:eastAsia="Aptos"/>
        </w:rPr>
        <w:t>All harmonised jurisdictions share the same core set of provisions relating to consultation,</w:t>
      </w:r>
      <w:r w:rsidRPr="00CE68FA">
        <w:rPr>
          <w:rFonts w:eastAsia="Aptos"/>
        </w:rPr>
        <w:t xml:space="preserve"> representation and participation, as set out in Part 5 of the model WHS Act. However, there are significant variations in the detail. The </w:t>
      </w:r>
      <w:r w:rsidRPr="00867BA4">
        <w:rPr>
          <w:rFonts w:eastAsia="Aptos"/>
          <w:i/>
          <w:iCs/>
        </w:rPr>
        <w:t>2022 Queensland Review</w:t>
      </w:r>
      <w:r w:rsidRPr="00CE68FA">
        <w:rPr>
          <w:rFonts w:eastAsia="Aptos"/>
        </w:rPr>
        <w:t xml:space="preserve"> made a range of recommendations in relation to Part 5, which resulted in subsequent amendments to the Queensland WHS Act. This Review has examined the Queensland amendments, and other jurisdictional variations, consistent with its Terms of Reference and recommends adopting those amendments it considers are best practice and meet the object of the model WHS Act, using the criteria outlined above.</w:t>
      </w:r>
    </w:p>
    <w:p w14:paraId="65240901" w14:textId="76EE4322" w:rsidR="00FE2509" w:rsidRDefault="00FE2509">
      <w:pPr>
        <w:spacing w:after="200" w:line="276" w:lineRule="auto"/>
        <w:contextualSpacing w:val="0"/>
        <w:rPr>
          <w:rFonts w:ascii="Aptos" w:eastAsia="Aptos" w:hAnsi="Aptos" w:cs="Arial"/>
          <w:lang w:eastAsia="en-AU"/>
        </w:rPr>
      </w:pPr>
      <w:r>
        <w:rPr>
          <w:rFonts w:ascii="Aptos" w:eastAsia="Aptos" w:hAnsi="Aptos" w:cs="Arial"/>
          <w:lang w:eastAsia="en-AU"/>
        </w:rPr>
        <w:br w:type="page"/>
      </w:r>
    </w:p>
    <w:p w14:paraId="28AED82C" w14:textId="77777777" w:rsidR="002E6AF2" w:rsidRPr="004420D1" w:rsidRDefault="002E6AF2" w:rsidP="00BF204D">
      <w:pPr>
        <w:pStyle w:val="Boxedshaded"/>
        <w:rPr>
          <w:b/>
          <w:bCs/>
        </w:rPr>
      </w:pPr>
      <w:r w:rsidRPr="004420D1">
        <w:rPr>
          <w:b/>
          <w:bCs/>
        </w:rPr>
        <w:lastRenderedPageBreak/>
        <w:t>What we heard</w:t>
      </w:r>
    </w:p>
    <w:p w14:paraId="3FBDB552" w14:textId="34E4C52F" w:rsidR="00DA6C2C" w:rsidRPr="00DA6C2C" w:rsidRDefault="00DA6C2C" w:rsidP="00BF204D">
      <w:pPr>
        <w:pStyle w:val="Boxedshaded"/>
      </w:pPr>
      <w:r w:rsidRPr="00DA6C2C">
        <w:t xml:space="preserve">During meetings with unions, including in the NT, Victoria, the ACT, and Queensland, officials and HSRs expressed concern about </w:t>
      </w:r>
      <w:r w:rsidRPr="002E140F">
        <w:t>widespread non-compliance with</w:t>
      </w:r>
      <w:r w:rsidRPr="00DA6C2C">
        <w:t xml:space="preserve"> consultation and representation duties, driven by a poor understanding of WHS laws at management level.</w:t>
      </w:r>
      <w:r w:rsidRPr="00DA6C2C">
        <w:rPr>
          <w:vertAlign w:val="superscript"/>
        </w:rPr>
        <w:footnoteReference w:id="169"/>
      </w:r>
      <w:r w:rsidRPr="00DA6C2C">
        <w:t xml:space="preserve"> HSRs state that consultation can be treated as a ‘tick-a-box’</w:t>
      </w:r>
      <w:r>
        <w:t xml:space="preserve"> </w:t>
      </w:r>
      <w:r w:rsidRPr="00DA6C2C">
        <w:t>process where they are given insufficient time to review information and consult with workers or meaningfully influence decisions.</w:t>
      </w:r>
      <w:r w:rsidRPr="00DA6C2C">
        <w:rPr>
          <w:vertAlign w:val="superscript"/>
        </w:rPr>
        <w:footnoteReference w:id="170"/>
      </w:r>
    </w:p>
    <w:p w14:paraId="5734AF6A" w14:textId="77777777" w:rsidR="00F21CE3" w:rsidRDefault="00DA6C2C" w:rsidP="00BF204D">
      <w:pPr>
        <w:pStyle w:val="Boxedshaded"/>
      </w:pPr>
      <w:r w:rsidRPr="00DA6C2C">
        <w:t xml:space="preserve">As part of its consultation, this Review met with HSRs in each jurisdiction and undertook a survey of 778 workers and HSRs. Survey responses (see </w:t>
      </w:r>
      <w:r w:rsidRPr="00DA6C2C">
        <w:rPr>
          <w:b/>
        </w:rPr>
        <w:t>Appendix J</w:t>
      </w:r>
      <w:r w:rsidRPr="00DA6C2C">
        <w:t>) broadly supported the view that employers and managers do not always comply with consultation duties and underscored the important role HSRs play.</w:t>
      </w:r>
    </w:p>
    <w:p w14:paraId="5113086E" w14:textId="62B51006" w:rsidR="00DA6C2C" w:rsidRPr="00DA6C2C" w:rsidRDefault="00DA6C2C" w:rsidP="00BF204D">
      <w:pPr>
        <w:pStyle w:val="Boxedshaded"/>
      </w:pPr>
      <w:r w:rsidRPr="00DA6C2C">
        <w:t xml:space="preserve">Workers who reported having an HSR showed the highest level of agreement that their manager is aware of WHS responsibilities (58.3%). In contrast, workers who were unsure whether an HSR was present reported poorer perceptions of managerial WHS awareness, with nearly half (47.3%) indicating that their manager was not aware of WHS responsibilities and 19.4% reporting they were unsure. One respondent stated, ‘Employers are already required to consult HSRs at the start of decision making but it is </w:t>
      </w:r>
      <w:r w:rsidRPr="002E140F">
        <w:t>not happening</w:t>
      </w:r>
      <w:r w:rsidR="009A09FF" w:rsidRPr="002E140F">
        <w:t xml:space="preserve"> </w:t>
      </w:r>
      <w:r w:rsidRPr="002E140F">
        <w:t>…’.</w:t>
      </w:r>
      <w:r w:rsidRPr="002E140F">
        <w:rPr>
          <w:vertAlign w:val="superscript"/>
        </w:rPr>
        <w:footnoteReference w:id="171"/>
      </w:r>
    </w:p>
    <w:p w14:paraId="2667A1FD" w14:textId="77777777" w:rsidR="00F21CE3" w:rsidRDefault="00DA6C2C" w:rsidP="00BF204D">
      <w:pPr>
        <w:pStyle w:val="Boxedshaded"/>
      </w:pPr>
      <w:r w:rsidRPr="00DA6C2C">
        <w:t>There was broad consensus that the HSR role is important, with WorkSafe ACT emphasising that constructive relationships between HSRs and PCBUs are critical to effective consultation and safety outcomes.</w:t>
      </w:r>
      <w:r w:rsidRPr="00DA6C2C">
        <w:rPr>
          <w:vertAlign w:val="superscript"/>
        </w:rPr>
        <w:footnoteReference w:id="172"/>
      </w:r>
      <w:r w:rsidRPr="00DA6C2C">
        <w:t xml:space="preserve"> However, this Review consistently heard there is a reluctance or fear among workers to nominate or renominate for the role.</w:t>
      </w:r>
      <w:r w:rsidRPr="00DA6C2C">
        <w:rPr>
          <w:vertAlign w:val="superscript"/>
        </w:rPr>
        <w:footnoteReference w:id="173"/>
      </w:r>
      <w:r w:rsidRPr="00DA6C2C">
        <w:t xml:space="preserve"> Similar concerns were identified in the </w:t>
      </w:r>
      <w:r w:rsidRPr="005D17ED">
        <w:rPr>
          <w:i/>
          <w:iCs/>
        </w:rPr>
        <w:t>Victorian Review Interim Report</w:t>
      </w:r>
      <w:r w:rsidRPr="00DA6C2C">
        <w:t>, including that the role is seen to negatively affect career progression.</w:t>
      </w:r>
      <w:r w:rsidRPr="00DA6C2C">
        <w:rPr>
          <w:vertAlign w:val="superscript"/>
        </w:rPr>
        <w:footnoteReference w:id="174"/>
      </w:r>
    </w:p>
    <w:p w14:paraId="4C906563" w14:textId="48296F22" w:rsidR="00F21CE3" w:rsidRDefault="00DA6C2C" w:rsidP="00BF204D">
      <w:pPr>
        <w:pStyle w:val="Boxedshaded"/>
      </w:pPr>
      <w:r w:rsidRPr="00DA6C2C">
        <w:t>This Review also heard examples of PCBUs discouraging HSR elections in practice, such as withholding information needed to support nominations,</w:t>
      </w:r>
      <w:r w:rsidRPr="00DA6C2C">
        <w:rPr>
          <w:vertAlign w:val="superscript"/>
        </w:rPr>
        <w:footnoteReference w:id="175"/>
      </w:r>
      <w:r w:rsidRPr="00DA6C2C">
        <w:t xml:space="preserve"> stating HSRs are only for high risk industries,</w:t>
      </w:r>
      <w:r w:rsidRPr="00DA6C2C">
        <w:rPr>
          <w:vertAlign w:val="superscript"/>
        </w:rPr>
        <w:footnoteReference w:id="176"/>
      </w:r>
      <w:r w:rsidRPr="00DA6C2C">
        <w:t xml:space="preserve"> and hand</w:t>
      </w:r>
      <w:r w:rsidRPr="00DA6C2C">
        <w:noBreakHyphen/>
        <w:t>picking HSRs without conducting elections.</w:t>
      </w:r>
      <w:r w:rsidRPr="00DA6C2C">
        <w:rPr>
          <w:vertAlign w:val="superscript"/>
        </w:rPr>
        <w:footnoteReference w:id="177"/>
      </w:r>
      <w:r w:rsidRPr="00DA6C2C">
        <w:t xml:space="preserve"> HSRs also consistently described the stress and practical barriers associated with the role, which sometimes led them to step away.</w:t>
      </w:r>
      <w:r w:rsidRPr="00DA6C2C">
        <w:rPr>
          <w:vertAlign w:val="superscript"/>
        </w:rPr>
        <w:footnoteReference w:id="178"/>
      </w:r>
    </w:p>
    <w:p w14:paraId="2524363F" w14:textId="70BE38A7" w:rsidR="004420D1" w:rsidRDefault="00DA6C2C" w:rsidP="00BF204D">
      <w:pPr>
        <w:pStyle w:val="Boxedshaded"/>
      </w:pPr>
      <w:r w:rsidRPr="00DA6C2C">
        <w:t>Regulators and unions reported the use of pseudo-HSR roles, such as ‘safety advisor’ or ‘WHS officer’, that mirror HSR functions but lack formal election and the powers or protections provided under the model WHS Act.</w:t>
      </w:r>
      <w:r w:rsidRPr="00DA6C2C">
        <w:rPr>
          <w:vertAlign w:val="superscript"/>
        </w:rPr>
        <w:footnoteReference w:id="179"/>
      </w:r>
    </w:p>
    <w:p w14:paraId="70F6AEDA" w14:textId="77777777" w:rsidR="004420D1" w:rsidRDefault="004420D1">
      <w:pPr>
        <w:spacing w:after="200" w:line="276" w:lineRule="auto"/>
        <w:contextualSpacing w:val="0"/>
        <w:rPr>
          <w:rFonts w:asciiTheme="minorHAnsi" w:hAnsiTheme="minorHAnsi"/>
        </w:rPr>
      </w:pPr>
      <w:r>
        <w:br w:type="page"/>
      </w:r>
    </w:p>
    <w:p w14:paraId="37EFCCB4" w14:textId="1F735514" w:rsidR="00F21CE3" w:rsidRDefault="00DA6C2C" w:rsidP="00BF204D">
      <w:pPr>
        <w:pStyle w:val="Boxedshaded"/>
      </w:pPr>
      <w:r w:rsidRPr="00DA6C2C">
        <w:lastRenderedPageBreak/>
        <w:t xml:space="preserve">A recurring sentiment was that, despite clear legislative powers, HSRs often feel they must continually assert their role, with one stating, ‘it’s like you have to fight every </w:t>
      </w:r>
      <w:r w:rsidRPr="002E140F">
        <w:t>step of the way’</w:t>
      </w:r>
      <w:r w:rsidR="00560CB6">
        <w:t>.</w:t>
      </w:r>
      <w:r w:rsidRPr="002E140F">
        <w:rPr>
          <w:vertAlign w:val="superscript"/>
        </w:rPr>
        <w:footnoteReference w:id="180"/>
      </w:r>
      <w:r w:rsidRPr="00DA6C2C">
        <w:t xml:space="preserve"> These issues were reported across all jurisdictions, in both the government and private sectors, and were attributed to PCBUs’ poor understanding of, and engagement with, HSRs. This was, at times, described as a ‘blatant disregard’ for the role.</w:t>
      </w:r>
      <w:r w:rsidRPr="00DA6C2C">
        <w:rPr>
          <w:vertAlign w:val="superscript"/>
        </w:rPr>
        <w:footnoteReference w:id="181"/>
      </w:r>
      <w:r w:rsidRPr="00DA6C2C">
        <w:t xml:space="preserve"> Many HSRs also reported they are not provided with sufficient time to undertake their HSR duties, particularly in frontline and shift-based environments where work time is tightly structured.</w:t>
      </w:r>
      <w:r w:rsidRPr="00DA6C2C">
        <w:rPr>
          <w:vertAlign w:val="superscript"/>
        </w:rPr>
        <w:footnoteReference w:id="182"/>
      </w:r>
    </w:p>
    <w:p w14:paraId="7072FA46" w14:textId="0638465B" w:rsidR="00DA6C2C" w:rsidRPr="00DA6C2C" w:rsidRDefault="00DA6C2C" w:rsidP="00BF204D">
      <w:pPr>
        <w:pStyle w:val="Boxedshaded"/>
      </w:pPr>
      <w:r w:rsidRPr="00DA6C2C">
        <w:t>The ACTU recommended a range of changes to address these issues, including by advocating for Queensland amendments which reinforce the role of unions in worker consultation and issue resolution.</w:t>
      </w:r>
      <w:r w:rsidRPr="00DA6C2C">
        <w:rPr>
          <w:vertAlign w:val="superscript"/>
        </w:rPr>
        <w:footnoteReference w:id="183"/>
      </w:r>
      <w:r w:rsidRPr="00DA6C2C">
        <w:t xml:space="preserve"> Some HSRs noted the positive support they receive from unions during disputes.</w:t>
      </w:r>
      <w:r w:rsidRPr="00DA6C2C">
        <w:rPr>
          <w:vertAlign w:val="superscript"/>
        </w:rPr>
        <w:footnoteReference w:id="184"/>
      </w:r>
      <w:r w:rsidRPr="00DA6C2C">
        <w:t xml:space="preserve"> Australian Industry Group said that union involvement should complement, not override, the role of HSRs and opposed Queensland’s amendments, as did MBA</w:t>
      </w:r>
      <w:r w:rsidRPr="00DA6C2C">
        <w:rPr>
          <w:i/>
          <w:iCs/>
        </w:rPr>
        <w:t>.</w:t>
      </w:r>
      <w:r w:rsidRPr="00DA6C2C">
        <w:rPr>
          <w:vertAlign w:val="superscript"/>
        </w:rPr>
        <w:footnoteReference w:id="185"/>
      </w:r>
      <w:r w:rsidRPr="00DA6C2C">
        <w:t xml:space="preserve"> Other industry representatives raised concerns about how increased statutory powers could be misused by union officials.</w:t>
      </w:r>
      <w:r w:rsidRPr="00DA6C2C">
        <w:rPr>
          <w:vertAlign w:val="superscript"/>
        </w:rPr>
        <w:footnoteReference w:id="186"/>
      </w:r>
      <w:r w:rsidRPr="00DA6C2C">
        <w:t xml:space="preserve"> MBA highlighted provisions that allow persons assisting HSRs to enter a workplace, including union officials without a WHS entry permit,</w:t>
      </w:r>
      <w:r w:rsidRPr="00DA6C2C">
        <w:rPr>
          <w:vertAlign w:val="superscript"/>
        </w:rPr>
        <w:footnoteReference w:id="187"/>
      </w:r>
      <w:r w:rsidRPr="00DA6C2C">
        <w:t xml:space="preserve"> and stated this can allow ‘union officials that have lost their entry permit for bad behaviour to access the workplace to potentially exert inappropriate industrial pressure’.</w:t>
      </w:r>
      <w:r w:rsidRPr="00DA6C2C">
        <w:rPr>
          <w:vertAlign w:val="superscript"/>
        </w:rPr>
        <w:footnoteReference w:id="188"/>
      </w:r>
    </w:p>
    <w:p w14:paraId="05F849F1" w14:textId="77777777" w:rsidR="00DA6C2C" w:rsidRPr="00DA6C2C" w:rsidRDefault="00DA6C2C" w:rsidP="00BF204D">
      <w:pPr>
        <w:pStyle w:val="Boxedshaded"/>
      </w:pPr>
      <w:r w:rsidRPr="00DA6C2C">
        <w:t>Industry representatives also sought greater flexibility in consultation arrangements, including consideration of requirements that are scaled to business size and risk profile,</w:t>
      </w:r>
      <w:r w:rsidRPr="00DA6C2C">
        <w:rPr>
          <w:vertAlign w:val="superscript"/>
        </w:rPr>
        <w:footnoteReference w:id="189"/>
      </w:r>
      <w:r w:rsidRPr="00DA6C2C">
        <w:t xml:space="preserve"> and noted that many workplaces do not have HSRs.</w:t>
      </w:r>
      <w:r w:rsidRPr="00DA6C2C">
        <w:rPr>
          <w:vertAlign w:val="superscript"/>
        </w:rPr>
        <w:footnoteReference w:id="190"/>
      </w:r>
      <w:r w:rsidRPr="00DA6C2C">
        <w:t xml:space="preserve"> This was supported in survey results indicating that small and medium</w:t>
      </w:r>
      <w:r w:rsidRPr="00DA6C2C">
        <w:noBreakHyphen/>
        <w:t>sized businesses were less likely to have an HSR and HSC.</w:t>
      </w:r>
      <w:r w:rsidRPr="00DA6C2C">
        <w:rPr>
          <w:vertAlign w:val="superscript"/>
        </w:rPr>
        <w:footnoteReference w:id="191"/>
      </w:r>
      <w:r w:rsidRPr="00DA6C2C">
        <w:t xml:space="preserve"> Australian Industry Group stated that the model WHS Act already provides for ‘meaningful engagement between PCBUs and workers’, including HSRs where elected, and appropriately balances worker representation with ‘operational realities’, without requiring PCBUs to establish or promote HSRs beyond existing obligations.</w:t>
      </w:r>
      <w:r w:rsidRPr="00DA6C2C">
        <w:rPr>
          <w:vertAlign w:val="superscript"/>
        </w:rPr>
        <w:footnoteReference w:id="192"/>
      </w:r>
      <w:r w:rsidRPr="00DA6C2C">
        <w:t xml:space="preserve"> The MBA, Housing Industry Association (HIA) and Australian Cabinet and Furniture Association Ltd (ACFA) broadly cautioned against introducing new, prescriptive obligations, particularly for small business;</w:t>
      </w:r>
      <w:r w:rsidRPr="00DA6C2C">
        <w:rPr>
          <w:vertAlign w:val="superscript"/>
        </w:rPr>
        <w:footnoteReference w:id="193"/>
      </w:r>
      <w:r w:rsidRPr="00DA6C2C">
        <w:t xml:space="preserve"> and Master Builders SA expressed concern that expanding HSR powers could shift the role toward that of a ‘quasi</w:t>
      </w:r>
      <w:r w:rsidRPr="00DA6C2C">
        <w:noBreakHyphen/>
        <w:t>regulator’.</w:t>
      </w:r>
      <w:r w:rsidRPr="00DA6C2C">
        <w:rPr>
          <w:vertAlign w:val="superscript"/>
        </w:rPr>
        <w:footnoteReference w:id="194"/>
      </w:r>
    </w:p>
    <w:p w14:paraId="7AAC23A8" w14:textId="5953C486" w:rsidR="00CD1A37" w:rsidRDefault="00DA6C2C" w:rsidP="00BF204D">
      <w:pPr>
        <w:pStyle w:val="Boxedshaded"/>
      </w:pPr>
      <w:r w:rsidRPr="00DA6C2C">
        <w:t>This Review also heard suggestions to strengthen the consultation framework overall,</w:t>
      </w:r>
      <w:r w:rsidRPr="00DA6C2C">
        <w:rPr>
          <w:vertAlign w:val="superscript"/>
        </w:rPr>
        <w:footnoteReference w:id="195"/>
      </w:r>
      <w:r w:rsidRPr="00DA6C2C">
        <w:t xml:space="preserve"> including through greater engagement with occupational therapists and WHS professionals </w:t>
      </w:r>
      <w:r w:rsidR="009A09FF">
        <w:rPr>
          <w:rFonts w:ascii="Symbol" w:eastAsia="Symbol" w:hAnsi="Symbol" w:cs="Symbol"/>
        </w:rPr>
        <w:t>-</w:t>
      </w:r>
      <w:r w:rsidRPr="00DA6C2C">
        <w:t xml:space="preserve"> for instance, by ‘expanding consultation provisions to include allied health representation in WHS advisory and review </w:t>
      </w:r>
      <w:r w:rsidRPr="002E140F">
        <w:t>structures’</w:t>
      </w:r>
      <w:r w:rsidR="00560CB6">
        <w:t>.</w:t>
      </w:r>
      <w:r w:rsidRPr="002E140F">
        <w:rPr>
          <w:vertAlign w:val="superscript"/>
        </w:rPr>
        <w:footnoteReference w:id="196"/>
      </w:r>
      <w:r w:rsidRPr="002E140F">
        <w:t xml:space="preserve"> Another</w:t>
      </w:r>
      <w:r w:rsidRPr="00DA6C2C">
        <w:t xml:space="preserve"> submission recommended introducing full-time industry safety and health representatives, as used in the Queensland and NSW mining industries, for high risk workplaces.</w:t>
      </w:r>
      <w:r w:rsidRPr="00DA6C2C">
        <w:rPr>
          <w:vertAlign w:val="superscript"/>
        </w:rPr>
        <w:footnoteReference w:id="197"/>
      </w:r>
    </w:p>
    <w:p w14:paraId="465F4FBC" w14:textId="77777777" w:rsidR="004420D1" w:rsidRDefault="004420D1" w:rsidP="004420D1">
      <w:pPr>
        <w:pStyle w:val="Paragraph"/>
        <w:rPr>
          <w:rFonts w:eastAsiaTheme="majorEastAsia"/>
        </w:rPr>
      </w:pPr>
      <w:r>
        <w:br w:type="page"/>
      </w:r>
    </w:p>
    <w:p w14:paraId="66669939" w14:textId="0202F435" w:rsidR="00CD1A37" w:rsidRDefault="00CD1A37" w:rsidP="004420D1">
      <w:pPr>
        <w:pStyle w:val="SWAHeading4"/>
      </w:pPr>
      <w:r>
        <w:lastRenderedPageBreak/>
        <w:t>Discussion and recommendations</w:t>
      </w:r>
    </w:p>
    <w:p w14:paraId="041B393E" w14:textId="77777777" w:rsidR="00393662" w:rsidRPr="00CB35D2" w:rsidRDefault="00393662" w:rsidP="00CB35D2">
      <w:pPr>
        <w:spacing w:line="240" w:lineRule="auto"/>
        <w:contextualSpacing w:val="0"/>
        <w:rPr>
          <w:rFonts w:ascii="Aptos" w:eastAsia="Aptos" w:hAnsi="Aptos" w:cs="Arial"/>
          <w:lang w:eastAsia="en-AU"/>
        </w:rPr>
      </w:pPr>
      <w:r w:rsidRPr="00CB35D2">
        <w:rPr>
          <w:rFonts w:ascii="Aptos" w:eastAsia="Aptos" w:hAnsi="Aptos" w:cs="Arial"/>
          <w:lang w:eastAsia="en-AU"/>
        </w:rPr>
        <w:t>In a consultation meeting with the Victorian Chamber of Commerce and Industry, a participant shared their experience of consultation in the workplace as an employer representative: that she had developed constructive relationships with unions and worker representatives, routinely asking them what they thought about safety issues and listening to what they had to say. Doing so had led to better safety systems and a culture of cooperation instead of dispute.</w:t>
      </w:r>
      <w:r w:rsidRPr="00CB35D2">
        <w:rPr>
          <w:rFonts w:ascii="Aptos" w:eastAsia="Aptos" w:hAnsi="Aptos" w:cs="Arial"/>
          <w:kern w:val="2"/>
          <w:vertAlign w:val="superscript"/>
          <w:lang w:eastAsia="en-AU"/>
          <w14:ligatures w14:val="standardContextual"/>
        </w:rPr>
        <w:footnoteReference w:id="198"/>
      </w:r>
      <w:r w:rsidRPr="00CB35D2">
        <w:rPr>
          <w:rFonts w:ascii="Aptos" w:eastAsia="Aptos" w:hAnsi="Aptos" w:cs="Arial"/>
          <w:kern w:val="2"/>
          <w:lang w:eastAsia="en-AU"/>
          <w14:ligatures w14:val="standardContextual"/>
        </w:rPr>
        <w:t xml:space="preserve"> This is an example of the kind of best practice the model WHS Act aims for, as set out in its object, which includes </w:t>
      </w:r>
      <w:r w:rsidRPr="00CB35D2">
        <w:rPr>
          <w:rFonts w:ascii="Aptos" w:eastAsia="Aptos" w:hAnsi="Aptos" w:cs="Arial"/>
          <w:lang w:eastAsia="en-AU"/>
        </w:rPr>
        <w:t>‘encouraging unions and employer organisations to take a constructive role in promoting improvements in WHS practices’.</w:t>
      </w:r>
      <w:r w:rsidRPr="00CB35D2">
        <w:rPr>
          <w:rFonts w:ascii="Aptos" w:eastAsia="Aptos" w:hAnsi="Aptos" w:cs="Arial"/>
          <w:vertAlign w:val="superscript"/>
          <w:lang w:eastAsia="en-AU"/>
        </w:rPr>
        <w:footnoteReference w:id="199"/>
      </w:r>
    </w:p>
    <w:p w14:paraId="236FA7FD" w14:textId="77777777" w:rsidR="00393662" w:rsidRPr="00CB35D2" w:rsidRDefault="00393662" w:rsidP="00AF5E17">
      <w:pPr>
        <w:pStyle w:val="Paragraph"/>
        <w:rPr>
          <w:rFonts w:eastAsia="Aptos"/>
        </w:rPr>
      </w:pPr>
      <w:r w:rsidRPr="00CB35D2">
        <w:rPr>
          <w:rFonts w:eastAsia="Aptos"/>
        </w:rPr>
        <w:t>This Review considers the overall approach to consultation and representation in the model WHS laws is sound, imposing a clear and proactive duty on PCBUs to engage with workers and their representatives. However, the effectiveness of Part 5 is sometimes undermined by how consultation obligations are understood and applied in practice.</w:t>
      </w:r>
    </w:p>
    <w:p w14:paraId="32FF4D44" w14:textId="77777777" w:rsidR="00F21CE3" w:rsidRDefault="00393662" w:rsidP="00AF5E17">
      <w:pPr>
        <w:pStyle w:val="Paragraph"/>
        <w:rPr>
          <w:rFonts w:eastAsia="Aptos"/>
        </w:rPr>
      </w:pPr>
      <w:r w:rsidRPr="00CB35D2">
        <w:rPr>
          <w:rFonts w:eastAsia="Aptos"/>
        </w:rPr>
        <w:t>Evidence received by this Review indicates that gaps in understanding of the duty to consult at the officer level, and how to consult effectively at the managerial and supervisory levels, are contributing to ineffective consultation in many workplaces. This includes ‘tick-a-box’ approaches rather than genuine engagement; and sometimes resistance to cooperation with HSRs and unions.</w:t>
      </w:r>
      <w:r w:rsidRPr="00CB35D2">
        <w:rPr>
          <w:rFonts w:eastAsia="Aptos"/>
          <w:vertAlign w:val="superscript"/>
        </w:rPr>
        <w:footnoteReference w:id="200"/>
      </w:r>
      <w:r w:rsidRPr="00CB35D2">
        <w:rPr>
          <w:rFonts w:eastAsia="Aptos"/>
        </w:rPr>
        <w:t xml:space="preserve"> This evidence is consistent with the </w:t>
      </w:r>
      <w:r w:rsidRPr="00867BA4">
        <w:rPr>
          <w:rFonts w:eastAsia="Aptos"/>
          <w:i/>
          <w:iCs/>
        </w:rPr>
        <w:t>2022 Queensland Review</w:t>
      </w:r>
      <w:r w:rsidRPr="00CB35D2">
        <w:rPr>
          <w:rFonts w:eastAsia="Aptos"/>
        </w:rPr>
        <w:t xml:space="preserve"> and the </w:t>
      </w:r>
      <w:r w:rsidRPr="005D17ED">
        <w:rPr>
          <w:rFonts w:eastAsia="Aptos"/>
          <w:i/>
          <w:iCs/>
        </w:rPr>
        <w:t>Victorian Review Interim Report</w:t>
      </w:r>
      <w:r w:rsidRPr="00CB35D2">
        <w:rPr>
          <w:rFonts w:eastAsia="Aptos"/>
        </w:rPr>
        <w:t>.</w:t>
      </w:r>
      <w:r w:rsidRPr="00CB35D2">
        <w:rPr>
          <w:rFonts w:eastAsia="Aptos"/>
          <w:vertAlign w:val="superscript"/>
        </w:rPr>
        <w:footnoteReference w:id="201"/>
      </w:r>
      <w:r w:rsidRPr="00CB35D2">
        <w:rPr>
          <w:rFonts w:eastAsia="Aptos"/>
          <w:i/>
        </w:rPr>
        <w:t xml:space="preserve"> </w:t>
      </w:r>
      <w:r w:rsidRPr="00CB35D2">
        <w:rPr>
          <w:rFonts w:eastAsia="Aptos"/>
        </w:rPr>
        <w:t>Where leadership capabilities and/or understanding of the model WHS laws are lacking, consultation tends to become a procedural exercise, limited to information sharing rather than cooperative WHS risk management.</w:t>
      </w:r>
    </w:p>
    <w:p w14:paraId="55B64F46" w14:textId="77777777" w:rsidR="00F21CE3" w:rsidRDefault="00393662" w:rsidP="00AF5E17">
      <w:pPr>
        <w:pStyle w:val="Paragraph"/>
        <w:rPr>
          <w:rFonts w:eastAsia="Aptos"/>
        </w:rPr>
      </w:pPr>
      <w:r w:rsidRPr="00CB35D2">
        <w:rPr>
          <w:rFonts w:eastAsia="Aptos"/>
        </w:rPr>
        <w:t xml:space="preserve">Many of these implementation issues or gaps have been considered in detail by jurisdictional reviews, particularly the </w:t>
      </w:r>
      <w:r w:rsidRPr="00867BA4">
        <w:rPr>
          <w:rFonts w:eastAsia="Aptos"/>
          <w:i/>
          <w:iCs/>
        </w:rPr>
        <w:t>2022 Queensland Review</w:t>
      </w:r>
      <w:r w:rsidRPr="00CB35D2">
        <w:rPr>
          <w:rFonts w:eastAsia="Aptos"/>
        </w:rPr>
        <w:t>, and have resulted in amendments to the model WHS Act being made in the Queensland version in relation to the functions and powers of HSRs.</w:t>
      </w:r>
      <w:r w:rsidRPr="00CB35D2">
        <w:rPr>
          <w:rFonts w:eastAsia="Arial"/>
          <w:vertAlign w:val="superscript"/>
        </w:rPr>
        <w:footnoteReference w:id="202"/>
      </w:r>
      <w:r w:rsidRPr="00CB35D2">
        <w:rPr>
          <w:rFonts w:eastAsia="Aptos"/>
        </w:rPr>
        <w:t xml:space="preserve"> This Review is recommending many of those variations be adopted as best practice, as they meet the object of the model WHS Act, clarify existing obligations under WHS laws and respond to implementation gaps also identified as part of this Review.</w:t>
      </w:r>
    </w:p>
    <w:p w14:paraId="2F2475CB" w14:textId="0743F90E" w:rsidR="004420D1" w:rsidRDefault="004420D1">
      <w:pPr>
        <w:spacing w:after="200" w:line="276" w:lineRule="auto"/>
        <w:contextualSpacing w:val="0"/>
        <w:rPr>
          <w:rFonts w:asciiTheme="minorHAnsi" w:eastAsia="Aptos" w:hAnsiTheme="minorHAnsi"/>
          <w:lang w:eastAsia="en-AU"/>
        </w:rPr>
      </w:pPr>
      <w:r>
        <w:rPr>
          <w:rFonts w:eastAsia="Aptos"/>
        </w:rPr>
        <w:br w:type="page"/>
      </w:r>
    </w:p>
    <w:p w14:paraId="6F61ACCA" w14:textId="77777777" w:rsidR="00393662" w:rsidRPr="00CB35D2" w:rsidRDefault="00393662" w:rsidP="00AF5E17">
      <w:pPr>
        <w:pStyle w:val="Paragraph"/>
        <w:rPr>
          <w:rFonts w:eastAsia="Aptos"/>
        </w:rPr>
      </w:pPr>
      <w:r w:rsidRPr="00CB35D2">
        <w:rPr>
          <w:rFonts w:eastAsia="Aptos"/>
        </w:rPr>
        <w:lastRenderedPageBreak/>
        <w:t>Embedding these amendments into the model WHS laws will help to resolve ongoing jurisdictional variations in this critical part of the model WHS Act and reduce the scope for further divergence. This Review also considers that the NCEP should include information on how WHS regulators will enforce consultation duties and representation rights and obligations.</w:t>
      </w:r>
    </w:p>
    <w:p w14:paraId="08611787" w14:textId="3E1BD9F0" w:rsidR="00F21CE3" w:rsidRDefault="00393662" w:rsidP="00AF5E17">
      <w:pPr>
        <w:pStyle w:val="Paragraph"/>
        <w:rPr>
          <w:rFonts w:eastAsia="Arial"/>
          <w:lang w:eastAsia="ja-JP"/>
        </w:rPr>
      </w:pPr>
      <w:r w:rsidRPr="00CB35D2">
        <w:rPr>
          <w:rFonts w:eastAsia="Aptos"/>
        </w:rPr>
        <w:t>This Review notes that continual ‘pendulum swings’ in this part of the Act create uncertainty for duty holders and workers and may reduce cooperation.</w:t>
      </w:r>
      <w:r w:rsidRPr="00CB35D2">
        <w:rPr>
          <w:rFonts w:eastAsia="Arial"/>
          <w:lang w:eastAsia="ja-JP"/>
        </w:rPr>
        <w:t xml:space="preserve"> For this reason, this Review recommends adopting the variations at </w:t>
      </w:r>
      <w:r w:rsidRPr="00CB35D2">
        <w:rPr>
          <w:rFonts w:eastAsia="Arial"/>
          <w:b/>
          <w:lang w:eastAsia="ja-JP"/>
        </w:rPr>
        <w:t xml:space="preserve">Appendix D </w:t>
      </w:r>
      <w:r w:rsidRPr="00CB35D2">
        <w:rPr>
          <w:rFonts w:eastAsia="Arial"/>
          <w:lang w:eastAsia="ja-JP"/>
        </w:rPr>
        <w:t>into the model WHS Act</w:t>
      </w:r>
      <w:r w:rsidRPr="00CB35D2">
        <w:rPr>
          <w:rFonts w:eastAsia="Arial"/>
          <w:b/>
          <w:lang w:eastAsia="ja-JP"/>
        </w:rPr>
        <w:t xml:space="preserve"> </w:t>
      </w:r>
      <w:r w:rsidRPr="00CB35D2">
        <w:rPr>
          <w:rFonts w:eastAsia="Arial"/>
          <w:lang w:eastAsia="ja-JP"/>
        </w:rPr>
        <w:t xml:space="preserve">and those at </w:t>
      </w:r>
      <w:r w:rsidRPr="00CB35D2">
        <w:rPr>
          <w:rFonts w:eastAsia="Arial"/>
          <w:b/>
          <w:lang w:eastAsia="ja-JP"/>
        </w:rPr>
        <w:t xml:space="preserve">Appendix </w:t>
      </w:r>
      <w:r w:rsidRPr="002E140F">
        <w:rPr>
          <w:rFonts w:eastAsia="Arial"/>
          <w:b/>
          <w:lang w:eastAsia="ja-JP"/>
        </w:rPr>
        <w:t>F</w:t>
      </w:r>
      <w:r w:rsidR="002E140F" w:rsidRPr="00A94E00">
        <w:rPr>
          <w:rFonts w:eastAsia="Arial"/>
          <w:bCs/>
          <w:lang w:eastAsia="ja-JP"/>
        </w:rPr>
        <w:t>,</w:t>
      </w:r>
      <w:r w:rsidRPr="002E140F">
        <w:rPr>
          <w:rFonts w:eastAsia="Arial"/>
          <w:b/>
          <w:lang w:eastAsia="ja-JP"/>
        </w:rPr>
        <w:t xml:space="preserve"> 1 </w:t>
      </w:r>
      <w:r w:rsidRPr="002E140F">
        <w:rPr>
          <w:rFonts w:eastAsia="Arial"/>
          <w:lang w:eastAsia="ja-JP"/>
        </w:rPr>
        <w:t>and</w:t>
      </w:r>
      <w:r w:rsidRPr="002E140F">
        <w:rPr>
          <w:rFonts w:eastAsia="Arial"/>
          <w:b/>
          <w:lang w:eastAsia="ja-JP"/>
        </w:rPr>
        <w:t xml:space="preserve"> Appendix G</w:t>
      </w:r>
      <w:r w:rsidR="002E140F" w:rsidRPr="00A94E00">
        <w:rPr>
          <w:rFonts w:eastAsia="Arial"/>
          <w:bCs/>
          <w:lang w:eastAsia="ja-JP"/>
        </w:rPr>
        <w:t>,</w:t>
      </w:r>
      <w:r w:rsidRPr="002E140F">
        <w:rPr>
          <w:rFonts w:eastAsia="Arial"/>
          <w:b/>
          <w:lang w:eastAsia="ja-JP"/>
        </w:rPr>
        <w:t xml:space="preserve"> 1</w:t>
      </w:r>
      <w:r w:rsidRPr="002E140F">
        <w:rPr>
          <w:rFonts w:eastAsia="Arial"/>
          <w:lang w:eastAsia="ja-JP"/>
        </w:rPr>
        <w:t xml:space="preserve"> into the model WHS Regulations as representing the best practice nationally harmonised standard.</w:t>
      </w:r>
    </w:p>
    <w:p w14:paraId="257AB9CA" w14:textId="5A7726C3" w:rsidR="00F21CE3" w:rsidRDefault="00393662" w:rsidP="00AF5E17">
      <w:pPr>
        <w:pStyle w:val="Paragraph"/>
        <w:rPr>
          <w:rFonts w:eastAsia="Aptos"/>
        </w:rPr>
      </w:pPr>
      <w:r w:rsidRPr="00CB35D2">
        <w:rPr>
          <w:rFonts w:eastAsia="Aptos"/>
        </w:rPr>
        <w:t xml:space="preserve">In relation to industry feedback about who can assist an HSR in the workplace, this Review notes the </w:t>
      </w:r>
      <w:r w:rsidRPr="00E059D0">
        <w:rPr>
          <w:rFonts w:eastAsia="Aptos"/>
          <w:i/>
          <w:iCs/>
        </w:rPr>
        <w:t>2018 National Review</w:t>
      </w:r>
      <w:r w:rsidRPr="00CB35D2">
        <w:rPr>
          <w:rFonts w:eastAsia="Aptos"/>
        </w:rPr>
        <w:t xml:space="preserve"> considered the issue in detail and found ‘the rights of an HSR to bring in a person with appropriate experience and knowledge to assist them should not be restricted if that person is also a </w:t>
      </w:r>
      <w:r w:rsidRPr="002E140F">
        <w:rPr>
          <w:rFonts w:eastAsia="Aptos"/>
        </w:rPr>
        <w:t>union official’</w:t>
      </w:r>
      <w:r w:rsidR="00A9137E">
        <w:rPr>
          <w:rFonts w:eastAsia="Aptos"/>
        </w:rPr>
        <w:t>.</w:t>
      </w:r>
      <w:r w:rsidRPr="002E140F">
        <w:rPr>
          <w:rFonts w:eastAsia="Aptos"/>
        </w:rPr>
        <w:t xml:space="preserve"> The</w:t>
      </w:r>
      <w:r w:rsidRPr="00CB35D2">
        <w:rPr>
          <w:rFonts w:eastAsia="Aptos"/>
        </w:rPr>
        <w:t xml:space="preserve"> </w:t>
      </w:r>
      <w:r w:rsidRPr="00E059D0">
        <w:rPr>
          <w:rFonts w:eastAsia="Aptos"/>
          <w:i/>
          <w:iCs/>
        </w:rPr>
        <w:t>2018 National Review</w:t>
      </w:r>
      <w:r w:rsidRPr="00CB35D2">
        <w:rPr>
          <w:rFonts w:eastAsia="Aptos"/>
        </w:rPr>
        <w:t xml:space="preserve"> made a recommendation which has been implemented through amendments to the FW Act.</w:t>
      </w:r>
      <w:r w:rsidRPr="00CB35D2">
        <w:rPr>
          <w:rFonts w:eastAsia="Aptos"/>
          <w:vertAlign w:val="superscript"/>
        </w:rPr>
        <w:footnoteReference w:id="203"/>
      </w:r>
    </w:p>
    <w:p w14:paraId="35412C8B" w14:textId="0B325886" w:rsidR="00393662" w:rsidRPr="00CB35D2" w:rsidRDefault="00393662" w:rsidP="00AF5E17">
      <w:pPr>
        <w:pStyle w:val="Paragraph"/>
        <w:rPr>
          <w:rFonts w:eastAsia="Aptos"/>
          <w:kern w:val="2"/>
          <w14:ligatures w14:val="standardContextual"/>
        </w:rPr>
      </w:pPr>
      <w:r w:rsidRPr="00CB35D2">
        <w:rPr>
          <w:rFonts w:eastAsia="Aptos"/>
        </w:rPr>
        <w:t>This Review also considered several other jurisdictional variations, and other recommendations proposed in submissions to this Review, relating to the model WHS Act consultation framework that are not recommended for national adoption. For example, this Review found there is insufficient evidence for adopt</w:t>
      </w:r>
      <w:r w:rsidRPr="00CB35D2">
        <w:rPr>
          <w:rFonts w:eastAsia="Aptos"/>
          <w:kern w:val="2"/>
          <w14:ligatures w14:val="standardContextual"/>
        </w:rPr>
        <w:t>ing Queensland’s WHS officer framework, as it could have an unintended consequence of reducing the impact of the general ‘officer’ duties in the model WHS Act.</w:t>
      </w:r>
      <w:r w:rsidRPr="00CB35D2">
        <w:rPr>
          <w:rFonts w:eastAsia="Aptos"/>
          <w:kern w:val="2"/>
          <w:vertAlign w:val="superscript"/>
          <w14:ligatures w14:val="standardContextual"/>
        </w:rPr>
        <w:footnoteReference w:id="204"/>
      </w:r>
      <w:r w:rsidRPr="00CB35D2">
        <w:rPr>
          <w:rFonts w:eastAsia="Aptos"/>
          <w:kern w:val="2"/>
          <w14:ligatures w14:val="standardContextual"/>
        </w:rPr>
        <w:t xml:space="preserve"> It </w:t>
      </w:r>
      <w:r w:rsidRPr="00CB35D2">
        <w:rPr>
          <w:rFonts w:eastAsia="Aptos"/>
        </w:rPr>
        <w:t>similarly</w:t>
      </w:r>
      <w:r w:rsidRPr="00CB35D2">
        <w:rPr>
          <w:rFonts w:eastAsia="Aptos"/>
          <w:kern w:val="2"/>
          <w14:ligatures w14:val="standardContextual"/>
        </w:rPr>
        <w:t xml:space="preserve"> does not recommend Victoria’s requirement to engage suitably qualified WHS advisers.</w:t>
      </w:r>
      <w:r w:rsidRPr="00CB35D2">
        <w:rPr>
          <w:rFonts w:eastAsia="Aptos"/>
          <w:kern w:val="2"/>
          <w:vertAlign w:val="superscript"/>
          <w14:ligatures w14:val="standardContextual"/>
        </w:rPr>
        <w:footnoteReference w:id="205"/>
      </w:r>
      <w:r w:rsidRPr="00CB35D2">
        <w:rPr>
          <w:rFonts w:eastAsia="Aptos"/>
          <w:kern w:val="2"/>
          <w14:ligatures w14:val="standardContextual"/>
        </w:rPr>
        <w:t xml:space="preserve"> This Review is also not recommending Queensland’s variation which requires PCBUs to inform workers about representation arrangements.</w:t>
      </w:r>
      <w:r w:rsidRPr="00CB35D2">
        <w:rPr>
          <w:rFonts w:eastAsia="Aptos"/>
          <w:kern w:val="2"/>
          <w:vertAlign w:val="superscript"/>
          <w14:ligatures w14:val="standardContextual"/>
        </w:rPr>
        <w:footnoteReference w:id="206"/>
      </w:r>
      <w:r w:rsidRPr="00CB35D2">
        <w:rPr>
          <w:rFonts w:eastAsia="Aptos"/>
          <w:kern w:val="2"/>
          <w14:ligatures w14:val="standardContextual"/>
        </w:rPr>
        <w:t xml:space="preserve"> The intent of this provision is already covered by this Review’s recommendation relating to a WHS Information Statement (see </w:t>
      </w:r>
      <w:r w:rsidRPr="00CB35D2">
        <w:rPr>
          <w:rFonts w:eastAsia="Aptos"/>
          <w:b/>
          <w:kern w:val="2"/>
          <w14:ligatures w14:val="standardContextual"/>
        </w:rPr>
        <w:t>Chapter 2.2</w:t>
      </w:r>
      <w:r w:rsidRPr="00CB35D2">
        <w:rPr>
          <w:rFonts w:eastAsia="Aptos"/>
          <w:kern w:val="2"/>
          <w14:ligatures w14:val="standardContextual"/>
        </w:rPr>
        <w:t>).</w:t>
      </w:r>
    </w:p>
    <w:p w14:paraId="531B01C8" w14:textId="2A8AD677" w:rsidR="00955F37" w:rsidRPr="000F1DE6" w:rsidRDefault="00955F37" w:rsidP="00955F37">
      <w:pPr>
        <w:pStyle w:val="SWAHeading3"/>
        <w:spacing w:before="200"/>
        <w:rPr>
          <w:lang w:eastAsia="en-AU"/>
        </w:rPr>
      </w:pPr>
      <w:r w:rsidRPr="000F1DE6">
        <w:rPr>
          <w:lang w:eastAsia="en-AU"/>
        </w:rPr>
        <w:t xml:space="preserve">Health and </w:t>
      </w:r>
      <w:r>
        <w:rPr>
          <w:lang w:eastAsia="en-AU"/>
        </w:rPr>
        <w:t>s</w:t>
      </w:r>
      <w:r w:rsidRPr="000F1DE6">
        <w:rPr>
          <w:lang w:eastAsia="en-AU"/>
        </w:rPr>
        <w:t xml:space="preserve">afety </w:t>
      </w:r>
      <w:r>
        <w:rPr>
          <w:lang w:eastAsia="en-AU"/>
        </w:rPr>
        <w:t>r</w:t>
      </w:r>
      <w:r w:rsidRPr="000F1DE6">
        <w:rPr>
          <w:lang w:eastAsia="en-AU"/>
        </w:rPr>
        <w:t xml:space="preserve">epresentative elections (ss 50–67, model WHS Act) and </w:t>
      </w:r>
      <w:r>
        <w:rPr>
          <w:lang w:eastAsia="en-AU"/>
        </w:rPr>
        <w:t xml:space="preserve">health and safety committee </w:t>
      </w:r>
      <w:r w:rsidRPr="000F1DE6">
        <w:rPr>
          <w:lang w:eastAsia="en-AU"/>
        </w:rPr>
        <w:t>processes (ss 75–79, model WHS Act)</w:t>
      </w:r>
    </w:p>
    <w:p w14:paraId="434294C4" w14:textId="77777777" w:rsidR="00F21CE3" w:rsidRDefault="004C23C8" w:rsidP="00AF5E17">
      <w:pPr>
        <w:pStyle w:val="Paragraph"/>
        <w:rPr>
          <w:rFonts w:eastAsia="Aptos"/>
        </w:rPr>
      </w:pPr>
      <w:r w:rsidRPr="00DA0ED6">
        <w:rPr>
          <w:rFonts w:eastAsia="Aptos"/>
        </w:rPr>
        <w:t>HSRs are elected workers who act as the voice for their colleagues on WHS matters. Supporting their election is therefore an important objective of the model WHS Act. While not every workplace has elected HSRs, this likely arises in part from a lack of knowledge about the role and many of the barriers to their election which this Review’s consultation has identified.</w:t>
      </w:r>
    </w:p>
    <w:p w14:paraId="20EF5A76" w14:textId="77777777" w:rsidR="00F21CE3" w:rsidRDefault="004C23C8" w:rsidP="00AF5E17">
      <w:pPr>
        <w:pStyle w:val="Paragraph"/>
        <w:rPr>
          <w:rFonts w:eastAsia="Aptos"/>
          <w:vertAlign w:val="superscript"/>
        </w:rPr>
      </w:pPr>
      <w:r w:rsidRPr="00DA0ED6">
        <w:rPr>
          <w:rFonts w:eastAsia="Aptos"/>
        </w:rPr>
        <w:t xml:space="preserve">This Review acknowledges that some small businesses have constructive consultation arrangements with their workers which comply with the model WHS Act in the absence of electing HSRs. Consistent with the </w:t>
      </w:r>
      <w:r w:rsidRPr="00867BA4">
        <w:rPr>
          <w:rFonts w:eastAsia="Aptos"/>
          <w:i/>
          <w:iCs/>
        </w:rPr>
        <w:t>2022 Queensland Review</w:t>
      </w:r>
      <w:r w:rsidRPr="00DA0ED6">
        <w:rPr>
          <w:rFonts w:eastAsia="Aptos"/>
        </w:rPr>
        <w:t>,</w:t>
      </w:r>
      <w:r w:rsidRPr="00DA0ED6">
        <w:rPr>
          <w:rFonts w:eastAsia="Aptos"/>
          <w:kern w:val="2"/>
          <w:vertAlign w:val="superscript"/>
          <w14:ligatures w14:val="standardContextual"/>
        </w:rPr>
        <w:footnoteReference w:id="207"/>
      </w:r>
      <w:r w:rsidRPr="00DA0ED6">
        <w:rPr>
          <w:rFonts w:eastAsia="Aptos"/>
        </w:rPr>
        <w:t xml:space="preserve"> this Review notes that not all workplaces will adopt HSR arrangements and therefore does not support mandating the role of HSRs.</w:t>
      </w:r>
      <w:r w:rsidRPr="00DA0ED6">
        <w:rPr>
          <w:rFonts w:eastAsia="Aptos"/>
          <w:vertAlign w:val="superscript"/>
        </w:rPr>
        <w:footnoteReference w:id="208"/>
      </w:r>
    </w:p>
    <w:p w14:paraId="6E3DF94E" w14:textId="6C5200A3" w:rsidR="004420D1" w:rsidRDefault="004C23C8" w:rsidP="004420D1">
      <w:pPr>
        <w:pStyle w:val="Paragraph"/>
      </w:pPr>
      <w:r w:rsidRPr="00DA0ED6">
        <w:t xml:space="preserve">Drawing on the </w:t>
      </w:r>
      <w:r w:rsidRPr="00867BA4">
        <w:rPr>
          <w:i/>
          <w:iCs/>
        </w:rPr>
        <w:t>2022 Queensland Review</w:t>
      </w:r>
      <w:r w:rsidRPr="00DA0ED6">
        <w:t>, this Review recommends providing clearer structures to support HSR arrangements, including clearer timeframes for work group negotiation and mechanisms to ensure an inspector may be appointed to resolve failures of negotiation.</w:t>
      </w:r>
      <w:r w:rsidRPr="00DA0ED6">
        <w:rPr>
          <w:vertAlign w:val="superscript"/>
        </w:rPr>
        <w:footnoteReference w:id="209"/>
      </w:r>
      <w:r w:rsidRPr="00DA0ED6" w:rsidDel="00756214">
        <w:t xml:space="preserve"> </w:t>
      </w:r>
      <w:r w:rsidRPr="00DA0ED6">
        <w:t>It also recommends Queensland’s variation which prohibits a PCBU from discouraging an HSR election.</w:t>
      </w:r>
      <w:r w:rsidRPr="00DA0ED6">
        <w:rPr>
          <w:vertAlign w:val="superscript"/>
        </w:rPr>
        <w:footnoteReference w:id="210"/>
      </w:r>
      <w:r w:rsidRPr="00DA0ED6">
        <w:t xml:space="preserve"> </w:t>
      </w:r>
      <w:r w:rsidR="004420D1">
        <w:br w:type="page"/>
      </w:r>
    </w:p>
    <w:p w14:paraId="290E2DCB" w14:textId="7B5DEEE2" w:rsidR="004C23C8" w:rsidRPr="00DA0ED6" w:rsidRDefault="004C23C8" w:rsidP="00AF5E17">
      <w:pPr>
        <w:pStyle w:val="Paragraph"/>
        <w:rPr>
          <w:rFonts w:eastAsia="Aptos"/>
          <w:color w:val="000000"/>
          <w:kern w:val="2"/>
          <w:szCs w:val="22"/>
          <w:shd w:val="clear" w:color="auto" w:fill="FFFFFF"/>
          <w14:ligatures w14:val="standardContextual"/>
        </w:rPr>
      </w:pPr>
      <w:r w:rsidRPr="00DA0ED6">
        <w:lastRenderedPageBreak/>
        <w:t>Under the model WHS Act, PCBUs must take all reasonable steps to commence work group negotiations within 14 days of a worker requesting an HSR election.</w:t>
      </w:r>
      <w:r w:rsidRPr="00DA0ED6">
        <w:rPr>
          <w:szCs w:val="22"/>
          <w:vertAlign w:val="superscript"/>
        </w:rPr>
        <w:footnoteReference w:id="211"/>
      </w:r>
      <w:r w:rsidRPr="00DA0ED6">
        <w:rPr>
          <w:rFonts w:eastAsia="Aptos"/>
          <w:sz w:val="16"/>
          <w:szCs w:val="16"/>
        </w:rPr>
        <w:t xml:space="preserve"> </w:t>
      </w:r>
      <w:r w:rsidRPr="00DA0ED6">
        <w:rPr>
          <w:rFonts w:eastAsia="Aptos"/>
          <w:kern w:val="2"/>
          <w:szCs w:val="22"/>
          <w14:ligatures w14:val="standardContextual"/>
        </w:rPr>
        <w:t xml:space="preserve">Consultation feedback and the </w:t>
      </w:r>
      <w:r w:rsidRPr="00867BA4">
        <w:rPr>
          <w:rFonts w:eastAsia="Aptos"/>
          <w:i/>
          <w:iCs/>
          <w:kern w:val="2"/>
          <w:szCs w:val="22"/>
          <w14:ligatures w14:val="standardContextual"/>
        </w:rPr>
        <w:t>2022 Queensland Review</w:t>
      </w:r>
      <w:r w:rsidRPr="00DA0ED6">
        <w:rPr>
          <w:rFonts w:eastAsia="Aptos"/>
          <w:kern w:val="2"/>
          <w:szCs w:val="22"/>
          <w14:ligatures w14:val="standardContextual"/>
        </w:rPr>
        <w:t xml:space="preserve"> identified that unclear timeframes for completing work group negotiations can delay HSR elections and that the current provisions are being implemented inconsistently.</w:t>
      </w:r>
      <w:r w:rsidRPr="00DA0ED6">
        <w:rPr>
          <w:rFonts w:eastAsia="Aptos"/>
          <w:color w:val="000000"/>
          <w:kern w:val="2"/>
          <w:szCs w:val="22"/>
          <w:shd w:val="clear" w:color="auto" w:fill="FFFFFF"/>
          <w:vertAlign w:val="superscript"/>
          <w14:ligatures w14:val="standardContextual"/>
        </w:rPr>
        <w:footnoteReference w:id="212"/>
      </w:r>
      <w:r w:rsidRPr="00DA0ED6">
        <w:rPr>
          <w:rFonts w:eastAsia="Aptos"/>
          <w:color w:val="000000"/>
          <w:kern w:val="2"/>
          <w:szCs w:val="22"/>
          <w:shd w:val="clear" w:color="auto" w:fill="FFFFFF"/>
          <w14:ligatures w14:val="standardContextual"/>
        </w:rPr>
        <w:t xml:space="preserve"> </w:t>
      </w:r>
      <w:r w:rsidRPr="00DA0ED6">
        <w:rPr>
          <w:rFonts w:eastAsia="Arial"/>
          <w:szCs w:val="22"/>
          <w:lang w:eastAsia="ja-JP"/>
        </w:rPr>
        <w:t xml:space="preserve">The </w:t>
      </w:r>
      <w:r w:rsidRPr="00867BA4">
        <w:rPr>
          <w:rFonts w:eastAsia="Arial"/>
          <w:i/>
          <w:iCs/>
          <w:szCs w:val="22"/>
          <w:lang w:eastAsia="ja-JP"/>
        </w:rPr>
        <w:t xml:space="preserve">2022 Queensland </w:t>
      </w:r>
      <w:r w:rsidRPr="00867BA4">
        <w:rPr>
          <w:rFonts w:eastAsia="Aptos"/>
          <w:i/>
          <w:iCs/>
          <w:color w:val="000000"/>
          <w:kern w:val="2"/>
          <w:szCs w:val="22"/>
          <w:shd w:val="clear" w:color="auto" w:fill="FFFFFF"/>
          <w14:ligatures w14:val="standardContextual"/>
        </w:rPr>
        <w:t>Review</w:t>
      </w:r>
      <w:r w:rsidRPr="00DA0ED6">
        <w:rPr>
          <w:rFonts w:eastAsia="Aptos"/>
          <w:color w:val="000000"/>
          <w:kern w:val="2"/>
          <w:szCs w:val="22"/>
          <w:shd w:val="clear" w:color="auto" w:fill="FFFFFF"/>
          <w14:ligatures w14:val="standardContextual"/>
        </w:rPr>
        <w:t xml:space="preserve"> also found that negotiations often </w:t>
      </w:r>
      <w:r w:rsidRPr="00DA0ED6">
        <w:rPr>
          <w:rFonts w:eastAsia="Aptos"/>
          <w:kern w:val="2"/>
          <w:szCs w:val="22"/>
          <w14:ligatures w14:val="standardContextual"/>
        </w:rPr>
        <w:t>produced</w:t>
      </w:r>
      <w:r w:rsidRPr="00DA0ED6">
        <w:rPr>
          <w:rFonts w:eastAsia="Aptos"/>
          <w:color w:val="000000"/>
          <w:kern w:val="2"/>
          <w:szCs w:val="22"/>
          <w:shd w:val="clear" w:color="auto" w:fill="FFFFFF"/>
          <w14:ligatures w14:val="standardContextual"/>
        </w:rPr>
        <w:t xml:space="preserve"> work groups that did not result in readily accessible HSRs.</w:t>
      </w:r>
      <w:r w:rsidRPr="00DA0ED6">
        <w:rPr>
          <w:rFonts w:eastAsia="Aptos"/>
          <w:kern w:val="2"/>
          <w:szCs w:val="22"/>
          <w:vertAlign w:val="superscript"/>
          <w14:ligatures w14:val="standardContextual"/>
        </w:rPr>
        <w:footnoteReference w:id="213"/>
      </w:r>
      <w:r w:rsidRPr="00DA0ED6">
        <w:rPr>
          <w:color w:val="0F4761"/>
          <w:kern w:val="2"/>
          <w:szCs w:val="22"/>
          <w14:ligatures w14:val="standardContextual"/>
        </w:rPr>
        <w:t xml:space="preserve"> </w:t>
      </w:r>
      <w:r w:rsidRPr="00DA0ED6">
        <w:rPr>
          <w:rFonts w:eastAsia="Aptos"/>
          <w:kern w:val="2"/>
          <w:szCs w:val="22"/>
          <w14:ligatures w14:val="standardContextual"/>
        </w:rPr>
        <w:t xml:space="preserve">It recommended </w:t>
      </w:r>
      <w:r w:rsidRPr="00DA0ED6">
        <w:rPr>
          <w:rFonts w:eastAsia="Aptos"/>
          <w:color w:val="000000"/>
          <w:kern w:val="2"/>
          <w:szCs w:val="22"/>
          <w:shd w:val="clear" w:color="auto" w:fill="FFFFFF"/>
          <w14:ligatures w14:val="standardContextual"/>
        </w:rPr>
        <w:t>clearer timeframes, defined negotiation failure points to guide when regulators can intervene, and clarifications to ensure HSR accessibility across geographical locations, the work stream or work type, and shift arrangements.</w:t>
      </w:r>
      <w:r w:rsidRPr="00DA0ED6">
        <w:rPr>
          <w:rFonts w:eastAsia="Aptos"/>
          <w:color w:val="000000"/>
          <w:kern w:val="2"/>
          <w:szCs w:val="22"/>
          <w:shd w:val="clear" w:color="auto" w:fill="FFFFFF"/>
          <w:vertAlign w:val="superscript"/>
          <w14:ligatures w14:val="standardContextual"/>
        </w:rPr>
        <w:footnoteReference w:id="214"/>
      </w:r>
      <w:r w:rsidRPr="00DA0ED6">
        <w:rPr>
          <w:rFonts w:eastAsia="Aptos"/>
          <w:color w:val="000000"/>
          <w:kern w:val="2"/>
          <w:szCs w:val="22"/>
          <w:shd w:val="clear" w:color="auto" w:fill="FFFFFF"/>
          <w14:ligatures w14:val="standardContextual"/>
        </w:rPr>
        <w:t xml:space="preserve"> </w:t>
      </w:r>
      <w:r w:rsidRPr="00DA0ED6">
        <w:rPr>
          <w:rFonts w:eastAsia="Aptos"/>
          <w:kern w:val="2"/>
          <w:szCs w:val="22"/>
          <w14:ligatures w14:val="standardContextual"/>
        </w:rPr>
        <w:t xml:space="preserve">This Review recommends these amendments should be made to both the model WHS Act and model WHS Regulations to provide greater clarity and support timely and workable HSR arrangements, particularly in regional, rural and remote settings (see </w:t>
      </w:r>
      <w:r w:rsidRPr="002E140F">
        <w:rPr>
          <w:rFonts w:eastAsia="Aptos"/>
          <w:b/>
          <w:kern w:val="2"/>
          <w:szCs w:val="22"/>
          <w14:ligatures w14:val="standardContextual"/>
        </w:rPr>
        <w:t>Appendix D</w:t>
      </w:r>
      <w:r w:rsidRPr="002E140F">
        <w:rPr>
          <w:rFonts w:eastAsia="Aptos"/>
          <w:kern w:val="2"/>
          <w:szCs w:val="22"/>
          <w14:ligatures w14:val="standardContextual"/>
        </w:rPr>
        <w:t>,</w:t>
      </w:r>
      <w:r w:rsidRPr="002E140F">
        <w:rPr>
          <w:rFonts w:eastAsia="Aptos"/>
          <w:b/>
          <w:kern w:val="2"/>
          <w:szCs w:val="22"/>
          <w14:ligatures w14:val="standardContextual"/>
        </w:rPr>
        <w:t xml:space="preserve"> 1A </w:t>
      </w:r>
      <w:r w:rsidRPr="002E140F">
        <w:rPr>
          <w:rFonts w:eastAsia="Aptos"/>
          <w:kern w:val="2"/>
          <w:szCs w:val="22"/>
          <w14:ligatures w14:val="standardContextual"/>
        </w:rPr>
        <w:t>and</w:t>
      </w:r>
      <w:r w:rsidRPr="002E140F">
        <w:rPr>
          <w:rFonts w:eastAsia="Aptos"/>
          <w:b/>
          <w:kern w:val="2"/>
          <w:szCs w:val="22"/>
          <w14:ligatures w14:val="standardContextual"/>
        </w:rPr>
        <w:t xml:space="preserve"> 1B</w:t>
      </w:r>
      <w:r w:rsidR="00FB0145" w:rsidRPr="00A917C0">
        <w:rPr>
          <w:rFonts w:eastAsia="Aptos"/>
          <w:bCs/>
          <w:kern w:val="2"/>
          <w:szCs w:val="22"/>
          <w14:ligatures w14:val="standardContextual"/>
        </w:rPr>
        <w:t>;</w:t>
      </w:r>
      <w:r w:rsidRPr="002E140F">
        <w:rPr>
          <w:rFonts w:eastAsia="Aptos"/>
          <w:kern w:val="2"/>
          <w:szCs w:val="22"/>
          <w14:ligatures w14:val="standardContextual"/>
        </w:rPr>
        <w:t xml:space="preserve"> and </w:t>
      </w:r>
      <w:r w:rsidRPr="002E140F">
        <w:rPr>
          <w:rFonts w:eastAsia="Aptos"/>
          <w:b/>
          <w:kern w:val="2"/>
          <w:szCs w:val="22"/>
          <w14:ligatures w14:val="standardContextual"/>
        </w:rPr>
        <w:t>Appendix F</w:t>
      </w:r>
      <w:r w:rsidRPr="002E140F">
        <w:rPr>
          <w:rFonts w:eastAsia="Aptos"/>
          <w:kern w:val="2"/>
          <w:szCs w:val="22"/>
          <w14:ligatures w14:val="standardContextual"/>
        </w:rPr>
        <w:t>,</w:t>
      </w:r>
      <w:r w:rsidRPr="002E140F">
        <w:rPr>
          <w:rFonts w:eastAsia="Aptos"/>
          <w:b/>
          <w:kern w:val="2"/>
          <w:szCs w:val="22"/>
          <w14:ligatures w14:val="standardContextual"/>
        </w:rPr>
        <w:t xml:space="preserve"> 1</w:t>
      </w:r>
      <w:r w:rsidRPr="002E140F">
        <w:rPr>
          <w:rFonts w:eastAsia="Aptos"/>
          <w:kern w:val="2"/>
          <w:szCs w:val="22"/>
          <w14:ligatures w14:val="standardContextual"/>
        </w:rPr>
        <w:t>).</w:t>
      </w:r>
    </w:p>
    <w:p w14:paraId="1FFF7C92" w14:textId="77777777" w:rsidR="004C23C8" w:rsidRPr="00DA0ED6" w:rsidRDefault="004C23C8" w:rsidP="00AF5E17">
      <w:pPr>
        <w:pStyle w:val="Paragraph"/>
        <w:rPr>
          <w:rFonts w:eastAsia="Aptos"/>
        </w:rPr>
      </w:pPr>
      <w:r w:rsidRPr="00DA0ED6">
        <w:rPr>
          <w:rFonts w:eastAsia="Aptos"/>
        </w:rPr>
        <w:t>This Review has also identified that the model WHS Act should be amended in relation to workplace determination processes for multi-business work groups,</w:t>
      </w:r>
      <w:r w:rsidRPr="00DA0ED6">
        <w:rPr>
          <w:rFonts w:eastAsia="Aptos"/>
          <w:vertAlign w:val="superscript"/>
        </w:rPr>
        <w:footnoteReference w:id="215"/>
      </w:r>
      <w:r w:rsidRPr="00DA0ED6">
        <w:rPr>
          <w:rFonts w:eastAsia="Aptos"/>
        </w:rPr>
        <w:t xml:space="preserve"> reflecting union concerns that inspectors currently lack binding decision-making powers in these disputes.</w:t>
      </w:r>
      <w:r w:rsidRPr="00DA0ED6">
        <w:rPr>
          <w:rFonts w:eastAsia="Aptos"/>
          <w:vertAlign w:val="superscript"/>
        </w:rPr>
        <w:footnoteReference w:id="216"/>
      </w:r>
      <w:r w:rsidRPr="00DA0ED6">
        <w:rPr>
          <w:rFonts w:eastAsia="Aptos"/>
        </w:rPr>
        <w:t xml:space="preserve"> This Review acknowledges</w:t>
      </w:r>
      <w:r w:rsidRPr="00DA0ED6">
        <w:rPr>
          <w:rFonts w:eastAsia="Aptos"/>
          <w:vertAlign w:val="superscript"/>
        </w:rPr>
        <w:t xml:space="preserve"> </w:t>
      </w:r>
      <w:r w:rsidRPr="00DA0ED6">
        <w:rPr>
          <w:rFonts w:eastAsia="Aptos"/>
        </w:rPr>
        <w:t>this difference is likely due to a drafting error, as the provisions for single</w:t>
      </w:r>
      <w:r w:rsidRPr="00DA0ED6">
        <w:rPr>
          <w:rFonts w:eastAsia="Aptos"/>
        </w:rPr>
        <w:noBreakHyphen/>
        <w:t>employer work groups provide this power to inspectors and there is no apparent reason for the difference in approach.</w:t>
      </w:r>
    </w:p>
    <w:p w14:paraId="4FC10514" w14:textId="7A8A74B6" w:rsidR="004C23C8" w:rsidRPr="00AB6843" w:rsidRDefault="00C75470" w:rsidP="00A917C0">
      <w:pPr>
        <w:pStyle w:val="SWAHeading4"/>
        <w:rPr>
          <w:lang w:eastAsia="en-AU"/>
        </w:rPr>
      </w:pPr>
      <w:r w:rsidRPr="00AB6843">
        <w:rPr>
          <w:lang w:eastAsia="en-AU"/>
        </w:rPr>
        <w:t>Clarifying health and safety committee processes</w:t>
      </w:r>
    </w:p>
    <w:p w14:paraId="561AE8EA" w14:textId="77777777" w:rsidR="00F21CE3" w:rsidRDefault="008F49F1" w:rsidP="00B3196E">
      <w:pPr>
        <w:pStyle w:val="Paragraph"/>
        <w:rPr>
          <w:rFonts w:eastAsia="Arial"/>
        </w:rPr>
      </w:pPr>
      <w:r w:rsidRPr="000A05F2">
        <w:rPr>
          <w:rFonts w:eastAsia="Arial"/>
        </w:rPr>
        <w:t>Under the model WHS Act,</w:t>
      </w:r>
      <w:r w:rsidRPr="000A05F2">
        <w:rPr>
          <w:rFonts w:eastAsia="Arial"/>
          <w:vertAlign w:val="superscript"/>
        </w:rPr>
        <w:footnoteReference w:id="217"/>
      </w:r>
      <w:r w:rsidRPr="000A05F2">
        <w:rPr>
          <w:rFonts w:eastAsia="Arial"/>
        </w:rPr>
        <w:t xml:space="preserve"> HSCs facilitate cooperation between employers and workers, acting as a formal forum for consultation on WHS matters. Consistent with its findings on HSR elections, the </w:t>
      </w:r>
      <w:r w:rsidRPr="00867BA4">
        <w:rPr>
          <w:rFonts w:eastAsia="Aptos"/>
          <w:i/>
          <w:iCs/>
        </w:rPr>
        <w:t>2022 Queensland Review</w:t>
      </w:r>
      <w:r w:rsidRPr="000A05F2">
        <w:rPr>
          <w:rFonts w:eastAsia="Aptos"/>
        </w:rPr>
        <w:t xml:space="preserve"> found </w:t>
      </w:r>
      <w:r w:rsidRPr="000A05F2">
        <w:rPr>
          <w:rFonts w:eastAsia="Arial"/>
        </w:rPr>
        <w:t xml:space="preserve">that clearer </w:t>
      </w:r>
      <w:r w:rsidRPr="000A05F2">
        <w:rPr>
          <w:rFonts w:eastAsia="Aptos"/>
        </w:rPr>
        <w:t>timeframes</w:t>
      </w:r>
      <w:r w:rsidRPr="000A05F2">
        <w:rPr>
          <w:rFonts w:eastAsia="Arial"/>
        </w:rPr>
        <w:t xml:space="preserve"> would also remedy delays in establishing HSCs.</w:t>
      </w:r>
      <w:r w:rsidRPr="000A05F2">
        <w:rPr>
          <w:rFonts w:eastAsia="Arial"/>
          <w:vertAlign w:val="superscript"/>
        </w:rPr>
        <w:footnoteReference w:id="218"/>
      </w:r>
      <w:r w:rsidRPr="000A05F2">
        <w:rPr>
          <w:rFonts w:eastAsia="Arial"/>
        </w:rPr>
        <w:t xml:space="preserve"> In line with this recommendation, and Queensland’s amendments, this Review recommends that the WHS Act be amended to provide that an HSC be established as soon as practicable but no later than 28 days after a request is made</w:t>
      </w:r>
      <w:r w:rsidRPr="000A05F2">
        <w:rPr>
          <w:rFonts w:eastAsia="Arial"/>
          <w:vertAlign w:val="superscript"/>
        </w:rPr>
        <w:footnoteReference w:id="219"/>
      </w:r>
      <w:r w:rsidRPr="000A05F2">
        <w:rPr>
          <w:rFonts w:eastAsia="Arial"/>
        </w:rPr>
        <w:t xml:space="preserve"> (see </w:t>
      </w:r>
      <w:r w:rsidRPr="000A05F2">
        <w:rPr>
          <w:rFonts w:eastAsia="Arial"/>
          <w:b/>
        </w:rPr>
        <w:t>Appendix D</w:t>
      </w:r>
      <w:r w:rsidRPr="000A05F2">
        <w:rPr>
          <w:rFonts w:eastAsia="Arial"/>
        </w:rPr>
        <w:t>,</w:t>
      </w:r>
      <w:r w:rsidRPr="000A05F2">
        <w:rPr>
          <w:rFonts w:eastAsia="Arial"/>
          <w:b/>
        </w:rPr>
        <w:t xml:space="preserve"> 1C</w:t>
      </w:r>
      <w:r w:rsidRPr="000A05F2">
        <w:rPr>
          <w:rFonts w:eastAsia="Arial"/>
        </w:rPr>
        <w:t xml:space="preserve">). However, this Review </w:t>
      </w:r>
      <w:r w:rsidRPr="000A05F2">
        <w:rPr>
          <w:rFonts w:eastAsia="Aptos"/>
        </w:rPr>
        <w:t>is not recommending</w:t>
      </w:r>
      <w:r w:rsidRPr="000A05F2">
        <w:rPr>
          <w:rFonts w:eastAsia="Arial"/>
        </w:rPr>
        <w:t xml:space="preserve"> variations made by WA to strengthen the ability of an HSC to act on decisions it makes through senior leadership commitment,</w:t>
      </w:r>
      <w:r w:rsidRPr="000A05F2">
        <w:rPr>
          <w:rFonts w:eastAsia="Arial"/>
          <w:vertAlign w:val="superscript"/>
        </w:rPr>
        <w:footnoteReference w:id="220"/>
      </w:r>
      <w:r w:rsidRPr="000A05F2">
        <w:rPr>
          <w:rFonts w:eastAsia="Arial"/>
        </w:rPr>
        <w:t xml:space="preserve"> as this Review did not hear significant feedback in relation to problems with senior representation on HSCs.</w:t>
      </w:r>
    </w:p>
    <w:p w14:paraId="18984499" w14:textId="6E5BE2DB" w:rsidR="004420D1" w:rsidRDefault="004420D1" w:rsidP="00B3196E">
      <w:pPr>
        <w:pStyle w:val="Paragraph"/>
        <w:rPr>
          <w:rFonts w:eastAsia="Arial"/>
        </w:rPr>
      </w:pPr>
      <w:r>
        <w:rPr>
          <w:rFonts w:eastAsia="Arial"/>
        </w:rPr>
        <w:br w:type="page"/>
      </w:r>
    </w:p>
    <w:p w14:paraId="248C6F23" w14:textId="77777777" w:rsidR="008F49F1" w:rsidRPr="000A05F2" w:rsidRDefault="008F49F1" w:rsidP="00AF5E17">
      <w:pPr>
        <w:pStyle w:val="Paragraph"/>
        <w:rPr>
          <w:rFonts w:eastAsia="Arial"/>
        </w:rPr>
      </w:pPr>
      <w:r w:rsidRPr="000A05F2">
        <w:rPr>
          <w:rFonts w:eastAsia="Arial"/>
        </w:rPr>
        <w:lastRenderedPageBreak/>
        <w:t xml:space="preserve">In some jurisdictions, more structured consultation arrangements are </w:t>
      </w:r>
      <w:r w:rsidRPr="002E140F">
        <w:rPr>
          <w:rFonts w:eastAsia="Arial"/>
        </w:rPr>
        <w:t>required in high risk settings. The ACT has introduced additional requirements to consult with unions, and stronger requirements to facilitate HSR elections, for major construction projects (over $5 million).</w:t>
      </w:r>
      <w:r w:rsidRPr="002E140F">
        <w:rPr>
          <w:rFonts w:eastAsia="Arial"/>
          <w:vertAlign w:val="superscript"/>
        </w:rPr>
        <w:footnoteReference w:id="221"/>
      </w:r>
      <w:r w:rsidRPr="002E140F">
        <w:rPr>
          <w:rFonts w:eastAsia="Arial"/>
        </w:rPr>
        <w:t xml:space="preserve"> The </w:t>
      </w:r>
      <w:r w:rsidRPr="00867BA4">
        <w:rPr>
          <w:rFonts w:eastAsia="Arial"/>
          <w:i/>
          <w:iCs/>
        </w:rPr>
        <w:t>2022 Queensland Review</w:t>
      </w:r>
      <w:r w:rsidRPr="002E140F">
        <w:rPr>
          <w:rFonts w:eastAsia="Arial"/>
        </w:rPr>
        <w:t xml:space="preserve"> also recommended further consideration of making HSCs mandatory in high risk contexts, although this was not ultimately implemented.</w:t>
      </w:r>
      <w:r w:rsidRPr="002E140F">
        <w:rPr>
          <w:rFonts w:eastAsia="Arial"/>
          <w:vertAlign w:val="superscript"/>
        </w:rPr>
        <w:footnoteReference w:id="222"/>
      </w:r>
      <w:r w:rsidRPr="002E140F">
        <w:rPr>
          <w:rFonts w:eastAsia="Arial"/>
        </w:rPr>
        <w:t xml:space="preserve"> Consultation highlighted challenges with applying consultation requirements in short-term or transient work arrangements such as entertainment a</w:t>
      </w:r>
      <w:r w:rsidRPr="000A05F2">
        <w:rPr>
          <w:rFonts w:eastAsia="Arial"/>
        </w:rPr>
        <w:t>nd the arts. In these contexts, the duration of work and workforce turnover can limit the effectiveness of work group negotiations and HSR election processes.</w:t>
      </w:r>
      <w:r w:rsidRPr="000A05F2">
        <w:rPr>
          <w:rFonts w:eastAsia="Arial"/>
          <w:vertAlign w:val="superscript"/>
        </w:rPr>
        <w:footnoteReference w:id="223"/>
      </w:r>
      <w:r w:rsidRPr="000A05F2">
        <w:rPr>
          <w:rFonts w:eastAsia="Arial"/>
        </w:rPr>
        <w:t xml:space="preserve"> Submissions further identified consultation challenges in workplaces involving multiple PCBUs operating at a single site.</w:t>
      </w:r>
      <w:r w:rsidRPr="000A05F2">
        <w:rPr>
          <w:rFonts w:eastAsia="Arial"/>
          <w:vertAlign w:val="superscript"/>
        </w:rPr>
        <w:footnoteReference w:id="224"/>
      </w:r>
      <w:r w:rsidRPr="000A05F2">
        <w:rPr>
          <w:rFonts w:eastAsia="Arial"/>
        </w:rPr>
        <w:t xml:space="preserve"> There are potential solutions to these issues, such as establishing a mandated HSC for the life of the project only. Further, where multiple PCBUs operate at a single workplace, an HSC may assist in managing the complexity of coordination and compliance across duty holders.</w:t>
      </w:r>
    </w:p>
    <w:p w14:paraId="2812C802" w14:textId="33FAEFAF" w:rsidR="00F21CE3" w:rsidRDefault="008F49F1" w:rsidP="00AF5E17">
      <w:pPr>
        <w:pStyle w:val="Paragraph"/>
        <w:rPr>
          <w:rFonts w:eastAsia="Arial"/>
        </w:rPr>
      </w:pPr>
      <w:r w:rsidRPr="000A05F2">
        <w:rPr>
          <w:rFonts w:eastAsia="Arial"/>
        </w:rPr>
        <w:t>This Review considers this issue raises additional considerations not contemplated by the ACT variations. Rather than recommend it be adopted, this Review proposes that SIG</w:t>
      </w:r>
      <w:r w:rsidRPr="000A05F2">
        <w:rPr>
          <w:rFonts w:eastAsia="Symbol" w:cs="Symbol"/>
        </w:rPr>
        <w:t>-</w:t>
      </w:r>
      <w:r w:rsidRPr="000A05F2">
        <w:rPr>
          <w:rFonts w:eastAsia="Arial"/>
        </w:rPr>
        <w:t xml:space="preserve">WHS undertake further work and consultation to assess whether mandating HSCs or other structured consultation arrangements are appropriate in </w:t>
      </w:r>
      <w:r w:rsidRPr="00C16287">
        <w:rPr>
          <w:rFonts w:eastAsia="Arial"/>
        </w:rPr>
        <w:t>high</w:t>
      </w:r>
      <w:r w:rsidR="00C16287">
        <w:rPr>
          <w:rFonts w:eastAsia="Arial"/>
        </w:rPr>
        <w:t xml:space="preserve"> </w:t>
      </w:r>
      <w:r w:rsidRPr="00C16287">
        <w:rPr>
          <w:rFonts w:eastAsia="Arial"/>
        </w:rPr>
        <w:t>risk industries, short-</w:t>
      </w:r>
      <w:r w:rsidRPr="000A05F2">
        <w:rPr>
          <w:rFonts w:eastAsia="Arial"/>
        </w:rPr>
        <w:t>term projects or complex work arrangements.</w:t>
      </w:r>
    </w:p>
    <w:p w14:paraId="6A4BA972" w14:textId="61662E80" w:rsidR="009B7A11" w:rsidRPr="000F1DE6" w:rsidRDefault="009B7A11" w:rsidP="009B7A11">
      <w:pPr>
        <w:pStyle w:val="SWAHeading3"/>
        <w:rPr>
          <w:lang w:eastAsia="en-AU"/>
        </w:rPr>
      </w:pPr>
      <w:r>
        <w:rPr>
          <w:lang w:eastAsia="en-AU"/>
        </w:rPr>
        <w:t xml:space="preserve">Health and safety </w:t>
      </w:r>
      <w:r w:rsidRPr="00A567A7">
        <w:t>representative</w:t>
      </w:r>
      <w:r>
        <w:rPr>
          <w:lang w:eastAsia="en-AU"/>
        </w:rPr>
        <w:t xml:space="preserve"> </w:t>
      </w:r>
      <w:r w:rsidRPr="000F1DE6">
        <w:rPr>
          <w:lang w:eastAsia="en-AU"/>
        </w:rPr>
        <w:t>powers and functions (ss 68–70, 74, 92, 94, model WHS Act)</w:t>
      </w:r>
    </w:p>
    <w:p w14:paraId="73B06555" w14:textId="77777777" w:rsidR="009B7A11" w:rsidRPr="003D6F8F" w:rsidRDefault="009B7A11" w:rsidP="00AF5E17">
      <w:pPr>
        <w:pStyle w:val="Paragraph"/>
        <w:rPr>
          <w:rFonts w:eastAsia="Arial"/>
        </w:rPr>
      </w:pPr>
      <w:r w:rsidRPr="003D6F8F">
        <w:rPr>
          <w:rFonts w:eastAsia="Arial"/>
        </w:rPr>
        <w:t>Drawing on jurisdictional variations, this Review</w:t>
      </w:r>
      <w:r w:rsidRPr="003D6F8F" w:rsidDel="00015F51">
        <w:rPr>
          <w:rFonts w:eastAsia="Arial"/>
        </w:rPr>
        <w:t xml:space="preserve"> </w:t>
      </w:r>
      <w:r w:rsidRPr="003D6F8F">
        <w:rPr>
          <w:rFonts w:eastAsia="Arial"/>
        </w:rPr>
        <w:t>recommends several amendments to the model WHS Act to modernise the existing powers and functions of HSRs. Where elected, HSRs support improved safety outcomes by ensuring workers are represented. The recommended amendments are consistent with the existing intent of HSR provisions. These changes aim to ensure HSR powers remain relevant to modern workplaces and working arrangements. Note this chapter also discusses amendments made by Queensland which this Review considered and is not recommending for adoption.</w:t>
      </w:r>
    </w:p>
    <w:p w14:paraId="512C75CC" w14:textId="77777777" w:rsidR="009B7A11" w:rsidRPr="00A917C0" w:rsidRDefault="009B7A11" w:rsidP="00A917C0">
      <w:pPr>
        <w:pStyle w:val="SWAHeading4"/>
      </w:pPr>
      <w:r w:rsidRPr="007E465D">
        <w:t>Modernising health and safety representative information-gathering powers</w:t>
      </w:r>
    </w:p>
    <w:p w14:paraId="33DD8E4A" w14:textId="77777777" w:rsidR="00F21CE3" w:rsidRDefault="009B7A11" w:rsidP="00AF5E17">
      <w:pPr>
        <w:pStyle w:val="Paragraph"/>
        <w:rPr>
          <w:rFonts w:eastAsia="Aptos"/>
        </w:rPr>
      </w:pPr>
      <w:r w:rsidRPr="00964AAF">
        <w:rPr>
          <w:rFonts w:eastAsia="Aptos"/>
        </w:rPr>
        <w:t>HSRs have powers to monitor WHS measures, investigate complaints and inspect workplaces in relation to WHS matters relevant to their work group.</w:t>
      </w:r>
      <w:r w:rsidRPr="00964AAF">
        <w:rPr>
          <w:rFonts w:eastAsia="Aptos"/>
          <w:vertAlign w:val="superscript"/>
        </w:rPr>
        <w:footnoteReference w:id="225"/>
      </w:r>
      <w:r w:rsidRPr="00964AAF">
        <w:rPr>
          <w:rFonts w:eastAsia="Aptos"/>
        </w:rPr>
        <w:t xml:space="preserve"> This Review recommends the model WHS Act should be amended to clarify and modernise </w:t>
      </w:r>
      <w:r w:rsidRPr="00964AAF">
        <w:rPr>
          <w:rFonts w:eastAsia="Arial" w:cs="Arial"/>
        </w:rPr>
        <w:t>the</w:t>
      </w:r>
      <w:r w:rsidRPr="00964AAF">
        <w:rPr>
          <w:rFonts w:eastAsia="Aptos"/>
        </w:rPr>
        <w:t xml:space="preserve"> information-gathering powers of HSRs to support the effective performance of their existing functions. This would include the ability to document hazards, including by taking photographs, measurements, sketches or recordings, consistent with the approach in Victoria and (now repealed) amendments made in Queensland, following a recommendation of the </w:t>
      </w:r>
      <w:r w:rsidRPr="00867BA4">
        <w:rPr>
          <w:rFonts w:eastAsia="Aptos"/>
          <w:i/>
          <w:iCs/>
        </w:rPr>
        <w:t>2022 Queensland Review</w:t>
      </w:r>
      <w:r w:rsidRPr="00964AAF">
        <w:rPr>
          <w:rFonts w:eastAsia="Aptos"/>
        </w:rPr>
        <w:t>.</w:t>
      </w:r>
      <w:r w:rsidRPr="00964AAF">
        <w:rPr>
          <w:rFonts w:eastAsia="Aptos"/>
          <w:vertAlign w:val="superscript"/>
        </w:rPr>
        <w:footnoteReference w:id="226"/>
      </w:r>
    </w:p>
    <w:p w14:paraId="4801D6D7" w14:textId="196E346A" w:rsidR="009B7A11" w:rsidRPr="00964AAF" w:rsidRDefault="009B7A11" w:rsidP="00AF5E17">
      <w:pPr>
        <w:pStyle w:val="Paragraph"/>
        <w:rPr>
          <w:rFonts w:cs="Arial"/>
        </w:rPr>
      </w:pPr>
      <w:r w:rsidRPr="00964AAF">
        <w:rPr>
          <w:rFonts w:eastAsia="Aptos"/>
        </w:rPr>
        <w:lastRenderedPageBreak/>
        <w:t xml:space="preserve">This Review considers that preventing HSRs from information gathering, including taking photographs of hazards in the workplace with the purpose of inquiring into risks, does not support an HSR’s role. However, this Review acknowledges the powers will require appropriate safeguards, including to protect privacy and commercially sensitive information (see </w:t>
      </w:r>
      <w:r w:rsidRPr="002E140F">
        <w:rPr>
          <w:rFonts w:cs="Arial"/>
          <w:b/>
        </w:rPr>
        <w:t>Appendix D</w:t>
      </w:r>
      <w:r w:rsidRPr="002E140F">
        <w:rPr>
          <w:rFonts w:cs="Arial"/>
        </w:rPr>
        <w:t>,</w:t>
      </w:r>
      <w:r w:rsidRPr="002E140F">
        <w:rPr>
          <w:rFonts w:cs="Arial"/>
          <w:b/>
        </w:rPr>
        <w:t xml:space="preserve"> 2A(i)</w:t>
      </w:r>
      <w:r w:rsidRPr="002E140F">
        <w:rPr>
          <w:rFonts w:cs="Arial"/>
        </w:rPr>
        <w:t>).</w:t>
      </w:r>
      <w:r w:rsidRPr="002E140F">
        <w:rPr>
          <w:rFonts w:eastAsia="Aptos"/>
        </w:rPr>
        <w:t xml:space="preserve"> These</w:t>
      </w:r>
      <w:r w:rsidRPr="00964AAF">
        <w:rPr>
          <w:rFonts w:eastAsia="Aptos"/>
        </w:rPr>
        <w:t xml:space="preserve"> issues are also discussed in </w:t>
      </w:r>
      <w:r w:rsidRPr="00964AAF">
        <w:rPr>
          <w:rFonts w:eastAsia="Aptos"/>
          <w:b/>
        </w:rPr>
        <w:t>Chapter</w:t>
      </w:r>
      <w:r w:rsidRPr="00964AAF">
        <w:rPr>
          <w:rFonts w:eastAsia="Aptos" w:cs="Arial"/>
          <w:b/>
        </w:rPr>
        <w:t> 3.3</w:t>
      </w:r>
      <w:r w:rsidRPr="00964AAF">
        <w:rPr>
          <w:rFonts w:eastAsia="Aptos" w:cs="Arial"/>
        </w:rPr>
        <w:t xml:space="preserve"> – Right of entry, concerning WHS entry permit holders (EPHs),</w:t>
      </w:r>
      <w:r w:rsidRPr="00964AAF">
        <w:rPr>
          <w:rFonts w:eastAsia="Aptos"/>
        </w:rPr>
        <w:t xml:space="preserve"> and this Review recommends a consistent approach be applied to HSRs.</w:t>
      </w:r>
    </w:p>
    <w:p w14:paraId="099BE2AE" w14:textId="77777777" w:rsidR="009B7A11" w:rsidRPr="00A75EC0" w:rsidRDefault="009B7A11" w:rsidP="00A917C0">
      <w:pPr>
        <w:pStyle w:val="SWAHeading4"/>
      </w:pPr>
      <w:r w:rsidRPr="00A75EC0">
        <w:t>Access to information including incident investigations, inspections and outcome</w:t>
      </w:r>
    </w:p>
    <w:p w14:paraId="3C53E841" w14:textId="77777777" w:rsidR="009B7A11" w:rsidRPr="00394FC5" w:rsidRDefault="009B7A11" w:rsidP="00AF5E17">
      <w:pPr>
        <w:pStyle w:val="Paragraph"/>
        <w:rPr>
          <w:rFonts w:eastAsia="Arial"/>
        </w:rPr>
      </w:pPr>
      <w:r w:rsidRPr="00394FC5">
        <w:rPr>
          <w:rFonts w:eastAsia="Arial"/>
        </w:rPr>
        <w:t>To effectively perform their role, HSRs require access to information from PCBUs concerning the WHS</w:t>
      </w:r>
      <w:r w:rsidRPr="00394FC5">
        <w:rPr>
          <w:rFonts w:eastAsia="Arial"/>
        </w:rPr>
        <w:noBreakHyphen/>
        <w:t xml:space="preserve">related information of their work </w:t>
      </w:r>
      <w:r w:rsidRPr="00394FC5">
        <w:rPr>
          <w:rFonts w:eastAsia="Aptos" w:cs="Times New Roman"/>
        </w:rPr>
        <w:t>group</w:t>
      </w:r>
      <w:r w:rsidRPr="00394FC5">
        <w:rPr>
          <w:rFonts w:eastAsia="Arial"/>
        </w:rPr>
        <w:t>.</w:t>
      </w:r>
      <w:r w:rsidRPr="00394FC5">
        <w:rPr>
          <w:rFonts w:eastAsia="Arial"/>
          <w:vertAlign w:val="superscript"/>
        </w:rPr>
        <w:footnoteReference w:id="227"/>
      </w:r>
      <w:r w:rsidRPr="00394FC5">
        <w:rPr>
          <w:rFonts w:eastAsia="Arial"/>
        </w:rPr>
        <w:t xml:space="preserve"> The provisions in the model WHS Act that provide for access to information for HSRs lack specificity, resulting in inconsistent access to WHS-related information and reduced visibility of WHS risks.</w:t>
      </w:r>
      <w:r w:rsidRPr="00394FC5">
        <w:rPr>
          <w:rFonts w:eastAsia="Arial"/>
          <w:vertAlign w:val="superscript"/>
        </w:rPr>
        <w:footnoteReference w:id="228"/>
      </w:r>
      <w:r w:rsidRPr="00394FC5">
        <w:rPr>
          <w:rFonts w:eastAsia="Arial"/>
        </w:rPr>
        <w:t xml:space="preserve"> As stated by a survey respondent, ‘Management does not always share the information required by legislation, despite being requested to’.</w:t>
      </w:r>
      <w:r w:rsidRPr="00394FC5">
        <w:rPr>
          <w:rFonts w:eastAsia="Arial"/>
          <w:vertAlign w:val="superscript"/>
        </w:rPr>
        <w:footnoteReference w:id="229"/>
      </w:r>
      <w:r w:rsidRPr="00394FC5">
        <w:rPr>
          <w:rFonts w:eastAsia="Arial"/>
        </w:rPr>
        <w:t xml:space="preserve"> This can also lead to disputes.</w:t>
      </w:r>
    </w:p>
    <w:p w14:paraId="57A8FB11" w14:textId="77777777" w:rsidR="00F21CE3" w:rsidRDefault="009B7A11" w:rsidP="00AF5E17">
      <w:pPr>
        <w:pStyle w:val="Paragraph"/>
        <w:rPr>
          <w:rFonts w:eastAsia="Arial"/>
        </w:rPr>
      </w:pPr>
      <w:r w:rsidRPr="00394FC5">
        <w:rPr>
          <w:rFonts w:eastAsia="Arial"/>
        </w:rPr>
        <w:t xml:space="preserve">Queensland amendments, recommended by the </w:t>
      </w:r>
      <w:r w:rsidRPr="00867BA4">
        <w:rPr>
          <w:rFonts w:eastAsia="Arial"/>
          <w:i/>
          <w:iCs/>
        </w:rPr>
        <w:t>2022 Queensland Review</w:t>
      </w:r>
      <w:r w:rsidRPr="00394FC5">
        <w:rPr>
          <w:rFonts w:eastAsia="Arial"/>
        </w:rPr>
        <w:t xml:space="preserve">, respond to this lack of clarity by identifying the categories of information HSRs are entitled to access (which includes statutory notices issued by inspectors, entry notices and </w:t>
      </w:r>
      <w:r w:rsidRPr="00394FC5">
        <w:rPr>
          <w:rFonts w:eastAsia="Aptos" w:cs="Times New Roman"/>
        </w:rPr>
        <w:t>incident</w:t>
      </w:r>
      <w:r w:rsidRPr="00394FC5">
        <w:rPr>
          <w:rFonts w:eastAsia="Arial"/>
        </w:rPr>
        <w:t xml:space="preserve"> notifications) and establishes a positive right to request information relevant to a safety matter, supported by a corresponding obligation on PCBUs to provide it.</w:t>
      </w:r>
      <w:r w:rsidRPr="00394FC5">
        <w:rPr>
          <w:rFonts w:eastAsia="Arial"/>
          <w:vertAlign w:val="superscript"/>
        </w:rPr>
        <w:footnoteReference w:id="230"/>
      </w:r>
    </w:p>
    <w:p w14:paraId="35A9AE05" w14:textId="6268559B" w:rsidR="009B7A11" w:rsidRPr="00394FC5" w:rsidRDefault="009B7A11" w:rsidP="00AF5E17">
      <w:pPr>
        <w:pStyle w:val="Paragraph"/>
      </w:pPr>
      <w:r w:rsidRPr="00394FC5">
        <w:rPr>
          <w:rFonts w:eastAsia="Arial"/>
        </w:rPr>
        <w:t xml:space="preserve">This Review recommends adopting similar amendments, subject to appropriate safeguards for confidential commercial and personal medical information; and minimum timeframes for responding to information requests (see </w:t>
      </w:r>
      <w:r w:rsidRPr="00394FC5">
        <w:rPr>
          <w:b/>
        </w:rPr>
        <w:t>Appendix D</w:t>
      </w:r>
      <w:r w:rsidRPr="00394FC5">
        <w:t>,</w:t>
      </w:r>
      <w:r w:rsidRPr="00394FC5">
        <w:rPr>
          <w:b/>
        </w:rPr>
        <w:t xml:space="preserve"> 2A(ii)</w:t>
      </w:r>
      <w:r w:rsidRPr="00394FC5">
        <w:t>,</w:t>
      </w:r>
      <w:r w:rsidRPr="00394FC5">
        <w:rPr>
          <w:b/>
        </w:rPr>
        <w:t xml:space="preserve"> (iii) </w:t>
      </w:r>
      <w:r w:rsidRPr="00394FC5">
        <w:t>and</w:t>
      </w:r>
      <w:r w:rsidRPr="00394FC5">
        <w:rPr>
          <w:b/>
        </w:rPr>
        <w:t xml:space="preserve"> (iv)</w:t>
      </w:r>
      <w:r w:rsidRPr="00394FC5">
        <w:t>)</w:t>
      </w:r>
      <w:r w:rsidRPr="00394FC5">
        <w:rPr>
          <w:rFonts w:eastAsia="Arial"/>
        </w:rPr>
        <w:t>. Amendments should also include a</w:t>
      </w:r>
      <w:r w:rsidRPr="00394FC5">
        <w:t xml:space="preserve"> mechanism to resolve disputes between the PCBU and HSR about access to information under the amended provisions.</w:t>
      </w:r>
    </w:p>
    <w:p w14:paraId="4985C3AB" w14:textId="77777777" w:rsidR="009B7A11" w:rsidRPr="00A75EC0" w:rsidRDefault="009B7A11" w:rsidP="00884311">
      <w:pPr>
        <w:pStyle w:val="SWAHeading4"/>
      </w:pPr>
      <w:r w:rsidRPr="00A75EC0">
        <w:t>Provisional improvement notices</w:t>
      </w:r>
    </w:p>
    <w:p w14:paraId="2BB04666" w14:textId="7994DEDF" w:rsidR="004420D1" w:rsidRDefault="009B7A11" w:rsidP="00AF5E17">
      <w:pPr>
        <w:pStyle w:val="Paragraph"/>
        <w:rPr>
          <w:rFonts w:eastAsia="Aptos"/>
        </w:rPr>
      </w:pPr>
      <w:r w:rsidRPr="00FF5EB7">
        <w:rPr>
          <w:rFonts w:eastAsia="Aptos"/>
        </w:rPr>
        <w:t xml:space="preserve">Following the </w:t>
      </w:r>
      <w:r w:rsidRPr="00867BA4">
        <w:rPr>
          <w:rFonts w:eastAsia="Aptos"/>
          <w:i/>
          <w:iCs/>
        </w:rPr>
        <w:t>2022 Queensland Review</w:t>
      </w:r>
      <w:r w:rsidRPr="00FF5EB7">
        <w:rPr>
          <w:rFonts w:eastAsia="Aptos"/>
        </w:rPr>
        <w:t>, Queensland amended its WHS Act to</w:t>
      </w:r>
      <w:r w:rsidRPr="00FF5EB7" w:rsidDel="00983EC6">
        <w:rPr>
          <w:rFonts w:eastAsia="Aptos"/>
        </w:rPr>
        <w:t xml:space="preserve"> </w:t>
      </w:r>
      <w:r w:rsidRPr="00FF5EB7">
        <w:rPr>
          <w:rFonts w:eastAsia="Aptos"/>
        </w:rPr>
        <w:t>reduce the timeframe to remedy the contravention included in a provisional improvement notice (PIN) from 8 days to 4 days.</w:t>
      </w:r>
      <w:r w:rsidRPr="00FF5EB7">
        <w:rPr>
          <w:rFonts w:eastAsia="Aptos"/>
          <w:vertAlign w:val="superscript"/>
        </w:rPr>
        <w:footnoteReference w:id="231"/>
      </w:r>
      <w:r w:rsidRPr="00FF5EB7">
        <w:rPr>
          <w:rFonts w:eastAsia="Aptos"/>
        </w:rPr>
        <w:t xml:space="preserve"> The ACTU supported these reforms.</w:t>
      </w:r>
      <w:r w:rsidRPr="00FF5EB7">
        <w:rPr>
          <w:rFonts w:eastAsia="Aptos"/>
          <w:vertAlign w:val="superscript"/>
        </w:rPr>
        <w:footnoteReference w:id="232"/>
      </w:r>
      <w:r w:rsidRPr="00FF5EB7">
        <w:rPr>
          <w:rFonts w:eastAsia="Aptos"/>
        </w:rPr>
        <w:t xml:space="preserve"> While this Review supports safety issues being remedied as quickly as possible and as a priority, it does not recommend adopting this amendment. The safety issues covered by PINs can vary significantly, meaning uniformly reducing timeframes could create unintended consequences such as encouraging quick but insufficient fixes to safety issues. </w:t>
      </w:r>
      <w:r w:rsidR="004420D1">
        <w:rPr>
          <w:rFonts w:eastAsia="Aptos"/>
        </w:rPr>
        <w:br w:type="page"/>
      </w:r>
    </w:p>
    <w:p w14:paraId="138EC313" w14:textId="77777777" w:rsidR="00F21CE3" w:rsidRDefault="009B7A11" w:rsidP="00AF5E17">
      <w:pPr>
        <w:pStyle w:val="Paragraph"/>
        <w:rPr>
          <w:rFonts w:eastAsia="Aptos"/>
        </w:rPr>
      </w:pPr>
      <w:r w:rsidRPr="00FF5EB7">
        <w:rPr>
          <w:rFonts w:eastAsia="Aptos"/>
        </w:rPr>
        <w:lastRenderedPageBreak/>
        <w:t>However, this Review does recommend adoption of the Queensland variation (also recently adopted by NSW)</w:t>
      </w:r>
      <w:r w:rsidRPr="00FF5EB7">
        <w:rPr>
          <w:rFonts w:eastAsia="Aptos"/>
          <w:vertAlign w:val="superscript"/>
        </w:rPr>
        <w:footnoteReference w:id="233"/>
      </w:r>
      <w:r w:rsidRPr="00FF5EB7">
        <w:rPr>
          <w:rFonts w:eastAsia="Aptos"/>
        </w:rPr>
        <w:t xml:space="preserve"> requiring PCBUs to provide the WHS regulator with a copy of any PIN issued to it by an HSR (see </w:t>
      </w:r>
      <w:r w:rsidRPr="002E140F">
        <w:rPr>
          <w:rFonts w:eastAsia="Aptos"/>
          <w:b/>
        </w:rPr>
        <w:t>Appendix D</w:t>
      </w:r>
      <w:r w:rsidRPr="002E140F">
        <w:rPr>
          <w:rFonts w:eastAsia="Aptos"/>
        </w:rPr>
        <w:t>,</w:t>
      </w:r>
      <w:r w:rsidRPr="002E140F">
        <w:rPr>
          <w:rFonts w:eastAsia="Aptos"/>
          <w:b/>
        </w:rPr>
        <w:t xml:space="preserve"> 2B</w:t>
      </w:r>
      <w:r w:rsidRPr="002E140F">
        <w:rPr>
          <w:rFonts w:eastAsia="Aptos"/>
        </w:rPr>
        <w:t>). This amendment</w:t>
      </w:r>
      <w:r w:rsidRPr="00FF5EB7">
        <w:rPr>
          <w:rFonts w:eastAsia="Aptos"/>
        </w:rPr>
        <w:t xml:space="preserve"> will</w:t>
      </w:r>
      <w:r w:rsidRPr="00FF5EB7">
        <w:rPr>
          <w:rFonts w:eastAsia="MS Mincho" w:cs="Arial"/>
          <w:sz w:val="24"/>
          <w:lang w:eastAsia="ja-JP"/>
        </w:rPr>
        <w:t xml:space="preserve"> </w:t>
      </w:r>
      <w:r w:rsidRPr="00FF5EB7">
        <w:rPr>
          <w:rFonts w:eastAsia="Aptos"/>
        </w:rPr>
        <w:t>provide regulators with greater visibility of workplaces where safety issues may be emerging and provide regulators with valuable data.</w:t>
      </w:r>
    </w:p>
    <w:p w14:paraId="47CB6970" w14:textId="08B49A43" w:rsidR="009B7A11" w:rsidRPr="00A75EC0" w:rsidRDefault="009B7A11" w:rsidP="00884311">
      <w:pPr>
        <w:pStyle w:val="SWAHeading4"/>
      </w:pPr>
      <w:r w:rsidRPr="00A75EC0">
        <w:t>Cooperation between health and safety representatives and inspectors</w:t>
      </w:r>
    </w:p>
    <w:p w14:paraId="6198D3D0" w14:textId="77777777" w:rsidR="009B7A11" w:rsidRPr="00CE55DE" w:rsidRDefault="009B7A11" w:rsidP="00AF5E17">
      <w:pPr>
        <w:pStyle w:val="Paragraph"/>
        <w:rPr>
          <w:rFonts w:eastAsia="Arial"/>
        </w:rPr>
      </w:pPr>
      <w:r w:rsidRPr="00CE55DE">
        <w:rPr>
          <w:rFonts w:eastAsia="Arial"/>
        </w:rPr>
        <w:t>Under the model WHS Act, HSRs have a right to accompany inspectors during inspections and PCBUs must permit this to occur.</w:t>
      </w:r>
      <w:r w:rsidRPr="00CE55DE">
        <w:rPr>
          <w:rFonts w:eastAsia="Aptos"/>
          <w:kern w:val="2"/>
          <w:vertAlign w:val="superscript"/>
          <w14:ligatures w14:val="standardContextual"/>
        </w:rPr>
        <w:footnoteReference w:id="234"/>
      </w:r>
      <w:r w:rsidRPr="00CE55DE">
        <w:rPr>
          <w:rFonts w:eastAsia="Arial"/>
        </w:rPr>
        <w:t xml:space="preserve"> Inspectors are also required to take reasonable steps to notify HSRs when attending a workplace.</w:t>
      </w:r>
      <w:r w:rsidRPr="00CE55DE">
        <w:rPr>
          <w:rFonts w:eastAsia="Arial"/>
          <w:vertAlign w:val="superscript"/>
        </w:rPr>
        <w:footnoteReference w:id="235"/>
      </w:r>
      <w:r w:rsidRPr="00CE55DE">
        <w:rPr>
          <w:rFonts w:eastAsia="Arial"/>
        </w:rPr>
        <w:t xml:space="preserve"> In practice, consultation feedback indicated this provision is often not being followed,</w:t>
      </w:r>
      <w:r w:rsidRPr="00CE55DE">
        <w:rPr>
          <w:rFonts w:eastAsia="Arial"/>
          <w:vertAlign w:val="superscript"/>
        </w:rPr>
        <w:footnoteReference w:id="236"/>
      </w:r>
      <w:r w:rsidRPr="00CE55DE">
        <w:rPr>
          <w:rFonts w:eastAsia="Arial"/>
        </w:rPr>
        <w:t xml:space="preserve"> as PCBUs lack incentives to comply and regulators note they were not always able to communicate with HSRs.</w:t>
      </w:r>
      <w:r w:rsidRPr="00CE55DE">
        <w:rPr>
          <w:rFonts w:eastAsia="Arial"/>
          <w:vertAlign w:val="superscript"/>
        </w:rPr>
        <w:footnoteReference w:id="237"/>
      </w:r>
      <w:r w:rsidRPr="00CE55DE">
        <w:rPr>
          <w:rFonts w:eastAsia="Arial"/>
        </w:rPr>
        <w:t xml:space="preserve"> The model WHS Act also does not include a requirement for PCBUs to provide the regulator with a list of HSRs, although most jurisdictional WHS laws provide for this.</w:t>
      </w:r>
      <w:r w:rsidRPr="00CE55DE">
        <w:rPr>
          <w:rFonts w:eastAsia="Arial"/>
          <w:vertAlign w:val="superscript"/>
        </w:rPr>
        <w:footnoteReference w:id="238"/>
      </w:r>
    </w:p>
    <w:p w14:paraId="7F4932DE" w14:textId="77777777" w:rsidR="00F21CE3" w:rsidRDefault="009B7A11" w:rsidP="00AF5E17">
      <w:pPr>
        <w:pStyle w:val="Paragraph"/>
        <w:rPr>
          <w:rFonts w:eastAsia="Arial"/>
        </w:rPr>
      </w:pPr>
      <w:r w:rsidRPr="00CE55DE">
        <w:rPr>
          <w:rFonts w:eastAsia="Arial"/>
        </w:rPr>
        <w:t xml:space="preserve">This Review recommends amending the model WHS Act to reflect the </w:t>
      </w:r>
      <w:r w:rsidRPr="00867BA4">
        <w:rPr>
          <w:rFonts w:eastAsia="Arial"/>
          <w:i/>
          <w:iCs/>
        </w:rPr>
        <w:t>2022 Queensland Review</w:t>
      </w:r>
      <w:r w:rsidRPr="00CE55DE">
        <w:rPr>
          <w:rFonts w:eastAsia="Arial"/>
        </w:rPr>
        <w:t xml:space="preserve"> findings, and subsequent Queensland amendments, to clarify that PCBUs are responsible for ensuring HSRs are notified of, and made available to accompany, an inspector and WHS EPH at the workplace.</w:t>
      </w:r>
      <w:r w:rsidRPr="00CE55DE">
        <w:rPr>
          <w:rFonts w:eastAsia="Arial"/>
          <w:vertAlign w:val="superscript"/>
        </w:rPr>
        <w:footnoteReference w:id="239"/>
      </w:r>
      <w:r w:rsidRPr="00CE55DE">
        <w:rPr>
          <w:rFonts w:eastAsia="Arial"/>
        </w:rPr>
        <w:t xml:space="preserve"> This Review also recommends including a requirement, supported by regulators, to have PCBUs provide regulators with a list of HSRs (see</w:t>
      </w:r>
      <w:r w:rsidRPr="00CE55DE">
        <w:rPr>
          <w:rFonts w:eastAsia="Arial"/>
          <w:b/>
        </w:rPr>
        <w:t xml:space="preserve"> </w:t>
      </w:r>
      <w:r w:rsidRPr="002E140F">
        <w:rPr>
          <w:rFonts w:eastAsia="Arial"/>
          <w:b/>
        </w:rPr>
        <w:t>Appendix D</w:t>
      </w:r>
      <w:r w:rsidRPr="002E140F">
        <w:rPr>
          <w:rFonts w:eastAsia="Arial"/>
        </w:rPr>
        <w:t>,</w:t>
      </w:r>
      <w:r w:rsidRPr="002E140F">
        <w:rPr>
          <w:rFonts w:eastAsia="Arial"/>
          <w:b/>
        </w:rPr>
        <w:t xml:space="preserve"> 3A </w:t>
      </w:r>
      <w:r w:rsidRPr="002E140F">
        <w:rPr>
          <w:rFonts w:eastAsia="Arial"/>
        </w:rPr>
        <w:t>and</w:t>
      </w:r>
      <w:r w:rsidRPr="002E140F">
        <w:rPr>
          <w:rFonts w:eastAsia="Arial"/>
          <w:b/>
        </w:rPr>
        <w:t xml:space="preserve"> 3B</w:t>
      </w:r>
      <w:r w:rsidRPr="002E140F">
        <w:rPr>
          <w:rFonts w:eastAsia="Arial"/>
        </w:rPr>
        <w:t>). This is likely to facilitate greater cooperation and collaboration between inspectors and HSRs</w:t>
      </w:r>
      <w:r w:rsidRPr="002E140F">
        <w:rPr>
          <w:rFonts w:eastAsia="Arial"/>
          <w:vertAlign w:val="superscript"/>
        </w:rPr>
        <w:footnoteReference w:id="240"/>
      </w:r>
      <w:r w:rsidRPr="002E140F">
        <w:rPr>
          <w:rFonts w:eastAsia="Arial"/>
        </w:rPr>
        <w:t xml:space="preserve"> and enable</w:t>
      </w:r>
      <w:r w:rsidRPr="00CE55DE">
        <w:rPr>
          <w:rFonts w:eastAsia="Arial"/>
        </w:rPr>
        <w:t xml:space="preserve"> better data collection by regulators to inform improved HSR uptake.</w:t>
      </w:r>
    </w:p>
    <w:p w14:paraId="67ECB6F0" w14:textId="66DE755C" w:rsidR="009B7A11" w:rsidRPr="00A75EC0" w:rsidRDefault="009B7A11" w:rsidP="00884311">
      <w:pPr>
        <w:pStyle w:val="SWAHeading4"/>
      </w:pPr>
      <w:r w:rsidRPr="00A75EC0">
        <w:t>Guidance for health and safety representatives</w:t>
      </w:r>
    </w:p>
    <w:p w14:paraId="3D56781A" w14:textId="24F6EB85" w:rsidR="00F21CE3" w:rsidRDefault="009B7A11" w:rsidP="00AF5E17">
      <w:pPr>
        <w:pStyle w:val="Paragraph"/>
        <w:rPr>
          <w:rFonts w:eastAsia="Arial"/>
        </w:rPr>
      </w:pPr>
      <w:r w:rsidRPr="009A144F">
        <w:rPr>
          <w:rFonts w:eastAsia="Arial"/>
        </w:rPr>
        <w:t xml:space="preserve">The </w:t>
      </w:r>
      <w:r w:rsidRPr="00867BA4">
        <w:rPr>
          <w:rFonts w:eastAsia="Arial"/>
          <w:i/>
          <w:iCs/>
        </w:rPr>
        <w:t>2022 Queensland Review</w:t>
      </w:r>
      <w:r w:rsidRPr="009A144F">
        <w:rPr>
          <w:rFonts w:eastAsia="Arial"/>
        </w:rPr>
        <w:t xml:space="preserve"> noted that Safe Work Australia’s </w:t>
      </w:r>
      <w:r w:rsidRPr="009A144F">
        <w:rPr>
          <w:rFonts w:eastAsia="Arial"/>
          <w:i/>
        </w:rPr>
        <w:t xml:space="preserve">Worker </w:t>
      </w:r>
      <w:r w:rsidR="002E140F">
        <w:rPr>
          <w:rFonts w:eastAsia="Arial"/>
          <w:i/>
        </w:rPr>
        <w:t>r</w:t>
      </w:r>
      <w:r w:rsidRPr="009A144F">
        <w:rPr>
          <w:rFonts w:eastAsia="Arial"/>
          <w:i/>
        </w:rPr>
        <w:t xml:space="preserve">epresentation and </w:t>
      </w:r>
      <w:r w:rsidR="002E140F">
        <w:rPr>
          <w:rFonts w:eastAsia="Arial"/>
          <w:i/>
        </w:rPr>
        <w:t>p</w:t>
      </w:r>
      <w:r w:rsidRPr="009A144F">
        <w:rPr>
          <w:rFonts w:eastAsia="Arial"/>
          <w:i/>
        </w:rPr>
        <w:t xml:space="preserve">articipation </w:t>
      </w:r>
      <w:r w:rsidR="002E140F">
        <w:rPr>
          <w:rFonts w:eastAsia="Arial"/>
          <w:i/>
        </w:rPr>
        <w:t>g</w:t>
      </w:r>
      <w:r w:rsidRPr="009A144F">
        <w:rPr>
          <w:rFonts w:eastAsia="Arial"/>
          <w:i/>
        </w:rPr>
        <w:t>uide</w:t>
      </w:r>
      <w:r w:rsidRPr="009A144F">
        <w:rPr>
          <w:rFonts w:eastAsia="Arial"/>
        </w:rPr>
        <w:t xml:space="preserve"> outlines examples of appropriate resources, facilities and assistance for HSRs.</w:t>
      </w:r>
      <w:r w:rsidRPr="009A144F">
        <w:rPr>
          <w:rFonts w:eastAsia="Arial"/>
          <w:vertAlign w:val="superscript"/>
        </w:rPr>
        <w:footnoteReference w:id="241"/>
      </w:r>
      <w:r w:rsidRPr="009A144F">
        <w:rPr>
          <w:rFonts w:eastAsia="Arial"/>
        </w:rPr>
        <w:t xml:space="preserve"> However, it found that awareness of this material is low and recommended its inclusion in the Queensland </w:t>
      </w:r>
      <w:r w:rsidRPr="009A144F">
        <w:rPr>
          <w:rFonts w:eastAsia="Arial"/>
          <w:color w:val="000000"/>
        </w:rPr>
        <w:t>Work Health and Safety Regulation 2011</w:t>
      </w:r>
      <w:r w:rsidRPr="009A144F">
        <w:rPr>
          <w:rFonts w:eastAsia="Arial"/>
        </w:rPr>
        <w:t>. While Queensland implemented this recommendation,</w:t>
      </w:r>
      <w:r w:rsidRPr="009A144F">
        <w:rPr>
          <w:rFonts w:eastAsia="Arial"/>
          <w:vertAlign w:val="superscript"/>
        </w:rPr>
        <w:footnoteReference w:id="242"/>
      </w:r>
      <w:r w:rsidRPr="009A144F">
        <w:rPr>
          <w:rFonts w:eastAsia="Arial"/>
          <w:vertAlign w:val="superscript"/>
        </w:rPr>
        <w:t xml:space="preserve"> </w:t>
      </w:r>
      <w:r w:rsidRPr="009A144F">
        <w:rPr>
          <w:rFonts w:eastAsia="Arial"/>
        </w:rPr>
        <w:t>consultation feedback consistently indicated that guidance material is more helpful for businesses, particularly small businesses.</w:t>
      </w:r>
      <w:r w:rsidRPr="009A144F">
        <w:rPr>
          <w:rFonts w:eastAsia="Arial"/>
          <w:vertAlign w:val="superscript"/>
        </w:rPr>
        <w:footnoteReference w:id="243"/>
      </w:r>
    </w:p>
    <w:p w14:paraId="6FE4FA8F" w14:textId="55A8872C" w:rsidR="004420D1" w:rsidRDefault="004420D1" w:rsidP="00AF5E17">
      <w:pPr>
        <w:pStyle w:val="Paragraph"/>
        <w:rPr>
          <w:rFonts w:eastAsia="Arial"/>
        </w:rPr>
      </w:pPr>
      <w:r>
        <w:rPr>
          <w:rFonts w:eastAsia="Arial"/>
        </w:rPr>
        <w:br w:type="page"/>
      </w:r>
    </w:p>
    <w:p w14:paraId="75FD466D" w14:textId="77777777" w:rsidR="00F21CE3" w:rsidRDefault="009B7A11" w:rsidP="00AF5E17">
      <w:pPr>
        <w:pStyle w:val="Paragraph"/>
        <w:rPr>
          <w:rFonts w:eastAsia="Arial"/>
        </w:rPr>
      </w:pPr>
      <w:r w:rsidRPr="009A144F">
        <w:rPr>
          <w:rFonts w:eastAsia="Arial"/>
        </w:rPr>
        <w:lastRenderedPageBreak/>
        <w:t xml:space="preserve">This Review therefore concludes that updating and promoting existing guidance materials on appropriate resources, facilities and assistance for HSRs is a more effective response. It notes industry-specific information could also be included in the relevant industry code (see </w:t>
      </w:r>
      <w:r w:rsidRPr="009A144F">
        <w:rPr>
          <w:rFonts w:eastAsia="Arial"/>
          <w:b/>
        </w:rPr>
        <w:t>Chapter 5</w:t>
      </w:r>
      <w:r w:rsidRPr="009A144F">
        <w:rPr>
          <w:rFonts w:eastAsia="Arial"/>
        </w:rPr>
        <w:t xml:space="preserve"> – Codes of Practice).</w:t>
      </w:r>
    </w:p>
    <w:p w14:paraId="2D8B96A5" w14:textId="394A6479" w:rsidR="00FD785F" w:rsidRPr="000F1DE6" w:rsidRDefault="00FD785F" w:rsidP="00FD785F">
      <w:pPr>
        <w:pStyle w:val="SWAHeading3"/>
        <w:spacing w:before="200" w:line="240" w:lineRule="auto"/>
        <w:rPr>
          <w:lang w:eastAsia="en-AU"/>
        </w:rPr>
      </w:pPr>
      <w:r>
        <w:rPr>
          <w:lang w:eastAsia="en-AU"/>
        </w:rPr>
        <w:t xml:space="preserve">Health and safety representative </w:t>
      </w:r>
      <w:r w:rsidRPr="000F1DE6">
        <w:rPr>
          <w:lang w:eastAsia="en-AU"/>
        </w:rPr>
        <w:t>training entitlements (ss 70, 72,</w:t>
      </w:r>
      <w:r w:rsidRPr="000F1DE6">
        <w:rPr>
          <w:rFonts w:cstheme="minorBidi"/>
          <w:sz w:val="22"/>
          <w:szCs w:val="24"/>
          <w:lang w:eastAsia="en-AU"/>
        </w:rPr>
        <w:t xml:space="preserve"> </w:t>
      </w:r>
      <w:r w:rsidRPr="000F1DE6">
        <w:rPr>
          <w:lang w:eastAsia="en-AU"/>
        </w:rPr>
        <w:t>85(6), 90(4), model WHS Act; model WHS Regulation 21)</w:t>
      </w:r>
    </w:p>
    <w:p w14:paraId="09AC43BF" w14:textId="77777777" w:rsidR="00F21CE3" w:rsidRDefault="00FD785F" w:rsidP="0016789A">
      <w:pPr>
        <w:pStyle w:val="Paragraph"/>
        <w:spacing w:after="240"/>
        <w:rPr>
          <w:rFonts w:eastAsia="Arial"/>
        </w:rPr>
      </w:pPr>
      <w:r w:rsidRPr="006F39CB">
        <w:rPr>
          <w:rFonts w:eastAsia="Arial"/>
        </w:rPr>
        <w:t>HSRs are entitled to attend an initial training course of up to 5 days</w:t>
      </w:r>
      <w:r w:rsidRPr="006F39CB">
        <w:rPr>
          <w:rFonts w:eastAsia="Arial"/>
          <w:vertAlign w:val="superscript"/>
        </w:rPr>
        <w:t xml:space="preserve"> </w:t>
      </w:r>
      <w:r w:rsidRPr="006F39CB">
        <w:rPr>
          <w:rFonts w:eastAsia="Arial"/>
        </w:rPr>
        <w:t>and one day’s refresher training each year.</w:t>
      </w:r>
      <w:r w:rsidRPr="006F39CB">
        <w:rPr>
          <w:rFonts w:eastAsia="Arial"/>
          <w:vertAlign w:val="superscript"/>
        </w:rPr>
        <w:footnoteReference w:id="244"/>
      </w:r>
      <w:r w:rsidRPr="006F39CB">
        <w:rPr>
          <w:rFonts w:eastAsia="Arial"/>
        </w:rPr>
        <w:t xml:space="preserve"> While this training is not mandatory, HSRs must undertake training to perform certain functions, including </w:t>
      </w:r>
      <w:r w:rsidRPr="006F39CB">
        <w:rPr>
          <w:rFonts w:eastAsia="Aptos"/>
        </w:rPr>
        <w:t>directing</w:t>
      </w:r>
      <w:r w:rsidRPr="006F39CB">
        <w:rPr>
          <w:rFonts w:eastAsia="Arial"/>
        </w:rPr>
        <w:t xml:space="preserve"> workers to cease unsafe work or issuing a PIN.</w:t>
      </w:r>
      <w:r w:rsidRPr="006F39CB">
        <w:rPr>
          <w:rFonts w:eastAsia="Arial"/>
          <w:vertAlign w:val="superscript"/>
        </w:rPr>
        <w:footnoteReference w:id="245"/>
      </w:r>
      <w:r w:rsidRPr="006F39CB">
        <w:rPr>
          <w:rFonts w:eastAsia="Arial"/>
        </w:rPr>
        <w:t xml:space="preserve"> Jurisdictions have adopted different entitlements for HSR training and different approaches to when HSRs are qualified to exercise their powers. In Victoria, an HSR may exercise their powers upon election without being trained.</w:t>
      </w:r>
      <w:r w:rsidRPr="006F39CB">
        <w:rPr>
          <w:rFonts w:eastAsia="Arial"/>
          <w:szCs w:val="22"/>
          <w:vertAlign w:val="superscript"/>
          <w:lang w:eastAsia="ja-JP"/>
        </w:rPr>
        <w:footnoteReference w:id="246"/>
      </w:r>
    </w:p>
    <w:p w14:paraId="5BDB2E90" w14:textId="77777777" w:rsidR="00F21CE3" w:rsidRDefault="00FD785F" w:rsidP="00BF204D">
      <w:pPr>
        <w:pStyle w:val="Boxedshaded"/>
        <w:rPr>
          <w:b/>
          <w:bCs/>
        </w:rPr>
      </w:pPr>
      <w:r w:rsidRPr="004420D1">
        <w:rPr>
          <w:b/>
          <w:bCs/>
        </w:rPr>
        <w:t>What we heard</w:t>
      </w:r>
    </w:p>
    <w:p w14:paraId="56712CC5" w14:textId="77777777" w:rsidR="00F21CE3" w:rsidRDefault="008C53E8" w:rsidP="00BF204D">
      <w:pPr>
        <w:pStyle w:val="Boxedshaded"/>
      </w:pPr>
      <w:r w:rsidRPr="008C53E8">
        <w:t>In its submission to this Review, the ACTU recommended increasing HSR training entitlements to at least 5 days each year, with days reset at re-election.</w:t>
      </w:r>
      <w:r w:rsidRPr="008C53E8">
        <w:rPr>
          <w:vertAlign w:val="superscript"/>
        </w:rPr>
        <w:footnoteReference w:id="247"/>
      </w:r>
      <w:r w:rsidRPr="008C53E8">
        <w:t xml:space="preserve"> Unions raised concerns around the adequacy and relevance of HSR training, including limited coverage of psychosocial risks and industry-specific content.</w:t>
      </w:r>
      <w:r w:rsidRPr="008C53E8">
        <w:rPr>
          <w:vertAlign w:val="superscript"/>
        </w:rPr>
        <w:footnoteReference w:id="248"/>
      </w:r>
      <w:r w:rsidRPr="008C53E8">
        <w:t xml:space="preserve"> Face-to-face training was strongly supported, particularly for initial training; however, this Review also heard that flexibility should be provided where needed, including modular approaches for workers who cannot be released for long periods. Barriers to accessing training were frequently raised, particularly in regional areas.</w:t>
      </w:r>
      <w:r w:rsidRPr="008C53E8">
        <w:rPr>
          <w:vertAlign w:val="superscript"/>
        </w:rPr>
        <w:footnoteReference w:id="249"/>
      </w:r>
    </w:p>
    <w:p w14:paraId="58A3E093" w14:textId="02962E0C" w:rsidR="008C53E8" w:rsidRDefault="008C53E8" w:rsidP="004420D1">
      <w:pPr>
        <w:pStyle w:val="SWAHeading4"/>
      </w:pPr>
      <w:r>
        <w:t>Discussion</w:t>
      </w:r>
    </w:p>
    <w:p w14:paraId="02D8DA22" w14:textId="77777777" w:rsidR="00F21CE3" w:rsidRDefault="007133B0" w:rsidP="00AF5E17">
      <w:pPr>
        <w:pStyle w:val="Paragraph"/>
        <w:rPr>
          <w:rFonts w:eastAsia="Arial"/>
        </w:rPr>
      </w:pPr>
      <w:r w:rsidRPr="00863165">
        <w:rPr>
          <w:rFonts w:eastAsia="Arial"/>
        </w:rPr>
        <w:t>This Review recognises the need for HSRs to be adequately trained and recommends adopting the SA approach to HSR training entitlements, which provides at least 5 days in the first year, 3 days in the second year and 2 days in the third year, with initial training applying again on re-election.</w:t>
      </w:r>
      <w:r w:rsidRPr="00863165">
        <w:rPr>
          <w:rFonts w:eastAsia="Arial"/>
          <w:vertAlign w:val="superscript"/>
        </w:rPr>
        <w:footnoteReference w:id="250"/>
      </w:r>
      <w:r w:rsidRPr="00863165">
        <w:rPr>
          <w:rFonts w:eastAsia="Arial"/>
        </w:rPr>
        <w:t xml:space="preserve"> This approach provides a proportionate balance between supporting HSR capability, including the ability to deal with increasingly complex WHS issues and limiting additional impacts on business. This Review also supports SA’s approach of specifying HSR training entitlements in the WHS Act, as opposed to the regulations, to increase awareness and elevate its importance.</w:t>
      </w:r>
    </w:p>
    <w:p w14:paraId="096959C3" w14:textId="4ECF5410" w:rsidR="004420D1" w:rsidRDefault="004420D1" w:rsidP="00AF5E17">
      <w:pPr>
        <w:pStyle w:val="Paragraph"/>
        <w:rPr>
          <w:rFonts w:eastAsia="Arial"/>
        </w:rPr>
      </w:pPr>
      <w:r>
        <w:rPr>
          <w:rFonts w:eastAsia="Arial"/>
        </w:rPr>
        <w:br w:type="page"/>
      </w:r>
    </w:p>
    <w:p w14:paraId="29A530AF" w14:textId="77777777" w:rsidR="007133B0" w:rsidRPr="00863165" w:rsidRDefault="007133B0" w:rsidP="00AF5E17">
      <w:pPr>
        <w:pStyle w:val="Paragraph"/>
        <w:rPr>
          <w:rFonts w:eastAsia="Arial"/>
          <w:b/>
        </w:rPr>
      </w:pPr>
      <w:r w:rsidRPr="00863165">
        <w:rPr>
          <w:rFonts w:eastAsia="Arial"/>
        </w:rPr>
        <w:lastRenderedPageBreak/>
        <w:t xml:space="preserve">Following a recommendation of the </w:t>
      </w:r>
      <w:r w:rsidRPr="00867BA4">
        <w:rPr>
          <w:rFonts w:eastAsia="Arial"/>
          <w:i/>
          <w:iCs/>
        </w:rPr>
        <w:t>2022 Queensland Review</w:t>
      </w:r>
      <w:r w:rsidRPr="00863165">
        <w:rPr>
          <w:rFonts w:eastAsia="Arial"/>
        </w:rPr>
        <w:t>,</w:t>
      </w:r>
      <w:r w:rsidRPr="00863165">
        <w:rPr>
          <w:rFonts w:eastAsia="Arial"/>
          <w:vertAlign w:val="superscript"/>
        </w:rPr>
        <w:footnoteReference w:id="251"/>
      </w:r>
      <w:r w:rsidRPr="00863165">
        <w:rPr>
          <w:rFonts w:eastAsia="Arial"/>
        </w:rPr>
        <w:t xml:space="preserve"> Queensland arrangements vary from the model by decreasing timeframes for the provision of HSR training from 3 months to 28 days after election or as soon as reasonably practicable if the initial course is not reasonably available. This Review recommends adopting Queensland’s 28-day timeframes as an adequate period for a PCBU to provide training. Consistent with a combination of the Queensland and Victorian approaches,</w:t>
      </w:r>
      <w:r w:rsidRPr="00863165">
        <w:rPr>
          <w:rFonts w:eastAsia="Arial"/>
          <w:vertAlign w:val="superscript"/>
        </w:rPr>
        <w:footnoteReference w:id="252"/>
      </w:r>
      <w:r w:rsidRPr="00863165">
        <w:rPr>
          <w:rFonts w:eastAsia="Arial"/>
        </w:rPr>
        <w:t xml:space="preserve"> this Review also recommends that PCBUs should facilitate HSRs’ access to training upon appointment, but, if this has not occurred within 28 days, the HSR may exercise their powers. This approach recognises that PCBUs may lack an incentive for HSRs to be trained</w:t>
      </w:r>
      <w:r w:rsidRPr="00863165">
        <w:rPr>
          <w:rFonts w:eastAsia="Arial"/>
          <w:vertAlign w:val="superscript"/>
        </w:rPr>
        <w:footnoteReference w:id="253"/>
      </w:r>
      <w:r w:rsidRPr="00863165">
        <w:rPr>
          <w:rFonts w:eastAsia="Arial"/>
        </w:rPr>
        <w:t xml:space="preserve"> (see</w:t>
      </w:r>
      <w:r w:rsidRPr="00863165">
        <w:rPr>
          <w:rFonts w:eastAsia="Arial"/>
          <w:b/>
        </w:rPr>
        <w:t xml:space="preserve"> Appendix </w:t>
      </w:r>
      <w:r w:rsidRPr="002E140F">
        <w:rPr>
          <w:rFonts w:eastAsia="Arial"/>
          <w:b/>
        </w:rPr>
        <w:t>D</w:t>
      </w:r>
      <w:r w:rsidRPr="002E140F">
        <w:rPr>
          <w:rFonts w:eastAsia="Arial"/>
        </w:rPr>
        <w:t>,</w:t>
      </w:r>
      <w:r w:rsidRPr="002E140F">
        <w:rPr>
          <w:rFonts w:eastAsia="Arial"/>
          <w:b/>
        </w:rPr>
        <w:t xml:space="preserve"> 4A (i)</w:t>
      </w:r>
      <w:r w:rsidRPr="002E140F">
        <w:rPr>
          <w:rFonts w:eastAsia="Arial"/>
        </w:rPr>
        <w:t>,</w:t>
      </w:r>
      <w:r w:rsidRPr="002E140F">
        <w:rPr>
          <w:rFonts w:eastAsia="Arial"/>
          <w:b/>
        </w:rPr>
        <w:t xml:space="preserve"> (ii)</w:t>
      </w:r>
      <w:r w:rsidRPr="002E140F">
        <w:rPr>
          <w:rFonts w:eastAsia="Arial"/>
        </w:rPr>
        <w:t>,</w:t>
      </w:r>
      <w:r w:rsidRPr="002E140F">
        <w:rPr>
          <w:rFonts w:eastAsia="Arial"/>
          <w:b/>
        </w:rPr>
        <w:t xml:space="preserve"> (iii)</w:t>
      </w:r>
      <w:r w:rsidRPr="00863165">
        <w:rPr>
          <w:rFonts w:eastAsia="Arial"/>
          <w:b/>
        </w:rPr>
        <w:t xml:space="preserve"> </w:t>
      </w:r>
      <w:r w:rsidRPr="00863165">
        <w:rPr>
          <w:rFonts w:eastAsia="Arial"/>
        </w:rPr>
        <w:t>and</w:t>
      </w:r>
      <w:r w:rsidRPr="00863165">
        <w:rPr>
          <w:rFonts w:eastAsia="Arial"/>
          <w:b/>
        </w:rPr>
        <w:t xml:space="preserve"> (iv)</w:t>
      </w:r>
      <w:r w:rsidRPr="00863165">
        <w:rPr>
          <w:rFonts w:eastAsia="Arial"/>
        </w:rPr>
        <w:t>).</w:t>
      </w:r>
    </w:p>
    <w:p w14:paraId="41496ECF" w14:textId="77777777" w:rsidR="007133B0" w:rsidRPr="00863165" w:rsidRDefault="007133B0" w:rsidP="00AF5E17">
      <w:pPr>
        <w:pStyle w:val="Paragraph"/>
        <w:rPr>
          <w:rFonts w:eastAsia="Arial"/>
        </w:rPr>
      </w:pPr>
      <w:r w:rsidRPr="00863165">
        <w:rPr>
          <w:rFonts w:eastAsia="Arial"/>
        </w:rPr>
        <w:t xml:space="preserve">The model WHS Act currently provides that PCBUs must pay course fees and any other reasonable </w:t>
      </w:r>
      <w:r w:rsidRPr="00863165" w:rsidDel="00D468FB">
        <w:rPr>
          <w:rFonts w:eastAsia="Arial"/>
        </w:rPr>
        <w:t>costs associated</w:t>
      </w:r>
      <w:r w:rsidRPr="00863165">
        <w:rPr>
          <w:rFonts w:eastAsia="Arial"/>
        </w:rPr>
        <w:t xml:space="preserve"> with HSR training attendance.</w:t>
      </w:r>
      <w:r w:rsidRPr="00863165">
        <w:rPr>
          <w:rFonts w:eastAsia="Arial"/>
          <w:vertAlign w:val="superscript"/>
        </w:rPr>
        <w:footnoteReference w:id="254"/>
      </w:r>
      <w:r w:rsidRPr="00863165">
        <w:rPr>
          <w:rFonts w:eastAsia="Arial"/>
        </w:rPr>
        <w:t xml:space="preserve"> Consultation indicated that, in practice, HSRs in part-time or shift work often did not have their penalty rates or overtime paid if training or performance of their HSR functions fell outside usual rostered hours.</w:t>
      </w:r>
      <w:r w:rsidRPr="00863165">
        <w:rPr>
          <w:rFonts w:eastAsia="Arial"/>
          <w:vertAlign w:val="superscript"/>
        </w:rPr>
        <w:footnoteReference w:id="255"/>
      </w:r>
      <w:r w:rsidRPr="00863165">
        <w:rPr>
          <w:rFonts w:eastAsia="Arial"/>
        </w:rPr>
        <w:t xml:space="preserve"> This Review recommends that the model WHS Act should be amended to ensure HSRs are not financially disadvantaged by undertaking their role or attending training, including where training occurs outside usual rostered hours or exceeds ordinary weekly hours.</w:t>
      </w:r>
      <w:r w:rsidRPr="00863165">
        <w:rPr>
          <w:rFonts w:eastAsia="Arial"/>
          <w:vertAlign w:val="superscript"/>
        </w:rPr>
        <w:footnoteReference w:id="256"/>
      </w:r>
      <w:r w:rsidRPr="00863165">
        <w:rPr>
          <w:rFonts w:eastAsia="Arial"/>
        </w:rPr>
        <w:t xml:space="preserve"> This approach is consistent with Queensland amendments which ensure workers receive their usual remuneration for time spent in HSR training</w:t>
      </w:r>
      <w:r w:rsidRPr="00863165">
        <w:rPr>
          <w:rFonts w:eastAsia="Arial"/>
          <w:vertAlign w:val="superscript"/>
        </w:rPr>
        <w:footnoteReference w:id="257"/>
      </w:r>
      <w:r w:rsidRPr="00863165">
        <w:rPr>
          <w:rFonts w:eastAsia="Arial"/>
        </w:rPr>
        <w:t xml:space="preserve"> (see</w:t>
      </w:r>
      <w:r w:rsidRPr="00863165">
        <w:rPr>
          <w:rFonts w:eastAsia="Arial"/>
          <w:b/>
        </w:rPr>
        <w:t xml:space="preserve"> Appendix D</w:t>
      </w:r>
      <w:r w:rsidRPr="00863165">
        <w:rPr>
          <w:rFonts w:eastAsia="Arial"/>
        </w:rPr>
        <w:t>,</w:t>
      </w:r>
      <w:r w:rsidRPr="00863165">
        <w:rPr>
          <w:rFonts w:eastAsia="Arial"/>
          <w:b/>
        </w:rPr>
        <w:t xml:space="preserve"> 4B</w:t>
      </w:r>
      <w:r w:rsidRPr="00863165">
        <w:rPr>
          <w:rFonts w:eastAsia="Arial"/>
        </w:rPr>
        <w:t>).</w:t>
      </w:r>
    </w:p>
    <w:p w14:paraId="75A19150" w14:textId="77777777" w:rsidR="0016789A" w:rsidRPr="0016789A" w:rsidRDefault="007133B0" w:rsidP="0016789A">
      <w:pPr>
        <w:pStyle w:val="Paragraph"/>
      </w:pPr>
      <w:r w:rsidRPr="00863165">
        <w:rPr>
          <w:rFonts w:eastAsia="Arial"/>
        </w:rPr>
        <w:t>In relation to other ‘reasonable costs’ PCBUs must cover associated with HSR training,</w:t>
      </w:r>
      <w:r w:rsidRPr="00863165">
        <w:rPr>
          <w:rFonts w:eastAsia="Arial"/>
          <w:vertAlign w:val="superscript"/>
        </w:rPr>
        <w:footnoteReference w:id="258"/>
      </w:r>
      <w:r w:rsidRPr="00863165">
        <w:rPr>
          <w:rFonts w:eastAsia="Arial"/>
        </w:rPr>
        <w:t xml:space="preserve"> consultation indicates that for regional and remote HSRs this should ordinarily include travel, accommodation and meals where training is only available in metropolitan locations.</w:t>
      </w:r>
      <w:r w:rsidRPr="00863165">
        <w:rPr>
          <w:rFonts w:eastAsia="Arial"/>
          <w:vertAlign w:val="superscript"/>
        </w:rPr>
        <w:footnoteReference w:id="259"/>
      </w:r>
      <w:r w:rsidRPr="00863165">
        <w:rPr>
          <w:rFonts w:eastAsia="Arial"/>
        </w:rPr>
        <w:t xml:space="preserve"> This Review considers that regulatory amendments are unlikely to fully capture the range of applicable circumstances. Instead,</w:t>
      </w:r>
      <w:r w:rsidRPr="00863165" w:rsidDel="00D63D4D">
        <w:rPr>
          <w:rFonts w:eastAsia="Arial"/>
        </w:rPr>
        <w:t xml:space="preserve"> </w:t>
      </w:r>
      <w:r w:rsidRPr="00863165">
        <w:rPr>
          <w:rFonts w:eastAsia="Arial"/>
        </w:rPr>
        <w:t>this Review notes that practical examples in relation to other ‘reasonable costs’ should be provided in relevant industry codes, with a clear avenue to resolve issues through dispute resolution mechanisms.</w:t>
      </w:r>
    </w:p>
    <w:p w14:paraId="392CCEBF" w14:textId="20F517DF" w:rsidR="004420D1" w:rsidRPr="0016789A" w:rsidRDefault="004420D1" w:rsidP="0016789A">
      <w:pPr>
        <w:pStyle w:val="Paragraph"/>
      </w:pPr>
      <w:r w:rsidRPr="0016789A">
        <w:br w:type="page"/>
      </w:r>
    </w:p>
    <w:p w14:paraId="11958D33" w14:textId="77777777" w:rsidR="00F21CE3" w:rsidRDefault="007133B0" w:rsidP="004420D1">
      <w:pPr>
        <w:pStyle w:val="SWAHeading5"/>
      </w:pPr>
      <w:r w:rsidRPr="00A75EC0">
        <w:lastRenderedPageBreak/>
        <w:t>Content and delivery of health and safety representative training</w:t>
      </w:r>
    </w:p>
    <w:p w14:paraId="44EF4788" w14:textId="5435088B" w:rsidR="00A75EC0" w:rsidRDefault="007133B0" w:rsidP="004420D1">
      <w:pPr>
        <w:pStyle w:val="Paragraph"/>
        <w:rPr>
          <w:rFonts w:ascii="Aptos" w:eastAsia="Aptos" w:hAnsi="Aptos" w:cs="Arial"/>
        </w:rPr>
      </w:pPr>
      <w:r w:rsidRPr="009A068B">
        <w:rPr>
          <w:rFonts w:eastAsia="Aptos"/>
        </w:rPr>
        <w:t>In 2011, jurisdictions agreed on principles for nationally consistent practical and participatory HSR training.</w:t>
      </w:r>
      <w:r w:rsidRPr="009A068B">
        <w:rPr>
          <w:rFonts w:eastAsia="Aptos"/>
          <w:vertAlign w:val="superscript"/>
        </w:rPr>
        <w:footnoteReference w:id="260"/>
      </w:r>
      <w:r w:rsidRPr="009A068B">
        <w:rPr>
          <w:rFonts w:eastAsia="Aptos"/>
        </w:rPr>
        <w:t xml:space="preserve"> However, jurisdictions have adopted different mechanisms for approving and delivering this.</w:t>
      </w:r>
      <w:r w:rsidRPr="009A068B">
        <w:rPr>
          <w:rFonts w:eastAsia="Aptos"/>
          <w:vertAlign w:val="superscript"/>
        </w:rPr>
        <w:footnoteReference w:id="261"/>
      </w:r>
      <w:r w:rsidRPr="009A068B">
        <w:rPr>
          <w:rFonts w:eastAsia="Aptos"/>
        </w:rPr>
        <w:t xml:space="preserve"> Responsibility for HSR training approval and quality assurance sits with individual regulators, and Safe Work Australia has a limited role in this area. This Review therefore does not make recommendations but notes, in the context of this Review’s other recommendations, that there may be benefit in jurisdictions reviewing existing HSR training arrangements to ensure they deliver consistent, practical and effective outcomes. Industry</w:t>
      </w:r>
      <w:r w:rsidRPr="009A068B">
        <w:rPr>
          <w:rFonts w:eastAsia="Aptos"/>
        </w:rPr>
        <w:noBreakHyphen/>
        <w:t xml:space="preserve">based HSR training could also be considered in the future in line with this Review’s recommendation on industry codes (see </w:t>
      </w:r>
      <w:r w:rsidRPr="009A068B">
        <w:rPr>
          <w:rFonts w:eastAsia="Aptos"/>
          <w:b/>
        </w:rPr>
        <w:t>Chapter 5</w:t>
      </w:r>
      <w:r w:rsidRPr="009A068B">
        <w:rPr>
          <w:rFonts w:eastAsia="Aptos"/>
        </w:rPr>
        <w:t>).</w:t>
      </w:r>
    </w:p>
    <w:p w14:paraId="5A621964" w14:textId="77777777" w:rsidR="00285971" w:rsidRDefault="00285971" w:rsidP="00285971">
      <w:pPr>
        <w:pStyle w:val="SWAHeading3"/>
      </w:pPr>
      <w:r w:rsidRPr="00285971">
        <w:t>Unions’ role in consultation and representation (ss 45A and 45B, Queensland WHS Act)</w:t>
      </w:r>
    </w:p>
    <w:p w14:paraId="2851B4C2" w14:textId="3F56CB9A" w:rsidR="00285971" w:rsidRPr="004420D1" w:rsidRDefault="00285971" w:rsidP="00BF204D">
      <w:pPr>
        <w:pStyle w:val="Boxedshaded"/>
        <w:rPr>
          <w:b/>
          <w:bCs/>
        </w:rPr>
      </w:pPr>
      <w:r w:rsidRPr="004420D1">
        <w:rPr>
          <w:b/>
          <w:bCs/>
        </w:rPr>
        <w:t>What we heard</w:t>
      </w:r>
    </w:p>
    <w:p w14:paraId="100F1904" w14:textId="77777777" w:rsidR="008E4E91" w:rsidRPr="008E4E91" w:rsidRDefault="008E4E91" w:rsidP="00BF204D">
      <w:pPr>
        <w:pStyle w:val="Boxedshaded"/>
      </w:pPr>
      <w:r w:rsidRPr="008E4E91">
        <w:t xml:space="preserve">The ACTU recommended adopting Queensland amendments that recognise only unions registered under the FW Act or relevant state or territory industrial laws as suitable entities for WHS representation. The </w:t>
      </w:r>
      <w:r w:rsidRPr="00867BA4">
        <w:rPr>
          <w:i/>
          <w:iCs/>
        </w:rPr>
        <w:t>2022 Queensland Review</w:t>
      </w:r>
      <w:r w:rsidRPr="008E4E91">
        <w:t xml:space="preserve"> highlighted a growing number of unregistered bodies purporting to represent workers and stated this is ‘undesirable’ due to the absence of regulatory oversight and statutory protections.</w:t>
      </w:r>
      <w:r w:rsidRPr="008E4E91">
        <w:rPr>
          <w:vertAlign w:val="superscript"/>
        </w:rPr>
        <w:footnoteReference w:id="262"/>
      </w:r>
    </w:p>
    <w:p w14:paraId="45E38B77" w14:textId="2C325994" w:rsidR="008E4E91" w:rsidRDefault="008E4E91" w:rsidP="004420D1">
      <w:pPr>
        <w:pStyle w:val="SWAHeading4"/>
      </w:pPr>
      <w:r>
        <w:t>Discussion</w:t>
      </w:r>
    </w:p>
    <w:p w14:paraId="62531608" w14:textId="77777777" w:rsidR="00F21CE3" w:rsidRDefault="00851147" w:rsidP="001C2A06">
      <w:pPr>
        <w:pStyle w:val="Paragraph"/>
        <w:rPr>
          <w:rFonts w:eastAsia="Arial"/>
        </w:rPr>
      </w:pPr>
      <w:r w:rsidRPr="00875D9A">
        <w:rPr>
          <w:rFonts w:eastAsia="Arial"/>
        </w:rPr>
        <w:t>This Review recommends the Queensland variation to strengthen the integrity and accountability of WHS processes.</w:t>
      </w:r>
      <w:r w:rsidRPr="00875D9A">
        <w:rPr>
          <w:rFonts w:eastAsia="Arial"/>
          <w:vertAlign w:val="superscript"/>
        </w:rPr>
        <w:footnoteReference w:id="263"/>
      </w:r>
      <w:r w:rsidRPr="00875D9A">
        <w:rPr>
          <w:rFonts w:eastAsia="Arial"/>
        </w:rPr>
        <w:t xml:space="preserve"> It also reinforces the object of the model WHS Act, which specifically calls on unions and employers to play a constructive role. This Review notes that, as well as responding to union concerns about unregistered bodies purporting to represent workers,</w:t>
      </w:r>
      <w:r w:rsidRPr="00875D9A">
        <w:rPr>
          <w:rFonts w:eastAsia="Arial"/>
          <w:vertAlign w:val="superscript"/>
        </w:rPr>
        <w:footnoteReference w:id="264"/>
      </w:r>
      <w:r w:rsidRPr="00875D9A">
        <w:rPr>
          <w:rFonts w:eastAsia="Arial"/>
        </w:rPr>
        <w:t xml:space="preserve"> the </w:t>
      </w:r>
      <w:r w:rsidRPr="00875D9A">
        <w:rPr>
          <w:rFonts w:eastAsia="Arial"/>
          <w:i/>
        </w:rPr>
        <w:t>Fair Work (Registered Organisations) Act 2009</w:t>
      </w:r>
      <w:r w:rsidRPr="00875D9A">
        <w:rPr>
          <w:rFonts w:eastAsia="Arial"/>
        </w:rPr>
        <w:t xml:space="preserve"> (Cth) also governs the registration, operation and accountability of both employers and unions, setting strict governance standards and providing oversight by the Fair Work Commission.</w:t>
      </w:r>
    </w:p>
    <w:p w14:paraId="7C8E3023" w14:textId="77777777" w:rsidR="00F21CE3" w:rsidRDefault="00851147" w:rsidP="001C2A06">
      <w:pPr>
        <w:pStyle w:val="Paragraph"/>
        <w:rPr>
          <w:rFonts w:eastAsia="Arial"/>
        </w:rPr>
      </w:pPr>
      <w:r w:rsidRPr="00875D9A">
        <w:rPr>
          <w:rFonts w:eastAsia="Arial"/>
        </w:rPr>
        <w:t>This Review therefore recommends that the model WHS Act be amended so that a reference to a ‘union’ means an employee organisation registered under the </w:t>
      </w:r>
      <w:r w:rsidRPr="00875D9A">
        <w:rPr>
          <w:rFonts w:eastAsia="Arial"/>
          <w:i/>
        </w:rPr>
        <w:t>Fair Work (Registered Organisations) Act 2009</w:t>
      </w:r>
      <w:r w:rsidRPr="00875D9A">
        <w:rPr>
          <w:rFonts w:eastAsia="Arial"/>
        </w:rPr>
        <w:t xml:space="preserve"> (Cth) or relevant jurisdictional industrial laws (see </w:t>
      </w:r>
      <w:r w:rsidRPr="00875D9A">
        <w:rPr>
          <w:rFonts w:eastAsia="Arial"/>
          <w:b/>
        </w:rPr>
        <w:t>Appendix D</w:t>
      </w:r>
      <w:r w:rsidRPr="00875D9A">
        <w:rPr>
          <w:rFonts w:eastAsia="Arial"/>
        </w:rPr>
        <w:t>,</w:t>
      </w:r>
      <w:r w:rsidRPr="00875D9A">
        <w:rPr>
          <w:rFonts w:eastAsia="Arial"/>
          <w:b/>
        </w:rPr>
        <w:t xml:space="preserve"> 5A</w:t>
      </w:r>
      <w:r w:rsidRPr="00875D9A">
        <w:rPr>
          <w:rFonts w:eastAsia="Arial"/>
        </w:rPr>
        <w:t>).</w:t>
      </w:r>
    </w:p>
    <w:p w14:paraId="0CE68498" w14:textId="28811EFA" w:rsidR="004420D1" w:rsidRDefault="004420D1" w:rsidP="0016789A">
      <w:pPr>
        <w:pStyle w:val="Paragraph"/>
        <w:rPr>
          <w:rFonts w:eastAsia="Arial"/>
        </w:rPr>
      </w:pPr>
      <w:r>
        <w:rPr>
          <w:rFonts w:eastAsia="Arial"/>
        </w:rPr>
        <w:br w:type="page"/>
      </w:r>
    </w:p>
    <w:p w14:paraId="4ABB4F78" w14:textId="77777777" w:rsidR="00C30DE4" w:rsidRPr="00A75EC0" w:rsidRDefault="00C30DE4" w:rsidP="004420D1">
      <w:pPr>
        <w:pStyle w:val="SWAHeading5"/>
      </w:pPr>
      <w:r w:rsidRPr="00A75EC0">
        <w:lastRenderedPageBreak/>
        <w:t>Encouraging a constructive role for unions and employer organisations in WHS (ss 48, 52, 80, model WHS Act)</w:t>
      </w:r>
    </w:p>
    <w:p w14:paraId="0EE47CBF" w14:textId="77777777" w:rsidR="00C30DE4" w:rsidRPr="000B3DF1" w:rsidRDefault="00C30DE4" w:rsidP="00C30DE4">
      <w:pPr>
        <w:pStyle w:val="Paragraph"/>
        <w:rPr>
          <w:rFonts w:ascii="Aptos" w:eastAsia="Arial" w:hAnsi="Aptos" w:cs="Arial"/>
          <w:szCs w:val="22"/>
          <w:lang w:eastAsia="ja-JP"/>
        </w:rPr>
      </w:pPr>
      <w:r w:rsidRPr="000B3DF1">
        <w:rPr>
          <w:rFonts w:ascii="Aptos" w:eastAsia="Arial" w:hAnsi="Aptos" w:cs="Arial"/>
        </w:rPr>
        <w:t>Consistent with the object of the model WHS Act,</w:t>
      </w:r>
      <w:r w:rsidRPr="000B3DF1">
        <w:rPr>
          <w:rFonts w:ascii="Aptos" w:eastAsia="Arial" w:hAnsi="Aptos" w:cs="Arial"/>
          <w:szCs w:val="22"/>
          <w:vertAlign w:val="superscript"/>
          <w:lang w:eastAsia="ja-JP"/>
        </w:rPr>
        <w:footnoteReference w:id="265"/>
      </w:r>
      <w:r w:rsidRPr="000B3DF1">
        <w:rPr>
          <w:rFonts w:ascii="Aptos" w:eastAsia="Arial" w:hAnsi="Aptos" w:cs="Arial"/>
          <w:szCs w:val="22"/>
          <w:lang w:eastAsia="ja-JP"/>
        </w:rPr>
        <w:t xml:space="preserve"> unions and employer organisations are encouraged to play a constructive role in promoting improved WHS practices and assisting PCBUs and workers to achieve a healthy and safe working environment. Evidence demonstrates a cooperative approach between unions and employers is the best way to improve WHS outcomes. This occurs in many workplaces, but there is work to do in some industries to improve cooperation.</w:t>
      </w:r>
      <w:r w:rsidRPr="000B3DF1">
        <w:rPr>
          <w:rFonts w:ascii="Aptos" w:eastAsia="Arial" w:hAnsi="Aptos" w:cs="Arial"/>
          <w:szCs w:val="22"/>
          <w:vertAlign w:val="superscript"/>
          <w:lang w:eastAsia="ja-JP"/>
        </w:rPr>
        <w:footnoteReference w:id="266"/>
      </w:r>
    </w:p>
    <w:p w14:paraId="3B014027" w14:textId="77777777" w:rsidR="00F21CE3" w:rsidRDefault="00C30DE4" w:rsidP="001C2A06">
      <w:pPr>
        <w:pStyle w:val="Paragraph"/>
        <w:rPr>
          <w:rFonts w:eastAsia="Arial"/>
          <w:lang w:eastAsia="ja-JP"/>
        </w:rPr>
      </w:pPr>
      <w:r w:rsidRPr="000B3DF1">
        <w:rPr>
          <w:rFonts w:eastAsia="Arial"/>
        </w:rPr>
        <w:t xml:space="preserve">Drawing on recommendations from the </w:t>
      </w:r>
      <w:r w:rsidRPr="00867BA4">
        <w:rPr>
          <w:rFonts w:eastAsia="Arial"/>
          <w:i/>
          <w:iCs/>
        </w:rPr>
        <w:t>2022 Queensland Review</w:t>
      </w:r>
      <w:r w:rsidRPr="000B3DF1">
        <w:rPr>
          <w:rFonts w:eastAsia="Arial"/>
        </w:rPr>
        <w:t>, and consultation feedback, this Review therefore recommends reinforcing the established principles of representation, collaboration and assistance by adopting Queensland amendments that enable unions to be part of consultations when requested by a worker and at a time and place agreed to by the parties</w:t>
      </w:r>
      <w:r w:rsidRPr="000B3DF1">
        <w:rPr>
          <w:rFonts w:eastAsia="Arial"/>
          <w:vertAlign w:val="superscript"/>
        </w:rPr>
        <w:footnoteReference w:id="267"/>
      </w:r>
      <w:r w:rsidRPr="000B3DF1">
        <w:rPr>
          <w:rFonts w:eastAsia="Arial"/>
        </w:rPr>
        <w:t xml:space="preserve"> (see</w:t>
      </w:r>
      <w:r w:rsidRPr="000B3DF1">
        <w:rPr>
          <w:rFonts w:eastAsia="Arial"/>
          <w:b/>
        </w:rPr>
        <w:t xml:space="preserve"> Appendix D</w:t>
      </w:r>
      <w:r w:rsidRPr="000B3DF1">
        <w:rPr>
          <w:rFonts w:eastAsia="Arial"/>
        </w:rPr>
        <w:t>,</w:t>
      </w:r>
      <w:r w:rsidRPr="000B3DF1">
        <w:rPr>
          <w:rFonts w:eastAsia="Arial"/>
          <w:b/>
        </w:rPr>
        <w:t xml:space="preserve"> 5B</w:t>
      </w:r>
      <w:r w:rsidRPr="000B3DF1">
        <w:rPr>
          <w:rFonts w:eastAsia="Arial"/>
        </w:rPr>
        <w:t>). These amendments recognise that unions often have industry-specific expertise in supporting workers to raise safety issues, which some workers are not always comfortable doing by themselves.</w:t>
      </w:r>
      <w:r w:rsidRPr="000B3DF1">
        <w:rPr>
          <w:rFonts w:eastAsia="Arial"/>
          <w:vertAlign w:val="superscript"/>
          <w:lang w:eastAsia="ja-JP"/>
        </w:rPr>
        <w:t xml:space="preserve"> </w:t>
      </w:r>
      <w:r w:rsidRPr="000B3DF1">
        <w:rPr>
          <w:rFonts w:eastAsia="Arial"/>
          <w:vertAlign w:val="superscript"/>
          <w:lang w:eastAsia="ja-JP"/>
        </w:rPr>
        <w:footnoteReference w:id="268"/>
      </w:r>
      <w:r w:rsidRPr="000B3DF1">
        <w:rPr>
          <w:rFonts w:eastAsia="Arial"/>
        </w:rPr>
        <w:t xml:space="preserve"> This Review considers that these a</w:t>
      </w:r>
      <w:r w:rsidRPr="000B3DF1">
        <w:rPr>
          <w:rFonts w:eastAsia="Arial"/>
          <w:lang w:eastAsia="ja-JP"/>
        </w:rPr>
        <w:t>mendments complement, rather than replace, the role of HSRs in workplace consultation.</w:t>
      </w:r>
    </w:p>
    <w:p w14:paraId="37AD0654" w14:textId="77777777" w:rsidR="00F21CE3" w:rsidRDefault="00C30DE4" w:rsidP="001C2A06">
      <w:pPr>
        <w:pStyle w:val="Paragraph"/>
        <w:rPr>
          <w:rFonts w:eastAsia="Arial"/>
          <w:lang w:eastAsia="ja-JP"/>
        </w:rPr>
      </w:pPr>
      <w:r w:rsidRPr="000B3DF1">
        <w:rPr>
          <w:rFonts w:eastAsia="Arial"/>
          <w:lang w:eastAsia="ja-JP"/>
        </w:rPr>
        <w:t xml:space="preserve">This Review also recommends adopting the Queensland amendment to </w:t>
      </w:r>
      <w:r w:rsidRPr="000B3DF1">
        <w:rPr>
          <w:rFonts w:eastAsia="Arial"/>
        </w:rPr>
        <w:t>confer principal party status on unions for negotiations to determine work groups or resolve WHS issues</w:t>
      </w:r>
      <w:r w:rsidRPr="000B3DF1">
        <w:rPr>
          <w:rFonts w:eastAsia="Arial"/>
          <w:vertAlign w:val="superscript"/>
        </w:rPr>
        <w:footnoteReference w:id="269"/>
      </w:r>
      <w:r w:rsidRPr="000B3DF1">
        <w:rPr>
          <w:rFonts w:eastAsia="Arial"/>
        </w:rPr>
        <w:t xml:space="preserve"> where unions make a written request to the PCBU</w:t>
      </w:r>
      <w:r w:rsidRPr="000B3DF1">
        <w:rPr>
          <w:rFonts w:eastAsia="Arial"/>
          <w:vertAlign w:val="superscript"/>
        </w:rPr>
        <w:footnoteReference w:id="270"/>
      </w:r>
      <w:r w:rsidRPr="000B3DF1">
        <w:rPr>
          <w:rFonts w:eastAsia="Arial"/>
          <w:lang w:eastAsia="ja-JP"/>
        </w:rPr>
        <w:t xml:space="preserve"> (see</w:t>
      </w:r>
      <w:r w:rsidRPr="000B3DF1">
        <w:rPr>
          <w:rFonts w:eastAsia="Arial"/>
          <w:b/>
          <w:lang w:eastAsia="ja-JP"/>
        </w:rPr>
        <w:t xml:space="preserve"> Appendix D</w:t>
      </w:r>
      <w:r w:rsidRPr="000B3DF1">
        <w:rPr>
          <w:rFonts w:eastAsia="Arial"/>
          <w:lang w:eastAsia="ja-JP"/>
        </w:rPr>
        <w:t>,</w:t>
      </w:r>
      <w:r w:rsidRPr="000B3DF1">
        <w:rPr>
          <w:rFonts w:eastAsia="Arial"/>
          <w:b/>
          <w:lang w:eastAsia="ja-JP"/>
        </w:rPr>
        <w:t xml:space="preserve"> 5C</w:t>
      </w:r>
      <w:r w:rsidRPr="000B3DF1">
        <w:rPr>
          <w:rFonts w:eastAsia="Arial"/>
          <w:lang w:eastAsia="ja-JP"/>
        </w:rPr>
        <w:t>). Union involvement can assist workers with additional capability and guidance in these situations, which may reduce disputes, particularly where workers may be less experienced or confident in negotiating with their employer to reach a resolution.</w:t>
      </w:r>
      <w:r w:rsidRPr="000B3DF1">
        <w:rPr>
          <w:rFonts w:eastAsia="Arial"/>
          <w:vertAlign w:val="superscript"/>
          <w:lang w:eastAsia="ja-JP"/>
        </w:rPr>
        <w:footnoteReference w:id="271"/>
      </w:r>
    </w:p>
    <w:p w14:paraId="5BFE145C" w14:textId="3A06F335" w:rsidR="004420D1" w:rsidRDefault="004420D1" w:rsidP="0016789A">
      <w:pPr>
        <w:pStyle w:val="Paragraph"/>
        <w:rPr>
          <w:rFonts w:eastAsia="Arial"/>
        </w:rPr>
      </w:pPr>
      <w:r>
        <w:rPr>
          <w:rFonts w:eastAsia="Arial"/>
        </w:rPr>
        <w:br w:type="page"/>
      </w:r>
    </w:p>
    <w:p w14:paraId="0761FCE2" w14:textId="1D31D837" w:rsidR="00E36081" w:rsidRPr="0091321B" w:rsidRDefault="00C63DCC" w:rsidP="0091321B">
      <w:pPr>
        <w:pStyle w:val="SWAHeading2"/>
        <w:spacing w:line="240" w:lineRule="auto"/>
        <w:rPr>
          <w:rFonts w:asciiTheme="minorHAnsi" w:hAnsiTheme="minorHAnsi"/>
        </w:rPr>
      </w:pPr>
      <w:bookmarkStart w:id="38" w:name="_Toc239845150"/>
      <w:r w:rsidRPr="0091321B">
        <w:rPr>
          <w:rFonts w:asciiTheme="minorHAnsi" w:hAnsiTheme="minorHAnsi"/>
        </w:rPr>
        <w:lastRenderedPageBreak/>
        <w:t>Right to cease unsafe work (Part 5, Division 6, s 84, model WHS Act)</w:t>
      </w:r>
      <w:bookmarkEnd w:id="38"/>
    </w:p>
    <w:p w14:paraId="7ED890CF" w14:textId="699462DC" w:rsidR="00C63DCC" w:rsidRPr="004420D1" w:rsidRDefault="00C63DCC" w:rsidP="00BF204D">
      <w:pPr>
        <w:pStyle w:val="Boxedshaded"/>
        <w:rPr>
          <w:b/>
          <w:bCs/>
        </w:rPr>
      </w:pPr>
      <w:r w:rsidRPr="004420D1">
        <w:rPr>
          <w:b/>
          <w:bCs/>
        </w:rPr>
        <w:t>What we heard</w:t>
      </w:r>
    </w:p>
    <w:p w14:paraId="55383F26" w14:textId="411643AB" w:rsidR="00C63DCC" w:rsidRDefault="000747C8" w:rsidP="00BF204D">
      <w:pPr>
        <w:pStyle w:val="Boxedshaded"/>
      </w:pPr>
      <w:r w:rsidRPr="000747C8">
        <w:rPr>
          <w:lang w:val="en-GB"/>
        </w:rPr>
        <w:t xml:space="preserve">A worker has the right to cease unsafe work </w:t>
      </w:r>
      <w:r w:rsidRPr="000747C8">
        <w:t>if the worker has a reasonable concern that to carry out the work would expose them to a serious health and safety risk emanating from an immediate or imminent exposure to a hazard.</w:t>
      </w:r>
      <w:r w:rsidRPr="000747C8">
        <w:rPr>
          <w:vertAlign w:val="superscript"/>
        </w:rPr>
        <w:footnoteReference w:id="272"/>
      </w:r>
      <w:r w:rsidRPr="000747C8">
        <w:rPr>
          <w:lang w:val="en-GB"/>
        </w:rPr>
        <w:t xml:space="preserve"> WA has varied its Act to grant a worker an additional right to cease work where the worker has a reasonable concern that the work would expose </w:t>
      </w:r>
      <w:r w:rsidRPr="000747C8">
        <w:rPr>
          <w:i/>
          <w:lang w:val="en-GB"/>
        </w:rPr>
        <w:t>another perso</w:t>
      </w:r>
      <w:r w:rsidRPr="000747C8">
        <w:rPr>
          <w:lang w:val="en-GB"/>
        </w:rPr>
        <w:t>n to a serious risk to their health or safety emanating from an immediate or imminent exposure to a hazard.</w:t>
      </w:r>
      <w:r w:rsidRPr="000747C8">
        <w:rPr>
          <w:vertAlign w:val="superscript"/>
          <w:lang w:val="en-GB"/>
        </w:rPr>
        <w:footnoteReference w:id="273"/>
      </w:r>
      <w:r w:rsidRPr="000747C8">
        <w:rPr>
          <w:lang w:val="en-GB"/>
        </w:rPr>
        <w:t xml:space="preserve"> The WA variation followed a recommendation of the </w:t>
      </w:r>
      <w:r w:rsidRPr="000747C8">
        <w:rPr>
          <w:i/>
          <w:iCs/>
        </w:rPr>
        <w:t xml:space="preserve">Modernising work health and safety laws in </w:t>
      </w:r>
      <w:r w:rsidRPr="00BD0C81">
        <w:rPr>
          <w:i/>
          <w:iCs/>
        </w:rPr>
        <w:t>Western Australia</w:t>
      </w:r>
      <w:r w:rsidRPr="00BD0C81">
        <w:t xml:space="preserve"> review.</w:t>
      </w:r>
      <w:r w:rsidRPr="00BD0C81">
        <w:rPr>
          <w:vertAlign w:val="superscript"/>
        </w:rPr>
        <w:footnoteReference w:id="274"/>
      </w:r>
    </w:p>
    <w:p w14:paraId="0C3F8CA4" w14:textId="4E16E8BD" w:rsidR="00950B22" w:rsidRDefault="00950B22" w:rsidP="004420D1">
      <w:pPr>
        <w:pStyle w:val="SWAHeading4"/>
      </w:pPr>
      <w:r>
        <w:t>Discussion</w:t>
      </w:r>
    </w:p>
    <w:p w14:paraId="5BB0CF39" w14:textId="157EE8BE" w:rsidR="004420D1" w:rsidRDefault="003E50A9" w:rsidP="001C2A06">
      <w:pPr>
        <w:pStyle w:val="Paragraph"/>
      </w:pPr>
      <w:r w:rsidRPr="0099444F">
        <w:t>The right to cease unsafe work in the model WHS Act currently only extends to work that would expose ‘the worker’ (that is, the one who exercises the right to cease unsafe work) to a serious WHS risk.</w:t>
      </w:r>
      <w:r w:rsidRPr="0099444F">
        <w:rPr>
          <w:vertAlign w:val="superscript"/>
        </w:rPr>
        <w:footnoteReference w:id="275"/>
      </w:r>
      <w:r w:rsidRPr="0099444F">
        <w:t xml:space="preserve"> There may also be situations where other workers or people in the workplace are exposed to serious WHS risks, requiring work to be ceased to prevent a work-related fatality or serious injury. This Review recommends the WA amendment be adopted in the model WHS Act as best practice (see </w:t>
      </w:r>
      <w:r w:rsidR="00407244" w:rsidRPr="0099444F">
        <w:rPr>
          <w:b/>
        </w:rPr>
        <w:t>Appendix</w:t>
      </w:r>
      <w:r w:rsidR="00407244">
        <w:rPr>
          <w:b/>
        </w:rPr>
        <w:t> </w:t>
      </w:r>
      <w:r w:rsidRPr="0099444F">
        <w:rPr>
          <w:b/>
        </w:rPr>
        <w:t>D</w:t>
      </w:r>
      <w:r w:rsidR="00407244" w:rsidRPr="0099444F">
        <w:t>,</w:t>
      </w:r>
      <w:r w:rsidR="00407244">
        <w:rPr>
          <w:b/>
        </w:rPr>
        <w:t> </w:t>
      </w:r>
      <w:r w:rsidRPr="0099444F">
        <w:rPr>
          <w:b/>
        </w:rPr>
        <w:t>6</w:t>
      </w:r>
      <w:r w:rsidRPr="0099444F">
        <w:t>).</w:t>
      </w:r>
    </w:p>
    <w:p w14:paraId="23197934" w14:textId="77777777" w:rsidR="004420D1" w:rsidRDefault="004420D1">
      <w:pPr>
        <w:spacing w:after="200" w:line="276" w:lineRule="auto"/>
        <w:contextualSpacing w:val="0"/>
        <w:rPr>
          <w:rFonts w:asciiTheme="minorHAnsi" w:eastAsia="Times New Roman" w:hAnsiTheme="minorHAnsi"/>
          <w:lang w:eastAsia="en-AU"/>
        </w:rPr>
      </w:pPr>
      <w:r>
        <w:br w:type="page"/>
      </w:r>
    </w:p>
    <w:p w14:paraId="0FCE3BEF" w14:textId="5946508F" w:rsidR="003E50A9" w:rsidRPr="00592CFF" w:rsidRDefault="003E50A9" w:rsidP="00592CFF">
      <w:pPr>
        <w:pStyle w:val="SWAHeading2"/>
        <w:spacing w:line="240" w:lineRule="auto"/>
        <w:rPr>
          <w:rFonts w:asciiTheme="minorHAnsi" w:hAnsiTheme="minorHAnsi"/>
        </w:rPr>
      </w:pPr>
      <w:bookmarkStart w:id="39" w:name="_Toc239845151"/>
      <w:r w:rsidRPr="00592CFF">
        <w:rPr>
          <w:rFonts w:asciiTheme="minorHAnsi" w:hAnsiTheme="minorHAnsi"/>
        </w:rPr>
        <w:lastRenderedPageBreak/>
        <w:t xml:space="preserve">Discriminatory conduct (Part 6, ss </w:t>
      </w:r>
      <w:r w:rsidR="009A49C6" w:rsidRPr="000F1DE6">
        <w:rPr>
          <w:rFonts w:asciiTheme="minorHAnsi" w:hAnsiTheme="minorHAnsi"/>
        </w:rPr>
        <w:t>104–115, model WHS Act)</w:t>
      </w:r>
      <w:bookmarkEnd w:id="39"/>
    </w:p>
    <w:p w14:paraId="29CC88E3" w14:textId="77777777" w:rsidR="00F21CE3" w:rsidRDefault="005824A7" w:rsidP="005824A7">
      <w:pPr>
        <w:pStyle w:val="Paragraph"/>
        <w:rPr>
          <w:rFonts w:eastAsia="Arial"/>
        </w:rPr>
      </w:pPr>
      <w:r w:rsidRPr="000F1DE6">
        <w:rPr>
          <w:rFonts w:eastAsia="Arial"/>
        </w:rPr>
        <w:t>Part 6 of the model WHS Act provides that a person must not engage in discriminatory conduct for a prohibited reason.</w:t>
      </w:r>
      <w:r w:rsidRPr="000F1DE6">
        <w:rPr>
          <w:rStyle w:val="FootnoteReference"/>
          <w:rFonts w:eastAsia="Arial"/>
        </w:rPr>
        <w:footnoteReference w:id="276"/>
      </w:r>
      <w:r w:rsidRPr="000F1DE6">
        <w:rPr>
          <w:rFonts w:eastAsia="Arial"/>
        </w:rPr>
        <w:t xml:space="preserve"> Discriminatory conduct includes putting ‘a worker to his or her detriment’ because the worker is an HSR, exercises their powers or functions as an HSR or raises a WHS issue.</w:t>
      </w:r>
      <w:r w:rsidRPr="000F1DE6">
        <w:rPr>
          <w:rStyle w:val="FootnoteReference"/>
          <w:rFonts w:eastAsia="Arial"/>
        </w:rPr>
        <w:footnoteReference w:id="277"/>
      </w:r>
    </w:p>
    <w:p w14:paraId="206609FE" w14:textId="03D8A8B3" w:rsidR="005824A7" w:rsidRPr="004420D1" w:rsidRDefault="005824A7" w:rsidP="00BF204D">
      <w:pPr>
        <w:pStyle w:val="Boxedshaded"/>
        <w:rPr>
          <w:b/>
          <w:bCs/>
        </w:rPr>
      </w:pPr>
      <w:r w:rsidRPr="004420D1">
        <w:rPr>
          <w:b/>
          <w:bCs/>
        </w:rPr>
        <w:t>What we heard</w:t>
      </w:r>
    </w:p>
    <w:p w14:paraId="46E35BB2" w14:textId="77777777" w:rsidR="00FB0951" w:rsidRPr="00FB0951" w:rsidRDefault="00FB0951" w:rsidP="00BF204D">
      <w:pPr>
        <w:pStyle w:val="Boxedshaded"/>
      </w:pPr>
      <w:r w:rsidRPr="00FB0951">
        <w:t>We consistently heard from HSRs that they fear retribution, victimisation or bullying for raising safety concerns or exercising powers.</w:t>
      </w:r>
      <w:r w:rsidRPr="00FB0951">
        <w:rPr>
          <w:vertAlign w:val="superscript"/>
        </w:rPr>
        <w:footnoteReference w:id="278"/>
      </w:r>
      <w:r w:rsidRPr="00FB0951">
        <w:t xml:space="preserve"> The ACTU stated that this ‘conduct not only undermines the confidence and effectiveness of HSRs but also weakens the integrity of the</w:t>
      </w:r>
      <w:r w:rsidRPr="00FB0951" w:rsidDel="00B1102E">
        <w:t xml:space="preserve"> </w:t>
      </w:r>
      <w:r w:rsidRPr="00FB0951">
        <w:t>WHS regime’.</w:t>
      </w:r>
      <w:r w:rsidRPr="00FB0951">
        <w:rPr>
          <w:vertAlign w:val="superscript"/>
        </w:rPr>
        <w:footnoteReference w:id="279"/>
      </w:r>
    </w:p>
    <w:p w14:paraId="1ACF0269" w14:textId="20D7F031" w:rsidR="00950B22" w:rsidRDefault="00FB0951" w:rsidP="00BF204D">
      <w:pPr>
        <w:pStyle w:val="Boxedshaded"/>
      </w:pPr>
      <w:r w:rsidRPr="00FB0951">
        <w:t>In response to its 2022 Review, Queensland amended its definition of ‘discriminatory conduct’ to include circumstances where a worker is treated ‘less favourably’ than other workers.</w:t>
      </w:r>
      <w:r w:rsidRPr="00FB0951">
        <w:rPr>
          <w:vertAlign w:val="superscript"/>
        </w:rPr>
        <w:footnoteReference w:id="280"/>
      </w:r>
      <w:r w:rsidRPr="00FB0951">
        <w:t xml:space="preserve"> The ACTU recommended Safe Work Australia review relevant model law provisions to close any gaps and amend the model WHS Act to expressly prohibit treating HSRs and workers less favourably than others for exercising their WHS rights, in line with the Queensland approach.</w:t>
      </w:r>
      <w:r w:rsidRPr="00FB0951">
        <w:rPr>
          <w:vertAlign w:val="superscript"/>
        </w:rPr>
        <w:footnoteReference w:id="281"/>
      </w:r>
      <w:r w:rsidRPr="00FB0951">
        <w:t xml:space="preserve"> In making its recommendation, the ACTU also highlighted protections under the FW Act, which include discriminating between employees in the meaning of ‘adverse </w:t>
      </w:r>
      <w:r w:rsidRPr="00FB0951">
        <w:rPr>
          <w:iCs/>
        </w:rPr>
        <w:t>action’</w:t>
      </w:r>
      <w:r w:rsidRPr="00FB0951" w:rsidDel="002C5E37">
        <w:t>.</w:t>
      </w:r>
      <w:r w:rsidRPr="00FB0951">
        <w:rPr>
          <w:vertAlign w:val="superscript"/>
        </w:rPr>
        <w:footnoteReference w:id="282"/>
      </w:r>
    </w:p>
    <w:p w14:paraId="15D58877" w14:textId="4B754DD2" w:rsidR="00FB0951" w:rsidRDefault="00FB0951" w:rsidP="004420D1">
      <w:pPr>
        <w:pStyle w:val="SWAHeading4"/>
        <w:spacing w:after="0"/>
      </w:pPr>
      <w:r>
        <w:t>Discussion</w:t>
      </w:r>
    </w:p>
    <w:p w14:paraId="1D5DFBFB" w14:textId="175B0372" w:rsidR="004420D1" w:rsidRDefault="003577BE" w:rsidP="00C74579">
      <w:pPr>
        <w:pStyle w:val="Paragraph"/>
      </w:pPr>
      <w:r w:rsidRPr="003C72FE">
        <w:t>This Review heard that reports of discriminatory conduct in relation to HSRs is widespread.</w:t>
      </w:r>
      <w:r w:rsidRPr="003C72FE">
        <w:rPr>
          <w:vertAlign w:val="superscript"/>
        </w:rPr>
        <w:footnoteReference w:id="283"/>
      </w:r>
      <w:r w:rsidRPr="003C72FE">
        <w:t xml:space="preserve"> To respond to the issue, this Review examined the Queensland approach, which amended the definition of ‘discriminatory conduct’ in section 105 of the Queensland WHS Act to reflect the definition of ‘adverse action’ in the </w:t>
      </w:r>
      <w:r w:rsidRPr="003C72FE">
        <w:rPr>
          <w:i/>
        </w:rPr>
        <w:t xml:space="preserve">Industrial Relations Act 2016 </w:t>
      </w:r>
      <w:r w:rsidRPr="003C72FE">
        <w:t>(Qld) (IR Act).</w:t>
      </w:r>
      <w:r w:rsidRPr="003C72FE">
        <w:rPr>
          <w:vertAlign w:val="superscript"/>
        </w:rPr>
        <w:footnoteReference w:id="284"/>
      </w:r>
      <w:r w:rsidRPr="003C72FE">
        <w:t xml:space="preserve"> This Review also considered whether the definition of ‘adverse action’ in the FW Act provides better protection against discriminatory conduct than the model WHS Act.</w:t>
      </w:r>
    </w:p>
    <w:p w14:paraId="199FEA9B" w14:textId="77777777" w:rsidR="004420D1" w:rsidRDefault="004420D1" w:rsidP="0016789A">
      <w:pPr>
        <w:pStyle w:val="Paragraph"/>
      </w:pPr>
      <w:r>
        <w:br w:type="page"/>
      </w:r>
    </w:p>
    <w:p w14:paraId="3998844E" w14:textId="77777777" w:rsidR="003577BE" w:rsidRPr="003C72FE" w:rsidRDefault="003577BE" w:rsidP="00C74579">
      <w:pPr>
        <w:pStyle w:val="Paragraph"/>
      </w:pPr>
      <w:r w:rsidRPr="003C72FE">
        <w:lastRenderedPageBreak/>
        <w:t>The model WHS Act applies a ‘detriment test’ for discriminatory conduct.</w:t>
      </w:r>
      <w:r w:rsidRPr="003C72FE">
        <w:rPr>
          <w:vertAlign w:val="superscript"/>
        </w:rPr>
        <w:footnoteReference w:id="285"/>
      </w:r>
      <w:r w:rsidRPr="003C72FE">
        <w:t xml:space="preserve"> A complainant must establish unfavourable treatment on the grounds of a prohibited reason,</w:t>
      </w:r>
      <w:r w:rsidRPr="003C72FE">
        <w:rPr>
          <w:szCs w:val="22"/>
          <w:vertAlign w:val="superscript"/>
        </w:rPr>
        <w:footnoteReference w:id="286"/>
      </w:r>
      <w:r w:rsidRPr="003C72FE">
        <w:t xml:space="preserve"> after which the burden shifts to the respondent to prove that the prohibited reason was not the dominant reason for the </w:t>
      </w:r>
      <w:r w:rsidRPr="003C72FE">
        <w:rPr>
          <w:rFonts w:eastAsia="Arial"/>
        </w:rPr>
        <w:t>conduct</w:t>
      </w:r>
      <w:r w:rsidRPr="003C72FE">
        <w:t>.</w:t>
      </w:r>
      <w:r w:rsidRPr="003C72FE">
        <w:rPr>
          <w:vertAlign w:val="superscript"/>
        </w:rPr>
        <w:footnoteReference w:id="287"/>
      </w:r>
      <w:r w:rsidRPr="003C72FE">
        <w:rPr>
          <w:color w:val="000000"/>
        </w:rPr>
        <w:t xml:space="preserve"> </w:t>
      </w:r>
      <w:r w:rsidRPr="003C72FE">
        <w:t>This approach reflects the difficulty workers face in proving an employer’s motivation and is designed to reduce evidentiary barriers and uphold protections from discrimination.</w:t>
      </w:r>
    </w:p>
    <w:p w14:paraId="3543A75C" w14:textId="77777777" w:rsidR="00F21CE3" w:rsidRDefault="003577BE" w:rsidP="00C74579">
      <w:pPr>
        <w:pStyle w:val="Paragraph"/>
      </w:pPr>
      <w:r w:rsidRPr="003C72FE">
        <w:t>Queensland has amended the term ‘discriminatory conduct’ in its WHS Act to</w:t>
      </w:r>
      <w:r w:rsidRPr="003C72FE">
        <w:rPr>
          <w:rFonts w:cs="Segoe UI"/>
        </w:rPr>
        <w:t xml:space="preserve"> </w:t>
      </w:r>
      <w:r w:rsidRPr="003C72FE">
        <w:t>include circumstances where a worker is treated ‘less favourably’ than other workers.</w:t>
      </w:r>
      <w:r w:rsidRPr="003C72FE">
        <w:rPr>
          <w:vertAlign w:val="superscript"/>
        </w:rPr>
        <w:footnoteReference w:id="288"/>
      </w:r>
      <w:r w:rsidRPr="003C72FE" w:rsidDel="00173541">
        <w:t xml:space="preserve"> </w:t>
      </w:r>
      <w:r w:rsidRPr="003C72FE">
        <w:t>This amendment introduces a new legal test known as the ‘comparator test’ for establishing discriminatory conduct. A comparator test requires that a worker show that they were treated differently from another employee, whether real or hypothetical. This Review examined this approach and found the threshold for proof under the ‘</w:t>
      </w:r>
      <w:r w:rsidRPr="003C72FE" w:rsidDel="00222C09">
        <w:t>comparator</w:t>
      </w:r>
      <w:r w:rsidRPr="003C72FE">
        <w:t xml:space="preserve"> test’ is likely to be met whenever the ‘detriment test’ is met and therefore is unlikely to provide an additional legal avenue for proving discriminatory conduct, while also likely introducing additional complexity into the Act.</w:t>
      </w:r>
    </w:p>
    <w:p w14:paraId="65F532C9" w14:textId="26AC263D" w:rsidR="003577BE" w:rsidRPr="003C72FE" w:rsidRDefault="003577BE" w:rsidP="00C74579">
      <w:pPr>
        <w:pStyle w:val="Paragraph"/>
      </w:pPr>
      <w:r w:rsidRPr="003C72FE">
        <w:t>This Review also considered amending the definition of ‘discriminatory conduct’ to align with the definition of ‘adverse action’ in the FW Act, which includes a ‘comparator test’ without a ‘detriment test’.</w:t>
      </w:r>
      <w:r w:rsidRPr="003C72FE">
        <w:rPr>
          <w:vertAlign w:val="superscript"/>
        </w:rPr>
        <w:t xml:space="preserve"> </w:t>
      </w:r>
      <w:r w:rsidRPr="003C72FE">
        <w:rPr>
          <w:vertAlign w:val="superscript"/>
        </w:rPr>
        <w:footnoteReference w:id="289"/>
      </w:r>
      <w:r w:rsidRPr="003C72FE">
        <w:t xml:space="preserve"> This Review does not recommend adopting this approach. Across discrimination law more broadly, there is evidence of a shift away from the comparator test, with the AHRC noting the difficulty and uncertainty involved in identifying appropriate comparators.</w:t>
      </w:r>
      <w:r w:rsidRPr="003C72FE">
        <w:rPr>
          <w:vertAlign w:val="superscript"/>
        </w:rPr>
        <w:footnoteReference w:id="290"/>
      </w:r>
    </w:p>
    <w:p w14:paraId="0AAA2E7A" w14:textId="77777777" w:rsidR="003577BE" w:rsidRPr="003C72FE" w:rsidRDefault="003577BE" w:rsidP="00C74579">
      <w:pPr>
        <w:pStyle w:val="Paragraph"/>
      </w:pPr>
      <w:r w:rsidRPr="003C72FE">
        <w:t>This Review considers a detriment-based test is better suited to the harmonised WHS context, particularly for HSRs and workers raising safety concerns, as it avoids additional complexity and reduces evidentiary barriers so a worker who experiences discrimination does not face undue barriers in proving it. While HSRs continue to face practical barriers, including fear of reprisal, this Review was not persuaded that introducing a comparator</w:t>
      </w:r>
      <w:r w:rsidRPr="003C72FE">
        <w:noBreakHyphen/>
        <w:t>based pathway would remedy the problem.</w:t>
      </w:r>
    </w:p>
    <w:p w14:paraId="3DC5AF8C" w14:textId="6E528CD6" w:rsidR="004420D1" w:rsidRDefault="003577BE" w:rsidP="00C74579">
      <w:pPr>
        <w:pStyle w:val="Paragraph"/>
      </w:pPr>
      <w:r w:rsidRPr="003C72FE">
        <w:t xml:space="preserve">Instead, these challenges are more likely to reflect broader issues identified in this Review, including low awareness of HSR roles and practical barriers to exercising their functions. This Review’s recommendations in </w:t>
      </w:r>
      <w:r w:rsidRPr="003C72FE">
        <w:rPr>
          <w:b/>
        </w:rPr>
        <w:t>Chapter 2.2</w:t>
      </w:r>
      <w:r w:rsidRPr="003C72FE">
        <w:t xml:space="preserve"> and </w:t>
      </w:r>
      <w:r w:rsidRPr="003C72FE">
        <w:rPr>
          <w:b/>
        </w:rPr>
        <w:t>Chapter 3</w:t>
      </w:r>
      <w:r w:rsidRPr="003C72FE">
        <w:t xml:space="preserve"> are directed to these issues, including the development of a Safe Work Information Statement, modelled on the </w:t>
      </w:r>
      <w:r w:rsidRPr="00DD6450">
        <w:rPr>
          <w:i/>
          <w:iCs/>
        </w:rPr>
        <w:t>Fair Work Information Statement,</w:t>
      </w:r>
      <w:r w:rsidRPr="003C72FE">
        <w:t xml:space="preserve"> to provide clear guidance about discriminatory conduct under the WHS Act.</w:t>
      </w:r>
    </w:p>
    <w:p w14:paraId="6FF1D823" w14:textId="77777777" w:rsidR="004420D1" w:rsidRDefault="004420D1">
      <w:pPr>
        <w:spacing w:after="200" w:line="276" w:lineRule="auto"/>
        <w:contextualSpacing w:val="0"/>
        <w:rPr>
          <w:rFonts w:asciiTheme="minorHAnsi" w:eastAsia="Times New Roman" w:hAnsiTheme="minorHAnsi"/>
          <w:lang w:eastAsia="en-AU"/>
        </w:rPr>
      </w:pPr>
      <w:r>
        <w:br w:type="page"/>
      </w:r>
    </w:p>
    <w:p w14:paraId="21E8E937" w14:textId="08ABA83F" w:rsidR="003577BE" w:rsidRDefault="003577BE" w:rsidP="00AC0CD1">
      <w:pPr>
        <w:pStyle w:val="SWAHeading2"/>
        <w:spacing w:line="240" w:lineRule="auto"/>
        <w:rPr>
          <w:rFonts w:asciiTheme="minorHAnsi" w:hAnsiTheme="minorHAnsi"/>
        </w:rPr>
      </w:pPr>
      <w:bookmarkStart w:id="42" w:name="_Toc239845152"/>
      <w:r w:rsidRPr="00AC0CD1">
        <w:rPr>
          <w:rFonts w:asciiTheme="minorHAnsi" w:hAnsiTheme="minorHAnsi"/>
        </w:rPr>
        <w:lastRenderedPageBreak/>
        <w:t xml:space="preserve">Right of entry </w:t>
      </w:r>
      <w:r w:rsidR="008262FB" w:rsidRPr="00AC0CD1">
        <w:rPr>
          <w:rFonts w:asciiTheme="minorHAnsi" w:hAnsiTheme="minorHAnsi"/>
        </w:rPr>
        <w:t>(</w:t>
      </w:r>
      <w:r w:rsidR="008262FB" w:rsidRPr="000F1DE6">
        <w:rPr>
          <w:rFonts w:asciiTheme="minorHAnsi" w:hAnsiTheme="minorHAnsi"/>
        </w:rPr>
        <w:t>Part 7, ss 116–151, model WHS Act)</w:t>
      </w:r>
      <w:bookmarkEnd w:id="42"/>
    </w:p>
    <w:p w14:paraId="3FA3C35C" w14:textId="77777777" w:rsidR="00F01378" w:rsidRPr="00DA342E" w:rsidRDefault="00F01378" w:rsidP="00C74579">
      <w:pPr>
        <w:pStyle w:val="Paragraph"/>
        <w:rPr>
          <w:rFonts w:eastAsia="Arial"/>
        </w:rPr>
      </w:pPr>
      <w:r w:rsidRPr="00DA342E">
        <w:rPr>
          <w:rFonts w:eastAsia="Arial"/>
        </w:rPr>
        <w:t>Under Part 7 of the model WHS Act, a union may apply to the relevant jurisdictional authority for a WHS entry permit to be issued to an official of the union.</w:t>
      </w:r>
      <w:r w:rsidRPr="00DA342E">
        <w:rPr>
          <w:rFonts w:eastAsia="Arial"/>
          <w:vertAlign w:val="superscript"/>
        </w:rPr>
        <w:footnoteReference w:id="291"/>
      </w:r>
      <w:r w:rsidRPr="00DA342E">
        <w:rPr>
          <w:rFonts w:eastAsia="Arial"/>
        </w:rPr>
        <w:t xml:space="preserve"> To issue the permit, the official must hold, or will hold, an entry permit under the FW Act or relevant state or territory industrial law and complete training prescribed by the regulations.</w:t>
      </w:r>
      <w:r w:rsidRPr="00DA342E">
        <w:rPr>
          <w:rFonts w:eastAsia="Arial"/>
          <w:vertAlign w:val="superscript"/>
        </w:rPr>
        <w:footnoteReference w:id="292"/>
      </w:r>
      <w:r w:rsidRPr="00DA342E">
        <w:rPr>
          <w:rFonts w:eastAsia="Arial"/>
        </w:rPr>
        <w:t xml:space="preserve"> A WHS EPH may enter a workplace for the purpose of:</w:t>
      </w:r>
    </w:p>
    <w:p w14:paraId="452B7457" w14:textId="77777777" w:rsidR="00F21CE3" w:rsidRDefault="00F01378" w:rsidP="00713E4C">
      <w:pPr>
        <w:pStyle w:val="ListBullet"/>
        <w:rPr>
          <w:rFonts w:cs="Arial"/>
          <w:lang w:eastAsia="en-AU"/>
        </w:rPr>
      </w:pPr>
      <w:r w:rsidRPr="00D560B0">
        <w:rPr>
          <w:lang w:eastAsia="en-AU"/>
        </w:rPr>
        <w:t xml:space="preserve">inquiring into a </w:t>
      </w:r>
      <w:r w:rsidRPr="00D560B0">
        <w:rPr>
          <w:rFonts w:eastAsia="Times New Roman" w:cs="Arial"/>
          <w:lang w:eastAsia="en-AU"/>
        </w:rPr>
        <w:t>suspected</w:t>
      </w:r>
      <w:r w:rsidRPr="00D560B0">
        <w:rPr>
          <w:rFonts w:cs="Arial"/>
          <w:lang w:eastAsia="en-AU"/>
        </w:rPr>
        <w:t xml:space="preserve"> contravention of the WHS Act that relates to or affects a </w:t>
      </w:r>
      <w:r w:rsidRPr="00D560B0">
        <w:rPr>
          <w:rFonts w:eastAsia="Times New Roman" w:cs="Arial"/>
          <w:lang w:eastAsia="en-AU"/>
        </w:rPr>
        <w:t>relevant</w:t>
      </w:r>
      <w:r w:rsidRPr="00D560B0">
        <w:rPr>
          <w:rFonts w:cs="Arial"/>
          <w:lang w:eastAsia="en-AU"/>
        </w:rPr>
        <w:t xml:space="preserve"> worker, has occurred or is occurring</w:t>
      </w:r>
    </w:p>
    <w:p w14:paraId="45D7131D" w14:textId="7F784CE9" w:rsidR="00F01378" w:rsidRPr="00D560B0" w:rsidRDefault="00F01378" w:rsidP="00713E4C">
      <w:pPr>
        <w:pStyle w:val="ListBullet"/>
        <w:rPr>
          <w:rFonts w:cs="Arial"/>
          <w:lang w:eastAsia="en-AU"/>
        </w:rPr>
      </w:pPr>
      <w:r w:rsidRPr="00D560B0">
        <w:rPr>
          <w:rFonts w:eastAsia="Times New Roman"/>
          <w:lang w:eastAsia="en-AU"/>
        </w:rPr>
        <w:t>inspecting</w:t>
      </w:r>
      <w:r w:rsidRPr="00D560B0">
        <w:rPr>
          <w:rFonts w:cs="Arial"/>
          <w:lang w:eastAsia="en-AU"/>
        </w:rPr>
        <w:t xml:space="preserve"> and making copies of employee records or information (if already entitled to enter a </w:t>
      </w:r>
      <w:r w:rsidRPr="00D560B0">
        <w:rPr>
          <w:rFonts w:eastAsia="Times New Roman" w:cs="Arial"/>
          <w:lang w:eastAsia="en-AU"/>
        </w:rPr>
        <w:t>workplace</w:t>
      </w:r>
      <w:r w:rsidRPr="00D560B0">
        <w:rPr>
          <w:rFonts w:cs="Arial"/>
          <w:lang w:eastAsia="en-AU"/>
        </w:rPr>
        <w:t xml:space="preserve"> to inquire into suspected contraventions), or</w:t>
      </w:r>
    </w:p>
    <w:p w14:paraId="67050BBC" w14:textId="770744EC" w:rsidR="00F01378" w:rsidRPr="00D560B0" w:rsidRDefault="00F01378" w:rsidP="00713E4C">
      <w:pPr>
        <w:pStyle w:val="ListBullet"/>
        <w:rPr>
          <w:rFonts w:cs="Arial"/>
          <w:lang w:eastAsia="en-AU"/>
        </w:rPr>
      </w:pPr>
      <w:r w:rsidRPr="00D560B0">
        <w:rPr>
          <w:rFonts w:eastAsia="Times New Roman"/>
          <w:lang w:eastAsia="en-AU"/>
        </w:rPr>
        <w:t>consulting</w:t>
      </w:r>
      <w:r w:rsidRPr="00D560B0">
        <w:rPr>
          <w:rFonts w:cs="Arial"/>
          <w:lang w:eastAsia="en-AU"/>
        </w:rPr>
        <w:t xml:space="preserve"> or advising workers in relation to WHS matters.</w:t>
      </w:r>
      <w:r w:rsidRPr="00D560B0">
        <w:rPr>
          <w:rFonts w:cs="Arial"/>
          <w:vertAlign w:val="superscript"/>
          <w:lang w:eastAsia="en-AU"/>
        </w:rPr>
        <w:footnoteReference w:id="293"/>
      </w:r>
    </w:p>
    <w:p w14:paraId="3A867742" w14:textId="77777777" w:rsidR="00F21CE3" w:rsidRDefault="00F01378" w:rsidP="00C74579">
      <w:pPr>
        <w:pStyle w:val="Paragraph"/>
        <w:rPr>
          <w:rFonts w:eastAsia="Arial"/>
        </w:rPr>
      </w:pPr>
      <w:r w:rsidRPr="00DA342E">
        <w:rPr>
          <w:rFonts w:eastAsia="Arial"/>
        </w:rPr>
        <w:t>Upon entering the workplace to inquire into a suspected contravention, WHS EPHs may exercise rights including inspecting any work system, plant, substance or structure; inspecting documents directly relevant to the suspected contravention; and consulting with relevant workers or the PCBU in relation to the suspected contravention.</w:t>
      </w:r>
      <w:r w:rsidRPr="00DA342E">
        <w:rPr>
          <w:rFonts w:eastAsia="Arial"/>
          <w:vertAlign w:val="superscript"/>
        </w:rPr>
        <w:footnoteReference w:id="294"/>
      </w:r>
      <w:r w:rsidRPr="00DA342E">
        <w:rPr>
          <w:rFonts w:eastAsia="Arial"/>
        </w:rPr>
        <w:t xml:space="preserve"> The model WHS laws require written notice of entry.</w:t>
      </w:r>
      <w:r w:rsidRPr="00DA342E">
        <w:rPr>
          <w:rFonts w:eastAsia="Arial"/>
          <w:vertAlign w:val="superscript"/>
        </w:rPr>
        <w:footnoteReference w:id="295"/>
      </w:r>
      <w:r w:rsidRPr="00DA342E">
        <w:rPr>
          <w:rFonts w:eastAsia="Arial"/>
        </w:rPr>
        <w:t xml:space="preserve"> For suspected contraventions, a WHS EPH</w:t>
      </w:r>
      <w:r w:rsidRPr="00DA342E" w:rsidDel="004C0D5D">
        <w:rPr>
          <w:rFonts w:eastAsia="Arial"/>
        </w:rPr>
        <w:t xml:space="preserve"> m</w:t>
      </w:r>
      <w:r w:rsidRPr="00DA342E">
        <w:rPr>
          <w:rFonts w:eastAsia="Arial"/>
        </w:rPr>
        <w:t>ust, as soon as practicable after entry, give notice of the entry and the suspected contravention to the PCBU and person with management or control of the workplace, unless giving notice would defeat the purpose of entry or unreasonably delay the WHS EPH in an urgent case.</w:t>
      </w:r>
      <w:r w:rsidRPr="00DA342E">
        <w:rPr>
          <w:rFonts w:eastAsia="Arial"/>
          <w:vertAlign w:val="superscript"/>
        </w:rPr>
        <w:footnoteReference w:id="296"/>
      </w:r>
      <w:r w:rsidRPr="00DA342E">
        <w:rPr>
          <w:rFonts w:eastAsia="Arial"/>
        </w:rPr>
        <w:t xml:space="preserve"> A WHS EPH must also give the PCBU at least 24 hours, but not more than 14 days, notice before entry to inspect employee records or information; or to consult or advise workers in relation to WHS matters.</w:t>
      </w:r>
      <w:r w:rsidRPr="00DA342E">
        <w:rPr>
          <w:rFonts w:eastAsia="Arial"/>
          <w:vertAlign w:val="superscript"/>
        </w:rPr>
        <w:footnoteReference w:id="297"/>
      </w:r>
    </w:p>
    <w:p w14:paraId="568EE8B7" w14:textId="77777777" w:rsidR="00F21CE3" w:rsidRDefault="00F01378" w:rsidP="00C74579">
      <w:pPr>
        <w:pStyle w:val="Paragraph"/>
        <w:rPr>
          <w:rFonts w:eastAsia="Arial"/>
        </w:rPr>
      </w:pPr>
      <w:r w:rsidRPr="00DA342E">
        <w:rPr>
          <w:rFonts w:eastAsia="Arial"/>
        </w:rPr>
        <w:t>The model WHS Act also sets out various prohibitions which apply to both WHS EPHs and other parties. A WHS EPH must not intentionally and unreasonably delay, hinder or obstruct any person or disrupt any work.</w:t>
      </w:r>
      <w:r w:rsidRPr="00DA342E">
        <w:rPr>
          <w:rFonts w:eastAsia="Arial"/>
          <w:vertAlign w:val="superscript"/>
        </w:rPr>
        <w:footnoteReference w:id="298"/>
      </w:r>
      <w:r w:rsidRPr="00DA342E">
        <w:rPr>
          <w:rFonts w:eastAsia="Arial"/>
        </w:rPr>
        <w:t xml:space="preserve"> The Act also prohibits a person from taking certain actions against a WHS EPH who is entering a workplace or exercising rights, including unreasonably refusing or delaying entry to a workplace and intentionally and unreasonably hindering or obstructing a WHS EPH.</w:t>
      </w:r>
      <w:r w:rsidRPr="00DA342E">
        <w:rPr>
          <w:rFonts w:eastAsia="Arial"/>
          <w:vertAlign w:val="superscript"/>
        </w:rPr>
        <w:footnoteReference w:id="299"/>
      </w:r>
      <w:r w:rsidRPr="00DA342E">
        <w:rPr>
          <w:rFonts w:eastAsia="Arial"/>
        </w:rPr>
        <w:t xml:space="preserve"> A person must not take action with the intention of giving the impression (or being reckless as to the impression) that they are authorised to do something under WHS EPH provisions when they are not, unless the person reasonably believes that they are authorised.</w:t>
      </w:r>
      <w:r w:rsidRPr="00DA342E">
        <w:rPr>
          <w:rFonts w:eastAsia="Arial"/>
          <w:vertAlign w:val="superscript"/>
        </w:rPr>
        <w:footnoteReference w:id="300"/>
      </w:r>
      <w:r w:rsidRPr="00DA342E">
        <w:rPr>
          <w:rFonts w:eastAsia="Arial"/>
        </w:rPr>
        <w:t xml:space="preserve"> Finally, a WHS EPH must not use or disclose information obtained in an inquiry into a suspected contravention for a purpose that is not related to the inquiry, noting certain exemptions apply in exceptional circumstances.</w:t>
      </w:r>
      <w:r w:rsidRPr="00DA342E">
        <w:rPr>
          <w:rFonts w:eastAsia="Arial"/>
          <w:vertAlign w:val="superscript"/>
        </w:rPr>
        <w:footnoteReference w:id="301"/>
      </w:r>
    </w:p>
    <w:p w14:paraId="045B1D4A" w14:textId="77777777" w:rsidR="00F21CE3" w:rsidRDefault="00F01378" w:rsidP="00C74579">
      <w:pPr>
        <w:pStyle w:val="Paragraph"/>
      </w:pPr>
      <w:r w:rsidRPr="00DA342E">
        <w:t>When exercising a right of entry under the model WHS laws, the EPH must also comply with relevant parts of the FW Act.</w:t>
      </w:r>
      <w:r w:rsidRPr="00DA342E">
        <w:rPr>
          <w:vertAlign w:val="superscript"/>
        </w:rPr>
        <w:footnoteReference w:id="302"/>
      </w:r>
    </w:p>
    <w:p w14:paraId="4F00F2D5" w14:textId="77777777" w:rsidR="00F21CE3" w:rsidRDefault="00775484" w:rsidP="00BF204D">
      <w:pPr>
        <w:pStyle w:val="Boxedshaded"/>
        <w:rPr>
          <w:b/>
          <w:bCs/>
        </w:rPr>
      </w:pPr>
      <w:r w:rsidRPr="004420D1">
        <w:rPr>
          <w:b/>
          <w:bCs/>
        </w:rPr>
        <w:lastRenderedPageBreak/>
        <w:t>What we heard</w:t>
      </w:r>
    </w:p>
    <w:p w14:paraId="5C55FC15" w14:textId="367F5C33" w:rsidR="006C1A9C" w:rsidRPr="006C1A9C" w:rsidRDefault="006C1A9C" w:rsidP="00BF204D">
      <w:pPr>
        <w:pStyle w:val="Boxedshaded"/>
        <w:rPr>
          <w:b/>
          <w:bCs/>
        </w:rPr>
      </w:pPr>
      <w:r w:rsidRPr="000F1DE6">
        <w:t xml:space="preserve">The ACTU stated </w:t>
      </w:r>
      <w:r>
        <w:t xml:space="preserve">that </w:t>
      </w:r>
      <w:r w:rsidRPr="000F1DE6">
        <w:t>unions continue to face unnecessary restrictions and administrative barriers that impede their ability to enter workplaces and exercise their rights under the model WHS Act. Unions advocated for amendments to the model WHS Act to strengthen the ability of EPHs to enter workplaces and perform their functions effectively, including through enhanced information</w:t>
      </w:r>
      <w:r>
        <w:t>-</w:t>
      </w:r>
      <w:r w:rsidRPr="000F1DE6">
        <w:t>gathering powers.</w:t>
      </w:r>
      <w:r w:rsidRPr="000F1DE6">
        <w:rPr>
          <w:rStyle w:val="FootnoteReference"/>
          <w:rFonts w:eastAsia="Arial" w:cs="Arial"/>
          <w:szCs w:val="22"/>
          <w:lang w:eastAsia="ja-JP"/>
        </w:rPr>
        <w:footnoteReference w:id="303"/>
      </w:r>
    </w:p>
    <w:p w14:paraId="5BED94CA" w14:textId="17F16264" w:rsidR="00F01378" w:rsidRPr="009971F7" w:rsidRDefault="006C1A9C" w:rsidP="00BF204D">
      <w:pPr>
        <w:pStyle w:val="Boxedshaded"/>
        <w:rPr>
          <w:b/>
          <w:bCs/>
        </w:rPr>
      </w:pPr>
      <w:r w:rsidRPr="000F1DE6">
        <w:t>Industry representatives disagreed, believing that enhanced powers for union EPHs could risk their misuse to disrupt work and advance industrial interests.</w:t>
      </w:r>
      <w:r w:rsidRPr="000F1DE6">
        <w:rPr>
          <w:rFonts w:eastAsia="Arial" w:cs="Arial"/>
          <w:szCs w:val="22"/>
          <w:vertAlign w:val="superscript"/>
          <w:lang w:eastAsia="ja-JP"/>
        </w:rPr>
        <w:footnoteReference w:id="304"/>
      </w:r>
      <w:r w:rsidRPr="009530E8">
        <w:t xml:space="preserve"> </w:t>
      </w:r>
      <w:r w:rsidRPr="000F1DE6">
        <w:t xml:space="preserve">The MBA pointed to ‘commonplace’ misconduct in parts of the building and construction industry, characterising the continued presence of ‘bad actors’ as a cultural issue and </w:t>
      </w:r>
      <w:r w:rsidRPr="000F1DE6">
        <w:rPr>
          <w:rFonts w:eastAsia="Arial" w:cs="Arial"/>
          <w:szCs w:val="22"/>
          <w:lang w:eastAsia="ja-JP"/>
        </w:rPr>
        <w:t>arguing</w:t>
      </w:r>
      <w:r w:rsidRPr="000F1DE6">
        <w:t xml:space="preserve"> this context should be considered when examining jurisdictional variations. They said it is ‘common’ for unions in the building and construction industry to ‘nominate’ a site HSR and this is ‘frequently a person not familiar with a particular worksite nor actually employed by </w:t>
      </w:r>
      <w:r w:rsidRPr="00885787">
        <w:t>the company’</w:t>
      </w:r>
      <w:r w:rsidR="0077041D">
        <w:t>.</w:t>
      </w:r>
      <w:r w:rsidRPr="00885787">
        <w:rPr>
          <w:rStyle w:val="FootnoteReference"/>
        </w:rPr>
        <w:footnoteReference w:id="305"/>
      </w:r>
      <w:r w:rsidRPr="00885787">
        <w:t xml:space="preserve"> MBA</w:t>
      </w:r>
      <w:r w:rsidRPr="000F1DE6">
        <w:t xml:space="preserve"> also stated </w:t>
      </w:r>
      <w:r>
        <w:t xml:space="preserve">it </w:t>
      </w:r>
      <w:r w:rsidRPr="000F1DE6">
        <w:t>regularly receive</w:t>
      </w:r>
      <w:r>
        <w:t>s</w:t>
      </w:r>
      <w:r w:rsidRPr="000F1DE6">
        <w:t xml:space="preserve"> feedback from </w:t>
      </w:r>
      <w:r>
        <w:t xml:space="preserve">its </w:t>
      </w:r>
      <w:r w:rsidRPr="000F1DE6">
        <w:t>members about instances of misconduct, including poor culture and practices, in the industry.</w:t>
      </w:r>
      <w:r w:rsidRPr="000F1DE6">
        <w:rPr>
          <w:rStyle w:val="FootnoteReference"/>
        </w:rPr>
        <w:footnoteReference w:id="306"/>
      </w:r>
      <w:r w:rsidRPr="000F1DE6">
        <w:t xml:space="preserve"> </w:t>
      </w:r>
      <w:r>
        <w:t xml:space="preserve">It </w:t>
      </w:r>
      <w:r w:rsidRPr="000F1DE6">
        <w:t xml:space="preserve">recommended additional eligibility restrictions on EPHs and supported </w:t>
      </w:r>
      <w:r w:rsidRPr="000F1DE6">
        <w:rPr>
          <w:szCs w:val="22"/>
        </w:rPr>
        <w:t>Queensland’s</w:t>
      </w:r>
      <w:r w:rsidRPr="000F1DE6">
        <w:t xml:space="preserve"> reinstatement of a 24-hour notice requirement before entry, to inquire into suspected contraventions.</w:t>
      </w:r>
      <w:r w:rsidRPr="000F1DE6">
        <w:rPr>
          <w:rFonts w:eastAsia="Arial" w:cs="Arial"/>
          <w:szCs w:val="22"/>
          <w:vertAlign w:val="superscript"/>
          <w:lang w:eastAsia="ja-JP"/>
        </w:rPr>
        <w:footnoteReference w:id="307"/>
      </w:r>
      <w:r>
        <w:rPr>
          <w:rFonts w:eastAsia="Arial" w:cs="Arial"/>
          <w:szCs w:val="22"/>
          <w:lang w:eastAsia="ja-JP"/>
        </w:rPr>
        <w:t xml:space="preserve"> </w:t>
      </w:r>
      <w:r w:rsidRPr="002F17B5">
        <w:rPr>
          <w:rFonts w:eastAsia="Arial" w:cs="Arial"/>
          <w:szCs w:val="22"/>
          <w:lang w:eastAsia="ja-JP"/>
        </w:rPr>
        <w:t>HIA expressed</w:t>
      </w:r>
      <w:r w:rsidRPr="000F1DE6">
        <w:rPr>
          <w:rFonts w:eastAsia="Arial" w:cs="Arial"/>
          <w:szCs w:val="22"/>
          <w:lang w:eastAsia="ja-JP"/>
        </w:rPr>
        <w:t xml:space="preserve"> concerns about ‘documented incidents of misbehaviour and abuse of power by CFMEU officers across the country’ and stated that ‘governments and regulators should be concentrating their efforts on addressing the misuse of existing powers before they begin considering </w:t>
      </w:r>
      <w:r w:rsidRPr="00885787">
        <w:rPr>
          <w:rFonts w:eastAsia="Arial" w:cs="Arial"/>
          <w:szCs w:val="22"/>
          <w:lang w:eastAsia="ja-JP"/>
        </w:rPr>
        <w:t>further reforms’</w:t>
      </w:r>
      <w:r w:rsidR="0077041D">
        <w:rPr>
          <w:rFonts w:eastAsia="Arial" w:cs="Arial"/>
          <w:szCs w:val="22"/>
          <w:lang w:eastAsia="ja-JP"/>
        </w:rPr>
        <w:t>.</w:t>
      </w:r>
      <w:r w:rsidRPr="00885787">
        <w:rPr>
          <w:rFonts w:eastAsia="Arial" w:cs="Arial"/>
          <w:szCs w:val="22"/>
          <w:vertAlign w:val="superscript"/>
          <w:lang w:eastAsia="ja-JP"/>
        </w:rPr>
        <w:footnoteReference w:id="308"/>
      </w:r>
      <w:r w:rsidRPr="00885787">
        <w:rPr>
          <w:rFonts w:eastAsia="Arial" w:cs="Arial"/>
          <w:szCs w:val="22"/>
          <w:lang w:eastAsia="ja-JP"/>
        </w:rPr>
        <w:t xml:space="preserve"> </w:t>
      </w:r>
      <w:r w:rsidRPr="00885787">
        <w:rPr>
          <w:rFonts w:eastAsia="MS Gothic"/>
        </w:rPr>
        <w:t>The MCA highlighted the lack of harmonised EPH provisions across jurisdictions, stating that variations</w:t>
      </w:r>
      <w:r w:rsidRPr="000F1DE6">
        <w:rPr>
          <w:rFonts w:eastAsia="MS Gothic"/>
        </w:rPr>
        <w:t xml:space="preserve"> can create significant operational challenges.</w:t>
      </w:r>
      <w:r w:rsidRPr="000F1DE6">
        <w:rPr>
          <w:rFonts w:eastAsia="MS Gothic"/>
          <w:vertAlign w:val="superscript"/>
        </w:rPr>
        <w:footnoteReference w:id="309"/>
      </w:r>
    </w:p>
    <w:p w14:paraId="2A430125" w14:textId="05D0A2A6" w:rsidR="00775484" w:rsidRDefault="00775484" w:rsidP="004420D1">
      <w:pPr>
        <w:pStyle w:val="SWAHeading4"/>
      </w:pPr>
      <w:r>
        <w:t>Discussion</w:t>
      </w:r>
    </w:p>
    <w:p w14:paraId="16974B18" w14:textId="77777777" w:rsidR="009E47FD" w:rsidRPr="00A75EC0" w:rsidRDefault="009E47FD" w:rsidP="004420D1">
      <w:pPr>
        <w:pStyle w:val="SWAHeading5"/>
      </w:pPr>
      <w:r w:rsidRPr="00A75EC0">
        <w:t>Use of entry permit holder powers in the building and construction industry</w:t>
      </w:r>
    </w:p>
    <w:p w14:paraId="69CAB452" w14:textId="77777777" w:rsidR="00F21CE3" w:rsidRDefault="009E47FD" w:rsidP="00C74579">
      <w:pPr>
        <w:pStyle w:val="Paragraph"/>
      </w:pPr>
      <w:r w:rsidRPr="00747D04">
        <w:t>This Review heard significant concerns from industry about the misuse of EPH powers in the building and construction industry and how these roles have been used to enable both unlawful and criminal conduct. While acknowledging the seriousness of this conduct where it has occurred, it is important to note that the model WHS laws apply generally to all industries and workplaces. WHS laws are founded on fair and effective workplace representation, consultation and cooperation, with unions and employers encouraged to play a constructive role in promoting WHS improvements.</w:t>
      </w:r>
    </w:p>
    <w:p w14:paraId="78FD2A57" w14:textId="7270BB34" w:rsidR="00713E4C" w:rsidRDefault="00713E4C">
      <w:pPr>
        <w:spacing w:after="200" w:line="276" w:lineRule="auto"/>
        <w:contextualSpacing w:val="0"/>
        <w:rPr>
          <w:rFonts w:ascii="Aptos" w:eastAsia="Times New Roman" w:hAnsi="Aptos" w:cs="Arial"/>
          <w:lang w:eastAsia="en-AU"/>
        </w:rPr>
      </w:pPr>
      <w:r>
        <w:rPr>
          <w:rFonts w:ascii="Aptos" w:eastAsia="Times New Roman" w:hAnsi="Aptos" w:cs="Arial"/>
          <w:lang w:eastAsia="en-AU"/>
        </w:rPr>
        <w:br w:type="page"/>
      </w:r>
    </w:p>
    <w:p w14:paraId="42F7663A" w14:textId="6B13FDD1" w:rsidR="009E47FD" w:rsidRPr="00747D04" w:rsidRDefault="009E47FD" w:rsidP="00C74579">
      <w:pPr>
        <w:pStyle w:val="Paragraph"/>
      </w:pPr>
      <w:r w:rsidRPr="00747D04">
        <w:lastRenderedPageBreak/>
        <w:t>The independent statutory review of the Closing Loopholes reforms examined this issue and found:</w:t>
      </w:r>
    </w:p>
    <w:p w14:paraId="2819A2CD" w14:textId="77777777" w:rsidR="009E47FD" w:rsidRPr="00747D04" w:rsidRDefault="009E47FD" w:rsidP="00747D04">
      <w:pPr>
        <w:spacing w:line="240" w:lineRule="auto"/>
        <w:ind w:left="720"/>
        <w:contextualSpacing w:val="0"/>
        <w:rPr>
          <w:rFonts w:ascii="Aptos" w:eastAsia="Times New Roman" w:hAnsi="Aptos" w:cs="Arial"/>
          <w:lang w:eastAsia="en-AU"/>
        </w:rPr>
      </w:pPr>
      <w:r w:rsidRPr="00CA29DE">
        <w:rPr>
          <w:rStyle w:val="EmphasisquoteChar"/>
          <w:rFonts w:asciiTheme="minorHAnsi" w:hAnsiTheme="minorHAnsi"/>
          <w:sz w:val="22"/>
          <w:szCs w:val="22"/>
        </w:rPr>
        <w:t>There is limited evidence to confirm whether misuse is occurring and, if so, its prevalence. Excluding the CFMEU, the 9 of the other largest unions combined recorded only 37 breaches of industrial laws in the 5 years prior to the CFMEU’s administration in June 2024. The low number of breaches suggests that general misbehaviour among unions is not widespread.</w:t>
      </w:r>
      <w:r w:rsidRPr="00747D04">
        <w:rPr>
          <w:rFonts w:ascii="Aptos" w:eastAsia="Times New Roman" w:hAnsi="Aptos" w:cs="Arial"/>
          <w:vertAlign w:val="superscript"/>
          <w:lang w:eastAsia="en-AU"/>
        </w:rPr>
        <w:footnoteReference w:id="310"/>
      </w:r>
    </w:p>
    <w:p w14:paraId="362447E1" w14:textId="3670803C" w:rsidR="00F21CE3" w:rsidRDefault="009E47FD" w:rsidP="00C74579">
      <w:pPr>
        <w:pStyle w:val="Paragraph"/>
      </w:pPr>
      <w:r w:rsidRPr="00747D04">
        <w:t>This Review also notes efforts underway to improve the culture in the building and construction industry, with the CFMEU administrator noting the union is ‘changing its culture’ and ‘working to regain its position in civil society’.</w:t>
      </w:r>
      <w:r w:rsidRPr="00747D04">
        <w:rPr>
          <w:vertAlign w:val="superscript"/>
        </w:rPr>
        <w:footnoteReference w:id="311"/>
      </w:r>
      <w:r w:rsidRPr="00747D04">
        <w:t xml:space="preserve"> Cooperation between government, the CFMEU and industry has led to the </w:t>
      </w:r>
      <w:r w:rsidRPr="00747D04">
        <w:rPr>
          <w:i/>
        </w:rPr>
        <w:t xml:space="preserve">Blueprint for the </w:t>
      </w:r>
      <w:r w:rsidR="00885787">
        <w:rPr>
          <w:i/>
        </w:rPr>
        <w:t>f</w:t>
      </w:r>
      <w:r w:rsidRPr="00747D04">
        <w:rPr>
          <w:i/>
        </w:rPr>
        <w:t>uture</w:t>
      </w:r>
      <w:r w:rsidRPr="00747D04">
        <w:t>, endorsed by the National Construction Industry Forum</w:t>
      </w:r>
      <w:r w:rsidRPr="00747D04" w:rsidDel="0021785D">
        <w:t xml:space="preserve"> (NCIF)</w:t>
      </w:r>
      <w:r w:rsidRPr="00747D04">
        <w:t>,</w:t>
      </w:r>
      <w:r w:rsidRPr="00747D04">
        <w:rPr>
          <w:vertAlign w:val="superscript"/>
        </w:rPr>
        <w:footnoteReference w:id="312"/>
      </w:r>
      <w:r w:rsidRPr="00747D04">
        <w:t xml:space="preserve"> which sets out actions to address long-term challenges facing the industry, including seeking to ‘move away from conflict-based relationships towards collaborative and cooperative models’ and for the industry to ‘create a culture of lawfulness, which actively combats non-compliance across all areas of the industry’.</w:t>
      </w:r>
      <w:r w:rsidRPr="00747D04">
        <w:rPr>
          <w:vertAlign w:val="superscript"/>
        </w:rPr>
        <w:footnoteReference w:id="313"/>
      </w:r>
    </w:p>
    <w:p w14:paraId="36F73A62" w14:textId="2074A680" w:rsidR="009E47FD" w:rsidRPr="00747D04" w:rsidRDefault="009E47FD" w:rsidP="00C74579">
      <w:pPr>
        <w:pStyle w:val="Paragraph"/>
      </w:pPr>
      <w:r w:rsidRPr="00747D04">
        <w:t>Noting this work and that the WHS EPH provisions are operating effectively for the vast majority of workplaces, this Review considers that the model WHS laws do not require amendments to introduce new restrictions on WHS EPHs. Instead, this Review has focused on greater harmonisation of EPH provisions, consistent with its Terms of Reference.</w:t>
      </w:r>
    </w:p>
    <w:p w14:paraId="45879AFE" w14:textId="77777777" w:rsidR="009E47FD" w:rsidRPr="00A75EC0" w:rsidRDefault="009E47FD" w:rsidP="004420D1">
      <w:pPr>
        <w:pStyle w:val="SWAHeading5"/>
      </w:pPr>
      <w:r w:rsidRPr="00A75EC0">
        <w:t>WHS entry permit holder information-gathering powers (s 118, model WHS Act)</w:t>
      </w:r>
    </w:p>
    <w:p w14:paraId="26EDBD49" w14:textId="77777777" w:rsidR="00F21CE3" w:rsidRDefault="009E47FD" w:rsidP="00C74579">
      <w:pPr>
        <w:pStyle w:val="Paragraph"/>
        <w:rPr>
          <w:rFonts w:eastAsia="MS Gothic"/>
        </w:rPr>
      </w:pPr>
      <w:r w:rsidRPr="00E92503">
        <w:rPr>
          <w:rFonts w:eastAsia="MS Gothic"/>
        </w:rPr>
        <w:t>There are a number of significant jurisdictional variations relating to EPH information-gathering powers. This includes providing EPHs with the power to take measurements, conduct tests and make sketches or recordings (including photographs, films, audio, video, digital or other recordings).</w:t>
      </w:r>
      <w:r w:rsidRPr="00E92503">
        <w:rPr>
          <w:rFonts w:eastAsia="MS Gothic"/>
          <w:vertAlign w:val="superscript"/>
        </w:rPr>
        <w:footnoteReference w:id="314"/>
      </w:r>
      <w:r w:rsidRPr="00E92503">
        <w:rPr>
          <w:rFonts w:eastAsia="MS Gothic"/>
        </w:rPr>
        <w:t xml:space="preserve"> Jurisdictions also apply varying safeguards to these powers.</w:t>
      </w:r>
      <w:r w:rsidRPr="00E92503">
        <w:rPr>
          <w:rFonts w:eastAsia="MS Gothic"/>
          <w:szCs w:val="22"/>
          <w:vertAlign w:val="superscript"/>
          <w:lang w:eastAsia="ja-JP"/>
        </w:rPr>
        <w:footnoteReference w:id="315"/>
      </w:r>
    </w:p>
    <w:p w14:paraId="11D96E83" w14:textId="77777777" w:rsidR="00F21CE3" w:rsidRDefault="009E47FD" w:rsidP="00C74579">
      <w:pPr>
        <w:pStyle w:val="Paragraph"/>
        <w:rPr>
          <w:rFonts w:eastAsia="Aptos" w:cs="Times New Roman"/>
        </w:rPr>
      </w:pPr>
      <w:r w:rsidRPr="00E92503">
        <w:rPr>
          <w:rFonts w:eastAsia="Arial"/>
        </w:rPr>
        <w:t xml:space="preserve">This Review notes that allowing HSRs (see </w:t>
      </w:r>
      <w:r w:rsidRPr="00E92503">
        <w:rPr>
          <w:rFonts w:eastAsia="Arial"/>
          <w:b/>
        </w:rPr>
        <w:t>Chapter 3</w:t>
      </w:r>
      <w:r w:rsidRPr="00E92503">
        <w:rPr>
          <w:rFonts w:eastAsia="Arial"/>
        </w:rPr>
        <w:t xml:space="preserve">) and EPHs to collect information (such as taking a photo) in relation to workplace hazards supports the objects of the model WHS Act. </w:t>
      </w:r>
      <w:r w:rsidRPr="00E92503">
        <w:rPr>
          <w:rFonts w:eastAsia="Aptos" w:cs="Times New Roman"/>
        </w:rPr>
        <w:t>This Review recommends amending the model WHS Act to provide information-gathering powers to both HSRs and EPHs in a consistent manner but subject to appropriate safeguards, including to:</w:t>
      </w:r>
    </w:p>
    <w:p w14:paraId="601448EE" w14:textId="77777777" w:rsidR="00F21CE3" w:rsidRDefault="009E47FD" w:rsidP="00713E4C">
      <w:pPr>
        <w:pStyle w:val="ListBullet"/>
        <w:rPr>
          <w:rFonts w:eastAsia="Aptos" w:cs="Times New Roman"/>
          <w:lang w:eastAsia="en-AU"/>
        </w:rPr>
      </w:pPr>
      <w:r w:rsidRPr="00D560B0">
        <w:rPr>
          <w:rFonts w:cs="Arial"/>
          <w:lang w:eastAsia="en-AU"/>
        </w:rPr>
        <w:t>ensure</w:t>
      </w:r>
      <w:r w:rsidRPr="00D560B0">
        <w:rPr>
          <w:rFonts w:eastAsia="Aptos" w:cs="Times New Roman"/>
          <w:lang w:eastAsia="en-AU"/>
        </w:rPr>
        <w:t xml:space="preserve"> information is only used for the purpose of exercising functions under the WHS Act</w:t>
      </w:r>
    </w:p>
    <w:p w14:paraId="0A72809D" w14:textId="5D71569A" w:rsidR="009E47FD" w:rsidRPr="00D560B0" w:rsidRDefault="009E47FD" w:rsidP="00713E4C">
      <w:pPr>
        <w:pStyle w:val="ListBullet"/>
        <w:rPr>
          <w:rFonts w:eastAsia="Aptos" w:cs="Times New Roman"/>
          <w:lang w:eastAsia="en-AU"/>
        </w:rPr>
      </w:pPr>
      <w:r w:rsidRPr="00D560B0">
        <w:rPr>
          <w:rFonts w:cs="Arial"/>
          <w:lang w:eastAsia="en-AU"/>
        </w:rPr>
        <w:t>prevent</w:t>
      </w:r>
      <w:r w:rsidRPr="00D560B0">
        <w:rPr>
          <w:rFonts w:eastAsia="Aptos" w:cs="Times New Roman"/>
          <w:lang w:eastAsia="en-AU"/>
        </w:rPr>
        <w:t xml:space="preserve"> live</w:t>
      </w:r>
      <w:r w:rsidRPr="00D560B0">
        <w:rPr>
          <w:rFonts w:eastAsia="Aptos" w:cs="Times New Roman"/>
          <w:lang w:eastAsia="en-AU"/>
        </w:rPr>
        <w:noBreakHyphen/>
        <w:t>streaming</w:t>
      </w:r>
    </w:p>
    <w:p w14:paraId="65BCB138" w14:textId="77777777" w:rsidR="009E47FD" w:rsidRPr="00D560B0" w:rsidRDefault="009E47FD" w:rsidP="00713E4C">
      <w:pPr>
        <w:pStyle w:val="ListBullet"/>
        <w:rPr>
          <w:rFonts w:eastAsia="Aptos" w:cs="Times New Roman"/>
          <w:lang w:eastAsia="en-AU"/>
        </w:rPr>
      </w:pPr>
      <w:r w:rsidRPr="00D560B0">
        <w:rPr>
          <w:lang w:eastAsia="en-AU"/>
        </w:rPr>
        <w:t xml:space="preserve">protect the </w:t>
      </w:r>
      <w:r w:rsidRPr="00D560B0">
        <w:rPr>
          <w:rFonts w:cs="Arial"/>
          <w:lang w:eastAsia="en-AU"/>
        </w:rPr>
        <w:t>privacy</w:t>
      </w:r>
      <w:r w:rsidRPr="00D560B0">
        <w:rPr>
          <w:rFonts w:eastAsia="Aptos" w:cs="Times New Roman"/>
          <w:lang w:eastAsia="en-AU"/>
        </w:rPr>
        <w:t xml:space="preserve"> of individuals</w:t>
      </w:r>
    </w:p>
    <w:p w14:paraId="12E7954D" w14:textId="77777777" w:rsidR="009E47FD" w:rsidRPr="00D560B0" w:rsidRDefault="009E47FD" w:rsidP="00713E4C">
      <w:pPr>
        <w:pStyle w:val="ListBullet"/>
        <w:rPr>
          <w:rFonts w:eastAsia="Aptos" w:cs="Times New Roman"/>
          <w:lang w:eastAsia="en-AU"/>
        </w:rPr>
      </w:pPr>
      <w:r w:rsidRPr="00D560B0">
        <w:rPr>
          <w:lang w:eastAsia="en-AU"/>
        </w:rPr>
        <w:t xml:space="preserve">ensure </w:t>
      </w:r>
      <w:r w:rsidRPr="00D560B0">
        <w:rPr>
          <w:rFonts w:cs="Arial"/>
          <w:lang w:eastAsia="en-AU"/>
        </w:rPr>
        <w:t>information</w:t>
      </w:r>
      <w:r w:rsidRPr="00D560B0">
        <w:rPr>
          <w:rFonts w:eastAsia="Aptos" w:cs="Times New Roman"/>
          <w:lang w:eastAsia="en-AU"/>
        </w:rPr>
        <w:t xml:space="preserve"> is collected in a way that does not create WHS risks</w:t>
      </w:r>
    </w:p>
    <w:p w14:paraId="09955F05" w14:textId="00BF4A88" w:rsidR="004420D1" w:rsidRPr="003F0249" w:rsidRDefault="009E47FD" w:rsidP="00334073">
      <w:pPr>
        <w:pStyle w:val="ListBullet"/>
        <w:rPr>
          <w:rFonts w:ascii="Aptos" w:hAnsi="Aptos"/>
          <w:lang w:eastAsia="en-AU"/>
        </w:rPr>
      </w:pPr>
      <w:r w:rsidRPr="003F0249">
        <w:rPr>
          <w:lang w:eastAsia="en-AU"/>
        </w:rPr>
        <w:t xml:space="preserve">protect </w:t>
      </w:r>
      <w:r w:rsidRPr="003F0249">
        <w:rPr>
          <w:rFonts w:cs="Arial"/>
          <w:lang w:eastAsia="en-AU"/>
        </w:rPr>
        <w:t>commercially</w:t>
      </w:r>
      <w:r w:rsidRPr="003F0249">
        <w:rPr>
          <w:lang w:eastAsia="en-AU"/>
        </w:rPr>
        <w:t xml:space="preserve"> sensitive information, and national security for certain work sites.</w:t>
      </w:r>
      <w:r w:rsidR="00713E4C" w:rsidRPr="003F0249">
        <w:rPr>
          <w:lang w:eastAsia="en-AU"/>
        </w:rPr>
        <w:t xml:space="preserve"> </w:t>
      </w:r>
      <w:r w:rsidRPr="003F0249">
        <w:rPr>
          <w:rFonts w:ascii="Aptos" w:hAnsi="Aptos"/>
          <w:lang w:eastAsia="en-AU"/>
        </w:rPr>
        <w:t xml:space="preserve">(See </w:t>
      </w:r>
      <w:r w:rsidRPr="003F0249">
        <w:rPr>
          <w:rFonts w:ascii="Aptos" w:hAnsi="Aptos"/>
          <w:b/>
          <w:lang w:eastAsia="en-AU"/>
        </w:rPr>
        <w:t>Appendix D</w:t>
      </w:r>
      <w:r w:rsidRPr="003F0249">
        <w:rPr>
          <w:rFonts w:ascii="Aptos" w:hAnsi="Aptos"/>
          <w:lang w:eastAsia="en-AU"/>
        </w:rPr>
        <w:t>,</w:t>
      </w:r>
      <w:r w:rsidRPr="003F0249">
        <w:rPr>
          <w:rFonts w:ascii="Aptos" w:hAnsi="Aptos"/>
          <w:b/>
          <w:lang w:eastAsia="en-AU"/>
        </w:rPr>
        <w:t xml:space="preserve"> 7A</w:t>
      </w:r>
      <w:r w:rsidR="003F0249" w:rsidRPr="00856832">
        <w:rPr>
          <w:rFonts w:ascii="Aptos" w:hAnsi="Aptos"/>
          <w:bCs/>
          <w:lang w:eastAsia="en-AU"/>
        </w:rPr>
        <w:t>.</w:t>
      </w:r>
      <w:r w:rsidRPr="003F0249">
        <w:rPr>
          <w:rFonts w:ascii="Aptos" w:hAnsi="Aptos"/>
          <w:lang w:eastAsia="en-AU"/>
        </w:rPr>
        <w:t>)</w:t>
      </w:r>
    </w:p>
    <w:p w14:paraId="681C111E" w14:textId="77777777" w:rsidR="004420D1" w:rsidRDefault="004420D1">
      <w:pPr>
        <w:spacing w:after="200" w:line="276" w:lineRule="auto"/>
        <w:contextualSpacing w:val="0"/>
        <w:rPr>
          <w:rFonts w:ascii="Aptos" w:eastAsia="Arial" w:hAnsi="Aptos"/>
          <w:lang w:eastAsia="en-AU"/>
        </w:rPr>
      </w:pPr>
      <w:r>
        <w:rPr>
          <w:rFonts w:ascii="Aptos" w:hAnsi="Aptos"/>
          <w:lang w:eastAsia="en-AU"/>
        </w:rPr>
        <w:br w:type="page"/>
      </w:r>
    </w:p>
    <w:p w14:paraId="1C8E6BE3" w14:textId="77777777" w:rsidR="009E47FD" w:rsidRPr="00A75EC0" w:rsidRDefault="009E47FD" w:rsidP="004420D1">
      <w:pPr>
        <w:pStyle w:val="SWAHeading5"/>
      </w:pPr>
      <w:r w:rsidRPr="00A75EC0">
        <w:lastRenderedPageBreak/>
        <w:t>Additional amendments – best practice jurisdictional variations (ss 118–119, 130, model WHS Act)</w:t>
      </w:r>
    </w:p>
    <w:p w14:paraId="52F43A28" w14:textId="77777777" w:rsidR="00F21CE3" w:rsidRDefault="009E47FD" w:rsidP="00C74579">
      <w:pPr>
        <w:pStyle w:val="Paragraph"/>
        <w:rPr>
          <w:rFonts w:eastAsia="MS Gothic"/>
        </w:rPr>
      </w:pPr>
      <w:r w:rsidRPr="00F027B5">
        <w:rPr>
          <w:rFonts w:eastAsia="MS Gothic"/>
        </w:rPr>
        <w:t xml:space="preserve">This Review has also recommended a series of additional technical amendments (see </w:t>
      </w:r>
      <w:r w:rsidRPr="00F027B5">
        <w:rPr>
          <w:rFonts w:eastAsia="MS Gothic"/>
          <w:b/>
        </w:rPr>
        <w:t>Appendix D</w:t>
      </w:r>
      <w:r w:rsidRPr="00F027B5">
        <w:rPr>
          <w:rFonts w:eastAsia="MS Gothic"/>
        </w:rPr>
        <w:t>,</w:t>
      </w:r>
      <w:r w:rsidRPr="00F027B5">
        <w:rPr>
          <w:rFonts w:eastAsia="MS Gothic"/>
          <w:b/>
        </w:rPr>
        <w:t xml:space="preserve"> Parts 7B</w:t>
      </w:r>
      <w:r w:rsidRPr="00F027B5">
        <w:rPr>
          <w:rFonts w:eastAsia="MS Gothic"/>
          <w:b/>
        </w:rPr>
        <w:noBreakHyphen/>
        <w:t>7D</w:t>
      </w:r>
      <w:r w:rsidRPr="00F027B5">
        <w:rPr>
          <w:rFonts w:eastAsia="MS Gothic"/>
        </w:rPr>
        <w:t>), informed by a range of jurisdictional variations, that it considers remove unnecessary administrative barriers.</w:t>
      </w:r>
      <w:r w:rsidRPr="00F027B5">
        <w:rPr>
          <w:rFonts w:cs="Segoe UI"/>
        </w:rPr>
        <w:t xml:space="preserve"> </w:t>
      </w:r>
      <w:r w:rsidRPr="00F027B5">
        <w:rPr>
          <w:rFonts w:eastAsia="MS Gothic"/>
        </w:rPr>
        <w:t>These include:</w:t>
      </w:r>
    </w:p>
    <w:p w14:paraId="50E224B0" w14:textId="053EBD63" w:rsidR="009E47FD" w:rsidRPr="006F616A" w:rsidRDefault="009E47FD" w:rsidP="00804D2B">
      <w:pPr>
        <w:pStyle w:val="ListBullet"/>
        <w:rPr>
          <w:rFonts w:eastAsia="MS Gothic" w:cs="Arial"/>
          <w:lang w:eastAsia="en-AU"/>
        </w:rPr>
      </w:pPr>
      <w:r w:rsidRPr="006F616A">
        <w:rPr>
          <w:lang w:eastAsia="en-AU"/>
        </w:rPr>
        <w:t xml:space="preserve">clarifying EPHs may remain at the workplace during usual working hours for the time necessary </w:t>
      </w:r>
      <w:r w:rsidRPr="006F616A">
        <w:rPr>
          <w:rFonts w:eastAsia="MS Gothic" w:cs="Arial"/>
          <w:lang w:eastAsia="en-AU"/>
        </w:rPr>
        <w:t>to achieve the purpose of entry</w:t>
      </w:r>
      <w:r w:rsidRPr="006F616A">
        <w:rPr>
          <w:rFonts w:eastAsia="MS Gothic" w:cs="Arial"/>
          <w:szCs w:val="22"/>
          <w:vertAlign w:val="superscript"/>
          <w:lang w:eastAsia="ja-JP"/>
        </w:rPr>
        <w:footnoteReference w:id="316"/>
      </w:r>
    </w:p>
    <w:p w14:paraId="0EA649E2" w14:textId="77777777" w:rsidR="009E47FD" w:rsidRPr="006F616A" w:rsidRDefault="009E47FD" w:rsidP="00804D2B">
      <w:pPr>
        <w:pStyle w:val="ListBullet"/>
        <w:rPr>
          <w:rFonts w:eastAsia="MS Gothic" w:cs="Arial"/>
          <w:lang w:eastAsia="en-AU"/>
        </w:rPr>
      </w:pPr>
      <w:r w:rsidRPr="006F616A">
        <w:rPr>
          <w:lang w:eastAsia="en-AU"/>
        </w:rPr>
        <w:t>not requiring EPHs to re-enter the workplace or leave WHS risks unaddressed when they find more than one WHS risk at a workplace</w:t>
      </w:r>
      <w:r w:rsidRPr="006F616A">
        <w:rPr>
          <w:rFonts w:eastAsia="MS Gothic" w:cs="Arial"/>
          <w:szCs w:val="22"/>
          <w:vertAlign w:val="superscript"/>
          <w:lang w:eastAsia="ja-JP"/>
        </w:rPr>
        <w:footnoteReference w:id="317"/>
      </w:r>
    </w:p>
    <w:p w14:paraId="1C6D23B1" w14:textId="77777777" w:rsidR="009E47FD" w:rsidRPr="006F616A" w:rsidRDefault="009E47FD" w:rsidP="00804D2B">
      <w:pPr>
        <w:pStyle w:val="ListBullet"/>
        <w:rPr>
          <w:rFonts w:eastAsia="MS Gothic" w:cs="Arial"/>
          <w:lang w:eastAsia="en-AU"/>
        </w:rPr>
      </w:pPr>
      <w:r w:rsidRPr="006F616A">
        <w:rPr>
          <w:lang w:eastAsia="en-AU"/>
        </w:rPr>
        <w:t>not being excluded from a workplace because of a typo on their entry permit.</w:t>
      </w:r>
      <w:r w:rsidRPr="006F616A">
        <w:rPr>
          <w:rFonts w:eastAsia="MS Gothic" w:cs="Arial"/>
          <w:szCs w:val="22"/>
          <w:vertAlign w:val="superscript"/>
          <w:lang w:eastAsia="ja-JP"/>
        </w:rPr>
        <w:footnoteReference w:id="318"/>
      </w:r>
    </w:p>
    <w:p w14:paraId="76712F55" w14:textId="77777777" w:rsidR="00F21CE3" w:rsidRDefault="009E47FD" w:rsidP="00C74579">
      <w:pPr>
        <w:pStyle w:val="Paragraph"/>
        <w:rPr>
          <w:rFonts w:eastAsia="Aptos" w:cs="Aptos"/>
          <w:lang w:val="en-GB"/>
        </w:rPr>
      </w:pPr>
      <w:r w:rsidRPr="00F027B5">
        <w:rPr>
          <w:rFonts w:eastAsia="Yu Gothic"/>
          <w:lang w:val="en-GB"/>
        </w:rPr>
        <w:t xml:space="preserve">This Review notes the </w:t>
      </w:r>
      <w:r w:rsidRPr="00867BA4">
        <w:rPr>
          <w:rFonts w:eastAsia="Yu Gothic"/>
          <w:i/>
          <w:iCs/>
          <w:lang w:val="en-GB"/>
        </w:rPr>
        <w:t>2022 Queensland Review</w:t>
      </w:r>
      <w:r w:rsidRPr="00F027B5">
        <w:rPr>
          <w:rFonts w:eastAsia="Yu Gothic"/>
          <w:lang w:val="en-GB"/>
        </w:rPr>
        <w:t xml:space="preserve"> also recommended exploring mechanisms and any necessary amendments to section 130</w:t>
      </w:r>
      <w:r w:rsidRPr="00F027B5">
        <w:rPr>
          <w:rFonts w:eastAsia="Yu Gothic"/>
          <w:vertAlign w:val="superscript"/>
          <w:lang w:val="en-GB"/>
        </w:rPr>
        <w:footnoteReference w:id="319"/>
      </w:r>
      <w:r w:rsidRPr="00F027B5">
        <w:rPr>
          <w:rFonts w:eastAsia="Yu Gothic"/>
          <w:lang w:val="en-GB"/>
        </w:rPr>
        <w:t xml:space="preserve"> to protect the </w:t>
      </w:r>
      <w:r w:rsidRPr="00F027B5">
        <w:rPr>
          <w:rFonts w:eastAsia="Aptos" w:cs="Aptos"/>
          <w:lang w:val="en-GB"/>
        </w:rPr>
        <w:t>anonymity of, and prevent discriminatory or coercive action against, a worker who has raised a WHS concern or alleged contravention of the Act (unless the worker has provided the permit holder with consent to disclose their identity to the PCBU).</w:t>
      </w:r>
      <w:r w:rsidRPr="00F027B5">
        <w:rPr>
          <w:rFonts w:eastAsia="Yu Gothic"/>
          <w:vertAlign w:val="superscript"/>
          <w:lang w:val="en-GB"/>
        </w:rPr>
        <w:footnoteReference w:id="320"/>
      </w:r>
      <w:r w:rsidRPr="00F027B5">
        <w:rPr>
          <w:rFonts w:eastAsia="Aptos" w:cs="Aptos"/>
          <w:lang w:val="en-GB"/>
        </w:rPr>
        <w:t xml:space="preserve"> Queensland has not made any amendments to date; however, this Review considers this may be an issue for further consideration by Safe Work Australia.</w:t>
      </w:r>
    </w:p>
    <w:p w14:paraId="722F494B" w14:textId="306DAB74" w:rsidR="00056CB1" w:rsidRDefault="009E47FD" w:rsidP="0016789A">
      <w:pPr>
        <w:pStyle w:val="Paragraph"/>
        <w:spacing w:after="240"/>
        <w:rPr>
          <w:rFonts w:ascii="Aptos" w:eastAsia="Aptos" w:hAnsi="Aptos" w:cs="Aptos"/>
          <w:lang w:val="en-GB" w:eastAsia="ja-JP"/>
        </w:rPr>
      </w:pPr>
      <w:r w:rsidRPr="00F027B5">
        <w:rPr>
          <w:rFonts w:eastAsia="Aptos"/>
          <w:lang w:val="en-GB"/>
        </w:rPr>
        <w:t xml:space="preserve">Mutual recognition of WHS EPH training is discussed in </w:t>
      </w:r>
      <w:r w:rsidRPr="00F027B5">
        <w:rPr>
          <w:rFonts w:eastAsia="Aptos"/>
          <w:b/>
          <w:lang w:val="en-GB"/>
        </w:rPr>
        <w:t>Chapter 6.4</w:t>
      </w:r>
      <w:r w:rsidR="00FF3844">
        <w:rPr>
          <w:rFonts w:eastAsia="Aptos"/>
          <w:lang w:val="en-GB"/>
        </w:rPr>
        <w:t xml:space="preserve">, </w:t>
      </w:r>
      <w:r w:rsidRPr="00F027B5">
        <w:rPr>
          <w:rFonts w:eastAsia="Aptos"/>
          <w:lang w:val="en-GB"/>
        </w:rPr>
        <w:t xml:space="preserve">with a related recommendation outlined in </w:t>
      </w:r>
      <w:r w:rsidRPr="00F027B5">
        <w:rPr>
          <w:rFonts w:eastAsia="Aptos"/>
          <w:b/>
          <w:lang w:val="en-GB"/>
        </w:rPr>
        <w:t>Appendix G</w:t>
      </w:r>
      <w:r w:rsidRPr="00F027B5">
        <w:rPr>
          <w:rFonts w:eastAsia="Aptos"/>
          <w:lang w:val="en-GB"/>
        </w:rPr>
        <w:t>,</w:t>
      </w:r>
      <w:r w:rsidRPr="00F027B5">
        <w:rPr>
          <w:rFonts w:eastAsia="Aptos"/>
          <w:b/>
          <w:lang w:val="en-GB"/>
        </w:rPr>
        <w:t xml:space="preserve"> 1</w:t>
      </w:r>
      <w:r w:rsidRPr="00F027B5">
        <w:rPr>
          <w:rFonts w:eastAsia="Aptos"/>
          <w:lang w:val="en-GB"/>
        </w:rPr>
        <w:t xml:space="preserve">. </w:t>
      </w:r>
    </w:p>
    <w:tbl>
      <w:tblPr>
        <w:tblStyle w:val="TableGrid"/>
        <w:tblW w:w="5000" w:type="pct"/>
        <w:tblCellMar>
          <w:top w:w="113" w:type="dxa"/>
          <w:bottom w:w="113" w:type="dxa"/>
        </w:tblCellMar>
        <w:tblLook w:val="04A0" w:firstRow="1" w:lastRow="0" w:firstColumn="1" w:lastColumn="0" w:noHBand="0" w:noVBand="1"/>
      </w:tblPr>
      <w:tblGrid>
        <w:gridCol w:w="9746"/>
      </w:tblGrid>
      <w:tr w:rsidR="006E1EF9" w14:paraId="63C772F4" w14:textId="77777777" w:rsidTr="0016789A">
        <w:trPr>
          <w:cnfStyle w:val="100000000000" w:firstRow="1" w:lastRow="0" w:firstColumn="0" w:lastColumn="0" w:oddVBand="0" w:evenVBand="0" w:oddHBand="0" w:evenHBand="0" w:firstRowFirstColumn="0" w:firstRowLastColumn="0" w:lastRowFirstColumn="0" w:lastRowLastColumn="0"/>
        </w:trPr>
        <w:tc>
          <w:tcPr>
            <w:tcW w:w="5000" w:type="pct"/>
          </w:tcPr>
          <w:p w14:paraId="10929E16" w14:textId="2692F87E" w:rsidR="006E1EF9" w:rsidRDefault="006E1EF9">
            <w:pPr>
              <w:pStyle w:val="Tableheader"/>
            </w:pPr>
            <w:r>
              <w:t>Consultation, representation and participation</w:t>
            </w:r>
            <w:r w:rsidR="004420D1">
              <w:t xml:space="preserve"> – Recommendation 8</w:t>
            </w:r>
          </w:p>
        </w:tc>
      </w:tr>
      <w:tr w:rsidR="006E1EF9" w14:paraId="79574469" w14:textId="77777777" w:rsidTr="0016789A">
        <w:tc>
          <w:tcPr>
            <w:tcW w:w="5000" w:type="pct"/>
          </w:tcPr>
          <w:p w14:paraId="5B26F93C" w14:textId="61242C15" w:rsidR="006E1EF9" w:rsidRPr="0016789A" w:rsidRDefault="006E1EF9" w:rsidP="004420D1">
            <w:pPr>
              <w:pStyle w:val="Paragraphtable"/>
              <w:rPr>
                <w:b/>
                <w:sz w:val="21"/>
                <w:szCs w:val="21"/>
              </w:rPr>
            </w:pPr>
            <w:r w:rsidRPr="0016789A">
              <w:rPr>
                <w:sz w:val="21"/>
                <w:szCs w:val="21"/>
              </w:rPr>
              <w:t xml:space="preserve">Amend the model WHS Act and model WHS Regulations to enact the best practice variations at </w:t>
            </w:r>
            <w:r w:rsidRPr="00AC1858">
              <w:rPr>
                <w:b/>
                <w:bCs w:val="0"/>
                <w:sz w:val="21"/>
                <w:szCs w:val="21"/>
              </w:rPr>
              <w:t>Appendix D</w:t>
            </w:r>
            <w:r w:rsidRPr="0016789A">
              <w:rPr>
                <w:sz w:val="21"/>
                <w:szCs w:val="21"/>
              </w:rPr>
              <w:t xml:space="preserve">, </w:t>
            </w:r>
            <w:r w:rsidRPr="00AC1858">
              <w:rPr>
                <w:b/>
                <w:bCs w:val="0"/>
                <w:sz w:val="21"/>
                <w:szCs w:val="21"/>
              </w:rPr>
              <w:t>Appendix F</w:t>
            </w:r>
            <w:r w:rsidR="00FB0145" w:rsidRPr="0056795E">
              <w:rPr>
                <w:sz w:val="21"/>
                <w:szCs w:val="21"/>
              </w:rPr>
              <w:t>,</w:t>
            </w:r>
            <w:r w:rsidR="00FB0145">
              <w:rPr>
                <w:b/>
                <w:bCs w:val="0"/>
                <w:sz w:val="21"/>
                <w:szCs w:val="21"/>
              </w:rPr>
              <w:t xml:space="preserve"> </w:t>
            </w:r>
            <w:r w:rsidRPr="00AC1858">
              <w:rPr>
                <w:b/>
                <w:bCs w:val="0"/>
                <w:sz w:val="21"/>
                <w:szCs w:val="21"/>
              </w:rPr>
              <w:t>1</w:t>
            </w:r>
            <w:r w:rsidRPr="0016789A">
              <w:rPr>
                <w:sz w:val="21"/>
                <w:szCs w:val="21"/>
              </w:rPr>
              <w:t xml:space="preserve"> and </w:t>
            </w:r>
            <w:r w:rsidRPr="00AC1858">
              <w:rPr>
                <w:b/>
                <w:bCs w:val="0"/>
                <w:sz w:val="21"/>
                <w:szCs w:val="21"/>
              </w:rPr>
              <w:t>Appendix G</w:t>
            </w:r>
            <w:r w:rsidR="00FB0145" w:rsidRPr="0056795E">
              <w:rPr>
                <w:sz w:val="21"/>
                <w:szCs w:val="21"/>
              </w:rPr>
              <w:t>,</w:t>
            </w:r>
            <w:r w:rsidR="00FB0145">
              <w:rPr>
                <w:b/>
                <w:bCs w:val="0"/>
                <w:sz w:val="21"/>
                <w:szCs w:val="21"/>
              </w:rPr>
              <w:t xml:space="preserve"> </w:t>
            </w:r>
            <w:r w:rsidRPr="00AC1858">
              <w:rPr>
                <w:b/>
                <w:bCs w:val="0"/>
                <w:sz w:val="21"/>
                <w:szCs w:val="21"/>
              </w:rPr>
              <w:t>1</w:t>
            </w:r>
            <w:r w:rsidRPr="0016789A">
              <w:rPr>
                <w:sz w:val="21"/>
                <w:szCs w:val="21"/>
              </w:rPr>
              <w:t xml:space="preserve"> in relation to:</w:t>
            </w:r>
          </w:p>
          <w:p w14:paraId="01344838" w14:textId="091BE51D" w:rsidR="006E1EF9" w:rsidRPr="0016789A" w:rsidRDefault="006E1EF9" w:rsidP="00AC1858">
            <w:pPr>
              <w:pStyle w:val="ListBullet2tables"/>
              <w:numPr>
                <w:ilvl w:val="0"/>
                <w:numId w:val="62"/>
              </w:numPr>
              <w:rPr>
                <w:sz w:val="21"/>
                <w:szCs w:val="21"/>
              </w:rPr>
            </w:pPr>
            <w:r w:rsidRPr="0016789A">
              <w:rPr>
                <w:sz w:val="21"/>
                <w:szCs w:val="21"/>
              </w:rPr>
              <w:t xml:space="preserve">health and safety representative </w:t>
            </w:r>
            <w:r w:rsidR="00503524" w:rsidRPr="0016789A">
              <w:rPr>
                <w:sz w:val="21"/>
                <w:szCs w:val="21"/>
              </w:rPr>
              <w:t>(HSR)</w:t>
            </w:r>
            <w:r w:rsidRPr="0016789A">
              <w:rPr>
                <w:sz w:val="21"/>
                <w:szCs w:val="21"/>
              </w:rPr>
              <w:t xml:space="preserve"> elections, powers, functions and training entitlements</w:t>
            </w:r>
          </w:p>
          <w:p w14:paraId="4DC34284" w14:textId="77777777" w:rsidR="006E1EF9" w:rsidRPr="0016789A" w:rsidRDefault="006E1EF9" w:rsidP="00AC1858">
            <w:pPr>
              <w:pStyle w:val="ListBullet2tables"/>
              <w:numPr>
                <w:ilvl w:val="0"/>
                <w:numId w:val="62"/>
              </w:numPr>
              <w:rPr>
                <w:sz w:val="21"/>
                <w:szCs w:val="21"/>
              </w:rPr>
            </w:pPr>
            <w:r w:rsidRPr="0016789A">
              <w:rPr>
                <w:sz w:val="21"/>
                <w:szCs w:val="21"/>
              </w:rPr>
              <w:t>health and safety committee processes</w:t>
            </w:r>
          </w:p>
          <w:p w14:paraId="56DBA84E" w14:textId="77777777" w:rsidR="006E1EF9" w:rsidRPr="0016789A" w:rsidRDefault="006E1EF9" w:rsidP="00AC1858">
            <w:pPr>
              <w:pStyle w:val="ListBullet2tables"/>
              <w:numPr>
                <w:ilvl w:val="0"/>
                <w:numId w:val="62"/>
              </w:numPr>
              <w:rPr>
                <w:sz w:val="21"/>
                <w:szCs w:val="21"/>
              </w:rPr>
            </w:pPr>
            <w:r w:rsidRPr="0016789A">
              <w:rPr>
                <w:sz w:val="21"/>
                <w:szCs w:val="21"/>
              </w:rPr>
              <w:t>consultation and representation processes</w:t>
            </w:r>
          </w:p>
          <w:p w14:paraId="0F29EE51" w14:textId="4810418C" w:rsidR="006E1EF9" w:rsidRPr="0016789A" w:rsidRDefault="006E1EF9" w:rsidP="00AC1858">
            <w:pPr>
              <w:pStyle w:val="ListBullet2tables"/>
              <w:numPr>
                <w:ilvl w:val="0"/>
                <w:numId w:val="62"/>
              </w:numPr>
              <w:rPr>
                <w:sz w:val="21"/>
                <w:szCs w:val="21"/>
              </w:rPr>
            </w:pPr>
            <w:r w:rsidRPr="0016789A">
              <w:rPr>
                <w:sz w:val="21"/>
                <w:szCs w:val="21"/>
              </w:rPr>
              <w:t>the right to cease unsafe work</w:t>
            </w:r>
            <w:r w:rsidR="00F027B5" w:rsidRPr="0016789A">
              <w:rPr>
                <w:sz w:val="21"/>
                <w:szCs w:val="21"/>
              </w:rPr>
              <w:t>, and</w:t>
            </w:r>
          </w:p>
          <w:p w14:paraId="7591E6FC" w14:textId="16D547A3" w:rsidR="006E1EF9" w:rsidRPr="006E1EF9" w:rsidRDefault="006E1EF9" w:rsidP="00AC1858">
            <w:pPr>
              <w:pStyle w:val="ListBullet2tables"/>
              <w:numPr>
                <w:ilvl w:val="0"/>
                <w:numId w:val="62"/>
              </w:numPr>
            </w:pPr>
            <w:r w:rsidRPr="0016789A">
              <w:rPr>
                <w:sz w:val="21"/>
                <w:szCs w:val="21"/>
              </w:rPr>
              <w:t>union right of entry.</w:t>
            </w:r>
          </w:p>
        </w:tc>
      </w:tr>
    </w:tbl>
    <w:p w14:paraId="0F1423F5" w14:textId="77777777" w:rsidR="00EF320A" w:rsidRDefault="00EF320A" w:rsidP="00775484">
      <w:pPr>
        <w:pStyle w:val="Paragraph"/>
        <w:sectPr w:rsidR="00EF320A" w:rsidSect="00DF1707">
          <w:headerReference w:type="default" r:id="rId35"/>
          <w:pgSz w:w="11906" w:h="16838" w:code="9"/>
          <w:pgMar w:top="1440" w:right="1080" w:bottom="1440" w:left="1080" w:header="709" w:footer="709" w:gutter="0"/>
          <w:cols w:space="708"/>
          <w:titlePg/>
          <w:docGrid w:linePitch="360"/>
        </w:sectPr>
      </w:pPr>
    </w:p>
    <w:p w14:paraId="423A5C9D" w14:textId="621E51DE" w:rsidR="00D74842" w:rsidRDefault="00EF320A" w:rsidP="00D74842">
      <w:pPr>
        <w:pStyle w:val="SWAHeading1"/>
      </w:pPr>
      <w:bookmarkStart w:id="43" w:name="_Toc239845153"/>
      <w:r>
        <w:lastRenderedPageBreak/>
        <w:t>Compliance and enforcement</w:t>
      </w:r>
      <w:bookmarkEnd w:id="43"/>
    </w:p>
    <w:p w14:paraId="53FFC4EE" w14:textId="4F014742" w:rsidR="00D74842" w:rsidRPr="004420D1" w:rsidRDefault="00D74842" w:rsidP="00BF204D">
      <w:pPr>
        <w:pStyle w:val="Boxedshaded"/>
        <w:rPr>
          <w:b/>
          <w:bCs/>
        </w:rPr>
      </w:pPr>
      <w:r w:rsidRPr="004420D1">
        <w:rPr>
          <w:b/>
          <w:bCs/>
        </w:rPr>
        <w:t>Terms of Reference:</w:t>
      </w:r>
    </w:p>
    <w:p w14:paraId="09C5BF1B" w14:textId="77777777" w:rsidR="00DC18F2" w:rsidRPr="00DC18F2" w:rsidRDefault="00DC18F2" w:rsidP="00BF204D">
      <w:pPr>
        <w:pStyle w:val="Boxedshaded"/>
      </w:pPr>
      <w:r w:rsidRPr="00DC18F2">
        <w:t>2.1, 2.2, 2.3, 2.5, 2.6, 3.1, 3.2, 3.3</w:t>
      </w:r>
    </w:p>
    <w:p w14:paraId="35E5F057" w14:textId="79DACBD0" w:rsidR="00D74842" w:rsidRPr="004420D1" w:rsidRDefault="00D74842" w:rsidP="00BF204D">
      <w:pPr>
        <w:pStyle w:val="Boxedshaded"/>
        <w:rPr>
          <w:b/>
          <w:bCs/>
        </w:rPr>
      </w:pPr>
      <w:r w:rsidRPr="004420D1">
        <w:rPr>
          <w:b/>
          <w:bCs/>
        </w:rPr>
        <w:t xml:space="preserve">Reviews considered </w:t>
      </w:r>
      <w:r w:rsidR="00DC18F2" w:rsidRPr="004420D1">
        <w:rPr>
          <w:b/>
          <w:bCs/>
        </w:rPr>
        <w:t>for</w:t>
      </w:r>
      <w:r w:rsidRPr="004420D1">
        <w:rPr>
          <w:b/>
          <w:bCs/>
        </w:rPr>
        <w:t xml:space="preserve"> this chapter:</w:t>
      </w:r>
    </w:p>
    <w:p w14:paraId="7225FF7E" w14:textId="77777777" w:rsidR="00AD0657" w:rsidRPr="000F1DE6" w:rsidRDefault="00AD0657" w:rsidP="00BF204D">
      <w:pPr>
        <w:pStyle w:val="Boxedshadedbullets"/>
      </w:pPr>
      <w:r w:rsidRPr="000F1DE6">
        <w:rPr>
          <w:rFonts w:eastAsia="MS Gothic"/>
        </w:rPr>
        <w:t>2004</w:t>
      </w:r>
      <w:r w:rsidRPr="000F1DE6">
        <w:t xml:space="preserve"> </w:t>
      </w:r>
      <w:r w:rsidRPr="004420D1">
        <w:rPr>
          <w:i/>
          <w:iCs/>
        </w:rPr>
        <w:t>Occupational Health and Safety Act Review</w:t>
      </w:r>
    </w:p>
    <w:p w14:paraId="36C769B4" w14:textId="0A867975" w:rsidR="00AD0657" w:rsidRPr="000F1DE6" w:rsidRDefault="00AD0657" w:rsidP="00BF204D">
      <w:pPr>
        <w:pStyle w:val="Boxedshadedbullets"/>
      </w:pPr>
      <w:r w:rsidRPr="000F1DE6" w:rsidDel="006E1952">
        <w:rPr>
          <w:rFonts w:eastAsia="MS Gothic"/>
        </w:rPr>
        <w:t>2008</w:t>
      </w:r>
      <w:r w:rsidRPr="000F1DE6" w:rsidDel="006E1952">
        <w:t xml:space="preserve"> </w:t>
      </w:r>
      <w:r w:rsidRPr="004420D1" w:rsidDel="006E1952">
        <w:rPr>
          <w:i/>
          <w:iCs/>
        </w:rPr>
        <w:t xml:space="preserve">National </w:t>
      </w:r>
      <w:r w:rsidRPr="004420D1">
        <w:rPr>
          <w:i/>
          <w:iCs/>
        </w:rPr>
        <w:t>R</w:t>
      </w:r>
      <w:r w:rsidRPr="004420D1" w:rsidDel="006E1952">
        <w:rPr>
          <w:i/>
          <w:iCs/>
        </w:rPr>
        <w:t xml:space="preserve">eview into </w:t>
      </w:r>
      <w:r w:rsidRPr="004420D1">
        <w:rPr>
          <w:i/>
          <w:iCs/>
        </w:rPr>
        <w:t xml:space="preserve">Model Occupational Health and Safety </w:t>
      </w:r>
      <w:r w:rsidR="005850E7">
        <w:rPr>
          <w:i/>
          <w:iCs/>
        </w:rPr>
        <w:t>l</w:t>
      </w:r>
      <w:r w:rsidRPr="004420D1">
        <w:rPr>
          <w:i/>
          <w:iCs/>
        </w:rPr>
        <w:t>aws</w:t>
      </w:r>
      <w:r w:rsidR="005850E7">
        <w:rPr>
          <w:i/>
          <w:iCs/>
        </w:rPr>
        <w:t xml:space="preserve"> </w:t>
      </w:r>
      <w:r w:rsidR="00C24046">
        <w:rPr>
          <w:i/>
          <w:iCs/>
        </w:rPr>
        <w:t>(2008 National Review)</w:t>
      </w:r>
    </w:p>
    <w:p w14:paraId="1B2EEBA5" w14:textId="052EA117" w:rsidR="00AD0657" w:rsidRPr="000F1DE6" w:rsidRDefault="00AD0657" w:rsidP="00BF204D">
      <w:pPr>
        <w:pStyle w:val="Boxedshadedbullets"/>
      </w:pPr>
      <w:r w:rsidRPr="000F1DE6">
        <w:t xml:space="preserve">2017 </w:t>
      </w:r>
      <w:r w:rsidRPr="004420D1">
        <w:rPr>
          <w:i/>
          <w:iCs/>
        </w:rPr>
        <w:t>Modernising work health and safety laws in Western Australia</w:t>
      </w:r>
    </w:p>
    <w:p w14:paraId="7212D6D4" w14:textId="5AB92A6E" w:rsidR="00AD0657" w:rsidRPr="000F1DE6" w:rsidRDefault="00AD0657" w:rsidP="00BF204D">
      <w:pPr>
        <w:pStyle w:val="Boxedshadedbullets"/>
      </w:pPr>
      <w:r w:rsidRPr="000F1DE6">
        <w:t xml:space="preserve">2018 </w:t>
      </w:r>
      <w:r w:rsidRPr="004420D1">
        <w:rPr>
          <w:i/>
          <w:iCs/>
        </w:rPr>
        <w:t>Review of the model Work Health and Safety laws</w:t>
      </w:r>
      <w:r w:rsidR="004F162F">
        <w:rPr>
          <w:i/>
          <w:iCs/>
        </w:rPr>
        <w:t xml:space="preserve"> </w:t>
      </w:r>
      <w:r w:rsidR="004F162F" w:rsidRPr="004D681F">
        <w:t>(</w:t>
      </w:r>
      <w:r w:rsidR="004F162F" w:rsidRPr="00786A20">
        <w:rPr>
          <w:i/>
          <w:iCs/>
        </w:rPr>
        <w:t>2018 National Review</w:t>
      </w:r>
      <w:r w:rsidR="004F162F" w:rsidRPr="004D681F">
        <w:t>)</w:t>
      </w:r>
    </w:p>
    <w:p w14:paraId="57C88491" w14:textId="15B7082C" w:rsidR="00AD0657" w:rsidRPr="006D0BA9" w:rsidRDefault="00AD0657" w:rsidP="00BF204D">
      <w:pPr>
        <w:pStyle w:val="Boxedshadedbullets"/>
      </w:pPr>
      <w:r w:rsidRPr="000F1DE6">
        <w:t xml:space="preserve">2018 </w:t>
      </w:r>
      <w:r w:rsidR="007759C6">
        <w:t>R</w:t>
      </w:r>
      <w:r>
        <w:t xml:space="preserve">eport of the </w:t>
      </w:r>
      <w:r w:rsidRPr="000F1DE6">
        <w:t>Senate Education and Employment References Committee</w:t>
      </w:r>
      <w:r>
        <w:t>,</w:t>
      </w:r>
      <w:r w:rsidRPr="000F1DE6">
        <w:t xml:space="preserve"> </w:t>
      </w:r>
      <w:r w:rsidRPr="004420D1">
        <w:rPr>
          <w:i/>
          <w:iCs/>
        </w:rPr>
        <w:t xml:space="preserve">They never came home – </w:t>
      </w:r>
      <w:r w:rsidR="00886C75">
        <w:rPr>
          <w:i/>
          <w:iCs/>
        </w:rPr>
        <w:t>T</w:t>
      </w:r>
      <w:r w:rsidRPr="004420D1">
        <w:rPr>
          <w:i/>
          <w:iCs/>
        </w:rPr>
        <w:t>he framework surrounding the prevention, investigation and prosecution of industrial deaths in Australia</w:t>
      </w:r>
      <w:r w:rsidR="006F5016">
        <w:t xml:space="preserve"> (</w:t>
      </w:r>
      <w:r w:rsidR="006F5016" w:rsidRPr="00786A20">
        <w:rPr>
          <w:i/>
          <w:iCs/>
        </w:rPr>
        <w:t>2018 They Never Came Home Report</w:t>
      </w:r>
      <w:r w:rsidR="006F5016">
        <w:t>)</w:t>
      </w:r>
    </w:p>
    <w:p w14:paraId="42928AC3" w14:textId="77777777" w:rsidR="00AD0657" w:rsidRPr="000F1DE6" w:rsidRDefault="00AD0657" w:rsidP="00BF204D">
      <w:pPr>
        <w:pStyle w:val="Boxedshadedbullets"/>
        <w:rPr>
          <w:rFonts w:eastAsia="Arial"/>
        </w:rPr>
      </w:pPr>
      <w:r w:rsidRPr="000F1DE6">
        <w:rPr>
          <w:rFonts w:eastAsia="Arial"/>
        </w:rPr>
        <w:t xml:space="preserve">2019 </w:t>
      </w:r>
      <w:r w:rsidRPr="004420D1">
        <w:rPr>
          <w:i/>
          <w:iCs/>
        </w:rPr>
        <w:t>Best Practice Review of Workplace Health and Safety in the Northern Territory</w:t>
      </w:r>
      <w:r w:rsidRPr="000F1DE6">
        <w:t xml:space="preserve"> (</w:t>
      </w:r>
      <w:r w:rsidRPr="00504832">
        <w:rPr>
          <w:i/>
          <w:iCs/>
        </w:rPr>
        <w:t xml:space="preserve">2019 NT </w:t>
      </w:r>
      <w:r w:rsidRPr="00504832">
        <w:rPr>
          <w:rFonts w:eastAsia="Arial"/>
          <w:i/>
          <w:iCs/>
        </w:rPr>
        <w:t>Review</w:t>
      </w:r>
      <w:r w:rsidRPr="000F1DE6">
        <w:t>)</w:t>
      </w:r>
    </w:p>
    <w:p w14:paraId="0AE23DC0" w14:textId="235110D2" w:rsidR="00AD0657" w:rsidRPr="000F1DE6" w:rsidRDefault="00AD0657" w:rsidP="00BF204D">
      <w:pPr>
        <w:pStyle w:val="Boxedshadedbullets"/>
      </w:pPr>
      <w:r w:rsidRPr="000F1DE6">
        <w:t xml:space="preserve">2022 </w:t>
      </w:r>
      <w:r w:rsidRPr="004420D1">
        <w:rPr>
          <w:i/>
          <w:iCs/>
        </w:rPr>
        <w:t>Independent Review of SafeWork SA</w:t>
      </w:r>
      <w:r w:rsidR="003F0249">
        <w:rPr>
          <w:i/>
          <w:iCs/>
        </w:rPr>
        <w:t xml:space="preserve"> </w:t>
      </w:r>
      <w:r w:rsidR="003F0249">
        <w:t>(</w:t>
      </w:r>
      <w:r w:rsidR="003F0249" w:rsidRPr="00786A20">
        <w:rPr>
          <w:i/>
          <w:iCs/>
        </w:rPr>
        <w:t>2022 SA Review</w:t>
      </w:r>
      <w:r w:rsidR="003F0249">
        <w:t>)</w:t>
      </w:r>
    </w:p>
    <w:p w14:paraId="2467993D" w14:textId="77777777" w:rsidR="00AD0657" w:rsidRPr="000F1DE6" w:rsidRDefault="00AD0657" w:rsidP="00BF204D">
      <w:pPr>
        <w:pStyle w:val="Boxedshadedbullets"/>
        <w:rPr>
          <w:rFonts w:eastAsia="Arial"/>
        </w:rPr>
      </w:pPr>
      <w:r w:rsidRPr="000F1DE6">
        <w:rPr>
          <w:rFonts w:eastAsia="Arial"/>
        </w:rPr>
        <w:t>2022</w:t>
      </w:r>
      <w:r w:rsidRPr="000F1DE6">
        <w:t xml:space="preserve"> </w:t>
      </w:r>
      <w:r w:rsidRPr="007759C6">
        <w:rPr>
          <w:i/>
          <w:iCs/>
        </w:rPr>
        <w:t xml:space="preserve">Conduct of Work Health and Safety Prosecutions </w:t>
      </w:r>
      <w:r w:rsidRPr="004E6B55">
        <w:t>Review (WorkSafe ACT)</w:t>
      </w:r>
      <w:r>
        <w:t xml:space="preserve"> (</w:t>
      </w:r>
      <w:r w:rsidRPr="00786A20">
        <w:rPr>
          <w:i/>
          <w:iCs/>
        </w:rPr>
        <w:t>2022 ACT WHS Prosecutions Review</w:t>
      </w:r>
      <w:r>
        <w:t>)</w:t>
      </w:r>
    </w:p>
    <w:p w14:paraId="356E6C43" w14:textId="77777777" w:rsidR="00AD0657" w:rsidRPr="000F1DE6" w:rsidRDefault="00AD0657" w:rsidP="00BF204D">
      <w:pPr>
        <w:pStyle w:val="Boxedshadedbullets"/>
      </w:pPr>
      <w:r w:rsidRPr="000F1DE6">
        <w:rPr>
          <w:rFonts w:cstheme="minorHAnsi"/>
          <w:szCs w:val="18"/>
        </w:rPr>
        <w:t>2023</w:t>
      </w:r>
      <w:r w:rsidRPr="000F1DE6">
        <w:t xml:space="preserve"> </w:t>
      </w:r>
      <w:r w:rsidRPr="004420D1">
        <w:rPr>
          <w:i/>
          <w:iCs/>
        </w:rPr>
        <w:t>Independent Review of SafeWork NSW</w:t>
      </w:r>
      <w:r>
        <w:t xml:space="preserve"> (</w:t>
      </w:r>
      <w:r w:rsidRPr="00CC1BB1">
        <w:rPr>
          <w:i/>
          <w:iCs/>
        </w:rPr>
        <w:t>2023 NSW Review</w:t>
      </w:r>
      <w:r>
        <w:t>)</w:t>
      </w:r>
    </w:p>
    <w:p w14:paraId="683C1B88" w14:textId="77777777" w:rsidR="00AD0657" w:rsidRPr="000F1DE6" w:rsidRDefault="00AD0657" w:rsidP="00BF204D">
      <w:pPr>
        <w:pStyle w:val="Boxedshadedbullets"/>
        <w:rPr>
          <w:rFonts w:eastAsia="Arial"/>
        </w:rPr>
      </w:pPr>
      <w:r w:rsidRPr="000F1DE6">
        <w:t xml:space="preserve">2025 </w:t>
      </w:r>
      <w:r w:rsidRPr="004420D1">
        <w:rPr>
          <w:i/>
          <w:iCs/>
        </w:rPr>
        <w:t>Statutory Review of the Work Health and Safety Act 2020</w:t>
      </w:r>
      <w:r w:rsidRPr="000F1DE6">
        <w:t xml:space="preserve"> (WA)</w:t>
      </w:r>
    </w:p>
    <w:p w14:paraId="6CFF8475" w14:textId="1B11DD21" w:rsidR="00D74842" w:rsidRPr="00386983" w:rsidRDefault="00AD0657" w:rsidP="00BF204D">
      <w:pPr>
        <w:pStyle w:val="Boxedshadedbullets"/>
      </w:pPr>
      <w:r w:rsidRPr="000F1DE6">
        <w:t xml:space="preserve">2025 </w:t>
      </w:r>
      <w:r w:rsidRPr="004420D1">
        <w:rPr>
          <w:i/>
          <w:iCs/>
        </w:rPr>
        <w:t>Sentencing Occupational Health and Safety Offences in Victoria</w:t>
      </w:r>
    </w:p>
    <w:p w14:paraId="21896C4D" w14:textId="22CF47E6" w:rsidR="00D74842" w:rsidRDefault="00D74842" w:rsidP="00D74842">
      <w:pPr>
        <w:pStyle w:val="SWAHeading3"/>
      </w:pPr>
      <w:r>
        <w:t>Introduction</w:t>
      </w:r>
    </w:p>
    <w:p w14:paraId="611CBC69" w14:textId="77777777" w:rsidR="00CD1226" w:rsidRPr="000F1DE6" w:rsidRDefault="00CD1226" w:rsidP="00CD1226">
      <w:pPr>
        <w:pStyle w:val="Paragraph"/>
        <w:rPr>
          <w:rFonts w:eastAsia="Arial"/>
        </w:rPr>
      </w:pPr>
      <w:r w:rsidRPr="000F1DE6">
        <w:rPr>
          <w:rFonts w:eastAsia="Arial"/>
        </w:rPr>
        <w:t xml:space="preserve">This </w:t>
      </w:r>
      <w:r>
        <w:rPr>
          <w:rFonts w:eastAsia="Arial"/>
        </w:rPr>
        <w:t>c</w:t>
      </w:r>
      <w:r w:rsidRPr="000F1DE6">
        <w:rPr>
          <w:rFonts w:eastAsia="Arial"/>
        </w:rPr>
        <w:t>hapter examines variations across the compliance and enforcement provisions in the model WHS Act and includes a discussion of regulator</w:t>
      </w:r>
      <w:r w:rsidRPr="000F1DE6">
        <w:rPr>
          <w:rFonts w:cs="Times New Roman"/>
        </w:rPr>
        <w:t xml:space="preserve"> and inspector powers and functions, legal proceedings, and offences and penalties.</w:t>
      </w:r>
    </w:p>
    <w:p w14:paraId="267505A7" w14:textId="77777777" w:rsidR="00CD1226" w:rsidRPr="000F1DE6" w:rsidRDefault="00CD1226" w:rsidP="00CD1226">
      <w:pPr>
        <w:pStyle w:val="SWAHeading3"/>
        <w:spacing w:before="200"/>
      </w:pPr>
      <w:r w:rsidRPr="000F1DE6">
        <w:t>Criteria for assessing variations</w:t>
      </w:r>
    </w:p>
    <w:p w14:paraId="63539B08" w14:textId="77777777" w:rsidR="00F21CE3" w:rsidRDefault="00CD1226" w:rsidP="00CD1226">
      <w:pPr>
        <w:pStyle w:val="Paragraph"/>
      </w:pPr>
      <w:r w:rsidRPr="000F1DE6">
        <w:t>Consistent with its Terms of Reference, this Review has:</w:t>
      </w:r>
    </w:p>
    <w:p w14:paraId="6461EBB0" w14:textId="6F31C4B1" w:rsidR="00CD1226" w:rsidRPr="00B464A5" w:rsidRDefault="00CD1226" w:rsidP="00056CB1">
      <w:pPr>
        <w:pStyle w:val="ListBullet"/>
      </w:pPr>
      <w:r w:rsidRPr="006F616A">
        <w:rPr>
          <w:rFonts w:eastAsia="MS Gothic" w:cs="Arial"/>
          <w:lang w:eastAsia="en-AU"/>
        </w:rPr>
        <w:t>assessed</w:t>
      </w:r>
      <w:r w:rsidRPr="00B464A5">
        <w:t xml:space="preserve"> jurisdictional variations that significantly depart from the model WHS Act</w:t>
      </w:r>
    </w:p>
    <w:p w14:paraId="1B9BA61E" w14:textId="77777777" w:rsidR="00CD1226" w:rsidRPr="00B464A5" w:rsidRDefault="00CD1226" w:rsidP="00056CB1">
      <w:pPr>
        <w:pStyle w:val="ListBullet"/>
      </w:pPr>
      <w:r w:rsidRPr="006F616A">
        <w:rPr>
          <w:rFonts w:eastAsia="MS Gothic" w:cs="Arial"/>
          <w:lang w:eastAsia="en-AU"/>
        </w:rPr>
        <w:t>considered</w:t>
      </w:r>
      <w:r w:rsidRPr="00B464A5">
        <w:t xml:space="preserve"> if these best achieve the object of the Act</w:t>
      </w:r>
    </w:p>
    <w:p w14:paraId="2A741BCA" w14:textId="77777777" w:rsidR="00F21CE3" w:rsidRDefault="00CD1226" w:rsidP="00056CB1">
      <w:pPr>
        <w:pStyle w:val="ListBullet"/>
      </w:pPr>
      <w:r w:rsidRPr="006F616A">
        <w:rPr>
          <w:rFonts w:eastAsia="MS Gothic" w:cs="Arial"/>
          <w:lang w:eastAsia="en-AU"/>
        </w:rPr>
        <w:t>made</w:t>
      </w:r>
      <w:r w:rsidRPr="00B464A5">
        <w:t xml:space="preserve"> </w:t>
      </w:r>
      <w:r w:rsidRPr="00B464A5">
        <w:rPr>
          <w:rFonts w:eastAsia="Aptos" w:cs="Times New Roman"/>
          <w:lang w:eastAsia="en-AU"/>
        </w:rPr>
        <w:t>recommendations</w:t>
      </w:r>
      <w:r w:rsidRPr="00B464A5">
        <w:t xml:space="preserve"> on whether they should be incorporated into the model WHS laws.</w:t>
      </w:r>
    </w:p>
    <w:p w14:paraId="33C4723D" w14:textId="1083C6F3" w:rsidR="00F21CE3" w:rsidRDefault="00CD1226" w:rsidP="00CD1226">
      <w:pPr>
        <w:pStyle w:val="Paragraph"/>
      </w:pPr>
      <w:r w:rsidRPr="000F1DE6">
        <w:t xml:space="preserve">Recommendations relating to this chapter which derive from specific jurisdictional variations are set out in </w:t>
      </w:r>
      <w:r w:rsidRPr="000F1DE6">
        <w:rPr>
          <w:b/>
          <w:bCs/>
        </w:rPr>
        <w:t>Appendix E</w:t>
      </w:r>
      <w:r w:rsidRPr="000F1DE6">
        <w:t>.</w:t>
      </w:r>
    </w:p>
    <w:p w14:paraId="3253B829" w14:textId="79EA7CD8" w:rsidR="0016789A" w:rsidRDefault="0016789A">
      <w:pPr>
        <w:spacing w:after="200" w:line="276" w:lineRule="auto"/>
        <w:contextualSpacing w:val="0"/>
        <w:rPr>
          <w:rFonts w:asciiTheme="minorHAnsi" w:eastAsia="Times New Roman" w:hAnsiTheme="minorHAnsi"/>
          <w:lang w:eastAsia="en-AU"/>
        </w:rPr>
      </w:pPr>
      <w:r>
        <w:br w:type="page"/>
      </w:r>
    </w:p>
    <w:p w14:paraId="7AA77393" w14:textId="77777777" w:rsidR="00CD1226" w:rsidRPr="000F1DE6" w:rsidRDefault="00CD1226" w:rsidP="00CD1226">
      <w:pPr>
        <w:pStyle w:val="Paragraph"/>
      </w:pPr>
      <w:r w:rsidRPr="000F1DE6">
        <w:lastRenderedPageBreak/>
        <w:t>Note</w:t>
      </w:r>
      <w:r w:rsidRPr="000F1DE6" w:rsidDel="00E50661">
        <w:t xml:space="preserve"> </w:t>
      </w:r>
      <w:r w:rsidRPr="000F1DE6">
        <w:t>this Review is also making recommendations about compliance and enforcement that do not relate directly to jurisdictional variations but otherwise respond to issues raised by stakeholders.</w:t>
      </w:r>
      <w:r>
        <w:t xml:space="preserve"> </w:t>
      </w:r>
      <w:r w:rsidRPr="000F1DE6">
        <w:t xml:space="preserve">These recommendations are presented throughout this chapter separately to </w:t>
      </w:r>
      <w:r w:rsidRPr="000F1DE6">
        <w:rPr>
          <w:b/>
        </w:rPr>
        <w:t>Appendix E</w:t>
      </w:r>
      <w:r w:rsidRPr="000F1DE6">
        <w:t>.</w:t>
      </w:r>
    </w:p>
    <w:p w14:paraId="0509D9FF" w14:textId="77777777" w:rsidR="00CD1226" w:rsidRPr="000F1DE6" w:rsidRDefault="00CD1226" w:rsidP="00CD1226">
      <w:pPr>
        <w:pStyle w:val="Paragraph"/>
      </w:pPr>
      <w:r w:rsidRPr="000F1DE6">
        <w:t>Only variations that have been adopted in at least one jurisdiction and meet the object of the model WHS Act have been recommended. Objects of particular relevance to this chapter include:</w:t>
      </w:r>
    </w:p>
    <w:p w14:paraId="65FCCE65" w14:textId="77777777" w:rsidR="000460B0" w:rsidRPr="00B464A5" w:rsidRDefault="00CD1226" w:rsidP="00056CB1">
      <w:pPr>
        <w:pStyle w:val="ListBullet"/>
      </w:pPr>
      <w:r w:rsidRPr="00B464A5">
        <w:t xml:space="preserve">securing compliance with this Act through effective and appropriate compliance and </w:t>
      </w:r>
      <w:r w:rsidRPr="006F616A">
        <w:rPr>
          <w:rFonts w:eastAsia="MS Gothic" w:cs="Arial"/>
          <w:lang w:eastAsia="en-AU"/>
        </w:rPr>
        <w:t>enforcement</w:t>
      </w:r>
      <w:r w:rsidRPr="00B464A5">
        <w:t xml:space="preserve"> measures (</w:t>
      </w:r>
      <w:r w:rsidRPr="00B464A5">
        <w:rPr>
          <w:b/>
        </w:rPr>
        <w:t>3(1)(e)</w:t>
      </w:r>
      <w:r w:rsidRPr="00B464A5">
        <w:t>)</w:t>
      </w:r>
    </w:p>
    <w:p w14:paraId="2E86F2D3" w14:textId="77777777" w:rsidR="000460B0" w:rsidRPr="00B464A5" w:rsidRDefault="00CD1226" w:rsidP="00056CB1">
      <w:pPr>
        <w:pStyle w:val="ListBullet"/>
      </w:pPr>
      <w:r w:rsidRPr="00B464A5">
        <w:t xml:space="preserve">ensuring appropriate scrutiny and review of actions taken by persons exercising powers and </w:t>
      </w:r>
      <w:r w:rsidRPr="006F616A">
        <w:rPr>
          <w:rFonts w:eastAsia="MS Gothic" w:cs="Arial"/>
          <w:lang w:eastAsia="en-AU"/>
        </w:rPr>
        <w:t>performing</w:t>
      </w:r>
      <w:r w:rsidRPr="00B464A5">
        <w:t xml:space="preserve"> functions under this Act (</w:t>
      </w:r>
      <w:r w:rsidRPr="00B464A5">
        <w:rPr>
          <w:b/>
        </w:rPr>
        <w:t>3(1)(f)</w:t>
      </w:r>
      <w:r w:rsidRPr="00B464A5">
        <w:t>)</w:t>
      </w:r>
    </w:p>
    <w:p w14:paraId="0A1E6558" w14:textId="77777777" w:rsidR="00CD1226" w:rsidRPr="00B464A5" w:rsidRDefault="00CD1226" w:rsidP="00056CB1">
      <w:pPr>
        <w:pStyle w:val="ListBullet"/>
      </w:pPr>
      <w:r w:rsidRPr="00B464A5">
        <w:t xml:space="preserve">providing a framework for continuous improvement and progressively higher standards of work </w:t>
      </w:r>
      <w:r w:rsidRPr="006F616A">
        <w:rPr>
          <w:rFonts w:eastAsia="MS Gothic" w:cs="Arial"/>
          <w:lang w:eastAsia="en-AU"/>
        </w:rPr>
        <w:t>health</w:t>
      </w:r>
      <w:r w:rsidRPr="00B464A5">
        <w:t xml:space="preserve"> and safety (</w:t>
      </w:r>
      <w:r w:rsidRPr="00B464A5">
        <w:rPr>
          <w:b/>
        </w:rPr>
        <w:t>3(1)(g)</w:t>
      </w:r>
      <w:r w:rsidRPr="00B464A5">
        <w:t>).</w:t>
      </w:r>
    </w:p>
    <w:p w14:paraId="4B228888" w14:textId="77777777" w:rsidR="00CD1226" w:rsidRPr="000F1DE6" w:rsidRDefault="00CD1226" w:rsidP="00A44DE5">
      <w:pPr>
        <w:pStyle w:val="SWAHeading2"/>
        <w:spacing w:line="240" w:lineRule="auto"/>
        <w:rPr>
          <w:rFonts w:asciiTheme="minorHAnsi" w:hAnsiTheme="minorHAnsi"/>
        </w:rPr>
      </w:pPr>
      <w:bookmarkStart w:id="44" w:name="_Toc234853681"/>
      <w:bookmarkStart w:id="45" w:name="_Toc236326812"/>
      <w:bookmarkStart w:id="46" w:name="_Toc239845154"/>
      <w:r w:rsidRPr="000F1DE6">
        <w:rPr>
          <w:rFonts w:asciiTheme="minorHAnsi" w:hAnsiTheme="minorHAnsi"/>
        </w:rPr>
        <w:t>Compliance and enforcement</w:t>
      </w:r>
      <w:bookmarkEnd w:id="44"/>
      <w:bookmarkEnd w:id="45"/>
      <w:bookmarkEnd w:id="46"/>
    </w:p>
    <w:p w14:paraId="71E910E0" w14:textId="77777777" w:rsidR="00F21CE3" w:rsidRDefault="00CD1226" w:rsidP="000460B0">
      <w:pPr>
        <w:pStyle w:val="SWAHeading3"/>
      </w:pPr>
      <w:bookmarkStart w:id="47" w:name="_Toc228256078"/>
      <w:r w:rsidRPr="000460B0">
        <w:t>Structure of regulators and local tripartite arrangements</w:t>
      </w:r>
      <w:bookmarkEnd w:id="47"/>
      <w:r w:rsidRPr="000460B0">
        <w:t xml:space="preserve"> (Part 8, ss 152–154 and Schedule 2, model WHS Act)</w:t>
      </w:r>
    </w:p>
    <w:p w14:paraId="58E57FC4" w14:textId="125F6D19" w:rsidR="00CD1226" w:rsidRPr="000F1DE6" w:rsidRDefault="00CD1226" w:rsidP="00CD1226">
      <w:pPr>
        <w:pStyle w:val="Paragraph"/>
        <w:rPr>
          <w:rFonts w:eastAsia="Arial"/>
        </w:rPr>
      </w:pPr>
      <w:r w:rsidRPr="000F1DE6">
        <w:rPr>
          <w:rFonts w:eastAsia="Arial"/>
        </w:rPr>
        <w:t>The model WHS Act provides for the establishment of a regulator (in each jurisdiction) with broad statutory functions</w:t>
      </w:r>
      <w:r>
        <w:rPr>
          <w:rFonts w:eastAsia="Arial"/>
        </w:rPr>
        <w:t>,</w:t>
      </w:r>
      <w:r w:rsidRPr="000F1DE6">
        <w:rPr>
          <w:rFonts w:eastAsia="Arial"/>
        </w:rPr>
        <w:t xml:space="preserve"> including to monitor and enforce compliance, provide advice and information, promote and support education and training on WHS matters and conduct and defend proceedings before a court or tribunal.</w:t>
      </w:r>
      <w:r w:rsidRPr="000F1DE6">
        <w:rPr>
          <w:rStyle w:val="FootnoteReference"/>
          <w:rFonts w:eastAsia="Arial"/>
        </w:rPr>
        <w:footnoteReference w:id="321"/>
      </w:r>
      <w:r w:rsidRPr="000F1DE6">
        <w:rPr>
          <w:rFonts w:eastAsia="Arial"/>
        </w:rPr>
        <w:t xml:space="preserve"> However, the jurisdictional notes contained in the model WHS Act leave the institutional design of that regulator largely to the discretion of each jurisdiction, including the establishment of local tripartite consultative arrangements.</w:t>
      </w:r>
      <w:r w:rsidRPr="000F1DE6">
        <w:rPr>
          <w:rStyle w:val="FootnoteReference"/>
          <w:rFonts w:eastAsia="Arial"/>
        </w:rPr>
        <w:footnoteReference w:id="322"/>
      </w:r>
    </w:p>
    <w:p w14:paraId="77636195" w14:textId="77777777" w:rsidR="00CD1226" w:rsidRPr="000F1DE6" w:rsidRDefault="00CD1226" w:rsidP="00CD1226">
      <w:pPr>
        <w:pStyle w:val="Paragraph"/>
        <w:rPr>
          <w:rFonts w:eastAsia="Aptos"/>
          <w:vertAlign w:val="superscript"/>
        </w:rPr>
      </w:pPr>
      <w:r w:rsidRPr="00D05A08">
        <w:rPr>
          <w:rFonts w:eastAsia="Arial"/>
        </w:rPr>
        <w:t xml:space="preserve">In practice, this </w:t>
      </w:r>
      <w:r w:rsidRPr="00D05A08">
        <w:rPr>
          <w:rFonts w:eastAsia="MS Gothic"/>
          <w:lang w:eastAsia="ja-JP"/>
        </w:rPr>
        <w:t>has</w:t>
      </w:r>
      <w:r w:rsidRPr="00D05A08">
        <w:rPr>
          <w:rFonts w:eastAsia="Arial"/>
        </w:rPr>
        <w:t xml:space="preserve"> resulted in differences in each regulator’s structure and independence. Some WHS</w:t>
      </w:r>
      <w:r w:rsidRPr="000F1DE6">
        <w:rPr>
          <w:rFonts w:eastAsia="Arial"/>
        </w:rPr>
        <w:t xml:space="preserve"> regulators are located within larger government departments and are subject to ministerial direction and control, while others are headed by an independent WHS </w:t>
      </w:r>
      <w:r>
        <w:rPr>
          <w:rFonts w:eastAsia="Arial"/>
        </w:rPr>
        <w:t>c</w:t>
      </w:r>
      <w:r w:rsidRPr="000F1DE6" w:rsidDel="00591E78">
        <w:rPr>
          <w:rFonts w:eastAsia="Arial"/>
        </w:rPr>
        <w:t>ommissioner</w:t>
      </w:r>
      <w:r w:rsidRPr="000F1DE6">
        <w:rPr>
          <w:rFonts w:eastAsia="Arial"/>
        </w:rPr>
        <w:t>, providing clearer separation from executive government</w:t>
      </w:r>
      <w:r w:rsidRPr="000F1DE6">
        <w:rPr>
          <w:rFonts w:eastAsia="Aptos"/>
        </w:rPr>
        <w:t>.</w:t>
      </w:r>
    </w:p>
    <w:p w14:paraId="538F9176" w14:textId="77777777" w:rsidR="00F21CE3" w:rsidRDefault="00CD1226" w:rsidP="00CD1226">
      <w:pPr>
        <w:pStyle w:val="Paragraph"/>
        <w:rPr>
          <w:rFonts w:eastAsia="Arial"/>
        </w:rPr>
      </w:pPr>
      <w:r w:rsidRPr="000F1DE6">
        <w:rPr>
          <w:rFonts w:eastAsia="Arial"/>
        </w:rPr>
        <w:t>All jurisdictions have established tripartite advisory councils or committees, generally comprising both employee and employer representatives, charged with providing advice to the relevant minister.</w:t>
      </w:r>
      <w:r w:rsidRPr="000F1DE6">
        <w:rPr>
          <w:rStyle w:val="FootnoteReference"/>
          <w:rFonts w:eastAsia="Arial"/>
        </w:rPr>
        <w:footnoteReference w:id="323"/>
      </w:r>
      <w:r w:rsidRPr="000F1DE6">
        <w:rPr>
          <w:rFonts w:eastAsia="Arial"/>
        </w:rPr>
        <w:t xml:space="preserve"> In some jurisdictions, the relevant council or committee can advise the minister on the WHS Act’s operation and effectiveness and make recommendations</w:t>
      </w:r>
      <w:r w:rsidRPr="000F1DE6">
        <w:rPr>
          <w:rFonts w:eastAsia="Arial"/>
          <w:vertAlign w:val="superscript"/>
        </w:rPr>
        <w:footnoteReference w:id="324"/>
      </w:r>
      <w:r w:rsidRPr="000F1DE6">
        <w:rPr>
          <w:rFonts w:eastAsia="Arial"/>
        </w:rPr>
        <w:t xml:space="preserve"> or review the effectiveness of the laws or </w:t>
      </w:r>
      <w:r>
        <w:rPr>
          <w:rFonts w:eastAsia="Arial"/>
        </w:rPr>
        <w:t>C</w:t>
      </w:r>
      <w:r w:rsidRPr="000F1DE6">
        <w:rPr>
          <w:rFonts w:eastAsia="Arial"/>
        </w:rPr>
        <w:t xml:space="preserve">odes of </w:t>
      </w:r>
      <w:r>
        <w:rPr>
          <w:rFonts w:eastAsia="Arial"/>
        </w:rPr>
        <w:t>P</w:t>
      </w:r>
      <w:r w:rsidRPr="000F1DE6">
        <w:rPr>
          <w:rFonts w:eastAsia="Arial"/>
        </w:rPr>
        <w:t>ractice.</w:t>
      </w:r>
      <w:r w:rsidRPr="000F1DE6">
        <w:rPr>
          <w:rFonts w:eastAsia="Arial"/>
          <w:vertAlign w:val="superscript"/>
        </w:rPr>
        <w:footnoteReference w:id="325"/>
      </w:r>
    </w:p>
    <w:p w14:paraId="66E7DD2C" w14:textId="15395571" w:rsidR="000460B0" w:rsidRPr="004420D1" w:rsidRDefault="000460B0" w:rsidP="00BF204D">
      <w:pPr>
        <w:pStyle w:val="Boxedshaded"/>
        <w:rPr>
          <w:b/>
          <w:bCs/>
        </w:rPr>
      </w:pPr>
      <w:r w:rsidRPr="004420D1">
        <w:rPr>
          <w:b/>
          <w:bCs/>
        </w:rPr>
        <w:lastRenderedPageBreak/>
        <w:t>What we heard</w:t>
      </w:r>
    </w:p>
    <w:p w14:paraId="497F6C88" w14:textId="77777777" w:rsidR="00F21CE3" w:rsidRDefault="00EB3C05" w:rsidP="00BF204D">
      <w:pPr>
        <w:pStyle w:val="Boxedshaded"/>
      </w:pPr>
      <w:r w:rsidRPr="00EB3C05">
        <w:t>Regulators, industry, and union representatives all emphasised effective compliance and enforcement requires compliance and enforcement decision-making to be free of political bias or influence and called for independent or standalone regulators.</w:t>
      </w:r>
      <w:r w:rsidRPr="00EB3C05">
        <w:rPr>
          <w:vertAlign w:val="superscript"/>
        </w:rPr>
        <w:footnoteReference w:id="326"/>
      </w:r>
      <w:r w:rsidRPr="00EB3C05">
        <w:t xml:space="preserve"> Unions in particular expressed concern that regulators located in government departments may be less willing to effectively regulate or prosecute non-compliance in government workplaces.</w:t>
      </w:r>
      <w:r w:rsidRPr="00EB3C05">
        <w:rPr>
          <w:vertAlign w:val="superscript"/>
        </w:rPr>
        <w:footnoteReference w:id="327"/>
      </w:r>
      <w:r w:rsidRPr="00EB3C05">
        <w:t xml:space="preserve"> This Review identified that at least one jurisdiction has an MOU between its Premier’s department and state regulators, including the WHS regulator, requiring internal </w:t>
      </w:r>
      <w:r w:rsidR="00E778C1">
        <w:t>c</w:t>
      </w:r>
      <w:r w:rsidRPr="00EB3C05">
        <w:t>onsultation before prosecution decisions are made.</w:t>
      </w:r>
      <w:r w:rsidRPr="00EB3C05">
        <w:rPr>
          <w:vertAlign w:val="superscript"/>
        </w:rPr>
        <w:footnoteReference w:id="328"/>
      </w:r>
    </w:p>
    <w:p w14:paraId="3E689E56" w14:textId="45CC4BA9" w:rsidR="000073ED" w:rsidRPr="000F1DE6" w:rsidRDefault="000073ED" w:rsidP="004420D1">
      <w:pPr>
        <w:pStyle w:val="SWAHeading4"/>
      </w:pPr>
      <w:r w:rsidRPr="000F1DE6">
        <w:t>Discussion</w:t>
      </w:r>
    </w:p>
    <w:p w14:paraId="43A67B8C" w14:textId="1D6731FA" w:rsidR="00F21CE3" w:rsidRDefault="000073ED" w:rsidP="000073ED">
      <w:pPr>
        <w:pStyle w:val="Paragraph"/>
      </w:pPr>
      <w:r w:rsidRPr="000F1DE6">
        <w:t>Consultation indicated that the governance arrangements and independence of WHS regulators can influence perceptions of trust, credibility and impartiality in WHS administration and enforcement.</w:t>
      </w:r>
      <w:r w:rsidRPr="000F1DE6">
        <w:rPr>
          <w:rStyle w:val="FootnoteReference"/>
          <w:rFonts w:cs="Arial"/>
          <w:szCs w:val="22"/>
        </w:rPr>
        <w:footnoteReference w:id="329"/>
      </w:r>
      <w:r w:rsidRPr="000F1DE6">
        <w:t xml:space="preserve"> Similar concerns have been reflected in previous reviews. The </w:t>
      </w:r>
      <w:r w:rsidRPr="00A41E91">
        <w:rPr>
          <w:i/>
          <w:iCs/>
        </w:rPr>
        <w:t>2023 NSW Review</w:t>
      </w:r>
      <w:r w:rsidRPr="002F17B5">
        <w:t xml:space="preserve"> observed</w:t>
      </w:r>
      <w:r w:rsidRPr="000F1DE6">
        <w:t xml:space="preserve"> that regulators embedded within government departments may be exposed to competing administrative objectives, which can undermine perceptions of independence.</w:t>
      </w:r>
      <w:r w:rsidRPr="000F1DE6">
        <w:rPr>
          <w:rStyle w:val="FootnoteReference"/>
          <w:rFonts w:cs="Arial"/>
          <w:szCs w:val="22"/>
        </w:rPr>
        <w:footnoteReference w:id="330"/>
      </w:r>
    </w:p>
    <w:p w14:paraId="45EB2D28" w14:textId="4AD1102C" w:rsidR="00F21CE3" w:rsidRDefault="000073ED" w:rsidP="000073ED">
      <w:pPr>
        <w:pStyle w:val="Paragraph"/>
      </w:pPr>
      <w:r w:rsidRPr="000F1DE6">
        <w:t xml:space="preserve">The </w:t>
      </w:r>
      <w:r w:rsidRPr="001F3052">
        <w:rPr>
          <w:i/>
          <w:iCs/>
        </w:rPr>
        <w:t>2019 NT Review</w:t>
      </w:r>
      <w:r w:rsidRPr="002F17B5">
        <w:t xml:space="preserve"> found</w:t>
      </w:r>
      <w:r w:rsidRPr="000F1DE6">
        <w:t xml:space="preserve"> there was no political interference in the NT regulator but emphasised the </w:t>
      </w:r>
      <w:r w:rsidRPr="003F0249">
        <w:t>‘need to</w:t>
      </w:r>
      <w:r w:rsidRPr="000F1DE6">
        <w:t xml:space="preserve"> ensure that the reality and perception of independence is maintained, and delineation of functions is clear’</w:t>
      </w:r>
      <w:r w:rsidR="00544206">
        <w:t>.</w:t>
      </w:r>
      <w:r w:rsidRPr="000F1DE6">
        <w:rPr>
          <w:rStyle w:val="FootnoteReference"/>
          <w:rFonts w:cs="Arial"/>
          <w:szCs w:val="22"/>
        </w:rPr>
        <w:footnoteReference w:id="331"/>
      </w:r>
    </w:p>
    <w:p w14:paraId="58B45AB9" w14:textId="77777777" w:rsidR="00F21CE3" w:rsidRDefault="000073ED" w:rsidP="000073ED">
      <w:pPr>
        <w:pStyle w:val="Paragraph"/>
      </w:pPr>
      <w:r w:rsidRPr="000F1DE6">
        <w:t>While it is within the scope of this Review to make recommendations on any variations to</w:t>
      </w:r>
      <w:r w:rsidRPr="000F1DE6" w:rsidDel="0042079D">
        <w:t xml:space="preserve"> </w:t>
      </w:r>
      <w:r w:rsidRPr="000F1DE6">
        <w:t>the model WHS Act, as a practical matter this Review has focused on legal, rather than institutional, variations and has not considered the optimal structure of jurisdictional regulators in any great detail.</w:t>
      </w:r>
    </w:p>
    <w:p w14:paraId="107AC904" w14:textId="77777777" w:rsidR="00F21CE3" w:rsidRDefault="000073ED" w:rsidP="000073ED">
      <w:pPr>
        <w:pStyle w:val="Paragraph"/>
      </w:pPr>
      <w:r w:rsidRPr="000F1DE6">
        <w:t>In relation to local tripartite arrangements, this Review recognises the important role of local bodies in jurisdictional-level consultation. However, it is important</w:t>
      </w:r>
      <w:r w:rsidRPr="000F1DE6" w:rsidDel="00D10633">
        <w:t xml:space="preserve"> </w:t>
      </w:r>
      <w:r w:rsidRPr="000F1DE6">
        <w:t xml:space="preserve">such consultation feeds into the harmonised national decision-making process as discussed in </w:t>
      </w:r>
      <w:r w:rsidRPr="000F1DE6">
        <w:rPr>
          <w:b/>
          <w:bCs/>
        </w:rPr>
        <w:t>Chapter</w:t>
      </w:r>
      <w:r w:rsidRPr="000F1DE6">
        <w:t xml:space="preserve"> </w:t>
      </w:r>
      <w:r w:rsidRPr="000F1DE6">
        <w:rPr>
          <w:b/>
          <w:bCs/>
        </w:rPr>
        <w:t>1.2</w:t>
      </w:r>
      <w:r w:rsidRPr="000244C7">
        <w:t>.</w:t>
      </w:r>
    </w:p>
    <w:p w14:paraId="207A6112" w14:textId="435AE11C" w:rsidR="004420D1" w:rsidRDefault="004420D1">
      <w:pPr>
        <w:spacing w:after="200" w:line="276" w:lineRule="auto"/>
        <w:contextualSpacing w:val="0"/>
        <w:rPr>
          <w:rFonts w:asciiTheme="minorHAnsi" w:eastAsia="Times New Roman" w:hAnsiTheme="minorHAnsi"/>
          <w:lang w:eastAsia="en-AU"/>
        </w:rPr>
      </w:pPr>
      <w:r>
        <w:br w:type="page"/>
      </w:r>
    </w:p>
    <w:p w14:paraId="3A11079F" w14:textId="77777777" w:rsidR="00F21CE3" w:rsidRDefault="000073ED" w:rsidP="0093510B">
      <w:pPr>
        <w:pStyle w:val="SWAHeading3"/>
      </w:pPr>
      <w:bookmarkStart w:id="48" w:name="_Toc228256079"/>
      <w:r w:rsidRPr="0093510B">
        <w:lastRenderedPageBreak/>
        <w:t>Regulator powers and functions</w:t>
      </w:r>
      <w:bookmarkEnd w:id="48"/>
      <w:r w:rsidRPr="0093510B">
        <w:t xml:space="preserve"> (Part 8, ss 152–154, model WHS Act)</w:t>
      </w:r>
    </w:p>
    <w:p w14:paraId="74E0973A" w14:textId="21DECCD2" w:rsidR="00F21CE3" w:rsidRDefault="000073ED" w:rsidP="0016789A">
      <w:pPr>
        <w:pStyle w:val="Paragraph"/>
        <w:spacing w:after="240"/>
      </w:pPr>
      <w:r w:rsidRPr="000F1DE6">
        <w:t>Section 152 of the model WHS Act sets out the functions of the regulator</w:t>
      </w:r>
      <w:r>
        <w:t>,</w:t>
      </w:r>
      <w:r w:rsidRPr="000F1DE6">
        <w:t xml:space="preserve"> which include monitoring and enforcing compliance, providing WHS advice and information, promoting and supporting education and training on WHS matters, conducting and defending proceedings before a court or tribunal, and advising the minister. Section 153 of the model WHS Act confers a general power to do all things necessary or convenient to perform these functions. Jurisdictions have made variations to regulator powers and functions, </w:t>
      </w:r>
      <w:r w:rsidRPr="002F17B5">
        <w:t>particularly in WA. Thes</w:t>
      </w:r>
      <w:r w:rsidRPr="000F1DE6">
        <w:t>e include a new function to investigate and report on WHS matters such as particular hazards, industries or PCBUs,</w:t>
      </w:r>
      <w:r w:rsidRPr="000F1DE6">
        <w:rPr>
          <w:rStyle w:val="FootnoteReference"/>
        </w:rPr>
        <w:footnoteReference w:id="332"/>
      </w:r>
      <w:r w:rsidRPr="000F1DE6">
        <w:t xml:space="preserve"> a new power to require PCBUs to obtain an independent report from a suitably qualified person,</w:t>
      </w:r>
      <w:r w:rsidRPr="000F1DE6">
        <w:rPr>
          <w:rStyle w:val="FootnoteReference"/>
        </w:rPr>
        <w:footnoteReference w:id="333"/>
      </w:r>
      <w:r w:rsidRPr="000F1DE6">
        <w:t xml:space="preserve"> and a new power to copy and retain documents as long as necessary.</w:t>
      </w:r>
      <w:r w:rsidRPr="000F1DE6">
        <w:rPr>
          <w:rStyle w:val="FootnoteReference"/>
        </w:rPr>
        <w:footnoteReference w:id="334"/>
      </w:r>
      <w:r w:rsidRPr="000F1DE6">
        <w:t xml:space="preserve"> The Commonwealth WHS Act also includes an additional duty to consult, cooperate and coordinate activities with </w:t>
      </w:r>
      <w:r w:rsidRPr="002F17B5">
        <w:t>other duty holders that</w:t>
      </w:r>
      <w:r w:rsidRPr="000F1DE6">
        <w:t xml:space="preserve"> have a duty under a corresponding WHS law in relation to the same matter.</w:t>
      </w:r>
      <w:r w:rsidRPr="000F1DE6">
        <w:rPr>
          <w:rStyle w:val="FootnoteReference"/>
        </w:rPr>
        <w:footnoteReference w:id="335"/>
      </w:r>
    </w:p>
    <w:p w14:paraId="2B5B5255" w14:textId="517E49C3" w:rsidR="00F21CE3" w:rsidRDefault="0093510B" w:rsidP="00BF204D">
      <w:pPr>
        <w:pStyle w:val="Boxedshaded"/>
        <w:rPr>
          <w:b/>
          <w:bCs/>
        </w:rPr>
      </w:pPr>
      <w:r w:rsidRPr="004420D1">
        <w:rPr>
          <w:b/>
          <w:bCs/>
        </w:rPr>
        <w:t>What we heard</w:t>
      </w:r>
    </w:p>
    <w:p w14:paraId="6E25960B" w14:textId="661F80AA" w:rsidR="0093510B" w:rsidRPr="0093510B" w:rsidRDefault="0093510B" w:rsidP="00BF204D">
      <w:pPr>
        <w:pStyle w:val="Boxedshaded"/>
      </w:pPr>
      <w:r w:rsidRPr="0093510B">
        <w:t>Master Electricians Australia (MEA) stated that ‘increasing divergence in regulator powers risks undermining harmonisation and creating additional compliance burdens, particularly for small business’. It noted WA’s ‘expanded information</w:t>
      </w:r>
      <w:r w:rsidRPr="0093510B">
        <w:noBreakHyphen/>
        <w:t xml:space="preserve">gathering powers pose threats to proportionality, transparency, business costs </w:t>
      </w:r>
      <w:r w:rsidRPr="003F0249">
        <w:t>and data use’</w:t>
      </w:r>
      <w:r w:rsidR="00544206">
        <w:t>.</w:t>
      </w:r>
      <w:r w:rsidRPr="003F0249">
        <w:rPr>
          <w:vertAlign w:val="superscript"/>
        </w:rPr>
        <w:footnoteReference w:id="336"/>
      </w:r>
      <w:r w:rsidRPr="003F0249">
        <w:t xml:space="preserve"> WorkSafe</w:t>
      </w:r>
      <w:r w:rsidRPr="0093510B">
        <w:t xml:space="preserve"> WA supported the revised powers, noting they assisted with the regulator’s role and had been used successfully.</w:t>
      </w:r>
      <w:r w:rsidRPr="0093510B">
        <w:rPr>
          <w:vertAlign w:val="superscript"/>
        </w:rPr>
        <w:footnoteReference w:id="337"/>
      </w:r>
    </w:p>
    <w:p w14:paraId="32FA0EFF" w14:textId="77777777" w:rsidR="0093510B" w:rsidRPr="00685DA9" w:rsidRDefault="0093510B" w:rsidP="00BF204D">
      <w:pPr>
        <w:pStyle w:val="Boxedshaded"/>
      </w:pPr>
      <w:r w:rsidRPr="0093510B">
        <w:t>WorkSafe ACT</w:t>
      </w:r>
      <w:r w:rsidRPr="0093510B" w:rsidDel="0046622B">
        <w:t xml:space="preserve"> </w:t>
      </w:r>
      <w:r w:rsidRPr="0093510B">
        <w:t>highlighted that WHS investigations are complex, often requiring expert evidence to prove a breach of an Act beyond reasonable doubt.</w:t>
      </w:r>
      <w:r w:rsidRPr="0093510B">
        <w:rPr>
          <w:vertAlign w:val="superscript"/>
        </w:rPr>
        <w:footnoteReference w:id="338"/>
      </w:r>
      <w:r w:rsidRPr="0093510B">
        <w:t xml:space="preserve"> Where regulators experience resource gaps, these demands can undermine their ability to secure compliance</w:t>
      </w:r>
      <w:r w:rsidRPr="00685DA9">
        <w:t>.</w:t>
      </w:r>
    </w:p>
    <w:p w14:paraId="3E1E0ECD" w14:textId="4E0734DA" w:rsidR="000073ED" w:rsidRPr="000F1DE6" w:rsidRDefault="000073ED" w:rsidP="004420D1">
      <w:pPr>
        <w:pStyle w:val="SWAHeading4"/>
        <w:spacing w:after="0"/>
      </w:pPr>
      <w:r w:rsidRPr="000F1DE6">
        <w:t>Discussion</w:t>
      </w:r>
      <w:r w:rsidR="00900EB0">
        <w:t xml:space="preserve"> and recommendations</w:t>
      </w:r>
    </w:p>
    <w:p w14:paraId="139E3739" w14:textId="77777777" w:rsidR="000073ED" w:rsidRPr="000F1DE6" w:rsidRDefault="000073ED" w:rsidP="004420D1">
      <w:pPr>
        <w:pStyle w:val="Paragraph"/>
        <w:spacing w:before="0"/>
      </w:pPr>
      <w:r w:rsidRPr="000F1DE6">
        <w:t xml:space="preserve">This Review recommends the WA variations listed in </w:t>
      </w:r>
      <w:r w:rsidRPr="000F1DE6">
        <w:rPr>
          <w:b/>
        </w:rPr>
        <w:t xml:space="preserve">Appendix E </w:t>
      </w:r>
      <w:r>
        <w:t xml:space="preserve">be </w:t>
      </w:r>
      <w:r w:rsidRPr="000F1DE6">
        <w:t>adopted into the model WHS Act. They are:</w:t>
      </w:r>
    </w:p>
    <w:p w14:paraId="62E150EE" w14:textId="77777777" w:rsidR="00F21CE3" w:rsidRDefault="000073ED" w:rsidP="00056CB1">
      <w:pPr>
        <w:pStyle w:val="ListBullet"/>
      </w:pPr>
      <w:r w:rsidRPr="00AF5E15">
        <w:rPr>
          <w:rFonts w:eastAsia="MS Gothic" w:cs="Arial"/>
          <w:lang w:eastAsia="en-AU"/>
        </w:rPr>
        <w:t>specifying</w:t>
      </w:r>
      <w:r w:rsidRPr="000E1D6D">
        <w:t xml:space="preserve"> that a regulator can investigate and report on WHS matters relating to particular industries or hazards (see </w:t>
      </w:r>
      <w:r w:rsidRPr="000E1D6D">
        <w:rPr>
          <w:b/>
        </w:rPr>
        <w:t>Appendix E</w:t>
      </w:r>
      <w:r w:rsidRPr="000E1D6D">
        <w:t>,</w:t>
      </w:r>
      <w:r w:rsidRPr="000E1D6D">
        <w:rPr>
          <w:b/>
        </w:rPr>
        <w:t xml:space="preserve"> 1A</w:t>
      </w:r>
      <w:r w:rsidRPr="000E1D6D">
        <w:t>)</w:t>
      </w:r>
    </w:p>
    <w:p w14:paraId="5B546965" w14:textId="69725986" w:rsidR="000073ED" w:rsidRPr="000E1D6D" w:rsidRDefault="000073ED" w:rsidP="00056CB1">
      <w:pPr>
        <w:pStyle w:val="ListBullet"/>
      </w:pPr>
      <w:r w:rsidRPr="000E1D6D">
        <w:t xml:space="preserve">allowing the regulator to require PCBUs to procure expert consultant reports for complex </w:t>
      </w:r>
      <w:r w:rsidRPr="00AF5E15">
        <w:rPr>
          <w:rFonts w:eastAsia="MS Gothic" w:cs="Arial"/>
          <w:lang w:eastAsia="en-AU"/>
        </w:rPr>
        <w:t>WHS</w:t>
      </w:r>
      <w:r w:rsidRPr="000E1D6D">
        <w:t xml:space="preserve"> matters (see </w:t>
      </w:r>
      <w:r w:rsidRPr="000E1D6D">
        <w:rPr>
          <w:b/>
        </w:rPr>
        <w:t>Appendix E</w:t>
      </w:r>
      <w:r w:rsidRPr="000E1D6D">
        <w:t>,</w:t>
      </w:r>
      <w:r w:rsidRPr="000E1D6D">
        <w:rPr>
          <w:b/>
        </w:rPr>
        <w:t xml:space="preserve"> 1B</w:t>
      </w:r>
      <w:r w:rsidRPr="000E1D6D">
        <w:t>)</w:t>
      </w:r>
    </w:p>
    <w:p w14:paraId="5C02CBBA" w14:textId="77777777" w:rsidR="00F21CE3" w:rsidRDefault="000073ED" w:rsidP="00056CB1">
      <w:pPr>
        <w:pStyle w:val="ListBullet"/>
        <w:rPr>
          <w:vertAlign w:val="superscript"/>
        </w:rPr>
      </w:pPr>
      <w:r w:rsidRPr="000E1D6D">
        <w:t xml:space="preserve">clarifying that documents provided or obtained by the regulator may be retained for the period </w:t>
      </w:r>
      <w:r w:rsidRPr="00AF5E15">
        <w:rPr>
          <w:rFonts w:eastAsia="MS Gothic" w:cs="Arial"/>
          <w:lang w:eastAsia="en-AU"/>
        </w:rPr>
        <w:t>considered</w:t>
      </w:r>
      <w:r w:rsidRPr="000E1D6D">
        <w:t xml:space="preserve"> necessary by the regulator (see </w:t>
      </w:r>
      <w:r w:rsidRPr="000E1D6D">
        <w:rPr>
          <w:b/>
        </w:rPr>
        <w:t>Appendix E</w:t>
      </w:r>
      <w:r w:rsidRPr="000E1D6D">
        <w:t>,</w:t>
      </w:r>
      <w:r w:rsidRPr="000E1D6D">
        <w:rPr>
          <w:b/>
        </w:rPr>
        <w:t xml:space="preserve"> 1C</w:t>
      </w:r>
      <w:r w:rsidRPr="000E1D6D">
        <w:t>).</w:t>
      </w:r>
      <w:r w:rsidRPr="000E1D6D">
        <w:rPr>
          <w:vertAlign w:val="superscript"/>
        </w:rPr>
        <w:footnoteReference w:id="339"/>
      </w:r>
    </w:p>
    <w:p w14:paraId="5D22E7BF" w14:textId="78EA9FD6" w:rsidR="0016789A" w:rsidRDefault="0016789A">
      <w:pPr>
        <w:spacing w:after="200" w:line="276" w:lineRule="auto"/>
        <w:contextualSpacing w:val="0"/>
        <w:rPr>
          <w:rFonts w:asciiTheme="minorHAnsi" w:eastAsia="Times New Roman" w:hAnsiTheme="minorHAnsi"/>
          <w:lang w:eastAsia="en-AU"/>
        </w:rPr>
      </w:pPr>
      <w:r>
        <w:br w:type="page"/>
      </w:r>
    </w:p>
    <w:p w14:paraId="49FD8854" w14:textId="77777777" w:rsidR="00F21CE3" w:rsidRDefault="000073ED" w:rsidP="000073ED">
      <w:pPr>
        <w:pStyle w:val="Paragraph"/>
      </w:pPr>
      <w:r w:rsidRPr="000F1DE6">
        <w:lastRenderedPageBreak/>
        <w:t>All would support investigations involving complex or technical WHS risks,</w:t>
      </w:r>
      <w:r w:rsidRPr="000F1DE6">
        <w:rPr>
          <w:vertAlign w:val="superscript"/>
        </w:rPr>
        <w:footnoteReference w:id="340"/>
      </w:r>
      <w:r w:rsidRPr="000F1DE6">
        <w:rPr>
          <w:vertAlign w:val="superscript"/>
        </w:rPr>
        <w:t xml:space="preserve"> </w:t>
      </w:r>
      <w:r w:rsidRPr="000F1DE6">
        <w:t xml:space="preserve">which often rely on specialist evidence to establish </w:t>
      </w:r>
      <w:r w:rsidRPr="002E140F">
        <w:t>non-compliance</w:t>
      </w:r>
      <w:r w:rsidRPr="000F1DE6">
        <w:t>,</w:t>
      </w:r>
      <w:r w:rsidRPr="000F1DE6">
        <w:rPr>
          <w:vertAlign w:val="superscript"/>
        </w:rPr>
        <w:footnoteReference w:id="341"/>
      </w:r>
      <w:r w:rsidRPr="000F1DE6">
        <w:rPr>
          <w:vertAlign w:val="superscript"/>
        </w:rPr>
        <w:t xml:space="preserve"> </w:t>
      </w:r>
      <w:r w:rsidRPr="000F1DE6">
        <w:t>and reflect an established PCBU practice of obtaining expert advice for risks beyond their expertise.</w:t>
      </w:r>
      <w:r w:rsidRPr="000F1DE6">
        <w:rPr>
          <w:vertAlign w:val="superscript"/>
        </w:rPr>
        <w:footnoteReference w:id="342"/>
      </w:r>
      <w:r w:rsidRPr="000F1DE6">
        <w:t xml:space="preserve"> In considering these amendments, attention should also be given to a review mechanism to allow PCBUs to challenge a direction to procure a report. Consideration should also be given to the potential impacts on small businesses in absorbing the cost of procuring a report.</w:t>
      </w:r>
    </w:p>
    <w:p w14:paraId="5DF46232" w14:textId="724E897E" w:rsidR="000073ED" w:rsidRPr="000F1DE6" w:rsidRDefault="000073ED" w:rsidP="000073ED">
      <w:pPr>
        <w:pStyle w:val="Paragraph"/>
      </w:pPr>
      <w:r w:rsidRPr="000F1DE6">
        <w:t xml:space="preserve">This Review also supports adopting amendments in relation to consultation obligations in co-regulated workplaces (see </w:t>
      </w:r>
      <w:r w:rsidRPr="000F1DE6">
        <w:rPr>
          <w:b/>
        </w:rPr>
        <w:t>Appendix E</w:t>
      </w:r>
      <w:r w:rsidRPr="000F1DE6">
        <w:rPr>
          <w:bCs/>
        </w:rPr>
        <w:t>,</w:t>
      </w:r>
      <w:r w:rsidRPr="000F1DE6">
        <w:rPr>
          <w:b/>
        </w:rPr>
        <w:t xml:space="preserve"> 1D</w:t>
      </w:r>
      <w:r w:rsidRPr="000F1DE6">
        <w:t>). While the Commonwealth WHS Act</w:t>
      </w:r>
      <w:r w:rsidRPr="000F1DE6">
        <w:rPr>
          <w:rFonts w:eastAsia="Arial"/>
          <w:i/>
          <w:color w:val="000000"/>
          <w:spacing w:val="-1"/>
          <w:szCs w:val="22"/>
        </w:rPr>
        <w:t xml:space="preserve"> </w:t>
      </w:r>
      <w:r w:rsidRPr="000F1DE6">
        <w:t>expressly requires Commonwealth-regulated PCBUs to consult with state and territory PCBUs, the model WHS Act (and</w:t>
      </w:r>
      <w:r>
        <w:t>,</w:t>
      </w:r>
      <w:r w:rsidRPr="000F1DE6">
        <w:t xml:space="preserve"> therefore, the WHS Acts of each harmonised jurisdiction) do not clearly include the reciprocal obligation.</w:t>
      </w:r>
      <w:r w:rsidRPr="000F1DE6">
        <w:rPr>
          <w:rStyle w:val="FootnoteReference"/>
          <w:rFonts w:cs="Arial"/>
        </w:rPr>
        <w:footnoteReference w:id="343"/>
      </w:r>
      <w:r w:rsidRPr="000F1DE6">
        <w:t xml:space="preserve"> This Review recommends clarifying this to meet the policy intent of the relevant provision and support effective consultation where duty holders under different WHS Acts are involved in the same matter.</w:t>
      </w:r>
    </w:p>
    <w:p w14:paraId="4E35F19A" w14:textId="77777777" w:rsidR="000073ED" w:rsidRPr="000F1DE6" w:rsidRDefault="000073ED" w:rsidP="000073ED">
      <w:pPr>
        <w:pStyle w:val="SWAHeading2"/>
        <w:spacing w:line="240" w:lineRule="auto"/>
        <w:rPr>
          <w:rFonts w:asciiTheme="minorHAnsi" w:hAnsiTheme="minorHAnsi"/>
        </w:rPr>
      </w:pPr>
      <w:bookmarkStart w:id="49" w:name="_Toc234853682"/>
      <w:bookmarkStart w:id="50" w:name="_Toc236326813"/>
      <w:bookmarkStart w:id="51" w:name="_Toc239845155"/>
      <w:bookmarkStart w:id="52" w:name="_Toc227588188"/>
      <w:bookmarkStart w:id="53" w:name="_Toc228256080"/>
      <w:r w:rsidRPr="000F1DE6">
        <w:rPr>
          <w:rFonts w:asciiTheme="minorHAnsi" w:hAnsiTheme="minorHAnsi"/>
        </w:rPr>
        <w:t>Inspector powers (Part 9, ss 156–190, model WHS Act)</w:t>
      </w:r>
      <w:bookmarkEnd w:id="49"/>
      <w:bookmarkEnd w:id="50"/>
      <w:bookmarkEnd w:id="51"/>
    </w:p>
    <w:p w14:paraId="7A4FCB9F" w14:textId="77777777" w:rsidR="00F21CE3" w:rsidRDefault="000073ED" w:rsidP="000073ED">
      <w:pPr>
        <w:pStyle w:val="Paragraph"/>
        <w:ind w:right="-166"/>
        <w:rPr>
          <w:rFonts w:eastAsia="Aptos"/>
        </w:rPr>
      </w:pPr>
      <w:r w:rsidRPr="000F1DE6">
        <w:rPr>
          <w:rFonts w:eastAsia="Aptos"/>
        </w:rPr>
        <w:t>Regulators appoint WHS inspectors, who have a wide range of powers and functions, including those relating to entry into workplaces, assisting with WHS matters, requiring compliance with the model WHS Act by issuing notices</w:t>
      </w:r>
      <w:r w:rsidRPr="000F1DE6">
        <w:t xml:space="preserve"> and investigating contraventions of the model WHS Act.</w:t>
      </w:r>
      <w:r w:rsidRPr="000F1DE6">
        <w:rPr>
          <w:rFonts w:eastAsia="Aptos"/>
          <w:vertAlign w:val="superscript"/>
        </w:rPr>
        <w:footnoteReference w:id="344"/>
      </w:r>
    </w:p>
    <w:p w14:paraId="59BDFF62" w14:textId="1E63EB8A" w:rsidR="000073ED" w:rsidRPr="000F1DE6" w:rsidRDefault="000073ED" w:rsidP="0016789A">
      <w:pPr>
        <w:pStyle w:val="Paragraph"/>
        <w:spacing w:after="240"/>
        <w:ind w:right="-166"/>
        <w:rPr>
          <w:rFonts w:eastAsia="Aptos"/>
        </w:rPr>
      </w:pPr>
      <w:r w:rsidRPr="000F1DE6">
        <w:t>WHS investigations are complex, requiring inspectors to have broad skills, including people skills, sector</w:t>
      </w:r>
      <w:r w:rsidRPr="000F1DE6">
        <w:noBreakHyphen/>
        <w:t>specific knowledge, technical capability in gathering and assessing evidence, and the ability to prepare effective briefs of evidence.</w:t>
      </w:r>
      <w:r w:rsidRPr="000F1DE6">
        <w:rPr>
          <w:rFonts w:eastAsia="Aptos"/>
        </w:rPr>
        <w:t xml:space="preserve"> These skills are usually developed through a training program provided by each WHS regulator. For example, SafeWork NSW requires all new inspectors to obtain a </w:t>
      </w:r>
      <w:r w:rsidRPr="00F72DAD">
        <w:rPr>
          <w:rFonts w:eastAsia="Aptos"/>
          <w:iCs/>
        </w:rPr>
        <w:t>Diploma of Government (Workplace Inspection)</w:t>
      </w:r>
      <w:r w:rsidRPr="000F1DE6">
        <w:rPr>
          <w:rFonts w:eastAsia="Aptos"/>
        </w:rPr>
        <w:t xml:space="preserve"> through a tailored training program provided by their Registered Training Organisation.</w:t>
      </w:r>
      <w:r w:rsidRPr="000F1DE6">
        <w:rPr>
          <w:rStyle w:val="FootnoteReference"/>
          <w:rFonts w:eastAsia="Aptos" w:cs="Arial"/>
        </w:rPr>
        <w:footnoteReference w:id="345"/>
      </w:r>
    </w:p>
    <w:p w14:paraId="5278C15C" w14:textId="77777777" w:rsidR="00F21CE3" w:rsidRDefault="0093510B" w:rsidP="00BF204D">
      <w:pPr>
        <w:pStyle w:val="Boxedshaded"/>
        <w:rPr>
          <w:b/>
          <w:bCs/>
        </w:rPr>
      </w:pPr>
      <w:r w:rsidRPr="004420D1">
        <w:rPr>
          <w:b/>
          <w:bCs/>
        </w:rPr>
        <w:t>What we heard</w:t>
      </w:r>
    </w:p>
    <w:p w14:paraId="50116731" w14:textId="16DD718D" w:rsidR="00F21CE3" w:rsidRDefault="0093510B" w:rsidP="00BF204D">
      <w:pPr>
        <w:pStyle w:val="Boxedshaded"/>
      </w:pPr>
      <w:r w:rsidRPr="0093510B">
        <w:t>One of the most consistent messages from unions, industry and WHS professionals during this Review concerned inconsistency in how inspectors interpret and apply WHS laws, within and between jurisdictions.</w:t>
      </w:r>
      <w:r w:rsidRPr="0093510B">
        <w:rPr>
          <w:vertAlign w:val="superscript"/>
        </w:rPr>
        <w:footnoteReference w:id="346"/>
      </w:r>
      <w:r w:rsidRPr="0093510B">
        <w:rPr>
          <w:vertAlign w:val="superscript"/>
        </w:rPr>
        <w:t xml:space="preserve"> </w:t>
      </w:r>
      <w:r w:rsidRPr="0093510B">
        <w:t>Australian Industry Group no</w:t>
      </w:r>
      <w:r w:rsidRPr="000F1DE6">
        <w:rPr>
          <w:rFonts w:eastAsia="Arial"/>
        </w:rPr>
        <w:t>ted that differing interpretations of the same laws create uncertainty and undermine confidence in what should be predictable regulation, contributing to delays, increased costs</w:t>
      </w:r>
      <w:r w:rsidR="00DB363E">
        <w:rPr>
          <w:rFonts w:eastAsia="Arial"/>
        </w:rPr>
        <w:t xml:space="preserve"> and </w:t>
      </w:r>
      <w:r w:rsidRPr="000F1DE6">
        <w:rPr>
          <w:rFonts w:eastAsia="Arial"/>
        </w:rPr>
        <w:t>legal risk, and resulting in inconsistent safety outcomes.</w:t>
      </w:r>
      <w:r w:rsidRPr="000F1DE6">
        <w:rPr>
          <w:rFonts w:eastAsia="Arial"/>
          <w:vertAlign w:val="superscript"/>
        </w:rPr>
        <w:footnoteReference w:id="347"/>
      </w:r>
      <w:r w:rsidRPr="000F1DE6">
        <w:rPr>
          <w:rFonts w:eastAsia="Arial"/>
        </w:rPr>
        <w:t xml:space="preserve"> These concerns were echoed by many industry representatives.</w:t>
      </w:r>
      <w:r w:rsidRPr="000F1DE6">
        <w:rPr>
          <w:rFonts w:eastAsia="Arial"/>
          <w:vertAlign w:val="superscript"/>
        </w:rPr>
        <w:footnoteReference w:id="348"/>
      </w:r>
      <w:r w:rsidRPr="0093510B">
        <w:t xml:space="preserve"> </w:t>
      </w:r>
      <w:r w:rsidRPr="000F1DE6">
        <w:rPr>
          <w:rFonts w:eastAsia="Arial"/>
        </w:rPr>
        <w:t>Small business representatives and some legal professionals suggested that regulators focus disproportionately on small businesses, which are perceived as easier to prosecute than larger companies</w:t>
      </w:r>
      <w:r>
        <w:rPr>
          <w:rFonts w:eastAsia="Arial"/>
        </w:rPr>
        <w:t>,</w:t>
      </w:r>
      <w:r w:rsidRPr="000F1DE6">
        <w:rPr>
          <w:rFonts w:eastAsia="Arial"/>
        </w:rPr>
        <w:t xml:space="preserve"> which have more complex organisational structures, better legal representation, and corporate governance and assurance systems that inspectors may be unfamiliar with.</w:t>
      </w:r>
    </w:p>
    <w:p w14:paraId="33811963" w14:textId="7D9ECC52" w:rsidR="004420D1" w:rsidRDefault="004420D1">
      <w:pPr>
        <w:spacing w:after="200" w:line="276" w:lineRule="auto"/>
        <w:contextualSpacing w:val="0"/>
        <w:rPr>
          <w:rFonts w:asciiTheme="minorHAnsi" w:hAnsiTheme="minorHAnsi"/>
        </w:rPr>
      </w:pPr>
      <w:r>
        <w:br w:type="page"/>
      </w:r>
    </w:p>
    <w:p w14:paraId="17671789" w14:textId="24BC027F" w:rsidR="0093510B" w:rsidRPr="0093510B" w:rsidRDefault="0093510B" w:rsidP="00BF204D">
      <w:pPr>
        <w:pStyle w:val="Boxedshaded"/>
      </w:pPr>
      <w:r w:rsidRPr="0093510B">
        <w:lastRenderedPageBreak/>
        <w:t>Industry and unions observed that individual inspectors can differ starkly in taking educative and enforcement</w:t>
      </w:r>
      <w:r w:rsidRPr="0093510B">
        <w:noBreakHyphen/>
        <w:t>focused approaches.</w:t>
      </w:r>
      <w:r w:rsidRPr="0093510B">
        <w:rPr>
          <w:vertAlign w:val="superscript"/>
        </w:rPr>
        <w:footnoteReference w:id="349"/>
      </w:r>
      <w:r w:rsidRPr="0093510B">
        <w:t xml:space="preserve"> In response, regulators suggested that 100% consistency is not achievable given differences in inspector background, experience and use of discretion. However, consultation also highlighted concerns about inspector capability and sector-specific knowledge, particularly in complex or high</w:t>
      </w:r>
      <w:r w:rsidR="00C16287">
        <w:t xml:space="preserve"> </w:t>
      </w:r>
      <w:r w:rsidRPr="0093510B">
        <w:t>risk industries, which it was suggested can hinder effective compliance and enforcement outcomes and delay the resolution of safety issues.</w:t>
      </w:r>
      <w:r w:rsidRPr="0093510B">
        <w:rPr>
          <w:vertAlign w:val="superscript"/>
        </w:rPr>
        <w:footnoteReference w:id="350"/>
      </w:r>
      <w:r w:rsidRPr="0093510B">
        <w:t xml:space="preserve"> For example, the Australian Nursing and Midwifery Federation (ANMF Victorian Branch) reported limited inspector familiarity with other regulatory frameworks in health care.</w:t>
      </w:r>
      <w:r w:rsidRPr="0093510B">
        <w:rPr>
          <w:vertAlign w:val="superscript"/>
        </w:rPr>
        <w:footnoteReference w:id="351"/>
      </w:r>
    </w:p>
    <w:p w14:paraId="68FE968B" w14:textId="77777777" w:rsidR="0093510B" w:rsidRPr="0093510B" w:rsidRDefault="0093510B" w:rsidP="00BF204D">
      <w:pPr>
        <w:pStyle w:val="Boxedshaded"/>
      </w:pPr>
      <w:r w:rsidRPr="0093510B">
        <w:t>A range of suggestions to improve capability and consistency were put forward, including more industry or hazard-specific training, cross-jurisdictional secondments, and shared learning resources.</w:t>
      </w:r>
      <w:r w:rsidRPr="000F1DE6">
        <w:rPr>
          <w:rFonts w:eastAsia="Arial"/>
          <w:vertAlign w:val="superscript"/>
        </w:rPr>
        <w:footnoteReference w:id="352"/>
      </w:r>
      <w:r w:rsidRPr="0093510B">
        <w:rPr>
          <w:vertAlign w:val="superscript"/>
        </w:rPr>
        <w:t xml:space="preserve"> </w:t>
      </w:r>
      <w:r w:rsidRPr="0093510B">
        <w:t>Australian Industry Group also highlighted the value of inspectors recognising good compliance practices and providing practical assistance alongside enforcement action.</w:t>
      </w:r>
      <w:r w:rsidRPr="0093510B">
        <w:rPr>
          <w:vertAlign w:val="superscript"/>
        </w:rPr>
        <w:footnoteReference w:id="353"/>
      </w:r>
    </w:p>
    <w:p w14:paraId="7EB5A56C" w14:textId="77777777" w:rsidR="00F21CE3" w:rsidRDefault="000073ED" w:rsidP="004420D1">
      <w:pPr>
        <w:pStyle w:val="SWAHeading4"/>
      </w:pPr>
      <w:r w:rsidRPr="002345E2">
        <w:t>Discussion</w:t>
      </w:r>
      <w:r w:rsidRPr="000F1DE6">
        <w:t xml:space="preserve"> and </w:t>
      </w:r>
      <w:r w:rsidRPr="00CC550E">
        <w:t>recommendations</w:t>
      </w:r>
    </w:p>
    <w:p w14:paraId="7AAB8B3E" w14:textId="77777777" w:rsidR="00F21CE3" w:rsidRDefault="000073ED" w:rsidP="000073ED">
      <w:pPr>
        <w:pStyle w:val="Paragraph"/>
      </w:pPr>
      <w:r w:rsidRPr="000F1DE6">
        <w:t>Inspectors must exercise their statutory powers independently, informed by experience, knowledge and training and</w:t>
      </w:r>
      <w:r>
        <w:t>,</w:t>
      </w:r>
      <w:r w:rsidRPr="000F1DE6">
        <w:t xml:space="preserve"> most importantly</w:t>
      </w:r>
      <w:r>
        <w:t>,</w:t>
      </w:r>
      <w:r w:rsidRPr="000F1DE6">
        <w:t xml:space="preserve"> what is required by WHS laws. While individual capability influences how inspectors exercise their discretion, consistency in compliance and enforcement outcomes also depends </w:t>
      </w:r>
      <w:r w:rsidRPr="003F0249">
        <w:t>on how decision</w:t>
      </w:r>
      <w:r w:rsidRPr="003F0249">
        <w:noBreakHyphen/>
        <w:t>making is structured, guided and applied in practice. Where decision-making is not sufficiently bound by a nationally consistent framework through the NCEP, variability can reduce predictability,</w:t>
      </w:r>
      <w:r w:rsidRPr="000F1DE6">
        <w:t xml:space="preserve"> increase actual and perceived unfairness, undermine confidence in the WHS framework and create uncertainty for duty holders and workers.</w:t>
      </w:r>
    </w:p>
    <w:p w14:paraId="1FA5A3A5" w14:textId="199816B3" w:rsidR="000073ED" w:rsidRPr="000F1DE6" w:rsidRDefault="000073ED" w:rsidP="000073ED">
      <w:pPr>
        <w:pStyle w:val="Paragraph"/>
      </w:pPr>
      <w:r w:rsidRPr="000F1DE6">
        <w:t>Inconsistency in the use of statutory powers may also affect the quality of investigations and, in some cases, undermine the evidentiary foundations of a prosecution. Inspectors must be able to tailor their responses to the circumstances but within a nationally consistent decision-making framework supported by transparency and documented reasoning.</w:t>
      </w:r>
      <w:r w:rsidRPr="000F1DE6">
        <w:rPr>
          <w:rStyle w:val="FootnoteReference"/>
          <w:rFonts w:cs="Arial"/>
        </w:rPr>
        <w:footnoteReference w:id="354"/>
      </w:r>
      <w:r w:rsidRPr="000F1DE6">
        <w:t xml:space="preserve"> Strengthening the NCEP to provide for clear decision-making frameworks is likely to reduce avoidable inconsistency while preserving appropriate discretion.</w:t>
      </w:r>
      <w:r w:rsidRPr="000F1DE6">
        <w:rPr>
          <w:rStyle w:val="FootnoteReference"/>
        </w:rPr>
        <w:footnoteReference w:id="355"/>
      </w:r>
    </w:p>
    <w:p w14:paraId="3083AE9C" w14:textId="77777777" w:rsidR="000073ED" w:rsidRPr="000F1DE6" w:rsidRDefault="000073ED" w:rsidP="000073ED">
      <w:pPr>
        <w:pStyle w:val="Paragraph"/>
      </w:pPr>
      <w:r w:rsidRPr="000F1DE6">
        <w:t>This Review therefore recommends the NCEP be updated to support greater consistency and transparency, including through:</w:t>
      </w:r>
    </w:p>
    <w:p w14:paraId="6D530D51" w14:textId="77777777" w:rsidR="00F21CE3" w:rsidRDefault="000073ED" w:rsidP="00056CB1">
      <w:pPr>
        <w:pStyle w:val="ListBullet"/>
      </w:pPr>
      <w:r w:rsidRPr="00CD78DC">
        <w:rPr>
          <w:rFonts w:eastAsia="MS Gothic" w:cs="Arial"/>
          <w:lang w:eastAsia="en-AU"/>
        </w:rPr>
        <w:t>clearer</w:t>
      </w:r>
      <w:r w:rsidRPr="00CD78DC">
        <w:t xml:space="preserve"> expectations about when verbal directions or onsite remedial action may be used and requirements for recording those directions</w:t>
      </w:r>
      <w:r w:rsidRPr="00CD78DC">
        <w:rPr>
          <w:rStyle w:val="FootnoteReference"/>
        </w:rPr>
        <w:footnoteReference w:id="356"/>
      </w:r>
    </w:p>
    <w:p w14:paraId="75D0E503" w14:textId="2209CEE6" w:rsidR="000073ED" w:rsidRPr="00CD78DC" w:rsidRDefault="000073ED" w:rsidP="00056CB1">
      <w:pPr>
        <w:pStyle w:val="ListBullet"/>
      </w:pPr>
      <w:r w:rsidRPr="00CD78DC">
        <w:t>clearer guidance on what duty holders can expect when inspectors attend worksites and conduct investigations.</w:t>
      </w:r>
      <w:r w:rsidRPr="00CD78DC">
        <w:rPr>
          <w:rStyle w:val="FootnoteReference"/>
        </w:rPr>
        <w:footnoteReference w:id="357"/>
      </w:r>
    </w:p>
    <w:p w14:paraId="6E3312F2" w14:textId="77777777" w:rsidR="0016789A" w:rsidRDefault="0016789A">
      <w:pPr>
        <w:spacing w:after="200" w:line="276" w:lineRule="auto"/>
        <w:contextualSpacing w:val="0"/>
        <w:rPr>
          <w:rFonts w:asciiTheme="minorHAnsi" w:eastAsia="Times New Roman" w:hAnsiTheme="minorHAnsi"/>
          <w:lang w:eastAsia="en-AU"/>
        </w:rPr>
      </w:pPr>
      <w:r>
        <w:br w:type="page"/>
      </w:r>
    </w:p>
    <w:p w14:paraId="05D71A61" w14:textId="77777777" w:rsidR="00F21CE3" w:rsidRDefault="000073ED" w:rsidP="004420D1">
      <w:pPr>
        <w:pStyle w:val="Paragraph"/>
      </w:pPr>
      <w:r w:rsidRPr="000F1DE6">
        <w:lastRenderedPageBreak/>
        <w:t>This Review notes some jurisdictions, including NSW</w:t>
      </w:r>
      <w:r w:rsidRPr="000F1DE6">
        <w:rPr>
          <w:vertAlign w:val="superscript"/>
        </w:rPr>
        <w:footnoteReference w:id="358"/>
      </w:r>
      <w:r w:rsidRPr="000F1DE6">
        <w:t xml:space="preserve"> and Victoria,</w:t>
      </w:r>
      <w:r w:rsidRPr="000F1DE6">
        <w:rPr>
          <w:vertAlign w:val="superscript"/>
        </w:rPr>
        <w:footnoteReference w:id="359"/>
      </w:r>
      <w:r w:rsidRPr="000F1DE6">
        <w:t xml:space="preserve"> already have guidance on inspectors’ actions, including when an inspection may occur, the powers of inspectors and how the decisions of inspectors are audited and can be reviewed.</w:t>
      </w:r>
    </w:p>
    <w:p w14:paraId="0347013E" w14:textId="2632CC5F" w:rsidR="000073ED" w:rsidRPr="000F1DE6" w:rsidRDefault="000073ED" w:rsidP="0093510B">
      <w:pPr>
        <w:pStyle w:val="SWAHeading3"/>
        <w:rPr>
          <w:rFonts w:eastAsia="Arial"/>
        </w:rPr>
      </w:pPr>
      <w:r w:rsidRPr="000F1DE6">
        <w:rPr>
          <w:rFonts w:eastAsia="Arial"/>
        </w:rPr>
        <w:t>Training</w:t>
      </w:r>
    </w:p>
    <w:p w14:paraId="47192A87" w14:textId="77777777" w:rsidR="00F21CE3" w:rsidRDefault="0093510B" w:rsidP="00BF204D">
      <w:pPr>
        <w:pStyle w:val="Boxedshaded"/>
        <w:rPr>
          <w:b/>
          <w:bCs/>
        </w:rPr>
      </w:pPr>
      <w:r w:rsidRPr="004420D1">
        <w:rPr>
          <w:b/>
          <w:bCs/>
        </w:rPr>
        <w:t>What we heard</w:t>
      </w:r>
    </w:p>
    <w:p w14:paraId="70E21BB3" w14:textId="281BA1C1" w:rsidR="0093510B" w:rsidRDefault="0093510B" w:rsidP="00BF204D">
      <w:pPr>
        <w:pStyle w:val="Boxedshaded"/>
      </w:pPr>
      <w:r w:rsidRPr="0093510B">
        <w:t>Consultation reinforced the importance of inspector knowledge, experience and training in supporting sound compliance and enforcement decision-making. This Review considered whether national minimum qualification requirements for inspectors would assist to address these concerns.</w:t>
      </w:r>
    </w:p>
    <w:p w14:paraId="2D4DA3BB" w14:textId="77777777" w:rsidR="000073ED" w:rsidRPr="000F1DE6" w:rsidRDefault="000073ED" w:rsidP="004420D1">
      <w:pPr>
        <w:pStyle w:val="SWAHeading4"/>
      </w:pPr>
      <w:r w:rsidRPr="000F1DE6">
        <w:t>Discussion and recommendations</w:t>
      </w:r>
    </w:p>
    <w:p w14:paraId="19796A19" w14:textId="77777777" w:rsidR="00F21CE3" w:rsidRDefault="000073ED" w:rsidP="000073ED">
      <w:pPr>
        <w:pStyle w:val="Paragraph"/>
        <w:rPr>
          <w:vertAlign w:val="superscript"/>
        </w:rPr>
      </w:pPr>
      <w:r w:rsidRPr="000F1DE6">
        <w:t>Inspector training was frequently raised in consultation and has also been explored in previous reviews.</w:t>
      </w:r>
      <w:r w:rsidRPr="000F1DE6">
        <w:rPr>
          <w:vertAlign w:val="superscript"/>
        </w:rPr>
        <w:footnoteReference w:id="360"/>
      </w:r>
      <w:r>
        <w:t xml:space="preserve"> </w:t>
      </w:r>
      <w:r w:rsidRPr="000F1DE6">
        <w:t>While regulators continue to improve training and capability of inspectors within available resources, a harmonised approach to training is unlikely to deliver meaningful benefit without first addressing consistency in broader compliance and enforcement practices. This Review’s recommendation to write a new NCEP to strengthen the harmonisation of compliance and enforcement practices will be a key first step. This approach should provide a solid foundation for the continued development of inspector training through HWSA.</w:t>
      </w:r>
      <w:r w:rsidRPr="000F1DE6">
        <w:rPr>
          <w:vertAlign w:val="superscript"/>
        </w:rPr>
        <w:footnoteReference w:id="361"/>
      </w:r>
    </w:p>
    <w:p w14:paraId="1D91E19C" w14:textId="77777777" w:rsidR="00F21CE3" w:rsidRDefault="000073ED" w:rsidP="000073ED">
      <w:pPr>
        <w:pStyle w:val="Paragraph"/>
      </w:pPr>
      <w:r w:rsidRPr="000F1DE6">
        <w:t>Regulators also noted the increasing technical complexity of work and the need to rely on expert evidence in some WHS prosecution proceedings.</w:t>
      </w:r>
      <w:r w:rsidRPr="000F1DE6">
        <w:rPr>
          <w:vertAlign w:val="superscript"/>
        </w:rPr>
        <w:footnoteReference w:id="362"/>
      </w:r>
      <w:r w:rsidRPr="000F1DE6">
        <w:t xml:space="preserve"> Previous reviews indicated smaller jurisdictions do not always have the resources required to maintain the specialised expertise required.</w:t>
      </w:r>
      <w:r>
        <w:t xml:space="preserve"> </w:t>
      </w:r>
      <w:r w:rsidRPr="000F1DE6">
        <w:t>The Review notes in this context the regulator’s ability to appoint inspectors from other jurisdictions to access specialist capability.</w:t>
      </w:r>
      <w:r w:rsidRPr="000F1DE6">
        <w:rPr>
          <w:vertAlign w:val="superscript"/>
        </w:rPr>
        <w:footnoteReference w:id="363"/>
      </w:r>
    </w:p>
    <w:p w14:paraId="072B52E9" w14:textId="61E80843" w:rsidR="004420D1" w:rsidRDefault="004420D1">
      <w:pPr>
        <w:spacing w:after="200" w:line="276" w:lineRule="auto"/>
        <w:contextualSpacing w:val="0"/>
        <w:rPr>
          <w:rFonts w:asciiTheme="minorHAnsi" w:eastAsia="Times New Roman" w:hAnsiTheme="minorHAnsi"/>
          <w:lang w:eastAsia="en-AU"/>
        </w:rPr>
      </w:pPr>
      <w:r>
        <w:br w:type="page"/>
      </w:r>
    </w:p>
    <w:p w14:paraId="0A4D2CB4" w14:textId="36BDCA01" w:rsidR="000073ED" w:rsidRPr="00D84136" w:rsidRDefault="000073ED" w:rsidP="00056CB1">
      <w:pPr>
        <w:pStyle w:val="SWAHeading3"/>
      </w:pPr>
      <w:r w:rsidRPr="00D84136">
        <w:lastRenderedPageBreak/>
        <w:t>Minor amendments to inspector powers – best practice variations</w:t>
      </w:r>
    </w:p>
    <w:p w14:paraId="20081FB9" w14:textId="77777777" w:rsidR="00F21CE3" w:rsidRDefault="0093510B" w:rsidP="00BF204D">
      <w:pPr>
        <w:pStyle w:val="Boxedshaded"/>
        <w:rPr>
          <w:b/>
          <w:bCs/>
        </w:rPr>
      </w:pPr>
      <w:r w:rsidRPr="004420D1">
        <w:rPr>
          <w:b/>
          <w:bCs/>
        </w:rPr>
        <w:t>What we heard</w:t>
      </w:r>
    </w:p>
    <w:p w14:paraId="41F32949" w14:textId="77777777" w:rsidR="00F21CE3" w:rsidRDefault="0093510B" w:rsidP="00BF204D">
      <w:pPr>
        <w:pStyle w:val="Boxedshaded"/>
      </w:pPr>
      <w:r w:rsidRPr="0093510B">
        <w:t xml:space="preserve">Regulators raised and recommended a number of targeted, largely technical proposals to improve Division 3 of Part 9 of the model WHS </w:t>
      </w:r>
      <w:r w:rsidRPr="003F0249">
        <w:t>Act (Powers</w:t>
      </w:r>
      <w:r w:rsidRPr="0093510B">
        <w:t xml:space="preserve"> relating to entry), drawing on established Commonwealth and WA variations.</w:t>
      </w:r>
    </w:p>
    <w:p w14:paraId="6146D2EF" w14:textId="77777777" w:rsidR="00F21CE3" w:rsidRDefault="0093510B" w:rsidP="00BF204D">
      <w:pPr>
        <w:pStyle w:val="Boxedshaded"/>
      </w:pPr>
      <w:r w:rsidRPr="0093510B">
        <w:t>These include:</w:t>
      </w:r>
    </w:p>
    <w:p w14:paraId="0F2D52FB" w14:textId="77777777" w:rsidR="00F21CE3" w:rsidRDefault="00625343" w:rsidP="004420D1">
      <w:pPr>
        <w:pStyle w:val="Boxedshadedbullets"/>
      </w:pPr>
      <w:r w:rsidRPr="0093510B">
        <w:t>adding ‘testing’ and ‘examination’ as reasons to take and remove samples to the inspector’s general powers on entry to a workplace</w:t>
      </w:r>
      <w:r w:rsidRPr="0093510B">
        <w:rPr>
          <w:vertAlign w:val="superscript"/>
        </w:rPr>
        <w:footnoteReference w:id="364"/>
      </w:r>
    </w:p>
    <w:p w14:paraId="047D7F46" w14:textId="77777777" w:rsidR="00F21CE3" w:rsidRDefault="00625343" w:rsidP="004420D1">
      <w:pPr>
        <w:pStyle w:val="Boxedshadedbullets"/>
      </w:pPr>
      <w:r w:rsidRPr="0093510B">
        <w:t>permitting an inspector to enter a place used for only residential purposes if they obtain the consent of a person who has apparent management or control over the place or is apparently the occupier</w:t>
      </w:r>
      <w:r w:rsidRPr="0093510B">
        <w:rPr>
          <w:vertAlign w:val="superscript"/>
        </w:rPr>
        <w:footnoteReference w:id="365"/>
      </w:r>
    </w:p>
    <w:p w14:paraId="534F6E36" w14:textId="77777777" w:rsidR="00F21CE3" w:rsidRDefault="0093510B" w:rsidP="004420D1">
      <w:pPr>
        <w:pStyle w:val="Boxedshadedbullets"/>
      </w:pPr>
      <w:r w:rsidRPr="0093510B">
        <w:t>updating inspector powers in response to technological change</w:t>
      </w:r>
      <w:r w:rsidRPr="0093510B">
        <w:rPr>
          <w:vertAlign w:val="superscript"/>
        </w:rPr>
        <w:footnoteReference w:id="366"/>
      </w:r>
    </w:p>
    <w:p w14:paraId="2B97D640" w14:textId="77777777" w:rsidR="00F21CE3" w:rsidRDefault="0093510B" w:rsidP="004420D1">
      <w:pPr>
        <w:pStyle w:val="Boxedshadedbullets"/>
      </w:pPr>
      <w:r w:rsidRPr="0093510B">
        <w:t>enabling inspectors to accept copies of documents they request be produced, and the recording of interviews</w:t>
      </w:r>
      <w:r w:rsidRPr="0093510B">
        <w:rPr>
          <w:vertAlign w:val="superscript"/>
        </w:rPr>
        <w:footnoteReference w:id="367"/>
      </w:r>
    </w:p>
    <w:p w14:paraId="65529F25" w14:textId="77777777" w:rsidR="00F21CE3" w:rsidRDefault="0093510B" w:rsidP="004420D1">
      <w:pPr>
        <w:pStyle w:val="Boxedshadedbullets"/>
      </w:pPr>
      <w:r w:rsidRPr="0093510B">
        <w:t>limiting access to original documents and seized things only by a person with written authorisation</w:t>
      </w:r>
      <w:r w:rsidRPr="000F1DE6">
        <w:rPr>
          <w:i/>
        </w:rPr>
        <w:t xml:space="preserve"> </w:t>
      </w:r>
      <w:r w:rsidRPr="0093510B">
        <w:t>from the owner or provider of the original document / seized thing</w:t>
      </w:r>
      <w:r w:rsidRPr="0093510B">
        <w:rPr>
          <w:vertAlign w:val="superscript"/>
        </w:rPr>
        <w:footnoteReference w:id="368"/>
      </w:r>
    </w:p>
    <w:p w14:paraId="20FEA8AC" w14:textId="671680A8" w:rsidR="00F21CE3" w:rsidRDefault="0093510B" w:rsidP="004420D1">
      <w:pPr>
        <w:pStyle w:val="Boxedshadedbullets"/>
      </w:pPr>
      <w:r w:rsidRPr="0093510B">
        <w:t>providing that the regulator does not have to allow inspection of a seized item where it is evidence of a WHS offence.</w:t>
      </w:r>
      <w:r w:rsidRPr="0093510B">
        <w:rPr>
          <w:vertAlign w:val="superscript"/>
        </w:rPr>
        <w:footnoteReference w:id="369"/>
      </w:r>
    </w:p>
    <w:p w14:paraId="2BF5FF8A" w14:textId="59154B82" w:rsidR="0093510B" w:rsidRPr="0093510B" w:rsidRDefault="0093510B" w:rsidP="00BF204D">
      <w:pPr>
        <w:pStyle w:val="Boxedshaded"/>
        <w:rPr>
          <w:b/>
        </w:rPr>
      </w:pPr>
      <w:r w:rsidRPr="0093510B">
        <w:t>The ACT WHS Commissioner advocated for a new express provision allowing the use of body worn cameras when entering a workplace, noting that that audiovisual recording improves evidentiary reliability, transparency and inspector safety.</w:t>
      </w:r>
      <w:r w:rsidRPr="0093510B">
        <w:rPr>
          <w:vertAlign w:val="superscript"/>
        </w:rPr>
        <w:footnoteReference w:id="370"/>
      </w:r>
    </w:p>
    <w:p w14:paraId="529FDC48" w14:textId="77777777" w:rsidR="000073ED" w:rsidRPr="000F1DE6" w:rsidRDefault="000073ED" w:rsidP="004420D1">
      <w:pPr>
        <w:pStyle w:val="SWAHeading4"/>
      </w:pPr>
      <w:r w:rsidRPr="000F1DE6">
        <w:t>Discussion and recommendations</w:t>
      </w:r>
    </w:p>
    <w:p w14:paraId="745A1B27" w14:textId="0F639F11" w:rsidR="00F21CE3" w:rsidRDefault="000073ED" w:rsidP="000073ED">
      <w:pPr>
        <w:pStyle w:val="Paragraph"/>
      </w:pPr>
      <w:r w:rsidRPr="000F1DE6">
        <w:t xml:space="preserve">This Review recommends each of the variations identified by regulators above </w:t>
      </w:r>
      <w:r>
        <w:t>(</w:t>
      </w:r>
      <w:r w:rsidRPr="000F1DE6">
        <w:t xml:space="preserve">see </w:t>
      </w:r>
      <w:r w:rsidRPr="000F1DE6">
        <w:rPr>
          <w:b/>
        </w:rPr>
        <w:t>Appendix E</w:t>
      </w:r>
      <w:r w:rsidRPr="001916AD">
        <w:rPr>
          <w:bCs/>
        </w:rPr>
        <w:t>,</w:t>
      </w:r>
      <w:r w:rsidRPr="000F1DE6">
        <w:rPr>
          <w:b/>
        </w:rPr>
        <w:t xml:space="preserve"> 2A</w:t>
      </w:r>
      <w:r w:rsidR="00DB363E">
        <w:rPr>
          <w:rFonts w:ascii="Symbol" w:eastAsia="Symbol" w:hAnsi="Symbol" w:cs="Symbol"/>
          <w:b/>
        </w:rPr>
        <w:t>-</w:t>
      </w:r>
      <w:r w:rsidRPr="000F1DE6">
        <w:rPr>
          <w:b/>
        </w:rPr>
        <w:t>2F</w:t>
      </w:r>
      <w:r w:rsidRPr="001916AD">
        <w:rPr>
          <w:bCs/>
        </w:rPr>
        <w:t>)</w:t>
      </w:r>
      <w:r w:rsidRPr="007B3FA4">
        <w:rPr>
          <w:bCs/>
        </w:rPr>
        <w:t>.</w:t>
      </w:r>
      <w:r w:rsidRPr="000F1DE6">
        <w:t xml:space="preserve"> They do not significantly expand inspectors’ powers but instead modernise existing entry, investigation and evidentiary powers so they operate effectively in contemporary workplaces. They also aim to improve the clarity, consistency and usability of inspector powers, while maintaining appropriate safeguards.</w:t>
      </w:r>
    </w:p>
    <w:p w14:paraId="3F256220" w14:textId="77777777" w:rsidR="00F21CE3" w:rsidRDefault="000073ED" w:rsidP="000073ED">
      <w:pPr>
        <w:pStyle w:val="Paragraph"/>
      </w:pPr>
      <w:r w:rsidRPr="000F1DE6">
        <w:t>Th</w:t>
      </w:r>
      <w:r>
        <w:t>is</w:t>
      </w:r>
      <w:r w:rsidRPr="000F1DE6">
        <w:t xml:space="preserve"> Review notes Safe Work Australia should clarify whether an amendment is required to expressly provide for the use of body worn cameras</w:t>
      </w:r>
      <w:r>
        <w:t>,</w:t>
      </w:r>
      <w:r w:rsidRPr="000F1DE6">
        <w:t xml:space="preserve"> noting that some regulators are already using these devices when exercising compliance powers.</w:t>
      </w:r>
      <w:r w:rsidRPr="000F1DE6">
        <w:rPr>
          <w:rStyle w:val="FootnoteReference"/>
        </w:rPr>
        <w:footnoteReference w:id="371"/>
      </w:r>
    </w:p>
    <w:p w14:paraId="3EF0E78C" w14:textId="3FD08FB1" w:rsidR="004420D1" w:rsidRDefault="004420D1">
      <w:pPr>
        <w:spacing w:after="200" w:line="276" w:lineRule="auto"/>
        <w:contextualSpacing w:val="0"/>
        <w:rPr>
          <w:rFonts w:asciiTheme="minorHAnsi" w:eastAsia="Times New Roman" w:hAnsiTheme="minorHAnsi"/>
          <w:lang w:eastAsia="en-AU"/>
        </w:rPr>
      </w:pPr>
      <w:r>
        <w:br w:type="page"/>
      </w:r>
    </w:p>
    <w:p w14:paraId="2494EF52" w14:textId="77777777" w:rsidR="000073ED" w:rsidRPr="000F1DE6" w:rsidRDefault="000073ED" w:rsidP="000073ED">
      <w:pPr>
        <w:pStyle w:val="SWAHeading3"/>
      </w:pPr>
      <w:r w:rsidRPr="000F1DE6">
        <w:lastRenderedPageBreak/>
        <w:t>Enforceable undertakings (Part 11, ss 216–222, model WHS Act)</w:t>
      </w:r>
    </w:p>
    <w:p w14:paraId="00ADD717" w14:textId="6EC583A8" w:rsidR="000073ED" w:rsidRPr="000F1DE6" w:rsidRDefault="000073ED" w:rsidP="0016789A">
      <w:pPr>
        <w:pStyle w:val="Paragraph"/>
        <w:spacing w:after="240"/>
        <w:rPr>
          <w:vertAlign w:val="superscript"/>
        </w:rPr>
      </w:pPr>
      <w:r w:rsidRPr="000F1DE6">
        <w:t>An enforceable undertaking (EU) is a legally binding agreement entered into as an alternative to legal proceedings. EUs are mutually agreed by both the PCBU and the regulator.</w:t>
      </w:r>
      <w:r>
        <w:t xml:space="preserve"> </w:t>
      </w:r>
      <w:r w:rsidRPr="000F1DE6">
        <w:t>They are not available for Category 1 offences.</w:t>
      </w:r>
      <w:r w:rsidRPr="000F1DE6">
        <w:rPr>
          <w:vertAlign w:val="superscript"/>
        </w:rPr>
        <w:footnoteReference w:id="372"/>
      </w:r>
    </w:p>
    <w:p w14:paraId="5B632245" w14:textId="77777777" w:rsidR="00F21CE3" w:rsidRDefault="0093510B" w:rsidP="00BF204D">
      <w:pPr>
        <w:pStyle w:val="Boxedshaded"/>
        <w:rPr>
          <w:b/>
          <w:bCs/>
        </w:rPr>
      </w:pPr>
      <w:r w:rsidRPr="004420D1">
        <w:rPr>
          <w:b/>
          <w:bCs/>
        </w:rPr>
        <w:t>What we heard</w:t>
      </w:r>
    </w:p>
    <w:p w14:paraId="3668ECE3" w14:textId="02D846BD" w:rsidR="00F21CE3" w:rsidRDefault="00A44DE5" w:rsidP="00BF204D">
      <w:pPr>
        <w:pStyle w:val="Boxedshaded"/>
        <w:rPr>
          <w:rFonts w:eastAsia="Arial"/>
        </w:rPr>
      </w:pPr>
      <w:r w:rsidRPr="00A44DE5">
        <w:t>There were mixed views about the use of EUs and for which offences they should be accepted, with some calling for a ban or restrictions</w:t>
      </w:r>
      <w:r w:rsidRPr="000F1DE6">
        <w:rPr>
          <w:rFonts w:eastAsia="Arial"/>
          <w:vertAlign w:val="superscript"/>
        </w:rPr>
        <w:footnoteReference w:id="373"/>
      </w:r>
      <w:r w:rsidRPr="00A44DE5">
        <w:t xml:space="preserve"> and others encouraging their use as a learning tool.</w:t>
      </w:r>
      <w:r w:rsidRPr="000F1DE6">
        <w:rPr>
          <w:rFonts w:eastAsia="Arial"/>
          <w:vertAlign w:val="superscript"/>
        </w:rPr>
        <w:footnoteReference w:id="374"/>
      </w:r>
      <w:r w:rsidRPr="00A44DE5">
        <w:t xml:space="preserve"> The Victorian Sentencing Advisory Council (VSAC) Report</w:t>
      </w:r>
      <w:r w:rsidRPr="00A44DE5" w:rsidDel="00041B54">
        <w:t xml:space="preserve"> </w:t>
      </w:r>
      <w:r w:rsidRPr="00A44DE5">
        <w:t xml:space="preserve">encouraged the use of EUs as an ‘investment in safety’ equal </w:t>
      </w:r>
      <w:r w:rsidR="00C07D29">
        <w:t xml:space="preserve">to </w:t>
      </w:r>
      <w:r w:rsidRPr="00A44DE5">
        <w:t>or greater than the value of a monetary penalty.</w:t>
      </w:r>
      <w:r w:rsidRPr="000F1DE6">
        <w:rPr>
          <w:rFonts w:eastAsia="Arial"/>
          <w:vertAlign w:val="superscript"/>
        </w:rPr>
        <w:footnoteReference w:id="375"/>
      </w:r>
      <w:r w:rsidRPr="008E7FA0">
        <w:t xml:space="preserve"> </w:t>
      </w:r>
      <w:r w:rsidRPr="00A44DE5">
        <w:t>AIHS supported the use of EUs to focus on repair and organisational learning.</w:t>
      </w:r>
      <w:r w:rsidRPr="007D06B3">
        <w:rPr>
          <w:rFonts w:eastAsia="Arial"/>
          <w:vertAlign w:val="superscript"/>
        </w:rPr>
        <w:footnoteReference w:id="376"/>
      </w:r>
      <w:r w:rsidRPr="00A44DE5">
        <w:t xml:space="preserve"> These views align with existing guidance and practice in some jurisdictions.</w:t>
      </w:r>
      <w:r w:rsidRPr="007D06B3">
        <w:rPr>
          <w:rFonts w:eastAsia="Arial"/>
          <w:vertAlign w:val="superscript"/>
        </w:rPr>
        <w:footnoteReference w:id="377"/>
      </w:r>
      <w:r w:rsidRPr="00A44DE5">
        <w:t xml:space="preserve"> An evaluation in 2020 found that EUs were generating improvements that extend beyond the immediate incident and supporting longer</w:t>
      </w:r>
      <w:r w:rsidR="00DF5917">
        <w:t>-</w:t>
      </w:r>
      <w:r w:rsidRPr="00A44DE5">
        <w:t>term safety outcomes.</w:t>
      </w:r>
      <w:r w:rsidRPr="000F1DE6">
        <w:rPr>
          <w:rFonts w:eastAsia="Arial"/>
          <w:vertAlign w:val="superscript"/>
        </w:rPr>
        <w:footnoteReference w:id="378"/>
      </w:r>
      <w:r w:rsidRPr="00A44DE5">
        <w:t xml:space="preserve"> Many EUs include actions to support local communities. In Queensland, an EU included funding WHS scholarships.</w:t>
      </w:r>
      <w:r w:rsidRPr="007D06B3">
        <w:rPr>
          <w:rFonts w:eastAsia="Arial"/>
          <w:vertAlign w:val="superscript"/>
        </w:rPr>
        <w:footnoteReference w:id="379"/>
      </w:r>
    </w:p>
    <w:p w14:paraId="47AC7919" w14:textId="0526A3DC" w:rsidR="000073ED" w:rsidRPr="000F1DE6" w:rsidRDefault="000073ED" w:rsidP="004420D1">
      <w:pPr>
        <w:pStyle w:val="SWAHeading4"/>
      </w:pPr>
      <w:r w:rsidRPr="000F1DE6">
        <w:t>Discussion and recommendations</w:t>
      </w:r>
    </w:p>
    <w:p w14:paraId="33EF85A7" w14:textId="77777777" w:rsidR="00F21CE3" w:rsidRDefault="000073ED" w:rsidP="000073ED">
      <w:pPr>
        <w:pStyle w:val="Paragraph"/>
      </w:pPr>
      <w:r w:rsidRPr="000F1DE6">
        <w:t>This Review considers that EUs could be increasingly used to support initiatives that strengthen compliance capability and enforcement effectiveness across the system. For example, an EU could fund a specialist inspector position in the relevant PCBU’s industry. This is particularly relevant given this Review’s conclusions about variations in inspector capability and the need for stronger industry and hazard-specific knowledge in some industries.</w:t>
      </w:r>
    </w:p>
    <w:p w14:paraId="5DB21989" w14:textId="77777777" w:rsidR="00F21CE3" w:rsidRDefault="000073ED" w:rsidP="000073ED">
      <w:pPr>
        <w:pStyle w:val="Paragraph"/>
      </w:pPr>
      <w:r w:rsidRPr="000F1DE6">
        <w:t xml:space="preserve">This Review notes that the Commonwealth, </w:t>
      </w:r>
      <w:r>
        <w:t xml:space="preserve">the </w:t>
      </w:r>
      <w:r w:rsidRPr="000F1DE6">
        <w:t xml:space="preserve">ACT, NSW, Queensland, SA, Tasmania, WA and </w:t>
      </w:r>
      <w:r>
        <w:t xml:space="preserve">the </w:t>
      </w:r>
      <w:r w:rsidRPr="000F1DE6">
        <w:t xml:space="preserve">NT Acts all prevent the use of </w:t>
      </w:r>
      <w:r>
        <w:t xml:space="preserve">EUs </w:t>
      </w:r>
      <w:r w:rsidRPr="000F1DE6">
        <w:t>for industrial manslaughter.</w:t>
      </w:r>
      <w:r w:rsidRPr="000F1DE6">
        <w:rPr>
          <w:vertAlign w:val="superscript"/>
        </w:rPr>
        <w:footnoteReference w:id="380"/>
      </w:r>
      <w:r w:rsidRPr="000F1DE6">
        <w:t xml:space="preserve"> This Review recommends the model Act should be amended to reflect this consensus position (see </w:t>
      </w:r>
      <w:r w:rsidRPr="000F1DE6">
        <w:rPr>
          <w:b/>
        </w:rPr>
        <w:t>Appendix E</w:t>
      </w:r>
      <w:r w:rsidRPr="000F1DE6">
        <w:t>,</w:t>
      </w:r>
      <w:r w:rsidRPr="000F1DE6">
        <w:rPr>
          <w:b/>
        </w:rPr>
        <w:t xml:space="preserve"> 3</w:t>
      </w:r>
      <w:r w:rsidRPr="000F1DE6">
        <w:t>).</w:t>
      </w:r>
    </w:p>
    <w:p w14:paraId="6DA76A1B" w14:textId="2DB040C9" w:rsidR="00F21CE3" w:rsidRDefault="000073ED" w:rsidP="000073ED">
      <w:pPr>
        <w:pStyle w:val="Paragraph"/>
      </w:pPr>
      <w:r w:rsidRPr="000F1DE6">
        <w:t>Beyond making these conclusions, this Review does not recommend further legislative changes to the operation of EUs under the model laws.</w:t>
      </w:r>
    </w:p>
    <w:p w14:paraId="066C11D7" w14:textId="103F763B" w:rsidR="000073ED" w:rsidRPr="000F1DE6" w:rsidRDefault="000073ED" w:rsidP="000073ED">
      <w:pPr>
        <w:pStyle w:val="SWAHeading3"/>
      </w:pPr>
      <w:r w:rsidRPr="000F1DE6">
        <w:t>Internal and external review</w:t>
      </w:r>
      <w:bookmarkEnd w:id="52"/>
      <w:bookmarkEnd w:id="53"/>
      <w:r w:rsidRPr="000F1DE6">
        <w:t xml:space="preserve"> (Part 12, ss 223–229, model WHS Act)</w:t>
      </w:r>
    </w:p>
    <w:p w14:paraId="7D6E3BE1" w14:textId="505EE4C4" w:rsidR="004420D1" w:rsidRDefault="000073ED" w:rsidP="0016789A">
      <w:pPr>
        <w:pStyle w:val="Paragraph"/>
      </w:pPr>
      <w:r w:rsidRPr="000F1DE6">
        <w:t xml:space="preserve">The model WHS Act and Regulations specify which decisions made under them are reviewable and who is eligible to apply for that review. Generally, the worker affected by the decision or their representative, a PCBU whose interests are affected by the decision </w:t>
      </w:r>
      <w:r w:rsidRPr="002F17B5">
        <w:t>and an HSR who</w:t>
      </w:r>
      <w:r w:rsidRPr="000F1DE6">
        <w:t xml:space="preserve"> represents a worker whose interests are affected by a decision have standing.</w:t>
      </w:r>
      <w:r w:rsidRPr="000F1DE6">
        <w:rPr>
          <w:vertAlign w:val="superscript"/>
        </w:rPr>
        <w:footnoteReference w:id="381"/>
      </w:r>
      <w:r w:rsidR="004420D1">
        <w:br w:type="page"/>
      </w:r>
    </w:p>
    <w:p w14:paraId="24AA507D" w14:textId="77777777" w:rsidR="00F21CE3" w:rsidRDefault="000073ED" w:rsidP="0016789A">
      <w:pPr>
        <w:pStyle w:val="Paragraph"/>
        <w:spacing w:after="240"/>
      </w:pPr>
      <w:r w:rsidRPr="000F1DE6">
        <w:lastRenderedPageBreak/>
        <w:t>For the most part, inspector decisions are subject to internal review by the regulator followed by a further external review (where requested)</w:t>
      </w:r>
      <w:r>
        <w:t>,</w:t>
      </w:r>
      <w:r w:rsidRPr="000F1DE6">
        <w:t xml:space="preserve"> while regulator decisions proceed directly to external review.</w:t>
      </w:r>
      <w:r w:rsidRPr="000F1DE6">
        <w:rPr>
          <w:vertAlign w:val="superscript"/>
        </w:rPr>
        <w:footnoteReference w:id="382"/>
      </w:r>
      <w:r w:rsidRPr="000F1DE6">
        <w:t xml:space="preserve"> However, some jurisdictions have made changes to internal and external review provisions. For example, in response to </w:t>
      </w:r>
      <w:r w:rsidRPr="002F17B5">
        <w:t xml:space="preserve">the </w:t>
      </w:r>
      <w:r w:rsidRPr="00867BA4">
        <w:rPr>
          <w:i/>
          <w:iCs/>
        </w:rPr>
        <w:t>2022 Queensland Review</w:t>
      </w:r>
      <w:r w:rsidRPr="002F17B5">
        <w:rPr>
          <w:rStyle w:val="FootnoteReference"/>
          <w:rFonts w:cs="Arial"/>
        </w:rPr>
        <w:footnoteReference w:id="383"/>
      </w:r>
      <w:r w:rsidRPr="002F17B5">
        <w:t xml:space="preserve"> i</w:t>
      </w:r>
      <w:r w:rsidRPr="000F1DE6">
        <w:t>nspector decisions regarding negotiation and variation of a work group in that jurisdiction are referred directly to the Queensland Industrial Relations Commission for consideration and resolution.</w:t>
      </w:r>
      <w:r w:rsidRPr="000F1DE6">
        <w:rPr>
          <w:rStyle w:val="FootnoteReference"/>
          <w:rFonts w:cs="Arial"/>
        </w:rPr>
        <w:footnoteReference w:id="384"/>
      </w:r>
    </w:p>
    <w:p w14:paraId="5A29146F" w14:textId="77777777" w:rsidR="00F21CE3" w:rsidRDefault="00A44DE5" w:rsidP="00BF204D">
      <w:pPr>
        <w:pStyle w:val="Boxedshaded"/>
        <w:rPr>
          <w:b/>
          <w:bCs/>
        </w:rPr>
      </w:pPr>
      <w:r w:rsidRPr="004420D1">
        <w:rPr>
          <w:b/>
          <w:bCs/>
        </w:rPr>
        <w:t>What we heard</w:t>
      </w:r>
    </w:p>
    <w:p w14:paraId="7B9BAFED" w14:textId="34DE95E4" w:rsidR="00FE76F6" w:rsidRPr="00FE76F6" w:rsidRDefault="00FE76F6" w:rsidP="00BF204D">
      <w:pPr>
        <w:pStyle w:val="Boxedshaded"/>
      </w:pPr>
      <w:r w:rsidRPr="00FE76F6">
        <w:t>The ACTU sought union eligibility to seek a review of a decision, noting current arrangements create barriers to worker representation, particularly when unions are assisting their members.</w:t>
      </w:r>
      <w:r w:rsidRPr="00FE76F6">
        <w:rPr>
          <w:vertAlign w:val="superscript"/>
        </w:rPr>
        <w:footnoteReference w:id="385"/>
      </w:r>
      <w:r w:rsidRPr="00FE76F6">
        <w:t xml:space="preserve"> The ACTU referred to the SA variation that clarifies ‘eligible persons’ include the representatives of workers and PCBUs whose interests are affected by a reviewable decision.</w:t>
      </w:r>
      <w:r w:rsidRPr="00A32FA5">
        <w:rPr>
          <w:rFonts w:eastAsia="Times New Roman"/>
          <w:vertAlign w:val="superscript"/>
          <w:lang w:eastAsia="en-AU"/>
        </w:rPr>
        <w:footnoteReference w:id="386"/>
      </w:r>
      <w:r w:rsidRPr="00FE76F6">
        <w:t xml:space="preserve"> NSW has similarly recognised relevant unions representing workers as ‘eligible persons’.</w:t>
      </w:r>
      <w:r w:rsidRPr="00FE76F6">
        <w:rPr>
          <w:vertAlign w:val="superscript"/>
        </w:rPr>
        <w:footnoteReference w:id="387"/>
      </w:r>
      <w:r w:rsidRPr="00FE76F6">
        <w:t xml:space="preserve"> The ACTU also advocated for workers, HSRs and unions to be formally recognised as a party to an external review, where the applicant is the PCBU and the respondent is the regulator, but others involved in the relevant matter, such as an HSR, do not have a formal role in the proceedings.</w:t>
      </w:r>
      <w:r w:rsidRPr="00FE76F6">
        <w:rPr>
          <w:vertAlign w:val="superscript"/>
        </w:rPr>
        <w:footnoteReference w:id="388"/>
      </w:r>
      <w:r w:rsidRPr="00FE76F6">
        <w:t xml:space="preserve"> In SA, standing for these other parties is already permitted with leave under the relevant tribunal laws.</w:t>
      </w:r>
      <w:r w:rsidRPr="00FE76F6">
        <w:rPr>
          <w:vertAlign w:val="superscript"/>
        </w:rPr>
        <w:footnoteReference w:id="389"/>
      </w:r>
    </w:p>
    <w:p w14:paraId="5F443C48" w14:textId="77777777" w:rsidR="00F21CE3" w:rsidRDefault="00FE76F6" w:rsidP="00BF204D">
      <w:pPr>
        <w:pStyle w:val="Boxedshaded"/>
      </w:pPr>
      <w:r w:rsidRPr="00FE76F6">
        <w:t>The ACT WHS Commissioner and Comcare suggested that review timeframes should be extended to benefit both the applicant and regulator.</w:t>
      </w:r>
      <w:r w:rsidRPr="00FE76F6">
        <w:rPr>
          <w:vertAlign w:val="superscript"/>
        </w:rPr>
        <w:footnoteReference w:id="390"/>
      </w:r>
      <w:r w:rsidRPr="00FE76F6">
        <w:rPr>
          <w:vertAlign w:val="superscript"/>
        </w:rPr>
        <w:t xml:space="preserve"> </w:t>
      </w:r>
      <w:r w:rsidRPr="00FE76F6">
        <w:t>The ACT WHS Commissioner noted that, under section 226(6), a decision is confirmed if it is not set aside or varied after 14 days. This approach is unhelpful when the matter is then considered during external review, because the basis for the internal review decision is that there was no decision.</w:t>
      </w:r>
      <w:r w:rsidRPr="00A32FA5">
        <w:rPr>
          <w:rFonts w:eastAsia="Times New Roman"/>
          <w:vertAlign w:val="superscript"/>
          <w:lang w:eastAsia="en-AU"/>
        </w:rPr>
        <w:footnoteReference w:id="391"/>
      </w:r>
      <w:r w:rsidRPr="00FE76F6">
        <w:t xml:space="preserve"> External reviewers then frequently send the matter back for further internal review, recommencing the process and wasting time and money.</w:t>
      </w:r>
      <w:r w:rsidRPr="00A32FA5">
        <w:rPr>
          <w:rFonts w:eastAsia="Times New Roman"/>
          <w:vertAlign w:val="superscript"/>
          <w:lang w:eastAsia="en-AU"/>
        </w:rPr>
        <w:footnoteReference w:id="392"/>
      </w:r>
    </w:p>
    <w:p w14:paraId="00293FE6" w14:textId="7501C089" w:rsidR="000073ED" w:rsidRPr="000F1DE6" w:rsidRDefault="000073ED" w:rsidP="004420D1">
      <w:pPr>
        <w:pStyle w:val="SWAHeading4"/>
      </w:pPr>
      <w:r w:rsidRPr="000F1DE6">
        <w:t>Discussion</w:t>
      </w:r>
      <w:r>
        <w:t xml:space="preserve"> and recommendations</w:t>
      </w:r>
    </w:p>
    <w:p w14:paraId="68753D4E" w14:textId="77777777" w:rsidR="00F21CE3" w:rsidRDefault="000073ED" w:rsidP="000073ED">
      <w:pPr>
        <w:pStyle w:val="Paragraph"/>
      </w:pPr>
      <w:r w:rsidRPr="000F1DE6">
        <w:t xml:space="preserve">This Review recommends adopting SA’s variation allowing representatives of a PCBU or a worker to be eligible persons for the purposes of section 223. A similar variation may also be required for reviewable decisions made under the model WHS regulations. The amendment is consistent with the object of the model WHS Act to encourage unions and employer organisations to take a constructive role in WHS (see </w:t>
      </w:r>
      <w:r w:rsidRPr="000F1DE6">
        <w:rPr>
          <w:b/>
        </w:rPr>
        <w:t>Appendix E</w:t>
      </w:r>
      <w:r w:rsidRPr="000F1DE6">
        <w:rPr>
          <w:bCs/>
        </w:rPr>
        <w:t>,</w:t>
      </w:r>
      <w:r w:rsidRPr="000F1DE6">
        <w:rPr>
          <w:b/>
        </w:rPr>
        <w:t xml:space="preserve"> 4A</w:t>
      </w:r>
      <w:r w:rsidRPr="000F1DE6">
        <w:t>).</w:t>
      </w:r>
      <w:r w:rsidRPr="000F1DE6">
        <w:rPr>
          <w:vertAlign w:val="superscript"/>
        </w:rPr>
        <w:footnoteReference w:id="393"/>
      </w:r>
    </w:p>
    <w:p w14:paraId="2CF152A0" w14:textId="77777777" w:rsidR="00F21CE3" w:rsidRDefault="000073ED" w:rsidP="000073ED">
      <w:pPr>
        <w:pStyle w:val="Paragraph"/>
      </w:pPr>
      <w:r w:rsidRPr="000F1DE6">
        <w:t xml:space="preserve">This Review also recommends </w:t>
      </w:r>
      <w:r w:rsidRPr="000F1DE6">
        <w:rPr>
          <w:rFonts w:cs="Arial"/>
        </w:rPr>
        <w:t>Queensland’s</w:t>
      </w:r>
      <w:r w:rsidRPr="000F1DE6">
        <w:t xml:space="preserve"> </w:t>
      </w:r>
      <w:r w:rsidRPr="000F1DE6">
        <w:rPr>
          <w:rFonts w:cs="Arial"/>
        </w:rPr>
        <w:t xml:space="preserve">variation </w:t>
      </w:r>
      <w:r w:rsidRPr="000F1DE6">
        <w:t>entitling</w:t>
      </w:r>
      <w:r w:rsidRPr="000F1DE6">
        <w:rPr>
          <w:rFonts w:cs="Arial"/>
        </w:rPr>
        <w:t xml:space="preserve"> </w:t>
      </w:r>
      <w:r w:rsidRPr="000F1DE6">
        <w:t xml:space="preserve">a person who has applied for external review to ask for a statement of decisions and reasons once the matter is decided. This provides transparency to applicants and ensures consistency with internal review processes, which similarly require written reasons </w:t>
      </w:r>
      <w:r w:rsidRPr="003F0249">
        <w:t>to be provided</w:t>
      </w:r>
      <w:r w:rsidRPr="003F0249">
        <w:rPr>
          <w:rStyle w:val="FootnoteReference"/>
        </w:rPr>
        <w:footnoteReference w:id="394"/>
      </w:r>
      <w:r w:rsidRPr="003F0249">
        <w:t xml:space="preserve"> (see </w:t>
      </w:r>
      <w:r w:rsidRPr="003F0249">
        <w:rPr>
          <w:b/>
        </w:rPr>
        <w:t>Appendix E</w:t>
      </w:r>
      <w:r w:rsidRPr="003F0249">
        <w:t>,</w:t>
      </w:r>
      <w:r w:rsidRPr="003F0249">
        <w:rPr>
          <w:b/>
        </w:rPr>
        <w:t xml:space="preserve"> 4B</w:t>
      </w:r>
      <w:r w:rsidRPr="003F0249">
        <w:t>).</w:t>
      </w:r>
    </w:p>
    <w:p w14:paraId="527420FD" w14:textId="74BDB5B8" w:rsidR="004420D1" w:rsidRDefault="004420D1">
      <w:pPr>
        <w:spacing w:after="200" w:line="276" w:lineRule="auto"/>
        <w:contextualSpacing w:val="0"/>
        <w:rPr>
          <w:rFonts w:asciiTheme="minorHAnsi" w:eastAsia="Times New Roman" w:hAnsiTheme="minorHAnsi"/>
          <w:lang w:eastAsia="en-AU"/>
        </w:rPr>
      </w:pPr>
      <w:r>
        <w:br w:type="page"/>
      </w:r>
    </w:p>
    <w:p w14:paraId="4952799A" w14:textId="77777777" w:rsidR="000073ED" w:rsidRPr="000F1DE6" w:rsidRDefault="000073ED" w:rsidP="000073ED">
      <w:pPr>
        <w:pStyle w:val="Paragraph"/>
      </w:pPr>
      <w:r w:rsidRPr="000F1DE6">
        <w:lastRenderedPageBreak/>
        <w:t>There are several recommendations being made by this Review relevant to compliance and enforcement which are not based on jurisdictional variations.</w:t>
      </w:r>
    </w:p>
    <w:p w14:paraId="7C0FD645" w14:textId="77777777" w:rsidR="000073ED" w:rsidRPr="000F1DE6" w:rsidRDefault="000073ED" w:rsidP="000073ED">
      <w:pPr>
        <w:pStyle w:val="Paragraph"/>
      </w:pPr>
      <w:r w:rsidRPr="000F1DE6">
        <w:t>These are:</w:t>
      </w:r>
    </w:p>
    <w:p w14:paraId="069C004B" w14:textId="77777777" w:rsidR="000073ED" w:rsidRPr="00CD78DC" w:rsidRDefault="000073ED" w:rsidP="008912A9">
      <w:pPr>
        <w:pStyle w:val="ListBullet"/>
      </w:pPr>
      <w:r w:rsidRPr="00CD78DC">
        <w:rPr>
          <w:rFonts w:eastAsia="MS Gothic" w:cs="Arial"/>
          <w:lang w:eastAsia="en-AU"/>
        </w:rPr>
        <w:t>extending</w:t>
      </w:r>
      <w:r w:rsidRPr="00CD78DC">
        <w:t xml:space="preserve"> the timeframes for internal review</w:t>
      </w:r>
    </w:p>
    <w:p w14:paraId="29C3EE07" w14:textId="46D99636" w:rsidR="000073ED" w:rsidRPr="003F0249" w:rsidRDefault="000073ED" w:rsidP="008912A9">
      <w:pPr>
        <w:pStyle w:val="ListBullet"/>
      </w:pPr>
      <w:r w:rsidRPr="003F0249">
        <w:rPr>
          <w:rFonts w:eastAsia="MS Gothic" w:cs="Arial"/>
          <w:lang w:eastAsia="en-AU"/>
        </w:rPr>
        <w:t>providing</w:t>
      </w:r>
      <w:r w:rsidRPr="003F0249">
        <w:t xml:space="preserve"> workers, HSRs and unions standing in an external review in certain circumstances</w:t>
      </w:r>
      <w:r w:rsidR="006860D5" w:rsidRPr="003F0249">
        <w:t>, and</w:t>
      </w:r>
    </w:p>
    <w:p w14:paraId="5C8F3F88" w14:textId="77777777" w:rsidR="000073ED" w:rsidRPr="00CD78DC" w:rsidRDefault="000073ED" w:rsidP="008912A9">
      <w:pPr>
        <w:pStyle w:val="ListBullet"/>
      </w:pPr>
      <w:r w:rsidRPr="003F0249">
        <w:t>including</w:t>
      </w:r>
      <w:r w:rsidRPr="00CD78DC">
        <w:t xml:space="preserve"> an </w:t>
      </w:r>
      <w:r w:rsidRPr="00CD78DC">
        <w:rPr>
          <w:rFonts w:eastAsia="MS Gothic" w:cs="Arial"/>
          <w:lang w:eastAsia="en-AU"/>
        </w:rPr>
        <w:t>offence</w:t>
      </w:r>
      <w:r w:rsidRPr="00CD78DC">
        <w:t xml:space="preserve"> for non-payment of WHS infringement notices.</w:t>
      </w:r>
    </w:p>
    <w:p w14:paraId="0C168A60" w14:textId="77777777" w:rsidR="00F21CE3" w:rsidRDefault="000073ED" w:rsidP="000073ED">
      <w:pPr>
        <w:pStyle w:val="Paragraph"/>
      </w:pPr>
      <w:r w:rsidRPr="000F1DE6">
        <w:t>As recommended by WorkSafe ACT, this Review recommends amending Division 2, Part 12 of the model WHS Act to extend the timeframe for internal review from 14 to 21 calendar days, with further extension by mutual agreement of the parties. This would reduce the inefficiencies that occur when matters are confirmed automatically under section 226(6) then redirected back to a regulator by an external reviewer</w:t>
      </w:r>
      <w:r>
        <w:t>;</w:t>
      </w:r>
      <w:r w:rsidRPr="000F1DE6">
        <w:t xml:space="preserve"> and better account for public holidays or recognised shutdowns.</w:t>
      </w:r>
    </w:p>
    <w:p w14:paraId="13BAC47D" w14:textId="77777777" w:rsidR="00F21CE3" w:rsidRDefault="000073ED" w:rsidP="000073ED">
      <w:pPr>
        <w:pStyle w:val="Paragraph"/>
      </w:pPr>
      <w:r w:rsidRPr="000F1DE6">
        <w:t>This Review recommends providing standing to affected workers, PCBUs and their representatives to join external review matters they have raised or been involved in to support procedural fairness and appropriate scrutiny of decisions without materially altering how reviews currently operate.</w:t>
      </w:r>
      <w:r w:rsidRPr="000F1DE6">
        <w:rPr>
          <w:vertAlign w:val="superscript"/>
        </w:rPr>
        <w:footnoteReference w:id="395"/>
      </w:r>
    </w:p>
    <w:p w14:paraId="36B5FD20" w14:textId="6A11A060" w:rsidR="00735F02" w:rsidRPr="000F1DE6" w:rsidRDefault="000073ED" w:rsidP="0016789A">
      <w:pPr>
        <w:pStyle w:val="Paragraph"/>
        <w:spacing w:after="240"/>
        <w:rPr>
          <w:vertAlign w:val="superscript"/>
        </w:rPr>
      </w:pPr>
      <w:r w:rsidRPr="000F1DE6">
        <w:t>This Review also recommends a new</w:t>
      </w:r>
      <w:r w:rsidRPr="000F1DE6">
        <w:rPr>
          <w:rFonts w:eastAsia="Arial"/>
        </w:rPr>
        <w:t xml:space="preserve"> offence category for the non-payment of WHS infringement notices to discourage the evasion of penalties, as proposed by WorkSafe ACT.</w:t>
      </w:r>
      <w:r w:rsidRPr="000F1DE6">
        <w:rPr>
          <w:rFonts w:eastAsia="Arial"/>
          <w:vertAlign w:val="superscript"/>
        </w:rPr>
        <w:footnoteReference w:id="396"/>
      </w:r>
      <w:r>
        <w:rPr>
          <w:rFonts w:eastAsia="Arial"/>
        </w:rPr>
        <w:t xml:space="preserve"> </w:t>
      </w:r>
      <w:r w:rsidRPr="000F1DE6">
        <w:rPr>
          <w:rFonts w:eastAsia="Arial"/>
        </w:rPr>
        <w:t xml:space="preserve">WorkSafe ACT stated that ‘collecting payments, providing reminders, and conducting reviews are resource intensive and even when a matter results in court proceedings there are limited options for the regulator to recoup the costs of managing </w:t>
      </w:r>
      <w:r w:rsidRPr="003F0249">
        <w:rPr>
          <w:rFonts w:eastAsia="Arial"/>
        </w:rPr>
        <w:t>these processes’</w:t>
      </w:r>
      <w:r w:rsidR="00354343">
        <w:rPr>
          <w:rFonts w:eastAsia="Arial"/>
        </w:rPr>
        <w:t>.</w:t>
      </w:r>
      <w:r w:rsidRPr="003F0249">
        <w:rPr>
          <w:rStyle w:val="FootnoteReference"/>
          <w:rFonts w:eastAsia="Arial"/>
        </w:rPr>
        <w:footnoteReference w:id="397"/>
      </w:r>
    </w:p>
    <w:tbl>
      <w:tblPr>
        <w:tblStyle w:val="Style5"/>
        <w:tblW w:w="5000" w:type="pct"/>
        <w:tblCellMar>
          <w:top w:w="113" w:type="dxa"/>
          <w:bottom w:w="113" w:type="dxa"/>
        </w:tblCellMar>
        <w:tblLook w:val="04A0" w:firstRow="1" w:lastRow="0" w:firstColumn="1" w:lastColumn="0" w:noHBand="0" w:noVBand="1"/>
      </w:tblPr>
      <w:tblGrid>
        <w:gridCol w:w="9746"/>
      </w:tblGrid>
      <w:tr w:rsidR="00625343" w14:paraId="5FB783AE" w14:textId="77777777" w:rsidTr="0016789A">
        <w:trPr>
          <w:cnfStyle w:val="100000000000" w:firstRow="1" w:lastRow="0" w:firstColumn="0" w:lastColumn="0" w:oddVBand="0" w:evenVBand="0" w:oddHBand="0" w:evenHBand="0" w:firstRowFirstColumn="0" w:firstRowLastColumn="0" w:lastRowFirstColumn="0" w:lastRowLastColumn="0"/>
        </w:trPr>
        <w:tc>
          <w:tcPr>
            <w:tcW w:w="5000" w:type="pct"/>
          </w:tcPr>
          <w:p w14:paraId="0AFB2498" w14:textId="1912F5B7" w:rsidR="00625343" w:rsidRDefault="00281A46">
            <w:pPr>
              <w:pStyle w:val="Tableheader"/>
            </w:pPr>
            <w:r>
              <w:t>Compliance and enforcement</w:t>
            </w:r>
            <w:r w:rsidR="004420D1">
              <w:t xml:space="preserve"> – Recommendation 9</w:t>
            </w:r>
          </w:p>
        </w:tc>
      </w:tr>
      <w:tr w:rsidR="00AB0F4D" w:rsidRPr="006C7872" w14:paraId="57B7E609" w14:textId="77777777" w:rsidTr="0016789A">
        <w:tc>
          <w:tcPr>
            <w:tcW w:w="5000" w:type="pct"/>
          </w:tcPr>
          <w:p w14:paraId="58961004" w14:textId="033D1F13" w:rsidR="00AB0F4D" w:rsidRPr="0016789A" w:rsidRDefault="00AB0F4D" w:rsidP="004420D1">
            <w:pPr>
              <w:pStyle w:val="Paragraphtable"/>
              <w:rPr>
                <w:sz w:val="21"/>
                <w:szCs w:val="21"/>
              </w:rPr>
            </w:pPr>
            <w:r w:rsidRPr="0016789A">
              <w:rPr>
                <w:sz w:val="21"/>
                <w:szCs w:val="21"/>
              </w:rPr>
              <w:t>Recommendation 9: Amend the model WHS Act to:</w:t>
            </w:r>
          </w:p>
          <w:p w14:paraId="3B5FBA7C" w14:textId="77777777" w:rsidR="00F21CE3" w:rsidRDefault="00AB0F4D" w:rsidP="00447786">
            <w:pPr>
              <w:pStyle w:val="Listnumber2tables"/>
              <w:numPr>
                <w:ilvl w:val="0"/>
                <w:numId w:val="55"/>
              </w:numPr>
              <w:rPr>
                <w:sz w:val="21"/>
                <w:szCs w:val="21"/>
              </w:rPr>
            </w:pPr>
            <w:r w:rsidRPr="0016789A">
              <w:rPr>
                <w:sz w:val="21"/>
                <w:szCs w:val="21"/>
              </w:rPr>
              <w:t>extend the timeframes for internal review from 14 to 21 calendar days, with further extension by mutual agreement</w:t>
            </w:r>
          </w:p>
          <w:p w14:paraId="2328D7BF" w14:textId="7F109CE3" w:rsidR="00BF069E" w:rsidRPr="0016789A" w:rsidRDefault="00BF069E" w:rsidP="00447786">
            <w:pPr>
              <w:pStyle w:val="Listnumber2tables"/>
              <w:numPr>
                <w:ilvl w:val="0"/>
                <w:numId w:val="55"/>
              </w:numPr>
              <w:rPr>
                <w:bCs/>
                <w:sz w:val="21"/>
                <w:szCs w:val="21"/>
              </w:rPr>
            </w:pPr>
            <w:r w:rsidRPr="0016789A">
              <w:rPr>
                <w:sz w:val="21"/>
                <w:szCs w:val="21"/>
              </w:rPr>
              <w:t>p</w:t>
            </w:r>
            <w:r w:rsidR="00AB0F4D" w:rsidRPr="0016789A">
              <w:rPr>
                <w:sz w:val="21"/>
                <w:szCs w:val="21"/>
              </w:rPr>
              <w:t xml:space="preserve">rovide workers, </w:t>
            </w:r>
            <w:r w:rsidR="00F821E6" w:rsidRPr="0016789A">
              <w:rPr>
                <w:sz w:val="21"/>
                <w:szCs w:val="21"/>
              </w:rPr>
              <w:t>HSRs</w:t>
            </w:r>
            <w:r w:rsidR="00AB0F4D" w:rsidRPr="0016789A">
              <w:rPr>
                <w:sz w:val="21"/>
                <w:szCs w:val="21"/>
              </w:rPr>
              <w:t xml:space="preserve"> and unions standing in an external review, where they have raised or been involved in a matter</w:t>
            </w:r>
            <w:r w:rsidR="00616890" w:rsidRPr="0016789A">
              <w:rPr>
                <w:sz w:val="21"/>
                <w:szCs w:val="21"/>
              </w:rPr>
              <w:t>, and</w:t>
            </w:r>
          </w:p>
          <w:p w14:paraId="48B4B606" w14:textId="6541AA22" w:rsidR="00AB0F4D" w:rsidRPr="006C7872" w:rsidRDefault="00AB0F4D" w:rsidP="00447786">
            <w:pPr>
              <w:pStyle w:val="Listnumber2tables"/>
              <w:numPr>
                <w:ilvl w:val="0"/>
                <w:numId w:val="55"/>
              </w:numPr>
            </w:pPr>
            <w:r w:rsidRPr="0016789A">
              <w:rPr>
                <w:sz w:val="21"/>
                <w:szCs w:val="21"/>
              </w:rPr>
              <w:t>include an offence for non-payment of WHS infringement notices.</w:t>
            </w:r>
          </w:p>
        </w:tc>
      </w:tr>
    </w:tbl>
    <w:p w14:paraId="5AFEAE61" w14:textId="77777777" w:rsidR="001547C0" w:rsidRPr="000F1DE6" w:rsidRDefault="001547C0" w:rsidP="001547C0">
      <w:pPr>
        <w:pStyle w:val="SWAHeading2"/>
        <w:spacing w:line="240" w:lineRule="auto"/>
        <w:rPr>
          <w:rFonts w:asciiTheme="minorHAnsi" w:hAnsiTheme="minorHAnsi"/>
        </w:rPr>
      </w:pPr>
      <w:bookmarkStart w:id="58" w:name="_Toc234853684"/>
      <w:bookmarkStart w:id="59" w:name="_Toc236326814"/>
      <w:bookmarkStart w:id="60" w:name="_Toc239845156"/>
      <w:r w:rsidRPr="000F1DE6">
        <w:rPr>
          <w:rFonts w:asciiTheme="minorHAnsi" w:hAnsiTheme="minorHAnsi"/>
        </w:rPr>
        <w:t>Legal proceedings (Part 13, ss 230–267, model WHS Act)</w:t>
      </w:r>
      <w:bookmarkEnd w:id="58"/>
      <w:bookmarkEnd w:id="59"/>
      <w:bookmarkEnd w:id="60"/>
    </w:p>
    <w:p w14:paraId="2E07718E" w14:textId="77777777" w:rsidR="00F21CE3" w:rsidRDefault="001547C0" w:rsidP="001547C0">
      <w:pPr>
        <w:pStyle w:val="Paragraph"/>
      </w:pPr>
      <w:r w:rsidRPr="000F1DE6">
        <w:t>Jurisdictions have taken varied approaches to WHS legal proceedings, reflecting differences in who can prosecute, how decisions are made and how procedural safeguards are applied. When breaches of the model WHS Act are identified, various compliance and enforcement tools can be used to rectify or penalise the breach. How and where these tools can be used is generally harmonised.</w:t>
      </w:r>
      <w:r>
        <w:t xml:space="preserve"> </w:t>
      </w:r>
      <w:r w:rsidRPr="000F1DE6">
        <w:t>However, the jurisdictional note which provides for jurisdictions to create their own local infringement schemes has led to more extensive variations than anticipated.</w:t>
      </w:r>
    </w:p>
    <w:p w14:paraId="6E708C56" w14:textId="6281F100" w:rsidR="004420D1" w:rsidRDefault="004420D1">
      <w:pPr>
        <w:spacing w:after="200" w:line="276" w:lineRule="auto"/>
        <w:contextualSpacing w:val="0"/>
        <w:rPr>
          <w:rFonts w:asciiTheme="minorHAnsi" w:eastAsia="Times New Roman" w:hAnsiTheme="minorHAnsi"/>
          <w:lang w:eastAsia="en-AU"/>
        </w:rPr>
      </w:pPr>
      <w:r>
        <w:br w:type="page"/>
      </w:r>
    </w:p>
    <w:p w14:paraId="535D152E" w14:textId="77777777" w:rsidR="001547C0" w:rsidRPr="000F1DE6" w:rsidRDefault="001547C0" w:rsidP="001547C0">
      <w:pPr>
        <w:pStyle w:val="SWAHeading3"/>
      </w:pPr>
      <w:r w:rsidRPr="000F1DE6">
        <w:lastRenderedPageBreak/>
        <w:t>Bringing criminal prosecution proceedings</w:t>
      </w:r>
    </w:p>
    <w:p w14:paraId="774F2D0B" w14:textId="77777777" w:rsidR="00F21CE3" w:rsidRDefault="001547C0" w:rsidP="0016789A">
      <w:pPr>
        <w:pStyle w:val="Paragraph"/>
        <w:spacing w:after="240"/>
        <w:rPr>
          <w:rFonts w:eastAsia="Aptos"/>
        </w:rPr>
      </w:pPr>
      <w:r w:rsidRPr="000F1DE6">
        <w:rPr>
          <w:rFonts w:eastAsia="Aptos"/>
        </w:rPr>
        <w:t xml:space="preserve">Under the model WHS Act, prosecutions may be initiated by the regulator or by an inspector with the written </w:t>
      </w:r>
      <w:r w:rsidRPr="000F1DE6">
        <w:rPr>
          <w:rFonts w:eastAsia="Aptos" w:cs="Arial"/>
        </w:rPr>
        <w:t>authorisation of the regulator either generally or in a particular case (section 230 (1))</w:t>
      </w:r>
      <w:r w:rsidRPr="000F1DE6">
        <w:rPr>
          <w:rFonts w:eastAsia="Aptos"/>
        </w:rPr>
        <w:t>. The Director of Public Prosecutions (DPP) can also initiate proceedings, and there are relevant jurisdictional notes within section 230 of the model WHS Act to ensure the provisions can work with prosecutorial and other jurisdictional arrangements.</w:t>
      </w:r>
      <w:r w:rsidRPr="000F1DE6">
        <w:rPr>
          <w:rFonts w:eastAsia="Aptos"/>
          <w:vertAlign w:val="superscript"/>
        </w:rPr>
        <w:footnoteReference w:id="398"/>
      </w:r>
      <w:r w:rsidRPr="000F1DE6">
        <w:rPr>
          <w:rFonts w:eastAsia="Aptos"/>
        </w:rPr>
        <w:t xml:space="preserve"> In practice, because of these jurisdictional notes and those linked to Schedule 2</w:t>
      </w:r>
      <w:r w:rsidR="009030F1">
        <w:rPr>
          <w:rFonts w:eastAsia="Aptos"/>
        </w:rPr>
        <w:t>,</w:t>
      </w:r>
      <w:r w:rsidRPr="000F1DE6">
        <w:rPr>
          <w:rFonts w:eastAsia="Aptos"/>
        </w:rPr>
        <w:t xml:space="preserve"> which establishes the regulator, the operational framework differs in each jurisdiction, with varying levels of involvement from the DPP in the regulator’s decision to initiate prosecution or to undertake prosecutions themselves, particularly for more serious offences (see </w:t>
      </w:r>
      <w:r w:rsidRPr="000F1DE6">
        <w:rPr>
          <w:rFonts w:eastAsia="Aptos"/>
          <w:b/>
        </w:rPr>
        <w:t>Appendix L</w:t>
      </w:r>
      <w:r w:rsidRPr="000F1DE6">
        <w:rPr>
          <w:rFonts w:eastAsia="Aptos"/>
        </w:rPr>
        <w:t>). Queensland is the only jurisdiction with a prosecutorial office for WHS, separate to the Queensland regulator and the DPP.</w:t>
      </w:r>
    </w:p>
    <w:p w14:paraId="50F81311" w14:textId="77777777" w:rsidR="00F21CE3" w:rsidRDefault="008E28F9" w:rsidP="00BF204D">
      <w:pPr>
        <w:pStyle w:val="Boxedshaded"/>
        <w:rPr>
          <w:b/>
          <w:bCs/>
        </w:rPr>
      </w:pPr>
      <w:r w:rsidRPr="004420D1">
        <w:rPr>
          <w:b/>
          <w:bCs/>
        </w:rPr>
        <w:t>What we heard</w:t>
      </w:r>
    </w:p>
    <w:p w14:paraId="1EAB8339" w14:textId="77777777" w:rsidR="00F21CE3" w:rsidRDefault="00270BE2" w:rsidP="00BF204D">
      <w:pPr>
        <w:pStyle w:val="Boxedshaded"/>
        <w:rPr>
          <w:rFonts w:cs="Arial"/>
        </w:rPr>
      </w:pPr>
      <w:r w:rsidRPr="000F1DE6">
        <w:t>The number of prosecutions brought and completed across each jurisdiction varies greatly. This Review heard that some jurisdictions bring relatively few prosecutions, with unions noting this reduces the deterrent effect of the WHS laws.</w:t>
      </w:r>
      <w:r w:rsidRPr="00270BE2">
        <w:rPr>
          <w:vertAlign w:val="superscript"/>
        </w:rPr>
        <w:footnoteReference w:id="399"/>
      </w:r>
      <w:r w:rsidRPr="00270BE2" w:rsidDel="004E2ADC">
        <w:t xml:space="preserve"> </w:t>
      </w:r>
      <w:r w:rsidRPr="000F1DE6">
        <w:rPr>
          <w:rFonts w:cs="Arial"/>
        </w:rPr>
        <w:t>Some regulators identified challenges in bringing prosecutions where the DPP is involved in decision-making, indicating that differences in priorities or assessment of cases can affect whether prosecutions proceed.</w:t>
      </w:r>
      <w:r w:rsidRPr="000F1DE6">
        <w:rPr>
          <w:vertAlign w:val="superscript"/>
        </w:rPr>
        <w:footnoteReference w:id="400"/>
      </w:r>
    </w:p>
    <w:p w14:paraId="56353473" w14:textId="58004D8A" w:rsidR="001547C0" w:rsidRPr="000F1DE6" w:rsidRDefault="001547C0" w:rsidP="004420D1">
      <w:pPr>
        <w:pStyle w:val="SWAHeading4"/>
        <w:rPr>
          <w:rFonts w:eastAsia="Aptos"/>
        </w:rPr>
      </w:pPr>
      <w:r w:rsidRPr="000F1DE6">
        <w:t>Discussion and recommendations</w:t>
      </w:r>
    </w:p>
    <w:p w14:paraId="522A0CCC" w14:textId="77777777" w:rsidR="001547C0" w:rsidRPr="000F1DE6" w:rsidRDefault="001547C0" w:rsidP="001547C0">
      <w:pPr>
        <w:pStyle w:val="Paragraph"/>
        <w:rPr>
          <w:rFonts w:eastAsia="Aptos"/>
        </w:rPr>
      </w:pPr>
      <w:r w:rsidRPr="000F1DE6">
        <w:rPr>
          <w:rFonts w:eastAsia="Aptos"/>
        </w:rPr>
        <w:t>This Review has not identified any recommendations to amend the model WHS Act in relation to the right of a regulator to decide to bring legal proceedings. As criminal matters are generally the responsibility of states and territories, decisions on whether to bring legal proceedings, including the interaction between regulators and DPPs, sit with individual jurisdictions. The following observations are therefore provided for context, drawing on expert advice to this Review.</w:t>
      </w:r>
    </w:p>
    <w:p w14:paraId="3239D2F7" w14:textId="77777777" w:rsidR="001547C0" w:rsidRPr="000F1DE6" w:rsidRDefault="001547C0" w:rsidP="001547C0">
      <w:pPr>
        <w:pStyle w:val="Paragraph"/>
        <w:rPr>
          <w:rFonts w:eastAsia="Aptos"/>
        </w:rPr>
      </w:pPr>
      <w:r w:rsidRPr="000F1DE6">
        <w:rPr>
          <w:rFonts w:eastAsia="Aptos"/>
        </w:rPr>
        <w:t>Decisions during the investigation phase can materially affect the veracity of the evidence and therefore the viability of a prosecution, influencing decisions about whether proceedings are commenced or not.</w:t>
      </w:r>
    </w:p>
    <w:p w14:paraId="0BBC0E1A" w14:textId="77777777" w:rsidR="00F21CE3" w:rsidRDefault="001547C0" w:rsidP="001547C0">
      <w:pPr>
        <w:pStyle w:val="Paragraph"/>
      </w:pPr>
      <w:r w:rsidRPr="000F1DE6">
        <w:rPr>
          <w:rFonts w:eastAsia="Aptos"/>
        </w:rPr>
        <w:t xml:space="preserve">This may occur, for example, where variability in inspector decision-making, or differing views about what constitutes a ‘reasonably practicable’ step, complicate the assessment of compliance. </w:t>
      </w:r>
      <w:r w:rsidRPr="000F1DE6">
        <w:t>This Review also heard that operational investigation practices frequently affect the admissibility and quality of evidence in WHS prosecutions. For example, a prosecution may fail if the basis for exercising statutory powers is not sufficiently articulated, witnesses are not interviewed or incomplete records are kept.</w:t>
      </w:r>
    </w:p>
    <w:p w14:paraId="7CCF787F" w14:textId="34D5DE40" w:rsidR="004420D1" w:rsidRDefault="001547C0" w:rsidP="0016789A">
      <w:pPr>
        <w:pStyle w:val="Paragraph"/>
      </w:pPr>
      <w:r w:rsidRPr="000F1DE6">
        <w:t xml:space="preserve">Access to in-house legal and prosecutorial expertise may support regulators to assess potential prosecutions, make decisions about whether to bring proceedings and prepare briefs of evidence. The </w:t>
      </w:r>
      <w:r w:rsidRPr="00D0332F">
        <w:rPr>
          <w:i/>
          <w:iCs/>
        </w:rPr>
        <w:t>2022 ACT WHS Prosecutions Review</w:t>
      </w:r>
      <w:r w:rsidRPr="000F1DE6">
        <w:t xml:space="preserve"> identified advantages associated with in-house prosecution teams, including support for risk-based prosecutions, facilitating test cases, and greater consistency and timeliness, but this model may not be available or practicable for all regulators due to jurisdictional size or resourcing constraints.</w:t>
      </w:r>
      <w:r w:rsidRPr="000F1DE6">
        <w:rPr>
          <w:vertAlign w:val="superscript"/>
        </w:rPr>
        <w:footnoteReference w:id="401"/>
      </w:r>
      <w:r w:rsidRPr="000F1DE6">
        <w:t xml:space="preserve"> </w:t>
      </w:r>
      <w:r w:rsidR="004420D1">
        <w:br w:type="page"/>
      </w:r>
    </w:p>
    <w:p w14:paraId="65B6060D" w14:textId="77777777" w:rsidR="00F21CE3" w:rsidRDefault="001547C0" w:rsidP="001547C0">
      <w:pPr>
        <w:pStyle w:val="Paragraph"/>
      </w:pPr>
      <w:r w:rsidRPr="000F1DE6">
        <w:rPr>
          <w:kern w:val="2"/>
          <w14:ligatures w14:val="standardContextual"/>
        </w:rPr>
        <w:lastRenderedPageBreak/>
        <w:t xml:space="preserve">Alternatively, arrangements that enable regulators to draw on external legal counsel or the use of </w:t>
      </w:r>
      <w:r w:rsidRPr="000F1DE6">
        <w:t xml:space="preserve">expert consultants (discussed earlier in this </w:t>
      </w:r>
      <w:r>
        <w:t>c</w:t>
      </w:r>
      <w:r w:rsidRPr="000F1DE6">
        <w:t>hapter), as well as a strong national community of practice, may also assist in building capability across jurisdictions, improving investigation quality and supporting prosecution decision</w:t>
      </w:r>
      <w:r>
        <w:t>-</w:t>
      </w:r>
      <w:r w:rsidRPr="000F1DE6">
        <w:t>making. The success of this approach is reflected in the increase in commenced prosecutions in the ACT from 2 in 2022 to 22 in 2025, following reforms permitting the WHS</w:t>
      </w:r>
      <w:r>
        <w:t> </w:t>
      </w:r>
      <w:r w:rsidRPr="000F1DE6">
        <w:t>Commissioner to use external legal counsel to manage prosecutions. The Queensland Office of the Work Health and Safety Prosecutor indicated that it benefits from sharing prosecutorial expertise with Queensland investigators and inspectors to support the quality of investigations and briefs.</w:t>
      </w:r>
      <w:r w:rsidRPr="000F1DE6">
        <w:rPr>
          <w:rFonts w:eastAsia="Aptos" w:cs="Times New Roman"/>
          <w:kern w:val="2"/>
          <w:vertAlign w:val="superscript"/>
          <w14:ligatures w14:val="standardContextual"/>
        </w:rPr>
        <w:footnoteReference w:id="402"/>
      </w:r>
    </w:p>
    <w:p w14:paraId="6F2EFC53" w14:textId="4875AE8C" w:rsidR="001547C0" w:rsidRPr="000F1DE6" w:rsidRDefault="001547C0" w:rsidP="001547C0">
      <w:pPr>
        <w:pStyle w:val="Paragraph"/>
      </w:pPr>
      <w:r w:rsidRPr="000F1DE6">
        <w:t xml:space="preserve">More data on WHS prosecutions, including total numbers initiated, defended matters and successful outcomes, may also help identify if, and where, issues arise across the prosecution process. This Review has identified that Safe Work Australia should </w:t>
      </w:r>
      <w:r w:rsidRPr="000F1DE6" w:rsidDel="007A5540">
        <w:t xml:space="preserve">establish agreements with </w:t>
      </w:r>
      <w:r w:rsidRPr="000F1DE6">
        <w:t xml:space="preserve">the </w:t>
      </w:r>
      <w:r w:rsidRPr="000F1DE6" w:rsidDel="007A5540">
        <w:t xml:space="preserve">departments of justice (or equivalent) in each state and territory </w:t>
      </w:r>
      <w:r w:rsidRPr="000F1DE6">
        <w:t>to gain</w:t>
      </w:r>
      <w:r w:rsidRPr="000F1DE6" w:rsidDel="007A5540">
        <w:t xml:space="preserve"> access to information and data concerning decisions from Magistrates Courts</w:t>
      </w:r>
      <w:r w:rsidRPr="000F1DE6">
        <w:t xml:space="preserve">, many of which currently go </w:t>
      </w:r>
      <w:r w:rsidRPr="000F1DE6" w:rsidDel="007A5540">
        <w:t>unpublished.</w:t>
      </w:r>
    </w:p>
    <w:p w14:paraId="5D287532" w14:textId="77777777" w:rsidR="00F21CE3" w:rsidRDefault="001547C0" w:rsidP="001547C0">
      <w:pPr>
        <w:pStyle w:val="SWAHeading3"/>
        <w:spacing w:before="200"/>
      </w:pPr>
      <w:r w:rsidRPr="000F1DE6">
        <w:t>Standing for private criminal prosecutions</w:t>
      </w:r>
    </w:p>
    <w:p w14:paraId="461034AC" w14:textId="13130EB8" w:rsidR="00474B75" w:rsidRPr="004420D1" w:rsidRDefault="00474B75" w:rsidP="00BF204D">
      <w:pPr>
        <w:pStyle w:val="Boxedshaded"/>
        <w:rPr>
          <w:b/>
          <w:bCs/>
        </w:rPr>
      </w:pPr>
      <w:r w:rsidRPr="004420D1">
        <w:rPr>
          <w:b/>
          <w:bCs/>
        </w:rPr>
        <w:t>What we heard</w:t>
      </w:r>
    </w:p>
    <w:p w14:paraId="452CE6F5" w14:textId="77777777" w:rsidR="00F21CE3" w:rsidRDefault="007371AD" w:rsidP="00BF204D">
      <w:pPr>
        <w:pStyle w:val="Boxedshaded"/>
      </w:pPr>
      <w:r w:rsidRPr="000F1DE6">
        <w:t>Unions advocated for the right to have standing to prosecute WHS offences. They supported the NSW model as best practice, stating current arrangements create a ‘monopoly’ impacting workers’ and their representatives’ ability to seek recourse for WHS offences, particularly when regulators choose not to prosecute or delay actions.</w:t>
      </w:r>
      <w:r w:rsidRPr="00474B75">
        <w:rPr>
          <w:vertAlign w:val="superscript"/>
        </w:rPr>
        <w:footnoteReference w:id="403"/>
      </w:r>
      <w:r w:rsidRPr="000F1DE6">
        <w:t xml:space="preserve"> They also pointed to their rights under the FW Act, maintaining it is ‘inconsistent and indefensible’ that unions do not have standing for WHS proceedings when they can represent workers in industrial relations matters.</w:t>
      </w:r>
      <w:r w:rsidRPr="00474B75">
        <w:rPr>
          <w:vertAlign w:val="superscript"/>
        </w:rPr>
        <w:footnoteReference w:id="404"/>
      </w:r>
    </w:p>
    <w:p w14:paraId="2DA98727" w14:textId="28C5C73D" w:rsidR="004420D1" w:rsidRDefault="007371AD" w:rsidP="00BF204D">
      <w:pPr>
        <w:pStyle w:val="Boxedshaded"/>
      </w:pPr>
      <w:r w:rsidRPr="000F1DE6">
        <w:t>Unions noted that low prosecution rates mean there is not an effective deterrent</w:t>
      </w:r>
      <w:r w:rsidRPr="00474B75">
        <w:rPr>
          <w:vertAlign w:val="superscript"/>
        </w:rPr>
        <w:footnoteReference w:id="405"/>
      </w:r>
      <w:r w:rsidRPr="000F1DE6">
        <w:t xml:space="preserve"> and that some industries and types of hazards receive almost no prosecution action by regulators. By way of example, they pointed to a lack of prosecutions in the healthcare and social assistance sector, which has the highest rate of serious workers’ compensation claims.</w:t>
      </w:r>
      <w:r w:rsidRPr="00474B75">
        <w:rPr>
          <w:vertAlign w:val="superscript"/>
        </w:rPr>
        <w:footnoteReference w:id="406"/>
      </w:r>
      <w:r w:rsidRPr="000F1DE6">
        <w:t xml:space="preserve"> They also supported more ‘risk-based’ prosecutions, noting that most prosecutions that do occur are made in response to worker fatalities or injuries, while the goal of the WHS framework is instead to </w:t>
      </w:r>
      <w:r w:rsidRPr="000F1DE6">
        <w:rPr>
          <w:i/>
        </w:rPr>
        <w:t>prevent</w:t>
      </w:r>
      <w:r w:rsidRPr="000F1DE6">
        <w:t xml:space="preserve"> death and injury. SA Unions were critical of the lack of prosecutions for psychological injury and noted only 5 risk</w:t>
      </w:r>
      <w:r w:rsidRPr="000F1DE6">
        <w:noBreakHyphen/>
        <w:t>based prosecutions occurred across 2020</w:t>
      </w:r>
      <w:r w:rsidR="009030F1">
        <w:rPr>
          <w:rFonts w:ascii="Symbol" w:eastAsia="Symbol" w:hAnsi="Symbol" w:cs="Symbol"/>
        </w:rPr>
        <w:t>-</w:t>
      </w:r>
      <w:r w:rsidRPr="000F1DE6">
        <w:t>2024 in SA.</w:t>
      </w:r>
      <w:r w:rsidRPr="00474B75">
        <w:rPr>
          <w:vertAlign w:val="superscript"/>
        </w:rPr>
        <w:footnoteReference w:id="407"/>
      </w:r>
      <w:r w:rsidRPr="000F1DE6">
        <w:t xml:space="preserve"> The Electrical Trades Union said that even in the construction industry, which has the highest rate of prosecutions, they still represent a response to a very small proportion of serious injuries.</w:t>
      </w:r>
      <w:r w:rsidRPr="00474B75">
        <w:rPr>
          <w:vertAlign w:val="superscript"/>
        </w:rPr>
        <w:footnoteReference w:id="408"/>
      </w:r>
    </w:p>
    <w:p w14:paraId="164EFA78" w14:textId="77777777" w:rsidR="004420D1" w:rsidRDefault="004420D1">
      <w:pPr>
        <w:spacing w:after="200" w:line="276" w:lineRule="auto"/>
        <w:contextualSpacing w:val="0"/>
        <w:rPr>
          <w:rFonts w:asciiTheme="minorHAnsi" w:hAnsiTheme="minorHAnsi"/>
        </w:rPr>
      </w:pPr>
      <w:r>
        <w:br w:type="page"/>
      </w:r>
    </w:p>
    <w:p w14:paraId="5BB2A434" w14:textId="77777777" w:rsidR="007371AD" w:rsidRPr="000F1DE6" w:rsidRDefault="007371AD" w:rsidP="00BF204D">
      <w:pPr>
        <w:pStyle w:val="Boxedshaded"/>
      </w:pPr>
      <w:r w:rsidRPr="000F1DE6">
        <w:lastRenderedPageBreak/>
        <w:t>Unions suggest that low prosecutions rates are compounded by resourcing constraints that limit regulators’ capacity to prosecute WHS breaches. Regulators acknowledged that resourcing limitations restrict proactive compliance and enforcement activity, with smaller jurisdictions noting they are generally only able to pursue the strongest cases.</w:t>
      </w:r>
      <w:r w:rsidRPr="00474B75">
        <w:rPr>
          <w:vertAlign w:val="superscript"/>
        </w:rPr>
        <w:footnoteReference w:id="409"/>
      </w:r>
    </w:p>
    <w:p w14:paraId="6F525234" w14:textId="77777777" w:rsidR="007371AD" w:rsidRPr="000F1DE6" w:rsidRDefault="007371AD" w:rsidP="00BF204D">
      <w:pPr>
        <w:pStyle w:val="Boxedshaded"/>
      </w:pPr>
      <w:r w:rsidRPr="002D1FA0">
        <w:t>Unions contended that granting them the right to prosecute WHS offences would leverage their</w:t>
      </w:r>
      <w:r w:rsidRPr="000F1DE6">
        <w:t xml:space="preserve"> significant cross-industry expertise and access to workers to target interventions that drive WHS cultural and organisational change, improve compliance and strengthen workers’ involvement in WHS management.</w:t>
      </w:r>
      <w:r w:rsidRPr="00474B75">
        <w:rPr>
          <w:vertAlign w:val="superscript"/>
        </w:rPr>
        <w:footnoteReference w:id="410"/>
      </w:r>
      <w:r w:rsidRPr="000F1DE6">
        <w:t xml:space="preserve"> As well as having standing in criminal matters, SA Unions also supported the recommendation of </w:t>
      </w:r>
      <w:r w:rsidRPr="002F17B5">
        <w:t xml:space="preserve">the </w:t>
      </w:r>
      <w:r w:rsidRPr="0036692A">
        <w:rPr>
          <w:i/>
          <w:iCs/>
        </w:rPr>
        <w:t>2022 SA Review</w:t>
      </w:r>
      <w:r w:rsidRPr="002F17B5">
        <w:t xml:space="preserve"> to</w:t>
      </w:r>
      <w:r w:rsidRPr="000F1DE6">
        <w:t xml:space="preserve"> provide standing to workers, families of injured workers, and employee associations to bring civil penalty proceedings for breaches of WHS duties.</w:t>
      </w:r>
      <w:r w:rsidRPr="00474B75">
        <w:rPr>
          <w:vertAlign w:val="superscript"/>
        </w:rPr>
        <w:footnoteReference w:id="411"/>
      </w:r>
    </w:p>
    <w:p w14:paraId="6746DA05" w14:textId="68B8909D" w:rsidR="00F21CE3" w:rsidRDefault="007371AD" w:rsidP="00BF204D">
      <w:pPr>
        <w:pStyle w:val="Boxedshaded"/>
      </w:pPr>
      <w:r w:rsidRPr="000F1DE6">
        <w:t xml:space="preserve">Australian Industry Group and WorkSafe WA submitted </w:t>
      </w:r>
      <w:r>
        <w:t xml:space="preserve">that </w:t>
      </w:r>
      <w:r w:rsidRPr="000F1DE6">
        <w:t xml:space="preserve">the decision to prosecute should be limited to statutory agencies bound to act in the public interest, rather than ‘the rights of one individual or interest group </w:t>
      </w:r>
      <w:r w:rsidRPr="003F0249">
        <w:t>against another’</w:t>
      </w:r>
      <w:r w:rsidR="0003264D">
        <w:t>.</w:t>
      </w:r>
      <w:r w:rsidRPr="003F0249">
        <w:rPr>
          <w:vertAlign w:val="superscript"/>
        </w:rPr>
        <w:footnoteReference w:id="412"/>
      </w:r>
      <w:r w:rsidRPr="003F0249">
        <w:t xml:space="preserve"> AIHS</w:t>
      </w:r>
      <w:r>
        <w:t xml:space="preserve"> </w:t>
      </w:r>
      <w:r w:rsidRPr="000F1DE6">
        <w:t>noted providing standing for prosecution to parties other than the WHS regulator, inspectors and the DPP could risk ‘vexatious litigation from unqualified representatives’</w:t>
      </w:r>
      <w:r>
        <w:t>.</w:t>
      </w:r>
      <w:r w:rsidRPr="000F1DE6">
        <w:rPr>
          <w:vertAlign w:val="superscript"/>
        </w:rPr>
        <w:footnoteReference w:id="413"/>
      </w:r>
      <w:r w:rsidRPr="00744696">
        <w:t xml:space="preserve"> </w:t>
      </w:r>
      <w:r w:rsidRPr="000F1DE6">
        <w:t xml:space="preserve">Industry also submitted </w:t>
      </w:r>
      <w:r>
        <w:t xml:space="preserve">that </w:t>
      </w:r>
      <w:r w:rsidRPr="000F1DE6">
        <w:t xml:space="preserve">giving a range of parties standing for prosecution would upset the power balance between unions and businesses, creating more adversarial workplace dynamics where the model WHS laws intend for unions to have a ‘role of </w:t>
      </w:r>
      <w:r w:rsidR="004C24EB">
        <w:t>“</w:t>
      </w:r>
      <w:r w:rsidRPr="000F1DE6">
        <w:t>assistance</w:t>
      </w:r>
      <w:r w:rsidR="004C24EB">
        <w:t>”</w:t>
      </w:r>
      <w:r w:rsidRPr="000F1DE6">
        <w:t xml:space="preserve"> in WHS matters’</w:t>
      </w:r>
      <w:r>
        <w:t>.</w:t>
      </w:r>
      <w:r w:rsidRPr="00474B75">
        <w:rPr>
          <w:vertAlign w:val="superscript"/>
        </w:rPr>
        <w:footnoteReference w:id="414"/>
      </w:r>
      <w:r w:rsidRPr="000F1DE6">
        <w:t xml:space="preserve"> Industry also expressed concern that unions</w:t>
      </w:r>
      <w:r w:rsidRPr="000F1DE6">
        <w:rPr>
          <w:rFonts w:ascii="Arial" w:hAnsi="Arial" w:cs="Arial"/>
        </w:rPr>
        <w:t> </w:t>
      </w:r>
      <w:r w:rsidRPr="000F1DE6">
        <w:t>could bring</w:t>
      </w:r>
      <w:r w:rsidRPr="000F1DE6">
        <w:rPr>
          <w:rFonts w:ascii="Arial" w:hAnsi="Arial" w:cs="Arial"/>
        </w:rPr>
        <w:t> </w:t>
      </w:r>
      <w:r w:rsidRPr="000F1DE6">
        <w:t>cases for minor breaches which may be disproportionate.</w:t>
      </w:r>
      <w:r w:rsidRPr="00474B75">
        <w:rPr>
          <w:vertAlign w:val="superscript"/>
        </w:rPr>
        <w:footnoteReference w:id="415"/>
      </w:r>
      <w:r w:rsidRPr="000F1DE6">
        <w:t xml:space="preserve"> While industry acknowledged unions have standing to represent workers in civil matters under the FW Act, they argued the objects of these legislative frameworks are different.</w:t>
      </w:r>
      <w:r w:rsidRPr="00474B75">
        <w:rPr>
          <w:vertAlign w:val="superscript"/>
        </w:rPr>
        <w:footnoteReference w:id="416"/>
      </w:r>
    </w:p>
    <w:p w14:paraId="1DC1FC96" w14:textId="77777777" w:rsidR="00F21CE3" w:rsidRDefault="001547C0" w:rsidP="004420D1">
      <w:pPr>
        <w:pStyle w:val="SWAHeading4"/>
      </w:pPr>
      <w:r w:rsidRPr="000F1DE6">
        <w:t>Discussion and recommendations</w:t>
      </w:r>
    </w:p>
    <w:p w14:paraId="759937A3" w14:textId="218F9E8B" w:rsidR="0016789A" w:rsidRDefault="001547C0" w:rsidP="0016789A">
      <w:pPr>
        <w:pStyle w:val="Paragraph"/>
        <w:rPr>
          <w:rFonts w:eastAsia="Arial"/>
        </w:rPr>
      </w:pPr>
      <w:r w:rsidRPr="000F1DE6">
        <w:rPr>
          <w:rFonts w:eastAsia="Arial"/>
        </w:rPr>
        <w:t>The right for persons other than the State to bring private prosecutions is not a novel concept and has historical roots in the common law, which provides a general right to citizens to bring private prosecutions.</w:t>
      </w:r>
      <w:r w:rsidRPr="000F1DE6">
        <w:rPr>
          <w:rFonts w:eastAsia="Arial"/>
          <w:vertAlign w:val="superscript"/>
        </w:rPr>
        <w:footnoteReference w:id="417"/>
      </w:r>
      <w:r w:rsidRPr="000F1DE6">
        <w:rPr>
          <w:rFonts w:eastAsia="Arial"/>
        </w:rPr>
        <w:t xml:space="preserve"> In the case of WHS, that right is removed by the model WHS Act.</w:t>
      </w:r>
      <w:r w:rsidRPr="000F1DE6">
        <w:rPr>
          <w:rFonts w:eastAsia="Arial"/>
          <w:vertAlign w:val="superscript"/>
          <w:lang w:eastAsia="en-US"/>
        </w:rPr>
        <w:t xml:space="preserve"> </w:t>
      </w:r>
      <w:r w:rsidRPr="000F1DE6">
        <w:rPr>
          <w:rFonts w:eastAsia="Arial"/>
        </w:rPr>
        <w:t>The benefits and risks of granting private parties, specifically unions, the right to prosecute has been examined across multiple reviews over time, including during the initial development of the model WHS laws.</w:t>
      </w:r>
      <w:r w:rsidRPr="000F1DE6">
        <w:rPr>
          <w:rStyle w:val="FootnoteReference"/>
          <w:rFonts w:eastAsia="Arial" w:cs="Arial"/>
        </w:rPr>
        <w:footnoteReference w:id="418"/>
      </w:r>
      <w:r w:rsidRPr="000F1DE6">
        <w:rPr>
          <w:rFonts w:eastAsia="Arial"/>
        </w:rPr>
        <w:t xml:space="preserve"> Different reviews have come to different conclusions on the issue, and the </w:t>
      </w:r>
      <w:r w:rsidRPr="005850E7">
        <w:rPr>
          <w:rFonts w:eastAsia="Arial"/>
          <w:i/>
          <w:iCs/>
        </w:rPr>
        <w:t>2008 National Review</w:t>
      </w:r>
      <w:r w:rsidRPr="002F17B5">
        <w:rPr>
          <w:rFonts w:eastAsia="Arial"/>
        </w:rPr>
        <w:t xml:space="preserve"> ultimately</w:t>
      </w:r>
      <w:r w:rsidRPr="000F1DE6">
        <w:rPr>
          <w:rFonts w:eastAsia="Arial"/>
        </w:rPr>
        <w:t xml:space="preserve"> did not support the concept of private prosecution.</w:t>
      </w:r>
      <w:r w:rsidRPr="000F1DE6" w:rsidDel="00D4509A">
        <w:rPr>
          <w:rStyle w:val="FootnoteReference"/>
          <w:rFonts w:eastAsia="Arial" w:cs="Arial"/>
        </w:rPr>
        <w:footnoteReference w:id="419"/>
      </w:r>
      <w:r w:rsidR="0016789A">
        <w:rPr>
          <w:rFonts w:eastAsia="Arial"/>
        </w:rPr>
        <w:br w:type="page"/>
      </w:r>
    </w:p>
    <w:p w14:paraId="79B44BC7" w14:textId="62C44E56" w:rsidR="00F21CE3" w:rsidRDefault="001547C0" w:rsidP="001547C0">
      <w:pPr>
        <w:pStyle w:val="Paragraph"/>
        <w:rPr>
          <w:rFonts w:eastAsia="Arial"/>
        </w:rPr>
      </w:pPr>
      <w:r w:rsidRPr="000F1DE6">
        <w:rPr>
          <w:rFonts w:eastAsia="Arial"/>
        </w:rPr>
        <w:lastRenderedPageBreak/>
        <w:t xml:space="preserve">This Review has considered whether the grounds traditionally relied upon to limit prosecution rights continue to outweigh the benefits of private prosecution. This Review has considered this in the context of not only granting unions the right to prosecute but </w:t>
      </w:r>
      <w:r w:rsidR="004C24EB">
        <w:rPr>
          <w:rFonts w:eastAsia="Arial"/>
        </w:rPr>
        <w:t xml:space="preserve">also </w:t>
      </w:r>
      <w:r w:rsidRPr="000F1DE6">
        <w:rPr>
          <w:rFonts w:eastAsia="Arial"/>
        </w:rPr>
        <w:t>provid</w:t>
      </w:r>
      <w:r w:rsidR="004C24EB">
        <w:rPr>
          <w:rFonts w:eastAsia="Arial"/>
        </w:rPr>
        <w:t>ing</w:t>
      </w:r>
      <w:r w:rsidRPr="000F1DE6">
        <w:rPr>
          <w:rFonts w:eastAsia="Arial"/>
        </w:rPr>
        <w:t xml:space="preserve"> the right to any person, consistent with the common law.</w:t>
      </w:r>
    </w:p>
    <w:p w14:paraId="27398C71" w14:textId="1CB227F9" w:rsidR="001547C0" w:rsidRPr="000F1DE6" w:rsidRDefault="001547C0" w:rsidP="001547C0">
      <w:pPr>
        <w:pStyle w:val="Paragraph"/>
        <w:rPr>
          <w:rFonts w:eastAsia="Arial"/>
        </w:rPr>
      </w:pPr>
      <w:r w:rsidRPr="000F1DE6">
        <w:rPr>
          <w:rFonts w:eastAsia="Arial"/>
        </w:rPr>
        <w:t>Regulators’ capacity to prosecute matters is constrained. During consultation, unions and some regulators acknowledged that funding constraints hinder compliance and enforcement activities, including impacts on inspector capability and availability.</w:t>
      </w:r>
      <w:r w:rsidRPr="000F1DE6">
        <w:rPr>
          <w:rStyle w:val="FootnoteReference"/>
          <w:rFonts w:eastAsia="Arial"/>
        </w:rPr>
        <w:footnoteReference w:id="420"/>
      </w:r>
      <w:r w:rsidRPr="000F1DE6">
        <w:rPr>
          <w:rFonts w:eastAsia="Arial"/>
        </w:rPr>
        <w:t xml:space="preserve"> Regulators in smaller jurisdictions advised they could not pursue proactive compliance and enforcement activities and are forced to be very selective with what matters they progress to prosecution. The ACTU noted </w:t>
      </w:r>
      <w:r w:rsidRPr="002F17B5">
        <w:rPr>
          <w:rFonts w:eastAsia="Arial"/>
        </w:rPr>
        <w:t>incidences where</w:t>
      </w:r>
      <w:r w:rsidRPr="000F1DE6">
        <w:rPr>
          <w:rFonts w:eastAsia="Arial"/>
        </w:rPr>
        <w:t xml:space="preserve"> regulators proceeded with prosecutions relating to serious incidents only after significant union and community advocacy.</w:t>
      </w:r>
      <w:r w:rsidRPr="000F1DE6">
        <w:rPr>
          <w:rStyle w:val="FootnoteReference"/>
          <w:rFonts w:eastAsia="Arial"/>
        </w:rPr>
        <w:footnoteReference w:id="421"/>
      </w:r>
      <w:r w:rsidRPr="000F1DE6">
        <w:rPr>
          <w:rFonts w:eastAsia="Arial"/>
        </w:rPr>
        <w:t xml:space="preserve"> Earlier reviews, including the </w:t>
      </w:r>
      <w:r w:rsidRPr="002F17B5">
        <w:rPr>
          <w:rFonts w:eastAsia="Arial"/>
        </w:rPr>
        <w:t>Occupational Health and Safety Act Review,</w:t>
      </w:r>
      <w:r w:rsidRPr="000F1DE6">
        <w:rPr>
          <w:rFonts w:eastAsia="Arial"/>
        </w:rPr>
        <w:t xml:space="preserve"> envisaged that such constraints could be addressed through increased funding and strengthened compliance and enforcement capacity. In practice, this has not materialised to the extent hoped for, and the constraints have persisted.</w:t>
      </w:r>
    </w:p>
    <w:p w14:paraId="65CD8D96" w14:textId="77777777" w:rsidR="001547C0" w:rsidRPr="000F1DE6" w:rsidRDefault="001547C0" w:rsidP="001547C0">
      <w:pPr>
        <w:pStyle w:val="Paragraph"/>
        <w:rPr>
          <w:rFonts w:eastAsia="Arial"/>
        </w:rPr>
      </w:pPr>
      <w:r w:rsidRPr="000F1DE6">
        <w:rPr>
          <w:rFonts w:eastAsia="Arial"/>
        </w:rPr>
        <w:t xml:space="preserve">Ensuring effective deterrence is critical to the continued effectiveness of the model WHS laws. A harmonised approach is essential for ensuring </w:t>
      </w:r>
      <w:r>
        <w:rPr>
          <w:rFonts w:eastAsia="Arial"/>
        </w:rPr>
        <w:t xml:space="preserve">that </w:t>
      </w:r>
      <w:r w:rsidRPr="000F1DE6">
        <w:rPr>
          <w:rFonts w:eastAsia="Arial"/>
        </w:rPr>
        <w:t>compliance and enforcement approaches are used consistently to respond to breaches of obligations and denial of rights</w:t>
      </w:r>
      <w:r>
        <w:rPr>
          <w:rFonts w:eastAsia="Arial"/>
        </w:rPr>
        <w:t>;</w:t>
      </w:r>
      <w:r w:rsidRPr="000F1DE6">
        <w:rPr>
          <w:rFonts w:eastAsia="Arial"/>
        </w:rPr>
        <w:t xml:space="preserve"> and </w:t>
      </w:r>
      <w:r>
        <w:rPr>
          <w:rFonts w:eastAsia="Arial"/>
        </w:rPr>
        <w:t xml:space="preserve">that </w:t>
      </w:r>
      <w:r w:rsidRPr="000F1DE6">
        <w:rPr>
          <w:rFonts w:eastAsia="Arial"/>
        </w:rPr>
        <w:t>outcomes across Australia are comparable and fair.</w:t>
      </w:r>
    </w:p>
    <w:p w14:paraId="19BD98B9" w14:textId="77777777" w:rsidR="001547C0" w:rsidRPr="000F1DE6" w:rsidRDefault="001547C0" w:rsidP="001547C0">
      <w:pPr>
        <w:pStyle w:val="Paragraph"/>
        <w:rPr>
          <w:rFonts w:eastAsia="Arial"/>
        </w:rPr>
      </w:pPr>
      <w:r w:rsidRPr="000F1DE6">
        <w:rPr>
          <w:rFonts w:eastAsia="Arial"/>
        </w:rPr>
        <w:t>Progress in reducing fatality rates has slowed</w:t>
      </w:r>
      <w:r w:rsidRPr="000F1DE6">
        <w:rPr>
          <w:rStyle w:val="FootnoteReference"/>
          <w:rFonts w:eastAsia="Arial" w:cs="Arial"/>
        </w:rPr>
        <w:footnoteReference w:id="422"/>
      </w:r>
      <w:r w:rsidRPr="000F1DE6">
        <w:rPr>
          <w:rFonts w:eastAsia="Arial"/>
        </w:rPr>
        <w:t xml:space="preserve"> and serious injury and illness rates are increasing, as reflected in the growth of serious workers’ compensation claims, particularly psychological injury claims.</w:t>
      </w:r>
      <w:r w:rsidRPr="000F1DE6">
        <w:rPr>
          <w:rStyle w:val="FootnoteReference"/>
          <w:rFonts w:eastAsia="Arial" w:cs="Arial"/>
        </w:rPr>
        <w:footnoteReference w:id="423"/>
      </w:r>
      <w:r w:rsidRPr="000F1DE6">
        <w:rPr>
          <w:rFonts w:eastAsia="Arial"/>
        </w:rPr>
        <w:t xml:space="preserve"> This raises the question of whether existing enforcement settings continue to incentivise compliance, particularly where some duty holders may perceive investment in safety as affecting profitability</w:t>
      </w:r>
      <w:r w:rsidRPr="000F1DE6">
        <w:rPr>
          <w:rStyle w:val="FootnoteReference"/>
          <w:rFonts w:eastAsia="Arial" w:cs="Arial"/>
        </w:rPr>
        <w:footnoteReference w:id="424"/>
      </w:r>
      <w:r w:rsidRPr="000F1DE6">
        <w:rPr>
          <w:rFonts w:eastAsia="Arial"/>
        </w:rPr>
        <w:t xml:space="preserve"> and where the costs of injury and illness are overwhelmingly borne by workers, families and the broader community. Prosecution outcomes remain uneven across jurisdictions and industries, as reflected in the data at </w:t>
      </w:r>
      <w:r w:rsidRPr="000F1DE6">
        <w:rPr>
          <w:rFonts w:eastAsia="Arial"/>
          <w:b/>
        </w:rPr>
        <w:t>Appendix I</w:t>
      </w:r>
      <w:r w:rsidRPr="000F1DE6">
        <w:rPr>
          <w:rFonts w:eastAsia="Arial"/>
        </w:rPr>
        <w:t>.</w:t>
      </w:r>
    </w:p>
    <w:p w14:paraId="73E355B1" w14:textId="77777777" w:rsidR="00F21CE3" w:rsidRDefault="001547C0" w:rsidP="001547C0">
      <w:pPr>
        <w:pStyle w:val="Paragraph"/>
        <w:rPr>
          <w:rFonts w:eastAsia="Arial"/>
        </w:rPr>
      </w:pPr>
      <w:r w:rsidRPr="000F1DE6">
        <w:rPr>
          <w:rFonts w:eastAsia="Arial"/>
        </w:rPr>
        <w:t>Of particular concern is that</w:t>
      </w:r>
      <w:r>
        <w:rPr>
          <w:rFonts w:eastAsia="Arial"/>
        </w:rPr>
        <w:t>,</w:t>
      </w:r>
      <w:r w:rsidRPr="000F1DE6">
        <w:rPr>
          <w:rFonts w:eastAsia="Arial"/>
        </w:rPr>
        <w:t xml:space="preserve"> despite the risk profiles in many industries, enforcement action remains very low. For example, the healthcare and social assistance industry employs more than 3</w:t>
      </w:r>
      <w:r>
        <w:rPr>
          <w:rFonts w:eastAsia="Arial"/>
        </w:rPr>
        <w:t> </w:t>
      </w:r>
      <w:r w:rsidRPr="000F1DE6">
        <w:rPr>
          <w:rFonts w:eastAsia="Arial"/>
        </w:rPr>
        <w:t>million workers and has the highest number of work-related injuries but saw only 4 successful prosecutions nationally in 2024.</w:t>
      </w:r>
      <w:r w:rsidRPr="000F1DE6">
        <w:rPr>
          <w:rFonts w:eastAsia="Arial"/>
          <w:vertAlign w:val="superscript"/>
        </w:rPr>
        <w:footnoteReference w:id="425"/>
      </w:r>
      <w:r w:rsidRPr="000F1DE6">
        <w:rPr>
          <w:rFonts w:eastAsia="Arial"/>
        </w:rPr>
        <w:t xml:space="preserve"> Pervasive industry hazards such as sexual harassment that disproportionately affect female or diverse workers</w:t>
      </w:r>
      <w:r w:rsidRPr="000F1DE6">
        <w:rPr>
          <w:rFonts w:eastAsia="Arial"/>
          <w:vertAlign w:val="superscript"/>
        </w:rPr>
        <w:footnoteReference w:id="426"/>
      </w:r>
      <w:r w:rsidRPr="00D6484C">
        <w:rPr>
          <w:rFonts w:eastAsia="Arial"/>
        </w:rPr>
        <w:t xml:space="preserve"> </w:t>
      </w:r>
      <w:r w:rsidRPr="000F1DE6">
        <w:rPr>
          <w:rFonts w:eastAsia="Arial"/>
        </w:rPr>
        <w:t>are rarely prosecuted under WHS laws, perpetuating failures to systemically prevent the risk. In effect, prosecutions continue to focus on male-dominated work where there has been a fatality or a serious physical injury.</w:t>
      </w:r>
      <w:r w:rsidRPr="000F1DE6">
        <w:rPr>
          <w:rStyle w:val="FootnoteReference"/>
          <w:rFonts w:eastAsia="Arial" w:cs="Arial"/>
        </w:rPr>
        <w:footnoteReference w:id="427"/>
      </w:r>
    </w:p>
    <w:p w14:paraId="5D695413" w14:textId="58ECC83C" w:rsidR="004420D1" w:rsidRDefault="00F244A5" w:rsidP="00B6310E">
      <w:pPr>
        <w:pStyle w:val="Paragraph"/>
        <w:rPr>
          <w:rFonts w:eastAsia="Arial"/>
        </w:rPr>
      </w:pPr>
      <w:r w:rsidRPr="00896F26">
        <w:rPr>
          <w:rFonts w:eastAsia="Arial"/>
        </w:rPr>
        <w:t>Providing standing to third parties for private prosecution has the potential to strengthen deterrence by</w:t>
      </w:r>
      <w:r w:rsidRPr="000F1DE6">
        <w:rPr>
          <w:rFonts w:eastAsia="Arial"/>
        </w:rPr>
        <w:t xml:space="preserve"> operating as a supplementary enforcement mechanism where a regulator has chosen not to pursue prosecution for reasons such as resource constraints.</w:t>
      </w:r>
    </w:p>
    <w:p w14:paraId="01162ADA" w14:textId="77777777" w:rsidR="004420D1" w:rsidRDefault="004420D1">
      <w:pPr>
        <w:spacing w:after="200" w:line="276" w:lineRule="auto"/>
        <w:contextualSpacing w:val="0"/>
        <w:rPr>
          <w:rFonts w:asciiTheme="minorHAnsi" w:eastAsia="Arial" w:hAnsiTheme="minorHAnsi"/>
          <w:lang w:eastAsia="en-AU"/>
        </w:rPr>
      </w:pPr>
      <w:r>
        <w:rPr>
          <w:rFonts w:eastAsia="Arial"/>
        </w:rPr>
        <w:br w:type="page"/>
      </w:r>
    </w:p>
    <w:p w14:paraId="2CCB535E" w14:textId="77777777" w:rsidR="00F244A5" w:rsidRPr="000F1DE6" w:rsidRDefault="00F244A5" w:rsidP="00F244A5">
      <w:pPr>
        <w:pStyle w:val="Paragraph"/>
        <w:rPr>
          <w:rFonts w:eastAsia="Arial"/>
        </w:rPr>
      </w:pPr>
      <w:r w:rsidRPr="000F1DE6">
        <w:rPr>
          <w:rFonts w:eastAsia="Arial"/>
        </w:rPr>
        <w:lastRenderedPageBreak/>
        <w:t>Private prosecution by unions was previously a longstanding part of the WHS enforcement framework in NSW and the ACT</w:t>
      </w:r>
      <w:r w:rsidRPr="000F1DE6">
        <w:rPr>
          <w:rStyle w:val="FootnoteReference"/>
          <w:rFonts w:eastAsia="Arial" w:cs="Arial"/>
        </w:rPr>
        <w:footnoteReference w:id="428"/>
      </w:r>
      <w:r w:rsidRPr="000F1DE6">
        <w:rPr>
          <w:rFonts w:eastAsia="Arial"/>
        </w:rPr>
        <w:t xml:space="preserve"> prior to the model WHS laws being developed, without evidence that it compromised prosecutorial discretion or resulted in inappropriate or vexatious proceedings being brought.</w:t>
      </w:r>
      <w:r w:rsidRPr="000F1DE6">
        <w:rPr>
          <w:rFonts w:eastAsia="Arial"/>
          <w:vertAlign w:val="superscript"/>
        </w:rPr>
        <w:footnoteReference w:id="429"/>
      </w:r>
      <w:r w:rsidRPr="000F1DE6">
        <w:rPr>
          <w:rFonts w:eastAsia="Arial"/>
        </w:rPr>
        <w:t xml:space="preserve"> Unions initiated a small number of prosecutions under the (pre-model WHS laws) NSW framework, of which a number were successful. One prominent example is the Financial Services Union initiating prosecutions in the 2000s against major banks for failing to protect workers against the risks of persistent armed hold-ups</w:t>
      </w:r>
      <w:r>
        <w:rPr>
          <w:rFonts w:eastAsia="Arial"/>
        </w:rPr>
        <w:t>,</w:t>
      </w:r>
      <w:r w:rsidRPr="000F1DE6">
        <w:rPr>
          <w:rFonts w:eastAsia="Arial"/>
        </w:rPr>
        <w:t xml:space="preserve"> resulting in significant new investments in improved security measures.</w:t>
      </w:r>
      <w:r w:rsidRPr="000F1DE6">
        <w:rPr>
          <w:rStyle w:val="FootnoteReference"/>
          <w:rFonts w:eastAsia="Arial" w:cs="Arial"/>
        </w:rPr>
        <w:footnoteReference w:id="430"/>
      </w:r>
      <w:r w:rsidRPr="000F1DE6">
        <w:rPr>
          <w:rFonts w:eastAsia="Arial"/>
        </w:rPr>
        <w:t xml:space="preserve"> New Zealand has also long permitted private prosecutions by any person other than the regulator, with very few cases</w:t>
      </w:r>
      <w:r w:rsidRPr="000F1DE6" w:rsidDel="00E55F4A">
        <w:rPr>
          <w:rFonts w:eastAsia="Arial"/>
        </w:rPr>
        <w:t xml:space="preserve"> </w:t>
      </w:r>
      <w:r w:rsidRPr="000F1DE6">
        <w:rPr>
          <w:rFonts w:eastAsia="Arial"/>
        </w:rPr>
        <w:t>brought in recent years.</w:t>
      </w:r>
      <w:r w:rsidRPr="000F1DE6">
        <w:rPr>
          <w:rStyle w:val="FootnoteReference"/>
          <w:rFonts w:eastAsia="Arial" w:cs="Arial"/>
        </w:rPr>
        <w:footnoteReference w:id="431"/>
      </w:r>
      <w:r w:rsidRPr="000F1DE6">
        <w:rPr>
          <w:rFonts w:eastAsia="Arial"/>
        </w:rPr>
        <w:t xml:space="preserve"> The New Zealand regulator did not identify</w:t>
      </w:r>
      <w:r w:rsidRPr="000F1DE6" w:rsidDel="00D70C49">
        <w:rPr>
          <w:rFonts w:eastAsia="Arial"/>
        </w:rPr>
        <w:t xml:space="preserve"> </w:t>
      </w:r>
      <w:r w:rsidRPr="000F1DE6">
        <w:rPr>
          <w:rFonts w:eastAsia="Arial"/>
        </w:rPr>
        <w:t>significant concerns arising from the operation of this right.</w:t>
      </w:r>
      <w:r w:rsidRPr="000F1DE6">
        <w:rPr>
          <w:rStyle w:val="FootnoteReference"/>
          <w:rFonts w:eastAsia="Arial" w:cs="Arial"/>
        </w:rPr>
        <w:footnoteReference w:id="432"/>
      </w:r>
    </w:p>
    <w:p w14:paraId="104063FF" w14:textId="77777777" w:rsidR="00F21CE3" w:rsidRDefault="00F244A5" w:rsidP="00F244A5">
      <w:pPr>
        <w:pStyle w:val="Paragraph"/>
        <w:rPr>
          <w:rFonts w:eastAsia="Arial"/>
        </w:rPr>
      </w:pPr>
      <w:r w:rsidRPr="000F1DE6">
        <w:rPr>
          <w:rFonts w:eastAsia="Arial"/>
        </w:rPr>
        <w:t>The risk of ‘frivolous’ proceedings is constrained by practical and institutional factors. Commencing and running a prosecution involves significant cost, time and evidentiary burden. In addition, the rules and structures of courts perform a critical gatekeeping role</w:t>
      </w:r>
      <w:r w:rsidRPr="000F1DE6">
        <w:rPr>
          <w:rStyle w:val="FootnoteReference"/>
          <w:rFonts w:eastAsia="Arial"/>
        </w:rPr>
        <w:footnoteReference w:id="433"/>
      </w:r>
      <w:r w:rsidRPr="000F1DE6">
        <w:rPr>
          <w:rFonts w:eastAsia="Arial"/>
        </w:rPr>
        <w:t xml:space="preserve"> in determining whether proceedings should be initiated and ultimately succeed.</w:t>
      </w:r>
      <w:r w:rsidRPr="000F1DE6">
        <w:rPr>
          <w:rStyle w:val="FootnoteReference"/>
          <w:rFonts w:eastAsia="Arial"/>
        </w:rPr>
        <w:footnoteReference w:id="434"/>
      </w:r>
    </w:p>
    <w:p w14:paraId="23A0D04A" w14:textId="735B4A5A" w:rsidR="00F244A5" w:rsidRPr="000F1DE6" w:rsidRDefault="00F244A5" w:rsidP="00F244A5">
      <w:pPr>
        <w:pStyle w:val="Paragraph"/>
        <w:rPr>
          <w:rFonts w:eastAsia="Arial"/>
        </w:rPr>
      </w:pPr>
      <w:r w:rsidRPr="000F1DE6">
        <w:rPr>
          <w:rFonts w:eastAsia="Arial"/>
        </w:rPr>
        <w:t>This Review considers that providing general standing for third parties to prosecute WHS offences</w:t>
      </w:r>
      <w:r w:rsidRPr="000F1DE6" w:rsidDel="00163BE4">
        <w:rPr>
          <w:rFonts w:eastAsia="Arial"/>
        </w:rPr>
        <w:t xml:space="preserve"> </w:t>
      </w:r>
      <w:r w:rsidRPr="000F1DE6">
        <w:rPr>
          <w:rFonts w:eastAsia="Arial"/>
        </w:rPr>
        <w:t xml:space="preserve">would be consistent with the object of the model WHS Act, which provides that PCBUs, workers and their representatives each have a role to play in influencing and securing work health and safety outcomes. It is also consistent with the fact that the right to a safe and healthy workplace is recognised </w:t>
      </w:r>
      <w:r w:rsidRPr="002F17B5">
        <w:rPr>
          <w:rFonts w:eastAsia="Arial"/>
        </w:rPr>
        <w:t>by ILO Members</w:t>
      </w:r>
      <w:r w:rsidRPr="000F1DE6">
        <w:rPr>
          <w:rFonts w:eastAsia="Arial"/>
        </w:rPr>
        <w:t xml:space="preserve"> (including Australia) as one of the fundamental workplace rights alongside freedom of association and collective bargaining, elimination of forced and compulsory labour, abolition of child labour and elimination of workplace discrimination.</w:t>
      </w:r>
      <w:r w:rsidRPr="000F1DE6">
        <w:rPr>
          <w:rStyle w:val="FootnoteReference"/>
          <w:rFonts w:eastAsia="Arial"/>
        </w:rPr>
        <w:footnoteReference w:id="435"/>
      </w:r>
      <w:r w:rsidRPr="000F1DE6">
        <w:rPr>
          <w:rFonts w:eastAsia="Arial"/>
        </w:rPr>
        <w:t xml:space="preserve"> All other workplace rights are able to be privately litigated.</w:t>
      </w:r>
    </w:p>
    <w:p w14:paraId="6B636AC4" w14:textId="4F1A3DCE" w:rsidR="004420D1" w:rsidRDefault="00F244A5" w:rsidP="00F244A5">
      <w:pPr>
        <w:pStyle w:val="Paragraph"/>
        <w:rPr>
          <w:rFonts w:eastAsia="Arial"/>
        </w:rPr>
      </w:pPr>
      <w:r w:rsidRPr="000F1DE6">
        <w:rPr>
          <w:rFonts w:eastAsia="Arial"/>
        </w:rPr>
        <w:t>This conclusion also accords with the Robens model of self</w:t>
      </w:r>
      <w:r w:rsidRPr="000F1DE6">
        <w:rPr>
          <w:rFonts w:eastAsia="Arial"/>
        </w:rPr>
        <w:noBreakHyphen/>
        <w:t>regulation underpinning the WHS framework. The Robens approach is premised on shared responsibility between business and workers and on the recognition that compliance cannot be secured through a regulator’s inspection, compliance and enforcement activities alone. Regulators cannot be everywhere, and effective risk management depends on behaviours and decisions made within workplaces. A general right of standing to prosecute is consistent with this approach and gives practical effect to the idea that effective WHS outcomes rely on the participation of multiple actors.</w:t>
      </w:r>
    </w:p>
    <w:p w14:paraId="3CC1DB9B" w14:textId="77777777" w:rsidR="004420D1" w:rsidRDefault="004420D1">
      <w:pPr>
        <w:spacing w:after="200" w:line="276" w:lineRule="auto"/>
        <w:contextualSpacing w:val="0"/>
        <w:rPr>
          <w:rFonts w:asciiTheme="minorHAnsi" w:eastAsia="Arial" w:hAnsiTheme="minorHAnsi"/>
          <w:lang w:eastAsia="en-AU"/>
        </w:rPr>
      </w:pPr>
      <w:r>
        <w:rPr>
          <w:rFonts w:eastAsia="Arial"/>
        </w:rPr>
        <w:br w:type="page"/>
      </w:r>
    </w:p>
    <w:p w14:paraId="34BFDDE6" w14:textId="77777777" w:rsidR="00F21CE3" w:rsidRDefault="00F244A5" w:rsidP="00F244A5">
      <w:pPr>
        <w:pStyle w:val="Paragraph"/>
        <w:rPr>
          <w:rFonts w:eastAsia="Arial"/>
        </w:rPr>
      </w:pPr>
      <w:r w:rsidRPr="000F1DE6">
        <w:rPr>
          <w:rFonts w:eastAsia="Arial"/>
        </w:rPr>
        <w:lastRenderedPageBreak/>
        <w:t>This Review therefore recommends providing standing for private prosecution of WHS criminal offences in circumstances where regulators have decided not to bring proceedings. This Review considers that the right should not just be limited to unions but also be made available to anyone, including workers, affected families and PCBUs.</w:t>
      </w:r>
    </w:p>
    <w:p w14:paraId="0D6D013E" w14:textId="1148E683" w:rsidR="00F244A5" w:rsidRPr="000F1DE6" w:rsidRDefault="00F244A5" w:rsidP="00F244A5">
      <w:pPr>
        <w:pStyle w:val="Paragraph"/>
        <w:rPr>
          <w:rFonts w:eastAsia="Arial"/>
          <w:vertAlign w:val="superscript"/>
        </w:rPr>
      </w:pPr>
      <w:r w:rsidRPr="000F1DE6">
        <w:rPr>
          <w:rFonts w:eastAsia="Arial"/>
        </w:rPr>
        <w:t>In doing so, the Review considers the development of effective safeguards are critical to ensure the integrity and consistency of prosecution approaches. This Review considers that a combination of the safeguards in the NSW and New Zealand models provide a sound basis for a model provision. Under the NSW model, registered organisations may bring proceedings only where the regulator has declined to prosecute, the organisation has consulted the regulator, and the matter concerns a member of the organisation, with prosecutions remaining subject to general prosecution guidelines and the DPP’s power to take over or discontinue proceedings.</w:t>
      </w:r>
      <w:r w:rsidRPr="000F1DE6">
        <w:rPr>
          <w:rFonts w:eastAsia="Arial"/>
          <w:vertAlign w:val="superscript"/>
        </w:rPr>
        <w:footnoteReference w:id="436"/>
      </w:r>
      <w:r w:rsidRPr="000F1DE6">
        <w:rPr>
          <w:rFonts w:eastAsia="Arial"/>
        </w:rPr>
        <w:t xml:space="preserve"> New Zealand, which provides the right to any person, has similar additional safeguards.</w:t>
      </w:r>
      <w:r w:rsidRPr="000F1DE6">
        <w:rPr>
          <w:rFonts w:eastAsia="Arial"/>
          <w:vertAlign w:val="superscript"/>
        </w:rPr>
        <w:footnoteReference w:id="437"/>
      </w:r>
    </w:p>
    <w:p w14:paraId="5247F3ED" w14:textId="5F68B94F" w:rsidR="00F244A5" w:rsidRPr="007876E0" w:rsidRDefault="00F244A5" w:rsidP="0016789A">
      <w:pPr>
        <w:pStyle w:val="Paragraph"/>
        <w:spacing w:after="240"/>
        <w:rPr>
          <w:rFonts w:eastAsia="Arial"/>
          <w:vertAlign w:val="superscript"/>
        </w:rPr>
      </w:pPr>
      <w:r w:rsidRPr="000F1DE6">
        <w:rPr>
          <w:rFonts w:eastAsia="Arial"/>
        </w:rPr>
        <w:t>Given the concerns raised by industry representatives, this Review also considers there is merit in providing for a future review of any extended prosecution right. Such a right can only be effective if used appropriately and judiciously and in a manner that preserves the balance between the important objectives of cooperation and deterrence under the model WHS laws. Appropriate safeguards would also prevent vexatious or frivolous prosecutions. A future review should focus on how the right has operated in practice, including the nature and outcomes of cases brought and any impacts on enforcement. This approach would enable assessment of whether the concerns raised in this Review have materialised, reinforce expectations that the right is exercised appropriately, and ensure that any future reconsideration is informed by evidence.</w:t>
      </w:r>
    </w:p>
    <w:tbl>
      <w:tblPr>
        <w:tblStyle w:val="Style5"/>
        <w:tblW w:w="5000" w:type="pct"/>
        <w:tblCellMar>
          <w:top w:w="113" w:type="dxa"/>
          <w:bottom w:w="113" w:type="dxa"/>
        </w:tblCellMar>
        <w:tblLook w:val="04A0" w:firstRow="1" w:lastRow="0" w:firstColumn="1" w:lastColumn="0" w:noHBand="0" w:noVBand="1"/>
      </w:tblPr>
      <w:tblGrid>
        <w:gridCol w:w="9746"/>
      </w:tblGrid>
      <w:tr w:rsidR="00281A46" w14:paraId="274E2BAF" w14:textId="77777777" w:rsidTr="0016789A">
        <w:trPr>
          <w:cnfStyle w:val="100000000000" w:firstRow="1" w:lastRow="0" w:firstColumn="0" w:lastColumn="0" w:oddVBand="0" w:evenVBand="0" w:oddHBand="0" w:evenHBand="0" w:firstRowFirstColumn="0" w:firstRowLastColumn="0" w:lastRowFirstColumn="0" w:lastRowLastColumn="0"/>
        </w:trPr>
        <w:tc>
          <w:tcPr>
            <w:tcW w:w="5000" w:type="pct"/>
          </w:tcPr>
          <w:p w14:paraId="4EC644E7" w14:textId="565A0F55" w:rsidR="00281A46" w:rsidRDefault="00281A46">
            <w:pPr>
              <w:pStyle w:val="Tableheader"/>
            </w:pPr>
            <w:r>
              <w:t>Compliance and enforcement</w:t>
            </w:r>
            <w:r w:rsidR="004420D1">
              <w:t xml:space="preserve"> – Recommendation 10</w:t>
            </w:r>
          </w:p>
        </w:tc>
      </w:tr>
      <w:tr w:rsidR="00281A46" w:rsidRPr="006C7872" w14:paraId="6052ACB3" w14:textId="77777777" w:rsidTr="0016789A">
        <w:tc>
          <w:tcPr>
            <w:tcW w:w="5000" w:type="pct"/>
          </w:tcPr>
          <w:p w14:paraId="2D603EB7" w14:textId="7F6E81F9" w:rsidR="00281A46" w:rsidRPr="0016789A" w:rsidRDefault="00281A46" w:rsidP="004420D1">
            <w:pPr>
              <w:pStyle w:val="Paragraphtable"/>
              <w:rPr>
                <w:sz w:val="21"/>
                <w:szCs w:val="21"/>
              </w:rPr>
            </w:pPr>
            <w:r w:rsidRPr="0016789A">
              <w:rPr>
                <w:sz w:val="21"/>
                <w:szCs w:val="21"/>
              </w:rPr>
              <w:t>Amend the model WHS Act to provide general standing for any person or organisation to prosecute</w:t>
            </w:r>
            <w:r w:rsidRPr="0016789A" w:rsidDel="002F4470">
              <w:rPr>
                <w:sz w:val="21"/>
                <w:szCs w:val="21"/>
              </w:rPr>
              <w:t xml:space="preserve"> </w:t>
            </w:r>
            <w:r w:rsidRPr="0016789A">
              <w:rPr>
                <w:sz w:val="21"/>
                <w:szCs w:val="21"/>
              </w:rPr>
              <w:t xml:space="preserve">WHS offences informed by the </w:t>
            </w:r>
            <w:r w:rsidR="00664056" w:rsidRPr="0016789A">
              <w:rPr>
                <w:sz w:val="21"/>
                <w:szCs w:val="21"/>
              </w:rPr>
              <w:t>New South Wales</w:t>
            </w:r>
            <w:r w:rsidR="00664056" w:rsidRPr="0016789A" w:rsidDel="005D3754">
              <w:rPr>
                <w:sz w:val="21"/>
                <w:szCs w:val="21"/>
              </w:rPr>
              <w:t xml:space="preserve"> (</w:t>
            </w:r>
            <w:r w:rsidRPr="0016789A">
              <w:rPr>
                <w:sz w:val="21"/>
                <w:szCs w:val="21"/>
              </w:rPr>
              <w:t>NSW</w:t>
            </w:r>
            <w:r w:rsidR="00664056" w:rsidRPr="0016789A" w:rsidDel="005D3754">
              <w:rPr>
                <w:sz w:val="21"/>
                <w:szCs w:val="21"/>
              </w:rPr>
              <w:t>)</w:t>
            </w:r>
            <w:r w:rsidRPr="0016789A">
              <w:rPr>
                <w:sz w:val="21"/>
                <w:szCs w:val="21"/>
              </w:rPr>
              <w:t xml:space="preserve"> and New Zealand approaches, with a review of the provisions 3 years after their commencement across all jurisdictions.</w:t>
            </w:r>
          </w:p>
        </w:tc>
      </w:tr>
    </w:tbl>
    <w:p w14:paraId="1E813739" w14:textId="77777777" w:rsidR="00BF2FAC" w:rsidRPr="004F6D78" w:rsidRDefault="00BF2FAC" w:rsidP="004F6D78">
      <w:pPr>
        <w:pStyle w:val="SWAHeading3"/>
      </w:pPr>
      <w:r w:rsidRPr="004F6D78">
        <w:t>Civil penalty proceedings (Part 13, Division 7, ss 254–266, model WHS Act)</w:t>
      </w:r>
    </w:p>
    <w:p w14:paraId="22743584" w14:textId="0340E944" w:rsidR="004420D1" w:rsidRDefault="00BF2FAC" w:rsidP="00BF2FAC">
      <w:pPr>
        <w:pStyle w:val="Paragraph"/>
        <w:rPr>
          <w:rFonts w:eastAsia="Arial"/>
        </w:rPr>
      </w:pPr>
      <w:r w:rsidRPr="000F1DE6">
        <w:rPr>
          <w:rFonts w:eastAsia="Arial"/>
        </w:rPr>
        <w:t>Under the model WHS laws</w:t>
      </w:r>
      <w:r>
        <w:rPr>
          <w:rFonts w:eastAsia="Arial"/>
        </w:rPr>
        <w:t>,</w:t>
      </w:r>
      <w:r w:rsidRPr="000F1DE6">
        <w:rPr>
          <w:rFonts w:eastAsia="Arial"/>
        </w:rPr>
        <w:t xml:space="preserve"> a civil penalty regime applies in relation to right of entry under Part 7. Proceedings for a contravention of a WHS civil penalty provision may only be brought by the regulator or an inspector with the written authorisation of the regulator (either generally or in a particular case).</w:t>
      </w:r>
      <w:r w:rsidRPr="000F1DE6">
        <w:rPr>
          <w:rStyle w:val="FootnoteReference"/>
          <w:rFonts w:eastAsia="Arial"/>
        </w:rPr>
        <w:footnoteReference w:id="438"/>
      </w:r>
      <w:r w:rsidRPr="000F1DE6">
        <w:rPr>
          <w:rFonts w:eastAsia="Arial"/>
        </w:rPr>
        <w:t xml:space="preserve"> The prohibitions relate to both the conduct of WHS entry permit holders</w:t>
      </w:r>
      <w:r w:rsidRPr="000F1DE6">
        <w:rPr>
          <w:rStyle w:val="FootnoteReference"/>
          <w:rFonts w:eastAsia="Arial"/>
        </w:rPr>
        <w:footnoteReference w:id="439"/>
      </w:r>
      <w:r w:rsidRPr="000F1DE6">
        <w:rPr>
          <w:rFonts w:eastAsia="Arial"/>
        </w:rPr>
        <w:t xml:space="preserve"> and persons at the workplace.</w:t>
      </w:r>
      <w:r w:rsidRPr="000F1DE6">
        <w:rPr>
          <w:rStyle w:val="FootnoteReference"/>
          <w:rFonts w:eastAsia="Arial"/>
        </w:rPr>
        <w:footnoteReference w:id="440"/>
      </w:r>
      <w:r w:rsidRPr="000F1DE6">
        <w:rPr>
          <w:rFonts w:eastAsiaTheme="minorHAnsi"/>
          <w:lang w:eastAsia="en-US"/>
        </w:rPr>
        <w:t xml:space="preserve"> A </w:t>
      </w:r>
      <w:r w:rsidRPr="000F1DE6">
        <w:rPr>
          <w:rFonts w:eastAsia="Arial"/>
        </w:rPr>
        <w:t>contravention of a WHS civil penalty provision is not an offence.</w:t>
      </w:r>
      <w:r w:rsidRPr="000F1DE6">
        <w:rPr>
          <w:rStyle w:val="FootnoteReference"/>
          <w:rFonts w:eastAsia="Arial"/>
        </w:rPr>
        <w:footnoteReference w:id="441"/>
      </w:r>
    </w:p>
    <w:p w14:paraId="6C418488" w14:textId="77777777" w:rsidR="004420D1" w:rsidRDefault="004420D1">
      <w:pPr>
        <w:spacing w:after="200" w:line="276" w:lineRule="auto"/>
        <w:contextualSpacing w:val="0"/>
        <w:rPr>
          <w:rFonts w:asciiTheme="minorHAnsi" w:eastAsia="Arial" w:hAnsiTheme="minorHAnsi"/>
          <w:lang w:eastAsia="en-AU"/>
        </w:rPr>
      </w:pPr>
      <w:r>
        <w:rPr>
          <w:rFonts w:eastAsia="Arial"/>
        </w:rPr>
        <w:br w:type="page"/>
      </w:r>
    </w:p>
    <w:p w14:paraId="5F35C412" w14:textId="77777777" w:rsidR="00BF2FAC" w:rsidRPr="001D4316" w:rsidRDefault="00BF2FAC" w:rsidP="0016789A">
      <w:pPr>
        <w:pStyle w:val="Paragraph"/>
        <w:spacing w:after="240"/>
        <w:rPr>
          <w:rFonts w:eastAsia="Arial"/>
          <w:vertAlign w:val="superscript"/>
        </w:rPr>
      </w:pPr>
      <w:r w:rsidRPr="000F1DE6">
        <w:rPr>
          <w:rFonts w:eastAsia="Arial"/>
        </w:rPr>
        <w:lastRenderedPageBreak/>
        <w:t>Recent legislative changes in both NSW</w:t>
      </w:r>
      <w:r w:rsidRPr="000F1DE6">
        <w:rPr>
          <w:rFonts w:eastAsia="Arial"/>
          <w:vertAlign w:val="superscript"/>
        </w:rPr>
        <w:footnoteReference w:id="442"/>
      </w:r>
      <w:r w:rsidRPr="000F1DE6">
        <w:rPr>
          <w:rFonts w:eastAsia="Arial"/>
        </w:rPr>
        <w:t xml:space="preserve"> and Queensland</w:t>
      </w:r>
      <w:r w:rsidRPr="000F1DE6">
        <w:rPr>
          <w:rFonts w:eastAsia="Arial"/>
          <w:vertAlign w:val="superscript"/>
        </w:rPr>
        <w:footnoteReference w:id="443"/>
      </w:r>
      <w:r w:rsidRPr="000F1DE6">
        <w:rPr>
          <w:rFonts w:eastAsia="Arial"/>
        </w:rPr>
        <w:t xml:space="preserve"> </w:t>
      </w:r>
      <w:r w:rsidRPr="002F17B5">
        <w:rPr>
          <w:rFonts w:eastAsia="Arial"/>
        </w:rPr>
        <w:t xml:space="preserve">have expanded </w:t>
      </w:r>
      <w:r w:rsidRPr="002F17B5" w:rsidDel="002F17B5">
        <w:rPr>
          <w:rFonts w:eastAsia="Arial"/>
        </w:rPr>
        <w:t>who</w:t>
      </w:r>
      <w:r w:rsidRPr="000F1DE6" w:rsidDel="002F17B5">
        <w:rPr>
          <w:rFonts w:eastAsia="Arial"/>
        </w:rPr>
        <w:t xml:space="preserve"> </w:t>
      </w:r>
      <w:r w:rsidRPr="000F1DE6">
        <w:rPr>
          <w:rFonts w:eastAsia="Arial"/>
        </w:rPr>
        <w:t>can bring such proceedings.</w:t>
      </w:r>
      <w:r>
        <w:rPr>
          <w:rFonts w:eastAsia="Arial"/>
        </w:rPr>
        <w:t xml:space="preserve"> </w:t>
      </w:r>
      <w:r w:rsidRPr="000F1DE6">
        <w:rPr>
          <w:rFonts w:eastAsia="Arial"/>
        </w:rPr>
        <w:t>In NSW</w:t>
      </w:r>
      <w:r>
        <w:rPr>
          <w:rFonts w:eastAsia="Arial"/>
        </w:rPr>
        <w:t>,</w:t>
      </w:r>
      <w:r w:rsidRPr="000F1DE6">
        <w:rPr>
          <w:rFonts w:eastAsia="Arial"/>
        </w:rPr>
        <w:t xml:space="preserve"> registered unions can bring proceedings on behalf of a person affected by the contravention for any civil penalty proceeding.</w:t>
      </w:r>
      <w:r w:rsidRPr="000F1DE6">
        <w:rPr>
          <w:rStyle w:val="FootnoteReference"/>
          <w:rFonts w:eastAsia="Arial"/>
        </w:rPr>
        <w:footnoteReference w:id="444"/>
      </w:r>
      <w:r w:rsidRPr="000F1DE6">
        <w:rPr>
          <w:rFonts w:eastAsia="Arial"/>
        </w:rPr>
        <w:t xml:space="preserve"> Courts may order a portion of any fine or penalty resulting from a civil proceeding be paid to the registered union.</w:t>
      </w:r>
      <w:r w:rsidRPr="000F1DE6">
        <w:rPr>
          <w:rFonts w:eastAsia="Arial"/>
          <w:vertAlign w:val="superscript"/>
        </w:rPr>
        <w:footnoteReference w:id="445"/>
      </w:r>
      <w:r w:rsidRPr="000F1DE6">
        <w:rPr>
          <w:rFonts w:eastAsia="Arial"/>
        </w:rPr>
        <w:t xml:space="preserve"> Queensland</w:t>
      </w:r>
      <w:r>
        <w:rPr>
          <w:rFonts w:eastAsia="Arial"/>
        </w:rPr>
        <w:t xml:space="preserve"> </w:t>
      </w:r>
      <w:r w:rsidRPr="000F1DE6">
        <w:rPr>
          <w:rFonts w:eastAsia="Arial"/>
        </w:rPr>
        <w:t>permits registered unions, entry permit holders or a person affected by a contravention to bring proceedings for some (but not all) WHS civil penalty provisions.</w:t>
      </w:r>
      <w:r w:rsidRPr="000F1DE6">
        <w:rPr>
          <w:rStyle w:val="FootnoteReference"/>
          <w:rFonts w:eastAsia="Arial"/>
        </w:rPr>
        <w:footnoteReference w:id="446"/>
      </w:r>
    </w:p>
    <w:p w14:paraId="70D5D7C3" w14:textId="77777777" w:rsidR="00F21CE3" w:rsidRDefault="004F6D78" w:rsidP="0016789A">
      <w:pPr>
        <w:pStyle w:val="Boxedshaded"/>
        <w:spacing w:before="120"/>
        <w:rPr>
          <w:b/>
          <w:bCs/>
        </w:rPr>
      </w:pPr>
      <w:r w:rsidRPr="004420D1">
        <w:rPr>
          <w:b/>
          <w:bCs/>
        </w:rPr>
        <w:t>What we heard</w:t>
      </w:r>
    </w:p>
    <w:p w14:paraId="1E9E7A31" w14:textId="51B03D8D" w:rsidR="00F21CE3" w:rsidRDefault="004F6D78" w:rsidP="00BF204D">
      <w:pPr>
        <w:pStyle w:val="Boxedshaded"/>
      </w:pPr>
      <w:r w:rsidRPr="004F6D78">
        <w:t>The ACTU has called for the NSW reforms to be implemented as national best practice.</w:t>
      </w:r>
      <w:r w:rsidRPr="004F6D78">
        <w:rPr>
          <w:vertAlign w:val="superscript"/>
        </w:rPr>
        <w:footnoteReference w:id="447"/>
      </w:r>
      <w:r w:rsidRPr="004F6D78">
        <w:t xml:space="preserve"> The Queensland Council of Unions supported the ACTU position to adopt the ‘more comprehensive’ NSW variation, noting the Queensland amendments largely establish standing for civil proceedings under the Queensland WHS Act that are functionally already available under the FW</w:t>
      </w:r>
      <w:r w:rsidR="00553206">
        <w:t> </w:t>
      </w:r>
      <w:r w:rsidRPr="004F6D78">
        <w:t>Act.</w:t>
      </w:r>
      <w:r w:rsidRPr="004F6D78">
        <w:rPr>
          <w:vertAlign w:val="superscript"/>
        </w:rPr>
        <w:footnoteReference w:id="448"/>
      </w:r>
    </w:p>
    <w:p w14:paraId="0091A425" w14:textId="77777777" w:rsidR="00F21CE3" w:rsidRDefault="004F6D78" w:rsidP="00BF204D">
      <w:pPr>
        <w:pStyle w:val="Boxedshaded"/>
      </w:pPr>
      <w:r w:rsidRPr="004F6D78">
        <w:t>Industry warned against providing unions with rights to commence civil proceedings, citing concerns with ‘fundamentally shifting’ the power dynamic between unions and PCBUs and undermining the model framework’s legitimacy through potential misuse.</w:t>
      </w:r>
      <w:r w:rsidRPr="004F6D78">
        <w:rPr>
          <w:vertAlign w:val="superscript"/>
        </w:rPr>
        <w:footnoteReference w:id="449"/>
      </w:r>
    </w:p>
    <w:p w14:paraId="304B6A14" w14:textId="40C27F12" w:rsidR="00BF2FAC" w:rsidRPr="000F1DE6" w:rsidRDefault="00BF2FAC" w:rsidP="004420D1">
      <w:pPr>
        <w:pStyle w:val="SWAHeading4"/>
      </w:pPr>
      <w:r w:rsidRPr="000F1DE6">
        <w:t>Discussion and recommendations</w:t>
      </w:r>
    </w:p>
    <w:p w14:paraId="77CED16F" w14:textId="77777777" w:rsidR="00F21CE3" w:rsidRDefault="00BF2FAC" w:rsidP="00BF2FAC">
      <w:pPr>
        <w:pStyle w:val="Paragraph"/>
        <w:rPr>
          <w:rFonts w:eastAsia="Arial"/>
        </w:rPr>
      </w:pPr>
      <w:r w:rsidRPr="000F1DE6">
        <w:rPr>
          <w:rFonts w:eastAsia="Arial"/>
        </w:rPr>
        <w:t>This Review recommends providing unions</w:t>
      </w:r>
      <w:r w:rsidRPr="000F1DE6" w:rsidDel="00345478">
        <w:rPr>
          <w:rFonts w:eastAsia="Arial"/>
        </w:rPr>
        <w:t xml:space="preserve"> </w:t>
      </w:r>
      <w:r>
        <w:rPr>
          <w:rFonts w:eastAsia="Arial"/>
        </w:rPr>
        <w:t xml:space="preserve">with </w:t>
      </w:r>
      <w:r w:rsidRPr="000F1DE6">
        <w:rPr>
          <w:rFonts w:eastAsia="Arial"/>
        </w:rPr>
        <w:t>the ability to bring civil penalty proceedings, consistent with NSW’s amendments</w:t>
      </w:r>
      <w:r>
        <w:rPr>
          <w:rFonts w:eastAsia="Arial"/>
        </w:rPr>
        <w:t xml:space="preserve"> </w:t>
      </w:r>
      <w:r w:rsidRPr="000F1DE6">
        <w:rPr>
          <w:rFonts w:eastAsia="Arial"/>
        </w:rPr>
        <w:t>(see </w:t>
      </w:r>
      <w:r w:rsidRPr="000F1DE6">
        <w:rPr>
          <w:rFonts w:eastAsia="Arial"/>
          <w:b/>
        </w:rPr>
        <w:t>Appendix E</w:t>
      </w:r>
      <w:r w:rsidRPr="000F1DE6">
        <w:rPr>
          <w:rFonts w:eastAsia="Arial"/>
        </w:rPr>
        <w:t>,</w:t>
      </w:r>
      <w:r w:rsidRPr="000F1DE6">
        <w:rPr>
          <w:rFonts w:eastAsia="Arial"/>
          <w:b/>
        </w:rPr>
        <w:t> 5A</w:t>
      </w:r>
      <w:r w:rsidRPr="000F1DE6">
        <w:rPr>
          <w:rFonts w:eastAsia="Arial"/>
        </w:rPr>
        <w:t>).</w:t>
      </w:r>
    </w:p>
    <w:p w14:paraId="74A418F7" w14:textId="6E52C14E" w:rsidR="00BF2FAC" w:rsidRPr="000F1DE6" w:rsidRDefault="00BF2FAC" w:rsidP="00BF2FAC">
      <w:pPr>
        <w:pStyle w:val="Paragraph"/>
        <w:rPr>
          <w:rFonts w:eastAsia="Arial"/>
        </w:rPr>
      </w:pPr>
      <w:r w:rsidRPr="000F1DE6">
        <w:rPr>
          <w:rFonts w:eastAsia="Arial"/>
        </w:rPr>
        <w:t xml:space="preserve">This includes standing to pursue a penalty against a PCBU </w:t>
      </w:r>
      <w:r>
        <w:rPr>
          <w:rFonts w:eastAsia="Arial"/>
        </w:rPr>
        <w:t>that</w:t>
      </w:r>
      <w:r w:rsidRPr="000F1DE6">
        <w:rPr>
          <w:rFonts w:eastAsia="Arial"/>
        </w:rPr>
        <w:t>, without reasonable excuse, fails or refuses to comply with a request from a</w:t>
      </w:r>
      <w:r>
        <w:rPr>
          <w:rFonts w:eastAsia="Arial"/>
        </w:rPr>
        <w:t>n</w:t>
      </w:r>
      <w:r w:rsidRPr="000F1DE6">
        <w:rPr>
          <w:rFonts w:eastAsia="Arial"/>
        </w:rPr>
        <w:t xml:space="preserve"> </w:t>
      </w:r>
      <w:r w:rsidRPr="002F17B5">
        <w:rPr>
          <w:rFonts w:eastAsia="Arial"/>
        </w:rPr>
        <w:t>EPH t</w:t>
      </w:r>
      <w:r w:rsidRPr="000F1DE6">
        <w:rPr>
          <w:rFonts w:eastAsia="Arial"/>
        </w:rPr>
        <w:t>o inspect and make copies of documents directly relevant to a suspected contravention.</w:t>
      </w:r>
      <w:r w:rsidRPr="000F1DE6">
        <w:rPr>
          <w:rStyle w:val="FootnoteReference"/>
          <w:rFonts w:eastAsia="Arial"/>
        </w:rPr>
        <w:footnoteReference w:id="450"/>
      </w:r>
      <w:r w:rsidRPr="000F1DE6">
        <w:rPr>
          <w:rFonts w:eastAsia="Arial"/>
        </w:rPr>
        <w:t xml:space="preserve"> During</w:t>
      </w:r>
      <w:r w:rsidRPr="000F1DE6" w:rsidDel="006D3D35">
        <w:rPr>
          <w:rFonts w:eastAsia="Arial"/>
        </w:rPr>
        <w:t xml:space="preserve"> </w:t>
      </w:r>
      <w:r w:rsidRPr="000F1DE6">
        <w:rPr>
          <w:rFonts w:eastAsia="Arial"/>
        </w:rPr>
        <w:t>consultation, this Review heard consistent concerns about the barriers EPHs face in exercising their workplace rights, including to obtain relevant documents from PCBUs. Both PCBUs and EPHs may access dispute resolution mechanisms concerning the exercise of entry rights.</w:t>
      </w:r>
      <w:r w:rsidRPr="000F1DE6">
        <w:rPr>
          <w:rStyle w:val="FootnoteReference"/>
          <w:rFonts w:eastAsia="Arial"/>
        </w:rPr>
        <w:footnoteReference w:id="451"/>
      </w:r>
      <w:r w:rsidRPr="000F1DE6">
        <w:rPr>
          <w:rFonts w:eastAsia="Arial"/>
        </w:rPr>
        <w:t xml:space="preserve"> PCBUs may also pursue improper use of WHS EPH powers, should these occur, by applying to the relevant court or tribunal for a WHS entry permit to be revoked.</w:t>
      </w:r>
      <w:r w:rsidRPr="000F1DE6">
        <w:rPr>
          <w:rStyle w:val="FootnoteReference"/>
          <w:rFonts w:eastAsia="Arial"/>
        </w:rPr>
        <w:footnoteReference w:id="452"/>
      </w:r>
      <w:r w:rsidRPr="000F1DE6">
        <w:rPr>
          <w:rFonts w:eastAsia="Arial"/>
        </w:rPr>
        <w:t xml:space="preserve"> Unions</w:t>
      </w:r>
      <w:r>
        <w:rPr>
          <w:rFonts w:eastAsia="Arial"/>
        </w:rPr>
        <w:t>,</w:t>
      </w:r>
      <w:r w:rsidRPr="000F1DE6">
        <w:rPr>
          <w:rFonts w:eastAsia="Arial"/>
        </w:rPr>
        <w:t xml:space="preserve"> however</w:t>
      </w:r>
      <w:r>
        <w:rPr>
          <w:rFonts w:eastAsia="Arial"/>
        </w:rPr>
        <w:t>,</w:t>
      </w:r>
      <w:r w:rsidRPr="000F1DE6">
        <w:rPr>
          <w:rFonts w:eastAsia="Arial"/>
        </w:rPr>
        <w:t xml:space="preserve"> currently lack an equivalent pathway when PCBUs obstruct or refuse EPH rights under the model Act.</w:t>
      </w:r>
    </w:p>
    <w:p w14:paraId="08F3DE93" w14:textId="77777777" w:rsidR="00F21CE3" w:rsidRDefault="00BF2FAC" w:rsidP="00BF2FAC">
      <w:pPr>
        <w:pStyle w:val="Paragraph"/>
        <w:rPr>
          <w:rFonts w:eastAsia="Arial"/>
          <w:bCs/>
        </w:rPr>
      </w:pPr>
      <w:r w:rsidRPr="000F1DE6">
        <w:rPr>
          <w:rFonts w:eastAsia="Arial"/>
        </w:rPr>
        <w:t>This Review considers that the NSW amendments are consistent with the object of the WHS Act to provide for fair and effective workplace representation.</w:t>
      </w:r>
      <w:r w:rsidRPr="000F1DE6">
        <w:rPr>
          <w:rFonts w:eastAsia="Arial"/>
          <w:vertAlign w:val="superscript"/>
        </w:rPr>
        <w:footnoteReference w:id="453"/>
      </w:r>
      <w:r>
        <w:rPr>
          <w:rFonts w:eastAsia="Arial"/>
          <w:b/>
        </w:rPr>
        <w:t xml:space="preserve"> </w:t>
      </w:r>
      <w:r w:rsidRPr="000F1DE6">
        <w:rPr>
          <w:rFonts w:eastAsia="Arial"/>
          <w:bCs/>
        </w:rPr>
        <w:t>Courts are well placed to manage the risks raised by industry that unions may misuse these enforcement rights.</w:t>
      </w:r>
    </w:p>
    <w:p w14:paraId="6E6E7B33" w14:textId="54457DB1" w:rsidR="004420D1" w:rsidRDefault="004420D1">
      <w:pPr>
        <w:spacing w:after="200" w:line="276" w:lineRule="auto"/>
        <w:contextualSpacing w:val="0"/>
        <w:rPr>
          <w:rFonts w:asciiTheme="minorHAnsi" w:eastAsia="Arial" w:hAnsiTheme="minorHAnsi"/>
          <w:bCs/>
          <w:lang w:eastAsia="en-AU"/>
        </w:rPr>
      </w:pPr>
      <w:r>
        <w:rPr>
          <w:rFonts w:eastAsia="Arial"/>
          <w:bCs/>
        </w:rPr>
        <w:br w:type="page"/>
      </w:r>
    </w:p>
    <w:p w14:paraId="0B065574" w14:textId="77777777" w:rsidR="00BF2FAC" w:rsidRPr="000F1DE6" w:rsidRDefault="00BF2FAC" w:rsidP="00BF2FAC">
      <w:pPr>
        <w:pStyle w:val="SWAHeading3"/>
        <w:spacing w:before="200"/>
      </w:pPr>
      <w:r w:rsidRPr="000F1DE6">
        <w:lastRenderedPageBreak/>
        <w:t>Limitation periods (s 232, model WHS Act)</w:t>
      </w:r>
    </w:p>
    <w:p w14:paraId="51435ADE" w14:textId="77777777" w:rsidR="00F21CE3" w:rsidRDefault="00BF2FAC" w:rsidP="0016789A">
      <w:pPr>
        <w:pStyle w:val="Paragraph"/>
        <w:spacing w:after="240"/>
      </w:pPr>
      <w:r w:rsidRPr="000F1DE6">
        <w:t>Section 232 of the model WHS Act sets out the limitation periods for when proceedings for an offence may begin, which in the model WHS Act and in most jurisdictions is ‘within 2 years after the offence first comes to the notice of the regulator’.</w:t>
      </w:r>
      <w:r w:rsidRPr="000F1DE6">
        <w:rPr>
          <w:rStyle w:val="FootnoteReference"/>
        </w:rPr>
        <w:footnoteReference w:id="454"/>
      </w:r>
      <w:r w:rsidRPr="000F1DE6">
        <w:t xml:space="preserve"> Proceedings for a Category 1 offence can be brought after the end of the applicable limitation period if fresh evidence is discovered and the court is satisfied that the evidence could not reasonably have been discovered within the limitation period.</w:t>
      </w:r>
      <w:r w:rsidRPr="000F1DE6">
        <w:rPr>
          <w:vertAlign w:val="superscript"/>
        </w:rPr>
        <w:footnoteReference w:id="455"/>
      </w:r>
    </w:p>
    <w:p w14:paraId="03799CA0" w14:textId="77777777" w:rsidR="00F21CE3" w:rsidRDefault="0024070A" w:rsidP="004420D1">
      <w:pPr>
        <w:pStyle w:val="Boxedshaded"/>
        <w:rPr>
          <w:b/>
          <w:bCs/>
        </w:rPr>
      </w:pPr>
      <w:r w:rsidRPr="004420D1">
        <w:rPr>
          <w:b/>
          <w:bCs/>
        </w:rPr>
        <w:t>What we heard</w:t>
      </w:r>
    </w:p>
    <w:p w14:paraId="7D3840E0" w14:textId="2001E34C" w:rsidR="0024070A" w:rsidRPr="0024070A" w:rsidRDefault="0024070A" w:rsidP="00BF204D">
      <w:pPr>
        <w:pStyle w:val="Boxedshaded"/>
      </w:pPr>
      <w:r w:rsidRPr="0024070A">
        <w:t>Regulators, unions and affected family and injured worker representatives identified the current 2-year limitation period for most offences as a barrier to the effective enforcement of the model WHS laws. WorkSafe ACT noted no criminal offence in their jurisdiction resulting in death is subject to a limitation period, other than under WHS law.</w:t>
      </w:r>
      <w:r w:rsidRPr="0024070A">
        <w:rPr>
          <w:vertAlign w:val="superscript"/>
        </w:rPr>
        <w:footnoteReference w:id="456"/>
      </w:r>
      <w:r w:rsidRPr="0024070A">
        <w:t xml:space="preserve"> Comcare suggested providing greater clarity on when the 2-year limitation commences, noting that the current definition is open to interpretation.</w:t>
      </w:r>
      <w:r w:rsidRPr="0024070A">
        <w:rPr>
          <w:vertAlign w:val="superscript"/>
        </w:rPr>
        <w:footnoteReference w:id="457"/>
      </w:r>
      <w:r w:rsidRPr="0024070A">
        <w:t xml:space="preserve"> Some family and injured worker representatives argued for removing the 2-year limitation period altogether, while others raised concerns that this could result in matters taking much longer to resolve.</w:t>
      </w:r>
      <w:r w:rsidRPr="0024070A">
        <w:rPr>
          <w:vertAlign w:val="superscript"/>
        </w:rPr>
        <w:footnoteReference w:id="458"/>
      </w:r>
    </w:p>
    <w:p w14:paraId="5B2A7571" w14:textId="77777777" w:rsidR="00BF2FAC" w:rsidRPr="000F1DE6" w:rsidRDefault="00BF2FAC" w:rsidP="004420D1">
      <w:pPr>
        <w:pStyle w:val="SWAHeading4"/>
      </w:pPr>
      <w:r w:rsidRPr="000F1DE6">
        <w:t>Discussion and recommendations</w:t>
      </w:r>
    </w:p>
    <w:p w14:paraId="06E850DD" w14:textId="77777777" w:rsidR="00BF2FAC" w:rsidRPr="000F1DE6" w:rsidRDefault="00BF2FAC" w:rsidP="00BF2FAC">
      <w:pPr>
        <w:pStyle w:val="Paragraph"/>
      </w:pPr>
      <w:r w:rsidRPr="000F1DE6">
        <w:t>A recent NSW court decision</w:t>
      </w:r>
      <w:r w:rsidRPr="000F1DE6">
        <w:rPr>
          <w:vertAlign w:val="superscript"/>
        </w:rPr>
        <w:footnoteReference w:id="459"/>
      </w:r>
      <w:r w:rsidRPr="000F1DE6">
        <w:t xml:space="preserve"> highlighted the impact of the limitation period on prosecutions for occupational diseases and other injuries or illnesses, including asbestosis, silicosis and psychological harms, and has prompted several jurisdictions to amend their limitation provisions as follows:</w:t>
      </w:r>
    </w:p>
    <w:p w14:paraId="1972D57A" w14:textId="77777777" w:rsidR="00BF2FAC" w:rsidRPr="00CD78DC" w:rsidRDefault="00BF2FAC" w:rsidP="008912A9">
      <w:pPr>
        <w:pStyle w:val="ListBullet"/>
      </w:pPr>
      <w:r w:rsidRPr="00CD78DC">
        <w:t>In NSW and the ACT, a proceeding can be brought at the end of the limitation period with the court’s leave if it is in the ‘interests of justice’.</w:t>
      </w:r>
      <w:r w:rsidRPr="00CD78DC">
        <w:rPr>
          <w:vertAlign w:val="superscript"/>
        </w:rPr>
        <w:footnoteReference w:id="460"/>
      </w:r>
    </w:p>
    <w:p w14:paraId="65745CB8" w14:textId="77777777" w:rsidR="00BF2FAC" w:rsidRPr="00CD78DC" w:rsidRDefault="00BF2FAC" w:rsidP="008912A9">
      <w:pPr>
        <w:pStyle w:val="ListBullet"/>
      </w:pPr>
      <w:r w:rsidRPr="00CD78DC">
        <w:t>In Queensland, a proceeding can be brought within 2 years of when the offence first comes to the attention of the prosecutor (rather than the regulator).</w:t>
      </w:r>
      <w:r w:rsidRPr="00CD78DC">
        <w:rPr>
          <w:vertAlign w:val="superscript"/>
        </w:rPr>
        <w:footnoteReference w:id="461"/>
      </w:r>
    </w:p>
    <w:p w14:paraId="4FF198EF" w14:textId="77777777" w:rsidR="00F21CE3" w:rsidRDefault="00BF2FAC" w:rsidP="008912A9">
      <w:pPr>
        <w:pStyle w:val="ListBullet"/>
        <w:rPr>
          <w:vertAlign w:val="superscript"/>
        </w:rPr>
      </w:pPr>
      <w:r w:rsidRPr="00CD78DC">
        <w:t>In WA, a proceeding can be brought up to 6 months after the limitation period if the prosecutor commenced and discontinued, or decided not to commence, proceedings in the original 2 years.</w:t>
      </w:r>
      <w:r w:rsidRPr="00CD78DC">
        <w:rPr>
          <w:vertAlign w:val="superscript"/>
        </w:rPr>
        <w:footnoteReference w:id="462"/>
      </w:r>
    </w:p>
    <w:p w14:paraId="42623E1D" w14:textId="77777777" w:rsidR="00F21CE3" w:rsidRDefault="00BF2FAC" w:rsidP="008912A9">
      <w:pPr>
        <w:pStyle w:val="ListBullet"/>
      </w:pPr>
      <w:r w:rsidRPr="00CD78DC">
        <w:t>In Victoria, the prosecutor can commence proceedings at any time with the DPP’s written authorisation.</w:t>
      </w:r>
      <w:r w:rsidRPr="00CD78DC">
        <w:rPr>
          <w:vertAlign w:val="superscript"/>
        </w:rPr>
        <w:footnoteReference w:id="463"/>
      </w:r>
    </w:p>
    <w:p w14:paraId="3171E14B" w14:textId="0284F972" w:rsidR="004420D1" w:rsidRDefault="004420D1">
      <w:pPr>
        <w:spacing w:after="200" w:line="276" w:lineRule="auto"/>
        <w:contextualSpacing w:val="0"/>
        <w:rPr>
          <w:rFonts w:asciiTheme="minorHAnsi" w:eastAsia="Times New Roman" w:hAnsiTheme="minorHAnsi"/>
          <w:lang w:eastAsia="en-AU"/>
        </w:rPr>
      </w:pPr>
      <w:r>
        <w:br w:type="page"/>
      </w:r>
    </w:p>
    <w:p w14:paraId="42CA1B62" w14:textId="3CB972B2" w:rsidR="00BF2FAC" w:rsidRPr="000F1DE6" w:rsidRDefault="00BF2FAC" w:rsidP="00BF2FAC">
      <w:pPr>
        <w:pStyle w:val="Paragraph"/>
      </w:pPr>
      <w:r w:rsidRPr="000F1DE6">
        <w:lastRenderedPageBreak/>
        <w:t xml:space="preserve">This Review considered each of these approaches in light of the objects of the model WHS Act and </w:t>
      </w:r>
      <w:r w:rsidRPr="000F1DE6" w:rsidDel="008250B2">
        <w:t>stakeholder views</w:t>
      </w:r>
      <w:r w:rsidRPr="000F1DE6">
        <w:t>, balancing timely resolution for PCBUs and families with the public interest in thorough investigations.</w:t>
      </w:r>
      <w:r w:rsidRPr="000F1DE6">
        <w:rPr>
          <w:vertAlign w:val="superscript"/>
        </w:rPr>
        <w:footnoteReference w:id="464"/>
      </w:r>
      <w:r w:rsidRPr="00891299">
        <w:t xml:space="preserve"> </w:t>
      </w:r>
      <w:r w:rsidRPr="000F1DE6">
        <w:t>This Review notes that a longer limitation period may impact the feasibility of a prosecution due to practical constraints, including witness memory loss, investigator turnover and worker mobility. For this reason, this Review does not recommend removing or extending limitation periods, except in relation to industrial manslaughter and Category 1 offences. Removing the limitation period for these offences is consistent with the approaches in most jurisdictions</w:t>
      </w:r>
      <w:r w:rsidRPr="000F1DE6">
        <w:rPr>
          <w:vertAlign w:val="superscript"/>
        </w:rPr>
        <w:footnoteReference w:id="465"/>
      </w:r>
      <w:r w:rsidRPr="000F1DE6">
        <w:t xml:space="preserve"> and aligns with other duty-based safety schemes, including the Heavy Vehicle National Law and Rail Safety National Law.</w:t>
      </w:r>
    </w:p>
    <w:p w14:paraId="6897CD90" w14:textId="77777777" w:rsidR="00F21CE3" w:rsidRDefault="00BF2FAC" w:rsidP="00BF2FAC">
      <w:pPr>
        <w:pStyle w:val="Paragraph"/>
      </w:pPr>
      <w:r w:rsidRPr="000F1DE6">
        <w:t xml:space="preserve">For all other offences, this Review recommends retaining the 2-year limitation but adopting Victoria’s approach of enabling the regulator to commence proceedings at any time with the written authorisation of the </w:t>
      </w:r>
      <w:r w:rsidRPr="000F1DE6">
        <w:rPr>
          <w:rFonts w:eastAsia="Arial"/>
        </w:rPr>
        <w:t xml:space="preserve">DPP (see </w:t>
      </w:r>
      <w:r w:rsidRPr="000F1DE6">
        <w:rPr>
          <w:rFonts w:eastAsia="Arial"/>
          <w:b/>
        </w:rPr>
        <w:t>Appendix E</w:t>
      </w:r>
      <w:r w:rsidRPr="000F1DE6">
        <w:rPr>
          <w:rFonts w:eastAsia="Arial"/>
          <w:bCs/>
        </w:rPr>
        <w:t>,</w:t>
      </w:r>
      <w:r w:rsidRPr="000F1DE6">
        <w:rPr>
          <w:rFonts w:eastAsia="Arial"/>
          <w:b/>
        </w:rPr>
        <w:t xml:space="preserve"> 5B</w:t>
      </w:r>
      <w:r w:rsidRPr="000F1DE6">
        <w:rPr>
          <w:rFonts w:eastAsia="Arial"/>
        </w:rPr>
        <w:t>).</w:t>
      </w:r>
    </w:p>
    <w:p w14:paraId="3A431461" w14:textId="77777777" w:rsidR="00F21CE3" w:rsidRDefault="00BF2FAC" w:rsidP="00BF2FAC">
      <w:pPr>
        <w:pStyle w:val="SWAHeading3"/>
        <w:spacing w:before="200"/>
      </w:pPr>
      <w:r w:rsidRPr="000F1DE6">
        <w:t>Alternative verdicts</w:t>
      </w:r>
    </w:p>
    <w:p w14:paraId="3548DA42" w14:textId="77777777" w:rsidR="00F21CE3" w:rsidRDefault="00BF2FAC" w:rsidP="0016789A">
      <w:pPr>
        <w:pStyle w:val="Paragraph"/>
        <w:spacing w:after="240"/>
      </w:pPr>
      <w:r w:rsidRPr="000F1DE6">
        <w:rPr>
          <w:rFonts w:eastAsia="Arial"/>
        </w:rPr>
        <w:t>Currently, the model WHS Act does not enable courts</w:t>
      </w:r>
      <w:r w:rsidRPr="000F1DE6" w:rsidDel="00DD3DF7">
        <w:rPr>
          <w:rFonts w:eastAsia="Arial"/>
        </w:rPr>
        <w:t xml:space="preserve"> </w:t>
      </w:r>
      <w:r w:rsidRPr="000F1DE6">
        <w:rPr>
          <w:rFonts w:eastAsia="Arial"/>
        </w:rPr>
        <w:t>to consider alternative verdicts when prosecutions are brought. These ‘alternative verdicts’ allow courts, when they are not satisfied a PCBU is guilty of one offence (for example, industrial manslaughter) but are satisfied the PCBU is guilty of another offence (for example, a Category 1 or 2 offence – or ‘alternative offence’), to find the PCBU guilty of that alternative offence.</w:t>
      </w:r>
      <w:r w:rsidRPr="000F1DE6">
        <w:rPr>
          <w:rStyle w:val="FootnoteReference"/>
          <w:rFonts w:eastAsia="Arial" w:cs="Arial"/>
        </w:rPr>
        <w:footnoteReference w:id="466"/>
      </w:r>
      <w:r w:rsidRPr="000F1DE6">
        <w:rPr>
          <w:rFonts w:eastAsia="Arial"/>
        </w:rPr>
        <w:t xml:space="preserve"> Almost all jurisdictions allow for alternative verdicts to industrial manslaughter but with differing approaches to which category offences are available. Queensland</w:t>
      </w:r>
      <w:r w:rsidRPr="000F1DE6">
        <w:rPr>
          <w:rFonts w:eastAsia="Arial"/>
          <w:vertAlign w:val="superscript"/>
        </w:rPr>
        <w:footnoteReference w:id="467"/>
      </w:r>
      <w:r w:rsidRPr="000F1DE6">
        <w:rPr>
          <w:vertAlign w:val="superscript"/>
        </w:rPr>
        <w:t xml:space="preserve"> </w:t>
      </w:r>
      <w:r w:rsidRPr="000F1DE6">
        <w:rPr>
          <w:rFonts w:eastAsia="Arial"/>
        </w:rPr>
        <w:t>and WA</w:t>
      </w:r>
      <w:r w:rsidRPr="000F1DE6">
        <w:rPr>
          <w:rFonts w:eastAsia="Arial"/>
          <w:vertAlign w:val="superscript"/>
        </w:rPr>
        <w:footnoteReference w:id="468"/>
      </w:r>
      <w:r w:rsidRPr="000F1DE6">
        <w:rPr>
          <w:vertAlign w:val="superscript"/>
        </w:rPr>
        <w:t xml:space="preserve"> </w:t>
      </w:r>
      <w:r w:rsidRPr="000F1DE6">
        <w:rPr>
          <w:rFonts w:eastAsia="Arial"/>
        </w:rPr>
        <w:t>have included the capacity to reach alternative verdicts for Category 1 prosecutions. WA also allows alternative verdicts for Category 2 offences.</w:t>
      </w:r>
      <w:r w:rsidRPr="000F1DE6">
        <w:rPr>
          <w:rFonts w:eastAsia="Arial"/>
          <w:vertAlign w:val="superscript"/>
        </w:rPr>
        <w:footnoteReference w:id="469"/>
      </w:r>
    </w:p>
    <w:p w14:paraId="154931A1" w14:textId="77777777" w:rsidR="00F21CE3" w:rsidRDefault="00905A93" w:rsidP="00BF204D">
      <w:pPr>
        <w:pStyle w:val="Boxedshaded"/>
        <w:rPr>
          <w:b/>
          <w:bCs/>
        </w:rPr>
      </w:pPr>
      <w:r w:rsidRPr="004420D1">
        <w:rPr>
          <w:b/>
          <w:bCs/>
        </w:rPr>
        <w:t>What we heard</w:t>
      </w:r>
    </w:p>
    <w:p w14:paraId="400FB84E" w14:textId="77777777" w:rsidR="00F21CE3" w:rsidRDefault="00905A93" w:rsidP="00BF204D">
      <w:pPr>
        <w:pStyle w:val="Boxedshaded"/>
      </w:pPr>
      <w:r w:rsidRPr="000F1DE6">
        <w:t>The Queensland Council of Unions indicated support for the consideration of alternative verdicts,</w:t>
      </w:r>
      <w:r w:rsidRPr="00905A93">
        <w:rPr>
          <w:vertAlign w:val="superscript"/>
        </w:rPr>
        <w:footnoteReference w:id="470"/>
      </w:r>
      <w:r w:rsidRPr="000F1DE6">
        <w:t xml:space="preserve"> including their ability to safeguard against injustices and prevent inefficient use of the regulator’s and court resources when the evidence supports a finding that a breach of the WHS laws has occurred.</w:t>
      </w:r>
    </w:p>
    <w:p w14:paraId="2CF0F7D0" w14:textId="3401B1D3" w:rsidR="00BF2FAC" w:rsidRPr="000F1DE6" w:rsidRDefault="00BF2FAC" w:rsidP="004420D1">
      <w:pPr>
        <w:pStyle w:val="SWAHeading4"/>
      </w:pPr>
      <w:r w:rsidRPr="000F1DE6">
        <w:t>Discussion and recommendations</w:t>
      </w:r>
    </w:p>
    <w:p w14:paraId="335FA581" w14:textId="4A394604" w:rsidR="004420D1" w:rsidRDefault="00BF2FAC" w:rsidP="00BF2FAC">
      <w:pPr>
        <w:pStyle w:val="Paragraph"/>
        <w:rPr>
          <w:rFonts w:eastAsia="Arial"/>
        </w:rPr>
      </w:pPr>
      <w:r w:rsidRPr="000F1DE6">
        <w:rPr>
          <w:rFonts w:eastAsia="Arial"/>
        </w:rPr>
        <w:t>This Review considers the capacity for courts to deliver alternative verdicts fills a gap in the WHS criminal penalty regime and recommends they be allowed for industrial manslaughter</w:t>
      </w:r>
      <w:r w:rsidRPr="000F1DE6" w:rsidDel="00536263">
        <w:rPr>
          <w:rFonts w:eastAsia="Arial"/>
        </w:rPr>
        <w:t xml:space="preserve">, </w:t>
      </w:r>
      <w:r w:rsidRPr="000F1DE6">
        <w:rPr>
          <w:rFonts w:eastAsia="Arial"/>
        </w:rPr>
        <w:t xml:space="preserve">Category 1 and Category 2 offences (see </w:t>
      </w:r>
      <w:r w:rsidRPr="000F1DE6">
        <w:rPr>
          <w:rFonts w:eastAsia="Arial"/>
          <w:b/>
        </w:rPr>
        <w:t>Appendix E</w:t>
      </w:r>
      <w:r w:rsidRPr="000F1DE6">
        <w:rPr>
          <w:rFonts w:eastAsia="Arial"/>
          <w:bCs/>
        </w:rPr>
        <w:t>,</w:t>
      </w:r>
      <w:r w:rsidRPr="000F1DE6">
        <w:rPr>
          <w:rFonts w:eastAsia="Arial"/>
          <w:b/>
        </w:rPr>
        <w:t xml:space="preserve"> 5C</w:t>
      </w:r>
      <w:r w:rsidRPr="000F1DE6">
        <w:rPr>
          <w:rFonts w:eastAsia="Arial"/>
        </w:rPr>
        <w:t>). As part of implementing this recommendation,</w:t>
      </w:r>
      <w:r>
        <w:rPr>
          <w:rFonts w:eastAsia="Arial"/>
        </w:rPr>
        <w:t xml:space="preserve"> </w:t>
      </w:r>
      <w:r w:rsidRPr="000F1DE6">
        <w:rPr>
          <w:rFonts w:eastAsia="Arial"/>
        </w:rPr>
        <w:t>consideration should be given to the Commonwealth, WA, NSW and Queensland approaches</w:t>
      </w:r>
      <w:r>
        <w:rPr>
          <w:rFonts w:eastAsia="Arial"/>
        </w:rPr>
        <w:t>,</w:t>
      </w:r>
      <w:r w:rsidRPr="000F1DE6">
        <w:rPr>
          <w:rFonts w:eastAsia="Arial"/>
        </w:rPr>
        <w:t xml:space="preserve"> including providing for an express statement that no limitation period should apply for an alternative verdict.</w:t>
      </w:r>
      <w:r w:rsidRPr="000F1DE6">
        <w:rPr>
          <w:rStyle w:val="FootnoteReference"/>
          <w:rFonts w:eastAsia="Arial"/>
        </w:rPr>
        <w:footnoteReference w:id="471"/>
      </w:r>
    </w:p>
    <w:p w14:paraId="2934EE28" w14:textId="77777777" w:rsidR="004420D1" w:rsidRDefault="004420D1">
      <w:pPr>
        <w:spacing w:after="200" w:line="276" w:lineRule="auto"/>
        <w:contextualSpacing w:val="0"/>
        <w:rPr>
          <w:rFonts w:asciiTheme="minorHAnsi" w:eastAsia="Arial" w:hAnsiTheme="minorHAnsi"/>
          <w:lang w:eastAsia="en-AU"/>
        </w:rPr>
      </w:pPr>
      <w:r>
        <w:rPr>
          <w:rFonts w:eastAsia="Arial"/>
        </w:rPr>
        <w:br w:type="page"/>
      </w:r>
    </w:p>
    <w:p w14:paraId="775D0F84" w14:textId="77777777" w:rsidR="00BF2FAC" w:rsidRPr="000F1DE6" w:rsidRDefault="00BF2FAC" w:rsidP="00BF2FAC">
      <w:pPr>
        <w:pStyle w:val="SWAHeading3"/>
        <w:spacing w:before="200"/>
      </w:pPr>
      <w:r w:rsidRPr="000F1DE6">
        <w:lastRenderedPageBreak/>
        <w:t>Insurance and indemnity</w:t>
      </w:r>
    </w:p>
    <w:p w14:paraId="15FC6FE2" w14:textId="4588CB7C" w:rsidR="00237F23" w:rsidRDefault="00BF2FAC" w:rsidP="0016789A">
      <w:pPr>
        <w:pStyle w:val="Paragraph"/>
        <w:spacing w:after="240"/>
        <w:rPr>
          <w:rFonts w:eastAsia="Arial"/>
        </w:rPr>
      </w:pPr>
      <w:r w:rsidRPr="000F1DE6">
        <w:rPr>
          <w:rFonts w:eastAsia="Arial"/>
        </w:rPr>
        <w:t xml:space="preserve">Following a recommendation by the </w:t>
      </w:r>
      <w:r w:rsidRPr="00E059D0">
        <w:rPr>
          <w:rFonts w:eastAsia="Arial"/>
          <w:i/>
          <w:iCs/>
        </w:rPr>
        <w:t>2018 National Review</w:t>
      </w:r>
      <w:r w:rsidRPr="000F1DE6">
        <w:rPr>
          <w:rFonts w:eastAsia="Arial"/>
        </w:rPr>
        <w:t>, the model WHS Act was amended to prohibit the taking out of insurance or indemnity for WHS fines.</w:t>
      </w:r>
      <w:r w:rsidRPr="000F1DE6">
        <w:rPr>
          <w:rFonts w:eastAsia="Arial"/>
          <w:vertAlign w:val="superscript"/>
        </w:rPr>
        <w:footnoteReference w:id="472"/>
      </w:r>
      <w:r w:rsidRPr="000F1DE6">
        <w:rPr>
          <w:rFonts w:eastAsia="Arial"/>
        </w:rPr>
        <w:t xml:space="preserve"> However, that prohibition does not extend to preventing PCBUs </w:t>
      </w:r>
      <w:r>
        <w:rPr>
          <w:rFonts w:eastAsia="Arial"/>
        </w:rPr>
        <w:t xml:space="preserve">from </w:t>
      </w:r>
      <w:r w:rsidRPr="000F1DE6">
        <w:rPr>
          <w:rFonts w:eastAsia="Arial"/>
        </w:rPr>
        <w:t>taking out insurance or indemnity against legal costs for related proceedings. Penalties are sometimes small relative to the legal fees incurred defending cases, potentially reducing the deterrent effect from bringing a prosecution.</w:t>
      </w:r>
    </w:p>
    <w:p w14:paraId="459DD60C" w14:textId="77777777" w:rsidR="00F21CE3" w:rsidRDefault="00905A93" w:rsidP="00BF204D">
      <w:pPr>
        <w:pStyle w:val="Boxedshaded"/>
        <w:rPr>
          <w:b/>
          <w:bCs/>
        </w:rPr>
      </w:pPr>
      <w:r w:rsidRPr="004420D1">
        <w:rPr>
          <w:b/>
          <w:bCs/>
        </w:rPr>
        <w:t>What we heard</w:t>
      </w:r>
    </w:p>
    <w:p w14:paraId="4932E30F" w14:textId="77777777" w:rsidR="00F21CE3" w:rsidRDefault="00905A93" w:rsidP="00BF204D">
      <w:pPr>
        <w:pStyle w:val="Boxedshaded"/>
        <w:rPr>
          <w:vertAlign w:val="superscript"/>
        </w:rPr>
      </w:pPr>
      <w:r w:rsidRPr="000F1DE6">
        <w:t>The AIHS noted that</w:t>
      </w:r>
      <w:r>
        <w:t>,</w:t>
      </w:r>
      <w:r w:rsidRPr="000F1DE6">
        <w:t xml:space="preserve"> at the time of the </w:t>
      </w:r>
      <w:r w:rsidRPr="00E059D0">
        <w:rPr>
          <w:i/>
          <w:iCs/>
        </w:rPr>
        <w:t>2018 National Review</w:t>
      </w:r>
      <w:r w:rsidRPr="000F1DE6">
        <w:t>’s insurance reforms, it foresaw this potential loophole and raised concerns that it would undermine the changes,</w:t>
      </w:r>
      <w:r w:rsidRPr="000F1DE6">
        <w:rPr>
          <w:vertAlign w:val="superscript"/>
        </w:rPr>
        <w:footnoteReference w:id="473"/>
      </w:r>
      <w:r w:rsidRPr="006F5290">
        <w:t xml:space="preserve"> </w:t>
      </w:r>
      <w:r w:rsidRPr="000F1DE6">
        <w:t>while industry representatives argued that the ability to have insurance for WHS penalties should be reinstated for officers.</w:t>
      </w:r>
      <w:r w:rsidRPr="000F1DE6">
        <w:rPr>
          <w:vertAlign w:val="superscript"/>
        </w:rPr>
        <w:footnoteReference w:id="474"/>
      </w:r>
    </w:p>
    <w:p w14:paraId="0073B8E2" w14:textId="3603C1E9" w:rsidR="00BF2FAC" w:rsidRPr="000F1DE6" w:rsidRDefault="00BF2FAC" w:rsidP="004420D1">
      <w:pPr>
        <w:pStyle w:val="SWAHeading4"/>
      </w:pPr>
      <w:r w:rsidRPr="000F1DE6">
        <w:t>Discussion and recommendations</w:t>
      </w:r>
    </w:p>
    <w:p w14:paraId="72886B00" w14:textId="77777777" w:rsidR="00BF2FAC" w:rsidRDefault="00BF2FAC" w:rsidP="0016789A">
      <w:pPr>
        <w:pStyle w:val="Paragraph"/>
        <w:spacing w:after="240"/>
        <w:rPr>
          <w:rFonts w:eastAsia="Arial"/>
        </w:rPr>
      </w:pPr>
      <w:r w:rsidRPr="000F1DE6">
        <w:rPr>
          <w:rFonts w:eastAsia="Arial"/>
        </w:rPr>
        <w:t xml:space="preserve">This Review recommends the model WHS Act be amended to prohibit a contract of insurance or other arrangement under which the person or another person is covered for legal costs associated with a WHS prosecution or proceeding. This is consistent with the intent of the previous insurance reforms to make WHS penalties stick and prevent them </w:t>
      </w:r>
      <w:r>
        <w:rPr>
          <w:rFonts w:eastAsia="Arial"/>
        </w:rPr>
        <w:t xml:space="preserve">from </w:t>
      </w:r>
      <w:r w:rsidRPr="000F1DE6">
        <w:rPr>
          <w:rFonts w:eastAsia="Arial"/>
        </w:rPr>
        <w:t>being seen as just another cost of doing business.</w:t>
      </w:r>
      <w:r w:rsidRPr="000F1DE6">
        <w:rPr>
          <w:rStyle w:val="FootnoteReference"/>
          <w:rFonts w:eastAsia="Arial" w:cs="Arial"/>
        </w:rPr>
        <w:footnoteReference w:id="475"/>
      </w:r>
      <w:r w:rsidRPr="000F1DE6">
        <w:rPr>
          <w:rFonts w:eastAsia="Arial"/>
        </w:rPr>
        <w:t xml:space="preserve"> This approach is also consistent with recent reforms prohibiting companies from indemnifying directors against penalties under the Australian Consumer Law and from any legal cost incurred in defending an action where a director is found to be liable.</w:t>
      </w:r>
      <w:r w:rsidRPr="000F1DE6">
        <w:rPr>
          <w:rFonts w:eastAsia="Arial"/>
          <w:vertAlign w:val="superscript"/>
        </w:rPr>
        <w:footnoteReference w:id="476"/>
      </w:r>
      <w:r w:rsidRPr="001E4D84">
        <w:rPr>
          <w:rFonts w:eastAsia="Arial"/>
        </w:rPr>
        <w:t xml:space="preserve"> </w:t>
      </w:r>
    </w:p>
    <w:tbl>
      <w:tblPr>
        <w:tblStyle w:val="Style5"/>
        <w:tblW w:w="5000" w:type="pct"/>
        <w:tblCellMar>
          <w:top w:w="113" w:type="dxa"/>
          <w:bottom w:w="113" w:type="dxa"/>
        </w:tblCellMar>
        <w:tblLook w:val="04A0" w:firstRow="1" w:lastRow="0" w:firstColumn="1" w:lastColumn="0" w:noHBand="0" w:noVBand="1"/>
      </w:tblPr>
      <w:tblGrid>
        <w:gridCol w:w="9746"/>
      </w:tblGrid>
      <w:tr w:rsidR="00905A93" w14:paraId="03AEDBBB" w14:textId="77777777" w:rsidTr="0016789A">
        <w:trPr>
          <w:cnfStyle w:val="100000000000" w:firstRow="1" w:lastRow="0" w:firstColumn="0" w:lastColumn="0" w:oddVBand="0" w:evenVBand="0" w:oddHBand="0" w:evenHBand="0" w:firstRowFirstColumn="0" w:firstRowLastColumn="0" w:lastRowFirstColumn="0" w:lastRowLastColumn="0"/>
          <w:trHeight w:val="125"/>
        </w:trPr>
        <w:tc>
          <w:tcPr>
            <w:tcW w:w="5000" w:type="pct"/>
          </w:tcPr>
          <w:p w14:paraId="3A9510B6" w14:textId="5F2D234A" w:rsidR="00905A93" w:rsidRDefault="00905A93">
            <w:pPr>
              <w:pStyle w:val="Tableheader"/>
            </w:pPr>
            <w:r>
              <w:t>Compliance and enforcement</w:t>
            </w:r>
            <w:r w:rsidR="004420D1">
              <w:t xml:space="preserve"> – Recommendation 11</w:t>
            </w:r>
          </w:p>
        </w:tc>
      </w:tr>
      <w:tr w:rsidR="00905A93" w:rsidRPr="006C7872" w14:paraId="63DE26C2" w14:textId="77777777" w:rsidTr="0016789A">
        <w:trPr>
          <w:trHeight w:val="545"/>
        </w:trPr>
        <w:tc>
          <w:tcPr>
            <w:tcW w:w="5000" w:type="pct"/>
          </w:tcPr>
          <w:p w14:paraId="66303E97" w14:textId="16271EE3" w:rsidR="00905A93" w:rsidRPr="0016789A" w:rsidRDefault="00862525" w:rsidP="004420D1">
            <w:pPr>
              <w:pStyle w:val="Paragraphtable"/>
              <w:rPr>
                <w:sz w:val="21"/>
                <w:szCs w:val="21"/>
              </w:rPr>
            </w:pPr>
            <w:r w:rsidRPr="0016789A">
              <w:rPr>
                <w:rFonts w:eastAsia="Segoe UI"/>
                <w:sz w:val="21"/>
                <w:szCs w:val="21"/>
              </w:rPr>
              <w:t>Amend the model WHS Act to ensure that a contract of insurance or grant of indemnity cannot be used to cover the legal fees of a person subject to a WHS prosecution.</w:t>
            </w:r>
          </w:p>
        </w:tc>
      </w:tr>
    </w:tbl>
    <w:p w14:paraId="317C3CB2" w14:textId="77777777" w:rsidR="006E1660" w:rsidRPr="000F1DE6" w:rsidRDefault="006E1660" w:rsidP="006E1660">
      <w:pPr>
        <w:pStyle w:val="SWAHeading3"/>
        <w:spacing w:before="200"/>
        <w:rPr>
          <w:rFonts w:eastAsia="Arial"/>
        </w:rPr>
      </w:pPr>
      <w:r w:rsidRPr="000F1DE6">
        <w:rPr>
          <w:rFonts w:eastAsia="Arial"/>
        </w:rPr>
        <w:t>Non-disclosure agreements</w:t>
      </w:r>
    </w:p>
    <w:p w14:paraId="22059685" w14:textId="77777777" w:rsidR="00F21CE3" w:rsidRDefault="006E1660" w:rsidP="00BF204D">
      <w:pPr>
        <w:pStyle w:val="Boxedshaded"/>
        <w:rPr>
          <w:b/>
          <w:bCs/>
        </w:rPr>
      </w:pPr>
      <w:r w:rsidRPr="004420D1">
        <w:rPr>
          <w:b/>
          <w:bCs/>
        </w:rPr>
        <w:t>What we heard</w:t>
      </w:r>
    </w:p>
    <w:p w14:paraId="77705322" w14:textId="3454531F" w:rsidR="000865C1" w:rsidRDefault="000865C1" w:rsidP="00BF204D">
      <w:pPr>
        <w:pStyle w:val="Boxedshaded"/>
      </w:pPr>
      <w:r w:rsidRPr="000865C1">
        <w:t>Regulators and WHS advocates told this Review that non-disclosure agreements (NDAs) are being used to impede WHS investigations, limit information-sharing and undermine compliance and enforcement activities.</w:t>
      </w:r>
      <w:r w:rsidRPr="000865C1">
        <w:rPr>
          <w:vertAlign w:val="superscript"/>
        </w:rPr>
        <w:footnoteReference w:id="477"/>
      </w:r>
    </w:p>
    <w:p w14:paraId="06CCF2F7" w14:textId="77777777" w:rsidR="006E1660" w:rsidRPr="00AE4993" w:rsidRDefault="006E1660" w:rsidP="004420D1">
      <w:pPr>
        <w:pStyle w:val="SWAHeading4"/>
      </w:pPr>
      <w:r w:rsidRPr="00AE4993">
        <w:t>Discussion and recommendations</w:t>
      </w:r>
    </w:p>
    <w:p w14:paraId="415EE065" w14:textId="3B5CB461" w:rsidR="004420D1" w:rsidRDefault="006E1660" w:rsidP="0016789A">
      <w:pPr>
        <w:pStyle w:val="Paragraph"/>
        <w:rPr>
          <w:rFonts w:eastAsia="Arial"/>
        </w:rPr>
      </w:pPr>
      <w:r w:rsidRPr="000F1DE6">
        <w:rPr>
          <w:rFonts w:eastAsia="Arial"/>
        </w:rPr>
        <w:t>While NDAs cannot lawfully displace statutory WHS obligations, this Review notes they appear nevertheless to be discouraging reporting of WHS risks and cooperation with regulators’ investigations in practice.</w:t>
      </w:r>
      <w:r w:rsidR="004420D1">
        <w:rPr>
          <w:rFonts w:eastAsia="Arial"/>
        </w:rPr>
        <w:br w:type="page"/>
      </w:r>
    </w:p>
    <w:p w14:paraId="2A24E44D" w14:textId="0A71D9D6" w:rsidR="009D4C27" w:rsidRDefault="006E1660" w:rsidP="0016789A">
      <w:pPr>
        <w:pStyle w:val="Paragraph"/>
        <w:spacing w:after="240"/>
        <w:rPr>
          <w:rFonts w:eastAsia="Arial"/>
        </w:rPr>
      </w:pPr>
      <w:r w:rsidRPr="000F1DE6">
        <w:rPr>
          <w:rFonts w:eastAsia="Arial"/>
        </w:rPr>
        <w:lastRenderedPageBreak/>
        <w:t xml:space="preserve">This Review therefore recommends limiting the use of NDAs that prevent a worker from raising WHS concerns, making complaints to WHS regulators or participating in WHS investigations, with amendments to be informed by Victorian reforms under the </w:t>
      </w:r>
      <w:r w:rsidRPr="000F1DE6">
        <w:rPr>
          <w:rFonts w:eastAsia="Arial"/>
          <w:i/>
        </w:rPr>
        <w:t xml:space="preserve">Restricting Non-disclosure Agreements (Sexual Harassment at Work) </w:t>
      </w:r>
      <w:r w:rsidRPr="000F1DE6">
        <w:rPr>
          <w:rFonts w:eastAsia="Arial"/>
          <w:i/>
          <w:iCs/>
        </w:rPr>
        <w:t>Act</w:t>
      </w:r>
      <w:r w:rsidRPr="000F1DE6">
        <w:rPr>
          <w:rFonts w:eastAsia="Arial" w:cs="Arial"/>
          <w:i/>
          <w:iCs/>
        </w:rPr>
        <w:t> </w:t>
      </w:r>
      <w:r w:rsidRPr="000F1DE6">
        <w:rPr>
          <w:rFonts w:eastAsia="Arial"/>
          <w:i/>
          <w:iCs/>
        </w:rPr>
        <w:t>2025</w:t>
      </w:r>
      <w:r w:rsidRPr="000F1DE6">
        <w:rPr>
          <w:rFonts w:eastAsia="Arial"/>
        </w:rPr>
        <w:t xml:space="preserve"> (Vic). Those reforms require specific preconditions to be met before a workplace NDA can be entered into, including safeguards against pressure or influence.</w:t>
      </w:r>
    </w:p>
    <w:tbl>
      <w:tblPr>
        <w:tblStyle w:val="Style5"/>
        <w:tblW w:w="5000" w:type="pct"/>
        <w:tblCellMar>
          <w:top w:w="113" w:type="dxa"/>
          <w:bottom w:w="113" w:type="dxa"/>
        </w:tblCellMar>
        <w:tblLook w:val="04A0" w:firstRow="1" w:lastRow="0" w:firstColumn="1" w:lastColumn="0" w:noHBand="0" w:noVBand="1"/>
      </w:tblPr>
      <w:tblGrid>
        <w:gridCol w:w="9746"/>
      </w:tblGrid>
      <w:tr w:rsidR="009D4C27" w14:paraId="2199AEF5" w14:textId="77777777" w:rsidTr="0016789A">
        <w:trPr>
          <w:cnfStyle w:val="100000000000" w:firstRow="1" w:lastRow="0" w:firstColumn="0" w:lastColumn="0" w:oddVBand="0" w:evenVBand="0" w:oddHBand="0" w:evenHBand="0" w:firstRowFirstColumn="0" w:firstRowLastColumn="0" w:lastRowFirstColumn="0" w:lastRowLastColumn="0"/>
          <w:trHeight w:val="125"/>
        </w:trPr>
        <w:tc>
          <w:tcPr>
            <w:tcW w:w="5000" w:type="pct"/>
          </w:tcPr>
          <w:p w14:paraId="23201A32" w14:textId="1FE28C38" w:rsidR="009D4C27" w:rsidRDefault="009D4C27">
            <w:pPr>
              <w:pStyle w:val="Tableheader"/>
            </w:pPr>
            <w:r>
              <w:t>Compliance and enforcement</w:t>
            </w:r>
            <w:r w:rsidR="004420D1">
              <w:t xml:space="preserve"> – Recommendation 12</w:t>
            </w:r>
          </w:p>
        </w:tc>
      </w:tr>
      <w:tr w:rsidR="009D4C27" w:rsidRPr="006C7872" w14:paraId="7C2A9220" w14:textId="77777777" w:rsidTr="0016789A">
        <w:trPr>
          <w:trHeight w:val="732"/>
        </w:trPr>
        <w:tc>
          <w:tcPr>
            <w:tcW w:w="5000" w:type="pct"/>
          </w:tcPr>
          <w:p w14:paraId="1FD9A8B9" w14:textId="6ADE207A" w:rsidR="009D4C27" w:rsidRPr="0016789A" w:rsidRDefault="009D4C27" w:rsidP="004420D1">
            <w:pPr>
              <w:pStyle w:val="Paragraphtable"/>
              <w:rPr>
                <w:sz w:val="21"/>
                <w:szCs w:val="21"/>
              </w:rPr>
            </w:pPr>
            <w:r w:rsidRPr="0016789A">
              <w:rPr>
                <w:rFonts w:eastAsia="Arial"/>
                <w:sz w:val="21"/>
                <w:szCs w:val="21"/>
              </w:rPr>
              <w:t>Amend the model WHS Act to impose limits on the use of non-disclosure agreements where WHS rights and obligations under the model WHS Act might be compromised, drawing on the </w:t>
            </w:r>
            <w:hyperlink r:id="rId36">
              <w:r w:rsidRPr="00AC1858">
                <w:rPr>
                  <w:rStyle w:val="Hyperlink"/>
                  <w:rFonts w:eastAsia="Arial"/>
                  <w:i/>
                  <w:sz w:val="21"/>
                  <w:szCs w:val="21"/>
                </w:rPr>
                <w:t>Restricting Non-disclosure Agreements (Sexual Harassment at Work) Act 2025</w:t>
              </w:r>
              <w:r w:rsidRPr="00AC1858">
                <w:rPr>
                  <w:rStyle w:val="Hyperlink"/>
                  <w:rFonts w:eastAsia="Arial"/>
                  <w:sz w:val="21"/>
                  <w:szCs w:val="21"/>
                </w:rPr>
                <w:t xml:space="preserve"> (Vic)</w:t>
              </w:r>
            </w:hyperlink>
            <w:r w:rsidRPr="0016789A">
              <w:rPr>
                <w:sz w:val="21"/>
                <w:szCs w:val="21"/>
              </w:rPr>
              <w:t>.</w:t>
            </w:r>
          </w:p>
        </w:tc>
      </w:tr>
    </w:tbl>
    <w:p w14:paraId="0E152009" w14:textId="77777777" w:rsidR="00F21CE3" w:rsidRDefault="00430B24" w:rsidP="00430B24">
      <w:pPr>
        <w:pStyle w:val="SWAHeading3"/>
        <w:spacing w:before="200"/>
        <w:rPr>
          <w:rFonts w:eastAsia="Arial"/>
        </w:rPr>
      </w:pPr>
      <w:r w:rsidRPr="000F1DE6">
        <w:rPr>
          <w:rFonts w:eastAsia="Arial"/>
        </w:rPr>
        <w:t>Infringement notices</w:t>
      </w:r>
    </w:p>
    <w:p w14:paraId="0A56632D" w14:textId="77777777" w:rsidR="00F21CE3" w:rsidRDefault="00430B24" w:rsidP="0016789A">
      <w:pPr>
        <w:pStyle w:val="Paragraph"/>
        <w:spacing w:after="240"/>
        <w:rPr>
          <w:rFonts w:eastAsia="Arial"/>
        </w:rPr>
      </w:pPr>
      <w:r w:rsidRPr="000F1DE6">
        <w:rPr>
          <w:rFonts w:eastAsia="Arial"/>
        </w:rPr>
        <w:t>The model WHS Act provides for the issuing of infringement notices and includes a jurisdictional note to allow jurisdictions to establish their own infringement scheme within local arrangements</w:t>
      </w:r>
      <w:r>
        <w:rPr>
          <w:rFonts w:eastAsia="Arial"/>
        </w:rPr>
        <w:t>.</w:t>
      </w:r>
      <w:r w:rsidRPr="000F1DE6">
        <w:rPr>
          <w:rFonts w:eastAsia="Arial"/>
          <w:vertAlign w:val="superscript"/>
        </w:rPr>
        <w:footnoteReference w:id="478"/>
      </w:r>
      <w:r w:rsidRPr="000F1DE6">
        <w:rPr>
          <w:rFonts w:eastAsia="Arial"/>
        </w:rPr>
        <w:t xml:space="preserve"> This has led to variations across the country, including in the provisions to which infringements apply and the associated</w:t>
      </w:r>
      <w:r>
        <w:rPr>
          <w:rFonts w:eastAsia="Arial"/>
        </w:rPr>
        <w:t xml:space="preserve"> </w:t>
      </w:r>
      <w:r w:rsidRPr="000F1DE6">
        <w:rPr>
          <w:rFonts w:eastAsia="Arial"/>
        </w:rPr>
        <w:t>penalty amounts.</w:t>
      </w:r>
      <w:r w:rsidRPr="000F1DE6">
        <w:rPr>
          <w:rFonts w:eastAsia="Arial"/>
          <w:vertAlign w:val="superscript"/>
        </w:rPr>
        <w:footnoteReference w:id="479"/>
      </w:r>
    </w:p>
    <w:p w14:paraId="17FB40A9" w14:textId="77777777" w:rsidR="00F21CE3" w:rsidRDefault="000A58F8" w:rsidP="00BF204D">
      <w:pPr>
        <w:pStyle w:val="Boxedshaded"/>
        <w:rPr>
          <w:b/>
          <w:bCs/>
        </w:rPr>
      </w:pPr>
      <w:r w:rsidRPr="004420D1">
        <w:rPr>
          <w:b/>
          <w:bCs/>
        </w:rPr>
        <w:t>What we heard</w:t>
      </w:r>
    </w:p>
    <w:p w14:paraId="314D74D4" w14:textId="77777777" w:rsidR="00F21CE3" w:rsidRDefault="00806AA7" w:rsidP="00BF204D">
      <w:pPr>
        <w:pStyle w:val="Boxedshaded"/>
      </w:pPr>
      <w:r w:rsidRPr="00806AA7">
        <w:t>This Review heard broad support for harmonising infringement notice provisions. Some regulators supported the NSW approach of prescribing a broad range of offences for infringement notices as best practice.</w:t>
      </w:r>
      <w:r w:rsidRPr="000F1DE6">
        <w:rPr>
          <w:rFonts w:eastAsia="Arial"/>
          <w:vertAlign w:val="superscript"/>
        </w:rPr>
        <w:footnoteReference w:id="480"/>
      </w:r>
      <w:r w:rsidRPr="00806AA7">
        <w:t xml:space="preserve"> Some unions supported increased use of infringement notices by regulators to ensure clear breaches are penalised quickly and visibly.</w:t>
      </w:r>
      <w:r w:rsidRPr="000F1DE6">
        <w:rPr>
          <w:rFonts w:eastAsia="Arial"/>
          <w:vertAlign w:val="superscript"/>
        </w:rPr>
        <w:footnoteReference w:id="481"/>
      </w:r>
    </w:p>
    <w:p w14:paraId="1B10FCD2" w14:textId="1CEC5389" w:rsidR="00430B24" w:rsidRPr="000F1DE6" w:rsidRDefault="00430B24" w:rsidP="004420D1">
      <w:pPr>
        <w:pStyle w:val="SWAHeading4"/>
      </w:pPr>
      <w:r w:rsidRPr="000F1DE6">
        <w:t>Discussion and recommendations</w:t>
      </w:r>
    </w:p>
    <w:p w14:paraId="0956C83A" w14:textId="77777777" w:rsidR="00F21CE3" w:rsidRDefault="00430B24" w:rsidP="00430B24">
      <w:pPr>
        <w:pStyle w:val="Paragraph"/>
      </w:pPr>
      <w:r w:rsidRPr="000F1DE6">
        <w:t>Infringement notices are an important tool in the WHS compliance ‘toolbox’. They can improve timeliness in responding to WHS risks and reduce reliance on full investigation or prosecutions for clear contraventions.</w:t>
      </w:r>
    </w:p>
    <w:p w14:paraId="3E3980A5" w14:textId="554F504B" w:rsidR="00F21CE3" w:rsidRDefault="00430B24" w:rsidP="00430B24">
      <w:pPr>
        <w:pStyle w:val="Paragraph"/>
      </w:pPr>
      <w:r w:rsidRPr="000F1DE6">
        <w:t xml:space="preserve">Noting the discussion and recommendations in </w:t>
      </w:r>
      <w:r w:rsidRPr="000F1DE6">
        <w:rPr>
          <w:b/>
        </w:rPr>
        <w:t>Chapter 1.</w:t>
      </w:r>
      <w:r w:rsidRPr="002F17B5">
        <w:rPr>
          <w:b/>
        </w:rPr>
        <w:t xml:space="preserve">3 </w:t>
      </w:r>
      <w:r w:rsidR="00553206">
        <w:rPr>
          <w:rFonts w:ascii="Symbol" w:eastAsia="Symbol" w:hAnsi="Symbol" w:cs="Symbol"/>
        </w:rPr>
        <w:t>-</w:t>
      </w:r>
      <w:r w:rsidRPr="0080185B">
        <w:t xml:space="preserve"> </w:t>
      </w:r>
      <w:r w:rsidRPr="002F17B5">
        <w:t xml:space="preserve">Harmonisation in the approach to compliance and enforcement </w:t>
      </w:r>
      <w:r w:rsidR="00553206">
        <w:rPr>
          <w:rFonts w:ascii="Symbol" w:eastAsia="Symbol" w:hAnsi="Symbol" w:cs="Symbol"/>
        </w:rPr>
        <w:t>-</w:t>
      </w:r>
      <w:r w:rsidRPr="002F17B5">
        <w:t xml:space="preserve"> on</w:t>
      </w:r>
      <w:r w:rsidRPr="000F1DE6">
        <w:t xml:space="preserve"> the need for greater harmonisation in compliance and enforcement, this Review recommends developing a harmonised model framework for infringement notice schemes. A jurisdictional note can provide the scope for the schemes to interact with local jurisdictional laws.</w:t>
      </w:r>
    </w:p>
    <w:p w14:paraId="080EA74C" w14:textId="199E7CAB" w:rsidR="004420D1" w:rsidRDefault="00430B24" w:rsidP="004420D1">
      <w:pPr>
        <w:pStyle w:val="Paragraph"/>
      </w:pPr>
      <w:r w:rsidRPr="000F1DE6">
        <w:t>In considering the harmonised scheme’s scope, the benefits of infringement notices must be balanced against their practical implications. Extending notices beyond highly prescriptive, objective offences increases the likelihood of contestation, requiring regulators to establish facts in proceedings that can resemble trials of substantive offences, with associated resource impacts.</w:t>
      </w:r>
      <w:r w:rsidRPr="000F1DE6">
        <w:rPr>
          <w:rFonts w:eastAsia="Arial"/>
          <w:vertAlign w:val="superscript"/>
        </w:rPr>
        <w:footnoteReference w:id="482"/>
      </w:r>
      <w:r w:rsidRPr="000F1DE6">
        <w:t xml:space="preserve"> Therefore, this</w:t>
      </w:r>
      <w:r w:rsidR="00304F1A">
        <w:rPr>
          <w:vertAlign w:val="superscript"/>
        </w:rPr>
        <w:t xml:space="preserve"> </w:t>
      </w:r>
      <w:r w:rsidRPr="000F1DE6">
        <w:t>Review agrees with Australian Industry Group, which indicated that the role of infringement notices should be clearly set out within the broader compliance and enforcement framework</w:t>
      </w:r>
      <w:r>
        <w:t>;</w:t>
      </w:r>
      <w:r w:rsidRPr="000F1DE6">
        <w:t xml:space="preserve"> and their use </w:t>
      </w:r>
      <w:r>
        <w:t xml:space="preserve">should be </w:t>
      </w:r>
      <w:r w:rsidRPr="000F1DE6">
        <w:t>aligned with objectively ascertainable strict liability offences, supported by clear national direction in the NCEP.</w:t>
      </w:r>
      <w:r w:rsidRPr="000F1DE6">
        <w:rPr>
          <w:rFonts w:eastAsia="Arial"/>
          <w:vertAlign w:val="superscript"/>
        </w:rPr>
        <w:footnoteReference w:id="483"/>
      </w:r>
      <w:r w:rsidR="004420D1">
        <w:br w:type="page"/>
      </w:r>
    </w:p>
    <w:p w14:paraId="51879D9D" w14:textId="7C15D00E" w:rsidR="00BF2FAC" w:rsidRPr="001E4D84" w:rsidRDefault="00430B24" w:rsidP="0016789A">
      <w:pPr>
        <w:pStyle w:val="Paragraph"/>
        <w:spacing w:after="240"/>
        <w:rPr>
          <w:rFonts w:eastAsia="Arial"/>
        </w:rPr>
      </w:pPr>
      <w:r w:rsidRPr="000F1DE6">
        <w:lastRenderedPageBreak/>
        <w:t>It is proposed the model WHS Act could include a provision which identifies the types of offences to which infringement notices apply</w:t>
      </w:r>
      <w:r>
        <w:t>;</w:t>
      </w:r>
      <w:r w:rsidRPr="000F1DE6">
        <w:t xml:space="preserve"> review and withdrawal arrangements</w:t>
      </w:r>
      <w:r>
        <w:t>;</w:t>
      </w:r>
      <w:r w:rsidRPr="000F1DE6">
        <w:t xml:space="preserve"> and mechanisms for the enforcement and recovery of unpaid notices.</w:t>
      </w:r>
      <w:r>
        <w:t xml:space="preserve"> </w:t>
      </w:r>
      <w:r w:rsidRPr="000F1DE6">
        <w:t xml:space="preserve">Complementing this work, the Review recommends </w:t>
      </w:r>
      <w:r>
        <w:t xml:space="preserve">that </w:t>
      </w:r>
      <w:r w:rsidRPr="000F1DE6">
        <w:t>a review of the types of offences to which civil penalty offences apply should also be undertaken.</w:t>
      </w:r>
      <w:r w:rsidR="00304F1A">
        <w:t xml:space="preserve"> </w:t>
      </w:r>
    </w:p>
    <w:tbl>
      <w:tblPr>
        <w:tblStyle w:val="Style5"/>
        <w:tblW w:w="5000" w:type="pct"/>
        <w:tblCellMar>
          <w:top w:w="113" w:type="dxa"/>
          <w:bottom w:w="113" w:type="dxa"/>
        </w:tblCellMar>
        <w:tblLook w:val="04A0" w:firstRow="1" w:lastRow="0" w:firstColumn="1" w:lastColumn="0" w:noHBand="0" w:noVBand="1"/>
      </w:tblPr>
      <w:tblGrid>
        <w:gridCol w:w="9746"/>
      </w:tblGrid>
      <w:tr w:rsidR="00C91908" w14:paraId="1911D363" w14:textId="77777777" w:rsidTr="0016789A">
        <w:trPr>
          <w:cnfStyle w:val="100000000000" w:firstRow="1" w:lastRow="0" w:firstColumn="0" w:lastColumn="0" w:oddVBand="0" w:evenVBand="0" w:oddHBand="0" w:evenHBand="0" w:firstRowFirstColumn="0" w:firstRowLastColumn="0" w:lastRowFirstColumn="0" w:lastRowLastColumn="0"/>
          <w:trHeight w:val="125"/>
        </w:trPr>
        <w:tc>
          <w:tcPr>
            <w:tcW w:w="5000" w:type="pct"/>
          </w:tcPr>
          <w:p w14:paraId="0C6EFDF8" w14:textId="31659BF7" w:rsidR="00C91908" w:rsidRDefault="00C91908">
            <w:pPr>
              <w:pStyle w:val="Tableheader"/>
            </w:pPr>
            <w:r>
              <w:t>Compliance and enforcement</w:t>
            </w:r>
            <w:r w:rsidR="004420D1">
              <w:t xml:space="preserve"> – Recommendation 13</w:t>
            </w:r>
          </w:p>
        </w:tc>
      </w:tr>
      <w:tr w:rsidR="00C91908" w:rsidRPr="006C7872" w14:paraId="4E59FACF" w14:textId="77777777" w:rsidTr="0016789A">
        <w:trPr>
          <w:trHeight w:val="732"/>
        </w:trPr>
        <w:tc>
          <w:tcPr>
            <w:tcW w:w="5000" w:type="pct"/>
          </w:tcPr>
          <w:p w14:paraId="5BE72A98" w14:textId="15A6019A" w:rsidR="00C91908" w:rsidRPr="0016789A" w:rsidRDefault="00940FB1" w:rsidP="004420D1">
            <w:pPr>
              <w:pStyle w:val="Paragraphtable"/>
              <w:rPr>
                <w:sz w:val="21"/>
                <w:szCs w:val="21"/>
              </w:rPr>
            </w:pPr>
            <w:r w:rsidRPr="0016789A">
              <w:rPr>
                <w:rFonts w:eastAsia="Segoe UI"/>
                <w:sz w:val="21"/>
                <w:szCs w:val="21"/>
              </w:rPr>
              <w:t>Develop a nationally consistent approach to infringement notice schemes as part of a larger project to consider which provisions of the model WHS laws should attract infringement penalties and which should attract civil penalties.</w:t>
            </w:r>
          </w:p>
        </w:tc>
      </w:tr>
    </w:tbl>
    <w:p w14:paraId="5709F6B4" w14:textId="77777777" w:rsidR="00F21CE3" w:rsidRDefault="00BF2FAC" w:rsidP="00BF2FAC">
      <w:pPr>
        <w:pStyle w:val="SWAHeading3"/>
        <w:spacing w:before="200"/>
        <w:rPr>
          <w:rFonts w:eastAsia="Arial"/>
        </w:rPr>
      </w:pPr>
      <w:r w:rsidRPr="000F1DE6">
        <w:rPr>
          <w:rFonts w:eastAsia="Arial"/>
        </w:rPr>
        <w:t>Technical amendments</w:t>
      </w:r>
    </w:p>
    <w:p w14:paraId="0B6F1709" w14:textId="3F08FE20" w:rsidR="00BF2FAC" w:rsidRDefault="00BF2FAC" w:rsidP="00BF2FAC">
      <w:pPr>
        <w:pStyle w:val="Paragraph"/>
      </w:pPr>
      <w:r w:rsidRPr="000F1DE6">
        <w:rPr>
          <w:rFonts w:eastAsia="Arial"/>
        </w:rPr>
        <w:t>This Review recommends that a small number of targeted, technical amendments, drawing on established WA variations</w:t>
      </w:r>
      <w:r>
        <w:rPr>
          <w:rFonts w:eastAsia="Arial"/>
        </w:rPr>
        <w:t>,</w:t>
      </w:r>
      <w:r w:rsidRPr="000F1DE6">
        <w:rPr>
          <w:rFonts w:eastAsia="Arial"/>
        </w:rPr>
        <w:t xml:space="preserve"> be made to the model WHS Act </w:t>
      </w:r>
      <w:r w:rsidRPr="000F1DE6">
        <w:t xml:space="preserve">(See </w:t>
      </w:r>
      <w:r w:rsidRPr="000F1DE6">
        <w:rPr>
          <w:b/>
        </w:rPr>
        <w:t>Appendix E</w:t>
      </w:r>
      <w:r w:rsidRPr="000F1DE6">
        <w:rPr>
          <w:bCs/>
        </w:rPr>
        <w:t>,</w:t>
      </w:r>
      <w:r w:rsidRPr="000F1DE6">
        <w:rPr>
          <w:b/>
        </w:rPr>
        <w:t xml:space="preserve"> 5D </w:t>
      </w:r>
      <w:r w:rsidRPr="00097846">
        <w:rPr>
          <w:bCs/>
        </w:rPr>
        <w:t>and</w:t>
      </w:r>
      <w:r w:rsidRPr="000F1DE6">
        <w:rPr>
          <w:b/>
        </w:rPr>
        <w:t xml:space="preserve"> 5E</w:t>
      </w:r>
      <w:r w:rsidRPr="000F1DE6">
        <w:t>)</w:t>
      </w:r>
      <w:r w:rsidRPr="000F1DE6">
        <w:rPr>
          <w:rFonts w:eastAsia="Arial"/>
        </w:rPr>
        <w:t xml:space="preserve">. One proposed amendment requires a person </w:t>
      </w:r>
      <w:r w:rsidRPr="000F1DE6" w:rsidDel="007C2D5C">
        <w:rPr>
          <w:rFonts w:eastAsia="Arial"/>
        </w:rPr>
        <w:t xml:space="preserve">to </w:t>
      </w:r>
      <w:r w:rsidRPr="000F1DE6">
        <w:rPr>
          <w:rFonts w:eastAsia="Arial"/>
        </w:rPr>
        <w:t xml:space="preserve">notify the regulator once they comply with an improvement notice (drawing on WA WHS Act, section 193). Another provides the court with discretion to admit evidence if it is satisfied the benefit outweighs the harm, in </w:t>
      </w:r>
      <w:r w:rsidRPr="000F1DE6" w:rsidDel="00085A58">
        <w:rPr>
          <w:rFonts w:eastAsia="Arial"/>
        </w:rPr>
        <w:t xml:space="preserve">circumstances </w:t>
      </w:r>
      <w:r w:rsidRPr="000F1DE6">
        <w:rPr>
          <w:rFonts w:eastAsia="Arial"/>
        </w:rPr>
        <w:t>where errors of law have been made (drawing on WA WHS Act, section 232A). This Review notes this amendment will require further consideration and drafting to ensure it does not routinely excuse unlawful conduct but</w:t>
      </w:r>
      <w:r>
        <w:rPr>
          <w:rFonts w:eastAsia="Arial"/>
        </w:rPr>
        <w:t>,</w:t>
      </w:r>
      <w:r w:rsidRPr="000F1DE6">
        <w:rPr>
          <w:rFonts w:eastAsia="Arial"/>
        </w:rPr>
        <w:t xml:space="preserve"> rather</w:t>
      </w:r>
      <w:r>
        <w:rPr>
          <w:rFonts w:eastAsia="Arial"/>
        </w:rPr>
        <w:t>,</w:t>
      </w:r>
      <w:r w:rsidRPr="000F1DE6">
        <w:rPr>
          <w:rFonts w:eastAsia="Arial"/>
        </w:rPr>
        <w:t xml:space="preserve"> meets the intention of not excluding evidence with probative value due to relatively minor procedural errors. These recommended amendments seek to improve clarity, consistency and administrative workability without altering substantive compliance and enforcement powers</w:t>
      </w:r>
      <w:r w:rsidRPr="000F1DE6">
        <w:t>.</w:t>
      </w:r>
    </w:p>
    <w:p w14:paraId="62DBE418" w14:textId="4F3CA975" w:rsidR="00D74842" w:rsidRPr="006E643F" w:rsidRDefault="00ED2054" w:rsidP="006E643F">
      <w:pPr>
        <w:pStyle w:val="SWAHeading2"/>
        <w:spacing w:line="240" w:lineRule="auto"/>
        <w:rPr>
          <w:rFonts w:asciiTheme="minorHAnsi" w:hAnsiTheme="minorHAnsi"/>
        </w:rPr>
      </w:pPr>
      <w:bookmarkStart w:id="61" w:name="_Toc239845157"/>
      <w:r w:rsidRPr="006E643F">
        <w:rPr>
          <w:rFonts w:asciiTheme="minorHAnsi" w:hAnsiTheme="minorHAnsi"/>
        </w:rPr>
        <w:t>Offences and penalties (</w:t>
      </w:r>
      <w:r w:rsidR="00FD7843" w:rsidRPr="000F1DE6">
        <w:rPr>
          <w:rFonts w:asciiTheme="minorHAnsi" w:hAnsiTheme="minorHAnsi"/>
        </w:rPr>
        <w:t xml:space="preserve">Part 13, ss 230–267, model </w:t>
      </w:r>
      <w:bookmarkStart w:id="62" w:name="_Toc234845865"/>
      <w:r w:rsidR="00FD7843" w:rsidRPr="000F1DE6">
        <w:rPr>
          <w:rFonts w:asciiTheme="minorHAnsi" w:hAnsiTheme="minorHAnsi"/>
        </w:rPr>
        <w:t>WHS Act)</w:t>
      </w:r>
      <w:bookmarkEnd w:id="61"/>
      <w:bookmarkEnd w:id="62"/>
    </w:p>
    <w:p w14:paraId="1D8053E9" w14:textId="77777777" w:rsidR="00F21CE3" w:rsidRDefault="00F964EE" w:rsidP="00F964EE">
      <w:pPr>
        <w:pStyle w:val="SWAHeading3"/>
        <w:spacing w:before="200"/>
        <w:rPr>
          <w:rFonts w:eastAsia="Arial"/>
        </w:rPr>
      </w:pPr>
      <w:bookmarkStart w:id="63" w:name="_Toc234853686"/>
      <w:r w:rsidRPr="000F1DE6">
        <w:rPr>
          <w:rFonts w:eastAsia="Arial"/>
        </w:rPr>
        <w:t>Industrial manslaughter</w:t>
      </w:r>
      <w:bookmarkEnd w:id="63"/>
    </w:p>
    <w:p w14:paraId="5EDD5C39" w14:textId="77777777" w:rsidR="00F21CE3" w:rsidRDefault="00F964EE" w:rsidP="00F964EE">
      <w:pPr>
        <w:pStyle w:val="Paragraph"/>
        <w:rPr>
          <w:rStyle w:val="ParagraphChar"/>
          <w:rFonts w:eastAsia="Arial"/>
          <w:szCs w:val="22"/>
          <w:vertAlign w:val="superscript"/>
        </w:rPr>
      </w:pPr>
      <w:bookmarkStart w:id="64" w:name="_Toc234853687"/>
      <w:r w:rsidRPr="000F1DE6">
        <w:rPr>
          <w:rStyle w:val="ParagraphChar"/>
          <w:rFonts w:eastAsia="Arial"/>
          <w:szCs w:val="22"/>
        </w:rPr>
        <w:t>The model WHS Act was amended in 2023 to include a jurisdictional note allowing jurisdictions to create or retain individual industrial manslaughter provisions.</w:t>
      </w:r>
      <w:r w:rsidRPr="000F1DE6">
        <w:rPr>
          <w:rStyle w:val="ParagraphChar"/>
          <w:rFonts w:eastAsia="Arial"/>
          <w:szCs w:val="22"/>
          <w:vertAlign w:val="superscript"/>
        </w:rPr>
        <w:footnoteReference w:id="484"/>
      </w:r>
      <w:r w:rsidRPr="000F1DE6">
        <w:rPr>
          <w:rStyle w:val="ParagraphChar"/>
          <w:rFonts w:eastAsia="Arial"/>
          <w:szCs w:val="22"/>
        </w:rPr>
        <w:t xml:space="preserve"> The jurisdictional note </w:t>
      </w:r>
      <w:r>
        <w:rPr>
          <w:rStyle w:val="ParagraphChar"/>
          <w:rFonts w:eastAsia="Arial"/>
          <w:szCs w:val="22"/>
        </w:rPr>
        <w:t xml:space="preserve">was </w:t>
      </w:r>
      <w:r w:rsidRPr="000F1DE6">
        <w:rPr>
          <w:rStyle w:val="ParagraphChar"/>
          <w:rFonts w:eastAsia="Arial"/>
          <w:szCs w:val="22"/>
        </w:rPr>
        <w:t>used because many jurisdictions had already introduced industrial manslaughter offences or had committed to doing so.</w:t>
      </w:r>
      <w:r w:rsidRPr="000F1DE6">
        <w:rPr>
          <w:rStyle w:val="ParagraphChar"/>
          <w:rFonts w:eastAsia="Arial"/>
          <w:szCs w:val="22"/>
          <w:vertAlign w:val="superscript"/>
        </w:rPr>
        <w:footnoteReference w:id="485"/>
      </w:r>
      <w:r w:rsidRPr="000F1DE6">
        <w:rPr>
          <w:rStyle w:val="ParagraphChar"/>
          <w:rFonts w:eastAsia="Arial"/>
          <w:szCs w:val="22"/>
        </w:rPr>
        <w:t xml:space="preserve"> All jurisdictions now have an industrial manslaughter offence but with inconsistent elements, including duty holders subject to the offence</w:t>
      </w:r>
      <w:r w:rsidRPr="000F1DE6">
        <w:rPr>
          <w:rStyle w:val="ParagraphChar"/>
          <w:rFonts w:eastAsia="Arial"/>
          <w:szCs w:val="22"/>
          <w:vertAlign w:val="superscript"/>
        </w:rPr>
        <w:footnoteReference w:id="486"/>
      </w:r>
      <w:r w:rsidRPr="000F1DE6">
        <w:rPr>
          <w:rStyle w:val="ParagraphChar"/>
          <w:rFonts w:eastAsia="Arial"/>
          <w:szCs w:val="22"/>
        </w:rPr>
        <w:t xml:space="preserve"> and maximum penalties.</w:t>
      </w:r>
      <w:r w:rsidRPr="000F1DE6">
        <w:rPr>
          <w:rStyle w:val="ParagraphChar"/>
          <w:rFonts w:eastAsia="Arial"/>
          <w:szCs w:val="22"/>
          <w:vertAlign w:val="superscript"/>
        </w:rPr>
        <w:footnoteReference w:id="487"/>
      </w:r>
      <w:bookmarkEnd w:id="64"/>
    </w:p>
    <w:p w14:paraId="2BF87874" w14:textId="49084F77" w:rsidR="00912A75" w:rsidRPr="004420D1" w:rsidRDefault="00912A75" w:rsidP="00BF204D">
      <w:pPr>
        <w:pStyle w:val="Boxedshaded"/>
        <w:rPr>
          <w:b/>
          <w:bCs/>
        </w:rPr>
      </w:pPr>
      <w:r w:rsidRPr="004420D1">
        <w:rPr>
          <w:b/>
          <w:bCs/>
        </w:rPr>
        <w:lastRenderedPageBreak/>
        <w:t>What we heard</w:t>
      </w:r>
    </w:p>
    <w:p w14:paraId="7631B28F" w14:textId="77777777" w:rsidR="00912A75" w:rsidRPr="00912A75" w:rsidRDefault="00912A75" w:rsidP="00BF204D">
      <w:pPr>
        <w:pStyle w:val="Boxedshaded"/>
        <w:rPr>
          <w:b/>
          <w:bCs/>
        </w:rPr>
      </w:pPr>
      <w:r w:rsidRPr="00912A75">
        <w:t>Industry representatives consistently highlighted industrial manslaughter provisions as an example of the arbitrary nature of jurisdictional variations that can occur when the national process is not followed.</w:t>
      </w:r>
      <w:r w:rsidRPr="00912A75">
        <w:rPr>
          <w:vertAlign w:val="superscript"/>
        </w:rPr>
        <w:footnoteReference w:id="488"/>
      </w:r>
      <w:r w:rsidRPr="00912A75">
        <w:t xml:space="preserve"> In this context, the variations in industrial manslaughter provisions represent a lost opportunity for a</w:t>
      </w:r>
      <w:r w:rsidRPr="000F1DE6">
        <w:rPr>
          <w:rFonts w:eastAsia="Aptos" w:cs="Aptos"/>
        </w:rPr>
        <w:t xml:space="preserve"> consistent deterrent within the model WHS framework, directed at the most serious safety failures.</w:t>
      </w:r>
    </w:p>
    <w:p w14:paraId="6B9C0F88" w14:textId="77777777" w:rsidR="00F964EE" w:rsidRPr="000F1DE6" w:rsidRDefault="00F964EE" w:rsidP="004420D1">
      <w:pPr>
        <w:pStyle w:val="SWAHeading4"/>
      </w:pPr>
      <w:r w:rsidRPr="000F1DE6">
        <w:t>Discussion and recommendation</w:t>
      </w:r>
      <w:r>
        <w:t>s</w:t>
      </w:r>
    </w:p>
    <w:p w14:paraId="2F079389" w14:textId="77777777" w:rsidR="00F21CE3" w:rsidRDefault="00F964EE" w:rsidP="00F964EE">
      <w:pPr>
        <w:pStyle w:val="Paragraph"/>
      </w:pPr>
      <w:r w:rsidRPr="000F1DE6">
        <w:t xml:space="preserve">To </w:t>
      </w:r>
      <w:r w:rsidRPr="000F1DE6">
        <w:rPr>
          <w:rStyle w:val="ParagraphChar"/>
          <w:rFonts w:eastAsiaTheme="minorHAnsi"/>
          <w:szCs w:val="22"/>
        </w:rPr>
        <w:t>date</w:t>
      </w:r>
      <w:r w:rsidRPr="000F1DE6">
        <w:t xml:space="preserve">, </w:t>
      </w:r>
      <w:r w:rsidRPr="000F1DE6">
        <w:rPr>
          <w:rStyle w:val="ParagraphChar"/>
          <w:rFonts w:eastAsiaTheme="minorHAnsi"/>
          <w:szCs w:val="22"/>
        </w:rPr>
        <w:t>jurisdictional</w:t>
      </w:r>
      <w:r w:rsidRPr="000F1DE6">
        <w:t xml:space="preserve"> industrial manslaughter provisions remain relatively untested across the jurisdictions. Only Queensland and </w:t>
      </w:r>
      <w:r w:rsidRPr="000F1DE6">
        <w:rPr>
          <w:rStyle w:val="ParagraphChar"/>
          <w:rFonts w:eastAsiaTheme="minorHAnsi"/>
          <w:szCs w:val="22"/>
        </w:rPr>
        <w:t>Victoria</w:t>
      </w:r>
      <w:r w:rsidRPr="000F1DE6">
        <w:t xml:space="preserve"> have recorded successful industrial manslaughter prosecutions, all involving small to medium-sized businesses.</w:t>
      </w:r>
      <w:r w:rsidRPr="000F1DE6">
        <w:rPr>
          <w:vertAlign w:val="superscript"/>
        </w:rPr>
        <w:footnoteReference w:id="489"/>
      </w:r>
      <w:r w:rsidRPr="000F1DE6">
        <w:t xml:space="preserve"> Of those matters, only one has been contested, meaning the resulting judgments provide limited guidance on the broader application of the offences. It is therefore too early to recommend a specific model provision based on any one jurisdiction. There is merit in monitoring the operation of industrial manslaughter provisions, with a view to re-examining a model industrial manslaughter offence after an appropriate body of case law emerges.</w:t>
      </w:r>
    </w:p>
    <w:p w14:paraId="4FAFBD25" w14:textId="6D27E84C" w:rsidR="00F964EE" w:rsidRPr="000F1DE6" w:rsidRDefault="00F964EE" w:rsidP="00F964EE">
      <w:pPr>
        <w:pStyle w:val="Paragraph"/>
      </w:pPr>
      <w:r w:rsidRPr="000F1DE6">
        <w:t>Th</w:t>
      </w:r>
      <w:r>
        <w:t>is</w:t>
      </w:r>
      <w:r w:rsidRPr="000F1DE6">
        <w:t xml:space="preserve"> Review notes this aligns with the draft report of the statutory review of the amendments made in </w:t>
      </w:r>
      <w:r w:rsidRPr="002F17B5">
        <w:t>the Closing Loopholes Acts,</w:t>
      </w:r>
      <w:r w:rsidRPr="002F17B5">
        <w:rPr>
          <w:rStyle w:val="FootnoteReference"/>
        </w:rPr>
        <w:footnoteReference w:id="490"/>
      </w:r>
      <w:r w:rsidRPr="000F1DE6">
        <w:t xml:space="preserve"> which recommended the Commonwealth evaluate the industrial manslaughter offence’s impact on deterrence, workplace culture and prevention of workplace fatalities.</w:t>
      </w:r>
      <w:r w:rsidRPr="000F1DE6">
        <w:rPr>
          <w:rStyle w:val="FootnoteReference"/>
        </w:rPr>
        <w:footnoteReference w:id="491"/>
      </w:r>
      <w:r w:rsidRPr="000F1DE6">
        <w:t xml:space="preserve"> If implemented, this evaluation would provide useful data to further inform this work. This Review also notes specific ‘objects’ accompany the industrial manslaughter provisions in Victoria and Tasmania, including to prevent work-related deaths, and reflect the severity of conduct that places life at risk through work and the workplace.</w:t>
      </w:r>
      <w:r w:rsidRPr="000F1DE6">
        <w:rPr>
          <w:vertAlign w:val="superscript"/>
        </w:rPr>
        <w:footnoteReference w:id="492"/>
      </w:r>
      <w:r w:rsidRPr="000F1DE6">
        <w:t xml:space="preserve"> Courts have previously considered these objects in determining an appeal by the DPP against the adequacy of a sentence.</w:t>
      </w:r>
      <w:r w:rsidRPr="000F1DE6">
        <w:rPr>
          <w:vertAlign w:val="superscript"/>
        </w:rPr>
        <w:footnoteReference w:id="493"/>
      </w:r>
      <w:r w:rsidRPr="00B97A8A">
        <w:t xml:space="preserve"> </w:t>
      </w:r>
      <w:r w:rsidRPr="000F1DE6">
        <w:t>Any future reforms to industrial manslaughter provisions could consider the benefit of including an object provision to clarify that the principal sentencing purpose for industrial manslaughter is general deterrence.</w:t>
      </w:r>
    </w:p>
    <w:p w14:paraId="23F804EB" w14:textId="77777777" w:rsidR="00F964EE" w:rsidRPr="000F1DE6" w:rsidRDefault="00F964EE" w:rsidP="00F964EE">
      <w:pPr>
        <w:pStyle w:val="SWAHeading3"/>
        <w:spacing w:before="200"/>
      </w:pPr>
      <w:r w:rsidRPr="000F1DE6">
        <w:t>Variations in penalties (Schedule 4, model WHS Act)</w:t>
      </w:r>
    </w:p>
    <w:p w14:paraId="1BC7DE7C" w14:textId="77777777" w:rsidR="00F21CE3" w:rsidRDefault="00F964EE" w:rsidP="00F964EE">
      <w:pPr>
        <w:pStyle w:val="Paragraph"/>
      </w:pPr>
      <w:r w:rsidRPr="000F1DE6">
        <w:t>The model WHS Act was amended in 2023 to include a tiered system of maximum penalties.</w:t>
      </w:r>
      <w:r w:rsidRPr="000F1DE6">
        <w:rPr>
          <w:vertAlign w:val="superscript"/>
        </w:rPr>
        <w:footnoteReference w:id="494"/>
      </w:r>
      <w:r w:rsidRPr="00AE4266">
        <w:t> </w:t>
      </w:r>
      <w:r w:rsidRPr="000F1DE6">
        <w:t>However, only the ACT and the Commonwealth have implemented the changes in full.</w:t>
      </w:r>
      <w:r w:rsidRPr="000F1DE6">
        <w:rPr>
          <w:vertAlign w:val="superscript"/>
        </w:rPr>
        <w:footnoteReference w:id="495"/>
      </w:r>
      <w:r w:rsidRPr="00AE4266">
        <w:t xml:space="preserve"> </w:t>
      </w:r>
      <w:r w:rsidRPr="000F1DE6">
        <w:t>NSW has amended its Act to increase penalties but did not introduce the tiered system or remove the use of penalty units.</w:t>
      </w:r>
      <w:r w:rsidRPr="000F1DE6">
        <w:rPr>
          <w:vertAlign w:val="superscript"/>
        </w:rPr>
        <w:footnoteReference w:id="496"/>
      </w:r>
      <w:r w:rsidRPr="000F1DE6">
        <w:t xml:space="preserve"> These variations persist despite agreement by WHS ministers to reforms more than 2 years ago and continue to undermine the consistency of the WHS legal framework.</w:t>
      </w:r>
      <w:r w:rsidRPr="000F1DE6">
        <w:rPr>
          <w:rStyle w:val="FootnoteReference"/>
        </w:rPr>
        <w:footnoteReference w:id="497"/>
      </w:r>
    </w:p>
    <w:p w14:paraId="6D793712" w14:textId="50B3C636" w:rsidR="00F964EE" w:rsidRPr="000F1DE6" w:rsidRDefault="00F964EE" w:rsidP="00F964EE">
      <w:pPr>
        <w:pStyle w:val="Paragraph"/>
      </w:pPr>
      <w:r w:rsidRPr="000F1DE6">
        <w:lastRenderedPageBreak/>
        <w:t>Given Safe Work Australia Members have already considered and agreed to a national approach, this Review makes no further recommendation on this issue. However, jurisdictions are strongly encouraged to implement the agreed penalty reforms to restore consistency and reinforce the harmonisation objective.</w:t>
      </w:r>
    </w:p>
    <w:p w14:paraId="5E4299A9" w14:textId="77777777" w:rsidR="00F964EE" w:rsidRPr="000F1DE6" w:rsidRDefault="00F964EE" w:rsidP="00F964EE">
      <w:pPr>
        <w:pStyle w:val="SWAHeading3"/>
        <w:spacing w:before="200"/>
      </w:pPr>
      <w:r w:rsidRPr="000F1DE6">
        <w:t>Sentencing for offences (Part 13, Division 2, ss 234–242, model WHS Act)</w:t>
      </w:r>
    </w:p>
    <w:p w14:paraId="3C0DC66E" w14:textId="77777777" w:rsidR="00F964EE" w:rsidRDefault="00F964EE" w:rsidP="0016789A">
      <w:pPr>
        <w:pStyle w:val="Paragraph"/>
        <w:spacing w:after="240"/>
      </w:pPr>
      <w:r w:rsidRPr="000F1DE6">
        <w:t>The model WHS Act provides a range of sentencing options if a court convicts a person of an offence against the model WHS laws.</w:t>
      </w:r>
      <w:r w:rsidRPr="000F1DE6">
        <w:rPr>
          <w:rStyle w:val="FootnoteReference"/>
        </w:rPr>
        <w:footnoteReference w:id="498"/>
      </w:r>
      <w:r w:rsidRPr="000F1DE6">
        <w:t xml:space="preserve"> The court can impose a range of alternative sentencing orders in addition to monetary penalties,</w:t>
      </w:r>
      <w:r w:rsidRPr="000F1DE6">
        <w:rPr>
          <w:vertAlign w:val="superscript"/>
        </w:rPr>
        <w:t xml:space="preserve"> </w:t>
      </w:r>
      <w:r w:rsidRPr="000F1DE6">
        <w:t>including adverse publicity orders, restoration orders, WHS project orders, court</w:t>
      </w:r>
      <w:r w:rsidRPr="000F1DE6">
        <w:noBreakHyphen/>
        <w:t>ordered WHS undertakings and training orders.</w:t>
      </w:r>
      <w:r w:rsidRPr="000F1DE6">
        <w:rPr>
          <w:rStyle w:val="FootnoteReference"/>
        </w:rPr>
        <w:footnoteReference w:id="499"/>
      </w:r>
      <w:r w:rsidRPr="000F1DE6">
        <w:t xml:space="preserve"> Sentencing is subject to the law, practices and procedures in each of the jurisdictions that have implemented the model WHS laws. Courts also consider case law relevant to the legislation and circumstances of the case.</w:t>
      </w:r>
    </w:p>
    <w:p w14:paraId="77824239" w14:textId="77777777" w:rsidR="007D4A38" w:rsidRPr="004420D1" w:rsidRDefault="007D4A38" w:rsidP="00BF204D">
      <w:pPr>
        <w:pStyle w:val="Boxedshaded"/>
        <w:rPr>
          <w:b/>
          <w:bCs/>
        </w:rPr>
      </w:pPr>
      <w:r w:rsidRPr="004420D1">
        <w:rPr>
          <w:b/>
          <w:bCs/>
        </w:rPr>
        <w:t>What we heard</w:t>
      </w:r>
    </w:p>
    <w:p w14:paraId="1D740029" w14:textId="77777777" w:rsidR="00F21CE3" w:rsidRDefault="007D4A38" w:rsidP="00BF204D">
      <w:pPr>
        <w:pStyle w:val="Boxedshaded"/>
      </w:pPr>
      <w:r w:rsidRPr="007D4A38">
        <w:t>Both the AIHS and MBA called for sentencing guidelines.</w:t>
      </w:r>
      <w:r w:rsidRPr="000F1DE6">
        <w:rPr>
          <w:rFonts w:eastAsia="Arial"/>
          <w:vertAlign w:val="superscript"/>
        </w:rPr>
        <w:footnoteReference w:id="500"/>
      </w:r>
      <w:r w:rsidRPr="000F1DE6">
        <w:rPr>
          <w:rFonts w:eastAsia="Arial"/>
          <w:vertAlign w:val="superscript"/>
        </w:rPr>
        <w:t xml:space="preserve"> </w:t>
      </w:r>
      <w:r w:rsidRPr="007D4A38">
        <w:t>In its submission, the AIHS supported the greater use of non</w:t>
      </w:r>
      <w:r w:rsidRPr="007D4A38">
        <w:noBreakHyphen/>
        <w:t>monetary sentencing options, pointing to Victorian Law Reform Commission and VSAC frameworks that explicitly endorse remedial and non</w:t>
      </w:r>
      <w:r w:rsidRPr="007D4A38">
        <w:noBreakHyphen/>
        <w:t>monetary sentencing orders.</w:t>
      </w:r>
      <w:r w:rsidRPr="007D4A38">
        <w:rPr>
          <w:vertAlign w:val="superscript"/>
        </w:rPr>
        <w:footnoteReference w:id="501"/>
      </w:r>
    </w:p>
    <w:p w14:paraId="62567233" w14:textId="5DAEFEDB" w:rsidR="00F964EE" w:rsidRPr="000F1DE6" w:rsidRDefault="00F964EE" w:rsidP="004420D1">
      <w:pPr>
        <w:pStyle w:val="SWAHeading4"/>
      </w:pPr>
      <w:r w:rsidRPr="000F1DE6">
        <w:t>Discussion and recommendations</w:t>
      </w:r>
    </w:p>
    <w:p w14:paraId="045EE06D" w14:textId="77777777" w:rsidR="00F21CE3" w:rsidRDefault="00F964EE" w:rsidP="00F964EE">
      <w:pPr>
        <w:pStyle w:val="Paragraph"/>
      </w:pPr>
      <w:r w:rsidRPr="000F1DE6">
        <w:t>There are longstanding concerns about the adequacy and consistency of sentencing outcomes for WHS offences. Adequate and consistent sentencing outcomes are crucial to meeting the object of the model WHS Act.</w:t>
      </w:r>
      <w:r w:rsidRPr="000F1DE6">
        <w:rPr>
          <w:vertAlign w:val="superscript"/>
        </w:rPr>
        <w:footnoteReference w:id="502"/>
      </w:r>
      <w:r w:rsidRPr="000F1DE6">
        <w:t xml:space="preserve"> Multiple reviews, including the </w:t>
      </w:r>
      <w:r w:rsidRPr="006418D3">
        <w:rPr>
          <w:i/>
          <w:iCs/>
        </w:rPr>
        <w:t>2018 National Review</w:t>
      </w:r>
      <w:r w:rsidRPr="000F1DE6">
        <w:t xml:space="preserve"> and most </w:t>
      </w:r>
      <w:r w:rsidRPr="002F17B5">
        <w:t>recent VSAC Report</w:t>
      </w:r>
      <w:r w:rsidRPr="000F1DE6">
        <w:t>, found sentencing approaches have consistently fallen short of achieving proportionate punishment, meaningful deterrence and effective use of non-monetary sentencing options.</w:t>
      </w:r>
      <w:r w:rsidRPr="000F1DE6">
        <w:rPr>
          <w:vertAlign w:val="superscript"/>
        </w:rPr>
        <w:footnoteReference w:id="503"/>
      </w:r>
    </w:p>
    <w:p w14:paraId="5BA228A9" w14:textId="77777777" w:rsidR="00F21CE3" w:rsidRDefault="00F964EE" w:rsidP="00F964EE">
      <w:pPr>
        <w:pStyle w:val="Paragraph"/>
      </w:pPr>
      <w:r w:rsidRPr="000F1DE6">
        <w:t>In relation to sentencing guidelines, the feasibility of both binding and non-binding guidelines was previously considered by Safe Work Australia Members in 2022. However, it did not progress due to perceived constitutional risks, jurisdictional legislative differences and practical implementation challenges. There are many jurisdictional differences between general criminal procedure and sentencing frameworks, their practical application and overarching sentencing principles.</w:t>
      </w:r>
      <w:r w:rsidRPr="000F1DE6">
        <w:rPr>
          <w:vertAlign w:val="superscript"/>
        </w:rPr>
        <w:footnoteReference w:id="504"/>
      </w:r>
      <w:r w:rsidRPr="000F1DE6">
        <w:t xml:space="preserve"> </w:t>
      </w:r>
      <w:r w:rsidR="00465BF9">
        <w:br/>
      </w:r>
      <w:r w:rsidRPr="000F1DE6">
        <w:t>Non-binding sentencing guidelines remain an option but would rely on significant commitment from all jurisdictions.</w:t>
      </w:r>
    </w:p>
    <w:p w14:paraId="576EB949" w14:textId="46D45A8A" w:rsidR="004420D1" w:rsidRDefault="004420D1">
      <w:pPr>
        <w:spacing w:after="200" w:line="276" w:lineRule="auto"/>
        <w:contextualSpacing w:val="0"/>
        <w:rPr>
          <w:rFonts w:asciiTheme="minorHAnsi" w:eastAsia="Times New Roman" w:hAnsiTheme="minorHAnsi"/>
          <w:lang w:eastAsia="en-AU"/>
        </w:rPr>
      </w:pPr>
      <w:r>
        <w:br w:type="page"/>
      </w:r>
    </w:p>
    <w:p w14:paraId="128AD2F1" w14:textId="77777777" w:rsidR="00F21CE3" w:rsidRDefault="00F964EE" w:rsidP="00F964EE">
      <w:pPr>
        <w:pStyle w:val="Paragraph"/>
      </w:pPr>
      <w:r w:rsidRPr="000F1DE6">
        <w:lastRenderedPageBreak/>
        <w:t xml:space="preserve">In the short term, this Review has instead identified that non-monetary penalty orders should be encouraged and should complement the use of monetary penalties. The VSAC Report considered the use of non-monetary penalties in the Victorian context, finding that these </w:t>
      </w:r>
      <w:r w:rsidRPr="000F1DE6">
        <w:rPr>
          <w:rFonts w:eastAsia="Arial"/>
        </w:rPr>
        <w:t>types of orders are underutilised in Victoria,</w:t>
      </w:r>
      <w:r w:rsidRPr="000F1DE6">
        <w:rPr>
          <w:rFonts w:eastAsia="Arial"/>
          <w:vertAlign w:val="superscript"/>
        </w:rPr>
        <w:footnoteReference w:id="505"/>
      </w:r>
      <w:r w:rsidRPr="000F1DE6">
        <w:rPr>
          <w:rFonts w:eastAsia="Arial"/>
        </w:rPr>
        <w:t xml:space="preserve"> due to the cost to regulators of monitoring compliance with orders and the limitation on this cost not exceeding the maximum fine amount.</w:t>
      </w:r>
      <w:r w:rsidRPr="000F1DE6">
        <w:rPr>
          <w:rFonts w:eastAsia="Arial"/>
          <w:vertAlign w:val="superscript"/>
        </w:rPr>
        <w:footnoteReference w:id="506"/>
      </w:r>
      <w:r w:rsidRPr="000F1DE6">
        <w:rPr>
          <w:rFonts w:eastAsia="Arial"/>
        </w:rPr>
        <w:t xml:space="preserve"> Based on available case law and jurisdictional data, it is also likely non-monetary orders are underused across other jurisdictions.</w:t>
      </w:r>
      <w:r w:rsidRPr="000F1DE6">
        <w:rPr>
          <w:rFonts w:eastAsia="Arial"/>
          <w:vertAlign w:val="superscript"/>
        </w:rPr>
        <w:footnoteReference w:id="507"/>
      </w:r>
    </w:p>
    <w:p w14:paraId="3C8DB66B" w14:textId="6A5EF3FF" w:rsidR="00F964EE" w:rsidRPr="000F1DE6" w:rsidRDefault="00F964EE" w:rsidP="00F964EE">
      <w:pPr>
        <w:pStyle w:val="Paragraph"/>
      </w:pPr>
      <w:r w:rsidRPr="000F1DE6">
        <w:t>The VSAC Report made a number of recommendations (4</w:t>
      </w:r>
      <w:r w:rsidR="00A57879">
        <w:rPr>
          <w:rFonts w:ascii="Symbol" w:eastAsia="Symbol" w:hAnsi="Symbol" w:cs="Symbol"/>
        </w:rPr>
        <w:t>-</w:t>
      </w:r>
      <w:r w:rsidRPr="000F1DE6">
        <w:t>6) to enhance the use of non-monetary penalties specific to Victoria’s legislation, which provide a useful basis for reviewing the operation of non-monetary order provisions in the model WHS Act.</w:t>
      </w:r>
      <w:r w:rsidRPr="000F1DE6">
        <w:rPr>
          <w:rStyle w:val="FootnoteReference"/>
        </w:rPr>
        <w:footnoteReference w:id="508"/>
      </w:r>
      <w:r w:rsidRPr="000F1DE6">
        <w:t xml:space="preserve"> In Recommendation 6</w:t>
      </w:r>
      <w:r>
        <w:t>,</w:t>
      </w:r>
      <w:r w:rsidRPr="000F1DE6">
        <w:t xml:space="preserve"> it proposed measures to encourage prosecutors to seek adverse publicity orders. In Recommendations 4 and 5, it also proposed amendments to make court undertakings (on health and safety) more versatile and effective.</w:t>
      </w:r>
      <w:r w:rsidRPr="000F1DE6">
        <w:rPr>
          <w:rStyle w:val="FootnoteReference"/>
          <w:rFonts w:cs="Arial"/>
        </w:rPr>
        <w:footnoteReference w:id="509"/>
      </w:r>
      <w:r w:rsidRPr="000F1DE6">
        <w:t xml:space="preserve"> A revised NCEP could help guide and support regulators and prosecutorial agencies to apply a consistent national approach to non-monetary orders, including by providing guidance on how to frame the attached conditions for courts.</w:t>
      </w:r>
    </w:p>
    <w:p w14:paraId="4D9C3B7C" w14:textId="77777777" w:rsidR="00F21CE3" w:rsidRDefault="00F964EE" w:rsidP="00F964EE">
      <w:pPr>
        <w:pStyle w:val="Paragraph"/>
      </w:pPr>
      <w:r w:rsidRPr="000F1DE6">
        <w:t>The VSAC Report also made recommendations relating to restorative justice which seek to enhance procedural fairness and enable affected persons in WHS cases to have greater participation in sentencing processes (see Recommendations 1, 2 and 3). This includes</w:t>
      </w:r>
      <w:r w:rsidRPr="000F1DE6">
        <w:rPr>
          <w:rFonts w:eastAsia="Arial"/>
        </w:rPr>
        <w:t xml:space="preserve"> </w:t>
      </w:r>
      <w:r w:rsidRPr="000F1DE6">
        <w:t>Recommendation 1, enabling</w:t>
      </w:r>
      <w:r w:rsidRPr="000F1DE6">
        <w:rPr>
          <w:rFonts w:eastAsia="Arial"/>
        </w:rPr>
        <w:t xml:space="preserve"> those impacted by WHS offences to make victim impact statements to inform the sentencing court</w:t>
      </w:r>
      <w:r>
        <w:rPr>
          <w:rFonts w:eastAsia="Arial"/>
        </w:rPr>
        <w:t>;</w:t>
      </w:r>
      <w:r w:rsidRPr="000F1DE6" w:rsidDel="009A48B5">
        <w:rPr>
          <w:vertAlign w:val="superscript"/>
        </w:rPr>
        <w:t xml:space="preserve"> </w:t>
      </w:r>
      <w:r w:rsidRPr="000F1DE6">
        <w:t>and Recommendations 2 and 3</w:t>
      </w:r>
      <w:r>
        <w:t>,</w:t>
      </w:r>
      <w:r w:rsidRPr="000F1DE6">
        <w:t xml:space="preserve"> allowing affected persons in WHS cases to participate in restorative justice conferences in WHS criminal proceedings, with an appropriate framework to govern those processes and evaluation to ensure they operate effectively.</w:t>
      </w:r>
      <w:r w:rsidRPr="000F1DE6">
        <w:rPr>
          <w:rStyle w:val="FootnoteReference"/>
        </w:rPr>
        <w:footnoteReference w:id="510"/>
      </w:r>
    </w:p>
    <w:p w14:paraId="333B9322" w14:textId="580186C6" w:rsidR="00F964EE" w:rsidRPr="000F1DE6" w:rsidRDefault="00F964EE" w:rsidP="00F964EE">
      <w:pPr>
        <w:pStyle w:val="Paragraph"/>
      </w:pPr>
      <w:r w:rsidRPr="000F1DE6">
        <w:t xml:space="preserve">Safe Work Australia Members have agreed to do further work to assess the applicability of </w:t>
      </w:r>
      <w:r>
        <w:t>R</w:t>
      </w:r>
      <w:r w:rsidRPr="000F1DE6">
        <w:t xml:space="preserve">ecommendations 1 to 6 of </w:t>
      </w:r>
      <w:r w:rsidRPr="0037744C">
        <w:t xml:space="preserve">the VSAC </w:t>
      </w:r>
      <w:r>
        <w:t xml:space="preserve">Report </w:t>
      </w:r>
      <w:r w:rsidRPr="000F1DE6">
        <w:t>to the model WHS laws. This would include considering opportunities for harmonisation given general criminal procedure and sentencing frameworks are not uniform across jurisdictions.</w:t>
      </w:r>
    </w:p>
    <w:p w14:paraId="0D244C7D" w14:textId="77777777" w:rsidR="009C296A" w:rsidRPr="00237F23" w:rsidRDefault="009C296A" w:rsidP="00237F23">
      <w:pPr>
        <w:pStyle w:val="Paragraph"/>
        <w:rPr>
          <w:rFonts w:cs="Arial"/>
          <w:sz w:val="28"/>
          <w:szCs w:val="32"/>
        </w:rPr>
      </w:pPr>
      <w:r w:rsidRPr="00237F23">
        <w:br w:type="page"/>
      </w:r>
    </w:p>
    <w:p w14:paraId="23920EB7" w14:textId="77777777" w:rsidR="00F964EE" w:rsidRPr="000F1DE6" w:rsidRDefault="00F964EE" w:rsidP="00F964EE">
      <w:pPr>
        <w:pStyle w:val="SWAHeading3"/>
        <w:spacing w:before="200"/>
      </w:pPr>
      <w:r w:rsidRPr="000F1DE6">
        <w:lastRenderedPageBreak/>
        <w:t>Penalties for large body corporates (Schedule 4, model WHS Act)</w:t>
      </w:r>
    </w:p>
    <w:p w14:paraId="6F013E49" w14:textId="77777777" w:rsidR="00F21CE3" w:rsidRDefault="00F964EE" w:rsidP="0016789A">
      <w:pPr>
        <w:pStyle w:val="Paragraph"/>
        <w:spacing w:after="240"/>
      </w:pPr>
      <w:r w:rsidRPr="000F1DE6">
        <w:t>Penalties under the model WHS Act for corporations currently range from a maximum of $795,000 for Category 3 offences to $20,441,000 for industrial manslaughter.</w:t>
      </w:r>
      <w:r w:rsidRPr="000F1DE6">
        <w:rPr>
          <w:rStyle w:val="FootnoteReference"/>
        </w:rPr>
        <w:footnoteReference w:id="511"/>
      </w:r>
      <w:r w:rsidRPr="000F1DE6">
        <w:t xml:space="preserve"> In practice, penalties handed down by courts have not approached the maximums provided in the model WHS Act and Victoria’s OHS Act.</w:t>
      </w:r>
      <w:r w:rsidRPr="000F1DE6">
        <w:rPr>
          <w:rStyle w:val="FootnoteReference"/>
        </w:rPr>
        <w:footnoteReference w:id="512"/>
      </w:r>
      <w:r w:rsidRPr="000F1DE6">
        <w:t xml:space="preserve"> The average monetary penalty for a WHS offence prosecution in Australia is currently $122,920,</w:t>
      </w:r>
      <w:r w:rsidRPr="000F1DE6">
        <w:rPr>
          <w:rStyle w:val="FootnoteReference"/>
          <w:rFonts w:cs="Arial"/>
        </w:rPr>
        <w:footnoteReference w:id="513"/>
      </w:r>
      <w:r w:rsidRPr="000F1DE6">
        <w:t xml:space="preserve"> and the highest monetary penalty ever awarded by a </w:t>
      </w:r>
      <w:r>
        <w:t>c</w:t>
      </w:r>
      <w:r w:rsidRPr="000F1DE6">
        <w:t>ourt for a WHS offence was $3,600,000.</w:t>
      </w:r>
      <w:r w:rsidRPr="000F1DE6">
        <w:rPr>
          <w:rStyle w:val="FootnoteReference"/>
          <w:rFonts w:cs="Arial"/>
        </w:rPr>
        <w:footnoteReference w:id="514"/>
      </w:r>
    </w:p>
    <w:p w14:paraId="2452E7CB" w14:textId="7DA2F0EA" w:rsidR="00731CE4" w:rsidRPr="004420D1" w:rsidRDefault="00731CE4" w:rsidP="00BF204D">
      <w:pPr>
        <w:pStyle w:val="Boxedshaded"/>
        <w:rPr>
          <w:b/>
          <w:bCs/>
        </w:rPr>
      </w:pPr>
      <w:r w:rsidRPr="004420D1">
        <w:rPr>
          <w:b/>
          <w:bCs/>
        </w:rPr>
        <w:t>What we heard</w:t>
      </w:r>
    </w:p>
    <w:p w14:paraId="53857C9C" w14:textId="77777777" w:rsidR="00F21CE3" w:rsidRDefault="00731CE4" w:rsidP="00BF204D">
      <w:pPr>
        <w:pStyle w:val="Boxedshaded"/>
        <w:rPr>
          <w:vertAlign w:val="superscript"/>
        </w:rPr>
      </w:pPr>
      <w:r w:rsidRPr="00731CE4">
        <w:t>This Review heard support for increasing penalties for large body corporates. The AIHS argued that current WHS penalties can represent a ‘negligible’ cost of doing business for large corporations, strongly limiting their deterrent effect. It questioned whether existing penalty settings adequately reflect corporate scale and capacity.</w:t>
      </w:r>
      <w:r w:rsidRPr="00731CE4">
        <w:rPr>
          <w:vertAlign w:val="superscript"/>
        </w:rPr>
        <w:footnoteReference w:id="515"/>
      </w:r>
      <w:r w:rsidRPr="00731CE4">
        <w:t xml:space="preserve"> Conversely, MEA said penalty frameworks should be proportionate for small businesses, ensuring sums act as a deterrent without entirely eroding a business’s viability.</w:t>
      </w:r>
      <w:r w:rsidRPr="00731CE4">
        <w:rPr>
          <w:vertAlign w:val="superscript"/>
        </w:rPr>
        <w:footnoteReference w:id="516"/>
      </w:r>
      <w:r w:rsidRPr="00731CE4">
        <w:t xml:space="preserve"> MEA reasoned that determining penalties without considering businesses’ relative sizes would only encourage safety cost-cutting and create an unfair competitive advantage for large businesses, which have greater resources to defend or, when unsuccessful, absorb penalties.</w:t>
      </w:r>
      <w:r w:rsidRPr="00731CE4">
        <w:rPr>
          <w:vertAlign w:val="superscript"/>
        </w:rPr>
        <w:footnoteReference w:id="517"/>
      </w:r>
    </w:p>
    <w:p w14:paraId="77D5C682" w14:textId="1DBF6B56" w:rsidR="00F964EE" w:rsidRPr="000F1DE6" w:rsidRDefault="00F964EE" w:rsidP="004420D1">
      <w:pPr>
        <w:pStyle w:val="SWAHeading4"/>
      </w:pPr>
      <w:r w:rsidRPr="000F1DE6">
        <w:t>Discussion and recommendation</w:t>
      </w:r>
      <w:r>
        <w:t>s</w:t>
      </w:r>
    </w:p>
    <w:p w14:paraId="7F1CE048" w14:textId="31A89CA2" w:rsidR="00F21CE3" w:rsidRDefault="00F964EE" w:rsidP="00F964EE">
      <w:pPr>
        <w:pStyle w:val="Paragraph"/>
      </w:pPr>
      <w:r w:rsidRPr="000F1DE6">
        <w:t>For very large body corporates, existing monetary penalties representing a marginal cost to the business may not encourage board-level prioritisation of managing WHS risks. From 2018</w:t>
      </w:r>
      <w:r w:rsidR="00A57879">
        <w:rPr>
          <w:rFonts w:ascii="Symbol" w:eastAsia="Symbol" w:hAnsi="Symbol" w:cs="Symbol"/>
        </w:rPr>
        <w:t>-</w:t>
      </w:r>
      <w:r w:rsidRPr="000F1DE6">
        <w:t>19 to 2023</w:t>
      </w:r>
      <w:r w:rsidR="00A57879">
        <w:rPr>
          <w:rFonts w:ascii="Symbol" w:eastAsia="Symbol" w:hAnsi="Symbol" w:cs="Symbol"/>
        </w:rPr>
        <w:t>-</w:t>
      </w:r>
      <w:r w:rsidRPr="000F1DE6">
        <w:t>24, there were approximately 2,164 corporate groups in Australia with turnover above $250</w:t>
      </w:r>
      <w:r>
        <w:t> </w:t>
      </w:r>
      <w:r w:rsidRPr="000F1DE6">
        <w:t>million that collectively generated $3.1</w:t>
      </w:r>
      <w:r>
        <w:t> </w:t>
      </w:r>
      <w:r w:rsidRPr="000F1DE6">
        <w:t>trillion in income.</w:t>
      </w:r>
      <w:r w:rsidRPr="000F1DE6">
        <w:rPr>
          <w:rStyle w:val="FootnoteReference"/>
          <w:rFonts w:cs="Arial"/>
        </w:rPr>
        <w:footnoteReference w:id="518"/>
      </w:r>
      <w:r w:rsidRPr="00262769">
        <w:t xml:space="preserve"> </w:t>
      </w:r>
      <w:r w:rsidRPr="000F1DE6">
        <w:t>Penalties under the model WHS Act must be sufficient to operate as an effective deterrent, and consideration by this Review indicates there is merit in exploring alternative penalty models for large body corporates that would overcome the diminishing deterrent effect of current WHS penalties at scale.</w:t>
      </w:r>
    </w:p>
    <w:p w14:paraId="2CB7F1A1" w14:textId="430A599E" w:rsidR="004420D1" w:rsidRDefault="00F964EE" w:rsidP="004420D1">
      <w:pPr>
        <w:pStyle w:val="Paragraph"/>
      </w:pPr>
      <w:r w:rsidRPr="000F1DE6">
        <w:t xml:space="preserve">Reviewing offence and penalty settings under the WHS Act provides an opportunity to strengthen compliance incentives for larger PCBUs, particularly at senior decision-making levels. Boards of large organisations balance a range of legal and commercial duties, and existing penalty settings may not provide sufficiently strong market signals to elevate the management of WHS risks alongside many other competing priorities. Recalibrating penalties would help ensure they remain proportionate, credible and capable of influencing corporate behaviour, consistent with approaches adopted in other Commonwealth regulatory regimes for entities with substantial resources and turnover. For example, the Australian Government recently amended civil penalty regimes in the </w:t>
      </w:r>
      <w:r w:rsidRPr="000F1DE6">
        <w:rPr>
          <w:i/>
        </w:rPr>
        <w:t>Competition and Consumer Act 2010</w:t>
      </w:r>
      <w:r w:rsidRPr="000F1DE6">
        <w:t xml:space="preserve"> (Cth), </w:t>
      </w:r>
      <w:r w:rsidRPr="000F1DE6">
        <w:rPr>
          <w:i/>
        </w:rPr>
        <w:t>Privacy Act 1988</w:t>
      </w:r>
      <w:r w:rsidRPr="000F1DE6">
        <w:t xml:space="preserve"> (Cth) and </w:t>
      </w:r>
      <w:r>
        <w:t xml:space="preserve">the </w:t>
      </w:r>
      <w:r w:rsidRPr="000F1DE6">
        <w:t xml:space="preserve">FW Act to respond to similar problems. </w:t>
      </w:r>
      <w:r w:rsidR="004420D1">
        <w:br w:type="page"/>
      </w:r>
    </w:p>
    <w:p w14:paraId="3773D7DD" w14:textId="77777777" w:rsidR="00F21CE3" w:rsidRDefault="00F964EE" w:rsidP="00F964EE">
      <w:pPr>
        <w:pStyle w:val="Paragraph"/>
      </w:pPr>
      <w:r w:rsidRPr="000F1DE6">
        <w:lastRenderedPageBreak/>
        <w:t>As an indicative example only, the recently introduced civil penalty provisions for a body corporate in the Privacy Act include:</w:t>
      </w:r>
    </w:p>
    <w:p w14:paraId="6693993F" w14:textId="11D51ADA" w:rsidR="00F964EE" w:rsidRPr="009C296A" w:rsidRDefault="00F964EE" w:rsidP="009C296A">
      <w:pPr>
        <w:pStyle w:val="ListBullet"/>
      </w:pPr>
      <w:r w:rsidRPr="008E5A2E">
        <w:t xml:space="preserve">an amount not exceeding the </w:t>
      </w:r>
      <w:r w:rsidRPr="009C296A">
        <w:t>greater of $50,000,000</w:t>
      </w:r>
    </w:p>
    <w:p w14:paraId="478E156D" w14:textId="77777777" w:rsidR="00F21CE3" w:rsidRDefault="00F964EE" w:rsidP="009C296A">
      <w:pPr>
        <w:pStyle w:val="ListBullet"/>
      </w:pPr>
      <w:r w:rsidRPr="009C296A">
        <w:t>3 times the value of the benefit obtained that is reasonably attributable to the relevant conduct</w:t>
      </w:r>
    </w:p>
    <w:p w14:paraId="6BBC413B" w14:textId="722D1BBD" w:rsidR="00F964EE" w:rsidRPr="009C296A" w:rsidRDefault="00F964EE" w:rsidP="009C296A">
      <w:pPr>
        <w:pStyle w:val="ListBullet"/>
      </w:pPr>
      <w:r w:rsidRPr="009C296A">
        <w:t>if the court cannot determine the value of the benefit, 30% of the body corporate’s adjusted turnover during the breach period.</w:t>
      </w:r>
    </w:p>
    <w:p w14:paraId="06AA826B" w14:textId="77777777" w:rsidR="00F21CE3" w:rsidRDefault="00F964EE" w:rsidP="00F964EE">
      <w:pPr>
        <w:pStyle w:val="Paragraph"/>
      </w:pPr>
      <w:r w:rsidRPr="000F1DE6">
        <w:t>This more flexible approach to penalties gives courts more latitude to determine appropriate penalties for PCBUs of different sizes. Safe Work Australia Members have agreed to do further work to determine the most appropriate penalties for WHS offences, with a view to revising the model penalty provisions, drawing on the approach taken in these Commonwealth civil penalty regimes.</w:t>
      </w:r>
    </w:p>
    <w:p w14:paraId="42ECD166" w14:textId="30D8C280" w:rsidR="00831750" w:rsidRPr="000F1DE6" w:rsidRDefault="00831750" w:rsidP="00F14A4A">
      <w:pPr>
        <w:pStyle w:val="SWAHeading2"/>
        <w:spacing w:line="240" w:lineRule="auto"/>
        <w:rPr>
          <w:rFonts w:asciiTheme="minorHAnsi" w:hAnsiTheme="minorHAnsi"/>
        </w:rPr>
      </w:pPr>
      <w:bookmarkStart w:id="65" w:name="_Toc234853688"/>
      <w:bookmarkStart w:id="66" w:name="_Toc236326816"/>
      <w:bookmarkStart w:id="67" w:name="_Toc239845158"/>
      <w:r w:rsidRPr="000F1DE6">
        <w:rPr>
          <w:rFonts w:asciiTheme="minorHAnsi" w:hAnsiTheme="minorHAnsi"/>
        </w:rPr>
        <w:t>Confidentiality of information (Part 14, Division 1, s 271, model WHS Act)</w:t>
      </w:r>
      <w:bookmarkEnd w:id="65"/>
      <w:bookmarkEnd w:id="66"/>
      <w:bookmarkEnd w:id="67"/>
    </w:p>
    <w:p w14:paraId="28792FCE" w14:textId="42E8D233" w:rsidR="00F21CE3" w:rsidRDefault="00831750" w:rsidP="0016789A">
      <w:pPr>
        <w:pStyle w:val="Paragraph"/>
        <w:spacing w:after="240"/>
      </w:pPr>
      <w:r w:rsidRPr="007A6A72">
        <w:t xml:space="preserve">Section 271 </w:t>
      </w:r>
      <w:r w:rsidRPr="0037744C">
        <w:t>(</w:t>
      </w:r>
      <w:r w:rsidR="00A57879">
        <w:t>C</w:t>
      </w:r>
      <w:r w:rsidRPr="0037744C">
        <w:t>onfidentiality of information)</w:t>
      </w:r>
      <w:r w:rsidRPr="007A6A72">
        <w:t xml:space="preserve"> of the model WHS Act seeks to protect information</w:t>
      </w:r>
      <w:r w:rsidRPr="000F1DE6">
        <w:t xml:space="preserve"> acquired during the exercise of any power or function under the model WHS Act to ensure the integrity of investigations and personal privacy, while allowing disclosure in specific circumstances.</w:t>
      </w:r>
      <w:r w:rsidRPr="000F1DE6">
        <w:rPr>
          <w:rStyle w:val="FootnoteReference"/>
        </w:rPr>
        <w:footnoteReference w:id="519"/>
      </w:r>
      <w:r w:rsidRPr="000F1DE6">
        <w:t xml:space="preserve"> Following the </w:t>
      </w:r>
      <w:r w:rsidRPr="006418D3">
        <w:rPr>
          <w:i/>
          <w:iCs/>
        </w:rPr>
        <w:t>2018 National Review</w:t>
      </w:r>
      <w:r w:rsidRPr="000F1DE6">
        <w:t>, section 271A was introduced to clarify how WHS regulators can use and share information with other regulators or agencies.</w:t>
      </w:r>
      <w:r w:rsidRPr="000F1DE6">
        <w:rPr>
          <w:rStyle w:val="FootnoteReference"/>
          <w:rFonts w:cs="Arial"/>
        </w:rPr>
        <w:footnoteReference w:id="520"/>
      </w:r>
    </w:p>
    <w:p w14:paraId="70748F99" w14:textId="6750F94F" w:rsidR="00B1454F" w:rsidRPr="004420D1" w:rsidRDefault="00B1454F" w:rsidP="00BF204D">
      <w:pPr>
        <w:pStyle w:val="Boxedshaded"/>
        <w:rPr>
          <w:b/>
          <w:bCs/>
        </w:rPr>
      </w:pPr>
      <w:r w:rsidRPr="004420D1">
        <w:rPr>
          <w:b/>
          <w:bCs/>
        </w:rPr>
        <w:t>What we heard</w:t>
      </w:r>
    </w:p>
    <w:p w14:paraId="454E933F" w14:textId="77777777" w:rsidR="00F21CE3" w:rsidRDefault="00B1454F" w:rsidP="00BF204D">
      <w:pPr>
        <w:pStyle w:val="Boxedshaded"/>
        <w:rPr>
          <w:vertAlign w:val="superscript"/>
        </w:rPr>
      </w:pPr>
      <w:r w:rsidRPr="00B1454F">
        <w:t xml:space="preserve">Unions, and those affected by work-related fatalities and injuries, consistently advocated for regulators to have more powers to disclose information to them. Family members shared </w:t>
      </w:r>
      <w:r w:rsidRPr="000F1DE6">
        <w:rPr>
          <w:rFonts w:cs="Arial"/>
        </w:rPr>
        <w:t>experiences</w:t>
      </w:r>
      <w:r w:rsidRPr="00B1454F">
        <w:t xml:space="preserve"> of being kept in the dark for years about the circumstances surrounding a work-related fatality</w:t>
      </w:r>
      <w:r w:rsidRPr="00B1454F">
        <w:rPr>
          <w:vertAlign w:val="superscript"/>
        </w:rPr>
        <w:footnoteReference w:id="521"/>
      </w:r>
      <w:r w:rsidRPr="00B1454F">
        <w:t xml:space="preserve"> and their frustration at having to ‘navigate complex and fragmented systems’ without support.</w:t>
      </w:r>
      <w:r w:rsidRPr="00B1454F">
        <w:rPr>
          <w:vertAlign w:val="superscript"/>
        </w:rPr>
        <w:footnoteReference w:id="522"/>
      </w:r>
      <w:r w:rsidRPr="00B1454F">
        <w:t xml:space="preserve"> Their grief was often exacerbated by limited access to timely information and the asymmetric power imbalances between them, regulators, courts and businesses during the investigation and litigation processes.</w:t>
      </w:r>
      <w:r w:rsidRPr="00B1454F">
        <w:rPr>
          <w:vertAlign w:val="superscript"/>
        </w:rPr>
        <w:footnoteReference w:id="523"/>
      </w:r>
    </w:p>
    <w:p w14:paraId="52D71ADF" w14:textId="4C2BBF16" w:rsidR="004420D1" w:rsidRDefault="00B1454F" w:rsidP="00BF204D">
      <w:pPr>
        <w:pStyle w:val="Boxedshaded"/>
      </w:pPr>
      <w:r w:rsidRPr="00B1454F">
        <w:t>Unions also sought improved access to information relating to inspections and investigations. The ACTU supported NSW amendments that enable regulators to disclose information to unions, employer organisations or HSRs where inspections or investigations arise from matters raised by those parties.</w:t>
      </w:r>
      <w:r w:rsidRPr="00B1454F">
        <w:rPr>
          <w:vertAlign w:val="superscript"/>
        </w:rPr>
        <w:footnoteReference w:id="524"/>
      </w:r>
      <w:r w:rsidRPr="00B1454F">
        <w:t xml:space="preserve"> Industry generally did not support expanding information sharing with unions, expressing concern about potential misuse of this information.</w:t>
      </w:r>
      <w:r w:rsidRPr="00B1454F">
        <w:rPr>
          <w:vertAlign w:val="superscript"/>
        </w:rPr>
        <w:footnoteReference w:id="525"/>
      </w:r>
      <w:r w:rsidRPr="00B1454F">
        <w:t xml:space="preserve"> MEA suggested disclosure be subject to a public interest criterion specifying what information may be shared.</w:t>
      </w:r>
      <w:r w:rsidRPr="00B1454F">
        <w:rPr>
          <w:vertAlign w:val="superscript"/>
        </w:rPr>
        <w:footnoteReference w:id="526"/>
      </w:r>
    </w:p>
    <w:p w14:paraId="16CA466D" w14:textId="77777777" w:rsidR="004420D1" w:rsidRPr="004420D1" w:rsidRDefault="004420D1">
      <w:pPr>
        <w:spacing w:after="200" w:line="276" w:lineRule="auto"/>
        <w:contextualSpacing w:val="0"/>
        <w:rPr>
          <w:rFonts w:asciiTheme="minorHAnsi" w:hAnsiTheme="minorHAnsi"/>
          <w:b/>
          <w:bCs/>
        </w:rPr>
      </w:pPr>
      <w:r>
        <w:br w:type="page"/>
      </w:r>
    </w:p>
    <w:p w14:paraId="5BA9BBEA" w14:textId="7C78346F" w:rsidR="00F21CE3" w:rsidRDefault="00B1454F" w:rsidP="00BF204D">
      <w:pPr>
        <w:pStyle w:val="Boxedshaded"/>
        <w:rPr>
          <w:vertAlign w:val="superscript"/>
        </w:rPr>
      </w:pPr>
      <w:r w:rsidRPr="00B1454F">
        <w:lastRenderedPageBreak/>
        <w:t>Regulators were also cautious, emphasising the need to protect privacy and the integrity of investigations.</w:t>
      </w:r>
      <w:r w:rsidRPr="00B1454F">
        <w:rPr>
          <w:vertAlign w:val="superscript"/>
        </w:rPr>
        <w:footnoteReference w:id="527"/>
      </w:r>
      <w:r w:rsidRPr="00B1454F">
        <w:t xml:space="preserve"> However, SafeWork SA noted that their section 271A was more effective and less frustrating for families, who would otherwise rely on freedom of information processes.</w:t>
      </w:r>
      <w:r w:rsidRPr="00B1454F">
        <w:rPr>
          <w:vertAlign w:val="superscript"/>
        </w:rPr>
        <w:footnoteReference w:id="528"/>
      </w:r>
      <w:r w:rsidRPr="00B1454F">
        <w:t xml:space="preserve"> Comcare noted that HSRs can have access to relevant inspector reports where that report has been provided to the PCBU but did not consider the current legislative framework should extend to </w:t>
      </w:r>
      <w:r w:rsidRPr="00F83DFE">
        <w:t>broader information</w:t>
      </w:r>
      <w:r w:rsidR="00A57879" w:rsidRPr="000F68AB">
        <w:t xml:space="preserve"> </w:t>
      </w:r>
      <w:r w:rsidRPr="00F83DFE">
        <w:t>sharing.</w:t>
      </w:r>
      <w:r w:rsidRPr="00F83DFE">
        <w:rPr>
          <w:vertAlign w:val="superscript"/>
        </w:rPr>
        <w:footnoteReference w:id="529"/>
      </w:r>
    </w:p>
    <w:p w14:paraId="64F4A7E1" w14:textId="77777777" w:rsidR="00F21CE3" w:rsidRDefault="00B1454F" w:rsidP="00BF204D">
      <w:pPr>
        <w:pStyle w:val="Boxedshaded"/>
        <w:rPr>
          <w:b/>
        </w:rPr>
      </w:pPr>
      <w:r w:rsidRPr="000F1DE6">
        <w:t>Some r</w:t>
      </w:r>
      <w:r w:rsidRPr="00B1454F">
        <w:t>egulators</w:t>
      </w:r>
      <w:r w:rsidRPr="000F1DE6">
        <w:t xml:space="preserve"> identified section 271 as a barrier to information sharing and effective compliance and enforcement responses</w:t>
      </w:r>
      <w:r w:rsidRPr="00B1454F">
        <w:t>.</w:t>
      </w:r>
      <w:r w:rsidRPr="000F1DE6">
        <w:t xml:space="preserve"> The WorkSafe ACT Commissioner noted that it restricted the information inspectors can provide to law enforcement agencies if they uncover other potential criminal offences in the course of their work.</w:t>
      </w:r>
      <w:r w:rsidRPr="00B1454F">
        <w:rPr>
          <w:vertAlign w:val="superscript"/>
        </w:rPr>
        <w:footnoteReference w:id="530"/>
      </w:r>
      <w:r w:rsidRPr="00A17B42">
        <w:t xml:space="preserve"> </w:t>
      </w:r>
      <w:r w:rsidRPr="000F1DE6">
        <w:t>SafeWork</w:t>
      </w:r>
      <w:r w:rsidRPr="00B1454F">
        <w:t> </w:t>
      </w:r>
      <w:r w:rsidRPr="000F1DE6">
        <w:t>NSW raised the difficulties of addressing licensing and competent person issues in relation to the inspection and certification of amusement devices, noting the practical limitations of revoking licenses that have been issued by other jurisdictions</w:t>
      </w:r>
      <w:r w:rsidRPr="00B1454F">
        <w:t>.</w:t>
      </w:r>
      <w:r w:rsidRPr="00B1454F">
        <w:rPr>
          <w:vertAlign w:val="superscript"/>
        </w:rPr>
        <w:footnoteReference w:id="531"/>
      </w:r>
    </w:p>
    <w:p w14:paraId="3648E747" w14:textId="199ADBF3" w:rsidR="00831750" w:rsidRPr="000F1DE6" w:rsidRDefault="00831750" w:rsidP="004420D1">
      <w:pPr>
        <w:pStyle w:val="SWAHeading4"/>
        <w:spacing w:after="120"/>
      </w:pPr>
      <w:r w:rsidRPr="000F1DE6">
        <w:t>Discussion and recommendation</w:t>
      </w:r>
      <w:r>
        <w:t>s</w:t>
      </w:r>
    </w:p>
    <w:p w14:paraId="6698CA84" w14:textId="079EECED" w:rsidR="00F21CE3" w:rsidRDefault="00831750" w:rsidP="00831750">
      <w:pPr>
        <w:pStyle w:val="Paragraph"/>
      </w:pPr>
      <w:r w:rsidRPr="000F1DE6">
        <w:t xml:space="preserve">The </w:t>
      </w:r>
      <w:r w:rsidRPr="000F68AB">
        <w:rPr>
          <w:i/>
          <w:iCs/>
        </w:rPr>
        <w:t>2023</w:t>
      </w:r>
      <w:r w:rsidRPr="000F68AB">
        <w:rPr>
          <w:i/>
          <w:iCs/>
          <w:szCs w:val="22"/>
        </w:rPr>
        <w:t xml:space="preserve"> </w:t>
      </w:r>
      <w:r w:rsidRPr="000F68AB">
        <w:rPr>
          <w:i/>
          <w:iCs/>
        </w:rPr>
        <w:t>NSW Review</w:t>
      </w:r>
      <w:r w:rsidRPr="000F1DE6">
        <w:t xml:space="preserve">, </w:t>
      </w:r>
      <w:r w:rsidRPr="000F68AB">
        <w:rPr>
          <w:i/>
          <w:iCs/>
        </w:rPr>
        <w:t>2022 SA Review</w:t>
      </w:r>
      <w:r w:rsidRPr="000F1DE6">
        <w:t xml:space="preserve"> and </w:t>
      </w:r>
      <w:r w:rsidRPr="000F68AB">
        <w:rPr>
          <w:i/>
          <w:iCs/>
        </w:rPr>
        <w:t>2018 They Never Came Home Report</w:t>
      </w:r>
      <w:r w:rsidRPr="000F1DE6">
        <w:t xml:space="preserve"> each identified the importance of improved information sharing with affected workers and families, emphasising how a lack of information can compound grief </w:t>
      </w:r>
      <w:r w:rsidRPr="00407688">
        <w:t>and re-traumatisation</w:t>
      </w:r>
      <w:r w:rsidRPr="000F1DE6">
        <w:t>.</w:t>
      </w:r>
      <w:r w:rsidRPr="000F1DE6">
        <w:rPr>
          <w:vertAlign w:val="superscript"/>
        </w:rPr>
        <w:footnoteReference w:id="532"/>
      </w:r>
      <w:r w:rsidRPr="000F1DE6">
        <w:t xml:space="preserve"> Likewise, research shows families’ unanswered questions years after fatal work incidents complicate the grieving process.</w:t>
      </w:r>
      <w:r w:rsidRPr="000F1DE6">
        <w:rPr>
          <w:vertAlign w:val="superscript"/>
        </w:rPr>
        <w:footnoteReference w:id="533"/>
      </w:r>
      <w:r w:rsidRPr="000F1DE6">
        <w:t xml:space="preserve"> This Review considers that affected families have the greatest need of any party to know what happened to their loved ones. Under-sharing can be as harmful as </w:t>
      </w:r>
      <w:r w:rsidRPr="00105531">
        <w:t>over-sharing</w:t>
      </w:r>
      <w:r w:rsidRPr="000F1DE6">
        <w:t>, and it was sometimes felt that regulators were overly restrictive</w:t>
      </w:r>
      <w:r w:rsidRPr="000F1DE6" w:rsidDel="003A3D4E">
        <w:t xml:space="preserve"> </w:t>
      </w:r>
      <w:r w:rsidRPr="000F1DE6">
        <w:t>when applying their legitimate discretion to prevent disclosures that could prejudice an ongoing investigation or prosecution.</w:t>
      </w:r>
    </w:p>
    <w:p w14:paraId="5F605047" w14:textId="77777777" w:rsidR="00F21CE3" w:rsidRDefault="00831750" w:rsidP="00831750">
      <w:pPr>
        <w:pStyle w:val="Paragraph"/>
      </w:pPr>
      <w:r w:rsidRPr="000F1DE6">
        <w:t xml:space="preserve">This Review recommends amending the model WHS Act in line with the approach adopted by SA following the </w:t>
      </w:r>
      <w:r w:rsidRPr="0036692A">
        <w:rPr>
          <w:i/>
          <w:iCs/>
        </w:rPr>
        <w:t>2022 SA Review</w:t>
      </w:r>
      <w:r w:rsidRPr="000F1DE6">
        <w:t xml:space="preserve">, which balances the need to ensure persons affected by work-related incidents are kept informed about actions and activities taken in response to an incident and the need to preserve the integrity of an investigation (see </w:t>
      </w:r>
      <w:r w:rsidRPr="000F1DE6">
        <w:rPr>
          <w:b/>
          <w:bCs/>
        </w:rPr>
        <w:t>Appendix E</w:t>
      </w:r>
      <w:r w:rsidRPr="00D714E1">
        <w:t>,</w:t>
      </w:r>
      <w:r w:rsidRPr="000F1DE6">
        <w:rPr>
          <w:b/>
          <w:bCs/>
        </w:rPr>
        <w:t xml:space="preserve"> 6A</w:t>
      </w:r>
      <w:r w:rsidRPr="000F1DE6">
        <w:t>). SA’s variation provides regulators discretion to consider and determine what information is appropriate to be released to injured workers or families of deceased or seriously injured workers. The regulator may also disclose information to other interested parties with a direct connection to the incident if the regulator believes that disclosure would assist in enforcing or administering the Act.</w:t>
      </w:r>
    </w:p>
    <w:p w14:paraId="33FC9D32" w14:textId="0E9E0631" w:rsidR="0016789A" w:rsidRDefault="00831750" w:rsidP="00831750">
      <w:pPr>
        <w:pStyle w:val="Paragraph"/>
      </w:pPr>
      <w:r w:rsidRPr="000F1DE6">
        <w:t>A number of jurisdictions have established specialised services for family members. This includes family liaison officers in some jurisdictions and grief support services providing tailored counselling</w:t>
      </w:r>
      <w:r>
        <w:t>;</w:t>
      </w:r>
      <w:r w:rsidRPr="000F1DE6">
        <w:t xml:space="preserve"> peer support</w:t>
      </w:r>
      <w:r>
        <w:t>;</w:t>
      </w:r>
      <w:r w:rsidRPr="000F1DE6">
        <w:t xml:space="preserve"> and assistance to access entitlements, exercise rights and navigate legal and related processes.</w:t>
      </w:r>
      <w:r w:rsidRPr="000F1DE6">
        <w:rPr>
          <w:rStyle w:val="FootnoteReference"/>
          <w:rFonts w:cs="Arial"/>
        </w:rPr>
        <w:footnoteReference w:id="534"/>
      </w:r>
      <w:r w:rsidRPr="000F1DE6">
        <w:t xml:space="preserve"> While acknowledging the ongoing work of jurisdictions, this Review suggests further consideration should be given to improving supports for families affected by a work-related fatality.</w:t>
      </w:r>
      <w:r w:rsidR="0016789A">
        <w:br w:type="page"/>
      </w:r>
    </w:p>
    <w:p w14:paraId="2014ED0E" w14:textId="77777777" w:rsidR="00F21CE3" w:rsidRDefault="00831750" w:rsidP="00831750">
      <w:pPr>
        <w:pStyle w:val="Paragraph"/>
      </w:pPr>
      <w:r w:rsidRPr="000F1DE6">
        <w:lastRenderedPageBreak/>
        <w:t xml:space="preserve">This Review also recommends </w:t>
      </w:r>
      <w:r w:rsidRPr="00F83DFE">
        <w:t>section 271 should be</w:t>
      </w:r>
      <w:r w:rsidRPr="000F1DE6">
        <w:t xml:space="preserve"> amended to enable HSRs</w:t>
      </w:r>
      <w:r w:rsidRPr="000F1DE6" w:rsidDel="00EF6B94">
        <w:t xml:space="preserve">, </w:t>
      </w:r>
      <w:r w:rsidRPr="000F1DE6">
        <w:t>union</w:t>
      </w:r>
      <w:r>
        <w:t>s</w:t>
      </w:r>
      <w:r w:rsidRPr="000F1DE6">
        <w:t xml:space="preserve"> and employer organisations to access information about matters they have raised with the regulator (see </w:t>
      </w:r>
      <w:r w:rsidR="00B50788" w:rsidRPr="000F1DE6">
        <w:rPr>
          <w:b/>
          <w:bCs/>
        </w:rPr>
        <w:t>Appendix</w:t>
      </w:r>
      <w:r w:rsidR="00B50788">
        <w:rPr>
          <w:b/>
          <w:bCs/>
        </w:rPr>
        <w:t> </w:t>
      </w:r>
      <w:r w:rsidRPr="000F1DE6">
        <w:rPr>
          <w:b/>
          <w:bCs/>
        </w:rPr>
        <w:t>E</w:t>
      </w:r>
      <w:r w:rsidR="00B50788" w:rsidRPr="00672093">
        <w:t>,</w:t>
      </w:r>
      <w:r w:rsidR="00B50788">
        <w:t> </w:t>
      </w:r>
      <w:r w:rsidRPr="000F1DE6">
        <w:rPr>
          <w:b/>
          <w:bCs/>
        </w:rPr>
        <w:t>6B</w:t>
      </w:r>
      <w:r w:rsidRPr="000F1DE6">
        <w:t>). This is consistent with the approach of NSW</w:t>
      </w:r>
      <w:r w:rsidRPr="000F1DE6">
        <w:rPr>
          <w:rStyle w:val="FootnoteReference"/>
          <w:rFonts w:cs="Arial"/>
        </w:rPr>
        <w:footnoteReference w:id="535"/>
      </w:r>
      <w:r w:rsidRPr="000F1DE6">
        <w:t xml:space="preserve"> and the </w:t>
      </w:r>
      <w:r w:rsidRPr="0036692A">
        <w:rPr>
          <w:i/>
          <w:iCs/>
        </w:rPr>
        <w:t>2022 SA Review</w:t>
      </w:r>
      <w:r w:rsidRPr="000F1DE6">
        <w:t>.</w:t>
      </w:r>
      <w:r w:rsidRPr="000F1DE6">
        <w:rPr>
          <w:vertAlign w:val="superscript"/>
        </w:rPr>
        <w:footnoteReference w:id="536"/>
      </w:r>
      <w:r w:rsidRPr="000F1DE6">
        <w:t xml:space="preserve"> This Review considers the approach is consistent with the object of the WHS Act, specifically in relation to encouraging unions and employer organisations to take a constructive role in promoting improvements to WHS practices and ensuring appropriate scrutiny and review of actions.</w:t>
      </w:r>
      <w:r w:rsidRPr="000F1DE6">
        <w:rPr>
          <w:vertAlign w:val="superscript"/>
        </w:rPr>
        <w:footnoteReference w:id="537"/>
      </w:r>
      <w:r w:rsidRPr="000F1DE6">
        <w:t xml:space="preserve"> While acknowledging industry concerns, this Review considers the potential for possible misuse should not prejudice the ability of unions, HSRs and employer organisations to be provided with information about actions taken by the regulator in response to issues they raised. In implementing this recommendation</w:t>
      </w:r>
      <w:r>
        <w:t>,</w:t>
      </w:r>
      <w:r w:rsidRPr="000F1DE6">
        <w:t xml:space="preserve"> section 271 should also be amended to enable disclosure of compliance notices already required to be displayed in a prominent place under section 210</w:t>
      </w:r>
      <w:r w:rsidRPr="000F1DE6">
        <w:rPr>
          <w:vertAlign w:val="superscript"/>
        </w:rPr>
        <w:footnoteReference w:id="538"/>
      </w:r>
      <w:r w:rsidRPr="000F1DE6">
        <w:t xml:space="preserve"> and to adopt the safeguards in the NSW WHS Act</w:t>
      </w:r>
      <w:r>
        <w:t>,</w:t>
      </w:r>
      <w:r w:rsidRPr="000F1DE6">
        <w:t xml:space="preserve"> including limiting disclosure where it may be prejudicial to an ongoing investigation, prosecution or exercise of other compliance powers.</w:t>
      </w:r>
      <w:r w:rsidRPr="000F1DE6">
        <w:rPr>
          <w:vertAlign w:val="superscript"/>
        </w:rPr>
        <w:footnoteReference w:id="539"/>
      </w:r>
    </w:p>
    <w:p w14:paraId="054030D2" w14:textId="0CF4A2C4" w:rsidR="00CF5B29" w:rsidRDefault="00831750" w:rsidP="0016789A">
      <w:pPr>
        <w:pStyle w:val="Paragraph"/>
        <w:spacing w:after="240"/>
      </w:pPr>
      <w:r w:rsidRPr="000F1DE6">
        <w:t>Improved information and evidence sharing between jurisdictions would support more effective compliance and enforcement activities. This Review recommends adopting sections 271AA and 271AB of the NSW WHS Act, which enable the regulator to enter an information</w:t>
      </w:r>
      <w:r>
        <w:t>-</w:t>
      </w:r>
      <w:r w:rsidRPr="000F1DE6">
        <w:t xml:space="preserve">sharing arrangement with relevant agencies, including law enforcement bodies, regulatory agencies and other government agencies (see </w:t>
      </w:r>
      <w:r w:rsidRPr="000F1DE6">
        <w:rPr>
          <w:b/>
        </w:rPr>
        <w:t>Appendix E</w:t>
      </w:r>
      <w:r w:rsidRPr="000F1DE6">
        <w:rPr>
          <w:bCs/>
        </w:rPr>
        <w:t>,</w:t>
      </w:r>
      <w:r w:rsidRPr="000F1DE6">
        <w:rPr>
          <w:b/>
        </w:rPr>
        <w:t xml:space="preserve"> 6C</w:t>
      </w:r>
      <w:r w:rsidRPr="000F1DE6">
        <w:t>). This streamlined approach, with appropriate safeguards, would allow regulators to more fully carry out their functions in relation to engaging, promoting and coordinating the sharing of information to achieve the object of the model WHS Act.</w:t>
      </w:r>
      <w:r w:rsidRPr="000F1DE6">
        <w:rPr>
          <w:rStyle w:val="FootnoteReference"/>
        </w:rPr>
        <w:footnoteReference w:id="540"/>
      </w:r>
    </w:p>
    <w:tbl>
      <w:tblPr>
        <w:tblStyle w:val="Style5"/>
        <w:tblW w:w="5000" w:type="pct"/>
        <w:tblCellMar>
          <w:top w:w="113" w:type="dxa"/>
          <w:bottom w:w="113" w:type="dxa"/>
        </w:tblCellMar>
        <w:tblLook w:val="04A0" w:firstRow="1" w:lastRow="0" w:firstColumn="1" w:lastColumn="0" w:noHBand="0" w:noVBand="1"/>
      </w:tblPr>
      <w:tblGrid>
        <w:gridCol w:w="9746"/>
      </w:tblGrid>
      <w:tr w:rsidR="001F0AE6" w14:paraId="5935F48B" w14:textId="77777777" w:rsidTr="0016789A">
        <w:trPr>
          <w:cnfStyle w:val="100000000000" w:firstRow="1" w:lastRow="0" w:firstColumn="0" w:lastColumn="0" w:oddVBand="0" w:evenVBand="0" w:oddHBand="0" w:evenHBand="0" w:firstRowFirstColumn="0" w:firstRowLastColumn="0" w:lastRowFirstColumn="0" w:lastRowLastColumn="0"/>
        </w:trPr>
        <w:tc>
          <w:tcPr>
            <w:tcW w:w="5000" w:type="pct"/>
          </w:tcPr>
          <w:p w14:paraId="7F722658" w14:textId="4CB95AC6" w:rsidR="001F0AE6" w:rsidRDefault="00864905">
            <w:pPr>
              <w:pStyle w:val="Tableheader"/>
            </w:pPr>
            <w:r>
              <w:t>Compliance and enforcement</w:t>
            </w:r>
            <w:r w:rsidR="004420D1">
              <w:t xml:space="preserve"> – Recommendation 14</w:t>
            </w:r>
          </w:p>
        </w:tc>
      </w:tr>
      <w:tr w:rsidR="001F0AE6" w14:paraId="420E6EA1" w14:textId="77777777" w:rsidTr="0016789A">
        <w:tc>
          <w:tcPr>
            <w:tcW w:w="5000" w:type="pct"/>
          </w:tcPr>
          <w:p w14:paraId="05F35064" w14:textId="58F1DD60" w:rsidR="001F0AE6" w:rsidRPr="0016789A" w:rsidRDefault="001F0AE6" w:rsidP="004420D1">
            <w:pPr>
              <w:pStyle w:val="Paragraphtable"/>
              <w:rPr>
                <w:sz w:val="21"/>
                <w:szCs w:val="21"/>
              </w:rPr>
            </w:pPr>
            <w:r w:rsidRPr="0016789A">
              <w:rPr>
                <w:sz w:val="21"/>
                <w:szCs w:val="21"/>
              </w:rPr>
              <w:t xml:space="preserve">Amend the model WHS Act to enact the best practice variations set out at </w:t>
            </w:r>
            <w:r w:rsidRPr="00AC1858">
              <w:rPr>
                <w:b/>
                <w:bCs w:val="0"/>
                <w:sz w:val="21"/>
                <w:szCs w:val="21"/>
              </w:rPr>
              <w:t>Appendix E</w:t>
            </w:r>
            <w:r w:rsidRPr="0016789A">
              <w:rPr>
                <w:sz w:val="21"/>
                <w:szCs w:val="21"/>
              </w:rPr>
              <w:t xml:space="preserve"> in relation to:</w:t>
            </w:r>
          </w:p>
          <w:p w14:paraId="09AAAB7D" w14:textId="77777777" w:rsidR="001F0AE6" w:rsidRPr="0016789A" w:rsidRDefault="001F0AE6" w:rsidP="00AC1858">
            <w:pPr>
              <w:pStyle w:val="ListBullet2tables"/>
              <w:numPr>
                <w:ilvl w:val="0"/>
                <w:numId w:val="63"/>
              </w:numPr>
              <w:rPr>
                <w:sz w:val="21"/>
                <w:szCs w:val="21"/>
              </w:rPr>
            </w:pPr>
            <w:r w:rsidRPr="0016789A">
              <w:rPr>
                <w:sz w:val="21"/>
                <w:szCs w:val="21"/>
              </w:rPr>
              <w:t>regulator and inspector powers and functions</w:t>
            </w:r>
          </w:p>
          <w:p w14:paraId="7381A20A" w14:textId="77777777" w:rsidR="001F0AE6" w:rsidRPr="0016789A" w:rsidRDefault="001F0AE6" w:rsidP="00AC1858">
            <w:pPr>
              <w:pStyle w:val="ListBullet2tables"/>
              <w:numPr>
                <w:ilvl w:val="0"/>
                <w:numId w:val="63"/>
              </w:numPr>
              <w:rPr>
                <w:sz w:val="21"/>
                <w:szCs w:val="21"/>
              </w:rPr>
            </w:pPr>
            <w:r w:rsidRPr="0016789A">
              <w:rPr>
                <w:sz w:val="21"/>
                <w:szCs w:val="21"/>
              </w:rPr>
              <w:t>enforceable undertakings</w:t>
            </w:r>
          </w:p>
          <w:p w14:paraId="4F324C59" w14:textId="77777777" w:rsidR="001F0AE6" w:rsidRPr="0016789A" w:rsidRDefault="001F0AE6" w:rsidP="00AC1858">
            <w:pPr>
              <w:pStyle w:val="ListBullet2tables"/>
              <w:numPr>
                <w:ilvl w:val="0"/>
                <w:numId w:val="63"/>
              </w:numPr>
              <w:rPr>
                <w:sz w:val="21"/>
                <w:szCs w:val="21"/>
              </w:rPr>
            </w:pPr>
            <w:r w:rsidRPr="0016789A">
              <w:rPr>
                <w:sz w:val="21"/>
                <w:szCs w:val="21"/>
              </w:rPr>
              <w:t>review of decisions</w:t>
            </w:r>
          </w:p>
          <w:p w14:paraId="57A7CFC4" w14:textId="58E1C7F3" w:rsidR="001F0AE6" w:rsidRPr="0016789A" w:rsidRDefault="001F0AE6" w:rsidP="00AC1858">
            <w:pPr>
              <w:pStyle w:val="ListBullet2tables"/>
              <w:numPr>
                <w:ilvl w:val="0"/>
                <w:numId w:val="63"/>
              </w:numPr>
              <w:rPr>
                <w:sz w:val="21"/>
                <w:szCs w:val="21"/>
              </w:rPr>
            </w:pPr>
            <w:r w:rsidRPr="0016789A">
              <w:rPr>
                <w:sz w:val="21"/>
                <w:szCs w:val="21"/>
              </w:rPr>
              <w:t>legal proceedings</w:t>
            </w:r>
            <w:r w:rsidR="00F22266" w:rsidRPr="0016789A">
              <w:rPr>
                <w:sz w:val="21"/>
                <w:szCs w:val="21"/>
              </w:rPr>
              <w:t>, and</w:t>
            </w:r>
          </w:p>
          <w:p w14:paraId="02278B0F" w14:textId="030058F8" w:rsidR="001F0AE6" w:rsidRPr="001F0AE6" w:rsidRDefault="001F0AE6" w:rsidP="00AC1858">
            <w:pPr>
              <w:pStyle w:val="ListBullet2tables"/>
              <w:numPr>
                <w:ilvl w:val="0"/>
                <w:numId w:val="63"/>
              </w:numPr>
            </w:pPr>
            <w:r w:rsidRPr="0016789A">
              <w:rPr>
                <w:sz w:val="21"/>
                <w:szCs w:val="21"/>
              </w:rPr>
              <w:t>confidentiality of information.</w:t>
            </w:r>
            <w:r w:rsidRPr="00911D9F">
              <w:t xml:space="preserve"> </w:t>
            </w:r>
          </w:p>
        </w:tc>
      </w:tr>
    </w:tbl>
    <w:p w14:paraId="453DB85E" w14:textId="77777777" w:rsidR="00D74842" w:rsidRDefault="00D74842" w:rsidP="004420D1">
      <w:pPr>
        <w:pStyle w:val="Paragraph"/>
      </w:pPr>
    </w:p>
    <w:p w14:paraId="29C90C48" w14:textId="77777777" w:rsidR="004420D1" w:rsidRDefault="004420D1" w:rsidP="004420D1">
      <w:pPr>
        <w:pStyle w:val="Paragraph"/>
      </w:pPr>
    </w:p>
    <w:p w14:paraId="292AC42C" w14:textId="77777777" w:rsidR="00530CDB" w:rsidRDefault="00530CDB" w:rsidP="004420D1">
      <w:pPr>
        <w:pStyle w:val="Paragraph"/>
        <w:rPr>
          <w:rFonts w:asciiTheme="majorHAnsi" w:hAnsiTheme="majorHAnsi" w:cs="Arial"/>
          <w:b/>
          <w:bCs/>
          <w:sz w:val="40"/>
          <w:szCs w:val="40"/>
        </w:rPr>
        <w:sectPr w:rsidR="00530CDB" w:rsidSect="00DF1707">
          <w:headerReference w:type="default" r:id="rId37"/>
          <w:pgSz w:w="11906" w:h="16838" w:code="9"/>
          <w:pgMar w:top="1440" w:right="1080" w:bottom="1440" w:left="1080" w:header="709" w:footer="709" w:gutter="0"/>
          <w:cols w:space="708"/>
          <w:titlePg/>
          <w:docGrid w:linePitch="360"/>
        </w:sectPr>
      </w:pPr>
    </w:p>
    <w:p w14:paraId="1C30E8F2" w14:textId="77777777" w:rsidR="00F21CE3" w:rsidRDefault="00F9475F" w:rsidP="004420D1">
      <w:pPr>
        <w:pStyle w:val="SWAHeading1"/>
        <w:spacing w:after="0"/>
      </w:pPr>
      <w:bookmarkStart w:id="68" w:name="_Toc239845159"/>
      <w:r w:rsidRPr="004420D1">
        <w:lastRenderedPageBreak/>
        <w:t xml:space="preserve">Codes </w:t>
      </w:r>
      <w:r>
        <w:t>of Practice</w:t>
      </w:r>
      <w:bookmarkEnd w:id="68"/>
    </w:p>
    <w:p w14:paraId="0D0673F0" w14:textId="5DD7003C" w:rsidR="00530CDB" w:rsidRPr="00530CDB" w:rsidRDefault="00F9475F" w:rsidP="004420D1">
      <w:pPr>
        <w:pStyle w:val="SWAh12ndline"/>
      </w:pPr>
      <w:r>
        <w:t>(</w:t>
      </w:r>
      <w:r w:rsidRPr="004420D1">
        <w:t>Part</w:t>
      </w:r>
      <w:r>
        <w:t xml:space="preserve"> 14, ss </w:t>
      </w:r>
      <w:r w:rsidR="00AC6529" w:rsidRPr="00AC6529">
        <w:t>274–275, model WHS Act)</w:t>
      </w:r>
    </w:p>
    <w:p w14:paraId="1A87BF9A" w14:textId="77777777" w:rsidR="00F21CE3" w:rsidRDefault="00530CDB" w:rsidP="00C22761">
      <w:pPr>
        <w:keepNext/>
        <w:keepLines/>
        <w:pBdr>
          <w:top w:val="single" w:sz="8" w:space="10" w:color="E7E6E6" w:themeColor="background2"/>
          <w:left w:val="single" w:sz="8" w:space="10" w:color="E7E6E6" w:themeColor="background2"/>
          <w:bottom w:val="single" w:sz="8" w:space="10" w:color="E7E6E6" w:themeColor="background2"/>
          <w:right w:val="single" w:sz="8" w:space="10" w:color="E7E6E6" w:themeColor="background2"/>
        </w:pBdr>
        <w:shd w:val="clear" w:color="auto" w:fill="E7E6E6" w:themeFill="background2"/>
        <w:spacing w:line="216" w:lineRule="auto"/>
        <w:ind w:left="284" w:right="284"/>
        <w:contextualSpacing w:val="0"/>
        <w:rPr>
          <w:rFonts w:asciiTheme="minorHAnsi" w:hAnsiTheme="minorHAnsi"/>
          <w:b/>
          <w:bCs/>
        </w:rPr>
      </w:pPr>
      <w:r w:rsidRPr="00530CDB">
        <w:rPr>
          <w:rFonts w:asciiTheme="minorHAnsi" w:hAnsiTheme="minorHAnsi"/>
          <w:b/>
          <w:bCs/>
        </w:rPr>
        <w:t>Terms of Reference:</w:t>
      </w:r>
    </w:p>
    <w:p w14:paraId="7EE4D9FA" w14:textId="1B655C04" w:rsidR="00530CDB" w:rsidRPr="00530CDB" w:rsidRDefault="00530CDB" w:rsidP="00C22761">
      <w:pPr>
        <w:keepNext/>
        <w:keepLines/>
        <w:pBdr>
          <w:top w:val="single" w:sz="8" w:space="10" w:color="E7E6E6" w:themeColor="background2"/>
          <w:left w:val="single" w:sz="8" w:space="10" w:color="E7E6E6" w:themeColor="background2"/>
          <w:bottom w:val="single" w:sz="8" w:space="10" w:color="E7E6E6" w:themeColor="background2"/>
          <w:right w:val="single" w:sz="8" w:space="10" w:color="E7E6E6" w:themeColor="background2"/>
        </w:pBdr>
        <w:shd w:val="clear" w:color="auto" w:fill="E7E6E6" w:themeFill="background2"/>
        <w:spacing w:line="216" w:lineRule="auto"/>
        <w:ind w:left="284" w:right="284"/>
        <w:contextualSpacing w:val="0"/>
        <w:rPr>
          <w:rFonts w:asciiTheme="minorHAnsi" w:hAnsiTheme="minorHAnsi"/>
        </w:rPr>
      </w:pPr>
      <w:r w:rsidRPr="00530CDB">
        <w:rPr>
          <w:rFonts w:asciiTheme="minorHAnsi" w:hAnsiTheme="minorHAnsi"/>
        </w:rPr>
        <w:t>2.1, 2.2, 2.3, 2.6</w:t>
      </w:r>
    </w:p>
    <w:p w14:paraId="2C8B56AA" w14:textId="77777777" w:rsidR="00530CDB" w:rsidRPr="00530CDB" w:rsidRDefault="00530CDB" w:rsidP="00C22761">
      <w:pPr>
        <w:keepNext/>
        <w:pBdr>
          <w:top w:val="single" w:sz="8" w:space="10" w:color="E7E6E6" w:themeColor="background2"/>
          <w:left w:val="single" w:sz="8" w:space="10" w:color="E7E6E6" w:themeColor="background2"/>
          <w:bottom w:val="single" w:sz="8" w:space="10" w:color="E7E6E6" w:themeColor="background2"/>
          <w:right w:val="single" w:sz="8" w:space="10" w:color="E7E6E6" w:themeColor="background2"/>
        </w:pBdr>
        <w:shd w:val="clear" w:color="auto" w:fill="E7E6E6" w:themeFill="background2"/>
        <w:spacing w:line="216" w:lineRule="auto"/>
        <w:ind w:left="284" w:right="284"/>
        <w:contextualSpacing w:val="0"/>
        <w:rPr>
          <w:rFonts w:asciiTheme="minorHAnsi" w:hAnsiTheme="minorHAnsi"/>
          <w:b/>
          <w:bCs/>
        </w:rPr>
      </w:pPr>
      <w:r w:rsidRPr="00530CDB">
        <w:rPr>
          <w:rFonts w:asciiTheme="minorHAnsi" w:hAnsiTheme="minorHAnsi"/>
          <w:b/>
          <w:bCs/>
        </w:rPr>
        <w:t>Reviews considered in this chapter:</w:t>
      </w:r>
    </w:p>
    <w:p w14:paraId="7888818F" w14:textId="793156F3" w:rsidR="00530CDB" w:rsidRPr="00530CDB" w:rsidRDefault="00402795" w:rsidP="00C22761">
      <w:pPr>
        <w:keepNext/>
        <w:keepLines/>
        <w:numPr>
          <w:ilvl w:val="0"/>
          <w:numId w:val="7"/>
        </w:numPr>
        <w:pBdr>
          <w:top w:val="single" w:sz="8" w:space="10" w:color="E7E6E6" w:themeColor="background2"/>
          <w:left w:val="single" w:sz="8" w:space="10" w:color="E7E6E6" w:themeColor="background2"/>
          <w:bottom w:val="single" w:sz="8" w:space="10" w:color="E7E6E6" w:themeColor="background2"/>
          <w:right w:val="single" w:sz="8" w:space="10" w:color="E7E6E6" w:themeColor="background2"/>
        </w:pBdr>
        <w:shd w:val="clear" w:color="auto" w:fill="E7E6E6" w:themeFill="background2"/>
        <w:spacing w:line="216" w:lineRule="auto"/>
        <w:ind w:left="284" w:right="284" w:firstLine="0"/>
        <w:contextualSpacing w:val="0"/>
        <w:rPr>
          <w:rFonts w:asciiTheme="minorHAnsi" w:hAnsiTheme="minorHAnsi"/>
          <w:i/>
          <w:iCs/>
        </w:rPr>
      </w:pPr>
      <w:r w:rsidRPr="000F1DE6">
        <w:rPr>
          <w:rFonts w:asciiTheme="minorHAnsi" w:eastAsia="Arial" w:hAnsiTheme="minorHAnsi"/>
        </w:rPr>
        <w:t xml:space="preserve">2017 </w:t>
      </w:r>
      <w:r w:rsidRPr="000A3E93">
        <w:rPr>
          <w:rFonts w:asciiTheme="minorHAnsi" w:eastAsia="Arial" w:hAnsiTheme="minorHAnsi"/>
          <w:i/>
          <w:iCs/>
        </w:rPr>
        <w:t>Best Practice Review of Workplace Health and Safety Queensland</w:t>
      </w:r>
    </w:p>
    <w:p w14:paraId="7B707F07" w14:textId="38C1A949" w:rsidR="00402795" w:rsidRPr="00530CDB" w:rsidRDefault="001C1568" w:rsidP="00C22761">
      <w:pPr>
        <w:keepNext/>
        <w:keepLines/>
        <w:numPr>
          <w:ilvl w:val="0"/>
          <w:numId w:val="7"/>
        </w:numPr>
        <w:pBdr>
          <w:top w:val="single" w:sz="8" w:space="10" w:color="E7E6E6" w:themeColor="background2"/>
          <w:left w:val="single" w:sz="8" w:space="10" w:color="E7E6E6" w:themeColor="background2"/>
          <w:bottom w:val="single" w:sz="8" w:space="10" w:color="E7E6E6" w:themeColor="background2"/>
          <w:right w:val="single" w:sz="8" w:space="10" w:color="E7E6E6" w:themeColor="background2"/>
        </w:pBdr>
        <w:shd w:val="clear" w:color="auto" w:fill="E7E6E6" w:themeFill="background2"/>
        <w:spacing w:line="216" w:lineRule="auto"/>
        <w:ind w:left="284" w:right="284" w:firstLine="0"/>
        <w:contextualSpacing w:val="0"/>
        <w:rPr>
          <w:rFonts w:asciiTheme="minorHAnsi" w:hAnsiTheme="minorHAnsi"/>
          <w:i/>
          <w:iCs/>
        </w:rPr>
      </w:pPr>
      <w:r w:rsidRPr="000F1DE6">
        <w:rPr>
          <w:rFonts w:asciiTheme="minorHAnsi" w:eastAsia="Arial" w:hAnsiTheme="minorHAnsi"/>
        </w:rPr>
        <w:t xml:space="preserve">2018 </w:t>
      </w:r>
      <w:r w:rsidRPr="000A3E93">
        <w:rPr>
          <w:rFonts w:asciiTheme="minorHAnsi" w:eastAsia="Arial" w:hAnsiTheme="minorHAnsi"/>
          <w:i/>
          <w:iCs/>
        </w:rPr>
        <w:t>Review of the model Work Health and Safety law</w:t>
      </w:r>
      <w:r w:rsidR="00D24892" w:rsidRPr="000A3E93">
        <w:rPr>
          <w:rFonts w:asciiTheme="minorHAnsi" w:eastAsia="Arial" w:hAnsiTheme="minorHAnsi"/>
          <w:i/>
          <w:iCs/>
        </w:rPr>
        <w:t>s</w:t>
      </w:r>
      <w:r w:rsidR="00BD5571">
        <w:rPr>
          <w:rFonts w:asciiTheme="minorHAnsi" w:eastAsia="Arial" w:hAnsiTheme="minorHAnsi"/>
          <w:i/>
          <w:iCs/>
        </w:rPr>
        <w:t xml:space="preserve"> </w:t>
      </w:r>
      <w:r w:rsidR="00BD5571" w:rsidRPr="00E86E55">
        <w:rPr>
          <w:rFonts w:asciiTheme="minorHAnsi" w:hAnsiTheme="minorHAnsi"/>
        </w:rPr>
        <w:t>(</w:t>
      </w:r>
      <w:r w:rsidR="00BD5571" w:rsidRPr="008E5CBF">
        <w:rPr>
          <w:rFonts w:asciiTheme="minorHAnsi" w:hAnsiTheme="minorHAnsi"/>
          <w:i/>
          <w:iCs/>
        </w:rPr>
        <w:t>2018 National Review</w:t>
      </w:r>
      <w:r w:rsidR="00BD5571" w:rsidRPr="00E86E55">
        <w:rPr>
          <w:rFonts w:asciiTheme="minorHAnsi" w:hAnsiTheme="minorHAnsi"/>
        </w:rPr>
        <w:t>)</w:t>
      </w:r>
    </w:p>
    <w:p w14:paraId="0EFE12D5" w14:textId="008D1115" w:rsidR="00BC46AC" w:rsidRPr="00530CDB" w:rsidRDefault="0015327B" w:rsidP="00C22761">
      <w:pPr>
        <w:keepNext/>
        <w:keepLines/>
        <w:numPr>
          <w:ilvl w:val="0"/>
          <w:numId w:val="7"/>
        </w:numPr>
        <w:pBdr>
          <w:top w:val="single" w:sz="8" w:space="10" w:color="E7E6E6" w:themeColor="background2"/>
          <w:left w:val="single" w:sz="8" w:space="10" w:color="E7E6E6" w:themeColor="background2"/>
          <w:bottom w:val="single" w:sz="8" w:space="10" w:color="E7E6E6" w:themeColor="background2"/>
          <w:right w:val="single" w:sz="8" w:space="10" w:color="E7E6E6" w:themeColor="background2"/>
        </w:pBdr>
        <w:shd w:val="clear" w:color="auto" w:fill="E7E6E6" w:themeFill="background2"/>
        <w:spacing w:line="216" w:lineRule="auto"/>
        <w:ind w:left="284" w:right="284" w:firstLine="0"/>
        <w:contextualSpacing w:val="0"/>
        <w:rPr>
          <w:rFonts w:asciiTheme="minorHAnsi" w:hAnsiTheme="minorHAnsi"/>
          <w:i/>
          <w:iCs/>
        </w:rPr>
      </w:pPr>
      <w:r w:rsidRPr="00D71684">
        <w:rPr>
          <w:rFonts w:asciiTheme="minorHAnsi" w:hAnsiTheme="minorHAnsi"/>
        </w:rPr>
        <w:t xml:space="preserve">2022 </w:t>
      </w:r>
      <w:r w:rsidRPr="00D71684">
        <w:rPr>
          <w:rFonts w:asciiTheme="minorHAnsi" w:hAnsiTheme="minorHAnsi"/>
          <w:i/>
          <w:iCs/>
        </w:rPr>
        <w:t>Review of the Work Health and Safety Act 2011</w:t>
      </w:r>
      <w:r w:rsidRPr="00D71684">
        <w:rPr>
          <w:rFonts w:asciiTheme="minorHAnsi" w:hAnsiTheme="minorHAnsi"/>
        </w:rPr>
        <w:t xml:space="preserve"> (Queensland) (</w:t>
      </w:r>
      <w:r w:rsidRPr="004F2604">
        <w:rPr>
          <w:rFonts w:asciiTheme="minorHAnsi" w:hAnsiTheme="minorHAnsi"/>
          <w:i/>
          <w:iCs/>
        </w:rPr>
        <w:t>2022 Queensland Review</w:t>
      </w:r>
      <w:r w:rsidRPr="00D71684">
        <w:rPr>
          <w:rFonts w:asciiTheme="minorHAnsi" w:hAnsiTheme="minorHAnsi"/>
        </w:rPr>
        <w:t>)</w:t>
      </w:r>
      <w:r w:rsidR="00EA4F7C">
        <w:rPr>
          <w:rFonts w:asciiTheme="minorHAnsi" w:hAnsiTheme="minorHAnsi"/>
        </w:rPr>
        <w:t>.</w:t>
      </w:r>
    </w:p>
    <w:p w14:paraId="36FB20B2" w14:textId="67F75289" w:rsidR="008F09C8" w:rsidRPr="00D26034" w:rsidRDefault="008F09C8" w:rsidP="00D26034">
      <w:pPr>
        <w:pStyle w:val="SWAHeading2"/>
        <w:spacing w:line="240" w:lineRule="auto"/>
        <w:rPr>
          <w:rFonts w:asciiTheme="minorHAnsi" w:hAnsiTheme="minorHAnsi"/>
        </w:rPr>
      </w:pPr>
      <w:bookmarkStart w:id="69" w:name="_Toc236326818"/>
      <w:bookmarkStart w:id="70" w:name="_Toc239845160"/>
      <w:r w:rsidRPr="00D26034">
        <w:rPr>
          <w:rFonts w:asciiTheme="minorHAnsi" w:hAnsiTheme="minorHAnsi"/>
        </w:rPr>
        <w:t>Codes of Practice</w:t>
      </w:r>
      <w:bookmarkEnd w:id="69"/>
      <w:bookmarkEnd w:id="70"/>
    </w:p>
    <w:p w14:paraId="3BD74E67" w14:textId="45F33F20" w:rsidR="00530CDB" w:rsidRPr="00530CDB" w:rsidRDefault="00530CDB" w:rsidP="00530CDB">
      <w:pPr>
        <w:spacing w:before="240" w:line="276" w:lineRule="auto"/>
        <w:contextualSpacing w:val="0"/>
        <w:outlineLvl w:val="2"/>
        <w:rPr>
          <w:rFonts w:asciiTheme="minorHAnsi" w:hAnsiTheme="minorHAnsi" w:cs="Arial"/>
          <w:color w:val="2B0A99" w:themeColor="text2"/>
          <w:sz w:val="28"/>
          <w:szCs w:val="32"/>
        </w:rPr>
      </w:pPr>
      <w:r w:rsidRPr="00530CDB">
        <w:rPr>
          <w:rFonts w:asciiTheme="minorHAnsi" w:hAnsiTheme="minorHAnsi" w:cs="Arial"/>
          <w:color w:val="2B0A99" w:themeColor="text2"/>
          <w:sz w:val="28"/>
          <w:szCs w:val="32"/>
        </w:rPr>
        <w:t>Introduction</w:t>
      </w:r>
    </w:p>
    <w:p w14:paraId="798BEE2B" w14:textId="60FE6C93" w:rsidR="002C00A4" w:rsidRPr="001B447A" w:rsidRDefault="002C00A4" w:rsidP="001B447A">
      <w:pPr>
        <w:pStyle w:val="Paragraph"/>
        <w:rPr>
          <w:rFonts w:eastAsia="Arial"/>
        </w:rPr>
      </w:pPr>
      <w:r w:rsidRPr="002C00A4">
        <w:t xml:space="preserve">This </w:t>
      </w:r>
      <w:r>
        <w:rPr>
          <w:rFonts w:eastAsia="Arial"/>
        </w:rPr>
        <w:t>c</w:t>
      </w:r>
      <w:r w:rsidRPr="000F1DE6">
        <w:rPr>
          <w:rFonts w:eastAsia="Arial"/>
        </w:rPr>
        <w:t xml:space="preserve">hapter examines the role of model Codes of Practice within the </w:t>
      </w:r>
      <w:r>
        <w:rPr>
          <w:rFonts w:eastAsia="Arial"/>
        </w:rPr>
        <w:t>3</w:t>
      </w:r>
      <w:r w:rsidRPr="000F1DE6">
        <w:rPr>
          <w:rFonts w:eastAsia="Arial"/>
        </w:rPr>
        <w:t>-tiered framework of the model WHS laws. It considers issues raised about their accessibility and usefulness for duty holders and workers. Th</w:t>
      </w:r>
      <w:r>
        <w:rPr>
          <w:rFonts w:eastAsia="Arial"/>
        </w:rPr>
        <w:t>is c</w:t>
      </w:r>
      <w:r w:rsidRPr="000F1DE6">
        <w:rPr>
          <w:rFonts w:eastAsia="Arial"/>
        </w:rPr>
        <w:t>hapter also considers whether, in providing a key source of evidence of what is reasonably practicable (which arguably provides the answer to the question, ‘What am I supposed to do to meet my duty?’), Codes should become mandatory.</w:t>
      </w:r>
    </w:p>
    <w:p w14:paraId="7448F3AE" w14:textId="77777777" w:rsidR="00F21CE3" w:rsidRDefault="002C00A4" w:rsidP="002C00A4">
      <w:pPr>
        <w:widowControl w:val="0"/>
        <w:spacing w:before="120" w:line="240" w:lineRule="auto"/>
        <w:contextualSpacing w:val="0"/>
        <w:rPr>
          <w:rFonts w:asciiTheme="minorHAnsi" w:eastAsia="Times New Roman" w:hAnsiTheme="minorHAnsi"/>
        </w:rPr>
      </w:pPr>
      <w:r w:rsidRPr="002C00A4">
        <w:rPr>
          <w:rFonts w:asciiTheme="minorHAnsi" w:eastAsia="Times New Roman" w:hAnsiTheme="minorHAnsi"/>
        </w:rPr>
        <w:t>Some jurisdictions have made Codes mandatory in their versions of the model WHS Act. This is the only significant area of variation in how Codes operate (other than the fact that different jurisdictions have adopted different Codes). Apart from the question of whether Codes should be mandatory, this Review considers and makes recommendations on other ways in which the harmonisation of Codes could be improved.</w:t>
      </w:r>
    </w:p>
    <w:p w14:paraId="44E30672" w14:textId="72CB1747" w:rsidR="0016789A" w:rsidRDefault="0016789A">
      <w:pPr>
        <w:spacing w:after="200" w:line="276" w:lineRule="auto"/>
        <w:contextualSpacing w:val="0"/>
        <w:rPr>
          <w:rFonts w:asciiTheme="minorHAnsi" w:eastAsia="Times New Roman" w:hAnsiTheme="minorHAnsi"/>
        </w:rPr>
      </w:pPr>
      <w:r>
        <w:rPr>
          <w:rFonts w:asciiTheme="minorHAnsi" w:eastAsia="Times New Roman" w:hAnsiTheme="minorHAnsi"/>
        </w:rPr>
        <w:br w:type="page"/>
      </w:r>
    </w:p>
    <w:p w14:paraId="04D975AA" w14:textId="77777777" w:rsidR="004420D1" w:rsidRPr="002C00A4" w:rsidRDefault="004420D1" w:rsidP="002C00A4">
      <w:pPr>
        <w:widowControl w:val="0"/>
        <w:spacing w:before="120" w:line="240" w:lineRule="auto"/>
        <w:contextualSpacing w:val="0"/>
        <w:rPr>
          <w:rFonts w:asciiTheme="minorHAnsi" w:eastAsia="Times New Roman" w:hAnsiTheme="minorHAnsi"/>
        </w:rPr>
      </w:pPr>
    </w:p>
    <w:p w14:paraId="1734EAD9" w14:textId="77777777" w:rsidR="00F21CE3" w:rsidRDefault="00E807FE" w:rsidP="00BF204D">
      <w:pPr>
        <w:pStyle w:val="Boxedshaded"/>
        <w:rPr>
          <w:b/>
          <w:bCs/>
        </w:rPr>
      </w:pPr>
      <w:r w:rsidRPr="000D26F7">
        <w:rPr>
          <w:b/>
          <w:bCs/>
        </w:rPr>
        <w:t>What we heard</w:t>
      </w:r>
    </w:p>
    <w:p w14:paraId="0F32453D" w14:textId="77777777" w:rsidR="00F21CE3" w:rsidRDefault="00A43BC7" w:rsidP="00BF204D">
      <w:pPr>
        <w:pStyle w:val="Boxedshaded"/>
      </w:pPr>
      <w:r w:rsidRPr="00A43BC7">
        <w:t xml:space="preserve">Both unions and industry supported industry-specific </w:t>
      </w:r>
      <w:r w:rsidRPr="007C08C0">
        <w:t>Codes as practical tools for clarifying obligations and setting minimum standards. Employers see them as offering a single source of guidance which would otherwise have to be found across many documents. Unions value their practical use in the workplace and as an enforcement tool to ensure workers are aware of their rights and their employers’ obligations.</w:t>
      </w:r>
    </w:p>
    <w:p w14:paraId="3678C61D" w14:textId="77777777" w:rsidR="00F21CE3" w:rsidRDefault="00A43BC7" w:rsidP="00BF204D">
      <w:pPr>
        <w:pStyle w:val="Boxedshaded"/>
      </w:pPr>
      <w:r w:rsidRPr="007C08C0">
        <w:t>Unions, industry and WHS professionals all noted confusion regarding the current Codes in relation to their interaction with the model WHS Regulations and the way their status varies across jurisdictions.</w:t>
      </w:r>
    </w:p>
    <w:p w14:paraId="23020001" w14:textId="77777777" w:rsidR="00F21CE3" w:rsidRDefault="00A43BC7" w:rsidP="00BF204D">
      <w:pPr>
        <w:pStyle w:val="Boxedshaded"/>
      </w:pPr>
      <w:r w:rsidRPr="00A43BC7">
        <w:t xml:space="preserve">There were mixed views on whether to mandate Codes, including from </w:t>
      </w:r>
      <w:r w:rsidRPr="007C08C0">
        <w:t>industry. Most employer bodies opposed mandatory Codes, suggesting they may impede innovation and undermine the ‘reasonably practicable’ concept. Unions supported making them mandatory, as is the case in Queensland and NSW.</w:t>
      </w:r>
    </w:p>
    <w:p w14:paraId="3E8C8F99" w14:textId="52550733" w:rsidR="00A43BC7" w:rsidRPr="00A43BC7" w:rsidRDefault="00A43BC7" w:rsidP="00BF204D">
      <w:pPr>
        <w:pStyle w:val="Boxedshaded"/>
      </w:pPr>
      <w:r w:rsidRPr="00A43BC7">
        <w:t>In</w:t>
      </w:r>
      <w:r w:rsidRPr="00A43BC7" w:rsidDel="00DA7F8B">
        <w:t xml:space="preserve"> </w:t>
      </w:r>
      <w:r w:rsidRPr="00A43BC7">
        <w:t xml:space="preserve">its submission, the ACTU recommended that Codes should be made mandatory but noted they should be a ‘floor, not a ceiling’ due to concerns mandatory Codes could quickly go out of date and would need to be drafted like Regulations, diluting their value as a practical communications tool. Expert advice to this Review confirms this concern and indicates that such an approach may be ‘counterproductive’. Following Queensland’s approach would potentially turn Codes into </w:t>
      </w:r>
      <w:r w:rsidRPr="00A43BC7">
        <w:rPr>
          <w:iCs/>
        </w:rPr>
        <w:t>de facto</w:t>
      </w:r>
      <w:r w:rsidRPr="00A43BC7">
        <w:t xml:space="preserve"> Regulations, creating 2 (likely confusing) sets of requirements.</w:t>
      </w:r>
      <w:r w:rsidRPr="00A43BC7">
        <w:rPr>
          <w:vertAlign w:val="superscript"/>
        </w:rPr>
        <w:footnoteReference w:id="541"/>
      </w:r>
    </w:p>
    <w:p w14:paraId="1654DC8F" w14:textId="77777777" w:rsidR="00610BCC" w:rsidRPr="000F1DE6" w:rsidRDefault="00610BCC" w:rsidP="000D26F7">
      <w:pPr>
        <w:pStyle w:val="SWAHeading4"/>
      </w:pPr>
      <w:r w:rsidRPr="000F1DE6">
        <w:t>Discussion and recommendations</w:t>
      </w:r>
    </w:p>
    <w:p w14:paraId="4E189958" w14:textId="77777777" w:rsidR="00F21CE3" w:rsidRDefault="00610BCC" w:rsidP="00610BCC">
      <w:pPr>
        <w:pStyle w:val="Paragraph"/>
      </w:pPr>
      <w:r w:rsidRPr="000F1DE6">
        <w:t>Much of the feedback provided in relation to Codes was consistent with that provided to previous WHS reviews. There remains a core tension between those who seek clarity through Codes and those who see them as adding undue complexity to the framework or reducing the ability for WHS risks to be managed flexibly.</w:t>
      </w:r>
    </w:p>
    <w:p w14:paraId="74F99D50" w14:textId="77777777" w:rsidR="00F21CE3" w:rsidRDefault="00610BCC" w:rsidP="00610BCC">
      <w:pPr>
        <w:pStyle w:val="Paragraph"/>
      </w:pPr>
      <w:r w:rsidRPr="000F1DE6">
        <w:t>The role of Codes in court proceedings is to provide evidence of whether or not a duty or obligation under the model WHS Act has been complied with (section 275(2)). A court may have regard to a Code as evidence of what is known about a hazard or risk, risk assessment or risk control to which the Code relates (section 275(3)(a)) and rely on the Code in determining what is reasonably practicable in the circumstances to which the Code relates (section 275(3)(b)). Importantly, the model WHS Act also provides that a person can comply in a manner that is different from the Code but provides a standard of WHS that is equivalent or higher than the standard required in the Code (section 275(4)).</w:t>
      </w:r>
    </w:p>
    <w:p w14:paraId="3F5B3B6C" w14:textId="20BFB118" w:rsidR="0016789A" w:rsidRDefault="00610BCC" w:rsidP="00610BCC">
      <w:pPr>
        <w:pStyle w:val="Paragraph"/>
      </w:pPr>
      <w:r w:rsidRPr="000F1DE6">
        <w:t>This Review is recommending key changes to Codes which will reinforce their role in providing evidence of how a duty can be met, reduce confusion for duty holders and support compliance with the model WHS laws. Balancing flexibility and clarity should be a feature, not a bug, of the model WHS laws; and improving Codes is a key to restoring this balance.</w:t>
      </w:r>
    </w:p>
    <w:p w14:paraId="421164A6" w14:textId="77777777" w:rsidR="0016789A" w:rsidRDefault="0016789A">
      <w:pPr>
        <w:spacing w:after="200" w:line="276" w:lineRule="auto"/>
        <w:contextualSpacing w:val="0"/>
        <w:rPr>
          <w:rFonts w:asciiTheme="minorHAnsi" w:eastAsia="Times New Roman" w:hAnsiTheme="minorHAnsi"/>
          <w:lang w:eastAsia="en-AU"/>
        </w:rPr>
      </w:pPr>
      <w:r>
        <w:br w:type="page"/>
      </w:r>
    </w:p>
    <w:p w14:paraId="2A037F1E" w14:textId="77777777" w:rsidR="00610BCC" w:rsidRPr="000F1DE6" w:rsidRDefault="00610BCC" w:rsidP="00610BCC">
      <w:pPr>
        <w:pStyle w:val="Paragraph"/>
      </w:pPr>
      <w:r w:rsidRPr="000F1DE6">
        <w:lastRenderedPageBreak/>
        <w:t>This Review examined each of the 3 existing approaches taken to Codes as follows:</w:t>
      </w:r>
    </w:p>
    <w:p w14:paraId="6B567F31" w14:textId="77777777" w:rsidR="00F21CE3" w:rsidRDefault="00610BCC" w:rsidP="009C296A">
      <w:pPr>
        <w:pStyle w:val="ListBullet"/>
      </w:pPr>
      <w:r w:rsidRPr="00A73978">
        <w:rPr>
          <w:b/>
        </w:rPr>
        <w:t>the model approach</w:t>
      </w:r>
      <w:r w:rsidRPr="00A73978">
        <w:t>, in which a Code can be used as evidence of how to fulfil a duty and what is reasonably practicable in the circumstances; however, duty holders may introduce evidence of compliance in a different way but to an equivalent or higher safety standard</w:t>
      </w:r>
      <w:r w:rsidRPr="00A73978">
        <w:rPr>
          <w:rStyle w:val="FootnoteReference"/>
        </w:rPr>
        <w:footnoteReference w:id="542"/>
      </w:r>
    </w:p>
    <w:p w14:paraId="56D22DB4" w14:textId="77777777" w:rsidR="00F21CE3" w:rsidRDefault="00610BCC" w:rsidP="009C296A">
      <w:pPr>
        <w:pStyle w:val="ListBullet"/>
      </w:pPr>
      <w:r w:rsidRPr="00A73978">
        <w:rPr>
          <w:b/>
        </w:rPr>
        <w:t>Queensland’s approach</w:t>
      </w:r>
      <w:r w:rsidRPr="00A73978">
        <w:t>, in which duty holders must either comply with the Code or</w:t>
      </w:r>
      <w:r w:rsidRPr="00A73978">
        <w:rPr>
          <w:i/>
        </w:rPr>
        <w:t xml:space="preserve"> </w:t>
      </w:r>
      <w:r w:rsidRPr="00A73978">
        <w:t>manage risks in a different way but to an equivalent or higher safety standard</w:t>
      </w:r>
      <w:r w:rsidRPr="00A73978">
        <w:rPr>
          <w:rStyle w:val="FootnoteReference"/>
        </w:rPr>
        <w:footnoteReference w:id="543"/>
      </w:r>
    </w:p>
    <w:p w14:paraId="760AB9DA" w14:textId="77777777" w:rsidR="00F21CE3" w:rsidRDefault="00610BCC" w:rsidP="009C296A">
      <w:pPr>
        <w:pStyle w:val="ListBullet"/>
      </w:pPr>
      <w:r w:rsidRPr="00A73978">
        <w:rPr>
          <w:b/>
        </w:rPr>
        <w:t>Victoria’s</w:t>
      </w:r>
      <w:r w:rsidRPr="00A73978">
        <w:t xml:space="preserve"> </w:t>
      </w:r>
      <w:r w:rsidRPr="00A73978">
        <w:rPr>
          <w:b/>
        </w:rPr>
        <w:t>approach</w:t>
      </w:r>
      <w:r w:rsidRPr="00A73978">
        <w:t>, in which there is no legal obligation to comply with a Code; however, a person who complies is taken to have complied with the Act.</w:t>
      </w:r>
      <w:r w:rsidRPr="00A73978">
        <w:rPr>
          <w:rStyle w:val="FootnoteReference"/>
        </w:rPr>
        <w:footnoteReference w:id="544"/>
      </w:r>
    </w:p>
    <w:p w14:paraId="709BF436" w14:textId="502351EC" w:rsidR="00610BCC" w:rsidRPr="000F1DE6" w:rsidRDefault="00610BCC" w:rsidP="00610BCC">
      <w:pPr>
        <w:pStyle w:val="Paragraph"/>
      </w:pPr>
      <w:r w:rsidRPr="000F1DE6">
        <w:t>While their legislative formulation is different, it is striking that all 3 approaches in practice:</w:t>
      </w:r>
    </w:p>
    <w:p w14:paraId="29F4B5D4" w14:textId="77777777" w:rsidR="00610BCC" w:rsidRPr="00A73978" w:rsidRDefault="00610BCC" w:rsidP="009C296A">
      <w:pPr>
        <w:pStyle w:val="ListBullet"/>
      </w:pPr>
      <w:r w:rsidRPr="00A73978">
        <w:t>establish Codes as sources of evidence of how to fulfil a duty</w:t>
      </w:r>
    </w:p>
    <w:p w14:paraId="2BF04362" w14:textId="77777777" w:rsidR="00610BCC" w:rsidRPr="00A73978" w:rsidRDefault="00610BCC" w:rsidP="009C296A">
      <w:pPr>
        <w:pStyle w:val="ListBullet"/>
      </w:pPr>
      <w:r w:rsidRPr="00A73978">
        <w:t>give duty holders the option of complying in a different way</w:t>
      </w:r>
    </w:p>
    <w:p w14:paraId="7EA3074B" w14:textId="4EF668C8" w:rsidR="000D26F7" w:rsidRPr="000D26F7" w:rsidRDefault="00610BCC" w:rsidP="00334073">
      <w:pPr>
        <w:pStyle w:val="ListBullet"/>
        <w:spacing w:after="200" w:line="276" w:lineRule="auto"/>
        <w:rPr>
          <w:rFonts w:eastAsia="Times New Roman"/>
          <w:lang w:eastAsia="en-AU"/>
        </w:rPr>
      </w:pPr>
      <w:r w:rsidRPr="00A73978">
        <w:t>establish a minimum standard against which courts can judge compliance.</w:t>
      </w:r>
    </w:p>
    <w:p w14:paraId="22FEBC1C" w14:textId="77777777" w:rsidR="00F21CE3" w:rsidRDefault="00610BCC" w:rsidP="00610BCC">
      <w:pPr>
        <w:pStyle w:val="Paragraph"/>
      </w:pPr>
      <w:r w:rsidRPr="000F1DE6">
        <w:t>It is also striking that, under the model WHS Act’s approach, there is likely little practical difference between a Code and other types of guidance materials: both can be (and have been) used by a court as authoritative evidence of the current state of knowledge on how to fulfil a duty.</w:t>
      </w:r>
    </w:p>
    <w:p w14:paraId="43E8DE63" w14:textId="77777777" w:rsidR="00F21CE3" w:rsidRDefault="00610BCC" w:rsidP="00610BCC">
      <w:pPr>
        <w:pStyle w:val="Paragraph"/>
      </w:pPr>
      <w:r w:rsidRPr="000F1DE6">
        <w:t>While the practical effect of the 3 approaches is broadly similar, each sends a different message, and these messages create different expectations which influence how the Codes themselves are developed and used.</w:t>
      </w:r>
    </w:p>
    <w:p w14:paraId="709844DA" w14:textId="21834488" w:rsidR="00610BCC" w:rsidRPr="000F1DE6" w:rsidRDefault="00610BCC" w:rsidP="00610BCC">
      <w:pPr>
        <w:pStyle w:val="Paragraph"/>
      </w:pPr>
      <w:r w:rsidRPr="000F1DE6">
        <w:t>The drafting of the model WHS Act’s provision may have influenced the content of the current crop of model Codes, which Australian Industry Group describes as containing ‘far too much legal language and explanation’</w:t>
      </w:r>
      <w:r>
        <w:t>.</w:t>
      </w:r>
      <w:r w:rsidRPr="000F1DE6">
        <w:rPr>
          <w:rStyle w:val="FootnoteReference"/>
        </w:rPr>
        <w:footnoteReference w:id="545"/>
      </w:r>
    </w:p>
    <w:p w14:paraId="1C9656DC" w14:textId="77777777" w:rsidR="00610BCC" w:rsidRPr="000F1DE6" w:rsidRDefault="00610BCC" w:rsidP="00610BCC">
      <w:pPr>
        <w:pStyle w:val="Paragraph"/>
      </w:pPr>
      <w:r w:rsidRPr="000F1DE6">
        <w:t>Queensland’s ‘you must comply’ message is simpler. However, its framing has the potential to highlight inconsistencies that must inevitably arise (</w:t>
      </w:r>
      <w:r>
        <w:t xml:space="preserve">that is, </w:t>
      </w:r>
      <w:r w:rsidRPr="000F1DE6">
        <w:t>‘</w:t>
      </w:r>
      <w:r>
        <w:t>W</w:t>
      </w:r>
      <w:r w:rsidRPr="000F1DE6">
        <w:t>hy is it mandatory here but not there?’) and to possibly require ever-increasing levels of prescription. Despite being framed as ‘mandatory’, it nonetheless allows duty holders to comply in a different way. Under either approach, to the extent that a Code recommends a particular risk control, it should be considered as evidence of a minimum standard to be met or exceeded by the PCBU. It also gives an inspector the option of issuing a notice where this standard is not met or exceeded.</w:t>
      </w:r>
    </w:p>
    <w:p w14:paraId="6F77D6F0" w14:textId="77777777" w:rsidR="00F21CE3" w:rsidRDefault="00610BCC" w:rsidP="00610BCC">
      <w:pPr>
        <w:pStyle w:val="Paragraph"/>
      </w:pPr>
      <w:r w:rsidRPr="000F1DE6">
        <w:t>Vic</w:t>
      </w:r>
      <w:r>
        <w:t>toria</w:t>
      </w:r>
      <w:r w:rsidRPr="000F1DE6">
        <w:t>’s approach most closely aligns with the Robens model, which recognises that it is not possible to prescribe rules in all instances but that duty holders will need assistance in understanding their duties</w:t>
      </w:r>
      <w:r>
        <w:t>;</w:t>
      </w:r>
      <w:r w:rsidRPr="000F1DE6">
        <w:t xml:space="preserve"> and regulators should provide this where there are well-understood and recognised ways to comply. However (as with the other approaches) in having advice they can rely on, the onus then shifts to duty holders to either follow that advice or prove conclusively they can meet their duty through other means.</w:t>
      </w:r>
    </w:p>
    <w:p w14:paraId="4203C1AC" w14:textId="57A852A8" w:rsidR="00D63D98" w:rsidRDefault="00610BCC" w:rsidP="0016789A">
      <w:pPr>
        <w:pStyle w:val="Paragraph"/>
        <w:spacing w:after="240"/>
      </w:pPr>
      <w:r w:rsidRPr="000F1DE6">
        <w:t>This Review recommends that Codes not be mandatory but</w:t>
      </w:r>
      <w:r>
        <w:t>,</w:t>
      </w:r>
      <w:r w:rsidRPr="000F1DE6">
        <w:t xml:space="preserve"> rather</w:t>
      </w:r>
      <w:r>
        <w:t>,</w:t>
      </w:r>
      <w:r w:rsidRPr="000F1DE6">
        <w:t xml:space="preserve"> that Victoria’s approach of ‘deeming compliance’ through following the requirements in them be adopted.</w:t>
      </w:r>
    </w:p>
    <w:tbl>
      <w:tblPr>
        <w:tblStyle w:val="Style6"/>
        <w:tblW w:w="5000" w:type="pct"/>
        <w:tblCellMar>
          <w:top w:w="113" w:type="dxa"/>
          <w:bottom w:w="113" w:type="dxa"/>
        </w:tblCellMar>
        <w:tblLook w:val="04A0" w:firstRow="1" w:lastRow="0" w:firstColumn="1" w:lastColumn="0" w:noHBand="0" w:noVBand="1"/>
      </w:tblPr>
      <w:tblGrid>
        <w:gridCol w:w="9746"/>
      </w:tblGrid>
      <w:tr w:rsidR="00224A2F" w14:paraId="255AB5ED" w14:textId="77777777" w:rsidTr="0016789A">
        <w:trPr>
          <w:cnfStyle w:val="100000000000" w:firstRow="1" w:lastRow="0" w:firstColumn="0" w:lastColumn="0" w:oddVBand="0" w:evenVBand="0" w:oddHBand="0" w:evenHBand="0" w:firstRowFirstColumn="0" w:firstRowLastColumn="0" w:lastRowFirstColumn="0" w:lastRowLastColumn="0"/>
        </w:trPr>
        <w:tc>
          <w:tcPr>
            <w:tcW w:w="5000" w:type="pct"/>
          </w:tcPr>
          <w:p w14:paraId="4DE355AD" w14:textId="7D306E30" w:rsidR="00224A2F" w:rsidRDefault="00890D2E">
            <w:pPr>
              <w:pStyle w:val="Tableheader"/>
            </w:pPr>
            <w:r>
              <w:t>Codes of Practice</w:t>
            </w:r>
            <w:r w:rsidR="000D26F7">
              <w:t xml:space="preserve"> – Recommendation 15</w:t>
            </w:r>
          </w:p>
        </w:tc>
      </w:tr>
      <w:tr w:rsidR="00224A2F" w14:paraId="7C61BD49" w14:textId="77777777" w:rsidTr="0016789A">
        <w:tc>
          <w:tcPr>
            <w:tcW w:w="5000" w:type="pct"/>
          </w:tcPr>
          <w:p w14:paraId="2402040A" w14:textId="740E7C16" w:rsidR="00224A2F" w:rsidRPr="0016789A" w:rsidRDefault="000061EF" w:rsidP="000D26F7">
            <w:pPr>
              <w:pStyle w:val="Paragraphtable"/>
              <w:rPr>
                <w:sz w:val="21"/>
                <w:szCs w:val="21"/>
              </w:rPr>
            </w:pPr>
            <w:r w:rsidRPr="0016789A">
              <w:rPr>
                <w:sz w:val="21"/>
                <w:szCs w:val="21"/>
              </w:rPr>
              <w:t>Amend the model WHS Act to provide that a person who complies with a Code is taken to have complied with the relevant WHS duty in relation to matters addressed by that Code.</w:t>
            </w:r>
          </w:p>
        </w:tc>
      </w:tr>
    </w:tbl>
    <w:p w14:paraId="4793B2A5" w14:textId="3DF4611B" w:rsidR="00530CDB" w:rsidRPr="00530CDB" w:rsidRDefault="000475F3" w:rsidP="00A113AF">
      <w:pPr>
        <w:pStyle w:val="SWAHeading3"/>
      </w:pPr>
      <w:r w:rsidRPr="00A113AF">
        <w:lastRenderedPageBreak/>
        <w:t>Industry Codes</w:t>
      </w:r>
    </w:p>
    <w:p w14:paraId="378D5B1A" w14:textId="5FBA7E64" w:rsidR="005C5285" w:rsidRPr="000D26F7" w:rsidRDefault="005C5285" w:rsidP="00BF204D">
      <w:pPr>
        <w:pStyle w:val="Boxedshaded"/>
        <w:rPr>
          <w:b/>
          <w:bCs/>
        </w:rPr>
      </w:pPr>
      <w:r w:rsidRPr="000D26F7">
        <w:rPr>
          <w:b/>
          <w:bCs/>
        </w:rPr>
        <w:t>What we heard</w:t>
      </w:r>
    </w:p>
    <w:p w14:paraId="65C4B02E" w14:textId="77777777" w:rsidR="00F21CE3" w:rsidRDefault="00AA2B02" w:rsidP="000D26F7">
      <w:pPr>
        <w:pStyle w:val="Boxedshaded"/>
        <w:spacing w:after="80"/>
      </w:pPr>
      <w:r w:rsidRPr="00AA2B02">
        <w:t>In its submission, MBA noted a ‘vast array of issues-based codes’ that PCBUs must navigate and the ‘challenge [involved] in determining how these Codes apply to industry-specific settings’. It also noted ‘unhelpful Codes of Practice that default to a “one-size-fits-all” approach rather than providing practical guidance’.</w:t>
      </w:r>
      <w:r w:rsidRPr="00AA2B02">
        <w:rPr>
          <w:vertAlign w:val="superscript"/>
        </w:rPr>
        <w:footnoteReference w:id="546"/>
      </w:r>
      <w:r w:rsidRPr="00AA2B02">
        <w:t xml:space="preserve"> This feedback is indicative of the view of Codes provided across many submissions made to this Review, which also often called for simplified, easy-to-read Codes tailored with industry-relevant information for diverse workforces and workplaces.</w:t>
      </w:r>
      <w:r w:rsidRPr="00AA2B02">
        <w:rPr>
          <w:vertAlign w:val="superscript"/>
        </w:rPr>
        <w:footnoteReference w:id="547"/>
      </w:r>
    </w:p>
    <w:p w14:paraId="50E19E6E" w14:textId="637DA235" w:rsidR="00E757FA" w:rsidRPr="00E757FA" w:rsidRDefault="00E757FA" w:rsidP="000D26F7">
      <w:pPr>
        <w:pStyle w:val="SWAHeading4"/>
      </w:pPr>
      <w:r w:rsidRPr="00E757FA">
        <w:t xml:space="preserve">Discussion and </w:t>
      </w:r>
      <w:r w:rsidRPr="000D26F7">
        <w:t>recommendations</w:t>
      </w:r>
    </w:p>
    <w:p w14:paraId="7A87D1FA" w14:textId="77777777" w:rsidR="00E757FA" w:rsidRPr="00E757FA" w:rsidRDefault="00E757FA" w:rsidP="00C872AC">
      <w:pPr>
        <w:pStyle w:val="Paragraph"/>
      </w:pPr>
      <w:r w:rsidRPr="000F1DE6">
        <w:t>To be effective in providing evidence and examples of how to manage WHS risks, Codes need to be accessible, well-contextualised and easy to understand. This Review considers that plain English, practical industry codes provide the best way to deliver on this objective. Rather than explaining the WHS laws in detail, Codes should provide practical guidance and ex</w:t>
      </w:r>
      <w:r w:rsidRPr="00E757FA">
        <w:t>amples of the most important things to do to manage WHS in a given industry context, including how to assess risks, consult, and put in place effective controls for common industry hazards.</w:t>
      </w:r>
    </w:p>
    <w:p w14:paraId="50BA1C89" w14:textId="77777777" w:rsidR="00F21CE3" w:rsidRDefault="00E757FA" w:rsidP="00C872AC">
      <w:pPr>
        <w:pStyle w:val="Paragraph"/>
      </w:pPr>
      <w:r w:rsidRPr="000F1DE6">
        <w:t>This approach will be critical to improving WHS for smaller businesses, which are time-poor and have indicated they struggle with the proliferation of laws, regulations and codes. For many smaller businesses, an industry Code may be the only Code they ever need to read. This Review recommends that a small business toolki</w:t>
      </w:r>
      <w:r w:rsidRPr="00E757FA">
        <w:t>t should also be developed to accompany each industry Code.</w:t>
      </w:r>
      <w:r w:rsidRPr="00E757FA">
        <w:rPr>
          <w:vertAlign w:val="superscript"/>
        </w:rPr>
        <w:footnoteReference w:id="548"/>
      </w:r>
      <w:r w:rsidRPr="00E757FA">
        <w:t xml:space="preserve"> The toolkit would include resources that have been further simplified to present the most salient information and practical materials, such as checklists or diagrams.</w:t>
      </w:r>
    </w:p>
    <w:p w14:paraId="606AC99E" w14:textId="45A7C840" w:rsidR="00E757FA" w:rsidRPr="00E757FA" w:rsidRDefault="00E757FA" w:rsidP="00D34670">
      <w:pPr>
        <w:pStyle w:val="Paragraph"/>
      </w:pPr>
      <w:r w:rsidRPr="000F1DE6">
        <w:t>Industry Codes also provide the most authoritative mechanism for setting out prescriptive, industry-specific requirements, where it has been agreed that these are needed, and referring PCBUs to existing hazard-based Codes where they need to understand the relevant hazard in more det</w:t>
      </w:r>
      <w:r w:rsidRPr="00E757FA">
        <w:t>ail.</w:t>
      </w:r>
    </w:p>
    <w:p w14:paraId="7BC58A5C" w14:textId="77777777" w:rsidR="00E757FA" w:rsidRPr="00E757FA" w:rsidRDefault="00E757FA" w:rsidP="00D34670">
      <w:pPr>
        <w:pStyle w:val="Paragraph"/>
      </w:pPr>
      <w:r w:rsidRPr="000F1DE6">
        <w:t>This Review also heard suggestions for Safe Work Australia to develop a chatbot or similar AI tool,</w:t>
      </w:r>
      <w:r w:rsidRPr="00E757FA">
        <w:rPr>
          <w:vertAlign w:val="superscript"/>
        </w:rPr>
        <w:footnoteReference w:id="549"/>
      </w:r>
      <w:r w:rsidRPr="00E757FA">
        <w:t xml:space="preserve"> drawn from the model WHS laws, Codes and guidance materials. This Review considers this idea should be considered by Safe Work Australia once an initial suite of industry Codes has been developed, as a way of making information more accessible to duty holders. This Review further notes that such a tool would require a harmonised approach to be helpful to users.</w:t>
      </w:r>
    </w:p>
    <w:p w14:paraId="68E0BC5C" w14:textId="240D71F3" w:rsidR="000D26F7" w:rsidRDefault="00E757FA" w:rsidP="00D34670">
      <w:pPr>
        <w:pStyle w:val="Paragraph"/>
      </w:pPr>
      <w:r w:rsidRPr="000F1DE6">
        <w:t>The Review therefore recommends developing</w:t>
      </w:r>
      <w:r w:rsidRPr="00E757FA">
        <w:t xml:space="preserve"> industry-based Codes, including accompanying small business implementation toolkits.</w:t>
      </w:r>
    </w:p>
    <w:p w14:paraId="32D92D60" w14:textId="77777777" w:rsidR="000D26F7" w:rsidRDefault="000D26F7">
      <w:pPr>
        <w:spacing w:after="200" w:line="276" w:lineRule="auto"/>
        <w:contextualSpacing w:val="0"/>
        <w:rPr>
          <w:rFonts w:asciiTheme="minorHAnsi" w:eastAsia="Times New Roman" w:hAnsiTheme="minorHAnsi"/>
          <w:lang w:eastAsia="en-AU"/>
        </w:rPr>
      </w:pPr>
      <w:r>
        <w:br w:type="page"/>
      </w:r>
    </w:p>
    <w:p w14:paraId="184841E8" w14:textId="77777777" w:rsidR="00F21CE3" w:rsidRDefault="00744BE5" w:rsidP="000D26F7">
      <w:pPr>
        <w:pStyle w:val="SWAHeading3"/>
      </w:pPr>
      <w:r w:rsidRPr="000F1DE6">
        <w:lastRenderedPageBreak/>
        <w:t xml:space="preserve">Priority industry </w:t>
      </w:r>
      <w:r w:rsidRPr="000D26F7">
        <w:t>Codes</w:t>
      </w:r>
    </w:p>
    <w:p w14:paraId="43ADE44B" w14:textId="0EE59315" w:rsidR="00744BE5" w:rsidRPr="00392718" w:rsidRDefault="00744BE5" w:rsidP="000D26F7">
      <w:pPr>
        <w:pStyle w:val="Paragraph"/>
        <w:spacing w:before="80"/>
      </w:pPr>
      <w:r w:rsidRPr="000F1DE6">
        <w:t>Recognising that one challenge with an industry Code model will be the demand it creates for new Codes, it will be important for Safe Work Australia to develop a consistent template and approach to consultation for Codes. The model used to develop the Health</w:t>
      </w:r>
      <w:r w:rsidRPr="00392718">
        <w:t>care and Social Assistance Code was successful, with the relevant industry and union taking a lead role in preparing it. The Review suggests a similar model for the development of future industry Codes. There would also be benefit in considering the range of existing jurisdictional Codes for adoption nationally, where these are targeted at particular industries.</w:t>
      </w:r>
    </w:p>
    <w:p w14:paraId="011BFC66" w14:textId="77777777" w:rsidR="00744BE5" w:rsidRPr="00392718" w:rsidRDefault="00744BE5" w:rsidP="0016789A">
      <w:pPr>
        <w:pStyle w:val="Paragraph"/>
        <w:spacing w:after="240"/>
      </w:pPr>
      <w:r w:rsidRPr="000F1DE6">
        <w:t xml:space="preserve">This Review received many proposals for new Codes. To ensure high-level coverage of Australia’s industries, it is suggested Safe Work Australia should initially develop industry Codes across the </w:t>
      </w:r>
      <w:r w:rsidRPr="004E2C18">
        <w:rPr>
          <w:i/>
          <w:iCs/>
        </w:rPr>
        <w:t xml:space="preserve">Australian and New Zealand Standard Industrial Classification </w:t>
      </w:r>
      <w:r w:rsidRPr="000F1DE6">
        <w:t>first-digit level, with Codes pri</w:t>
      </w:r>
      <w:r w:rsidRPr="00392718">
        <w:t xml:space="preserve">oritised according to the size of the workforce, fatality and injury data, and extent of existing guidance available. Considering these factors, the Review recommends Safe Work Australia prioritise for immediate development Codes for the retail trade, education and training, agriculture and construction industries. </w:t>
      </w:r>
    </w:p>
    <w:tbl>
      <w:tblPr>
        <w:tblStyle w:val="Style6"/>
        <w:tblW w:w="5000" w:type="pct"/>
        <w:tblCellMar>
          <w:top w:w="113" w:type="dxa"/>
          <w:bottom w:w="113" w:type="dxa"/>
        </w:tblCellMar>
        <w:tblLook w:val="04A0" w:firstRow="1" w:lastRow="0" w:firstColumn="1" w:lastColumn="0" w:noHBand="0" w:noVBand="1"/>
      </w:tblPr>
      <w:tblGrid>
        <w:gridCol w:w="9746"/>
      </w:tblGrid>
      <w:tr w:rsidR="005D4AB0" w14:paraId="1638CA00" w14:textId="77777777" w:rsidTr="0016789A">
        <w:trPr>
          <w:cnfStyle w:val="100000000000" w:firstRow="1" w:lastRow="0" w:firstColumn="0" w:lastColumn="0" w:oddVBand="0" w:evenVBand="0" w:oddHBand="0" w:evenHBand="0" w:firstRowFirstColumn="0" w:firstRowLastColumn="0" w:lastRowFirstColumn="0" w:lastRowLastColumn="0"/>
        </w:trPr>
        <w:tc>
          <w:tcPr>
            <w:tcW w:w="5000" w:type="pct"/>
          </w:tcPr>
          <w:p w14:paraId="5E524BF4" w14:textId="0DC9F0A7" w:rsidR="005D4AB0" w:rsidRDefault="005D4AB0">
            <w:pPr>
              <w:pStyle w:val="Tableheader"/>
            </w:pPr>
            <w:r>
              <w:t>Codes of Practice</w:t>
            </w:r>
            <w:r w:rsidR="000D26F7">
              <w:t xml:space="preserve"> – Recommendation 16</w:t>
            </w:r>
          </w:p>
        </w:tc>
      </w:tr>
      <w:tr w:rsidR="005D4AB0" w14:paraId="6A95F1FE" w14:textId="77777777" w:rsidTr="0016789A">
        <w:tc>
          <w:tcPr>
            <w:tcW w:w="5000" w:type="pct"/>
          </w:tcPr>
          <w:p w14:paraId="1BAA2D3B" w14:textId="6442703B" w:rsidR="005D4AB0" w:rsidRPr="0016789A" w:rsidRDefault="009A5904" w:rsidP="000D26F7">
            <w:pPr>
              <w:pStyle w:val="Paragraphtable"/>
              <w:rPr>
                <w:sz w:val="21"/>
                <w:szCs w:val="21"/>
              </w:rPr>
            </w:pPr>
            <w:r w:rsidRPr="0016789A">
              <w:rPr>
                <w:sz w:val="21"/>
                <w:szCs w:val="21"/>
              </w:rPr>
              <w:t>Develop industry-based Codes of Practice, with accompanying small business implementation toolkits, with initial priority given to the retail, education and training, agriculture and construction sectors.</w:t>
            </w:r>
          </w:p>
        </w:tc>
      </w:tr>
    </w:tbl>
    <w:p w14:paraId="20746388" w14:textId="77777777" w:rsidR="00C54B15" w:rsidRPr="00C54B15" w:rsidRDefault="00C54B15" w:rsidP="00C54B15">
      <w:pPr>
        <w:pStyle w:val="SWAHeading3"/>
      </w:pPr>
      <w:r w:rsidRPr="00C54B15">
        <w:t>National Codes of Practice</w:t>
      </w:r>
    </w:p>
    <w:p w14:paraId="2C1B1EC4" w14:textId="77777777" w:rsidR="00C54B15" w:rsidRPr="00C54B15" w:rsidRDefault="00C54B15" w:rsidP="00C54B15">
      <w:pPr>
        <w:pStyle w:val="Paragraph"/>
      </w:pPr>
      <w:r w:rsidRPr="00C54B15">
        <w:t>To improve harmonisation, this Review recommends that model Codes should be replaced by national Codes. This would involve amending the model WHS Act so that Codes are automatically adopted in all model law jurisdictions once agreed by a two-thirds majority of WHS ministers. This approach would be the most likely to eliminate variations in model Codes.</w:t>
      </w:r>
    </w:p>
    <w:p w14:paraId="27780E2F" w14:textId="77777777" w:rsidR="00C54B15" w:rsidRPr="00C54B15" w:rsidRDefault="00C54B15" w:rsidP="00C54B15">
      <w:pPr>
        <w:pStyle w:val="Paragraph"/>
      </w:pPr>
      <w:r w:rsidRPr="00C54B15">
        <w:t>Safe Work Australia develops Codes through an extensive tripartite consultation process and requires agreement from two-thirds of WHS ministers before a Code can be approved and published. This process is rigorous and can take some time but ensures that Codes reflect the expert knowledge and views of those who will use them.</w:t>
      </w:r>
    </w:p>
    <w:p w14:paraId="6FA1BE72" w14:textId="77777777" w:rsidR="00F21CE3" w:rsidRDefault="00C54B15" w:rsidP="00C54B15">
      <w:pPr>
        <w:pStyle w:val="Paragraph"/>
      </w:pPr>
      <w:r w:rsidRPr="00C54B15">
        <w:t>Jurisdictions often vary Codes and may conduct their own additional consultation process after their minister’s endorsement. Feedback to this Review noted these processes allow stakeholders to re-prosecute issues that had already been resolved through compromise at the national level and often result in a Code having a different version in each jurisdiction, creating considerable confusion for duty holders.</w:t>
      </w:r>
    </w:p>
    <w:p w14:paraId="7661FA1C" w14:textId="27151A61" w:rsidR="00C54B15" w:rsidRPr="00C54B15" w:rsidRDefault="00C54B15" w:rsidP="00C54B15">
      <w:pPr>
        <w:pStyle w:val="Paragraph"/>
      </w:pPr>
      <w:r w:rsidRPr="00C54B15">
        <w:t>A shift from model Codes to national Codes would better support harmonisation by establishing nationally consistent protections for workers through a single set of practical controls and guidance. It would also reduce compliance impacts and reduce the likelihood of the same policy questions being renegotiated separately across jurisdictions.</w:t>
      </w:r>
    </w:p>
    <w:p w14:paraId="27C4F132" w14:textId="77777777" w:rsidR="00C54B15" w:rsidRPr="00C54B15" w:rsidRDefault="00C54B15" w:rsidP="0016789A">
      <w:pPr>
        <w:pStyle w:val="Paragraph"/>
        <w:spacing w:after="240"/>
      </w:pPr>
      <w:r w:rsidRPr="00C54B15">
        <w:t xml:space="preserve">In the rare circumstances where a Code needs to be varied to reflect jurisdictional differences that relate to local laws or institutions, these differences could be set out in the Code itself, or a jurisdictional note could be used. </w:t>
      </w:r>
    </w:p>
    <w:tbl>
      <w:tblPr>
        <w:tblStyle w:val="Style6"/>
        <w:tblW w:w="5000" w:type="pct"/>
        <w:tblCellMar>
          <w:top w:w="113" w:type="dxa"/>
          <w:bottom w:w="113" w:type="dxa"/>
        </w:tblCellMar>
        <w:tblLook w:val="04A0" w:firstRow="1" w:lastRow="0" w:firstColumn="1" w:lastColumn="0" w:noHBand="0" w:noVBand="1"/>
      </w:tblPr>
      <w:tblGrid>
        <w:gridCol w:w="9746"/>
      </w:tblGrid>
      <w:tr w:rsidR="007119EC" w14:paraId="251D83FB" w14:textId="77777777" w:rsidTr="0016789A">
        <w:trPr>
          <w:cnfStyle w:val="100000000000" w:firstRow="1" w:lastRow="0" w:firstColumn="0" w:lastColumn="0" w:oddVBand="0" w:evenVBand="0" w:oddHBand="0" w:evenHBand="0" w:firstRowFirstColumn="0" w:firstRowLastColumn="0" w:lastRowFirstColumn="0" w:lastRowLastColumn="0"/>
        </w:trPr>
        <w:tc>
          <w:tcPr>
            <w:tcW w:w="5000" w:type="pct"/>
          </w:tcPr>
          <w:p w14:paraId="174DF786" w14:textId="6604F32E" w:rsidR="007119EC" w:rsidRDefault="007119EC">
            <w:pPr>
              <w:pStyle w:val="Tableheader"/>
            </w:pPr>
            <w:r>
              <w:t>Codes of Practice</w:t>
            </w:r>
            <w:r w:rsidR="000D26F7">
              <w:t xml:space="preserve"> – Recommendation 17</w:t>
            </w:r>
          </w:p>
        </w:tc>
      </w:tr>
      <w:tr w:rsidR="007119EC" w14:paraId="23B39C14" w14:textId="77777777" w:rsidTr="0016789A">
        <w:tc>
          <w:tcPr>
            <w:tcW w:w="5000" w:type="pct"/>
          </w:tcPr>
          <w:p w14:paraId="785D05C7" w14:textId="728CE0EA" w:rsidR="007119EC" w:rsidRPr="0016789A" w:rsidRDefault="003D46ED" w:rsidP="000D26F7">
            <w:pPr>
              <w:pStyle w:val="Paragraphtable"/>
              <w:rPr>
                <w:sz w:val="21"/>
                <w:szCs w:val="21"/>
              </w:rPr>
            </w:pPr>
            <w:r w:rsidRPr="0016789A">
              <w:rPr>
                <w:sz w:val="21"/>
                <w:szCs w:val="21"/>
              </w:rPr>
              <w:t>Consider amending the model WHS Act to frame the model Codes of Practice as National Codes which apply automatically in model law jurisdictions once agreed by WHS ministers.</w:t>
            </w:r>
          </w:p>
        </w:tc>
      </w:tr>
    </w:tbl>
    <w:p w14:paraId="2E3738BB" w14:textId="77777777" w:rsidR="00D3255B" w:rsidRDefault="00D3255B" w:rsidP="00775484">
      <w:pPr>
        <w:pStyle w:val="Paragraph"/>
        <w:sectPr w:rsidR="00D3255B" w:rsidSect="00DF1707">
          <w:headerReference w:type="default" r:id="rId38"/>
          <w:pgSz w:w="11906" w:h="16838" w:code="9"/>
          <w:pgMar w:top="1440" w:right="1080" w:bottom="1440" w:left="1080" w:header="709" w:footer="709" w:gutter="0"/>
          <w:cols w:space="708"/>
          <w:titlePg/>
          <w:docGrid w:linePitch="360"/>
        </w:sectPr>
      </w:pPr>
    </w:p>
    <w:p w14:paraId="2CA4D066" w14:textId="1E8A52CD" w:rsidR="00D35A51" w:rsidRDefault="006916A2" w:rsidP="00D35A51">
      <w:pPr>
        <w:pStyle w:val="SWAHeading1"/>
      </w:pPr>
      <w:bookmarkStart w:id="71" w:name="_Toc239845161"/>
      <w:r>
        <w:lastRenderedPageBreak/>
        <w:t>The model WHS Regulations: variations</w:t>
      </w:r>
      <w:bookmarkEnd w:id="71"/>
    </w:p>
    <w:p w14:paraId="45CF5A74" w14:textId="38D45392" w:rsidR="00A912D9" w:rsidRPr="000D26F7" w:rsidRDefault="00A912D9" w:rsidP="00BF204D">
      <w:pPr>
        <w:pStyle w:val="Boxedshaded"/>
        <w:rPr>
          <w:b/>
          <w:bCs/>
        </w:rPr>
      </w:pPr>
      <w:r w:rsidRPr="000D26F7">
        <w:rPr>
          <w:b/>
          <w:bCs/>
        </w:rPr>
        <w:t>Terms of Reference:</w:t>
      </w:r>
    </w:p>
    <w:p w14:paraId="3ECDFADE" w14:textId="566479B4" w:rsidR="00A912D9" w:rsidRDefault="00A912D9" w:rsidP="00BF204D">
      <w:pPr>
        <w:pStyle w:val="Boxedshaded"/>
      </w:pPr>
      <w:r>
        <w:t>2.1, 2.3, 2.4, 2.6</w:t>
      </w:r>
      <w:r w:rsidR="00933D72" w:rsidRPr="000F1DE6">
        <w:t>, 2.7. 3.3</w:t>
      </w:r>
    </w:p>
    <w:p w14:paraId="7F1DF19C" w14:textId="77777777" w:rsidR="00A912D9" w:rsidRPr="000D26F7" w:rsidRDefault="00A912D9" w:rsidP="00BF204D">
      <w:pPr>
        <w:pStyle w:val="Boxedshaded"/>
        <w:rPr>
          <w:b/>
          <w:bCs/>
        </w:rPr>
      </w:pPr>
      <w:r w:rsidRPr="000D26F7">
        <w:rPr>
          <w:b/>
          <w:bCs/>
        </w:rPr>
        <w:t>Reviews considered in this chapter:</w:t>
      </w:r>
    </w:p>
    <w:p w14:paraId="1345DC75" w14:textId="684D8458" w:rsidR="00A912D9" w:rsidRDefault="005412D1" w:rsidP="00BF204D">
      <w:pPr>
        <w:pStyle w:val="Boxedshadedbullets"/>
      </w:pPr>
      <w:r w:rsidRPr="005412D1" w:rsidDel="001779B8">
        <w:t xml:space="preserve">2018 </w:t>
      </w:r>
      <w:r w:rsidRPr="000D26F7" w:rsidDel="001779B8">
        <w:rPr>
          <w:i/>
          <w:iCs/>
        </w:rPr>
        <w:t xml:space="preserve">Review of </w:t>
      </w:r>
      <w:r w:rsidRPr="000D26F7" w:rsidDel="001779B8">
        <w:rPr>
          <w:rFonts w:eastAsia="Aptos"/>
          <w:i/>
          <w:iCs/>
        </w:rPr>
        <w:t>the</w:t>
      </w:r>
      <w:r w:rsidRPr="000D26F7" w:rsidDel="001779B8">
        <w:rPr>
          <w:i/>
          <w:iCs/>
        </w:rPr>
        <w:t xml:space="preserve"> </w:t>
      </w:r>
      <w:r w:rsidRPr="000D26F7">
        <w:rPr>
          <w:i/>
          <w:iCs/>
        </w:rPr>
        <w:t>m</w:t>
      </w:r>
      <w:r w:rsidRPr="000D26F7" w:rsidDel="001779B8">
        <w:rPr>
          <w:i/>
          <w:iCs/>
        </w:rPr>
        <w:t xml:space="preserve">odel </w:t>
      </w:r>
      <w:r w:rsidRPr="000D26F7">
        <w:rPr>
          <w:i/>
          <w:iCs/>
        </w:rPr>
        <w:t>Work Health and Safety laws</w:t>
      </w:r>
      <w:r w:rsidR="009F5A75">
        <w:rPr>
          <w:i/>
          <w:iCs/>
        </w:rPr>
        <w:t xml:space="preserve"> </w:t>
      </w:r>
      <w:r w:rsidR="009F5A75" w:rsidRPr="00E86E55">
        <w:t>(</w:t>
      </w:r>
      <w:r w:rsidR="009F5A75" w:rsidRPr="00467961">
        <w:rPr>
          <w:i/>
          <w:iCs/>
        </w:rPr>
        <w:t>2018 National Review</w:t>
      </w:r>
      <w:r w:rsidR="009F5A75" w:rsidRPr="00E86E55">
        <w:t>)</w:t>
      </w:r>
      <w:r w:rsidRPr="000D26F7">
        <w:rPr>
          <w:i/>
          <w:iCs/>
        </w:rPr>
        <w:t>.</w:t>
      </w:r>
    </w:p>
    <w:p w14:paraId="7A2728F3" w14:textId="491492E5" w:rsidR="00A912D9" w:rsidRDefault="00A912D9" w:rsidP="00A912D9">
      <w:pPr>
        <w:pStyle w:val="SWAHeading3"/>
      </w:pPr>
      <w:r>
        <w:t>Introduction</w:t>
      </w:r>
    </w:p>
    <w:p w14:paraId="4BAE13D3" w14:textId="77777777" w:rsidR="00A2268D" w:rsidRPr="000F1DE6" w:rsidRDefault="00A2268D" w:rsidP="00A2268D">
      <w:pPr>
        <w:pStyle w:val="Paragraph"/>
        <w:rPr>
          <w:rFonts w:eastAsia="Aptos"/>
        </w:rPr>
      </w:pPr>
      <w:r w:rsidRPr="000F1DE6">
        <w:rPr>
          <w:rFonts w:eastAsia="Aptos"/>
        </w:rPr>
        <w:t xml:space="preserve">This </w:t>
      </w:r>
      <w:r>
        <w:rPr>
          <w:rFonts w:eastAsia="Aptos"/>
        </w:rPr>
        <w:t>c</w:t>
      </w:r>
      <w:r w:rsidRPr="000F1DE6">
        <w:rPr>
          <w:rFonts w:eastAsia="Aptos"/>
        </w:rPr>
        <w:t>hapter examines variations made by jurisdictions to the model WHS Regulations. These v</w:t>
      </w:r>
      <w:r w:rsidRPr="000F1DE6">
        <w:rPr>
          <w:rFonts w:eastAsia="Aptos"/>
          <w:lang w:eastAsia="ja-JP"/>
        </w:rPr>
        <w:t>ariations</w:t>
      </w:r>
      <w:r w:rsidRPr="000F1DE6">
        <w:rPr>
          <w:rFonts w:eastAsia="Aptos"/>
        </w:rPr>
        <w:t xml:space="preserve"> are a source of complexity and confusion for many duty holders. The model WHS Regulations are relied upon, particularly by both PCBUs and regulators, to provide the necessary detail to support the operation of the model WHS Act. Establishing and maintaining national consistency, and preventing variations, is therefore just as important for the model WHS Regulations as it is for the model WHS Act.</w:t>
      </w:r>
    </w:p>
    <w:p w14:paraId="3D0FB299" w14:textId="77777777" w:rsidR="00F21CE3" w:rsidRDefault="00A2268D" w:rsidP="00A2268D">
      <w:pPr>
        <w:pStyle w:val="Paragraph"/>
        <w:rPr>
          <w:rFonts w:eastAsia="Aptos"/>
        </w:rPr>
      </w:pPr>
      <w:r w:rsidRPr="000F1DE6">
        <w:rPr>
          <w:rFonts w:eastAsia="Aptos"/>
        </w:rPr>
        <w:t xml:space="preserve">This Review is making recommendations to amend the model WHS Regulations to pick up those jurisdictional variations which are identified as best practice. These are set out in </w:t>
      </w:r>
      <w:r w:rsidRPr="000F1DE6">
        <w:rPr>
          <w:rFonts w:eastAsia="Aptos"/>
          <w:b/>
        </w:rPr>
        <w:t>Appendix F</w:t>
      </w:r>
      <w:r w:rsidRPr="000F1DE6">
        <w:rPr>
          <w:rFonts w:eastAsia="Aptos"/>
        </w:rPr>
        <w:t>.</w:t>
      </w:r>
    </w:p>
    <w:p w14:paraId="30247DF3" w14:textId="2B1418FF" w:rsidR="00A2268D" w:rsidRPr="000F1DE6" w:rsidRDefault="00A2268D" w:rsidP="00A2268D">
      <w:pPr>
        <w:pStyle w:val="Paragraph"/>
        <w:rPr>
          <w:rFonts w:eastAsia="Aptos"/>
        </w:rPr>
      </w:pPr>
      <w:r w:rsidRPr="000F1DE6">
        <w:rPr>
          <w:rFonts w:eastAsia="Aptos"/>
        </w:rPr>
        <w:t xml:space="preserve">This Review also received feedback on technical issues with the model WHS Regulations which are not linked to jurisdictional variations. Recommendations related to these issues are set out in </w:t>
      </w:r>
      <w:r w:rsidRPr="000F1DE6">
        <w:rPr>
          <w:rFonts w:eastAsia="Aptos"/>
          <w:b/>
          <w:bCs/>
        </w:rPr>
        <w:t>Appendix G</w:t>
      </w:r>
      <w:r w:rsidRPr="000F1DE6">
        <w:rPr>
          <w:rFonts w:eastAsia="Aptos"/>
        </w:rPr>
        <w:t>.</w:t>
      </w:r>
    </w:p>
    <w:p w14:paraId="03008F26" w14:textId="77777777" w:rsidR="00A2268D" w:rsidRPr="000F1DE6" w:rsidRDefault="00A2268D" w:rsidP="00A2268D">
      <w:pPr>
        <w:pStyle w:val="Paragraph"/>
        <w:rPr>
          <w:rFonts w:eastAsia="Aptos"/>
        </w:rPr>
      </w:pPr>
      <w:r w:rsidRPr="000F1DE6">
        <w:rPr>
          <w:rFonts w:eastAsia="Aptos"/>
        </w:rPr>
        <w:t xml:space="preserve">Given the range of issues to cover in this </w:t>
      </w:r>
      <w:r>
        <w:rPr>
          <w:rFonts w:eastAsia="Aptos"/>
        </w:rPr>
        <w:t>c</w:t>
      </w:r>
      <w:r w:rsidRPr="000F1DE6">
        <w:rPr>
          <w:rFonts w:eastAsia="Aptos"/>
        </w:rPr>
        <w:t>hapter, it is divided into the following sections:</w:t>
      </w:r>
    </w:p>
    <w:p w14:paraId="47805D4D" w14:textId="77777777" w:rsidR="00A2268D" w:rsidRPr="00A73978" w:rsidRDefault="00A2268D" w:rsidP="003C6A73">
      <w:pPr>
        <w:pStyle w:val="ListBullet"/>
        <w:rPr>
          <w:rFonts w:eastAsia="Aptos"/>
        </w:rPr>
      </w:pPr>
      <w:r w:rsidRPr="00A73978">
        <w:t>Variations</w:t>
      </w:r>
      <w:r w:rsidRPr="00A73978">
        <w:rPr>
          <w:rFonts w:eastAsia="Aptos"/>
        </w:rPr>
        <w:t xml:space="preserve"> recommended for adoption</w:t>
      </w:r>
    </w:p>
    <w:p w14:paraId="22882B2B" w14:textId="77777777" w:rsidR="00A2268D" w:rsidRPr="00A73978" w:rsidRDefault="00A2268D" w:rsidP="003C6A73">
      <w:pPr>
        <w:pStyle w:val="ListBullet"/>
        <w:rPr>
          <w:rFonts w:eastAsia="Aptos"/>
        </w:rPr>
      </w:pPr>
      <w:r w:rsidRPr="00A73978">
        <w:t>Variations not recommended for adoption</w:t>
      </w:r>
    </w:p>
    <w:p w14:paraId="5CECD315" w14:textId="77777777" w:rsidR="00A2268D" w:rsidRPr="00A73978" w:rsidRDefault="00A2268D" w:rsidP="003C6A73">
      <w:pPr>
        <w:pStyle w:val="ListBullet"/>
        <w:rPr>
          <w:rFonts w:eastAsia="Aptos"/>
        </w:rPr>
      </w:pPr>
      <w:r w:rsidRPr="00A73978">
        <w:t>Issues recommended for inclusion in model Codes of Practice or guidance</w:t>
      </w:r>
    </w:p>
    <w:p w14:paraId="046AAAE5" w14:textId="77777777" w:rsidR="00A2268D" w:rsidRPr="00A73978" w:rsidRDefault="00A2268D" w:rsidP="003C6A73">
      <w:pPr>
        <w:pStyle w:val="ListBullet"/>
        <w:rPr>
          <w:rFonts w:eastAsia="Aptos"/>
        </w:rPr>
      </w:pPr>
      <w:r w:rsidRPr="00A73978">
        <w:t>Issues for further consideration or work by Safe Work Australia.</w:t>
      </w:r>
    </w:p>
    <w:p w14:paraId="3B4C770E" w14:textId="77777777" w:rsidR="00F21CE3" w:rsidRDefault="00A2268D" w:rsidP="00A912D9">
      <w:pPr>
        <w:pStyle w:val="Paragraph"/>
        <w:rPr>
          <w:rFonts w:eastAsia="Aptos"/>
        </w:rPr>
      </w:pPr>
      <w:r w:rsidRPr="00CC15AF">
        <w:rPr>
          <w:rFonts w:eastAsia="Aptos"/>
          <w:b/>
        </w:rPr>
        <w:t>Chapter 7</w:t>
      </w:r>
      <w:r w:rsidRPr="000F1DE6">
        <w:rPr>
          <w:rFonts w:eastAsia="Aptos"/>
        </w:rPr>
        <w:t xml:space="preserve"> considers the model WHS Regulations more broadly and makes recommendations about how they could be modernised to reflect current working arrangements, changing workplaces and emerging industries. The amendments </w:t>
      </w:r>
      <w:r w:rsidRPr="00A2268D">
        <w:t>recommended</w:t>
      </w:r>
      <w:r w:rsidRPr="000F1DE6">
        <w:rPr>
          <w:rFonts w:eastAsia="Aptos"/>
        </w:rPr>
        <w:t xml:space="preserve"> in this </w:t>
      </w:r>
      <w:r>
        <w:rPr>
          <w:rFonts w:eastAsia="Aptos"/>
        </w:rPr>
        <w:t>c</w:t>
      </w:r>
      <w:r w:rsidRPr="000F1DE6">
        <w:rPr>
          <w:rFonts w:eastAsia="Aptos"/>
        </w:rPr>
        <w:t>hapter should be considered as part of that larger modernisation project.</w:t>
      </w:r>
    </w:p>
    <w:p w14:paraId="4A1D5C0E" w14:textId="50FDFFD5" w:rsidR="0016789A" w:rsidRDefault="0016789A">
      <w:pPr>
        <w:spacing w:after="200" w:line="276" w:lineRule="auto"/>
        <w:contextualSpacing w:val="0"/>
        <w:rPr>
          <w:rFonts w:asciiTheme="minorHAnsi" w:eastAsia="Aptos" w:hAnsiTheme="minorHAnsi"/>
          <w:lang w:eastAsia="en-AU"/>
        </w:rPr>
      </w:pPr>
      <w:r>
        <w:rPr>
          <w:rFonts w:eastAsia="Aptos"/>
        </w:rPr>
        <w:br w:type="page"/>
      </w:r>
    </w:p>
    <w:p w14:paraId="3A151EFE" w14:textId="3FA2714F" w:rsidR="00D81457" w:rsidRDefault="000332F9" w:rsidP="00D81457">
      <w:pPr>
        <w:pStyle w:val="SWAHeading2"/>
      </w:pPr>
      <w:bookmarkStart w:id="72" w:name="_Toc234853691"/>
      <w:bookmarkStart w:id="73" w:name="_Toc236326820"/>
      <w:bookmarkStart w:id="74" w:name="_Toc239845162"/>
      <w:r w:rsidRPr="000F1DE6">
        <w:lastRenderedPageBreak/>
        <w:t xml:space="preserve">Variations recommended </w:t>
      </w:r>
      <w:r w:rsidRPr="00D96C60">
        <w:t>for</w:t>
      </w:r>
      <w:r w:rsidRPr="000F1DE6">
        <w:t xml:space="preserve"> adoption</w:t>
      </w:r>
      <w:bookmarkEnd w:id="72"/>
      <w:bookmarkEnd w:id="73"/>
      <w:bookmarkEnd w:id="74"/>
    </w:p>
    <w:p w14:paraId="7BEFA099" w14:textId="6E51C494" w:rsidR="00A912D9" w:rsidRDefault="0097765B" w:rsidP="00A912D9">
      <w:pPr>
        <w:pStyle w:val="SWAHeading3"/>
      </w:pPr>
      <w:r w:rsidRPr="000F1DE6">
        <w:t>Representation and participation (Chapter 2, model WHS Regulations)</w:t>
      </w:r>
    </w:p>
    <w:p w14:paraId="00AA688F" w14:textId="77777777" w:rsidR="00F21CE3" w:rsidRDefault="00EC5662" w:rsidP="00EC5662">
      <w:pPr>
        <w:pStyle w:val="Paragraph"/>
        <w:rPr>
          <w:rFonts w:eastAsia="Aptos"/>
        </w:rPr>
      </w:pPr>
      <w:r w:rsidRPr="000F1DE6">
        <w:rPr>
          <w:rFonts w:eastAsia="Aptos"/>
        </w:rPr>
        <w:t xml:space="preserve">As set out in </w:t>
      </w:r>
      <w:r w:rsidRPr="00CC15AF">
        <w:rPr>
          <w:rFonts w:eastAsia="Aptos"/>
          <w:b/>
        </w:rPr>
        <w:t>Chapter 3</w:t>
      </w:r>
      <w:r w:rsidRPr="000F1DE6">
        <w:rPr>
          <w:rFonts w:eastAsia="Aptos"/>
        </w:rPr>
        <w:t xml:space="preserve">, this Review made recommendations to adopt jurisdictional variations to the model WHS Regulations to specify when an HSR is ‘readily accessible’ to workers, by reference to location, work type and shift type (see </w:t>
      </w:r>
      <w:r w:rsidRPr="000F1DE6">
        <w:rPr>
          <w:rFonts w:eastAsia="Aptos"/>
          <w:b/>
          <w:bCs/>
        </w:rPr>
        <w:t>Chapter 3</w:t>
      </w:r>
      <w:r w:rsidRPr="000F1DE6">
        <w:rPr>
          <w:rFonts w:eastAsia="Aptos"/>
        </w:rPr>
        <w:t xml:space="preserve"> and </w:t>
      </w:r>
      <w:r w:rsidRPr="000F1DE6">
        <w:rPr>
          <w:rFonts w:eastAsia="Aptos"/>
          <w:b/>
        </w:rPr>
        <w:t>Appendix F</w:t>
      </w:r>
      <w:r w:rsidRPr="00D80053">
        <w:rPr>
          <w:rFonts w:eastAsia="Aptos"/>
          <w:bCs/>
        </w:rPr>
        <w:t>,</w:t>
      </w:r>
      <w:r w:rsidRPr="000F1DE6">
        <w:rPr>
          <w:rFonts w:eastAsia="Aptos"/>
          <w:b/>
        </w:rPr>
        <w:t xml:space="preserve"> 1</w:t>
      </w:r>
      <w:r w:rsidRPr="000F1DE6">
        <w:rPr>
          <w:rFonts w:eastAsia="Aptos"/>
          <w:bCs/>
        </w:rPr>
        <w:t>)</w:t>
      </w:r>
      <w:r w:rsidRPr="000F1DE6">
        <w:rPr>
          <w:rFonts w:eastAsia="Aptos"/>
        </w:rPr>
        <w:t>.</w:t>
      </w:r>
    </w:p>
    <w:p w14:paraId="4AD77DFF" w14:textId="0D9DFAC7" w:rsidR="00B76DC4" w:rsidRDefault="00F250A7" w:rsidP="00F250A7">
      <w:pPr>
        <w:pStyle w:val="SWAHeading3"/>
      </w:pPr>
      <w:r w:rsidRPr="000F1DE6">
        <w:t>Amenities and facilities (r</w:t>
      </w:r>
      <w:r w:rsidR="00266F39">
        <w:t>eg</w:t>
      </w:r>
      <w:r w:rsidRPr="000F1DE6">
        <w:t xml:space="preserve"> 315A, Queensland WHS Regulations)</w:t>
      </w:r>
    </w:p>
    <w:p w14:paraId="73D572C5" w14:textId="77777777" w:rsidR="00F250A7" w:rsidRPr="000D26F7" w:rsidRDefault="00F250A7" w:rsidP="00BF204D">
      <w:pPr>
        <w:pStyle w:val="Boxedshaded"/>
        <w:rPr>
          <w:b/>
          <w:bCs/>
        </w:rPr>
      </w:pPr>
      <w:r w:rsidRPr="000D26F7">
        <w:rPr>
          <w:b/>
          <w:bCs/>
        </w:rPr>
        <w:t>What we heard</w:t>
      </w:r>
    </w:p>
    <w:p w14:paraId="70F78F0F" w14:textId="77777777" w:rsidR="00F21CE3" w:rsidRDefault="004D597D" w:rsidP="00BF204D">
      <w:pPr>
        <w:pStyle w:val="Boxedshaded"/>
      </w:pPr>
      <w:r w:rsidRPr="000F1DE6">
        <w:t>This Review heard extensive feedback that inadequate sanitary facilities disadvantage female workers and undermine their equitable participation in male-dominated industries.</w:t>
      </w:r>
      <w:r w:rsidRPr="000F1DE6">
        <w:rPr>
          <w:rStyle w:val="FootnoteReference"/>
          <w:rFonts w:eastAsia="Aptos" w:cs="Aptos"/>
        </w:rPr>
        <w:footnoteReference w:id="550"/>
      </w:r>
    </w:p>
    <w:p w14:paraId="564BE85F" w14:textId="77777777" w:rsidR="00F21CE3" w:rsidRDefault="004D597D" w:rsidP="00BF204D">
      <w:pPr>
        <w:pStyle w:val="Boxedshaded"/>
      </w:pPr>
      <w:r w:rsidRPr="000F1DE6">
        <w:t>Unions supported requirements being placed on principal contractors to provide workers access to, and sufficient time to access, worker amenities and facilities, drawing on the Queensland requirement for designated female toilets and hygiene facilities at construction sites.</w:t>
      </w:r>
      <w:r w:rsidRPr="000F1DE6">
        <w:rPr>
          <w:rStyle w:val="FootnoteReference"/>
          <w:rFonts w:eastAsia="Aptos" w:cs="Aptos"/>
        </w:rPr>
        <w:footnoteReference w:id="551"/>
      </w:r>
    </w:p>
    <w:p w14:paraId="5EA0EDF8" w14:textId="6438135E" w:rsidR="00F250A7" w:rsidRPr="00AA2B02" w:rsidRDefault="004D597D" w:rsidP="00BF204D">
      <w:pPr>
        <w:pStyle w:val="Boxedshaded"/>
      </w:pPr>
      <w:r w:rsidRPr="000F1DE6">
        <w:rPr>
          <w:rFonts w:eastAsia="Aptos"/>
        </w:rPr>
        <w:t>WorkSafe WA suggested the Queensland variation be expanded to all industries where there is a fixed place of employment.</w:t>
      </w:r>
      <w:r w:rsidRPr="000F1DE6">
        <w:rPr>
          <w:rStyle w:val="FootnoteReference"/>
          <w:rFonts w:eastAsia="Aptos" w:cs="Aptos"/>
        </w:rPr>
        <w:footnoteReference w:id="552"/>
      </w:r>
      <w:r w:rsidRPr="000F1DE6">
        <w:rPr>
          <w:rFonts w:eastAsia="Aptos"/>
        </w:rPr>
        <w:t xml:space="preserve"> </w:t>
      </w:r>
      <w:r w:rsidRPr="00105531">
        <w:t>UnionsWA also</w:t>
      </w:r>
      <w:r w:rsidRPr="000F1DE6">
        <w:t xml:space="preserve"> emphasised access to amenities can be impacted by work arrangements and scheduling pressures. They reported that tight delivery schedules, route constraints and productivity demands can limit a worker’s ability to take breaks or access facilities, even where amenities exist.</w:t>
      </w:r>
      <w:r w:rsidRPr="000F1DE6">
        <w:rPr>
          <w:rStyle w:val="FootnoteReference"/>
          <w:rFonts w:cs="Segoe UI"/>
          <w:szCs w:val="22"/>
        </w:rPr>
        <w:footnoteReference w:id="553"/>
      </w:r>
      <w:r w:rsidRPr="000F1DE6">
        <w:t xml:space="preserve"> HSRs from WA said that</w:t>
      </w:r>
      <w:r>
        <w:t>,</w:t>
      </w:r>
      <w:r w:rsidRPr="000F1DE6">
        <w:t xml:space="preserve"> on mine sites, amenities and toilets may be up to a kilometre away from work locations with no easy way to reach them.</w:t>
      </w:r>
      <w:r w:rsidRPr="000F1DE6">
        <w:rPr>
          <w:rStyle w:val="FootnoteReference"/>
          <w:rFonts w:cs="Segoe UI"/>
          <w:szCs w:val="22"/>
        </w:rPr>
        <w:footnoteReference w:id="554"/>
      </w:r>
      <w:r w:rsidRPr="000F1DE6">
        <w:t xml:space="preserve"> They noted inadequate time to access amenities is a health and safety risk, with potential impacts on hydration, rest and hygiene.</w:t>
      </w:r>
    </w:p>
    <w:p w14:paraId="75FBA1F8" w14:textId="7FA7A491" w:rsidR="000A4916" w:rsidRDefault="000A4916" w:rsidP="000D26F7">
      <w:pPr>
        <w:pStyle w:val="SWAHeading4"/>
      </w:pPr>
      <w:r>
        <w:t>Discussion and recommendations</w:t>
      </w:r>
    </w:p>
    <w:p w14:paraId="7320CFE0" w14:textId="77777777" w:rsidR="00A56F89" w:rsidRPr="000F1DE6" w:rsidRDefault="00A56F89" w:rsidP="00A56F89">
      <w:pPr>
        <w:pStyle w:val="Paragraph"/>
        <w:rPr>
          <w:rFonts w:eastAsia="Aptos"/>
        </w:rPr>
      </w:pPr>
      <w:r w:rsidRPr="000F1DE6">
        <w:rPr>
          <w:rFonts w:eastAsia="Aptos"/>
        </w:rPr>
        <w:t xml:space="preserve">This Review acknowledges the work done by Queensland to amend the model WHS Regulations to mandate amenities, including designated female toilets, on construction sites but notes the issue is not limited to this industry alone. Any amendments to amenities requirements should capture all workplaces. Therefore, this Review recommends new regulations relating to workplace amenities be developed as part of the WHS Regulations modernisation project recommended at </w:t>
      </w:r>
      <w:r w:rsidRPr="00CC15AF">
        <w:rPr>
          <w:rFonts w:eastAsia="Aptos"/>
          <w:b/>
        </w:rPr>
        <w:t>Chapter 7</w:t>
      </w:r>
      <w:r w:rsidRPr="000F1DE6">
        <w:rPr>
          <w:rFonts w:eastAsia="Aptos"/>
        </w:rPr>
        <w:t>. These regulations should clarify that duty holders must ensure that facilities, including designated female toilets, are provided in sufficient number and location to enable effective use at any workplace and that workers must be afforded adequate time and opportunity to access and use those facilities, including appropriate breaks.</w:t>
      </w:r>
    </w:p>
    <w:p w14:paraId="5CAC1927" w14:textId="77777777" w:rsidR="00F21CE3" w:rsidRDefault="00A56F89" w:rsidP="00A912D9">
      <w:pPr>
        <w:pStyle w:val="Paragraph"/>
        <w:rPr>
          <w:rFonts w:eastAsia="Aptos"/>
        </w:rPr>
      </w:pPr>
      <w:r w:rsidRPr="000F1DE6">
        <w:rPr>
          <w:rFonts w:eastAsia="Aptos"/>
        </w:rPr>
        <w:t xml:space="preserve">Note the relevant recommendation is included at </w:t>
      </w:r>
      <w:r w:rsidRPr="000F1DE6">
        <w:rPr>
          <w:rFonts w:eastAsia="Aptos"/>
          <w:b/>
          <w:bCs/>
        </w:rPr>
        <w:t>Chapter</w:t>
      </w:r>
      <w:r w:rsidRPr="000F1DE6">
        <w:rPr>
          <w:rFonts w:eastAsia="Aptos"/>
        </w:rPr>
        <w:t xml:space="preserve"> </w:t>
      </w:r>
      <w:r w:rsidRPr="000F1DE6">
        <w:rPr>
          <w:rFonts w:eastAsia="Aptos"/>
          <w:b/>
          <w:bCs/>
        </w:rPr>
        <w:t>8.</w:t>
      </w:r>
      <w:r w:rsidRPr="00105531">
        <w:rPr>
          <w:rFonts w:eastAsia="Aptos"/>
          <w:b/>
          <w:bCs/>
        </w:rPr>
        <w:t>3</w:t>
      </w:r>
      <w:r w:rsidRPr="00105531">
        <w:rPr>
          <w:rFonts w:eastAsia="Aptos"/>
        </w:rPr>
        <w:t xml:space="preserve"> – Harmful workplace behaviours.</w:t>
      </w:r>
    </w:p>
    <w:p w14:paraId="3F89A857" w14:textId="391E5B94" w:rsidR="000D26F7" w:rsidRDefault="000D26F7">
      <w:pPr>
        <w:spacing w:after="200" w:line="276" w:lineRule="auto"/>
        <w:contextualSpacing w:val="0"/>
        <w:rPr>
          <w:rFonts w:asciiTheme="minorHAnsi" w:eastAsia="Aptos" w:hAnsiTheme="minorHAnsi"/>
          <w:lang w:eastAsia="en-AU"/>
        </w:rPr>
      </w:pPr>
      <w:r>
        <w:rPr>
          <w:rFonts w:eastAsia="Aptos"/>
        </w:rPr>
        <w:br w:type="page"/>
      </w:r>
    </w:p>
    <w:p w14:paraId="2C2AB3B8" w14:textId="3D5E177B" w:rsidR="00B76DC4" w:rsidRDefault="00174994" w:rsidP="00174994">
      <w:pPr>
        <w:pStyle w:val="SWAHeading3"/>
      </w:pPr>
      <w:r w:rsidRPr="000F1DE6">
        <w:lastRenderedPageBreak/>
        <w:t>Construction work (Part 6.1, r</w:t>
      </w:r>
      <w:r>
        <w:t>eg</w:t>
      </w:r>
      <w:r w:rsidRPr="000F1DE6">
        <w:t xml:space="preserve"> 292, Part 6.5 r</w:t>
      </w:r>
      <w:r>
        <w:t>egs</w:t>
      </w:r>
      <w:r w:rsidRPr="000F1DE6">
        <w:t xml:space="preserve"> 316–327, model </w:t>
      </w:r>
      <w:r w:rsidR="007E465D">
        <w:br/>
      </w:r>
      <w:r w:rsidRPr="000F1DE6">
        <w:t>WHS Regulations)</w:t>
      </w:r>
    </w:p>
    <w:p w14:paraId="0DBF13F1" w14:textId="120FAA13" w:rsidR="00174994" w:rsidRDefault="002A3169" w:rsidP="0016789A">
      <w:pPr>
        <w:pStyle w:val="Paragraph"/>
        <w:spacing w:after="240"/>
        <w:rPr>
          <w:lang w:eastAsia="en-US"/>
        </w:rPr>
      </w:pPr>
      <w:r w:rsidRPr="000F1DE6">
        <w:rPr>
          <w:rFonts w:eastAsia="Aptos"/>
        </w:rPr>
        <w:t>Under the model WHS Regulations a ‘construction project’ valued at more than $250,000 is subject to a range of regulatory requirements. SA and the NT have different monetary thresholds.</w:t>
      </w:r>
      <w:r w:rsidRPr="000F1DE6">
        <w:rPr>
          <w:vertAlign w:val="superscript"/>
        </w:rPr>
        <w:footnoteReference w:id="555"/>
      </w:r>
      <w:r w:rsidRPr="000F1DE6">
        <w:rPr>
          <w:rFonts w:eastAsia="Aptos"/>
        </w:rPr>
        <w:t xml:space="preserve"> WA defines a major construction project by workforce size instead, specifically where 5 or more persons are, or are likely to be, working at the same time.</w:t>
      </w:r>
      <w:r w:rsidRPr="000F1DE6">
        <w:rPr>
          <w:rStyle w:val="FootnoteReference"/>
          <w:rFonts w:eastAsia="Aptos" w:cs="Aptos"/>
          <w:color w:val="000000" w:themeColor="text1"/>
        </w:rPr>
        <w:footnoteReference w:id="556"/>
      </w:r>
    </w:p>
    <w:p w14:paraId="08C58DBC" w14:textId="77777777" w:rsidR="009F6F15" w:rsidRPr="000D26F7" w:rsidRDefault="009F6F15" w:rsidP="00BF204D">
      <w:pPr>
        <w:pStyle w:val="Boxedshaded"/>
        <w:rPr>
          <w:b/>
          <w:bCs/>
        </w:rPr>
      </w:pPr>
      <w:r w:rsidRPr="000D26F7">
        <w:rPr>
          <w:b/>
          <w:bCs/>
        </w:rPr>
        <w:t>What we heard</w:t>
      </w:r>
    </w:p>
    <w:p w14:paraId="22905C59" w14:textId="1DDB1661" w:rsidR="002A3169" w:rsidRDefault="009F6F15" w:rsidP="00BF204D">
      <w:pPr>
        <w:pStyle w:val="Boxedshaded"/>
      </w:pPr>
      <w:r w:rsidRPr="000F1DE6">
        <w:t xml:space="preserve">Unions NT and </w:t>
      </w:r>
      <w:r w:rsidRPr="00105531">
        <w:t>the HIA disagreed</w:t>
      </w:r>
      <w:r w:rsidRPr="000F1DE6">
        <w:t xml:space="preserve"> on what the dollar figure should be when characterising a ‘construction project’</w:t>
      </w:r>
      <w:r>
        <w:t xml:space="preserve"> </w:t>
      </w:r>
      <w:r w:rsidRPr="000F1DE6">
        <w:t>but broadly supported a nationally consistent approach.</w:t>
      </w:r>
      <w:r w:rsidRPr="000F1DE6">
        <w:rPr>
          <w:rStyle w:val="FootnoteReference"/>
          <w:rFonts w:eastAsia="Aptos" w:cs="Aptos"/>
          <w:color w:val="000000" w:themeColor="text1"/>
        </w:rPr>
        <w:footnoteReference w:id="557"/>
      </w:r>
      <w:r w:rsidRPr="000F1DE6">
        <w:t xml:space="preserve"> Unions NT highlighted that the current NT monetary threshold, which was adjusted to reflect the higher cost of construction in remote areas, exempts many small construction projects from WHS obligations.</w:t>
      </w:r>
      <w:r w:rsidRPr="000F1DE6">
        <w:rPr>
          <w:rStyle w:val="FootnoteReference"/>
          <w:rFonts w:eastAsia="Aptos"/>
        </w:rPr>
        <w:footnoteReference w:id="558"/>
      </w:r>
      <w:r>
        <w:t xml:space="preserve"> </w:t>
      </w:r>
      <w:r w:rsidRPr="000F1DE6">
        <w:t>HIA called for the monetary threshold to be indexed.</w:t>
      </w:r>
      <w:r w:rsidRPr="000F1DE6">
        <w:rPr>
          <w:rStyle w:val="FootnoteReference"/>
          <w:rFonts w:eastAsia="Aptos"/>
        </w:rPr>
        <w:footnoteReference w:id="559"/>
      </w:r>
      <w:r w:rsidRPr="000F1DE6">
        <w:t xml:space="preserve"> Australian Industry Group noted </w:t>
      </w:r>
      <w:r>
        <w:t xml:space="preserve">that </w:t>
      </w:r>
      <w:r w:rsidRPr="000F1DE6">
        <w:t>the WA approach warrants further consideration but may be difficult to regulate.</w:t>
      </w:r>
      <w:r w:rsidRPr="000F1DE6">
        <w:rPr>
          <w:rStyle w:val="FootnoteReference"/>
          <w:rFonts w:eastAsia="Aptos" w:cs="Aptos"/>
          <w:color w:val="000000" w:themeColor="text1"/>
        </w:rPr>
        <w:footnoteReference w:id="560"/>
      </w:r>
    </w:p>
    <w:p w14:paraId="3B709CCA" w14:textId="6FEB0C3D" w:rsidR="00FB2081" w:rsidRDefault="00092E2F" w:rsidP="000D26F7">
      <w:pPr>
        <w:pStyle w:val="SWAHeading4"/>
      </w:pPr>
      <w:r>
        <w:t>Discussion and recommendations</w:t>
      </w:r>
    </w:p>
    <w:p w14:paraId="73A772D3" w14:textId="4312AB8B" w:rsidR="00092E2F" w:rsidRDefault="00D30A54" w:rsidP="00A912D9">
      <w:pPr>
        <w:pStyle w:val="Paragraph"/>
        <w:rPr>
          <w:rFonts w:eastAsia="Aptos"/>
        </w:rPr>
      </w:pPr>
      <w:r w:rsidRPr="000F1DE6">
        <w:rPr>
          <w:rFonts w:eastAsia="Aptos"/>
        </w:rPr>
        <w:t xml:space="preserve">This Review has considered the different approaches jurisdictions have used to define a construction project. It recommends amending the definition in line with the WA variation. This would provide a national threshold that is consistent over time and avoid issues associated with a monetary threshold such as regional variations in building prices, and inflation, influencing which WHS Regulations apply to a construction project (see </w:t>
      </w:r>
      <w:r w:rsidRPr="000F1DE6">
        <w:rPr>
          <w:rFonts w:eastAsia="Aptos"/>
          <w:b/>
          <w:bCs/>
        </w:rPr>
        <w:t xml:space="preserve">Appendix </w:t>
      </w:r>
      <w:r w:rsidRPr="000F1DE6">
        <w:rPr>
          <w:rFonts w:eastAsia="Aptos"/>
          <w:b/>
        </w:rPr>
        <w:t>F</w:t>
      </w:r>
      <w:r w:rsidRPr="00D71CDD">
        <w:rPr>
          <w:rFonts w:eastAsia="Aptos"/>
        </w:rPr>
        <w:t>,</w:t>
      </w:r>
      <w:r w:rsidRPr="000F1DE6">
        <w:rPr>
          <w:rFonts w:eastAsia="Aptos"/>
          <w:b/>
          <w:bCs/>
        </w:rPr>
        <w:t xml:space="preserve"> 2</w:t>
      </w:r>
      <w:r w:rsidRPr="000F1DE6">
        <w:rPr>
          <w:rFonts w:eastAsia="Aptos"/>
        </w:rPr>
        <w:t>).</w:t>
      </w:r>
    </w:p>
    <w:p w14:paraId="5E97CD49" w14:textId="77777777" w:rsidR="007224C1" w:rsidRPr="000F1DE6" w:rsidRDefault="007224C1" w:rsidP="00116922">
      <w:pPr>
        <w:pStyle w:val="SWAHeading3"/>
      </w:pPr>
      <w:r w:rsidRPr="000F1DE6">
        <w:t>General construction induction training (Part 6.5, model WHS Regulations)</w:t>
      </w:r>
    </w:p>
    <w:p w14:paraId="2FA1CBDB" w14:textId="77777777" w:rsidR="00F21CE3" w:rsidRDefault="007224C1" w:rsidP="00116922">
      <w:pPr>
        <w:pStyle w:val="Paragraph"/>
        <w:rPr>
          <w:rFonts w:eastAsia="Aptos"/>
        </w:rPr>
      </w:pPr>
      <w:r w:rsidRPr="000F1DE6">
        <w:rPr>
          <w:rFonts w:eastAsia="Aptos"/>
        </w:rPr>
        <w:t xml:space="preserve">The </w:t>
      </w:r>
      <w:r w:rsidRPr="006418D3">
        <w:rPr>
          <w:rFonts w:eastAsia="Aptos"/>
          <w:i/>
          <w:iCs/>
        </w:rPr>
        <w:t>2018 National Review</w:t>
      </w:r>
      <w:r w:rsidRPr="000F1DE6">
        <w:rPr>
          <w:rFonts w:eastAsia="Aptos"/>
        </w:rPr>
        <w:t xml:space="preserve"> raised concerns about the quality and integrity of general construction induction (white card) training, particularly </w:t>
      </w:r>
      <w:r w:rsidRPr="00116922">
        <w:t>variability</w:t>
      </w:r>
      <w:r w:rsidRPr="000F1DE6">
        <w:rPr>
          <w:rFonts w:eastAsia="Aptos"/>
        </w:rPr>
        <w:t xml:space="preserve"> in training delivery and assessment rigour. Feedback indicated that some training courses do not provide adequate engagement or assurance of competence, contributing to a perception that the white card has become a procedural requirement rather than an effective safety control.</w:t>
      </w:r>
      <w:r w:rsidRPr="000F1DE6">
        <w:rPr>
          <w:rStyle w:val="FootnoteReference"/>
          <w:rFonts w:eastAsia="Aptos" w:cs="Aptos"/>
        </w:rPr>
        <w:footnoteReference w:id="561"/>
      </w:r>
    </w:p>
    <w:p w14:paraId="1027BACA" w14:textId="77777777" w:rsidR="00F21CE3" w:rsidRDefault="007224C1" w:rsidP="007224C1">
      <w:pPr>
        <w:pStyle w:val="Paragraph"/>
        <w:rPr>
          <w:rFonts w:eastAsia="Aptos"/>
        </w:rPr>
      </w:pPr>
      <w:r w:rsidRPr="000F1DE6">
        <w:rPr>
          <w:rFonts w:eastAsia="Aptos"/>
        </w:rPr>
        <w:t>The relevant Unit of Competency was subsequently updated in 2022 to include stricter delivery and assessment rules.</w:t>
      </w:r>
    </w:p>
    <w:p w14:paraId="72019F31" w14:textId="77777777" w:rsidR="00F21CE3" w:rsidRDefault="007224C1" w:rsidP="00A912D9">
      <w:pPr>
        <w:pStyle w:val="Paragraph"/>
        <w:rPr>
          <w:rFonts w:eastAsia="Aptos"/>
        </w:rPr>
      </w:pPr>
      <w:r w:rsidRPr="000F1DE6">
        <w:rPr>
          <w:rFonts w:eastAsia="Aptos"/>
        </w:rPr>
        <w:t>This Review also notes NSW digitised its white card licences in May 2025.</w:t>
      </w:r>
      <w:r w:rsidRPr="000F1DE6">
        <w:rPr>
          <w:rStyle w:val="FootnoteReference"/>
          <w:rFonts w:eastAsia="Aptos"/>
        </w:rPr>
        <w:footnoteReference w:id="562"/>
      </w:r>
    </w:p>
    <w:p w14:paraId="0FE86185" w14:textId="7F802468" w:rsidR="00767169" w:rsidRPr="000D26F7" w:rsidRDefault="00767169" w:rsidP="00BF204D">
      <w:pPr>
        <w:pStyle w:val="Boxedshaded"/>
        <w:rPr>
          <w:b/>
          <w:bCs/>
        </w:rPr>
      </w:pPr>
      <w:r w:rsidRPr="000D26F7">
        <w:rPr>
          <w:b/>
          <w:bCs/>
        </w:rPr>
        <w:lastRenderedPageBreak/>
        <w:t>What we heard</w:t>
      </w:r>
    </w:p>
    <w:p w14:paraId="49DD993C" w14:textId="77777777" w:rsidR="00F21CE3" w:rsidRDefault="00767169" w:rsidP="00BF204D">
      <w:pPr>
        <w:pStyle w:val="Boxedshaded"/>
      </w:pPr>
      <w:r w:rsidRPr="000F1DE6">
        <w:t xml:space="preserve">This Review also received some submissions on this topic, although the updates to the relevant Unit of Competency since 2018 seem to have reduced these and the significance of the issue. A business and </w:t>
      </w:r>
      <w:r w:rsidRPr="00105531">
        <w:t>improvement auditor</w:t>
      </w:r>
      <w:r w:rsidRPr="00105531">
        <w:rPr>
          <w:rStyle w:val="FootnoteReference"/>
          <w:rFonts w:eastAsia="Aptos" w:cs="Aptos"/>
        </w:rPr>
        <w:footnoteReference w:id="563"/>
      </w:r>
      <w:r w:rsidRPr="00105531">
        <w:t xml:space="preserve"> raised the continued inconsistency of the vocational education and training (VET) framework for white cards and inadequacy of the training materials,</w:t>
      </w:r>
      <w:r w:rsidRPr="00105531">
        <w:rPr>
          <w:rStyle w:val="FootnoteReference"/>
          <w:rFonts w:eastAsia="Aptos" w:cs="Aptos"/>
        </w:rPr>
        <w:footnoteReference w:id="564"/>
      </w:r>
      <w:r w:rsidRPr="00105531">
        <w:t xml:space="preserve"> and the MBA advocated for white cards to</w:t>
      </w:r>
      <w:r w:rsidRPr="000F1DE6">
        <w:t xml:space="preserve"> contain photo identification.</w:t>
      </w:r>
      <w:r w:rsidRPr="000F1DE6">
        <w:rPr>
          <w:rStyle w:val="FootnoteReference"/>
          <w:rFonts w:eastAsia="Aptos" w:cs="Aptos"/>
        </w:rPr>
        <w:footnoteReference w:id="565"/>
      </w:r>
    </w:p>
    <w:p w14:paraId="390B6E48" w14:textId="15E33E66" w:rsidR="00767169" w:rsidRPr="000F1DE6" w:rsidRDefault="00767169" w:rsidP="000D26F7">
      <w:pPr>
        <w:pStyle w:val="SWAHeading4"/>
      </w:pPr>
      <w:r w:rsidRPr="000F1DE6">
        <w:t>Discussion and recommendations</w:t>
      </w:r>
    </w:p>
    <w:p w14:paraId="06929A73" w14:textId="77777777" w:rsidR="00767169" w:rsidRPr="000F1DE6" w:rsidRDefault="00767169" w:rsidP="00767169">
      <w:pPr>
        <w:pStyle w:val="Paragraph"/>
        <w:rPr>
          <w:rFonts w:eastAsia="Aptos"/>
        </w:rPr>
      </w:pPr>
      <w:r w:rsidRPr="000F1DE6">
        <w:rPr>
          <w:rFonts w:eastAsia="Aptos"/>
        </w:rPr>
        <w:t>Training quality is a matter for the VET sector and Safe Work Australia’s role is limited to facilitating engagement between WHS regulators and the VET sector.</w:t>
      </w:r>
    </w:p>
    <w:p w14:paraId="44596AFB" w14:textId="413BDC88" w:rsidR="007224C1" w:rsidRDefault="00767169" w:rsidP="00A912D9">
      <w:pPr>
        <w:pStyle w:val="Paragraph"/>
        <w:rPr>
          <w:lang w:eastAsia="en-US"/>
        </w:rPr>
      </w:pPr>
      <w:r w:rsidRPr="000F1DE6">
        <w:rPr>
          <w:rFonts w:eastAsia="Aptos"/>
        </w:rPr>
        <w:t>While this Review did not hear feedback about digital white cards, the Review notes other jurisdictions are likely to adopt NSW’s approach and therefore recommends amending the model WHS Regulations to allow for these (see</w:t>
      </w:r>
      <w:r w:rsidRPr="000F1DE6">
        <w:t xml:space="preserve"> </w:t>
      </w:r>
      <w:r w:rsidRPr="000F1DE6">
        <w:rPr>
          <w:rFonts w:cs="Arial"/>
          <w:b/>
        </w:rPr>
        <w:t>Appendix F</w:t>
      </w:r>
      <w:r w:rsidRPr="000F1DE6">
        <w:rPr>
          <w:rFonts w:cs="Arial"/>
        </w:rPr>
        <w:t xml:space="preserve">, </w:t>
      </w:r>
      <w:r w:rsidRPr="000F1DE6">
        <w:rPr>
          <w:rFonts w:cs="Arial"/>
          <w:b/>
        </w:rPr>
        <w:t>3</w:t>
      </w:r>
      <w:r w:rsidRPr="000F1DE6">
        <w:rPr>
          <w:rFonts w:cs="Arial"/>
        </w:rPr>
        <w:t>).</w:t>
      </w:r>
    </w:p>
    <w:p w14:paraId="6EEDC686" w14:textId="77777777" w:rsidR="00F21CE3" w:rsidRDefault="002855F8" w:rsidP="002855F8">
      <w:pPr>
        <w:pStyle w:val="SWAHeading3"/>
      </w:pPr>
      <w:bookmarkStart w:id="75" w:name="_Toc227588210"/>
      <w:bookmarkStart w:id="76" w:name="_Toc228256105"/>
      <w:r w:rsidRPr="000F1DE6">
        <w:t xml:space="preserve">Lithium </w:t>
      </w:r>
      <w:r w:rsidRPr="002855F8">
        <w:t>batteries</w:t>
      </w:r>
      <w:bookmarkEnd w:id="75"/>
      <w:bookmarkEnd w:id="76"/>
    </w:p>
    <w:p w14:paraId="10EAD8B1" w14:textId="64C00C3E" w:rsidR="002855F8" w:rsidRPr="000F1DE6" w:rsidRDefault="002855F8" w:rsidP="0016789A">
      <w:pPr>
        <w:pStyle w:val="Paragraph"/>
        <w:spacing w:after="240"/>
      </w:pPr>
      <w:r w:rsidRPr="000F1DE6">
        <w:rPr>
          <w:rFonts w:eastAsiaTheme="minorHAnsi"/>
        </w:rPr>
        <w:t xml:space="preserve">The model WHS Regulations do not </w:t>
      </w:r>
      <w:r w:rsidRPr="002855F8">
        <w:t>classify</w:t>
      </w:r>
      <w:r w:rsidRPr="000F1DE6">
        <w:rPr>
          <w:rFonts w:eastAsiaTheme="minorHAnsi"/>
        </w:rPr>
        <w:t xml:space="preserve"> lithium batteries under the </w:t>
      </w:r>
      <w:r w:rsidRPr="000472BE">
        <w:rPr>
          <w:rFonts w:eastAsiaTheme="minorHAnsi"/>
          <w:i/>
          <w:iCs/>
        </w:rPr>
        <w:t>Globally Harmonized System of Classification and Labelling of Chemicals</w:t>
      </w:r>
      <w:r w:rsidRPr="00105531">
        <w:rPr>
          <w:rFonts w:eastAsiaTheme="minorHAnsi"/>
        </w:rPr>
        <w:t>, nor</w:t>
      </w:r>
      <w:r w:rsidRPr="000F1DE6">
        <w:rPr>
          <w:rFonts w:eastAsiaTheme="minorHAnsi"/>
        </w:rPr>
        <w:t xml:space="preserve"> are they listed in Schedule 11. This means they do not require an emergency plan in certain circumstances.</w:t>
      </w:r>
    </w:p>
    <w:p w14:paraId="1C87A950" w14:textId="77777777" w:rsidR="002855F8" w:rsidRPr="000D26F7" w:rsidRDefault="002855F8" w:rsidP="00BF204D">
      <w:pPr>
        <w:pStyle w:val="Boxedshaded"/>
        <w:rPr>
          <w:b/>
          <w:bCs/>
        </w:rPr>
      </w:pPr>
      <w:r w:rsidRPr="000D26F7">
        <w:rPr>
          <w:b/>
          <w:bCs/>
        </w:rPr>
        <w:t>What we heard</w:t>
      </w:r>
    </w:p>
    <w:p w14:paraId="1B771F95" w14:textId="77777777" w:rsidR="002855F8" w:rsidRPr="000F1DE6" w:rsidRDefault="002855F8" w:rsidP="00BF204D">
      <w:pPr>
        <w:pStyle w:val="Boxedshaded"/>
      </w:pPr>
      <w:r w:rsidRPr="000F1DE6">
        <w:t>NSW amended its version of the model WHS Regulations to require PCBUs to provide their emergency plan to Fire and Rescue NSW when a site stores, handles or installs 25,000 kilograms or more of lithium batteries.</w:t>
      </w:r>
      <w:r w:rsidRPr="000F1DE6">
        <w:rPr>
          <w:rStyle w:val="FootnoteReference"/>
          <w:rFonts w:eastAsia="Aptos" w:cs="Aptos"/>
          <w:color w:val="000000" w:themeColor="text1"/>
        </w:rPr>
        <w:footnoteReference w:id="566"/>
      </w:r>
      <w:r w:rsidRPr="000F1DE6">
        <w:rPr>
          <w:rFonts w:eastAsia="Aptos"/>
        </w:rPr>
        <w:t xml:space="preserve"> </w:t>
      </w:r>
      <w:r w:rsidRPr="000F1DE6">
        <w:t>This ensures emergency services have access to critical information needed to respond to large-scale incidents.</w:t>
      </w:r>
    </w:p>
    <w:p w14:paraId="44034F7A" w14:textId="77777777" w:rsidR="002855F8" w:rsidRPr="000F1DE6" w:rsidRDefault="002855F8" w:rsidP="000D26F7">
      <w:pPr>
        <w:pStyle w:val="SWAHeading4"/>
      </w:pPr>
      <w:r w:rsidRPr="000F1DE6">
        <w:t xml:space="preserve">Discussion and </w:t>
      </w:r>
      <w:r>
        <w:t>recommendations</w:t>
      </w:r>
    </w:p>
    <w:p w14:paraId="47E08D3A" w14:textId="767AD4D0" w:rsidR="0016789A" w:rsidRDefault="002855F8" w:rsidP="00A912D9">
      <w:pPr>
        <w:pStyle w:val="Paragraph"/>
        <w:rPr>
          <w:rFonts w:cs="Arial"/>
          <w:bCs/>
        </w:rPr>
      </w:pPr>
      <w:r w:rsidRPr="000F1DE6">
        <w:rPr>
          <w:rFonts w:eastAsia="Aptos"/>
        </w:rPr>
        <w:t xml:space="preserve">Given the risks associated with lithium batteries and their growing prevalence, this Review recommends adopting the NSW amendment as best practice (see </w:t>
      </w:r>
      <w:r w:rsidRPr="000F1DE6">
        <w:rPr>
          <w:rFonts w:cs="Arial"/>
          <w:b/>
        </w:rPr>
        <w:t>Appendix F</w:t>
      </w:r>
      <w:r w:rsidRPr="000F1DE6">
        <w:rPr>
          <w:rFonts w:cs="Arial"/>
        </w:rPr>
        <w:t xml:space="preserve">, </w:t>
      </w:r>
      <w:r w:rsidRPr="000F1DE6">
        <w:rPr>
          <w:rFonts w:cs="Arial"/>
          <w:b/>
        </w:rPr>
        <w:t>4</w:t>
      </w:r>
      <w:r w:rsidRPr="000F1DE6">
        <w:rPr>
          <w:rFonts w:cs="Arial"/>
        </w:rPr>
        <w:t>)</w:t>
      </w:r>
      <w:r w:rsidRPr="000F1DE6">
        <w:rPr>
          <w:rFonts w:cs="Arial"/>
          <w:bCs/>
        </w:rPr>
        <w:t>.</w:t>
      </w:r>
    </w:p>
    <w:p w14:paraId="614331F0" w14:textId="77777777" w:rsidR="0016789A" w:rsidRDefault="0016789A">
      <w:pPr>
        <w:spacing w:after="200" w:line="276" w:lineRule="auto"/>
        <w:contextualSpacing w:val="0"/>
        <w:rPr>
          <w:rFonts w:asciiTheme="minorHAnsi" w:eastAsia="Times New Roman" w:hAnsiTheme="minorHAnsi" w:cs="Arial"/>
          <w:bCs/>
          <w:lang w:eastAsia="en-AU"/>
        </w:rPr>
      </w:pPr>
      <w:r>
        <w:rPr>
          <w:rFonts w:cs="Arial"/>
          <w:bCs/>
        </w:rPr>
        <w:br w:type="page"/>
      </w:r>
    </w:p>
    <w:p w14:paraId="151827D3" w14:textId="77777777" w:rsidR="00CF3600" w:rsidRPr="000F1DE6" w:rsidRDefault="00CF3600" w:rsidP="00AF7C96">
      <w:pPr>
        <w:pStyle w:val="SWAHeading2"/>
      </w:pPr>
      <w:bookmarkStart w:id="77" w:name="_Toc234853692"/>
      <w:bookmarkStart w:id="78" w:name="_Toc236326821"/>
      <w:bookmarkStart w:id="79" w:name="_Toc239845163"/>
      <w:r w:rsidRPr="000F1DE6">
        <w:lastRenderedPageBreak/>
        <w:t>Variations not recommended for adoption</w:t>
      </w:r>
      <w:bookmarkEnd w:id="77"/>
      <w:bookmarkEnd w:id="78"/>
      <w:bookmarkEnd w:id="79"/>
    </w:p>
    <w:p w14:paraId="5ABC9481" w14:textId="55B27073" w:rsidR="00CF3600" w:rsidRPr="000F1DE6" w:rsidRDefault="00CF3600" w:rsidP="00AF7C96">
      <w:pPr>
        <w:pStyle w:val="SWAHeading3"/>
      </w:pPr>
      <w:r w:rsidRPr="000F1DE6">
        <w:t>Psychosocial risks (Part 3.2</w:t>
      </w:r>
      <w:r w:rsidR="007E465D">
        <w:t>,</w:t>
      </w:r>
      <w:r w:rsidRPr="000F1DE6">
        <w:t xml:space="preserve"> r</w:t>
      </w:r>
      <w:r>
        <w:t>eg</w:t>
      </w:r>
      <w:r w:rsidRPr="000F1DE6">
        <w:t xml:space="preserve"> 55C, model WHS Regulations)</w:t>
      </w:r>
    </w:p>
    <w:p w14:paraId="0F9A0450" w14:textId="77777777" w:rsidR="00CF3600" w:rsidRPr="000F1DE6" w:rsidRDefault="00CF3600" w:rsidP="0016789A">
      <w:pPr>
        <w:pStyle w:val="Paragraph"/>
        <w:spacing w:after="240"/>
      </w:pPr>
      <w:r w:rsidRPr="000F1DE6">
        <w:rPr>
          <w:rFonts w:eastAsia="Aptos"/>
        </w:rPr>
        <w:t>In 2025, Queensland amended its WHS Regulations to require that PCBUs develop a sexual harassment prevention plan where a psychosocial risk of sex or gender-based harassment has been identified and control measures are needed to eliminate or minimise the risk.</w:t>
      </w:r>
      <w:r w:rsidRPr="000F1DE6">
        <w:rPr>
          <w:rFonts w:eastAsia="Aptos"/>
          <w:vertAlign w:val="superscript"/>
        </w:rPr>
        <w:footnoteReference w:id="567"/>
      </w:r>
    </w:p>
    <w:p w14:paraId="22A436AC" w14:textId="77777777" w:rsidR="00CF3600" w:rsidRPr="000D26F7" w:rsidRDefault="00CF3600" w:rsidP="00BF204D">
      <w:pPr>
        <w:pStyle w:val="Boxedshaded"/>
        <w:rPr>
          <w:b/>
          <w:bCs/>
        </w:rPr>
      </w:pPr>
      <w:r w:rsidRPr="000D26F7">
        <w:rPr>
          <w:b/>
          <w:bCs/>
        </w:rPr>
        <w:t>What we heard</w:t>
      </w:r>
    </w:p>
    <w:p w14:paraId="4B0D5F6C" w14:textId="218E6CA7" w:rsidR="00F21CE3" w:rsidRDefault="00CF3600" w:rsidP="00BF204D">
      <w:pPr>
        <w:pStyle w:val="Boxedshaded"/>
        <w:rPr>
          <w:vertAlign w:val="superscript"/>
        </w:rPr>
      </w:pPr>
      <w:r w:rsidRPr="000F1DE6">
        <w:t>The ACTU and the National Joint Submission for Safety Regulation for Primary Prevention of Gendered Violence both supported the Queensland variations.</w:t>
      </w:r>
      <w:r w:rsidRPr="000F1DE6">
        <w:rPr>
          <w:vertAlign w:val="superscript"/>
        </w:rPr>
        <w:footnoteReference w:id="568"/>
      </w:r>
      <w:r w:rsidRPr="000F1DE6">
        <w:rPr>
          <w:sz w:val="28"/>
          <w:szCs w:val="32"/>
        </w:rPr>
        <w:t xml:space="preserve"> </w:t>
      </w:r>
      <w:r w:rsidRPr="000F1DE6">
        <w:t>MBA and WorkSafe WA did not support them, with the latter noting ‘there are many risks in workplaces, and a prevention plan is not mandated for each risk type, as this could become unwieldy and lead to resources being spent on writing plans instead of implementing control measures’</w:t>
      </w:r>
      <w:r w:rsidR="00706821">
        <w:t>.</w:t>
      </w:r>
      <w:r w:rsidRPr="000F1DE6">
        <w:rPr>
          <w:vertAlign w:val="superscript"/>
        </w:rPr>
        <w:footnoteReference w:id="569"/>
      </w:r>
    </w:p>
    <w:p w14:paraId="6B3538C3" w14:textId="43450CEB" w:rsidR="00CF3600" w:rsidRPr="000F1DE6" w:rsidRDefault="00CF3600" w:rsidP="000D26F7">
      <w:pPr>
        <w:pStyle w:val="SWAHeading4"/>
      </w:pPr>
      <w:r w:rsidRPr="000F1DE6">
        <w:t>Discussion and recommendations</w:t>
      </w:r>
    </w:p>
    <w:p w14:paraId="29012038" w14:textId="77777777" w:rsidR="00F21CE3" w:rsidRDefault="00CF3600" w:rsidP="00CF3600">
      <w:pPr>
        <w:pStyle w:val="Paragraph"/>
        <w:rPr>
          <w:rFonts w:eastAsia="Aptos"/>
        </w:rPr>
      </w:pPr>
      <w:r w:rsidRPr="000F1DE6">
        <w:rPr>
          <w:rFonts w:eastAsia="Aptos"/>
        </w:rPr>
        <w:t>This Review agrees with the ACTU and other submissions about the seriousness of sexual harassment as a workplace issue but does not recommend Queensland’s approach.</w:t>
      </w:r>
    </w:p>
    <w:p w14:paraId="7D5540CE" w14:textId="5CC5BD6F" w:rsidR="00CF3600" w:rsidRPr="000F1DE6" w:rsidRDefault="00CF3600" w:rsidP="00CF3600">
      <w:pPr>
        <w:pStyle w:val="Paragraph"/>
        <w:rPr>
          <w:rFonts w:eastAsia="Aptos"/>
        </w:rPr>
      </w:pPr>
      <w:r w:rsidRPr="000F1DE6">
        <w:rPr>
          <w:rFonts w:eastAsia="Aptos"/>
        </w:rPr>
        <w:t xml:space="preserve">This Review has separately recommended developing model WHS Regulations on gendered harassment and violence (including sexual harassment), which it considers should focus on practical prevention controls rather than new documentation requirements (see </w:t>
      </w:r>
      <w:r w:rsidRPr="000E7CB9">
        <w:rPr>
          <w:rFonts w:eastAsia="Aptos"/>
          <w:b/>
        </w:rPr>
        <w:t>Chapter 7</w:t>
      </w:r>
      <w:r w:rsidRPr="000F1DE6">
        <w:rPr>
          <w:rFonts w:eastAsia="Aptos"/>
        </w:rPr>
        <w:t>).</w:t>
      </w:r>
    </w:p>
    <w:p w14:paraId="1F2D4E8E" w14:textId="77777777" w:rsidR="00F217CA" w:rsidRPr="000F1DE6" w:rsidRDefault="00F217CA" w:rsidP="00F217CA">
      <w:pPr>
        <w:pStyle w:val="SWAHeading3"/>
      </w:pPr>
      <w:r w:rsidRPr="000F1DE6">
        <w:t xml:space="preserve">Tobacco and </w:t>
      </w:r>
      <w:r w:rsidRPr="00F217CA">
        <w:t>vaping</w:t>
      </w:r>
    </w:p>
    <w:p w14:paraId="282B5E07" w14:textId="77777777" w:rsidR="00F217CA" w:rsidRPr="000D26F7" w:rsidRDefault="00F217CA" w:rsidP="00BF204D">
      <w:pPr>
        <w:pStyle w:val="Boxedshaded"/>
        <w:rPr>
          <w:b/>
          <w:bCs/>
        </w:rPr>
      </w:pPr>
      <w:r w:rsidRPr="000D26F7">
        <w:rPr>
          <w:b/>
          <w:bCs/>
        </w:rPr>
        <w:t>What we heard</w:t>
      </w:r>
    </w:p>
    <w:p w14:paraId="22C2EE1D" w14:textId="77777777" w:rsidR="00F217CA" w:rsidRPr="000F1DE6" w:rsidRDefault="00F217CA" w:rsidP="00BF204D">
      <w:pPr>
        <w:pStyle w:val="Boxedshaded"/>
      </w:pPr>
      <w:r w:rsidRPr="000F1DE6">
        <w:t xml:space="preserve">Cancer Council Australia and </w:t>
      </w:r>
      <w:r w:rsidRPr="00105531">
        <w:t>WorkSafe WA</w:t>
      </w:r>
      <w:r w:rsidRPr="000F1DE6">
        <w:t xml:space="preserve"> supported a WA variation to the model WHS Regulations that bans the use of tobacco smoking, vaping and e-cigarettes in workplaces,</w:t>
      </w:r>
      <w:r w:rsidRPr="000F1DE6">
        <w:rPr>
          <w:rStyle w:val="FootnoteReference"/>
          <w:rFonts w:eastAsia="Aptos" w:cs="Aptos"/>
        </w:rPr>
        <w:footnoteReference w:id="570"/>
      </w:r>
      <w:r w:rsidRPr="000F1DE6">
        <w:t xml:space="preserve"> including controls on exposure to second-hand smoke and vapour.</w:t>
      </w:r>
      <w:r w:rsidRPr="000F1DE6">
        <w:rPr>
          <w:rStyle w:val="FootnoteReference"/>
          <w:rFonts w:eastAsia="Aptos" w:cs="Aptos"/>
          <w:color w:val="000000" w:themeColor="text1"/>
        </w:rPr>
        <w:footnoteReference w:id="571"/>
      </w:r>
      <w:r w:rsidRPr="000F1DE6">
        <w:t xml:space="preserve"> This was due to WA’s previous smoking regulations existing in their (now repealed) </w:t>
      </w:r>
      <w:r w:rsidRPr="00BB4F4D">
        <w:rPr>
          <w:iCs/>
        </w:rPr>
        <w:t>Occupational Safety and Health Regulations 1996</w:t>
      </w:r>
      <w:r w:rsidRPr="000F1DE6">
        <w:t>, rather than other health legislation.</w:t>
      </w:r>
      <w:r w:rsidRPr="000F1DE6">
        <w:rPr>
          <w:rStyle w:val="FootnoteReference"/>
          <w:rFonts w:eastAsia="Aptos"/>
        </w:rPr>
        <w:footnoteReference w:id="572"/>
      </w:r>
    </w:p>
    <w:p w14:paraId="7E597010" w14:textId="77777777" w:rsidR="00F21CE3" w:rsidRDefault="00F217CA" w:rsidP="000D26F7">
      <w:pPr>
        <w:pStyle w:val="SWAHeading4"/>
      </w:pPr>
      <w:r w:rsidRPr="000F1DE6">
        <w:t>Discussion and recommendations</w:t>
      </w:r>
    </w:p>
    <w:p w14:paraId="3770DF79" w14:textId="2B3DD677" w:rsidR="000D26F7" w:rsidRDefault="00F217CA" w:rsidP="00A912D9">
      <w:pPr>
        <w:pStyle w:val="Paragraph"/>
        <w:rPr>
          <w:rFonts w:eastAsia="Aptos"/>
        </w:rPr>
      </w:pPr>
      <w:r w:rsidRPr="000F1DE6">
        <w:rPr>
          <w:rFonts w:eastAsia="Aptos"/>
        </w:rPr>
        <w:t>Smoking and vaping in enclosed workplaces are already covered to a similar standard across jurisdictions, often through public health and tobacco control legislation. This Review therefore does not recommend adopting WA’s variation.</w:t>
      </w:r>
    </w:p>
    <w:p w14:paraId="12334B2C" w14:textId="77777777" w:rsidR="000D26F7" w:rsidRDefault="000D26F7">
      <w:pPr>
        <w:spacing w:after="200" w:line="276" w:lineRule="auto"/>
        <w:contextualSpacing w:val="0"/>
        <w:rPr>
          <w:rFonts w:asciiTheme="minorHAnsi" w:eastAsia="Aptos" w:hAnsiTheme="minorHAnsi"/>
          <w:lang w:eastAsia="en-AU"/>
        </w:rPr>
      </w:pPr>
      <w:r>
        <w:rPr>
          <w:rFonts w:eastAsia="Aptos"/>
        </w:rPr>
        <w:br w:type="page"/>
      </w:r>
    </w:p>
    <w:p w14:paraId="305D6F03" w14:textId="2E0B74BC" w:rsidR="00840729" w:rsidRPr="000F1DE6" w:rsidRDefault="00840729" w:rsidP="00C6382D">
      <w:pPr>
        <w:pStyle w:val="SWAHeading3"/>
      </w:pPr>
      <w:bookmarkStart w:id="80" w:name="_Toc227588220"/>
      <w:bookmarkStart w:id="81" w:name="_Toc228256115"/>
      <w:r w:rsidRPr="000F1DE6">
        <w:lastRenderedPageBreak/>
        <w:t>Noise</w:t>
      </w:r>
      <w:bookmarkEnd w:id="80"/>
      <w:bookmarkEnd w:id="81"/>
      <w:r w:rsidRPr="000F1DE6">
        <w:t xml:space="preserve"> (r</w:t>
      </w:r>
      <w:r w:rsidR="00266F39">
        <w:t>eg</w:t>
      </w:r>
      <w:r w:rsidRPr="000F1DE6">
        <w:t xml:space="preserve"> 57(2), WA WHS Regulations)</w:t>
      </w:r>
    </w:p>
    <w:p w14:paraId="0B789392" w14:textId="77777777" w:rsidR="00840729" w:rsidRPr="000D26F7" w:rsidRDefault="00840729" w:rsidP="00BF204D">
      <w:pPr>
        <w:pStyle w:val="Boxedshaded"/>
        <w:rPr>
          <w:b/>
          <w:bCs/>
        </w:rPr>
      </w:pPr>
      <w:r w:rsidRPr="000D26F7">
        <w:rPr>
          <w:b/>
          <w:bCs/>
        </w:rPr>
        <w:t>What we heard</w:t>
      </w:r>
    </w:p>
    <w:p w14:paraId="050005C9" w14:textId="77777777" w:rsidR="00F21CE3" w:rsidRDefault="00840729" w:rsidP="00BF204D">
      <w:pPr>
        <w:pStyle w:val="Boxedshaded"/>
      </w:pPr>
      <w:r w:rsidRPr="000F1DE6">
        <w:t>WorkSafe WA proposed adopting</w:t>
      </w:r>
      <w:r w:rsidRPr="000F1DE6" w:rsidDel="005B67D5">
        <w:t xml:space="preserve"> </w:t>
      </w:r>
      <w:r w:rsidRPr="000F1DE6">
        <w:t>an amendment into the model WHS Regulations based on its variation that clarifies that hearing protection can be taken into account when measuring noise exposure standards.</w:t>
      </w:r>
      <w:r w:rsidRPr="000F1DE6">
        <w:rPr>
          <w:rStyle w:val="FootnoteReference"/>
          <w:rFonts w:eastAsia="Aptos" w:cs="Aptos"/>
          <w:color w:val="000000" w:themeColor="text1"/>
        </w:rPr>
        <w:footnoteReference w:id="573"/>
      </w:r>
    </w:p>
    <w:p w14:paraId="4ACC94C8" w14:textId="482D180A" w:rsidR="00840729" w:rsidRPr="000F1DE6" w:rsidRDefault="00840729" w:rsidP="000D26F7">
      <w:pPr>
        <w:pStyle w:val="SWAHeading4"/>
      </w:pPr>
      <w:r w:rsidRPr="000F1DE6">
        <w:t>Discussion and recommendations</w:t>
      </w:r>
    </w:p>
    <w:p w14:paraId="257499CB" w14:textId="77777777" w:rsidR="00840729" w:rsidRPr="000F1DE6" w:rsidRDefault="00840729" w:rsidP="00840729">
      <w:pPr>
        <w:pStyle w:val="Paragraph"/>
        <w:rPr>
          <w:rFonts w:eastAsia="Aptos"/>
        </w:rPr>
      </w:pPr>
      <w:r w:rsidRPr="000F1DE6">
        <w:rPr>
          <w:rFonts w:eastAsia="Aptos"/>
        </w:rPr>
        <w:t xml:space="preserve">This Review considers the model WHS Regulations already </w:t>
      </w:r>
      <w:r w:rsidRPr="00F83DFE">
        <w:rPr>
          <w:rFonts w:eastAsia="Aptos"/>
        </w:rPr>
        <w:t>allow for PPE to be taken</w:t>
      </w:r>
      <w:r w:rsidRPr="000F1DE6">
        <w:rPr>
          <w:rFonts w:eastAsia="Aptos"/>
        </w:rPr>
        <w:t xml:space="preserve"> into account when measuring noise exposure and does not recommend adopting the WA variation. However, there is scope in the proposed modernisation review of the model WHS Regulations to consider if all workplace exposure limits are sufficiently clear about the use of PPE.</w:t>
      </w:r>
    </w:p>
    <w:p w14:paraId="2EC011D1" w14:textId="77777777" w:rsidR="006B1872" w:rsidRPr="009810C6" w:rsidRDefault="006B1872" w:rsidP="009810C6">
      <w:pPr>
        <w:pStyle w:val="SWAHeading2"/>
        <w:spacing w:line="240" w:lineRule="auto"/>
        <w:rPr>
          <w:rFonts w:asciiTheme="minorHAnsi" w:hAnsiTheme="minorHAnsi"/>
        </w:rPr>
      </w:pPr>
      <w:bookmarkStart w:id="82" w:name="_Toc234853693"/>
      <w:bookmarkStart w:id="83" w:name="_Toc236326822"/>
      <w:bookmarkStart w:id="84" w:name="_Toc239845164"/>
      <w:r w:rsidRPr="009810C6">
        <w:rPr>
          <w:rFonts w:asciiTheme="minorHAnsi" w:hAnsiTheme="minorHAnsi"/>
        </w:rPr>
        <w:t>Issues recommended for inclusion in Codes of Practice or guidance</w:t>
      </w:r>
      <w:bookmarkEnd w:id="82"/>
      <w:bookmarkEnd w:id="83"/>
      <w:bookmarkEnd w:id="84"/>
    </w:p>
    <w:p w14:paraId="19785AB7" w14:textId="77777777" w:rsidR="006B1872" w:rsidRPr="000F1DE6" w:rsidRDefault="006B1872" w:rsidP="006B1872">
      <w:pPr>
        <w:pStyle w:val="SWAHeading3"/>
      </w:pPr>
      <w:bookmarkStart w:id="85" w:name="_Toc227588219"/>
      <w:bookmarkStart w:id="86" w:name="_Toc228256114"/>
      <w:r w:rsidRPr="000F1DE6">
        <w:t>Diving</w:t>
      </w:r>
      <w:bookmarkEnd w:id="85"/>
      <w:bookmarkEnd w:id="86"/>
      <w:r w:rsidRPr="000F1DE6">
        <w:t xml:space="preserve"> (Part 4.8, r</w:t>
      </w:r>
      <w:r>
        <w:t>egs</w:t>
      </w:r>
      <w:r w:rsidRPr="000F1DE6">
        <w:t xml:space="preserve"> 167–184, model </w:t>
      </w:r>
      <w:r w:rsidRPr="006B1872">
        <w:t>WHS</w:t>
      </w:r>
      <w:r w:rsidRPr="000F1DE6">
        <w:t xml:space="preserve"> Regulations)</w:t>
      </w:r>
    </w:p>
    <w:p w14:paraId="393CE583" w14:textId="77777777" w:rsidR="006B1872" w:rsidRPr="000F1DE6" w:rsidRDefault="006B1872" w:rsidP="0016789A">
      <w:pPr>
        <w:pStyle w:val="Paragraph"/>
        <w:spacing w:after="240"/>
        <w:rPr>
          <w:rFonts w:eastAsia="Aptos"/>
        </w:rPr>
      </w:pPr>
      <w:r w:rsidRPr="000F1DE6">
        <w:rPr>
          <w:rFonts w:eastAsia="Aptos"/>
        </w:rPr>
        <w:t>The model WHS Regulations establish detailed requirements across different types of occupational diving.</w:t>
      </w:r>
      <w:r w:rsidRPr="000F1DE6">
        <w:rPr>
          <w:rStyle w:val="FootnoteReference"/>
          <w:rFonts w:eastAsia="Aptos"/>
        </w:rPr>
        <w:footnoteReference w:id="574"/>
      </w:r>
      <w:r w:rsidRPr="000F1DE6">
        <w:rPr>
          <w:rFonts w:eastAsia="Aptos"/>
        </w:rPr>
        <w:t xml:space="preserve"> They attracted significant commentary, some of which indicated confusion or misunderstanding about what the </w:t>
      </w:r>
      <w:r>
        <w:rPr>
          <w:rFonts w:eastAsia="Aptos"/>
        </w:rPr>
        <w:t>R</w:t>
      </w:r>
      <w:r w:rsidRPr="000F1DE6">
        <w:rPr>
          <w:rFonts w:eastAsia="Aptos"/>
        </w:rPr>
        <w:t>egulations cover and how they apply.</w:t>
      </w:r>
    </w:p>
    <w:p w14:paraId="703DB3EB" w14:textId="77777777" w:rsidR="006B1872" w:rsidRPr="000D26F7" w:rsidRDefault="006B1872" w:rsidP="00BF204D">
      <w:pPr>
        <w:pStyle w:val="Boxedshaded"/>
        <w:rPr>
          <w:b/>
          <w:bCs/>
        </w:rPr>
      </w:pPr>
      <w:r w:rsidRPr="000D26F7">
        <w:rPr>
          <w:b/>
          <w:bCs/>
        </w:rPr>
        <w:t>What we heard</w:t>
      </w:r>
    </w:p>
    <w:p w14:paraId="032712F0" w14:textId="77777777" w:rsidR="00F21CE3" w:rsidRDefault="006B1872" w:rsidP="00BF204D">
      <w:pPr>
        <w:pStyle w:val="Boxedshaded"/>
      </w:pPr>
      <w:r w:rsidRPr="000F1DE6">
        <w:t xml:space="preserve">The University of Tasmania and Mr Paul Stevens reported confusion about the operation of ‘incidental </w:t>
      </w:r>
      <w:r w:rsidRPr="000F1DE6">
        <w:rPr>
          <w:color w:val="000000" w:themeColor="text1"/>
        </w:rPr>
        <w:t>diving</w:t>
      </w:r>
      <w:r w:rsidRPr="000F1DE6">
        <w:t xml:space="preserve"> work’ and ‘limited scientific diving work’</w:t>
      </w:r>
      <w:r>
        <w:t>.</w:t>
      </w:r>
      <w:r w:rsidRPr="000F1DE6">
        <w:rPr>
          <w:rStyle w:val="FootnoteReference"/>
          <w:rFonts w:eastAsia="Aptos" w:cs="Aptos"/>
          <w:color w:val="000000" w:themeColor="text1"/>
        </w:rPr>
        <w:footnoteReference w:id="575"/>
      </w:r>
      <w:r w:rsidRPr="000F1DE6">
        <w:t xml:space="preserve"> Dr John McCarthy noted </w:t>
      </w:r>
      <w:r>
        <w:t xml:space="preserve">that </w:t>
      </w:r>
      <w:r w:rsidRPr="000F1DE6">
        <w:t>underwater scientific excavations would be classified as ‘high risk construction work’ and sought an exemption from this requirement.</w:t>
      </w:r>
      <w:r w:rsidRPr="000F1DE6">
        <w:rPr>
          <w:rStyle w:val="FootnoteReference"/>
          <w:rFonts w:eastAsia="Aptos" w:cs="Aptos"/>
          <w:color w:val="000000"/>
        </w:rPr>
        <w:footnoteReference w:id="576"/>
      </w:r>
      <w:r w:rsidRPr="000F1DE6">
        <w:t xml:space="preserve"> Other submissions indicated support for the ‘general’ and ‘high risk diving’ frameworks,</w:t>
      </w:r>
      <w:r w:rsidRPr="000F1DE6">
        <w:rPr>
          <w:rStyle w:val="FootnoteReference"/>
          <w:rFonts w:eastAsia="Aptos" w:cs="Aptos"/>
          <w:color w:val="000000"/>
        </w:rPr>
        <w:footnoteReference w:id="577"/>
      </w:r>
      <w:r w:rsidRPr="000F1DE6">
        <w:t xml:space="preserve"> including the requirement for only hyperbaric-trained medical practitioners to issue certificates of medical fitness.</w:t>
      </w:r>
      <w:r w:rsidRPr="000F1DE6">
        <w:rPr>
          <w:rStyle w:val="FootnoteReference"/>
          <w:rFonts w:eastAsia="Aptos" w:cs="Aptos"/>
          <w:color w:val="000000"/>
        </w:rPr>
        <w:footnoteReference w:id="578"/>
      </w:r>
    </w:p>
    <w:p w14:paraId="5E218275" w14:textId="6CEAB4CD" w:rsidR="006B1872" w:rsidRPr="000F1DE6" w:rsidRDefault="006B1872" w:rsidP="000D26F7">
      <w:pPr>
        <w:pStyle w:val="SWAHeading4"/>
      </w:pPr>
      <w:r w:rsidRPr="000F1DE6">
        <w:t>Discussion and recommendations</w:t>
      </w:r>
    </w:p>
    <w:p w14:paraId="7E3474FA" w14:textId="440F9E56" w:rsidR="000D26F7" w:rsidRDefault="006B1872" w:rsidP="00F217CA">
      <w:pPr>
        <w:pStyle w:val="Paragraph"/>
        <w:rPr>
          <w:rFonts w:eastAsia="Aptos"/>
        </w:rPr>
      </w:pPr>
      <w:r w:rsidRPr="000F1DE6">
        <w:rPr>
          <w:rFonts w:eastAsia="Aptos"/>
        </w:rPr>
        <w:t xml:space="preserve">The level of prescription in the model diving regulations is high for a small (but </w:t>
      </w:r>
      <w:r w:rsidRPr="00F83DFE">
        <w:rPr>
          <w:rFonts w:eastAsia="Aptos"/>
        </w:rPr>
        <w:t>still high risk) industry</w:t>
      </w:r>
      <w:r w:rsidRPr="000F1DE6">
        <w:rPr>
          <w:rFonts w:eastAsia="Aptos"/>
        </w:rPr>
        <w:t xml:space="preserve">. This Review considers the requirements set out in the </w:t>
      </w:r>
      <w:r>
        <w:rPr>
          <w:rFonts w:eastAsia="Aptos"/>
        </w:rPr>
        <w:t>R</w:t>
      </w:r>
      <w:r w:rsidRPr="000F1DE6">
        <w:rPr>
          <w:rFonts w:eastAsia="Aptos"/>
        </w:rPr>
        <w:t xml:space="preserve">egulations could be better addressed through an industry </w:t>
      </w:r>
      <w:r>
        <w:rPr>
          <w:rFonts w:eastAsia="Aptos"/>
        </w:rPr>
        <w:t>C</w:t>
      </w:r>
      <w:r w:rsidRPr="000F1DE6">
        <w:rPr>
          <w:rFonts w:eastAsia="Aptos"/>
        </w:rPr>
        <w:t xml:space="preserve">ode of </w:t>
      </w:r>
      <w:r>
        <w:rPr>
          <w:rFonts w:eastAsia="Aptos"/>
        </w:rPr>
        <w:t>P</w:t>
      </w:r>
      <w:r w:rsidRPr="000F1DE6">
        <w:rPr>
          <w:rFonts w:eastAsia="Aptos"/>
        </w:rPr>
        <w:t xml:space="preserve">ractice, particularly if the recommendation about adopting the Victorian approach to Codes is supported (see </w:t>
      </w:r>
      <w:r w:rsidRPr="000E7CB9">
        <w:rPr>
          <w:rFonts w:eastAsia="Aptos"/>
          <w:b/>
        </w:rPr>
        <w:t>Chapter 5</w:t>
      </w:r>
      <w:r w:rsidRPr="000F1DE6">
        <w:rPr>
          <w:rFonts w:eastAsia="Aptos"/>
        </w:rPr>
        <w:t>). This would maintain the same level of safety standards – which</w:t>
      </w:r>
      <w:r>
        <w:rPr>
          <w:rFonts w:eastAsia="Aptos"/>
        </w:rPr>
        <w:t>,</w:t>
      </w:r>
      <w:r w:rsidRPr="000F1DE6">
        <w:rPr>
          <w:rFonts w:eastAsia="Aptos"/>
        </w:rPr>
        <w:t xml:space="preserve"> due to the high</w:t>
      </w:r>
      <w:r>
        <w:rPr>
          <w:rFonts w:eastAsia="Aptos"/>
        </w:rPr>
        <w:t xml:space="preserve"> </w:t>
      </w:r>
      <w:r w:rsidRPr="000F1DE6">
        <w:rPr>
          <w:rFonts w:eastAsia="Aptos"/>
        </w:rPr>
        <w:t>risk nature of diving work</w:t>
      </w:r>
      <w:r>
        <w:rPr>
          <w:rFonts w:eastAsia="Aptos"/>
        </w:rPr>
        <w:t>,</w:t>
      </w:r>
      <w:r w:rsidRPr="000F1DE6">
        <w:rPr>
          <w:rFonts w:eastAsia="Aptos"/>
        </w:rPr>
        <w:t xml:space="preserve"> requires some prescription – while providing for consultation and clarification in those areas which are causing confusion</w:t>
      </w:r>
      <w:r>
        <w:rPr>
          <w:rFonts w:eastAsia="Aptos"/>
        </w:rPr>
        <w:t>;</w:t>
      </w:r>
      <w:r w:rsidRPr="000F1DE6">
        <w:rPr>
          <w:rFonts w:eastAsia="Aptos"/>
        </w:rPr>
        <w:t xml:space="preserve"> and revised requirements where needed.</w:t>
      </w:r>
    </w:p>
    <w:p w14:paraId="263A173F" w14:textId="77777777" w:rsidR="000D26F7" w:rsidRDefault="000D26F7">
      <w:pPr>
        <w:spacing w:after="200" w:line="276" w:lineRule="auto"/>
        <w:contextualSpacing w:val="0"/>
        <w:rPr>
          <w:rFonts w:asciiTheme="minorHAnsi" w:eastAsia="Aptos" w:hAnsiTheme="minorHAnsi"/>
          <w:lang w:eastAsia="en-AU"/>
        </w:rPr>
      </w:pPr>
      <w:r>
        <w:rPr>
          <w:rFonts w:eastAsia="Aptos"/>
        </w:rPr>
        <w:br w:type="page"/>
      </w:r>
    </w:p>
    <w:p w14:paraId="15574CCB" w14:textId="77777777" w:rsidR="00AF6A60" w:rsidRPr="000F1DE6" w:rsidRDefault="00AF6A60" w:rsidP="00AF6A60">
      <w:pPr>
        <w:pStyle w:val="SWAHeading3"/>
      </w:pPr>
      <w:r w:rsidRPr="000F1DE6">
        <w:lastRenderedPageBreak/>
        <w:t xml:space="preserve">Food delivery platforms (Part 4.10, NSW WHS </w:t>
      </w:r>
      <w:r w:rsidRPr="00AF6A60">
        <w:t>Regulations</w:t>
      </w:r>
      <w:r w:rsidRPr="000F1DE6">
        <w:t>)</w:t>
      </w:r>
    </w:p>
    <w:p w14:paraId="7609E3CA" w14:textId="77777777" w:rsidR="00F21CE3" w:rsidRDefault="00AF6A60" w:rsidP="0016789A">
      <w:pPr>
        <w:pStyle w:val="Paragraph"/>
        <w:spacing w:after="240"/>
        <w:rPr>
          <w:rFonts w:eastAsia="Aptos"/>
        </w:rPr>
      </w:pPr>
      <w:r w:rsidRPr="000F1DE6">
        <w:rPr>
          <w:rFonts w:eastAsia="Aptos"/>
        </w:rPr>
        <w:t xml:space="preserve">In 2022, NSW introduced specific WHS regulations covering food delivery platforms and riders, including requiring platforms to provide high-visibility PPE, safe food transport equipment and induction </w:t>
      </w:r>
      <w:r w:rsidRPr="00AF6A60">
        <w:t>training</w:t>
      </w:r>
      <w:r w:rsidRPr="000F1DE6">
        <w:rPr>
          <w:rFonts w:eastAsia="Aptos"/>
        </w:rPr>
        <w:t xml:space="preserve"> to riders; and to keep training records. The NSW Regulations also require riders to wear PPE and carry records for inspection.</w:t>
      </w:r>
      <w:r w:rsidRPr="000F1DE6">
        <w:rPr>
          <w:rFonts w:eastAsia="Aptos"/>
          <w:vertAlign w:val="superscript"/>
        </w:rPr>
        <w:footnoteReference w:id="579"/>
      </w:r>
    </w:p>
    <w:p w14:paraId="579AB93E" w14:textId="0D0E3B69" w:rsidR="005A5B8A" w:rsidRPr="000D26F7" w:rsidRDefault="005A5B8A" w:rsidP="00BF204D">
      <w:pPr>
        <w:pStyle w:val="Boxedshaded"/>
        <w:rPr>
          <w:b/>
          <w:bCs/>
        </w:rPr>
      </w:pPr>
      <w:r w:rsidRPr="000D26F7">
        <w:rPr>
          <w:b/>
          <w:bCs/>
        </w:rPr>
        <w:t>What we heard</w:t>
      </w:r>
    </w:p>
    <w:p w14:paraId="3CFD619B" w14:textId="77777777" w:rsidR="00F21CE3" w:rsidRDefault="005A5B8A" w:rsidP="00BF204D">
      <w:pPr>
        <w:pStyle w:val="Boxedshaded"/>
      </w:pPr>
      <w:r w:rsidRPr="000F1DE6">
        <w:t>The ACTU supported national adoption of these regulations,</w:t>
      </w:r>
      <w:r w:rsidRPr="000F1DE6">
        <w:rPr>
          <w:vertAlign w:val="superscript"/>
        </w:rPr>
        <w:footnoteReference w:id="580"/>
      </w:r>
      <w:r w:rsidRPr="000F1DE6">
        <w:t xml:space="preserve"> while Australian Industry Group argued additional prescription is unnecessary</w:t>
      </w:r>
      <w:r>
        <w:t>,</w:t>
      </w:r>
      <w:r w:rsidRPr="000F1DE6">
        <w:t xml:space="preserve"> as the model WHS Act already establishes relevant duties.</w:t>
      </w:r>
      <w:r w:rsidRPr="000F1DE6">
        <w:rPr>
          <w:vertAlign w:val="superscript"/>
        </w:rPr>
        <w:footnoteReference w:id="581"/>
      </w:r>
    </w:p>
    <w:p w14:paraId="44F5BD50" w14:textId="7474B980" w:rsidR="005A5B8A" w:rsidRPr="000F1DE6" w:rsidRDefault="005A5B8A" w:rsidP="000D26F7">
      <w:pPr>
        <w:pStyle w:val="SWAHeading4"/>
      </w:pPr>
      <w:r w:rsidRPr="000F1DE6">
        <w:t>Discussion and recommendations</w:t>
      </w:r>
    </w:p>
    <w:p w14:paraId="226C73B1" w14:textId="77777777" w:rsidR="005A5B8A" w:rsidRDefault="005A5B8A" w:rsidP="005A5B8A">
      <w:pPr>
        <w:pStyle w:val="Paragraph"/>
        <w:rPr>
          <w:rFonts w:eastAsia="Aptos"/>
        </w:rPr>
      </w:pPr>
      <w:r w:rsidRPr="000F1DE6">
        <w:rPr>
          <w:rFonts w:eastAsia="Aptos"/>
        </w:rPr>
        <w:t>Noting the general duties in the model WHS Act apply to food delivery PCBUs, this Review proposes</w:t>
      </w:r>
      <w:r w:rsidRPr="000F1DE6" w:rsidDel="00793331">
        <w:rPr>
          <w:rFonts w:eastAsia="Aptos"/>
        </w:rPr>
        <w:t xml:space="preserve"> </w:t>
      </w:r>
      <w:r w:rsidRPr="000F1DE6">
        <w:rPr>
          <w:rFonts w:eastAsia="Aptos"/>
        </w:rPr>
        <w:t xml:space="preserve">that Safe Work Australia develop an industry </w:t>
      </w:r>
      <w:r>
        <w:rPr>
          <w:rFonts w:eastAsia="Aptos"/>
        </w:rPr>
        <w:t>C</w:t>
      </w:r>
      <w:r w:rsidRPr="000F1DE6">
        <w:rPr>
          <w:rFonts w:eastAsia="Aptos"/>
        </w:rPr>
        <w:t xml:space="preserve">ode of </w:t>
      </w:r>
      <w:r>
        <w:rPr>
          <w:rFonts w:eastAsia="Aptos"/>
        </w:rPr>
        <w:t>P</w:t>
      </w:r>
      <w:r w:rsidRPr="000F1DE6">
        <w:rPr>
          <w:rFonts w:eastAsia="Aptos"/>
        </w:rPr>
        <w:t xml:space="preserve">ractice and accompanying small business toolkit (aimed specifically at sole trader delivery riders) for food delivery, covering the matters included in the NSW variation (see </w:t>
      </w:r>
      <w:r w:rsidRPr="000F1DE6">
        <w:rPr>
          <w:rFonts w:eastAsia="Aptos"/>
          <w:b/>
          <w:bCs/>
        </w:rPr>
        <w:t>Chapter 5</w:t>
      </w:r>
      <w:r w:rsidRPr="000F1DE6">
        <w:rPr>
          <w:rFonts w:eastAsia="Aptos"/>
        </w:rPr>
        <w:t>).</w:t>
      </w:r>
    </w:p>
    <w:p w14:paraId="11307189" w14:textId="77777777" w:rsidR="00EF638F" w:rsidRPr="001255E5" w:rsidRDefault="00EF638F" w:rsidP="001255E5">
      <w:pPr>
        <w:pStyle w:val="SWAHeading2"/>
        <w:spacing w:line="240" w:lineRule="auto"/>
        <w:rPr>
          <w:rFonts w:asciiTheme="minorHAnsi" w:hAnsiTheme="minorHAnsi"/>
        </w:rPr>
      </w:pPr>
      <w:bookmarkStart w:id="87" w:name="_Toc234853694"/>
      <w:bookmarkStart w:id="88" w:name="_Toc236326823"/>
      <w:bookmarkStart w:id="89" w:name="_Toc239845165"/>
      <w:r w:rsidRPr="001255E5">
        <w:rPr>
          <w:rFonts w:asciiTheme="minorHAnsi" w:hAnsiTheme="minorHAnsi"/>
        </w:rPr>
        <w:t>Issues for further consideration</w:t>
      </w:r>
      <w:bookmarkEnd w:id="87"/>
      <w:bookmarkEnd w:id="88"/>
      <w:bookmarkEnd w:id="89"/>
    </w:p>
    <w:p w14:paraId="0A805B81" w14:textId="6FB8A0F3" w:rsidR="00EF638F" w:rsidRPr="00191104" w:rsidRDefault="00EF638F" w:rsidP="00EF638F">
      <w:pPr>
        <w:pStyle w:val="SWAHeading3"/>
      </w:pPr>
      <w:r w:rsidRPr="00191104">
        <w:t>Mutual recognition of WHS EPH training (r</w:t>
      </w:r>
      <w:r w:rsidR="00266F39">
        <w:t>eg</w:t>
      </w:r>
      <w:r w:rsidRPr="00191104">
        <w:t xml:space="preserve"> 25, model WHS Regulations)</w:t>
      </w:r>
    </w:p>
    <w:p w14:paraId="79432952" w14:textId="77777777" w:rsidR="00EF638F" w:rsidRPr="000D26F7" w:rsidRDefault="00EF638F" w:rsidP="00BF204D">
      <w:pPr>
        <w:pStyle w:val="Boxedshaded"/>
        <w:rPr>
          <w:b/>
          <w:bCs/>
        </w:rPr>
      </w:pPr>
      <w:r w:rsidRPr="000D26F7">
        <w:rPr>
          <w:b/>
          <w:bCs/>
        </w:rPr>
        <w:t>What we heard</w:t>
      </w:r>
    </w:p>
    <w:p w14:paraId="2095173E" w14:textId="77777777" w:rsidR="00EF638F" w:rsidRPr="000F1DE6" w:rsidRDefault="00EF638F" w:rsidP="00BF204D">
      <w:pPr>
        <w:pStyle w:val="Boxedshaded"/>
      </w:pPr>
      <w:r w:rsidRPr="000F1DE6">
        <w:t xml:space="preserve">Unions raised </w:t>
      </w:r>
      <w:r w:rsidRPr="00105531">
        <w:t>that EPHs operating</w:t>
      </w:r>
      <w:r w:rsidRPr="000F1DE6">
        <w:t xml:space="preserve"> in multiple jurisdictions should not be required to hold multiple permits to perform their functions and argued this is an unnecessary administrative barrier.</w:t>
      </w:r>
      <w:r w:rsidRPr="000F1DE6">
        <w:rPr>
          <w:rStyle w:val="FootnoteReference"/>
          <w:rFonts w:eastAsia="MS Gothic"/>
        </w:rPr>
        <w:footnoteReference w:id="582"/>
      </w:r>
      <w:r w:rsidRPr="000F1DE6">
        <w:t xml:space="preserve"> The Electrical Trades Union highlighted that EPH training is substantially similar across the majority of jurisdictions.</w:t>
      </w:r>
      <w:r w:rsidRPr="000F1DE6">
        <w:rPr>
          <w:rStyle w:val="FootnoteReference"/>
          <w:rFonts w:eastAsia="MS Gothic"/>
        </w:rPr>
        <w:footnoteReference w:id="583"/>
      </w:r>
    </w:p>
    <w:p w14:paraId="12A96118" w14:textId="77777777" w:rsidR="00EF638F" w:rsidRPr="000F1DE6" w:rsidRDefault="00EF638F" w:rsidP="000D26F7">
      <w:pPr>
        <w:pStyle w:val="SWAHeading4"/>
      </w:pPr>
      <w:r w:rsidRPr="000F1DE6">
        <w:t>Discussion and recommendations</w:t>
      </w:r>
    </w:p>
    <w:p w14:paraId="06FE98B5" w14:textId="59F5AE12" w:rsidR="000D26F7" w:rsidRDefault="00EF638F" w:rsidP="00EF638F">
      <w:pPr>
        <w:pStyle w:val="Paragraph"/>
        <w:rPr>
          <w:rFonts w:eastAsia="MS Gothic"/>
        </w:rPr>
      </w:pPr>
      <w:r w:rsidRPr="000F1DE6">
        <w:rPr>
          <w:rFonts w:eastAsia="MS Gothic"/>
        </w:rPr>
        <w:t xml:space="preserve">In December 2023, Safe Work Australia Members considered and agreed an approach to mutual recognition of WHS EPH training to reduce unnecessary duplication, noting the </w:t>
      </w:r>
      <w:r w:rsidRPr="000F1DE6">
        <w:rPr>
          <w:rFonts w:eastAsia="Arial"/>
        </w:rPr>
        <w:t>frequency</w:t>
      </w:r>
      <w:r w:rsidRPr="000F1DE6">
        <w:rPr>
          <w:rFonts w:eastAsia="MS Gothic"/>
        </w:rPr>
        <w:t xml:space="preserve"> of </w:t>
      </w:r>
      <w:r w:rsidRPr="00EF638F">
        <w:t>union</w:t>
      </w:r>
      <w:r w:rsidRPr="000F1DE6">
        <w:rPr>
          <w:rFonts w:eastAsia="MS Gothic"/>
        </w:rPr>
        <w:t xml:space="preserve"> representatives working across jurisdictions.</w:t>
      </w:r>
      <w:r w:rsidRPr="000F1DE6">
        <w:rPr>
          <w:rStyle w:val="FootnoteReference"/>
          <w:rFonts w:eastAsia="MS Gothic" w:cs="Arial"/>
          <w:lang w:eastAsia="ja-JP"/>
        </w:rPr>
        <w:footnoteReference w:id="584"/>
      </w:r>
      <w:r w:rsidRPr="000F1DE6">
        <w:rPr>
          <w:rFonts w:eastAsia="MS Gothic"/>
        </w:rPr>
        <w:t xml:space="preserve"> The ACTU submission also noted this issue and supported mutual recognition of WHS EPH training.</w:t>
      </w:r>
      <w:r w:rsidRPr="000F1DE6">
        <w:rPr>
          <w:rStyle w:val="FootnoteReference"/>
          <w:rFonts w:eastAsia="MS Gothic"/>
        </w:rPr>
        <w:footnoteReference w:id="585"/>
      </w:r>
      <w:r w:rsidRPr="000F1DE6">
        <w:rPr>
          <w:rFonts w:eastAsia="MS Gothic"/>
        </w:rPr>
        <w:t xml:space="preserve"> This Review recommends amending the model WHS Regulations to enable mutual recognition of prescribed training completed in one model jurisdiction for the purpose of meeting WHS entry permit eligibility requirements in other jurisdictions (see </w:t>
      </w:r>
      <w:r w:rsidRPr="000F1DE6">
        <w:rPr>
          <w:rFonts w:eastAsia="MS Gothic"/>
          <w:b/>
        </w:rPr>
        <w:t xml:space="preserve">Appendix </w:t>
      </w:r>
      <w:r w:rsidRPr="000F1DE6">
        <w:rPr>
          <w:rFonts w:eastAsia="MS Gothic"/>
          <w:b/>
          <w:szCs w:val="22"/>
        </w:rPr>
        <w:t>G</w:t>
      </w:r>
      <w:r w:rsidRPr="00C9427D">
        <w:rPr>
          <w:rFonts w:eastAsia="MS Gothic"/>
          <w:bCs/>
          <w:szCs w:val="22"/>
        </w:rPr>
        <w:t>,</w:t>
      </w:r>
      <w:r w:rsidRPr="000F1DE6">
        <w:rPr>
          <w:rFonts w:eastAsia="MS Gothic"/>
          <w:b/>
          <w:szCs w:val="22"/>
        </w:rPr>
        <w:t xml:space="preserve"> 1</w:t>
      </w:r>
      <w:r w:rsidRPr="000F1DE6">
        <w:rPr>
          <w:rFonts w:eastAsia="MS Gothic"/>
          <w:szCs w:val="22"/>
        </w:rPr>
        <w:t>)</w:t>
      </w:r>
      <w:r w:rsidRPr="000F1DE6">
        <w:rPr>
          <w:rFonts w:eastAsia="MS Gothic"/>
        </w:rPr>
        <w:t>.</w:t>
      </w:r>
    </w:p>
    <w:p w14:paraId="4123DD47" w14:textId="77777777" w:rsidR="000D26F7" w:rsidRDefault="000D26F7">
      <w:pPr>
        <w:spacing w:after="200" w:line="276" w:lineRule="auto"/>
        <w:contextualSpacing w:val="0"/>
        <w:rPr>
          <w:rFonts w:asciiTheme="minorHAnsi" w:eastAsia="MS Gothic" w:hAnsiTheme="minorHAnsi"/>
          <w:lang w:eastAsia="en-AU"/>
        </w:rPr>
      </w:pPr>
      <w:r>
        <w:rPr>
          <w:rFonts w:eastAsia="MS Gothic"/>
        </w:rPr>
        <w:br w:type="page"/>
      </w:r>
    </w:p>
    <w:p w14:paraId="3C536A16" w14:textId="77777777" w:rsidR="00743D1F" w:rsidRPr="000F1DE6" w:rsidRDefault="00743D1F" w:rsidP="00743D1F">
      <w:pPr>
        <w:pStyle w:val="SWAHeading3"/>
        <w:spacing w:before="200"/>
      </w:pPr>
      <w:r w:rsidRPr="00F83DFE">
        <w:lastRenderedPageBreak/>
        <w:t>High risk work</w:t>
      </w:r>
      <w:r w:rsidRPr="000F1DE6">
        <w:t xml:space="preserve"> licen</w:t>
      </w:r>
      <w:r>
        <w:t>c</w:t>
      </w:r>
      <w:r w:rsidRPr="000F1DE6">
        <w:t>es (Part 4.5, Division 1, model WHS Regulations)</w:t>
      </w:r>
    </w:p>
    <w:p w14:paraId="671991A6" w14:textId="77777777" w:rsidR="00743D1F" w:rsidRPr="000D26F7" w:rsidRDefault="00743D1F" w:rsidP="00BF204D">
      <w:pPr>
        <w:pStyle w:val="Boxedshaded"/>
        <w:rPr>
          <w:b/>
          <w:bCs/>
        </w:rPr>
      </w:pPr>
      <w:r w:rsidRPr="000D26F7">
        <w:rPr>
          <w:b/>
          <w:bCs/>
        </w:rPr>
        <w:t>What we heard</w:t>
      </w:r>
    </w:p>
    <w:p w14:paraId="22FF0423" w14:textId="77777777" w:rsidR="00F21CE3" w:rsidRDefault="00743D1F" w:rsidP="00BF204D">
      <w:pPr>
        <w:pStyle w:val="Boxedshaded"/>
      </w:pPr>
      <w:r w:rsidRPr="000F1DE6">
        <w:t>An anonymous construction company</w:t>
      </w:r>
      <w:r w:rsidRPr="000F1DE6">
        <w:rPr>
          <w:rStyle w:val="FootnoteReference"/>
          <w:rFonts w:eastAsia="Aptos"/>
        </w:rPr>
        <w:footnoteReference w:id="586"/>
      </w:r>
      <w:r w:rsidRPr="000F1DE6">
        <w:t xml:space="preserve"> noted inconsistences in high risk work licensing for cranes, particularly Victoria’s telehandler licence</w:t>
      </w:r>
      <w:r w:rsidRPr="000F1DE6">
        <w:rPr>
          <w:rStyle w:val="FootnoteReference"/>
          <w:rFonts w:eastAsia="Aptos" w:cs="Aptos"/>
          <w:color w:val="000000" w:themeColor="text1"/>
        </w:rPr>
        <w:footnoteReference w:id="587"/>
      </w:r>
      <w:r w:rsidRPr="000F1DE6">
        <w:t xml:space="preserve"> and WA’s licence for using earthmoving machinery as a crane.</w:t>
      </w:r>
      <w:r w:rsidRPr="000F1DE6">
        <w:rPr>
          <w:rStyle w:val="FootnoteReference"/>
          <w:rFonts w:eastAsia="Aptos" w:cs="Aptos"/>
          <w:color w:val="000000" w:themeColor="text1"/>
        </w:rPr>
        <w:footnoteReference w:id="588"/>
      </w:r>
      <w:r w:rsidRPr="000F1DE6">
        <w:t xml:space="preserve"> Neither of these licence classes are currently included in the model WHS Regulations.</w:t>
      </w:r>
    </w:p>
    <w:p w14:paraId="1962247A" w14:textId="5F9645C2" w:rsidR="00743D1F" w:rsidRPr="000F1DE6" w:rsidRDefault="00743D1F" w:rsidP="00BF204D">
      <w:pPr>
        <w:pStyle w:val="Boxedshaded"/>
      </w:pPr>
      <w:r w:rsidRPr="000F1DE6">
        <w:t xml:space="preserve">In </w:t>
      </w:r>
      <w:r>
        <w:t xml:space="preserve">its </w:t>
      </w:r>
      <w:r w:rsidRPr="000F1DE6">
        <w:t xml:space="preserve">submission, SafeWork NSW raised the issue of a regulator’s inability to revoke the licences </w:t>
      </w:r>
      <w:r w:rsidRPr="00F83DFE">
        <w:t>of non</w:t>
      </w:r>
      <w:r w:rsidRPr="00F83DFE">
        <w:rPr>
          <w:szCs w:val="22"/>
        </w:rPr>
        <w:t>-</w:t>
      </w:r>
      <w:r w:rsidRPr="00F83DFE">
        <w:t>compliant</w:t>
      </w:r>
      <w:r w:rsidRPr="000F1DE6">
        <w:t xml:space="preserve"> workers in their state if their licences were issued elsewhere.</w:t>
      </w:r>
      <w:r w:rsidRPr="000F1DE6">
        <w:rPr>
          <w:rStyle w:val="FootnoteReference"/>
          <w:rFonts w:eastAsia="Aptos" w:cs="Aptos"/>
          <w:color w:val="000000" w:themeColor="text1"/>
        </w:rPr>
        <w:footnoteReference w:id="589"/>
      </w:r>
    </w:p>
    <w:p w14:paraId="651E2EBD" w14:textId="77777777" w:rsidR="00743D1F" w:rsidRPr="000F1DE6" w:rsidRDefault="00743D1F" w:rsidP="00BF204D">
      <w:pPr>
        <w:pStyle w:val="Boxedshaded"/>
      </w:pPr>
      <w:r w:rsidRPr="000F1DE6">
        <w:t>The National Farmers’ Federation (NFF) flagged the emergence of automated plant on worksites</w:t>
      </w:r>
      <w:r w:rsidRPr="000F1DE6">
        <w:rPr>
          <w:rStyle w:val="FootnoteReference"/>
          <w:rFonts w:eastAsia="Aptos" w:cs="Aptos"/>
          <w:color w:val="000000" w:themeColor="text1"/>
        </w:rPr>
        <w:footnoteReference w:id="590"/>
      </w:r>
      <w:r w:rsidRPr="000F1DE6">
        <w:t xml:space="preserve"> and the use of automatic guided vehicles, such as forklifts, being used without a worker. Currently, the model WHS Regulations require that high risk plant be operated by a licensed person.</w:t>
      </w:r>
      <w:r w:rsidRPr="000F1DE6">
        <w:rPr>
          <w:rStyle w:val="FootnoteReference"/>
          <w:rFonts w:eastAsia="Aptos"/>
        </w:rPr>
        <w:footnoteReference w:id="591"/>
      </w:r>
    </w:p>
    <w:p w14:paraId="51F4015E" w14:textId="77777777" w:rsidR="00743D1F" w:rsidRPr="000F1DE6" w:rsidRDefault="00743D1F" w:rsidP="000D26F7">
      <w:pPr>
        <w:pStyle w:val="SWAHeading4"/>
      </w:pPr>
      <w:r w:rsidRPr="000F1DE6">
        <w:t>Discussion and recommendations</w:t>
      </w:r>
    </w:p>
    <w:p w14:paraId="5884E285" w14:textId="77777777" w:rsidR="00F21CE3" w:rsidRDefault="00743D1F" w:rsidP="00743D1F">
      <w:pPr>
        <w:pStyle w:val="Paragraph"/>
        <w:rPr>
          <w:rFonts w:eastAsia="Aptos"/>
        </w:rPr>
      </w:pPr>
      <w:r w:rsidRPr="000F1DE6">
        <w:rPr>
          <w:rFonts w:eastAsia="Aptos"/>
        </w:rPr>
        <w:t>Safe Work Australia is already progressing existing, separate work to consider the variations in the model WHS Regulations in relation to cranes. This Review therefore defers consideration of these issues to that process.</w:t>
      </w:r>
    </w:p>
    <w:p w14:paraId="73AE0E63" w14:textId="77777777" w:rsidR="00F21CE3" w:rsidRDefault="00743D1F" w:rsidP="00743D1F">
      <w:pPr>
        <w:pStyle w:val="Paragraph"/>
        <w:rPr>
          <w:rFonts w:eastAsia="Aptos"/>
        </w:rPr>
      </w:pPr>
      <w:r w:rsidRPr="000F1DE6">
        <w:rPr>
          <w:rFonts w:eastAsia="Aptos"/>
        </w:rPr>
        <w:t>This Review considers that the issues raised by SafeWork NSW in relation to the ability to revoke licences issues in other jurisdictions should be considered as part of the proposed regulations modernisation project.</w:t>
      </w:r>
      <w:r w:rsidRPr="000F1DE6">
        <w:rPr>
          <w:rFonts w:eastAsia="Aptos"/>
          <w:vertAlign w:val="superscript"/>
        </w:rPr>
        <w:footnoteReference w:id="592"/>
      </w:r>
    </w:p>
    <w:p w14:paraId="2C06A2F4" w14:textId="5B129A15" w:rsidR="00F21CE3" w:rsidRDefault="00743D1F" w:rsidP="000D26F7">
      <w:pPr>
        <w:pStyle w:val="Paragraph"/>
        <w:rPr>
          <w:rFonts w:eastAsia="Aptos"/>
        </w:rPr>
      </w:pPr>
      <w:r w:rsidRPr="000F1DE6">
        <w:rPr>
          <w:rFonts w:eastAsia="Aptos"/>
        </w:rPr>
        <w:t>The Review recommends that the modernisation project should also review D</w:t>
      </w:r>
      <w:r w:rsidRPr="000F1DE6">
        <w:rPr>
          <w:szCs w:val="22"/>
        </w:rPr>
        <w:t xml:space="preserve">ivision 1 of Part 5.3 (Plant design to be registered) to determine how </w:t>
      </w:r>
      <w:r>
        <w:rPr>
          <w:szCs w:val="22"/>
        </w:rPr>
        <w:t xml:space="preserve">high risk work </w:t>
      </w:r>
      <w:r w:rsidRPr="000F1DE6">
        <w:rPr>
          <w:szCs w:val="22"/>
        </w:rPr>
        <w:t>licensing should apply when automated high risk plant is used</w:t>
      </w:r>
      <w:r w:rsidRPr="000F1DE6">
        <w:rPr>
          <w:rFonts w:cs="Arial"/>
        </w:rPr>
        <w:t xml:space="preserve"> (see</w:t>
      </w:r>
      <w:r w:rsidRPr="000F1DE6">
        <w:rPr>
          <w:rFonts w:eastAsia="Aptos"/>
        </w:rPr>
        <w:t xml:space="preserve"> </w:t>
      </w:r>
      <w:r w:rsidRPr="000F1DE6">
        <w:rPr>
          <w:rFonts w:cs="Arial"/>
          <w:b/>
        </w:rPr>
        <w:t xml:space="preserve">Appendix </w:t>
      </w:r>
      <w:r w:rsidRPr="000F1DE6">
        <w:rPr>
          <w:rFonts w:eastAsia="Aptos"/>
          <w:b/>
        </w:rPr>
        <w:t>G</w:t>
      </w:r>
      <w:r w:rsidRPr="00623A9A">
        <w:rPr>
          <w:rFonts w:eastAsia="Aptos"/>
          <w:bCs/>
        </w:rPr>
        <w:t xml:space="preserve">, </w:t>
      </w:r>
      <w:r w:rsidRPr="000F1DE6">
        <w:rPr>
          <w:rFonts w:eastAsia="Aptos"/>
          <w:b/>
        </w:rPr>
        <w:t>2</w:t>
      </w:r>
      <w:r w:rsidRPr="000F1DE6">
        <w:rPr>
          <w:rFonts w:cs="Arial"/>
        </w:rPr>
        <w:t>)</w:t>
      </w:r>
      <w:r w:rsidRPr="000F1DE6">
        <w:rPr>
          <w:rFonts w:eastAsia="Aptos"/>
        </w:rPr>
        <w:t>.</w:t>
      </w:r>
    </w:p>
    <w:p w14:paraId="636C5539" w14:textId="7FDBBDA0" w:rsidR="00743D1F" w:rsidRPr="000F1DE6" w:rsidRDefault="00743D1F" w:rsidP="001D4F1B">
      <w:pPr>
        <w:pStyle w:val="SWAHeading3"/>
      </w:pPr>
      <w:r w:rsidRPr="000F1DE6">
        <w:t>Demolition work (Part 4.6, r</w:t>
      </w:r>
      <w:r>
        <w:t>egs</w:t>
      </w:r>
      <w:r w:rsidRPr="000F1DE6">
        <w:t xml:space="preserve"> 142–143, model WHS Regulations)</w:t>
      </w:r>
    </w:p>
    <w:p w14:paraId="4E0E5308" w14:textId="77777777" w:rsidR="00743D1F" w:rsidRPr="000D26F7" w:rsidRDefault="00743D1F" w:rsidP="00BF204D">
      <w:pPr>
        <w:pStyle w:val="Boxedshaded"/>
        <w:rPr>
          <w:b/>
          <w:bCs/>
        </w:rPr>
      </w:pPr>
      <w:r w:rsidRPr="000D26F7">
        <w:rPr>
          <w:b/>
          <w:bCs/>
        </w:rPr>
        <w:t>What we heard</w:t>
      </w:r>
    </w:p>
    <w:p w14:paraId="25F17C1E" w14:textId="77777777" w:rsidR="00F21CE3" w:rsidRDefault="00743D1F" w:rsidP="00BF204D">
      <w:pPr>
        <w:pStyle w:val="Boxedshaded"/>
      </w:pPr>
      <w:r w:rsidRPr="000F1DE6">
        <w:t>WorkSafe WA and the CFMEU noted that the lack of a demolition licensing framework in the model WHS Regulations, and variable jurisdictional approaches, were creating ongoing inconsistencies.</w:t>
      </w:r>
      <w:r w:rsidRPr="000F1DE6">
        <w:rPr>
          <w:rStyle w:val="FootnoteReference"/>
          <w:rFonts w:eastAsia="Aptos" w:cs="Aptos"/>
          <w:color w:val="000000" w:themeColor="text1"/>
        </w:rPr>
        <w:footnoteReference w:id="593"/>
      </w:r>
      <w:r w:rsidRPr="001B39AE">
        <w:rPr>
          <w:rStyle w:val="FootnoteReference"/>
          <w:rFonts w:eastAsia="Aptos" w:cs="Aptos"/>
          <w:color w:val="000000" w:themeColor="text1"/>
          <w:vertAlign w:val="baseline"/>
        </w:rPr>
        <w:t xml:space="preserve"> </w:t>
      </w:r>
      <w:r w:rsidRPr="000F1DE6">
        <w:t>The Maritime Union of Australia suggested the current framework does not clearly capture offshore demolition and decommissioning work despite increasing activity in this area.</w:t>
      </w:r>
      <w:r w:rsidRPr="000F1DE6">
        <w:rPr>
          <w:rStyle w:val="FootnoteReference"/>
          <w:rFonts w:eastAsia="Aptos" w:cs="Aptos"/>
        </w:rPr>
        <w:footnoteReference w:id="594"/>
      </w:r>
    </w:p>
    <w:p w14:paraId="77A18A92" w14:textId="15A63FFD" w:rsidR="000D26F7" w:rsidRDefault="000D26F7" w:rsidP="000D26F7">
      <w:pPr>
        <w:pStyle w:val="Paragraph"/>
        <w:rPr>
          <w:rFonts w:eastAsiaTheme="majorEastAsia"/>
        </w:rPr>
      </w:pPr>
      <w:r>
        <w:br w:type="page"/>
      </w:r>
    </w:p>
    <w:p w14:paraId="5157F81D" w14:textId="7F624297" w:rsidR="00743D1F" w:rsidRPr="000F1DE6" w:rsidRDefault="00743D1F" w:rsidP="000D26F7">
      <w:pPr>
        <w:pStyle w:val="SWAHeading4"/>
      </w:pPr>
      <w:r w:rsidRPr="000F1DE6">
        <w:lastRenderedPageBreak/>
        <w:t>Discussion and recommendations</w:t>
      </w:r>
    </w:p>
    <w:p w14:paraId="40C689C0" w14:textId="36D65BD5" w:rsidR="00EF638F" w:rsidRPr="000F1DE6" w:rsidRDefault="00743D1F" w:rsidP="00AF6A60">
      <w:pPr>
        <w:pStyle w:val="Paragraph"/>
        <w:rPr>
          <w:rFonts w:eastAsia="Aptos"/>
        </w:rPr>
      </w:pPr>
      <w:r w:rsidRPr="000F1DE6">
        <w:rPr>
          <w:rFonts w:eastAsia="Aptos"/>
        </w:rPr>
        <w:t xml:space="preserve">This Review recommends considering the definition of </w:t>
      </w:r>
      <w:r>
        <w:rPr>
          <w:rFonts w:eastAsia="Aptos"/>
        </w:rPr>
        <w:t>‘</w:t>
      </w:r>
      <w:r w:rsidRPr="000F1DE6">
        <w:rPr>
          <w:rFonts w:eastAsia="Aptos"/>
        </w:rPr>
        <w:t>demolition work</w:t>
      </w:r>
      <w:r>
        <w:rPr>
          <w:rFonts w:eastAsia="Aptos"/>
        </w:rPr>
        <w:t>’</w:t>
      </w:r>
      <w:r w:rsidRPr="000F1DE6">
        <w:rPr>
          <w:rFonts w:eastAsia="Aptos"/>
        </w:rPr>
        <w:t xml:space="preserve"> as part of the model WHS Regulations modernisation project, including by ensuring it expressly includes offshore demolition and decommissioning activities (see</w:t>
      </w:r>
      <w:r w:rsidRPr="000F1DE6">
        <w:rPr>
          <w:rFonts w:cs="Arial"/>
        </w:rPr>
        <w:t xml:space="preserve"> </w:t>
      </w:r>
      <w:r w:rsidRPr="000F1DE6">
        <w:rPr>
          <w:rFonts w:cs="Arial"/>
          <w:b/>
        </w:rPr>
        <w:t>Appendix G</w:t>
      </w:r>
      <w:r w:rsidRPr="00993384">
        <w:rPr>
          <w:rFonts w:cs="Arial"/>
        </w:rPr>
        <w:t>,</w:t>
      </w:r>
      <w:r w:rsidRPr="000F1DE6">
        <w:rPr>
          <w:rFonts w:cs="Arial"/>
        </w:rPr>
        <w:t xml:space="preserve"> </w:t>
      </w:r>
      <w:r w:rsidRPr="000F1DE6">
        <w:rPr>
          <w:rFonts w:cs="Arial"/>
          <w:b/>
        </w:rPr>
        <w:t>3</w:t>
      </w:r>
      <w:r w:rsidRPr="000F1DE6">
        <w:rPr>
          <w:rFonts w:cs="Arial"/>
          <w:bCs/>
        </w:rPr>
        <w:t>).</w:t>
      </w:r>
    </w:p>
    <w:p w14:paraId="32D4BACE" w14:textId="77777777" w:rsidR="00791F73" w:rsidRPr="000F1DE6" w:rsidRDefault="00791F73" w:rsidP="00107146">
      <w:pPr>
        <w:pStyle w:val="SWAHeading3"/>
      </w:pPr>
      <w:bookmarkStart w:id="92" w:name="_Toc227588206"/>
      <w:bookmarkStart w:id="93" w:name="_Toc228256101"/>
      <w:r w:rsidRPr="000F1DE6">
        <w:t>Amusement devices and competent persons</w:t>
      </w:r>
      <w:bookmarkEnd w:id="92"/>
      <w:bookmarkEnd w:id="93"/>
      <w:r w:rsidRPr="000F1DE6">
        <w:t xml:space="preserve"> (Part 5.2, r</w:t>
      </w:r>
      <w:r>
        <w:t>egs</w:t>
      </w:r>
      <w:r w:rsidRPr="000F1DE6">
        <w:t xml:space="preserve"> 238–242, model WHS Regulations)</w:t>
      </w:r>
    </w:p>
    <w:p w14:paraId="176ADDD7" w14:textId="77777777" w:rsidR="00F21CE3" w:rsidRDefault="00791F73" w:rsidP="0016789A">
      <w:pPr>
        <w:pStyle w:val="Paragraph"/>
        <w:spacing w:after="240"/>
        <w:rPr>
          <w:rStyle w:val="eop"/>
        </w:rPr>
      </w:pPr>
      <w:r w:rsidRPr="00250495">
        <w:rPr>
          <w:rStyle w:val="eop"/>
        </w:rPr>
        <w:t>In the wake of the 2016 Dreamworld fatalities, Queensland amended its WHS Regulations to include more detailed requirements for log book use and major inspections and introduced</w:t>
      </w:r>
      <w:r w:rsidRPr="00250495">
        <w:t xml:space="preserve"> </w:t>
      </w:r>
      <w:r w:rsidRPr="00250495">
        <w:rPr>
          <w:rStyle w:val="eop"/>
        </w:rPr>
        <w:t xml:space="preserve">the </w:t>
      </w:r>
      <w:r w:rsidRPr="001279E2">
        <w:rPr>
          <w:rStyle w:val="eop"/>
          <w:i/>
          <w:iCs/>
        </w:rPr>
        <w:t>Amusement Devices Code of Practice 2023</w:t>
      </w:r>
      <w:r w:rsidRPr="00250495">
        <w:rPr>
          <w:rStyle w:val="eop"/>
        </w:rPr>
        <w:t>.</w:t>
      </w:r>
      <w:r w:rsidRPr="00250495">
        <w:rPr>
          <w:rStyle w:val="FootnoteReference"/>
        </w:rPr>
        <w:footnoteReference w:id="595"/>
      </w:r>
      <w:r w:rsidRPr="00250495">
        <w:rPr>
          <w:rStyle w:val="eop"/>
        </w:rPr>
        <w:t xml:space="preserve"> Some of Queensland’s amendments were later adopted into the model WHS Regulations.</w:t>
      </w:r>
    </w:p>
    <w:p w14:paraId="31213E02" w14:textId="3C334F02" w:rsidR="00791F73" w:rsidRPr="000D26F7" w:rsidRDefault="00791F73" w:rsidP="00BF204D">
      <w:pPr>
        <w:pStyle w:val="Boxedshaded"/>
        <w:rPr>
          <w:b/>
          <w:bCs/>
        </w:rPr>
      </w:pPr>
      <w:r w:rsidRPr="000D26F7">
        <w:rPr>
          <w:b/>
          <w:bCs/>
        </w:rPr>
        <w:t>What we heard</w:t>
      </w:r>
    </w:p>
    <w:p w14:paraId="5136007D" w14:textId="77777777" w:rsidR="00F21CE3" w:rsidRDefault="00791F73" w:rsidP="00BF204D">
      <w:pPr>
        <w:pStyle w:val="Boxedshaded"/>
      </w:pPr>
      <w:r w:rsidRPr="000F1DE6">
        <w:rPr>
          <w:rStyle w:val="eop"/>
          <w:rFonts w:eastAsia="Aptos" w:cs="Aptos"/>
          <w:color w:val="000000" w:themeColor="text1"/>
        </w:rPr>
        <w:t xml:space="preserve">The </w:t>
      </w:r>
      <w:r w:rsidRPr="000F1DE6">
        <w:t>Australian Amusement, Leisure and Recreation Association (AALARA) and CSA both proposed greater harmonisation and scrutiny across jurisdictions to reduce duplication, support more consistent safety outcomes and ensure the industry is better able to sustain its costs.</w:t>
      </w:r>
      <w:r w:rsidRPr="000F1DE6">
        <w:rPr>
          <w:rStyle w:val="FootnoteReference"/>
          <w:rFonts w:eastAsia="Aptos" w:cs="Aptos"/>
        </w:rPr>
        <w:footnoteReference w:id="596"/>
      </w:r>
    </w:p>
    <w:p w14:paraId="488EF8DA" w14:textId="77777777" w:rsidR="00F21CE3" w:rsidRDefault="00791F73" w:rsidP="00BF204D">
      <w:pPr>
        <w:pStyle w:val="Boxedshaded"/>
      </w:pPr>
      <w:r w:rsidRPr="000F1DE6">
        <w:t>A number of fatalities at metropolitan and regional shows have resulted in coronial inquests and recommendations, including for harmonised processes across jurisdictions and a national database of design registration numbers and plant registration numbers that is accessible by all regulators.</w:t>
      </w:r>
      <w:r w:rsidRPr="000F1DE6">
        <w:rPr>
          <w:rStyle w:val="FootnoteReference"/>
          <w:rFonts w:eastAsia="Aptos" w:cs="Aptos"/>
        </w:rPr>
        <w:footnoteReference w:id="597"/>
      </w:r>
      <w:r w:rsidRPr="000F1DE6">
        <w:t xml:space="preserve"> This suggestion was echoed in submissions.</w:t>
      </w:r>
      <w:r w:rsidRPr="000F1DE6">
        <w:rPr>
          <w:rStyle w:val="FootnoteReference"/>
          <w:rFonts w:eastAsia="Aptos" w:cs="Aptos"/>
        </w:rPr>
        <w:footnoteReference w:id="598"/>
      </w:r>
      <w:r w:rsidRPr="000F1DE6">
        <w:t xml:space="preserve"> Other issues raised included inconsistent design and plant registration requirements and limited transparency of registrations.</w:t>
      </w:r>
    </w:p>
    <w:p w14:paraId="56BC10CE" w14:textId="1FBD9F24" w:rsidR="00791F73" w:rsidRPr="000F1DE6" w:rsidRDefault="00791F73" w:rsidP="00BF204D">
      <w:pPr>
        <w:pStyle w:val="Boxedshaded"/>
      </w:pPr>
      <w:r w:rsidRPr="000F1DE6">
        <w:t xml:space="preserve">Although </w:t>
      </w:r>
      <w:r w:rsidRPr="000F1DE6">
        <w:rPr>
          <w:color w:val="000000" w:themeColor="text1"/>
        </w:rPr>
        <w:t>registrations</w:t>
      </w:r>
      <w:r w:rsidRPr="000F1DE6">
        <w:t xml:space="preserve"> are mutually recognised under the model WHS laws,</w:t>
      </w:r>
      <w:r w:rsidRPr="000F1DE6">
        <w:rPr>
          <w:rStyle w:val="FootnoteReference"/>
          <w:rFonts w:eastAsia="Aptos" w:cs="Aptos"/>
          <w:color w:val="000000" w:themeColor="text1"/>
        </w:rPr>
        <w:footnoteReference w:id="599"/>
      </w:r>
      <w:r w:rsidRPr="000F1DE6">
        <w:t xml:space="preserve"> coronial reports and submissions indicate that inconsistency between jurisdictions has often led to tragic consequences. One PCBU indicated this had driven </w:t>
      </w:r>
      <w:r>
        <w:t xml:space="preserve">it </w:t>
      </w:r>
      <w:r w:rsidRPr="000F1DE6">
        <w:t>to apply additional checks or refuse devices registered in some jurisdictions.</w:t>
      </w:r>
      <w:r w:rsidRPr="000F1DE6">
        <w:rPr>
          <w:rStyle w:val="FootnoteReference"/>
          <w:rFonts w:eastAsia="Aptos" w:cs="Aptos"/>
          <w:color w:val="000000" w:themeColor="text1"/>
        </w:rPr>
        <w:footnoteReference w:id="600"/>
      </w:r>
      <w:r w:rsidRPr="000F1DE6">
        <w:rPr>
          <w:color w:val="000000" w:themeColor="text1"/>
        </w:rPr>
        <w:t xml:space="preserve"> </w:t>
      </w:r>
      <w:r w:rsidRPr="000F1DE6">
        <w:t xml:space="preserve">There are also concerns about whether the current ‘competent person’ framework provides sufficient </w:t>
      </w:r>
      <w:r w:rsidRPr="000F1DE6">
        <w:rPr>
          <w:color w:val="000000" w:themeColor="text1"/>
        </w:rPr>
        <w:t>oversight</w:t>
      </w:r>
      <w:r w:rsidRPr="000F1DE6">
        <w:t xml:space="preserve"> for amusement devices, with AALARA believing that the approach is creating a shortage of qualified engineers able to conduct the mandated inspections.</w:t>
      </w:r>
      <w:r w:rsidRPr="000F1DE6">
        <w:rPr>
          <w:rStyle w:val="FootnoteReference"/>
          <w:rFonts w:eastAsia="Aptos" w:cs="Aptos"/>
        </w:rPr>
        <w:footnoteReference w:id="601"/>
      </w:r>
    </w:p>
    <w:p w14:paraId="07DD8C80" w14:textId="77777777" w:rsidR="00791F73" w:rsidRPr="000F1DE6" w:rsidRDefault="00791F73" w:rsidP="000D26F7">
      <w:pPr>
        <w:pStyle w:val="SWAHeading4"/>
      </w:pPr>
      <w:r w:rsidRPr="000F1DE6">
        <w:t>Discussion and recommendations</w:t>
      </w:r>
    </w:p>
    <w:p w14:paraId="4894809D" w14:textId="77777777" w:rsidR="00F21CE3" w:rsidRDefault="00791F73" w:rsidP="00791F73">
      <w:pPr>
        <w:pStyle w:val="Paragraph"/>
        <w:rPr>
          <w:rFonts w:eastAsia="Aptos"/>
        </w:rPr>
      </w:pPr>
      <w:r w:rsidRPr="000F1DE6">
        <w:rPr>
          <w:rFonts w:eastAsia="Aptos"/>
        </w:rPr>
        <w:t>Many of the issues identified in relation to amusement devices have been considered by both Safe Work Australia Members and HWSA but not resolved. Over the years there has been a lack of national coordination to agree to operational issues, which this Review has made recommendations to address.</w:t>
      </w:r>
    </w:p>
    <w:p w14:paraId="7FB4A0E7" w14:textId="36E4067E" w:rsidR="00F21CE3" w:rsidRDefault="00791F73" w:rsidP="00791F73">
      <w:pPr>
        <w:pStyle w:val="Paragraph"/>
        <w:rPr>
          <w:rFonts w:eastAsia="Aptos"/>
        </w:rPr>
      </w:pPr>
      <w:r w:rsidRPr="000F1DE6">
        <w:rPr>
          <w:rFonts w:eastAsia="Aptos"/>
        </w:rPr>
        <w:t xml:space="preserve">To make meaningful progress on improving amusement device safety, this Review recommends that the </w:t>
      </w:r>
      <w:r w:rsidRPr="00F83DFE">
        <w:rPr>
          <w:rFonts w:eastAsia="Aptos"/>
        </w:rPr>
        <w:t>new SIG</w:t>
      </w:r>
      <w:r w:rsidRPr="00F83DFE">
        <w:rPr>
          <w:rFonts w:eastAsia="Symbol" w:cs="Symbol"/>
        </w:rPr>
        <w:t>-</w:t>
      </w:r>
      <w:r w:rsidRPr="00F83DFE">
        <w:rPr>
          <w:rFonts w:eastAsia="Aptos"/>
        </w:rPr>
        <w:t>Compliance and Enforcement</w:t>
      </w:r>
      <w:r w:rsidRPr="000F1DE6">
        <w:rPr>
          <w:rFonts w:eastAsia="Aptos"/>
        </w:rPr>
        <w:t xml:space="preserve"> be given the initial task of harmonising, with the support of jurisdictions, the registration requirements for plant and design of amusement before considering the matter of a </w:t>
      </w:r>
      <w:r w:rsidRPr="00105531">
        <w:rPr>
          <w:rFonts w:eastAsia="Aptos"/>
        </w:rPr>
        <w:t>national dataset (which</w:t>
      </w:r>
      <w:r w:rsidRPr="000F1DE6">
        <w:rPr>
          <w:rFonts w:eastAsia="Aptos"/>
        </w:rPr>
        <w:t xml:space="preserve"> would likely require referral to HSWA for consideration) (see </w:t>
      </w:r>
      <w:r w:rsidRPr="000F1DE6">
        <w:rPr>
          <w:rFonts w:eastAsia="Aptos"/>
          <w:b/>
          <w:bCs/>
        </w:rPr>
        <w:t>Appendix G</w:t>
      </w:r>
      <w:r w:rsidRPr="008F237F">
        <w:rPr>
          <w:rFonts w:eastAsia="Aptos"/>
        </w:rPr>
        <w:t>,</w:t>
      </w:r>
      <w:r w:rsidRPr="000F1DE6">
        <w:rPr>
          <w:rFonts w:eastAsia="Aptos"/>
          <w:b/>
          <w:bCs/>
        </w:rPr>
        <w:t xml:space="preserve"> 4A</w:t>
      </w:r>
      <w:r w:rsidRPr="000F1DE6">
        <w:rPr>
          <w:rFonts w:eastAsia="Aptos"/>
        </w:rPr>
        <w:t>).</w:t>
      </w:r>
    </w:p>
    <w:p w14:paraId="32F71A47" w14:textId="0416F4A9" w:rsidR="004442A4" w:rsidRDefault="00791F73" w:rsidP="006B1872">
      <w:pPr>
        <w:pStyle w:val="Paragraph"/>
        <w:rPr>
          <w:lang w:eastAsia="en-US"/>
        </w:rPr>
      </w:pPr>
      <w:r w:rsidRPr="000F1DE6">
        <w:rPr>
          <w:rFonts w:eastAsia="Aptos"/>
        </w:rPr>
        <w:lastRenderedPageBreak/>
        <w:t xml:space="preserve">This Review also recommends the model WHS Regulations modernisation project discussed in </w:t>
      </w:r>
      <w:r w:rsidRPr="009F44F5">
        <w:rPr>
          <w:rFonts w:eastAsia="Aptos"/>
          <w:b/>
        </w:rPr>
        <w:t>Chapter 7</w:t>
      </w:r>
      <w:r w:rsidRPr="000F1DE6">
        <w:rPr>
          <w:rFonts w:eastAsia="Aptos"/>
        </w:rPr>
        <w:t xml:space="preserve"> consider opportunities to improve the operation of the competent persons framework in relation to amusement devices (see</w:t>
      </w:r>
      <w:r w:rsidRPr="000F1DE6">
        <w:rPr>
          <w:rFonts w:cs="Arial"/>
          <w:b/>
        </w:rPr>
        <w:t xml:space="preserve"> Appendix G</w:t>
      </w:r>
      <w:r w:rsidRPr="000F1DE6">
        <w:rPr>
          <w:rFonts w:cs="Arial"/>
        </w:rPr>
        <w:t xml:space="preserve">, </w:t>
      </w:r>
      <w:r w:rsidRPr="000F1DE6">
        <w:rPr>
          <w:rFonts w:cs="Arial"/>
          <w:b/>
        </w:rPr>
        <w:t>4B</w:t>
      </w:r>
      <w:r w:rsidRPr="000F1DE6">
        <w:rPr>
          <w:rFonts w:cs="Arial"/>
        </w:rPr>
        <w:t>).</w:t>
      </w:r>
    </w:p>
    <w:p w14:paraId="384170FD" w14:textId="77777777" w:rsidR="00137A60" w:rsidRPr="000F1DE6" w:rsidRDefault="00137A60" w:rsidP="001D53A0">
      <w:pPr>
        <w:pStyle w:val="SWAHeading3"/>
      </w:pPr>
      <w:bookmarkStart w:id="94" w:name="_Toc227588209"/>
      <w:bookmarkStart w:id="95" w:name="_Toc228256104"/>
      <w:r w:rsidRPr="000F1DE6">
        <w:t>Prohibited and restricted carcinogens</w:t>
      </w:r>
      <w:bookmarkEnd w:id="94"/>
      <w:bookmarkEnd w:id="95"/>
      <w:r w:rsidRPr="000F1DE6">
        <w:t xml:space="preserve"> (Part 7.1, r</w:t>
      </w:r>
      <w:r>
        <w:t>eg</w:t>
      </w:r>
      <w:r w:rsidRPr="000F1DE6">
        <w:t xml:space="preserve"> 328, model WHS Regulations)</w:t>
      </w:r>
    </w:p>
    <w:p w14:paraId="419875C6" w14:textId="77777777" w:rsidR="00137A60" w:rsidRPr="000D26F7" w:rsidRDefault="00137A60" w:rsidP="00BF204D">
      <w:pPr>
        <w:pStyle w:val="Boxedshaded"/>
        <w:rPr>
          <w:b/>
          <w:bCs/>
        </w:rPr>
      </w:pPr>
      <w:r w:rsidRPr="000D26F7">
        <w:rPr>
          <w:b/>
          <w:bCs/>
        </w:rPr>
        <w:t>What we heard</w:t>
      </w:r>
    </w:p>
    <w:p w14:paraId="09A15596" w14:textId="77777777" w:rsidR="00F21CE3" w:rsidRDefault="00137A60" w:rsidP="00BF204D">
      <w:pPr>
        <w:pStyle w:val="Boxedshaded"/>
      </w:pPr>
      <w:r w:rsidRPr="000F1DE6">
        <w:t>The NSW Nurses and Midwives Association raised concerns that cytotoxic drugs used in a medical setting are not sufficiently covered by the model WHS Regulations, including in the wording of regulation 328(6) and the restricted carcinogens list in Schedule 10.</w:t>
      </w:r>
      <w:r w:rsidRPr="000F1DE6">
        <w:rPr>
          <w:rStyle w:val="FootnoteReference"/>
          <w:rFonts w:eastAsia="Aptos" w:cs="Aptos"/>
        </w:rPr>
        <w:footnoteReference w:id="602"/>
      </w:r>
    </w:p>
    <w:p w14:paraId="21A959AD" w14:textId="4F8DAFE2" w:rsidR="00137A60" w:rsidRPr="000F1DE6" w:rsidRDefault="00137A60" w:rsidP="000D26F7">
      <w:pPr>
        <w:pStyle w:val="SWAHeading4"/>
      </w:pPr>
      <w:r w:rsidRPr="000F1DE6">
        <w:t>Discussion and recommendations</w:t>
      </w:r>
    </w:p>
    <w:p w14:paraId="12A43DA7" w14:textId="0185E26C" w:rsidR="00E404D5" w:rsidRPr="000D26F7" w:rsidRDefault="00137A60" w:rsidP="000D26F7">
      <w:pPr>
        <w:pStyle w:val="Paragraph"/>
      </w:pPr>
      <w:r w:rsidRPr="000F1DE6">
        <w:rPr>
          <w:rFonts w:eastAsia="Aptos"/>
        </w:rPr>
        <w:t>This Review recommends these issues, as well as germ cell mutagens and reproductive toxicants</w:t>
      </w:r>
      <w:r>
        <w:rPr>
          <w:rFonts w:eastAsia="Aptos"/>
        </w:rPr>
        <w:t>,</w:t>
      </w:r>
      <w:r w:rsidRPr="000F1DE6">
        <w:rPr>
          <w:rFonts w:eastAsia="Aptos"/>
        </w:rPr>
        <w:t xml:space="preserve"> be considered as part of the model WHS Regulations modernisation project discussed at </w:t>
      </w:r>
      <w:r w:rsidRPr="00BA33F1">
        <w:rPr>
          <w:rFonts w:eastAsia="Aptos"/>
          <w:b/>
        </w:rPr>
        <w:t>Chapter 7</w:t>
      </w:r>
      <w:r w:rsidRPr="000F1DE6">
        <w:rPr>
          <w:rFonts w:eastAsia="Aptos"/>
        </w:rPr>
        <w:t xml:space="preserve">, including the option of developing criteria for including carcinogens in Schedule 10 (see </w:t>
      </w:r>
      <w:r w:rsidR="00407244" w:rsidRPr="000F1DE6">
        <w:rPr>
          <w:rFonts w:cs="Arial"/>
          <w:b/>
        </w:rPr>
        <w:t>Appendix</w:t>
      </w:r>
      <w:r w:rsidR="00407244">
        <w:rPr>
          <w:rFonts w:cs="Arial"/>
          <w:b/>
        </w:rPr>
        <w:t> </w:t>
      </w:r>
      <w:r w:rsidRPr="000F1DE6">
        <w:rPr>
          <w:rFonts w:cs="Arial"/>
          <w:b/>
        </w:rPr>
        <w:t>G</w:t>
      </w:r>
      <w:r w:rsidR="00407244" w:rsidRPr="00070A6F">
        <w:rPr>
          <w:rFonts w:cs="Arial"/>
          <w:bCs/>
        </w:rPr>
        <w:t>,</w:t>
      </w:r>
      <w:r w:rsidR="00407244">
        <w:rPr>
          <w:rFonts w:cs="Arial"/>
          <w:b/>
        </w:rPr>
        <w:t> </w:t>
      </w:r>
      <w:r w:rsidRPr="000F1DE6">
        <w:rPr>
          <w:rFonts w:cs="Arial"/>
          <w:b/>
        </w:rPr>
        <w:t>5</w:t>
      </w:r>
      <w:r w:rsidRPr="000F1DE6">
        <w:rPr>
          <w:rFonts w:cs="Arial"/>
        </w:rPr>
        <w:t>).</w:t>
      </w:r>
    </w:p>
    <w:p w14:paraId="0F53C56A" w14:textId="77777777" w:rsidR="00137A60" w:rsidRPr="000F1DE6" w:rsidRDefault="00137A60" w:rsidP="00137A60">
      <w:pPr>
        <w:pStyle w:val="SWAHeading3"/>
        <w:spacing w:before="200"/>
      </w:pPr>
      <w:r w:rsidRPr="000F1DE6">
        <w:t>Respirable crystalline silica (Chapter 8A, model WHS Regulations)</w:t>
      </w:r>
    </w:p>
    <w:p w14:paraId="1BC92C62" w14:textId="77777777" w:rsidR="00137A60" w:rsidRPr="000D26F7" w:rsidRDefault="00137A60" w:rsidP="00BF204D">
      <w:pPr>
        <w:pStyle w:val="Boxedshaded"/>
        <w:rPr>
          <w:b/>
          <w:bCs/>
        </w:rPr>
      </w:pPr>
      <w:r w:rsidRPr="000D26F7">
        <w:rPr>
          <w:b/>
          <w:bCs/>
        </w:rPr>
        <w:t>What we heard</w:t>
      </w:r>
    </w:p>
    <w:p w14:paraId="0FB859E9" w14:textId="77777777" w:rsidR="00137A60" w:rsidRPr="000F1DE6" w:rsidRDefault="00137A60" w:rsidP="00BF204D">
      <w:pPr>
        <w:pStyle w:val="Boxedshaded"/>
      </w:pPr>
      <w:r w:rsidRPr="000F1DE6">
        <w:t>Australian Industry Group raised concerns regarding the lack of harmonisation in implementation of recent crystalline silica amendments.</w:t>
      </w:r>
      <w:r w:rsidRPr="000F1DE6">
        <w:rPr>
          <w:rStyle w:val="FootnoteReference"/>
          <w:rFonts w:eastAsia="Aptos" w:cs="Aptos"/>
        </w:rPr>
        <w:footnoteReference w:id="603"/>
      </w:r>
      <w:r w:rsidRPr="000F1DE6">
        <w:t xml:space="preserve"> SafeWork NSW noted the notification timeframe for respirable crystalline silica exposure may delay regulator intervention,</w:t>
      </w:r>
      <w:r w:rsidRPr="000F1DE6">
        <w:rPr>
          <w:rStyle w:val="FootnoteReference"/>
          <w:rFonts w:eastAsia="Aptos" w:cs="Aptos"/>
        </w:rPr>
        <w:footnoteReference w:id="604"/>
      </w:r>
      <w:r w:rsidRPr="000F1DE6">
        <w:t xml:space="preserve"> and the HIA called for the adoption of the Queensland </w:t>
      </w:r>
      <w:r>
        <w:t>C</w:t>
      </w:r>
      <w:r w:rsidRPr="000F1DE6">
        <w:t xml:space="preserve">ode of </w:t>
      </w:r>
      <w:r>
        <w:t>P</w:t>
      </w:r>
      <w:r w:rsidRPr="000F1DE6">
        <w:t>ractice relating to crystalline silica</w:t>
      </w:r>
      <w:r w:rsidRPr="008C4B87">
        <w:t>.</w:t>
      </w:r>
      <w:r w:rsidRPr="000F1DE6">
        <w:rPr>
          <w:rStyle w:val="FootnoteReference"/>
          <w:rFonts w:eastAsia="Aptos" w:cs="Aptos"/>
        </w:rPr>
        <w:footnoteReference w:id="605"/>
      </w:r>
    </w:p>
    <w:p w14:paraId="2E5DFCDD" w14:textId="77777777" w:rsidR="00137A60" w:rsidRPr="000F1DE6" w:rsidRDefault="00137A60" w:rsidP="000D26F7">
      <w:pPr>
        <w:pStyle w:val="SWAHeading4"/>
      </w:pPr>
      <w:r w:rsidRPr="000F1DE6">
        <w:t>Discussion and recommendations</w:t>
      </w:r>
    </w:p>
    <w:p w14:paraId="5B6065E3" w14:textId="77777777" w:rsidR="00F21CE3" w:rsidRDefault="00137A60" w:rsidP="00137A60">
      <w:pPr>
        <w:pStyle w:val="Paragraph"/>
        <w:rPr>
          <w:rFonts w:eastAsia="Aptos"/>
        </w:rPr>
      </w:pPr>
      <w:r w:rsidRPr="000F1DE6">
        <w:rPr>
          <w:rFonts w:eastAsia="Aptos"/>
        </w:rPr>
        <w:t xml:space="preserve">The </w:t>
      </w:r>
      <w:r w:rsidRPr="0013009C">
        <w:rPr>
          <w:rFonts w:eastAsia="Aptos"/>
        </w:rPr>
        <w:t>Engineered Stone Prohibition Review</w:t>
      </w:r>
      <w:r w:rsidRPr="001E7711">
        <w:rPr>
          <w:rFonts w:eastAsia="Aptos"/>
          <w:i/>
          <w:iCs/>
        </w:rPr>
        <w:t xml:space="preserve"> </w:t>
      </w:r>
      <w:r w:rsidRPr="000F1DE6">
        <w:rPr>
          <w:rFonts w:eastAsia="Aptos"/>
        </w:rPr>
        <w:t>highlighted that designers, manufacturers, importers and suppliers should provide downstream users with current, relevant information about a product’s intended purpose, hazards identified through testing, and conditions required to ensure the product can be used without risks to health and safety.</w:t>
      </w:r>
      <w:r w:rsidRPr="000F1DE6">
        <w:rPr>
          <w:rStyle w:val="FootnoteReference"/>
          <w:rFonts w:eastAsia="Aptos" w:cs="Aptos"/>
          <w:color w:val="000000"/>
        </w:rPr>
        <w:footnoteReference w:id="606"/>
      </w:r>
      <w:r w:rsidRPr="000F1DE6">
        <w:rPr>
          <w:rFonts w:eastAsia="Aptos"/>
        </w:rPr>
        <w:t xml:space="preserve"> It recommended the model WHS laws be amended to require the use of consistent labelling and/or safety data sheets for engineered stone and alternative products.</w:t>
      </w:r>
      <w:r w:rsidRPr="000F1DE6">
        <w:rPr>
          <w:rStyle w:val="FootnoteReference"/>
          <w:rFonts w:eastAsia="Aptos"/>
        </w:rPr>
        <w:footnoteReference w:id="607"/>
      </w:r>
    </w:p>
    <w:p w14:paraId="7FFFBB20" w14:textId="724C91D5" w:rsidR="000D26F7" w:rsidRDefault="00137A60" w:rsidP="000D26F7">
      <w:pPr>
        <w:pStyle w:val="Paragraph"/>
      </w:pPr>
      <w:r w:rsidRPr="000F1DE6">
        <w:rPr>
          <w:rFonts w:eastAsia="Aptos"/>
        </w:rPr>
        <w:t xml:space="preserve">The </w:t>
      </w:r>
      <w:r w:rsidRPr="0013009C">
        <w:rPr>
          <w:rFonts w:eastAsia="Aptos"/>
        </w:rPr>
        <w:t>Engineered Stone Prohibition Review</w:t>
      </w:r>
      <w:r w:rsidRPr="001E7711">
        <w:rPr>
          <w:rFonts w:eastAsia="Aptos"/>
          <w:i/>
          <w:iCs/>
        </w:rPr>
        <w:t xml:space="preserve"> </w:t>
      </w:r>
      <w:r w:rsidRPr="000F1DE6">
        <w:rPr>
          <w:rFonts w:eastAsia="Aptos"/>
        </w:rPr>
        <w:t xml:space="preserve">also noted a potential disconnect between the prohibition of engineered stone and the legal capacity of inspectors to issue compliance notices and found ‘Safe Work Australia should consider whether there is a legislative gap in relation to the suitability of compliance notices to address the conduct of </w:t>
      </w:r>
      <w:r w:rsidRPr="00F83DFE">
        <w:rPr>
          <w:rFonts w:eastAsia="Aptos"/>
        </w:rPr>
        <w:t>prohibited work’</w:t>
      </w:r>
      <w:r w:rsidR="00BD6086">
        <w:rPr>
          <w:rFonts w:eastAsia="Aptos"/>
        </w:rPr>
        <w:t>.</w:t>
      </w:r>
      <w:r w:rsidRPr="00F83DFE">
        <w:rPr>
          <w:rStyle w:val="FootnoteReference"/>
        </w:rPr>
        <w:t xml:space="preserve"> </w:t>
      </w:r>
      <w:r w:rsidRPr="00F83DFE">
        <w:rPr>
          <w:rStyle w:val="FootnoteReference"/>
        </w:rPr>
        <w:footnoteReference w:id="608"/>
      </w:r>
      <w:r w:rsidR="000D26F7">
        <w:br w:type="page"/>
      </w:r>
    </w:p>
    <w:p w14:paraId="7E00EAD8" w14:textId="6B319948" w:rsidR="00F21CE3" w:rsidRDefault="00137A60" w:rsidP="00137A60">
      <w:pPr>
        <w:pStyle w:val="Paragraph"/>
        <w:rPr>
          <w:rFonts w:eastAsia="Aptos"/>
        </w:rPr>
      </w:pPr>
      <w:r w:rsidRPr="000F1DE6">
        <w:rPr>
          <w:rFonts w:eastAsia="Aptos"/>
        </w:rPr>
        <w:lastRenderedPageBreak/>
        <w:t xml:space="preserve">There is a need to provide a consistent regulatory approach across all products that may pose risks when processed </w:t>
      </w:r>
      <w:r w:rsidR="00694292">
        <w:rPr>
          <w:rFonts w:ascii="Symbol" w:eastAsia="Symbol" w:hAnsi="Symbol" w:cs="Symbol"/>
        </w:rPr>
        <w:t>-</w:t>
      </w:r>
      <w:r w:rsidRPr="000F1DE6">
        <w:rPr>
          <w:rFonts w:eastAsia="Aptos"/>
        </w:rPr>
        <w:t xml:space="preserve"> not just those products containing silica.</w:t>
      </w:r>
    </w:p>
    <w:p w14:paraId="00E6A1FB" w14:textId="6DD77719" w:rsidR="00137A60" w:rsidRPr="000F1DE6" w:rsidRDefault="00137A60" w:rsidP="00137A60">
      <w:pPr>
        <w:pStyle w:val="Paragraph"/>
        <w:rPr>
          <w:rFonts w:eastAsia="Aptos"/>
          <w:b/>
        </w:rPr>
      </w:pPr>
      <w:r w:rsidRPr="000F1DE6">
        <w:rPr>
          <w:rFonts w:eastAsia="Aptos"/>
        </w:rPr>
        <w:t xml:space="preserve">Therefore, this Review recommends that Safe Work </w:t>
      </w:r>
      <w:r w:rsidRPr="00F83DFE">
        <w:rPr>
          <w:rFonts w:eastAsia="Aptos"/>
        </w:rPr>
        <w:t>Australia should:</w:t>
      </w:r>
    </w:p>
    <w:p w14:paraId="2AE0C68B" w14:textId="77777777" w:rsidR="00137A60" w:rsidRPr="00A54EF4" w:rsidRDefault="00137A60" w:rsidP="003E1F2F">
      <w:pPr>
        <w:pStyle w:val="ListBullet"/>
        <w:rPr>
          <w:rFonts w:eastAsia="Aptos"/>
        </w:rPr>
      </w:pPr>
      <w:r w:rsidRPr="00A54EF4">
        <w:t>examine whether existing duties and definitions adequately capture products that generate ha</w:t>
      </w:r>
      <w:r w:rsidRPr="00A54EF4">
        <w:rPr>
          <w:rFonts w:eastAsia="Aptos"/>
        </w:rPr>
        <w:t xml:space="preserve">zards when processed, particularly where those products are not hazardous in their unprocessed state (see </w:t>
      </w:r>
      <w:r w:rsidRPr="00A54EF4">
        <w:rPr>
          <w:rFonts w:eastAsia="Aptos"/>
          <w:b/>
        </w:rPr>
        <w:t>Appendix G</w:t>
      </w:r>
      <w:r w:rsidRPr="00A54EF4">
        <w:rPr>
          <w:rFonts w:eastAsia="Aptos"/>
        </w:rPr>
        <w:t>,</w:t>
      </w:r>
      <w:r w:rsidRPr="00A54EF4">
        <w:rPr>
          <w:rFonts w:eastAsia="Aptos"/>
          <w:b/>
        </w:rPr>
        <w:t xml:space="preserve"> 6i</w:t>
      </w:r>
      <w:r w:rsidRPr="00A54EF4">
        <w:rPr>
          <w:rFonts w:eastAsia="Aptos"/>
        </w:rPr>
        <w:t>)</w:t>
      </w:r>
    </w:p>
    <w:p w14:paraId="52925AD6" w14:textId="77777777" w:rsidR="00F30C24" w:rsidRPr="00A54EF4" w:rsidRDefault="00F30C24" w:rsidP="003E1F2F">
      <w:pPr>
        <w:pStyle w:val="ListBullet"/>
      </w:pPr>
      <w:r w:rsidRPr="00A54EF4">
        <w:t xml:space="preserve">assess whether current labelling and safety information requirements, including safety data </w:t>
      </w:r>
      <w:r w:rsidRPr="00A54EF4">
        <w:rPr>
          <w:rFonts w:eastAsia="Aptos"/>
        </w:rPr>
        <w:t>sheets</w:t>
      </w:r>
      <w:r w:rsidRPr="00A54EF4">
        <w:t xml:space="preserve"> (SDS), consistently and appropriately inform downstream users of processing</w:t>
      </w:r>
      <w:r w:rsidRPr="00A54EF4">
        <w:noBreakHyphen/>
        <w:t xml:space="preserve">related risks (see </w:t>
      </w:r>
      <w:r w:rsidRPr="00A54EF4">
        <w:rPr>
          <w:b/>
        </w:rPr>
        <w:t>Appendix G</w:t>
      </w:r>
      <w:r w:rsidRPr="00A54EF4">
        <w:t>,</w:t>
      </w:r>
      <w:r w:rsidRPr="00A54EF4">
        <w:rPr>
          <w:b/>
        </w:rPr>
        <w:t xml:space="preserve"> 6ii</w:t>
      </w:r>
      <w:r w:rsidRPr="00A54EF4">
        <w:t>)</w:t>
      </w:r>
    </w:p>
    <w:p w14:paraId="53B3B7F5" w14:textId="77777777" w:rsidR="00F30C24" w:rsidRPr="00A54EF4" w:rsidRDefault="00F30C24" w:rsidP="003E1F2F">
      <w:pPr>
        <w:pStyle w:val="ListBullet"/>
      </w:pPr>
      <w:r w:rsidRPr="00A54EF4">
        <w:t xml:space="preserve">consider how to address processing-related risks where labelling and safety </w:t>
      </w:r>
      <w:r w:rsidRPr="00A54EF4">
        <w:rPr>
          <w:rFonts w:eastAsia="Aptos"/>
        </w:rPr>
        <w:t>information</w:t>
      </w:r>
      <w:r w:rsidRPr="00A54EF4">
        <w:t xml:space="preserve"> requirements are found to be inadequate (see </w:t>
      </w:r>
      <w:r w:rsidRPr="00A54EF4">
        <w:rPr>
          <w:b/>
        </w:rPr>
        <w:t>Appendix G</w:t>
      </w:r>
      <w:r w:rsidRPr="00A54EF4">
        <w:t>,</w:t>
      </w:r>
      <w:r w:rsidRPr="00A54EF4">
        <w:rPr>
          <w:b/>
        </w:rPr>
        <w:t xml:space="preserve"> 6iii</w:t>
      </w:r>
      <w:r w:rsidRPr="00A54EF4">
        <w:t>)</w:t>
      </w:r>
    </w:p>
    <w:p w14:paraId="7907A26B" w14:textId="1AA88920" w:rsidR="008A64FC" w:rsidRPr="00A54EF4" w:rsidRDefault="00F30C24" w:rsidP="003E1F2F">
      <w:pPr>
        <w:pStyle w:val="ListBullet"/>
      </w:pPr>
      <w:r w:rsidRPr="00A54EF4">
        <w:t>commence</w:t>
      </w:r>
      <w:r w:rsidRPr="00A54EF4">
        <w:rPr>
          <w:rFonts w:eastAsia="MS Mincho" w:cs="Arial"/>
          <w:color w:val="000000" w:themeColor="text1"/>
        </w:rPr>
        <w:t xml:space="preserve"> consideration of whether there is a legislative gap in relation to the legal capacity of inspectors to issue compliance notices where prohibited work is being done (see </w:t>
      </w:r>
      <w:r w:rsidR="00407244" w:rsidRPr="00A54EF4">
        <w:rPr>
          <w:rFonts w:eastAsia="MS Mincho" w:cs="Arial"/>
          <w:b/>
          <w:color w:val="000000" w:themeColor="text1"/>
        </w:rPr>
        <w:t>Appendix</w:t>
      </w:r>
      <w:r w:rsidR="00407244">
        <w:rPr>
          <w:rFonts w:eastAsia="MS Mincho" w:cs="Arial"/>
          <w:b/>
          <w:color w:val="000000" w:themeColor="text1"/>
        </w:rPr>
        <w:t> </w:t>
      </w:r>
      <w:r w:rsidRPr="00A54EF4">
        <w:rPr>
          <w:rFonts w:eastAsia="MS Mincho" w:cs="Arial"/>
          <w:b/>
          <w:color w:val="000000" w:themeColor="text1"/>
        </w:rPr>
        <w:t>G</w:t>
      </w:r>
      <w:r w:rsidR="00407244" w:rsidRPr="00A54EF4">
        <w:rPr>
          <w:rFonts w:eastAsia="MS Mincho" w:cs="Arial"/>
          <w:color w:val="000000" w:themeColor="text1"/>
        </w:rPr>
        <w:t>,</w:t>
      </w:r>
      <w:r w:rsidR="00407244">
        <w:rPr>
          <w:rFonts w:eastAsia="MS Mincho" w:cs="Arial"/>
          <w:b/>
          <w:color w:val="000000" w:themeColor="text1"/>
        </w:rPr>
        <w:t> </w:t>
      </w:r>
      <w:r w:rsidRPr="00A54EF4">
        <w:rPr>
          <w:rFonts w:eastAsia="MS Mincho" w:cs="Arial"/>
          <w:b/>
          <w:color w:val="000000" w:themeColor="text1"/>
        </w:rPr>
        <w:t>7</w:t>
      </w:r>
      <w:r w:rsidRPr="00A54EF4">
        <w:rPr>
          <w:rFonts w:eastAsia="MS Mincho" w:cs="Arial"/>
          <w:color w:val="000000" w:themeColor="text1"/>
        </w:rPr>
        <w:t>)</w:t>
      </w:r>
      <w:r w:rsidRPr="00A54EF4">
        <w:rPr>
          <w:rFonts w:eastAsia="Aptos"/>
        </w:rPr>
        <w:t>.</w:t>
      </w:r>
    </w:p>
    <w:p w14:paraId="1746D61B" w14:textId="5897D7AF" w:rsidR="008C7A5C" w:rsidRPr="000F1DE6" w:rsidRDefault="008C7A5C" w:rsidP="00006E95">
      <w:pPr>
        <w:pStyle w:val="SWAHeading3"/>
      </w:pPr>
      <w:bookmarkStart w:id="96" w:name="_Toc227588223"/>
      <w:bookmarkStart w:id="97" w:name="_Toc228256118"/>
      <w:r w:rsidRPr="000F1DE6">
        <w:t>Underground and overhead facilities</w:t>
      </w:r>
      <w:bookmarkEnd w:id="96"/>
      <w:bookmarkEnd w:id="97"/>
      <w:r w:rsidRPr="000F1DE6">
        <w:t xml:space="preserve"> (r</w:t>
      </w:r>
      <w:r w:rsidR="00266F39">
        <w:t>eg</w:t>
      </w:r>
      <w:r w:rsidRPr="000F1DE6">
        <w:t xml:space="preserve"> 166, model WHS Regulations)</w:t>
      </w:r>
    </w:p>
    <w:p w14:paraId="13908E25" w14:textId="77777777" w:rsidR="008C7A5C" w:rsidRPr="000D26F7" w:rsidRDefault="008C7A5C" w:rsidP="00BF204D">
      <w:pPr>
        <w:pStyle w:val="Boxedshaded"/>
        <w:rPr>
          <w:b/>
          <w:bCs/>
        </w:rPr>
      </w:pPr>
      <w:r w:rsidRPr="000D26F7">
        <w:rPr>
          <w:b/>
          <w:bCs/>
        </w:rPr>
        <w:t>What we heard</w:t>
      </w:r>
    </w:p>
    <w:p w14:paraId="6A319FA8" w14:textId="77777777" w:rsidR="00F21CE3" w:rsidRDefault="008C7A5C" w:rsidP="00BF204D">
      <w:pPr>
        <w:pStyle w:val="Boxedshaded"/>
      </w:pPr>
      <w:r w:rsidRPr="000F1DE6">
        <w:t>A submission from the underground services industry noted that jurisdictional differences in the stand-off distances, requirements for use of spotters, and no-go-zone locations for overhead and underground power lines were causing confusion for PCBUs.</w:t>
      </w:r>
      <w:r w:rsidRPr="000F1DE6">
        <w:rPr>
          <w:rStyle w:val="FootnoteReference"/>
          <w:rFonts w:eastAsia="Aptos" w:cs="Aptos"/>
          <w:color w:val="000000" w:themeColor="text1"/>
        </w:rPr>
        <w:footnoteReference w:id="609"/>
      </w:r>
    </w:p>
    <w:p w14:paraId="311FE197" w14:textId="043E6EE9" w:rsidR="008C7A5C" w:rsidRPr="000F1DE6" w:rsidRDefault="008C7A5C" w:rsidP="000D26F7">
      <w:pPr>
        <w:pStyle w:val="SWAHeading4"/>
      </w:pPr>
      <w:r w:rsidRPr="000F1DE6">
        <w:t>Discussion and recommendations</w:t>
      </w:r>
    </w:p>
    <w:p w14:paraId="2F1E33A6" w14:textId="1993C3FF" w:rsidR="000D26F7" w:rsidRDefault="008C7A5C" w:rsidP="00006E95">
      <w:pPr>
        <w:pStyle w:val="Paragraph"/>
      </w:pPr>
      <w:r w:rsidRPr="000F1DE6">
        <w:t xml:space="preserve">While some of these requirements are drawn from jurisdictional electricity safety legislation, others, including the use of spotters, could be harmonised within the model WHS Regulations, to provide for the most consistent possible safety standards. This Review therefore recommends this issue be considered as part of the model WHS Regulations modernisation project recommended in </w:t>
      </w:r>
      <w:r w:rsidRPr="007A0A92">
        <w:rPr>
          <w:b/>
        </w:rPr>
        <w:t>Chapter 7</w:t>
      </w:r>
      <w:r w:rsidRPr="000F1DE6">
        <w:t xml:space="preserve"> (see </w:t>
      </w:r>
      <w:r w:rsidRPr="000F1DE6">
        <w:rPr>
          <w:b/>
        </w:rPr>
        <w:t>Appendix G</w:t>
      </w:r>
      <w:r w:rsidRPr="00127667">
        <w:t>,</w:t>
      </w:r>
      <w:r w:rsidRPr="000F1DE6">
        <w:rPr>
          <w:b/>
        </w:rPr>
        <w:t xml:space="preserve"> 8</w:t>
      </w:r>
      <w:r w:rsidRPr="000F1DE6">
        <w:t>).</w:t>
      </w:r>
    </w:p>
    <w:p w14:paraId="54D2D63E" w14:textId="77777777" w:rsidR="000D26F7" w:rsidRDefault="000D26F7">
      <w:pPr>
        <w:spacing w:after="200" w:line="276" w:lineRule="auto"/>
        <w:contextualSpacing w:val="0"/>
        <w:rPr>
          <w:rFonts w:asciiTheme="minorHAnsi" w:eastAsia="Times New Roman" w:hAnsiTheme="minorHAnsi"/>
          <w:lang w:eastAsia="en-AU"/>
        </w:rPr>
      </w:pPr>
      <w:r>
        <w:br w:type="page"/>
      </w:r>
    </w:p>
    <w:p w14:paraId="34B04052" w14:textId="77777777" w:rsidR="008C7A5C" w:rsidRPr="000F1DE6" w:rsidRDefault="008C7A5C" w:rsidP="00006E95">
      <w:pPr>
        <w:pStyle w:val="SWAHeading3"/>
      </w:pPr>
      <w:r w:rsidRPr="000F1DE6">
        <w:lastRenderedPageBreak/>
        <w:t xml:space="preserve">Major </w:t>
      </w:r>
      <w:r w:rsidRPr="0070332F">
        <w:t>hazard</w:t>
      </w:r>
      <w:r w:rsidRPr="000F1DE6">
        <w:t xml:space="preserve"> facilities (Chapter 9, model WHS Regulations)</w:t>
      </w:r>
    </w:p>
    <w:p w14:paraId="68A05B89" w14:textId="77777777" w:rsidR="008C7A5C" w:rsidRPr="000D26F7" w:rsidRDefault="008C7A5C" w:rsidP="00BF204D">
      <w:pPr>
        <w:pStyle w:val="Boxedshaded"/>
        <w:rPr>
          <w:b/>
          <w:bCs/>
        </w:rPr>
      </w:pPr>
      <w:r w:rsidRPr="000D26F7">
        <w:rPr>
          <w:b/>
          <w:bCs/>
        </w:rPr>
        <w:t>What we heard</w:t>
      </w:r>
    </w:p>
    <w:p w14:paraId="45996F60" w14:textId="77777777" w:rsidR="00F21CE3" w:rsidRDefault="008C7A5C" w:rsidP="00BF204D">
      <w:pPr>
        <w:pStyle w:val="Boxedshaded"/>
      </w:pPr>
      <w:r w:rsidRPr="000F1DE6">
        <w:t>SafeWork NSW called for a review to clarify and update changing industry definitions and practices regarding plant and structures, and the treatment of hazardous substances (such as lithium-ion), within the model WHS framework to keep pace with changes in the workplace.</w:t>
      </w:r>
      <w:r w:rsidRPr="000F1DE6">
        <w:rPr>
          <w:rStyle w:val="FootnoteReference"/>
          <w:rFonts w:cs="Arial"/>
        </w:rPr>
        <w:footnoteReference w:id="610"/>
      </w:r>
      <w:r w:rsidRPr="000F1DE6">
        <w:t xml:space="preserve"> DCCEEW noted the WHS implications of a number of aspects of the transition to green energy for Australia, including having access to necessary manufacturer information for specialised equipment sourced from overseas to ensure Australian WHS requirements are being met; and the future use of uncrewed and automated facilities.</w:t>
      </w:r>
    </w:p>
    <w:p w14:paraId="3D8843D5" w14:textId="77777777" w:rsidR="00F21CE3" w:rsidRDefault="008C7A5C" w:rsidP="00BF204D">
      <w:pPr>
        <w:pStyle w:val="Boxedshaded"/>
      </w:pPr>
      <w:r w:rsidRPr="000F1DE6">
        <w:t>R2A (due diligence engineers) noted there is a misalignment between planning and WHS laws and that</w:t>
      </w:r>
      <w:r>
        <w:t>,</w:t>
      </w:r>
      <w:r w:rsidRPr="000F1DE6">
        <w:t xml:space="preserve"> in the absence of a specific legal requirement, hazards associated with </w:t>
      </w:r>
      <w:r>
        <w:t xml:space="preserve">major hazard facilities (MHF) </w:t>
      </w:r>
      <w:r w:rsidRPr="000F1DE6">
        <w:t>and dangerous goods are often not eliminated or minimised at the early design stage, where it is most feasible.</w:t>
      </w:r>
      <w:r w:rsidRPr="000F1DE6">
        <w:rPr>
          <w:rStyle w:val="FootnoteReference"/>
          <w:rFonts w:cs="Arial"/>
        </w:rPr>
        <w:footnoteReference w:id="611"/>
      </w:r>
      <w:r w:rsidRPr="000F1DE6">
        <w:t xml:space="preserve"> DCCEEW also noted the intersection between WHS and planning decisions.</w:t>
      </w:r>
      <w:r w:rsidRPr="000F1DE6">
        <w:rPr>
          <w:rStyle w:val="FootnoteReference"/>
          <w:rFonts w:cs="Arial"/>
        </w:rPr>
        <w:footnoteReference w:id="612"/>
      </w:r>
    </w:p>
    <w:p w14:paraId="74A61FEB" w14:textId="2A52976F" w:rsidR="008C7A5C" w:rsidRPr="000F1DE6" w:rsidRDefault="008C7A5C" w:rsidP="000D26F7">
      <w:pPr>
        <w:pStyle w:val="SWAHeading4"/>
        <w:rPr>
          <w:rFonts w:eastAsia="Aptos"/>
        </w:rPr>
      </w:pPr>
      <w:r w:rsidRPr="000F1DE6">
        <w:t>Discussion and recommendations</w:t>
      </w:r>
    </w:p>
    <w:p w14:paraId="059A4710" w14:textId="77777777" w:rsidR="00F21CE3" w:rsidRDefault="008C7A5C" w:rsidP="00006E95">
      <w:pPr>
        <w:pStyle w:val="Paragraph"/>
        <w:rPr>
          <w:rFonts w:eastAsia="Aptos"/>
          <w:szCs w:val="22"/>
        </w:rPr>
      </w:pPr>
      <w:r w:rsidRPr="000F1DE6">
        <w:t xml:space="preserve">This </w:t>
      </w:r>
      <w:r w:rsidRPr="000F1DE6">
        <w:rPr>
          <w:rFonts w:eastAsia="Aptos"/>
        </w:rPr>
        <w:t xml:space="preserve">Review recommends </w:t>
      </w:r>
      <w:r w:rsidRPr="000F1DE6">
        <w:rPr>
          <w:rFonts w:eastAsia="Aptos"/>
          <w:szCs w:val="22"/>
        </w:rPr>
        <w:t>the</w:t>
      </w:r>
      <w:r w:rsidRPr="000F1DE6">
        <w:rPr>
          <w:rFonts w:eastAsia="Aptos"/>
        </w:rPr>
        <w:t xml:space="preserve"> definitions in the </w:t>
      </w:r>
      <w:r w:rsidRPr="000F1DE6">
        <w:rPr>
          <w:rFonts w:eastAsia="Aptos"/>
          <w:szCs w:val="22"/>
        </w:rPr>
        <w:t>model WHS Regulations</w:t>
      </w:r>
      <w:r w:rsidRPr="000F1DE6">
        <w:rPr>
          <w:rFonts w:eastAsia="Aptos"/>
        </w:rPr>
        <w:t xml:space="preserve"> should be considered through the proposed model WHS Regulations modernisation project (see </w:t>
      </w:r>
      <w:r w:rsidRPr="001E1918">
        <w:rPr>
          <w:rFonts w:eastAsia="Aptos"/>
          <w:b/>
        </w:rPr>
        <w:t>Chapter 7</w:t>
      </w:r>
      <w:r w:rsidRPr="000F1DE6">
        <w:rPr>
          <w:rFonts w:eastAsia="Aptos"/>
        </w:rPr>
        <w:t xml:space="preserve">) </w:t>
      </w:r>
      <w:r w:rsidRPr="000F1DE6">
        <w:rPr>
          <w:rFonts w:eastAsia="Aptos"/>
          <w:szCs w:val="22"/>
        </w:rPr>
        <w:t>to ensure they reflect modern working environments and equipment</w:t>
      </w:r>
      <w:r w:rsidRPr="000F1DE6">
        <w:rPr>
          <w:rFonts w:eastAsia="Aptos"/>
        </w:rPr>
        <w:t xml:space="preserve">. It also recommends consideration </w:t>
      </w:r>
      <w:r>
        <w:rPr>
          <w:rFonts w:eastAsia="Aptos"/>
        </w:rPr>
        <w:t xml:space="preserve">be </w:t>
      </w:r>
      <w:r w:rsidRPr="000F1DE6">
        <w:rPr>
          <w:rFonts w:eastAsia="Aptos"/>
        </w:rPr>
        <w:t>given to potential new model WHS regulations to regulate</w:t>
      </w:r>
      <w:r w:rsidRPr="000F1DE6">
        <w:rPr>
          <w:rFonts w:eastAsia="Aptos"/>
          <w:szCs w:val="22"/>
        </w:rPr>
        <w:t xml:space="preserve"> dangerous goods and MHFs to ensure the</w:t>
      </w:r>
      <w:r w:rsidRPr="000F1DE6">
        <w:rPr>
          <w:rFonts w:eastAsia="Aptos"/>
        </w:rPr>
        <w:t>y</w:t>
      </w:r>
      <w:r w:rsidRPr="000F1DE6">
        <w:rPr>
          <w:rFonts w:eastAsia="Aptos"/>
          <w:szCs w:val="22"/>
        </w:rPr>
        <w:t xml:space="preserve"> remain </w:t>
      </w:r>
      <w:r w:rsidRPr="000F1DE6">
        <w:rPr>
          <w:rFonts w:eastAsia="Aptos"/>
        </w:rPr>
        <w:t xml:space="preserve">current and </w:t>
      </w:r>
      <w:r w:rsidRPr="000F1DE6">
        <w:rPr>
          <w:rFonts w:eastAsia="Aptos"/>
          <w:szCs w:val="22"/>
        </w:rPr>
        <w:t xml:space="preserve">fit for purpose (see </w:t>
      </w:r>
      <w:r w:rsidRPr="000F1DE6">
        <w:rPr>
          <w:rFonts w:eastAsia="Aptos"/>
          <w:b/>
          <w:szCs w:val="22"/>
        </w:rPr>
        <w:t>Appendix G</w:t>
      </w:r>
      <w:r w:rsidRPr="00A61E39">
        <w:rPr>
          <w:rFonts w:eastAsia="Aptos"/>
          <w:szCs w:val="22"/>
        </w:rPr>
        <w:t>,</w:t>
      </w:r>
      <w:r w:rsidRPr="000F1DE6">
        <w:rPr>
          <w:rFonts w:eastAsia="Aptos"/>
          <w:b/>
          <w:szCs w:val="22"/>
        </w:rPr>
        <w:t xml:space="preserve"> 9</w:t>
      </w:r>
      <w:r w:rsidRPr="000F1DE6">
        <w:rPr>
          <w:rFonts w:eastAsia="Aptos"/>
          <w:szCs w:val="22"/>
        </w:rPr>
        <w:t>).</w:t>
      </w:r>
    </w:p>
    <w:p w14:paraId="73DC50C8" w14:textId="77777777" w:rsidR="00F21CE3" w:rsidRDefault="006947F8" w:rsidP="007828B2">
      <w:pPr>
        <w:pStyle w:val="SWAHeading3"/>
      </w:pPr>
      <w:r w:rsidRPr="000F1DE6">
        <w:t>Harmful chemicals (Part 3.2, r</w:t>
      </w:r>
      <w:r>
        <w:t>egs</w:t>
      </w:r>
      <w:r w:rsidRPr="000F1DE6">
        <w:t xml:space="preserve"> 49–50; </w:t>
      </w:r>
      <w:r w:rsidRPr="007828B2">
        <w:t>Parts</w:t>
      </w:r>
      <w:r w:rsidRPr="000F1DE6">
        <w:t xml:space="preserve"> 7.1, 7.2, and Chapter 8, model WHS Regulations)</w:t>
      </w:r>
    </w:p>
    <w:p w14:paraId="2ADE0380" w14:textId="77777777" w:rsidR="00F21CE3" w:rsidRDefault="006947F8" w:rsidP="006947F8">
      <w:pPr>
        <w:pStyle w:val="Paragraph"/>
      </w:pPr>
      <w:r w:rsidRPr="000F1DE6">
        <w:rPr>
          <w:rFonts w:eastAsia="Aptos"/>
        </w:rPr>
        <w:t xml:space="preserve">Safe Work </w:t>
      </w:r>
      <w:r w:rsidRPr="000F1DE6">
        <w:rPr>
          <w:rFonts w:eastAsia="Aptos"/>
          <w:szCs w:val="22"/>
        </w:rPr>
        <w:t>Australia is currently undertaking a number of reviews in relation to harmful chemicals and other substances that can impact worker health.</w:t>
      </w:r>
    </w:p>
    <w:p w14:paraId="004F6E01" w14:textId="77777777" w:rsidR="00F21CE3" w:rsidRDefault="006947F8" w:rsidP="00BF204D">
      <w:pPr>
        <w:pStyle w:val="Boxedshaded"/>
        <w:rPr>
          <w:b/>
          <w:bCs/>
        </w:rPr>
      </w:pPr>
      <w:r w:rsidRPr="000D26F7">
        <w:rPr>
          <w:b/>
          <w:bCs/>
        </w:rPr>
        <w:t>What we heard</w:t>
      </w:r>
    </w:p>
    <w:p w14:paraId="497C357B" w14:textId="77777777" w:rsidR="00F21CE3" w:rsidRDefault="006947F8" w:rsidP="00BF204D">
      <w:pPr>
        <w:pStyle w:val="Boxedshaded"/>
      </w:pPr>
      <w:r w:rsidRPr="000F1DE6">
        <w:t>This Review heard significant feedba</w:t>
      </w:r>
      <w:r w:rsidRPr="00322530">
        <w:t>c</w:t>
      </w:r>
      <w:r w:rsidRPr="000F1DE6">
        <w:t>k about these issues, including in relation to:</w:t>
      </w:r>
    </w:p>
    <w:p w14:paraId="0A24E03B" w14:textId="77777777" w:rsidR="00F21CE3" w:rsidRDefault="006947F8" w:rsidP="00BF204D">
      <w:pPr>
        <w:pStyle w:val="Boxedshadedbullets"/>
      </w:pPr>
      <w:r w:rsidRPr="000F1DE6">
        <w:t>WA variations to the threshold for health monitoring</w:t>
      </w:r>
      <w:r w:rsidRPr="000F1DE6">
        <w:rPr>
          <w:rStyle w:val="FootnoteReference"/>
          <w:rFonts w:eastAsia="Aptos" w:cs="Aptos"/>
        </w:rPr>
        <w:footnoteReference w:id="613"/>
      </w:r>
    </w:p>
    <w:p w14:paraId="733A90AE" w14:textId="77777777" w:rsidR="00F21CE3" w:rsidRDefault="006947F8" w:rsidP="00BF204D">
      <w:pPr>
        <w:pStyle w:val="Boxedshadedbullets"/>
      </w:pPr>
      <w:r w:rsidRPr="000F1DE6">
        <w:t>the duty on medical practitioners to give health monitoring reports to the regulator</w:t>
      </w:r>
      <w:r w:rsidRPr="000F1DE6">
        <w:rPr>
          <w:rStyle w:val="FootnoteReference"/>
          <w:rFonts w:eastAsia="Aptos" w:cs="Aptos"/>
        </w:rPr>
        <w:footnoteReference w:id="614"/>
      </w:r>
    </w:p>
    <w:p w14:paraId="4E37F5BD" w14:textId="43BAE045" w:rsidR="006947F8" w:rsidRDefault="006947F8" w:rsidP="00BF204D">
      <w:pPr>
        <w:pStyle w:val="Boxedshadedbullets"/>
      </w:pPr>
      <w:r w:rsidRPr="000F1DE6">
        <w:t>workplace exposure limits (WEL)</w:t>
      </w:r>
      <w:r w:rsidRPr="000F1DE6">
        <w:rPr>
          <w:rStyle w:val="FootnoteReference"/>
          <w:rFonts w:eastAsia="Aptos" w:cs="Aptos"/>
        </w:rPr>
        <w:footnoteReference w:id="615"/>
      </w:r>
    </w:p>
    <w:p w14:paraId="66105D6E" w14:textId="77777777" w:rsidR="00F21CE3" w:rsidRDefault="006947F8" w:rsidP="00BF204D">
      <w:pPr>
        <w:pStyle w:val="Boxedshadedbullets"/>
      </w:pPr>
      <w:r w:rsidRPr="000F1DE6">
        <w:t>asbestos</w:t>
      </w:r>
      <w:r w:rsidR="00FA08F9">
        <w:t>,</w:t>
      </w:r>
      <w:r w:rsidRPr="000F1DE6">
        <w:rPr>
          <w:rStyle w:val="FootnoteReference"/>
          <w:rFonts w:eastAsia="Aptos" w:cs="Aptos"/>
        </w:rPr>
        <w:footnoteReference w:id="616"/>
      </w:r>
      <w:r>
        <w:t xml:space="preserve"> and</w:t>
      </w:r>
    </w:p>
    <w:p w14:paraId="1D36391A" w14:textId="28CD4658" w:rsidR="006947F8" w:rsidRPr="000F1DE6" w:rsidRDefault="006947F8" w:rsidP="00BF204D">
      <w:pPr>
        <w:pStyle w:val="Boxedshadedbullets"/>
      </w:pPr>
      <w:r w:rsidRPr="000F1DE6">
        <w:t>lead.</w:t>
      </w:r>
      <w:r w:rsidRPr="000F1DE6">
        <w:rPr>
          <w:rStyle w:val="FootnoteReference"/>
          <w:rFonts w:eastAsia="Aptos" w:cs="Aptos"/>
        </w:rPr>
        <w:footnoteReference w:id="617"/>
      </w:r>
    </w:p>
    <w:p w14:paraId="75D02F0E" w14:textId="77777777" w:rsidR="000D26F7" w:rsidRDefault="000D26F7" w:rsidP="000D26F7">
      <w:pPr>
        <w:pStyle w:val="Paragraph"/>
        <w:rPr>
          <w:rFonts w:eastAsiaTheme="majorEastAsia"/>
        </w:rPr>
      </w:pPr>
      <w:r>
        <w:br w:type="page"/>
      </w:r>
    </w:p>
    <w:p w14:paraId="44395B42" w14:textId="69BC3F2A" w:rsidR="006947F8" w:rsidRPr="000F1DE6" w:rsidRDefault="006947F8" w:rsidP="000D26F7">
      <w:pPr>
        <w:pStyle w:val="SWAHeading4"/>
      </w:pPr>
      <w:r w:rsidRPr="000F1DE6">
        <w:lastRenderedPageBreak/>
        <w:t>Discussion and recommendations</w:t>
      </w:r>
    </w:p>
    <w:p w14:paraId="73096162" w14:textId="5F344270" w:rsidR="003E1C21" w:rsidRPr="00907392" w:rsidRDefault="006947F8" w:rsidP="00907392">
      <w:pPr>
        <w:pStyle w:val="Paragraph"/>
        <w:rPr>
          <w:rFonts w:eastAsia="Aptos"/>
        </w:rPr>
      </w:pPr>
      <w:r w:rsidRPr="000F1DE6">
        <w:rPr>
          <w:rFonts w:eastAsia="Aptos"/>
        </w:rPr>
        <w:t xml:space="preserve">The issues raised in submissions on these matters will be considered through Safe Work Australia’s current reviews of the health and air monitoring frameworks, the </w:t>
      </w:r>
      <w:r w:rsidRPr="00956CEF">
        <w:rPr>
          <w:rFonts w:eastAsia="Aptos"/>
        </w:rPr>
        <w:t>Asbestos Framework Review</w:t>
      </w:r>
      <w:r w:rsidRPr="000F1DE6">
        <w:rPr>
          <w:rStyle w:val="FootnoteReference"/>
          <w:rFonts w:eastAsia="Aptos"/>
        </w:rPr>
        <w:footnoteReference w:id="618"/>
      </w:r>
      <w:r w:rsidRPr="000F1DE6">
        <w:rPr>
          <w:rFonts w:eastAsia="Aptos"/>
        </w:rPr>
        <w:t xml:space="preserve"> and consultation on proposed changes to better protect workers from lead exposure.</w:t>
      </w:r>
      <w:bookmarkStart w:id="98" w:name="_Toc227588214"/>
      <w:bookmarkStart w:id="99" w:name="_Toc228256109"/>
    </w:p>
    <w:p w14:paraId="6ED5D7E3" w14:textId="77777777" w:rsidR="00F21CE3" w:rsidRDefault="006947F8" w:rsidP="005374FD">
      <w:pPr>
        <w:pStyle w:val="SWAHeading3"/>
      </w:pPr>
      <w:r w:rsidRPr="000F1DE6">
        <w:t>Lasers</w:t>
      </w:r>
      <w:bookmarkEnd w:id="98"/>
      <w:bookmarkEnd w:id="99"/>
      <w:r w:rsidRPr="000F1DE6">
        <w:t xml:space="preserve"> (Part 5.1, r</w:t>
      </w:r>
      <w:r>
        <w:t>eg</w:t>
      </w:r>
      <w:r w:rsidRPr="000F1DE6">
        <w:t xml:space="preserve"> 223</w:t>
      </w:r>
      <w:r w:rsidR="00266F39">
        <w:t>,</w:t>
      </w:r>
      <w:r w:rsidRPr="000F1DE6">
        <w:t xml:space="preserve"> model WHS Regulations)</w:t>
      </w:r>
    </w:p>
    <w:p w14:paraId="04BFE54E" w14:textId="1CDD3F65" w:rsidR="006947F8" w:rsidRPr="000D26F7" w:rsidRDefault="006947F8" w:rsidP="00BF204D">
      <w:pPr>
        <w:pStyle w:val="Boxedshaded"/>
        <w:rPr>
          <w:rFonts w:eastAsia="Aptos"/>
          <w:b/>
          <w:bCs/>
        </w:rPr>
      </w:pPr>
      <w:r w:rsidRPr="000D26F7">
        <w:rPr>
          <w:b/>
          <w:bCs/>
        </w:rPr>
        <w:t>What we heard</w:t>
      </w:r>
    </w:p>
    <w:p w14:paraId="50CCA00D" w14:textId="77777777" w:rsidR="006947F8" w:rsidRPr="000F1DE6" w:rsidRDefault="006947F8" w:rsidP="00BF204D">
      <w:pPr>
        <w:pStyle w:val="Boxedshaded"/>
      </w:pPr>
      <w:r w:rsidRPr="000F1DE6">
        <w:t>An anonymous submission to this Review raised concerns about coverage of the use of Class 3B and Class 4 lasers in construction work under the model WHS Regulations. The submission noted inconsistent interpretation of</w:t>
      </w:r>
      <w:r>
        <w:t xml:space="preserve"> </w:t>
      </w:r>
      <w:r w:rsidRPr="000F1DE6">
        <w:t>the model WHS Regulations in relation to lasers</w:t>
      </w:r>
      <w:r>
        <w:t>;</w:t>
      </w:r>
      <w:r w:rsidRPr="000F1DE6">
        <w:t xml:space="preserve"> and out-of-date guidance materials.</w:t>
      </w:r>
      <w:r w:rsidRPr="000F1DE6">
        <w:rPr>
          <w:rStyle w:val="FootnoteReference"/>
          <w:rFonts w:eastAsia="Aptos" w:cs="Aptos"/>
          <w:color w:val="000000" w:themeColor="text1"/>
        </w:rPr>
        <w:footnoteReference w:id="619"/>
      </w:r>
    </w:p>
    <w:p w14:paraId="5524EDD6" w14:textId="77777777" w:rsidR="006947F8" w:rsidRPr="000F1DE6" w:rsidRDefault="006947F8" w:rsidP="000D26F7">
      <w:pPr>
        <w:pStyle w:val="SWAHeading4"/>
        <w:rPr>
          <w:rFonts w:eastAsia="Aptos"/>
        </w:rPr>
      </w:pPr>
      <w:r w:rsidRPr="000F1DE6">
        <w:t>Discussion and recommendations</w:t>
      </w:r>
    </w:p>
    <w:p w14:paraId="0C1504AD" w14:textId="244C859C" w:rsidR="00576F3C" w:rsidRDefault="006947F8" w:rsidP="000D26F7">
      <w:pPr>
        <w:pStyle w:val="Paragraph"/>
        <w:rPr>
          <w:rFonts w:eastAsia="Aptos"/>
        </w:rPr>
      </w:pPr>
      <w:r w:rsidRPr="000F1DE6">
        <w:rPr>
          <w:rFonts w:eastAsia="Aptos"/>
        </w:rPr>
        <w:t xml:space="preserve">The model WHS Regulations do not account for new construction-related laser applications such as laser cleaning, welding and cutting. This Review recommends this issue be examined and clarified through the model WHS Regulations modernisation project (see </w:t>
      </w:r>
      <w:r w:rsidRPr="0037620F">
        <w:rPr>
          <w:rFonts w:eastAsia="Aptos"/>
          <w:b/>
        </w:rPr>
        <w:t>Chapter 7</w:t>
      </w:r>
      <w:r w:rsidRPr="000F1DE6">
        <w:rPr>
          <w:rFonts w:eastAsiaTheme="minorHAnsi" w:cs="Calibri"/>
          <w:szCs w:val="22"/>
          <w:lang w:eastAsia="en-US"/>
        </w:rPr>
        <w:t xml:space="preserve"> </w:t>
      </w:r>
      <w:r w:rsidRPr="000F1DE6">
        <w:rPr>
          <w:rFonts w:eastAsia="Aptos"/>
        </w:rPr>
        <w:t xml:space="preserve">and </w:t>
      </w:r>
      <w:r w:rsidRPr="000F1DE6">
        <w:rPr>
          <w:rFonts w:eastAsia="Aptos"/>
          <w:b/>
          <w:bCs/>
        </w:rPr>
        <w:t>Appendix G</w:t>
      </w:r>
      <w:r w:rsidRPr="00BD27EE">
        <w:rPr>
          <w:rFonts w:eastAsia="Aptos"/>
        </w:rPr>
        <w:t>,</w:t>
      </w:r>
      <w:r w:rsidRPr="000F1DE6">
        <w:rPr>
          <w:rFonts w:eastAsia="Aptos"/>
          <w:b/>
          <w:bCs/>
        </w:rPr>
        <w:t xml:space="preserve"> 10</w:t>
      </w:r>
      <w:r w:rsidRPr="000F1DE6">
        <w:rPr>
          <w:rFonts w:eastAsia="Aptos"/>
        </w:rPr>
        <w:t>).</w:t>
      </w:r>
    </w:p>
    <w:p w14:paraId="1495A215" w14:textId="05003A9C" w:rsidR="006947F8" w:rsidRPr="000F1DE6" w:rsidRDefault="006947F8" w:rsidP="003E1C21">
      <w:pPr>
        <w:pStyle w:val="SWAHeading3"/>
      </w:pPr>
      <w:r w:rsidRPr="000F1DE6">
        <w:t>Quad bikes (r</w:t>
      </w:r>
      <w:r w:rsidR="00266F39">
        <w:t>egs</w:t>
      </w:r>
      <w:r w:rsidRPr="000F1DE6">
        <w:t xml:space="preserve"> 226A–226C, Queensland WHS Regulation)</w:t>
      </w:r>
    </w:p>
    <w:p w14:paraId="4B77ADDC" w14:textId="77777777" w:rsidR="006947F8" w:rsidRPr="000D26F7" w:rsidRDefault="006947F8" w:rsidP="00BF204D">
      <w:pPr>
        <w:pStyle w:val="Boxedshaded"/>
        <w:rPr>
          <w:b/>
          <w:bCs/>
        </w:rPr>
      </w:pPr>
      <w:r w:rsidRPr="000D26F7">
        <w:rPr>
          <w:b/>
          <w:bCs/>
        </w:rPr>
        <w:t>What we heard</w:t>
      </w:r>
    </w:p>
    <w:p w14:paraId="403245CF" w14:textId="77777777" w:rsidR="00F21CE3" w:rsidRDefault="006947F8" w:rsidP="00BF204D">
      <w:pPr>
        <w:pStyle w:val="Boxedshaded"/>
      </w:pPr>
      <w:r w:rsidRPr="000F1DE6">
        <w:t>WorkSafe WA suggested that Queensland’s amendments relating to quad bike helmets, age restrictions, and areas of use could inform the model WHS Regulations,</w:t>
      </w:r>
      <w:r w:rsidRPr="000F1DE6">
        <w:rPr>
          <w:rStyle w:val="FootnoteReference"/>
          <w:rFonts w:eastAsia="Aptos" w:cs="Aptos"/>
          <w:color w:val="000000" w:themeColor="text1"/>
        </w:rPr>
        <w:footnoteReference w:id="620"/>
      </w:r>
      <w:r w:rsidRPr="000F1DE6">
        <w:t xml:space="preserve"> although industry groups cautioned that regulatory change alone is unlikely to be effective without accompanying education and behaviour-change measures.</w:t>
      </w:r>
      <w:r w:rsidRPr="000F1DE6">
        <w:rPr>
          <w:rStyle w:val="FootnoteReference"/>
          <w:rFonts w:eastAsia="Aptos" w:cs="Aptos"/>
          <w:color w:val="000000" w:themeColor="text1"/>
        </w:rPr>
        <w:footnoteReference w:id="621"/>
      </w:r>
    </w:p>
    <w:p w14:paraId="76EF27B9" w14:textId="1CC80346" w:rsidR="006947F8" w:rsidRPr="000F1DE6" w:rsidRDefault="006947F8" w:rsidP="000D26F7">
      <w:pPr>
        <w:pStyle w:val="SWAHeading4"/>
      </w:pPr>
      <w:r w:rsidRPr="000F1DE6">
        <w:t>Dis</w:t>
      </w:r>
      <w:r w:rsidRPr="000F1DE6">
        <w:rPr>
          <w:rFonts w:eastAsia="Aptos"/>
        </w:rPr>
        <w:t>c</w:t>
      </w:r>
      <w:r w:rsidRPr="000F1DE6">
        <w:t>ussion and recommendations</w:t>
      </w:r>
    </w:p>
    <w:p w14:paraId="7AC9B517" w14:textId="77777777" w:rsidR="00F21CE3" w:rsidRDefault="006947F8" w:rsidP="006947F8">
      <w:pPr>
        <w:pStyle w:val="Paragraph"/>
        <w:rPr>
          <w:rFonts w:eastAsia="Aptos"/>
        </w:rPr>
      </w:pPr>
      <w:r w:rsidRPr="000F1DE6">
        <w:rPr>
          <w:rFonts w:eastAsia="Aptos"/>
        </w:rPr>
        <w:t>Safe Work Australia is currently considering potential regulatory and non-regulatory options relating to quad bike safety, including variations made by Queensland and Tasmania.</w:t>
      </w:r>
    </w:p>
    <w:p w14:paraId="340CABFA" w14:textId="63ACE493" w:rsidR="000D26F7" w:rsidRDefault="000D26F7">
      <w:pPr>
        <w:spacing w:after="200" w:line="276" w:lineRule="auto"/>
        <w:contextualSpacing w:val="0"/>
        <w:rPr>
          <w:rFonts w:asciiTheme="minorHAnsi" w:eastAsia="Aptos" w:hAnsiTheme="minorHAnsi"/>
          <w:lang w:eastAsia="en-AU"/>
        </w:rPr>
      </w:pPr>
      <w:r>
        <w:rPr>
          <w:rFonts w:eastAsia="Aptos"/>
        </w:rPr>
        <w:br w:type="page"/>
      </w:r>
    </w:p>
    <w:p w14:paraId="0F028110" w14:textId="77777777" w:rsidR="006947F8" w:rsidRPr="000F1DE6" w:rsidRDefault="006947F8" w:rsidP="00024E0B">
      <w:pPr>
        <w:pStyle w:val="SWAHeading3"/>
      </w:pPr>
      <w:bookmarkStart w:id="100" w:name="_Toc227588215"/>
      <w:bookmarkStart w:id="101" w:name="_Toc228256110"/>
      <w:r w:rsidRPr="000F1DE6">
        <w:lastRenderedPageBreak/>
        <w:t>Child safety</w:t>
      </w:r>
      <w:bookmarkEnd w:id="100"/>
      <w:bookmarkEnd w:id="101"/>
    </w:p>
    <w:p w14:paraId="6E1E0D4A" w14:textId="77777777" w:rsidR="006947F8" w:rsidRPr="000D26F7" w:rsidRDefault="006947F8" w:rsidP="00BF204D">
      <w:pPr>
        <w:pStyle w:val="Boxedshaded"/>
        <w:rPr>
          <w:b/>
          <w:bCs/>
        </w:rPr>
      </w:pPr>
      <w:r w:rsidRPr="000D26F7">
        <w:rPr>
          <w:b/>
          <w:bCs/>
        </w:rPr>
        <w:t>What we heard</w:t>
      </w:r>
    </w:p>
    <w:p w14:paraId="3BB7CCC6" w14:textId="74C5D014" w:rsidR="00F21CE3" w:rsidRDefault="006947F8" w:rsidP="00BF204D">
      <w:pPr>
        <w:pStyle w:val="Boxedshaded"/>
      </w:pPr>
      <w:r w:rsidRPr="000F1DE6">
        <w:t xml:space="preserve">Some submissions raised concerns about gaps in how risks to children are managed in workplaces where adults and children may work alongside each other without a requirement </w:t>
      </w:r>
      <w:r w:rsidRPr="00F83DFE">
        <w:t xml:space="preserve">for </w:t>
      </w:r>
      <w:r w:rsidR="00F83DFE" w:rsidRPr="00280B25">
        <w:t>W</w:t>
      </w:r>
      <w:r w:rsidRPr="00F83DFE">
        <w:t xml:space="preserve">orking with </w:t>
      </w:r>
      <w:r w:rsidR="00F83DFE" w:rsidRPr="00280B25">
        <w:t>C</w:t>
      </w:r>
      <w:r w:rsidRPr="00F83DFE">
        <w:t xml:space="preserve">hildren </w:t>
      </w:r>
      <w:r w:rsidR="00F83DFE" w:rsidRPr="00280B25">
        <w:t>C</w:t>
      </w:r>
      <w:r w:rsidRPr="00F83DFE">
        <w:t>hecks</w:t>
      </w:r>
      <w:r w:rsidRPr="000F1DE6">
        <w:t>. The Shop, Distributive and Allied Employees Association highlighted that retail generally falls outside the definition of child</w:t>
      </w:r>
      <w:r w:rsidRPr="000F1DE6">
        <w:rPr>
          <w:rFonts w:ascii="Cambria Math" w:hAnsi="Cambria Math" w:cs="Cambria Math"/>
        </w:rPr>
        <w:t>‑</w:t>
      </w:r>
      <w:r w:rsidRPr="000F1DE6">
        <w:t>related work and therefore existing screening frameworks, resulting in insufficient safeguards and potential harm to children.</w:t>
      </w:r>
      <w:r w:rsidRPr="000F1DE6">
        <w:rPr>
          <w:rStyle w:val="FootnoteReference"/>
          <w:rFonts w:eastAsia="Aptos"/>
        </w:rPr>
        <w:footnoteReference w:id="622"/>
      </w:r>
    </w:p>
    <w:p w14:paraId="5BD68B7C" w14:textId="27351D75" w:rsidR="006947F8" w:rsidRPr="000F1DE6" w:rsidRDefault="006947F8" w:rsidP="000D26F7">
      <w:pPr>
        <w:pStyle w:val="SWAHeading4"/>
      </w:pPr>
      <w:r w:rsidRPr="000F1DE6">
        <w:t>Discussion and recommendations</w:t>
      </w:r>
    </w:p>
    <w:p w14:paraId="68E79D3C" w14:textId="50B1E92A" w:rsidR="00137A60" w:rsidRDefault="006947F8" w:rsidP="00791F73">
      <w:pPr>
        <w:pStyle w:val="Paragraph"/>
        <w:rPr>
          <w:lang w:eastAsia="en-US"/>
        </w:rPr>
      </w:pPr>
      <w:r w:rsidRPr="000F1DE6">
        <w:rPr>
          <w:rFonts w:eastAsia="Aptos"/>
        </w:rPr>
        <w:t xml:space="preserve">This Review recommends addressing this issue through the proposed retail industry </w:t>
      </w:r>
      <w:r>
        <w:rPr>
          <w:rFonts w:eastAsia="Aptos"/>
        </w:rPr>
        <w:t>C</w:t>
      </w:r>
      <w:r w:rsidRPr="000F1DE6">
        <w:rPr>
          <w:rFonts w:eastAsia="Aptos"/>
        </w:rPr>
        <w:t xml:space="preserve">ode of </w:t>
      </w:r>
      <w:r>
        <w:rPr>
          <w:rFonts w:eastAsia="Aptos"/>
        </w:rPr>
        <w:t>P</w:t>
      </w:r>
      <w:r w:rsidRPr="000F1DE6">
        <w:rPr>
          <w:rFonts w:eastAsia="Aptos"/>
        </w:rPr>
        <w:t xml:space="preserve">ractice (See </w:t>
      </w:r>
      <w:r w:rsidRPr="0037620F">
        <w:rPr>
          <w:rFonts w:eastAsia="Aptos"/>
          <w:b/>
        </w:rPr>
        <w:t>Chapter 5</w:t>
      </w:r>
      <w:r w:rsidRPr="00031A40">
        <w:rPr>
          <w:rFonts w:eastAsia="Aptos"/>
        </w:rPr>
        <w:t xml:space="preserve"> – Codes of Practice</w:t>
      </w:r>
      <w:r w:rsidRPr="000F1DE6">
        <w:rPr>
          <w:rFonts w:eastAsia="Aptos"/>
        </w:rPr>
        <w:t xml:space="preserve">), noting all Australian governments </w:t>
      </w:r>
      <w:r w:rsidRPr="00F83DFE">
        <w:rPr>
          <w:rFonts w:eastAsia="Aptos"/>
        </w:rPr>
        <w:t>are currently reviewing Working with Children Check schemes.</w:t>
      </w:r>
      <w:r w:rsidRPr="00F83DFE">
        <w:rPr>
          <w:rStyle w:val="FootnoteReference"/>
          <w:rFonts w:eastAsia="Aptos" w:cs="Aptos"/>
        </w:rPr>
        <w:footnoteReference w:id="623"/>
      </w:r>
    </w:p>
    <w:p w14:paraId="3B9ADD1E" w14:textId="77777777" w:rsidR="006B6123" w:rsidRDefault="006B6123" w:rsidP="000D26F7">
      <w:pPr>
        <w:pStyle w:val="Paragraph"/>
      </w:pPr>
    </w:p>
    <w:p w14:paraId="187A7951" w14:textId="77777777" w:rsidR="006B6123" w:rsidRDefault="006B6123" w:rsidP="000D26F7">
      <w:pPr>
        <w:pStyle w:val="Paragraph"/>
        <w:sectPr w:rsidR="006B6123" w:rsidSect="00DF1707">
          <w:headerReference w:type="default" r:id="rId39"/>
          <w:pgSz w:w="11906" w:h="16838" w:code="9"/>
          <w:pgMar w:top="1440" w:right="1080" w:bottom="1440" w:left="1080" w:header="709" w:footer="709" w:gutter="0"/>
          <w:cols w:space="708"/>
          <w:titlePg/>
          <w:docGrid w:linePitch="360"/>
        </w:sectPr>
      </w:pPr>
    </w:p>
    <w:p w14:paraId="5B82B7BC" w14:textId="24CCC4B9" w:rsidR="006B6123" w:rsidRDefault="00C44A3F" w:rsidP="00F14A4A">
      <w:pPr>
        <w:pStyle w:val="SWAHeading1"/>
      </w:pPr>
      <w:bookmarkStart w:id="102" w:name="_Toc239845166"/>
      <w:r>
        <w:lastRenderedPageBreak/>
        <w:t>The model WHS Regulations: modernisation project</w:t>
      </w:r>
      <w:bookmarkEnd w:id="102"/>
    </w:p>
    <w:p w14:paraId="40CF9F1C" w14:textId="76BC6FC2" w:rsidR="006B6123" w:rsidRPr="000D26F7" w:rsidRDefault="006B6123" w:rsidP="00BF204D">
      <w:pPr>
        <w:pStyle w:val="Boxedshaded"/>
        <w:rPr>
          <w:b/>
          <w:bCs/>
        </w:rPr>
      </w:pPr>
      <w:r w:rsidRPr="000D26F7">
        <w:rPr>
          <w:b/>
          <w:bCs/>
        </w:rPr>
        <w:t>Terms of Reference</w:t>
      </w:r>
    </w:p>
    <w:p w14:paraId="7817B9A7" w14:textId="3BF7CDA4" w:rsidR="006B6123" w:rsidRDefault="006B6123" w:rsidP="00BF204D">
      <w:pPr>
        <w:pStyle w:val="Boxedshaded"/>
      </w:pPr>
      <w:r>
        <w:t>2.1, 2.2, 2.3, 2.</w:t>
      </w:r>
      <w:r w:rsidR="00B201F5">
        <w:t>5</w:t>
      </w:r>
      <w:r>
        <w:t>, 2.6</w:t>
      </w:r>
    </w:p>
    <w:p w14:paraId="413A3C9F" w14:textId="77777777" w:rsidR="006B6123" w:rsidRPr="000D26F7" w:rsidRDefault="006B6123" w:rsidP="00BF204D">
      <w:pPr>
        <w:pStyle w:val="Boxedshaded"/>
        <w:rPr>
          <w:b/>
          <w:bCs/>
        </w:rPr>
      </w:pPr>
      <w:r w:rsidRPr="000D26F7">
        <w:rPr>
          <w:b/>
          <w:bCs/>
        </w:rPr>
        <w:t>Reviews considered in this chapter:</w:t>
      </w:r>
    </w:p>
    <w:p w14:paraId="7FD081AA" w14:textId="27E81BB8" w:rsidR="00B67CDB" w:rsidRPr="00DD7288" w:rsidRDefault="00B67CDB" w:rsidP="00BF204D">
      <w:pPr>
        <w:pStyle w:val="Boxedshadedbullets"/>
        <w:rPr>
          <w:i/>
          <w:iCs/>
        </w:rPr>
      </w:pPr>
      <w:r w:rsidRPr="000F1DE6">
        <w:t xml:space="preserve">1972 </w:t>
      </w:r>
      <w:r w:rsidRPr="000F1DE6">
        <w:rPr>
          <w:i/>
        </w:rPr>
        <w:t>Safety and Health at Work</w:t>
      </w:r>
      <w:r w:rsidRPr="000F1DE6">
        <w:t>, Report of the Committe</w:t>
      </w:r>
      <w:r w:rsidR="00DD7288">
        <w:t>e</w:t>
      </w:r>
    </w:p>
    <w:p w14:paraId="2739C2F0" w14:textId="190938F3" w:rsidR="00DD7288" w:rsidRPr="009971F7" w:rsidRDefault="007557D5" w:rsidP="00BF204D">
      <w:pPr>
        <w:pStyle w:val="Boxedshadedbullets"/>
      </w:pPr>
      <w:r w:rsidRPr="000F1DE6">
        <w:t xml:space="preserve">2018 </w:t>
      </w:r>
      <w:r w:rsidRPr="000D26F7">
        <w:rPr>
          <w:i/>
          <w:iCs/>
        </w:rPr>
        <w:t>Review of the model Work Health and Safety laws</w:t>
      </w:r>
      <w:r w:rsidR="009F5A75">
        <w:rPr>
          <w:i/>
          <w:iCs/>
        </w:rPr>
        <w:t xml:space="preserve"> </w:t>
      </w:r>
      <w:r w:rsidR="009F5A75" w:rsidRPr="00E86E55">
        <w:t>(</w:t>
      </w:r>
      <w:r w:rsidR="009F5A75" w:rsidRPr="006418D3">
        <w:rPr>
          <w:i/>
          <w:iCs/>
        </w:rPr>
        <w:t>2018 National Review</w:t>
      </w:r>
      <w:r w:rsidR="009F5A75" w:rsidRPr="00E86E55">
        <w:t>)</w:t>
      </w:r>
      <w:r w:rsidRPr="000D26F7">
        <w:rPr>
          <w:i/>
          <w:iCs/>
        </w:rPr>
        <w:t>.</w:t>
      </w:r>
    </w:p>
    <w:p w14:paraId="2EC5B0B1" w14:textId="683850A6" w:rsidR="00764A4E" w:rsidRPr="00764A4E" w:rsidRDefault="00DD5EBD" w:rsidP="00D41812">
      <w:pPr>
        <w:pStyle w:val="SWAHeading2"/>
        <w:spacing w:line="240" w:lineRule="auto"/>
        <w:rPr>
          <w:rFonts w:asciiTheme="minorHAnsi" w:hAnsiTheme="minorHAnsi"/>
        </w:rPr>
      </w:pPr>
      <w:bookmarkStart w:id="103" w:name="_Toc239845167"/>
      <w:r w:rsidRPr="00745F21">
        <w:rPr>
          <w:rFonts w:asciiTheme="minorHAnsi" w:hAnsiTheme="minorHAnsi"/>
        </w:rPr>
        <w:t>The model WHS Regulations: modernisation projec</w:t>
      </w:r>
      <w:r>
        <w:rPr>
          <w:rFonts w:asciiTheme="minorHAnsi" w:hAnsiTheme="minorHAnsi"/>
        </w:rPr>
        <w:t>t</w:t>
      </w:r>
      <w:bookmarkEnd w:id="103"/>
    </w:p>
    <w:p w14:paraId="77252ADF" w14:textId="613159F2" w:rsidR="006B6123" w:rsidRDefault="006B6123" w:rsidP="006B6123">
      <w:pPr>
        <w:pStyle w:val="SWAHeading3"/>
      </w:pPr>
      <w:r>
        <w:t>Introduction</w:t>
      </w:r>
    </w:p>
    <w:p w14:paraId="106B8995" w14:textId="77777777" w:rsidR="00F21CE3" w:rsidRDefault="00C5107B" w:rsidP="003A4747">
      <w:pPr>
        <w:pStyle w:val="Paragraph"/>
      </w:pPr>
      <w:r w:rsidRPr="00FE2DE5">
        <w:t xml:space="preserve">This chapter considers the model WHS Regulations more broadly, with a view to examining longstanding concerns that they are outdated, inconsistent and difficult to comply with. Many of the issues in relation to the model WHS Regulations raised in this Review are consistent with those raised in the </w:t>
      </w:r>
      <w:r w:rsidRPr="006418D3">
        <w:rPr>
          <w:i/>
          <w:iCs/>
        </w:rPr>
        <w:t>2018 National Review</w:t>
      </w:r>
      <w:r w:rsidRPr="00FE2DE5">
        <w:t>. Rather than continuing to take piecemeal and reactive approaches to amending the model WHS Regulations, this chapter considers a more comprehensive program of work to modernise and improve them.</w:t>
      </w:r>
    </w:p>
    <w:p w14:paraId="4E122904" w14:textId="15379569" w:rsidR="00781384" w:rsidRPr="000D26F7" w:rsidRDefault="00781384" w:rsidP="00BF204D">
      <w:pPr>
        <w:pStyle w:val="Boxedshaded"/>
        <w:rPr>
          <w:b/>
          <w:bCs/>
        </w:rPr>
      </w:pPr>
      <w:r w:rsidRPr="000D26F7">
        <w:rPr>
          <w:b/>
          <w:bCs/>
        </w:rPr>
        <w:t>What we heard</w:t>
      </w:r>
    </w:p>
    <w:p w14:paraId="19D36CC6" w14:textId="77777777" w:rsidR="00E25C41" w:rsidRPr="00D27F61" w:rsidRDefault="00E25C41" w:rsidP="00BF204D">
      <w:pPr>
        <w:pStyle w:val="Boxedshaded"/>
      </w:pPr>
      <w:r w:rsidRPr="00E25C41">
        <w:t xml:space="preserve">There was a general view expressed that the model WHS Regulations are outdated and focus too much on specific physical hazards and a subset of male-dominated industries. The model WHS Regulations were consistently called out for not including regulations </w:t>
      </w:r>
      <w:r w:rsidRPr="00D27F61">
        <w:t>specific to female-dominated industries, such as retail or healthcare and social assistance; and the workplace risks disproportionately faced by women, such as gendered violence.</w:t>
      </w:r>
      <w:r w:rsidRPr="0023260D">
        <w:rPr>
          <w:vertAlign w:val="superscript"/>
        </w:rPr>
        <w:footnoteReference w:id="624"/>
      </w:r>
    </w:p>
    <w:p w14:paraId="27D49AFE" w14:textId="77777777" w:rsidR="00F21CE3" w:rsidRDefault="00E25C41" w:rsidP="00BF204D">
      <w:pPr>
        <w:pStyle w:val="Boxedshaded"/>
        <w:rPr>
          <w:vertAlign w:val="superscript"/>
        </w:rPr>
      </w:pPr>
      <w:r w:rsidRPr="00D27F61">
        <w:t>Submissions</w:t>
      </w:r>
      <w:r w:rsidRPr="00E25C41">
        <w:t xml:space="preserve"> to this Review included a range of proposals for new model WHS regulations, including many recommendations from the ACTU to address ‘emerging and neglected areas of risk’ and ‘gender considerations’; for example, gaps in addressing reproductive hazards and access to facilities for all workers.</w:t>
      </w:r>
      <w:r w:rsidRPr="00E25C41">
        <w:rPr>
          <w:vertAlign w:val="superscript"/>
        </w:rPr>
        <w:footnoteReference w:id="625"/>
      </w:r>
    </w:p>
    <w:p w14:paraId="7734C33B" w14:textId="0889C198" w:rsidR="0061455F" w:rsidRDefault="0061455F">
      <w:pPr>
        <w:spacing w:after="200" w:line="276" w:lineRule="auto"/>
        <w:contextualSpacing w:val="0"/>
        <w:rPr>
          <w:rFonts w:asciiTheme="minorHAnsi" w:hAnsiTheme="minorHAnsi"/>
          <w:vertAlign w:val="superscript"/>
        </w:rPr>
      </w:pPr>
      <w:r>
        <w:rPr>
          <w:vertAlign w:val="superscript"/>
        </w:rPr>
        <w:br w:type="page"/>
      </w:r>
    </w:p>
    <w:p w14:paraId="370555F8" w14:textId="77777777" w:rsidR="00F21CE3" w:rsidRDefault="00E25C41" w:rsidP="00AC1858">
      <w:pPr>
        <w:pStyle w:val="Boxedshaded"/>
      </w:pPr>
      <w:r w:rsidRPr="00E25C41">
        <w:lastRenderedPageBreak/>
        <w:t>Industry representatives generally opposed new regulations, particularly in relation to AI</w:t>
      </w:r>
      <w:r>
        <w:rPr>
          <w:rStyle w:val="FootnoteReference"/>
        </w:rPr>
        <w:footnoteReference w:id="626"/>
      </w:r>
      <w:r w:rsidRPr="00E25C41">
        <w:t xml:space="preserve"> and psychosocial risks.</w:t>
      </w:r>
      <w:r>
        <w:rPr>
          <w:rStyle w:val="FootnoteReference"/>
        </w:rPr>
        <w:footnoteReference w:id="627"/>
      </w:r>
      <w:r w:rsidRPr="00E25C41">
        <w:t xml:space="preserve"> Australian Industry Group also cautioned against reflexively introducing new regulations </w:t>
      </w:r>
      <w:r w:rsidRPr="00D90CE9">
        <w:t>to correct PCBU behaviour:</w:t>
      </w:r>
    </w:p>
    <w:p w14:paraId="7E6A9E6E" w14:textId="1C31A14A" w:rsidR="0098197B" w:rsidRPr="00AC1858" w:rsidRDefault="0061455F" w:rsidP="00AC1858">
      <w:pPr>
        <w:pStyle w:val="Boxedshaded"/>
        <w:tabs>
          <w:tab w:val="left" w:pos="709"/>
        </w:tabs>
        <w:ind w:left="720" w:hanging="436"/>
        <w:rPr>
          <w:i/>
          <w:iCs/>
        </w:rPr>
      </w:pPr>
      <w:r>
        <w:rPr>
          <w:i/>
          <w:iCs/>
        </w:rPr>
        <w:tab/>
      </w:r>
      <w:r w:rsidR="0098197B" w:rsidRPr="00AC1858">
        <w:rPr>
          <w:i/>
          <w:iCs/>
        </w:rPr>
        <w:t>Adding more regulation on top of existing regulations, when non-compliance is the predominant issue, is a fundamentally flawed approach.</w:t>
      </w:r>
      <w:r w:rsidR="0098197B" w:rsidRPr="00AC1858">
        <w:rPr>
          <w:i/>
          <w:iCs/>
          <w:vertAlign w:val="superscript"/>
        </w:rPr>
        <w:footnoteReference w:id="628"/>
      </w:r>
    </w:p>
    <w:p w14:paraId="50D1C941" w14:textId="77777777" w:rsidR="00F21CE3" w:rsidRDefault="0047480E" w:rsidP="00BF204D">
      <w:pPr>
        <w:pStyle w:val="Boxedshaded"/>
      </w:pPr>
      <w:r w:rsidRPr="0047480E">
        <w:t>Industry consistently asked for clearer, simplified and streamlined requirements to help businesses meet their obligations, including accessible plain English materials, digital tools and scalable obligations tailored to business size. Industry representatives, especially those representing small business, noted they found the WHS laws to be overly complex and proposed they be simplified rather than expanded.</w:t>
      </w:r>
      <w:r w:rsidRPr="0047480E">
        <w:rPr>
          <w:vertAlign w:val="superscript"/>
        </w:rPr>
        <w:footnoteReference w:id="629"/>
      </w:r>
    </w:p>
    <w:p w14:paraId="19E17F6D" w14:textId="77777777" w:rsidR="00F21CE3" w:rsidRDefault="0017077D" w:rsidP="00BF204D">
      <w:pPr>
        <w:pStyle w:val="Boxedshaded"/>
      </w:pPr>
      <w:r w:rsidRPr="0017077D">
        <w:t>There was strong support for maintaining enforceable standards for high risk hazards but taking principles</w:t>
      </w:r>
      <w:r w:rsidRPr="0017077D">
        <w:noBreakHyphen/>
        <w:t>based approaches to emerging risks such as AI.</w:t>
      </w:r>
      <w:r w:rsidRPr="0017077D">
        <w:rPr>
          <w:vertAlign w:val="superscript"/>
        </w:rPr>
        <w:footnoteReference w:id="630"/>
      </w:r>
      <w:r w:rsidRPr="0017077D">
        <w:t xml:space="preserve"> Some industry representatives explicitly supported the </w:t>
      </w:r>
      <w:r w:rsidRPr="006418D3">
        <w:rPr>
          <w:i/>
          <w:iCs/>
        </w:rPr>
        <w:t>2018 National Review</w:t>
      </w:r>
      <w:r w:rsidRPr="0017077D">
        <w:t xml:space="preserve"> recommendation of reassessing the model WHS Regulations against agreed criteria to provide greater clarity on how hazards should be regulated.</w:t>
      </w:r>
      <w:r w:rsidRPr="0017077D">
        <w:rPr>
          <w:vertAlign w:val="superscript"/>
        </w:rPr>
        <w:footnoteReference w:id="631"/>
      </w:r>
    </w:p>
    <w:p w14:paraId="4C355528" w14:textId="1B229CAE" w:rsidR="008F65E4" w:rsidRPr="008F65E4" w:rsidRDefault="008F65E4" w:rsidP="000D26F7">
      <w:pPr>
        <w:pStyle w:val="SWAHeading4"/>
      </w:pPr>
      <w:r w:rsidRPr="008F65E4">
        <w:t>Discussion and recommendations</w:t>
      </w:r>
    </w:p>
    <w:p w14:paraId="3510C330" w14:textId="77777777" w:rsidR="008F65E4" w:rsidRPr="00922E00" w:rsidRDefault="008F65E4" w:rsidP="003A4747">
      <w:pPr>
        <w:pStyle w:val="Paragraph"/>
      </w:pPr>
      <w:r w:rsidRPr="00922E00">
        <w:t xml:space="preserve">The </w:t>
      </w:r>
      <w:r w:rsidRPr="006418D3">
        <w:rPr>
          <w:i/>
          <w:iCs/>
        </w:rPr>
        <w:t>2018 National Review</w:t>
      </w:r>
      <w:r w:rsidRPr="00922E00">
        <w:t xml:space="preserve"> concluded that the 3-tiered approach to WHS legislation remained strongly supported. And this Review confirms that view.</w:t>
      </w:r>
    </w:p>
    <w:p w14:paraId="5595DA79" w14:textId="77777777" w:rsidR="00F21CE3" w:rsidRDefault="008F65E4" w:rsidP="003A4747">
      <w:pPr>
        <w:pStyle w:val="Paragraph"/>
      </w:pPr>
      <w:r w:rsidRPr="00922E00">
        <w:t xml:space="preserve">The </w:t>
      </w:r>
      <w:r w:rsidRPr="006418D3">
        <w:rPr>
          <w:i/>
          <w:iCs/>
        </w:rPr>
        <w:t>2018 National Review</w:t>
      </w:r>
      <w:r w:rsidRPr="00922E00">
        <w:t xml:space="preserve"> noted deficiencies in the model WHS Regulations sprang from the process of consolidation that created them and recommended they be reviewed against agreed criteria.</w:t>
      </w:r>
      <w:r w:rsidRPr="00922E00">
        <w:rPr>
          <w:vertAlign w:val="superscript"/>
        </w:rPr>
        <w:footnoteReference w:id="632"/>
      </w:r>
      <w:r w:rsidRPr="00922E00">
        <w:t xml:space="preserve"> This analysis is as true today as it was in 2018 and this Review will not reproduce it here. Ultimately, the relevant recommendation was not progressed and, arguably, this has contributed to the continued increase in complexity, inconsistency and confusion in relation to the model WHS Regulations.</w:t>
      </w:r>
    </w:p>
    <w:p w14:paraId="6FBA6B23" w14:textId="7AE2459F" w:rsidR="008F65E4" w:rsidRPr="00922E00" w:rsidRDefault="008F65E4" w:rsidP="003A4747">
      <w:pPr>
        <w:pStyle w:val="Paragraph"/>
      </w:pPr>
      <w:r w:rsidRPr="00922E00">
        <w:t>This Review therefore recommends that a review of the model WHS Regulations should proceed as intended by the 2018 recommendation – but goes further by proposing below some key considerations to inform it.</w:t>
      </w:r>
    </w:p>
    <w:p w14:paraId="5DAD1D04" w14:textId="77777777" w:rsidR="008F65E4" w:rsidRPr="00922E00" w:rsidRDefault="008F65E4" w:rsidP="003A4747">
      <w:pPr>
        <w:pStyle w:val="Paragraph"/>
      </w:pPr>
      <w:r w:rsidRPr="00922E00">
        <w:t xml:space="preserve">The first consideration is to identify those regulations which set out principles that apply to all duty holders and elevate these to the model WHS Act. The hierarchy of controls in Part 3.1 is an example of this and is the subject of a recommendation in </w:t>
      </w:r>
      <w:r w:rsidRPr="00922E00">
        <w:rPr>
          <w:b/>
        </w:rPr>
        <w:t>Chapter 2.1</w:t>
      </w:r>
      <w:r w:rsidRPr="00922E00">
        <w:t>.</w:t>
      </w:r>
    </w:p>
    <w:p w14:paraId="7120899D" w14:textId="7421C751" w:rsidR="000D26F7" w:rsidRDefault="008F65E4" w:rsidP="00AC1858">
      <w:pPr>
        <w:pStyle w:val="Paragraph"/>
      </w:pPr>
      <w:r w:rsidRPr="00922E00">
        <w:t xml:space="preserve">The second consideration is to identify those regulations which only apply within specific industry contexts and are not generally applicable in most workplaces. It is proposed these could be covered instead by Codes of Practice. The diving regulations in Part 4.8 of the model WHS Regulations are an example of this, while the regulations on construction work (which apply to construction work across many different industries, rather than the construction industry) are not. This proposal is inextricably linked to the proposal that the legal status of Codes should be elevated and made clearer by adopting the Victorian ‘deeming’ provision discussed in </w:t>
      </w:r>
      <w:r w:rsidRPr="00922E00">
        <w:rPr>
          <w:b/>
        </w:rPr>
        <w:t>Chapter 5</w:t>
      </w:r>
      <w:r w:rsidRPr="00922E00">
        <w:t xml:space="preserve">. Importantly, this approach still allows Codes to be used as evidence of a breach of the model WHS Act. </w:t>
      </w:r>
      <w:r w:rsidR="000D26F7">
        <w:br w:type="page"/>
      </w:r>
    </w:p>
    <w:p w14:paraId="0B59A4FD" w14:textId="77777777" w:rsidR="00F21CE3" w:rsidRDefault="008F65E4" w:rsidP="003A4747">
      <w:pPr>
        <w:pStyle w:val="Paragraph"/>
      </w:pPr>
      <w:r w:rsidRPr="00922E00">
        <w:lastRenderedPageBreak/>
        <w:t>Once these 2 initial considerations are completed, the following questions should be asked of the remaining regulations and of any new regulations being considered for inclusion:</w:t>
      </w:r>
    </w:p>
    <w:p w14:paraId="22D037D0" w14:textId="70EB3B95" w:rsidR="00173542" w:rsidRPr="00922E00" w:rsidRDefault="00173542" w:rsidP="00447786">
      <w:pPr>
        <w:numPr>
          <w:ilvl w:val="0"/>
          <w:numId w:val="34"/>
        </w:numPr>
        <w:spacing w:line="240" w:lineRule="auto"/>
        <w:contextualSpacing w:val="0"/>
        <w:rPr>
          <w:rFonts w:ascii="Aptos" w:eastAsia="Times New Roman" w:hAnsi="Aptos" w:cs="Arial"/>
          <w:lang w:eastAsia="en-AU"/>
        </w:rPr>
      </w:pPr>
      <w:r w:rsidRPr="00922E00">
        <w:rPr>
          <w:rFonts w:ascii="Aptos" w:eastAsia="Times New Roman" w:hAnsi="Aptos" w:cs="Arial"/>
          <w:lang w:eastAsia="en-AU"/>
        </w:rPr>
        <w:t>Do they:</w:t>
      </w:r>
    </w:p>
    <w:p w14:paraId="28F9F2FE" w14:textId="77777777" w:rsidR="00173542" w:rsidRPr="00922E00" w:rsidRDefault="00173542" w:rsidP="00447786">
      <w:pPr>
        <w:numPr>
          <w:ilvl w:val="1"/>
          <w:numId w:val="32"/>
        </w:numPr>
        <w:spacing w:line="240" w:lineRule="auto"/>
        <w:contextualSpacing w:val="0"/>
        <w:rPr>
          <w:rFonts w:ascii="Aptos" w:eastAsia="Times New Roman" w:hAnsi="Aptos" w:cs="Arial"/>
          <w:lang w:eastAsia="en-AU"/>
        </w:rPr>
      </w:pPr>
      <w:r w:rsidRPr="00922E00">
        <w:rPr>
          <w:rFonts w:ascii="Aptos" w:eastAsia="Times New Roman" w:hAnsi="Aptos" w:cs="Arial"/>
          <w:lang w:eastAsia="en-AU"/>
        </w:rPr>
        <w:t>set an outcome or goal that ensures compliance with a duty under the model WHS Act?</w:t>
      </w:r>
    </w:p>
    <w:p w14:paraId="17EBB83E" w14:textId="77777777" w:rsidR="00173542" w:rsidRPr="00922E00" w:rsidRDefault="00173542" w:rsidP="00447786">
      <w:pPr>
        <w:numPr>
          <w:ilvl w:val="1"/>
          <w:numId w:val="32"/>
        </w:numPr>
        <w:spacing w:line="240" w:lineRule="auto"/>
        <w:contextualSpacing w:val="0"/>
        <w:rPr>
          <w:rFonts w:ascii="Aptos" w:eastAsia="Times New Roman" w:hAnsi="Aptos" w:cs="Arial"/>
          <w:lang w:eastAsia="en-AU"/>
        </w:rPr>
      </w:pPr>
      <w:r w:rsidRPr="00922E00">
        <w:rPr>
          <w:rFonts w:ascii="Aptos" w:eastAsia="Times New Roman" w:hAnsi="Aptos" w:cs="Arial"/>
          <w:lang w:eastAsia="en-AU"/>
        </w:rPr>
        <w:t>involve risks where the options to control them are limited?</w:t>
      </w:r>
    </w:p>
    <w:p w14:paraId="748FE5A2" w14:textId="77777777" w:rsidR="00F21CE3" w:rsidRDefault="00173542" w:rsidP="00447786">
      <w:pPr>
        <w:numPr>
          <w:ilvl w:val="1"/>
          <w:numId w:val="32"/>
        </w:numPr>
        <w:spacing w:line="240" w:lineRule="auto"/>
        <w:contextualSpacing w:val="0"/>
        <w:rPr>
          <w:rFonts w:ascii="Aptos" w:eastAsia="Times New Roman" w:hAnsi="Aptos" w:cs="Arial"/>
          <w:lang w:eastAsia="en-AU"/>
        </w:rPr>
      </w:pPr>
      <w:r w:rsidRPr="00922E00">
        <w:rPr>
          <w:rFonts w:ascii="Aptos" w:eastAsia="Times New Roman" w:hAnsi="Aptos" w:cs="Arial"/>
          <w:lang w:eastAsia="en-AU"/>
        </w:rPr>
        <w:t>apply across multiple industries?</w:t>
      </w:r>
    </w:p>
    <w:p w14:paraId="1977E222" w14:textId="77777777" w:rsidR="00F21CE3" w:rsidRDefault="00173542" w:rsidP="00447786">
      <w:pPr>
        <w:numPr>
          <w:ilvl w:val="0"/>
          <w:numId w:val="34"/>
        </w:numPr>
        <w:spacing w:line="240" w:lineRule="auto"/>
        <w:contextualSpacing w:val="0"/>
        <w:rPr>
          <w:rFonts w:ascii="Aptos" w:eastAsia="Times New Roman" w:hAnsi="Aptos" w:cs="Arial"/>
          <w:lang w:eastAsia="en-AU"/>
        </w:rPr>
      </w:pPr>
      <w:r w:rsidRPr="00922E00">
        <w:rPr>
          <w:rFonts w:ascii="Aptos" w:eastAsia="Times New Roman" w:hAnsi="Aptos" w:cs="Arial"/>
          <w:lang w:eastAsia="en-AU"/>
        </w:rPr>
        <w:t>Do they include a financial penalty?</w:t>
      </w:r>
    </w:p>
    <w:p w14:paraId="70817CBC" w14:textId="4F6965EC" w:rsidR="00173542" w:rsidRPr="00922E00" w:rsidRDefault="00173542" w:rsidP="00447786">
      <w:pPr>
        <w:numPr>
          <w:ilvl w:val="0"/>
          <w:numId w:val="34"/>
        </w:numPr>
        <w:spacing w:line="240" w:lineRule="auto"/>
        <w:contextualSpacing w:val="0"/>
        <w:rPr>
          <w:rFonts w:ascii="Aptos" w:eastAsia="Times New Roman" w:hAnsi="Aptos" w:cs="Arial"/>
          <w:lang w:eastAsia="en-AU"/>
        </w:rPr>
      </w:pPr>
      <w:r w:rsidRPr="00922E00">
        <w:rPr>
          <w:rFonts w:ascii="Aptos" w:eastAsia="Times New Roman" w:hAnsi="Aptos" w:cs="Arial"/>
          <w:lang w:eastAsia="en-AU"/>
        </w:rPr>
        <w:t>Do they provide a supporting or administrative framework for the model WHS Act (for example, by explaining how a licence scheme will operate)?</w:t>
      </w:r>
    </w:p>
    <w:p w14:paraId="34B41CB2" w14:textId="77777777" w:rsidR="00F21CE3" w:rsidRDefault="00596A78" w:rsidP="00B34EFE">
      <w:pPr>
        <w:pStyle w:val="Paragraph"/>
      </w:pPr>
      <w:r w:rsidRPr="00922E00">
        <w:t>Unlike Codes of Practice, a regulation needs to be legally precise</w:t>
      </w:r>
      <w:r w:rsidRPr="00922E00" w:rsidDel="002C40F7">
        <w:t xml:space="preserve"> </w:t>
      </w:r>
      <w:r w:rsidRPr="00922E00">
        <w:t>rather than in plain language, and it may often fall to Codes or guidance materials to explain how a regulation should work in practice.</w:t>
      </w:r>
    </w:p>
    <w:p w14:paraId="13A3F9FB" w14:textId="77777777" w:rsidR="00F21CE3" w:rsidRDefault="006121B3" w:rsidP="00B34EFE">
      <w:pPr>
        <w:pStyle w:val="Paragraph"/>
      </w:pPr>
      <w:r w:rsidRPr="00922E00">
        <w:t>For example, regulation 79 sets out the steps a PCBU must take to manage the risks of a fall. While the MBA noted this regulation can be difficult to understand,</w:t>
      </w:r>
      <w:r w:rsidRPr="00922E00">
        <w:rPr>
          <w:vertAlign w:val="superscript"/>
        </w:rPr>
        <w:footnoteReference w:id="633"/>
      </w:r>
      <w:r w:rsidRPr="00922E00">
        <w:t xml:space="preserve"> this Review considers this to be a shortcoming in how the regulation has been communicated in other materials, rather than a problem with the regulation itself. The regulation is designed to cover </w:t>
      </w:r>
      <w:r w:rsidRPr="00922E00">
        <w:rPr>
          <w:i/>
        </w:rPr>
        <w:t>all</w:t>
      </w:r>
      <w:r w:rsidRPr="00922E00">
        <w:t xml:space="preserve"> fall risks in </w:t>
      </w:r>
      <w:r w:rsidRPr="00922E00">
        <w:rPr>
          <w:i/>
        </w:rPr>
        <w:t>all</w:t>
      </w:r>
      <w:r w:rsidRPr="00922E00">
        <w:t xml:space="preserve"> workplaces, so it cannot consider which controls may be reasonably practicable in a given industry context in the way that a Code can.</w:t>
      </w:r>
    </w:p>
    <w:p w14:paraId="5E7AC463" w14:textId="77777777" w:rsidR="00F21CE3" w:rsidRDefault="006121B3" w:rsidP="00B34EFE">
      <w:pPr>
        <w:pStyle w:val="Paragraph"/>
      </w:pPr>
      <w:r w:rsidRPr="00922E00">
        <w:t>Modernising the model WHS Regulations will be a significant undertaking and require a coordinated tripartite process. Consistent with the approach adopted in developing the original model WHS Act, it will be important to establish targeted working groups based on specific industries or hazards. These groups will need to draw on technical and practical expertise. To support this work,</w:t>
      </w:r>
      <w:r w:rsidRPr="00922E00" w:rsidDel="007C6526">
        <w:t xml:space="preserve"> </w:t>
      </w:r>
      <w:r w:rsidRPr="00922E00">
        <w:t>the Review suggested Safe Work Australia should establish a WHS technical panel. The panel would comprise respected experts from a diverse range of subject matter specialities, WHS knowledge, skills and experience; and would operate consistent with Commonwealth procurement panel arrangements. This would enable the Safe Work Australia Agency to flexibly access relevant expertise to support the tripartite working groups and develop well-informed national policy advice for Safe Work Australia Members and ultimately WHS ministers.</w:t>
      </w:r>
    </w:p>
    <w:p w14:paraId="233CC2B3" w14:textId="1488C859" w:rsidR="006121B3" w:rsidRPr="00922E00" w:rsidRDefault="006121B3" w:rsidP="00B34EFE">
      <w:pPr>
        <w:pStyle w:val="Paragraph"/>
      </w:pPr>
      <w:r w:rsidRPr="00922E00">
        <w:t>The establishment of the WHS technical panel is an action item arising from the Review which Safe Work Australia Members have tasked the Agency with progressing immediately.</w:t>
      </w:r>
    </w:p>
    <w:p w14:paraId="6D0603F3" w14:textId="77777777" w:rsidR="006121B3" w:rsidRPr="00922E00" w:rsidRDefault="006121B3" w:rsidP="0016789A">
      <w:pPr>
        <w:pStyle w:val="Paragraph"/>
        <w:spacing w:after="240"/>
        <w:rPr>
          <w:rFonts w:eastAsia="Aptos" w:cs="Aptos"/>
          <w:color w:val="000000"/>
          <w:szCs w:val="22"/>
        </w:rPr>
      </w:pPr>
      <w:r w:rsidRPr="00922E00">
        <w:t>Finally, this Review considers that the model WHS Regulations modernisation project should consider ways to evaluate the effectiveness of the model WHS laws, including through its research activities and data collections.</w:t>
      </w:r>
    </w:p>
    <w:tbl>
      <w:tblPr>
        <w:tblStyle w:val="Style4"/>
        <w:tblW w:w="5000" w:type="pct"/>
        <w:tblCellMar>
          <w:top w:w="113" w:type="dxa"/>
          <w:bottom w:w="113" w:type="dxa"/>
        </w:tblCellMar>
        <w:tblLook w:val="04A0" w:firstRow="1" w:lastRow="0" w:firstColumn="1" w:lastColumn="0" w:noHBand="0" w:noVBand="1"/>
      </w:tblPr>
      <w:tblGrid>
        <w:gridCol w:w="9746"/>
      </w:tblGrid>
      <w:tr w:rsidR="00B52DD8" w14:paraId="337A0372" w14:textId="77777777" w:rsidTr="0016789A">
        <w:trPr>
          <w:cnfStyle w:val="100000000000" w:firstRow="1" w:lastRow="0" w:firstColumn="0" w:lastColumn="0" w:oddVBand="0" w:evenVBand="0" w:oddHBand="0" w:evenHBand="0" w:firstRowFirstColumn="0" w:firstRowLastColumn="0" w:lastRowFirstColumn="0" w:lastRowLastColumn="0"/>
        </w:trPr>
        <w:tc>
          <w:tcPr>
            <w:tcW w:w="5000" w:type="pct"/>
            <w:tcBorders>
              <w:top w:val="nil"/>
              <w:bottom w:val="single" w:sz="4" w:space="0" w:color="987CF6" w:themeColor="text2" w:themeTint="66"/>
            </w:tcBorders>
            <w:shd w:val="clear" w:color="auto" w:fill="2B0A99"/>
          </w:tcPr>
          <w:p w14:paraId="674DEC95" w14:textId="2EF31F58" w:rsidR="00B52DD8" w:rsidRDefault="00222442">
            <w:pPr>
              <w:pStyle w:val="Tableheader"/>
            </w:pPr>
            <w:r>
              <w:t>The model WHS Regulations: modernisation project</w:t>
            </w:r>
            <w:r w:rsidR="000D26F7">
              <w:t xml:space="preserve"> – Recommendation 18</w:t>
            </w:r>
          </w:p>
        </w:tc>
      </w:tr>
      <w:tr w:rsidR="00B52DD8" w14:paraId="1FD5FB6C" w14:textId="77777777" w:rsidTr="0016789A">
        <w:tc>
          <w:tcPr>
            <w:tcW w:w="5000" w:type="pct"/>
            <w:tcBorders>
              <w:top w:val="single" w:sz="4" w:space="0" w:color="987CF6" w:themeColor="text2" w:themeTint="66"/>
              <w:bottom w:val="nil"/>
            </w:tcBorders>
            <w:shd w:val="clear" w:color="auto" w:fill="643BF2"/>
          </w:tcPr>
          <w:p w14:paraId="257903DF" w14:textId="408458E8" w:rsidR="009D1756" w:rsidRPr="0016789A" w:rsidRDefault="009D1756" w:rsidP="000D26F7">
            <w:pPr>
              <w:pStyle w:val="Paragraphtable"/>
              <w:rPr>
                <w:color w:val="FFFFFF" w:themeColor="background1"/>
                <w:sz w:val="21"/>
                <w:szCs w:val="21"/>
              </w:rPr>
            </w:pPr>
            <w:r w:rsidRPr="0016789A">
              <w:rPr>
                <w:color w:val="FFFFFF" w:themeColor="background1"/>
                <w:sz w:val="21"/>
                <w:szCs w:val="21"/>
              </w:rPr>
              <w:t>Undertake a model WHS Regulations modernisation project to improve consistency and appropriately regulate modern work, workplaces, and emerging hazards, including by:</w:t>
            </w:r>
          </w:p>
          <w:p w14:paraId="2E965389" w14:textId="4D37092E" w:rsidR="009D1756" w:rsidRPr="0016789A" w:rsidRDefault="009D1756" w:rsidP="00447786">
            <w:pPr>
              <w:pStyle w:val="Listnumber2tables"/>
              <w:numPr>
                <w:ilvl w:val="0"/>
                <w:numId w:val="56"/>
              </w:numPr>
              <w:ind w:left="716"/>
              <w:rPr>
                <w:color w:val="FFFFFF" w:themeColor="background1"/>
                <w:sz w:val="21"/>
                <w:szCs w:val="21"/>
              </w:rPr>
            </w:pPr>
            <w:r w:rsidRPr="0016789A">
              <w:rPr>
                <w:color w:val="FFFFFF" w:themeColor="background1"/>
                <w:sz w:val="21"/>
                <w:szCs w:val="21"/>
              </w:rPr>
              <w:t>developing clear criteria for identifying where regulations are required</w:t>
            </w:r>
            <w:r w:rsidR="00B6578B" w:rsidRPr="0016789A">
              <w:rPr>
                <w:color w:val="FFFFFF" w:themeColor="background1"/>
                <w:sz w:val="21"/>
                <w:szCs w:val="21"/>
              </w:rPr>
              <w:t>, and</w:t>
            </w:r>
          </w:p>
          <w:p w14:paraId="6AE2F4CB" w14:textId="580F7A39" w:rsidR="00B52DD8" w:rsidRPr="00FF6BD7" w:rsidRDefault="009D1756" w:rsidP="00447786">
            <w:pPr>
              <w:pStyle w:val="Listnumber2tables"/>
              <w:numPr>
                <w:ilvl w:val="0"/>
                <w:numId w:val="56"/>
              </w:numPr>
              <w:ind w:left="716"/>
            </w:pPr>
            <w:r w:rsidRPr="0016789A">
              <w:rPr>
                <w:color w:val="FFFFFF" w:themeColor="background1"/>
                <w:sz w:val="21"/>
                <w:szCs w:val="21"/>
              </w:rPr>
              <w:t xml:space="preserve">considering the issues outlined in </w:t>
            </w:r>
            <w:r w:rsidRPr="00AC1858">
              <w:rPr>
                <w:b/>
                <w:bCs/>
                <w:color w:val="FFFFFF" w:themeColor="background1"/>
                <w:sz w:val="21"/>
                <w:szCs w:val="21"/>
              </w:rPr>
              <w:t>Appendix F</w:t>
            </w:r>
            <w:r w:rsidRPr="0016789A">
              <w:rPr>
                <w:color w:val="FFFFFF" w:themeColor="background1"/>
                <w:sz w:val="21"/>
                <w:szCs w:val="21"/>
              </w:rPr>
              <w:t xml:space="preserve"> and </w:t>
            </w:r>
            <w:r w:rsidRPr="00AC1858">
              <w:rPr>
                <w:b/>
                <w:bCs/>
                <w:color w:val="FFFFFF" w:themeColor="background1"/>
                <w:sz w:val="21"/>
                <w:szCs w:val="21"/>
              </w:rPr>
              <w:t>Appendix G</w:t>
            </w:r>
            <w:r w:rsidRPr="0016789A">
              <w:rPr>
                <w:color w:val="FFFFFF" w:themeColor="background1"/>
                <w:sz w:val="21"/>
                <w:szCs w:val="21"/>
              </w:rPr>
              <w:t xml:space="preserve"> (subject to the criteria in (a) above).</w:t>
            </w:r>
          </w:p>
        </w:tc>
      </w:tr>
    </w:tbl>
    <w:p w14:paraId="0F002C86" w14:textId="77777777" w:rsidR="00913F00" w:rsidRDefault="00913F00" w:rsidP="00775484">
      <w:pPr>
        <w:pStyle w:val="Paragraph"/>
      </w:pPr>
    </w:p>
    <w:p w14:paraId="5B99515E" w14:textId="77777777" w:rsidR="00C44A3F" w:rsidRDefault="00C44A3F" w:rsidP="000D26F7">
      <w:pPr>
        <w:pStyle w:val="Paragraph"/>
        <w:sectPr w:rsidR="00C44A3F" w:rsidSect="00DF1707">
          <w:headerReference w:type="default" r:id="rId40"/>
          <w:pgSz w:w="11906" w:h="16838" w:code="9"/>
          <w:pgMar w:top="1440" w:right="1080" w:bottom="1440" w:left="1080" w:header="709" w:footer="709" w:gutter="0"/>
          <w:cols w:space="708"/>
          <w:titlePg/>
          <w:docGrid w:linePitch="360"/>
        </w:sectPr>
      </w:pPr>
    </w:p>
    <w:p w14:paraId="369660A1" w14:textId="7D1D8947" w:rsidR="00C44A3F" w:rsidRDefault="00BA2BF2" w:rsidP="00F14A4A">
      <w:pPr>
        <w:pStyle w:val="SWAHeading1"/>
      </w:pPr>
      <w:bookmarkStart w:id="106" w:name="_Toc239845168"/>
      <w:r>
        <w:lastRenderedPageBreak/>
        <w:t>Environmental scan</w:t>
      </w:r>
      <w:bookmarkEnd w:id="106"/>
    </w:p>
    <w:p w14:paraId="4205D1A3" w14:textId="02817E38" w:rsidR="00C44A3F" w:rsidRPr="000D26F7" w:rsidRDefault="00C44A3F" w:rsidP="00BF204D">
      <w:pPr>
        <w:pStyle w:val="Boxedshaded"/>
        <w:rPr>
          <w:b/>
          <w:bCs/>
        </w:rPr>
      </w:pPr>
      <w:r w:rsidRPr="000D26F7">
        <w:rPr>
          <w:b/>
          <w:bCs/>
        </w:rPr>
        <w:t>Terms of Reference:</w:t>
      </w:r>
    </w:p>
    <w:p w14:paraId="11872420" w14:textId="77777777" w:rsidR="005D1C4C" w:rsidRPr="005D1C4C" w:rsidRDefault="005D1C4C" w:rsidP="00BF204D">
      <w:pPr>
        <w:pStyle w:val="Boxedshaded"/>
      </w:pPr>
      <w:r w:rsidRPr="005D1C4C">
        <w:t>2.1, 2.2, 2.3, 2.5, 2.6</w:t>
      </w:r>
    </w:p>
    <w:p w14:paraId="0F610183" w14:textId="77777777" w:rsidR="00C44A3F" w:rsidRPr="000D26F7" w:rsidRDefault="00C44A3F" w:rsidP="00BF204D">
      <w:pPr>
        <w:pStyle w:val="Boxedshaded"/>
        <w:rPr>
          <w:b/>
          <w:bCs/>
        </w:rPr>
      </w:pPr>
      <w:r w:rsidRPr="000D26F7">
        <w:rPr>
          <w:b/>
          <w:bCs/>
        </w:rPr>
        <w:t>Reviews considered in this chapter:</w:t>
      </w:r>
    </w:p>
    <w:p w14:paraId="1E309095" w14:textId="75D01AE2" w:rsidR="009848E1" w:rsidRPr="000D26F7" w:rsidRDefault="009848E1" w:rsidP="00BF204D">
      <w:pPr>
        <w:pStyle w:val="Boxedshadedbullets"/>
        <w:rPr>
          <w:i/>
          <w:iCs/>
        </w:rPr>
      </w:pPr>
      <w:r w:rsidRPr="000F1DE6">
        <w:t xml:space="preserve">2018 </w:t>
      </w:r>
      <w:r w:rsidRPr="000D26F7">
        <w:rPr>
          <w:i/>
          <w:iCs/>
        </w:rPr>
        <w:t>Review of the model Work Health and Safety laws</w:t>
      </w:r>
      <w:r w:rsidR="00FA4CD4">
        <w:rPr>
          <w:i/>
          <w:iCs/>
        </w:rPr>
        <w:t xml:space="preserve"> </w:t>
      </w:r>
      <w:r w:rsidR="00FA4CD4" w:rsidRPr="00E86E55">
        <w:t>(</w:t>
      </w:r>
      <w:r w:rsidR="00FA4CD4" w:rsidRPr="00542B94">
        <w:rPr>
          <w:i/>
          <w:iCs/>
        </w:rPr>
        <w:t>2018 National Review</w:t>
      </w:r>
      <w:r w:rsidR="00FA4CD4" w:rsidRPr="00E86E55">
        <w:t>)</w:t>
      </w:r>
    </w:p>
    <w:p w14:paraId="4827689D" w14:textId="77777777" w:rsidR="009848E1" w:rsidRPr="000F1DE6" w:rsidRDefault="009848E1" w:rsidP="00BF204D">
      <w:pPr>
        <w:pStyle w:val="Boxedshadedbullets"/>
      </w:pPr>
      <w:r w:rsidRPr="000F1DE6">
        <w:t xml:space="preserve">2024 </w:t>
      </w:r>
      <w:r w:rsidRPr="000D26F7">
        <w:rPr>
          <w:i/>
          <w:iCs/>
        </w:rPr>
        <w:t>Report of the Statutory Review of the Online Safety Act 2021</w:t>
      </w:r>
    </w:p>
    <w:p w14:paraId="2AE529A0" w14:textId="77777777" w:rsidR="009848E1" w:rsidRPr="000D26F7" w:rsidRDefault="009848E1" w:rsidP="00BF204D">
      <w:pPr>
        <w:pStyle w:val="Boxedshadedbullets"/>
        <w:rPr>
          <w:i/>
          <w:iCs/>
        </w:rPr>
      </w:pPr>
      <w:r w:rsidRPr="000F1DE6">
        <w:t xml:space="preserve">2024 </w:t>
      </w:r>
      <w:r w:rsidRPr="000D26F7">
        <w:rPr>
          <w:i/>
          <w:iCs/>
        </w:rPr>
        <w:t>Report of the Senate Select Committee on Adopting Artificial Intelligence</w:t>
      </w:r>
    </w:p>
    <w:p w14:paraId="347AA9C1" w14:textId="77777777" w:rsidR="009848E1" w:rsidRDefault="009848E1" w:rsidP="00BF204D">
      <w:pPr>
        <w:pStyle w:val="Boxedshadedbullets"/>
      </w:pPr>
      <w:r w:rsidRPr="000F1DE6">
        <w:t xml:space="preserve">2025 </w:t>
      </w:r>
      <w:r w:rsidRPr="00105531">
        <w:t>Report of the House Standing Committee on Employment, Education</w:t>
      </w:r>
      <w:r w:rsidRPr="000F1DE6">
        <w:t xml:space="preserve"> and Training</w:t>
      </w:r>
      <w:r>
        <w:t>,</w:t>
      </w:r>
      <w:r w:rsidRPr="000F1DE6">
        <w:t xml:space="preserve"> </w:t>
      </w:r>
      <w:r w:rsidRPr="000549AF">
        <w:rPr>
          <w:i/>
          <w:iCs/>
        </w:rPr>
        <w:t xml:space="preserve">The </w:t>
      </w:r>
      <w:r w:rsidRPr="00045B0E">
        <w:rPr>
          <w:i/>
          <w:iCs/>
        </w:rPr>
        <w:t>Future of Work: Inquiry into the Digital Transformation of</w:t>
      </w:r>
      <w:r w:rsidRPr="00B77095">
        <w:t xml:space="preserve"> </w:t>
      </w:r>
      <w:r w:rsidRPr="000549AF">
        <w:rPr>
          <w:i/>
          <w:iCs/>
        </w:rPr>
        <w:t>Workplaces</w:t>
      </w:r>
    </w:p>
    <w:p w14:paraId="60CF27A7" w14:textId="77777777" w:rsidR="009848E1" w:rsidRPr="00105531" w:rsidRDefault="009848E1" w:rsidP="00BF204D">
      <w:pPr>
        <w:pStyle w:val="Boxedshadedbullets"/>
      </w:pPr>
      <w:r w:rsidRPr="00105531">
        <w:t xml:space="preserve">2025 </w:t>
      </w:r>
      <w:r w:rsidRPr="002B6D9A">
        <w:t>Report of the Productivity Commission,</w:t>
      </w:r>
      <w:r w:rsidRPr="001F2819">
        <w:t xml:space="preserve"> </w:t>
      </w:r>
      <w:r w:rsidRPr="000D26F7">
        <w:rPr>
          <w:i/>
          <w:iCs/>
        </w:rPr>
        <w:t>Harnessing data and digital technology: Inquiry report</w:t>
      </w:r>
    </w:p>
    <w:p w14:paraId="06312A02" w14:textId="77777777" w:rsidR="009848E1" w:rsidRPr="00105531" w:rsidRDefault="009848E1" w:rsidP="00BF204D">
      <w:pPr>
        <w:pStyle w:val="Boxedshadedbullets"/>
      </w:pPr>
      <w:r w:rsidRPr="00105531">
        <w:t xml:space="preserve">2025 </w:t>
      </w:r>
      <w:r>
        <w:t>R</w:t>
      </w:r>
      <w:r w:rsidRPr="00105531">
        <w:t>eport of the Victorian Legislative Assembly Economic and Infrastructure Committee</w:t>
      </w:r>
      <w:r w:rsidRPr="000549AF">
        <w:t xml:space="preserve">, </w:t>
      </w:r>
      <w:r w:rsidRPr="00233F26">
        <w:rPr>
          <w:rFonts w:cstheme="minorHAnsi"/>
          <w:i/>
          <w:szCs w:val="18"/>
        </w:rPr>
        <w:t>Inquiry into workplace surveillance</w:t>
      </w:r>
      <w:r>
        <w:t>.</w:t>
      </w:r>
    </w:p>
    <w:p w14:paraId="0C378310" w14:textId="77777777" w:rsidR="000C7558" w:rsidRDefault="000C7558" w:rsidP="000C7558">
      <w:pPr>
        <w:pStyle w:val="SWAHeading3"/>
      </w:pPr>
      <w:r>
        <w:t>Introduction</w:t>
      </w:r>
    </w:p>
    <w:p w14:paraId="715DA1D5" w14:textId="6339D1D2" w:rsidR="00F21CE3" w:rsidRDefault="001F4902" w:rsidP="001F4902">
      <w:pPr>
        <w:pStyle w:val="Paragraph"/>
      </w:pPr>
      <w:r w:rsidRPr="000F1DE6">
        <w:t xml:space="preserve">This </w:t>
      </w:r>
      <w:r>
        <w:t>c</w:t>
      </w:r>
      <w:r w:rsidRPr="000F1DE6">
        <w:t>hapter explores 3 key issues that consultation indicates will likely be among the most significant shaping our workplaces, including how we work and manage persistent and emerging WHS risks in the coming years.</w:t>
      </w:r>
    </w:p>
    <w:p w14:paraId="0B1C2CC9" w14:textId="2CFC97F0" w:rsidR="001F4902" w:rsidRPr="000F1DE6" w:rsidRDefault="001F4902" w:rsidP="001F4902">
      <w:pPr>
        <w:pStyle w:val="Paragraph"/>
      </w:pPr>
      <w:r w:rsidRPr="000F1DE6">
        <w:t>They are:</w:t>
      </w:r>
    </w:p>
    <w:p w14:paraId="52EEDC82" w14:textId="77777777" w:rsidR="001F4902" w:rsidRPr="0037546D" w:rsidRDefault="001F4902" w:rsidP="0037546D">
      <w:pPr>
        <w:pStyle w:val="ListBullet"/>
      </w:pPr>
      <w:r w:rsidRPr="00A54EF4">
        <w:t xml:space="preserve">digital </w:t>
      </w:r>
      <w:r w:rsidRPr="0037546D">
        <w:t>transformation of work and workplaces</w:t>
      </w:r>
    </w:p>
    <w:p w14:paraId="308E37A0" w14:textId="77777777" w:rsidR="001F4902" w:rsidRPr="0037546D" w:rsidRDefault="001F4902" w:rsidP="0037546D">
      <w:pPr>
        <w:pStyle w:val="ListBullet"/>
      </w:pPr>
      <w:r w:rsidRPr="0037546D">
        <w:t>climate change</w:t>
      </w:r>
    </w:p>
    <w:p w14:paraId="6A09543F" w14:textId="77777777" w:rsidR="00F21CE3" w:rsidRDefault="001F4902" w:rsidP="0037546D">
      <w:pPr>
        <w:pStyle w:val="ListBullet"/>
      </w:pPr>
      <w:r w:rsidRPr="0037546D">
        <w:t>harmful workplace</w:t>
      </w:r>
      <w:r w:rsidRPr="00A54EF4">
        <w:t xml:space="preserve"> behaviours.</w:t>
      </w:r>
    </w:p>
    <w:p w14:paraId="15961200" w14:textId="721D5315" w:rsidR="001F4902" w:rsidRPr="000F1DE6" w:rsidRDefault="001F4902" w:rsidP="00D41812">
      <w:pPr>
        <w:pStyle w:val="SWAHeading2"/>
        <w:spacing w:line="240" w:lineRule="auto"/>
        <w:rPr>
          <w:rFonts w:asciiTheme="minorHAnsi" w:hAnsiTheme="minorHAnsi"/>
        </w:rPr>
      </w:pPr>
      <w:bookmarkStart w:id="107" w:name="_Toc228979109"/>
      <w:bookmarkStart w:id="108" w:name="_Toc228985935"/>
      <w:bookmarkStart w:id="109" w:name="_Toc227588242"/>
      <w:bookmarkStart w:id="110" w:name="_Toc230273191"/>
      <w:bookmarkStart w:id="111" w:name="_Toc234853697"/>
      <w:bookmarkStart w:id="112" w:name="_Toc236326827"/>
      <w:bookmarkStart w:id="113" w:name="_Toc239845169"/>
      <w:bookmarkEnd w:id="107"/>
      <w:bookmarkEnd w:id="108"/>
      <w:r w:rsidRPr="000F1DE6">
        <w:rPr>
          <w:rFonts w:asciiTheme="minorHAnsi" w:hAnsiTheme="minorHAnsi"/>
        </w:rPr>
        <w:t xml:space="preserve">Digital transformation of </w:t>
      </w:r>
      <w:bookmarkEnd w:id="109"/>
      <w:r w:rsidRPr="000F1DE6">
        <w:rPr>
          <w:rFonts w:asciiTheme="minorHAnsi" w:hAnsiTheme="minorHAnsi"/>
        </w:rPr>
        <w:t>work and workplaces</w:t>
      </w:r>
      <w:bookmarkEnd w:id="110"/>
      <w:bookmarkEnd w:id="111"/>
      <w:bookmarkEnd w:id="112"/>
      <w:bookmarkEnd w:id="113"/>
    </w:p>
    <w:p w14:paraId="23F5B168" w14:textId="77777777" w:rsidR="00F21CE3" w:rsidRDefault="001F4902" w:rsidP="001F4902">
      <w:pPr>
        <w:pStyle w:val="Paragraph"/>
      </w:pPr>
      <w:r w:rsidRPr="000F1DE6">
        <w:t>Digital technologies have been transforming work and workplaces for decades, but the emergence of AI is significant enough to be considered part of the ‘Fourth Industrial Revolution’, with the potential to affect every sector of the economy.</w:t>
      </w:r>
      <w:r w:rsidRPr="000F1DE6">
        <w:rPr>
          <w:vertAlign w:val="superscript"/>
        </w:rPr>
        <w:footnoteReference w:id="634"/>
      </w:r>
      <w:r w:rsidRPr="000F1DE6" w:rsidDel="009A0DEB">
        <w:t xml:space="preserve"> </w:t>
      </w:r>
      <w:r w:rsidRPr="000F1DE6">
        <w:t>AI is a broad term, encompassing digital systems that can perform tasks previously requiring human intelligence, and its use is changing rapidly.</w:t>
      </w:r>
    </w:p>
    <w:p w14:paraId="242E70F0" w14:textId="32488A7D" w:rsidR="000D26F7" w:rsidRDefault="000D26F7">
      <w:pPr>
        <w:spacing w:after="200" w:line="276" w:lineRule="auto"/>
        <w:contextualSpacing w:val="0"/>
        <w:rPr>
          <w:rFonts w:asciiTheme="minorHAnsi" w:eastAsia="Times New Roman" w:hAnsiTheme="minorHAnsi"/>
          <w:lang w:eastAsia="en-AU"/>
        </w:rPr>
      </w:pPr>
      <w:r>
        <w:br w:type="page"/>
      </w:r>
    </w:p>
    <w:p w14:paraId="001B4416" w14:textId="77777777" w:rsidR="001F4902" w:rsidRPr="000F1DE6" w:rsidRDefault="001F4902" w:rsidP="001F4902">
      <w:pPr>
        <w:pStyle w:val="Paragraph"/>
      </w:pPr>
      <w:r w:rsidRPr="000F1DE6">
        <w:lastRenderedPageBreak/>
        <w:t>Some automated decision-making (ADM) systems use AI to automate all or part of a decision-making process, without the need for human intervention.</w:t>
      </w:r>
      <w:r w:rsidRPr="000F1DE6">
        <w:rPr>
          <w:vertAlign w:val="superscript"/>
        </w:rPr>
        <w:footnoteReference w:id="635"/>
      </w:r>
      <w:r w:rsidRPr="000F1DE6">
        <w:t xml:space="preserve"> Other major current categories of AI systems include:</w:t>
      </w:r>
    </w:p>
    <w:p w14:paraId="59576AA7" w14:textId="77777777" w:rsidR="00F21CE3" w:rsidRDefault="001F4902" w:rsidP="0002183E">
      <w:pPr>
        <w:pStyle w:val="ListBullet"/>
      </w:pPr>
      <w:r w:rsidRPr="00A54EF4">
        <w:rPr>
          <w:b/>
        </w:rPr>
        <w:t>generative AI:</w:t>
      </w:r>
      <w:r w:rsidRPr="00A54EF4">
        <w:t xml:space="preserve"> systems trained on large volumes of real-world data that can interpret and generate content such as text, images and other media</w:t>
      </w:r>
      <w:r w:rsidRPr="00A54EF4">
        <w:rPr>
          <w:vertAlign w:val="superscript"/>
        </w:rPr>
        <w:footnoteReference w:id="636"/>
      </w:r>
    </w:p>
    <w:p w14:paraId="5BA80B2A" w14:textId="77777777" w:rsidR="00F21CE3" w:rsidRDefault="001F4902" w:rsidP="0002183E">
      <w:pPr>
        <w:pStyle w:val="ListBullet"/>
      </w:pPr>
      <w:r w:rsidRPr="00A54EF4">
        <w:rPr>
          <w:b/>
        </w:rPr>
        <w:t>agentic AI:</w:t>
      </w:r>
      <w:r w:rsidRPr="00A54EF4">
        <w:t xml:space="preserve"> systems that integrate with other software to complete tasks independently or with minimal human supervision.</w:t>
      </w:r>
      <w:r w:rsidRPr="00A54EF4">
        <w:rPr>
          <w:rFonts w:eastAsiaTheme="majorEastAsia" w:cs="Arial"/>
          <w:szCs w:val="22"/>
          <w:vertAlign w:val="superscript"/>
        </w:rPr>
        <w:footnoteReference w:id="637"/>
      </w:r>
    </w:p>
    <w:p w14:paraId="67328863" w14:textId="77777777" w:rsidR="00F21CE3" w:rsidRDefault="001F4902" w:rsidP="001F4902">
      <w:pPr>
        <w:pStyle w:val="Paragraph"/>
      </w:pPr>
      <w:r w:rsidRPr="000F1DE6">
        <w:t>AI is increasingly reshaping the nature of work in Australia, with its adoption accelerating across industries and occupations at varying rates. An estimated 63% of Australian businesses were using generative AI tools in 2024,</w:t>
      </w:r>
      <w:r w:rsidRPr="000F1DE6">
        <w:rPr>
          <w:rFonts w:eastAsiaTheme="majorEastAsia" w:cs="Arial"/>
          <w:szCs w:val="22"/>
          <w:vertAlign w:val="superscript"/>
        </w:rPr>
        <w:footnoteReference w:id="638"/>
      </w:r>
      <w:r w:rsidRPr="000F1DE6">
        <w:t xml:space="preserve"> and 84% of Australians in office jobs reported using AI at work in 2024.</w:t>
      </w:r>
      <w:r w:rsidRPr="000F1DE6">
        <w:rPr>
          <w:rFonts w:eastAsiaTheme="majorEastAsia" w:cs="Arial"/>
          <w:szCs w:val="22"/>
          <w:vertAlign w:val="superscript"/>
        </w:rPr>
        <w:footnoteReference w:id="639"/>
      </w:r>
      <w:r w:rsidRPr="000F1DE6">
        <w:t xml:space="preserve"> Tasks are increasingly automated or allocated by AI systems (for example, on digital labour platforms), and PCBUs and workers are responding by integrating AI into their daily workflow. Industry is also increasingly using AI to understand, summarise or contextualise the WHS requirements that apply to their businesses.</w:t>
      </w:r>
    </w:p>
    <w:p w14:paraId="241FF852" w14:textId="30166BCE" w:rsidR="001F4902" w:rsidRPr="000F1DE6" w:rsidRDefault="001F4902" w:rsidP="001F4902">
      <w:pPr>
        <w:pStyle w:val="Paragraph"/>
      </w:pPr>
      <w:r w:rsidRPr="000F1DE6">
        <w:t>While AI can assist in identifying and controlling existing hazards, its use can also create new and evolving WHS risks, particularly where systems influence work allocation, monitoring or surveillance, or decision</w:t>
      </w:r>
      <w:r w:rsidRPr="000F1DE6">
        <w:noBreakHyphen/>
        <w:t>making with limited transparency or human oversight. As AI becomes more embedded, the model WHS laws will remain the key legislative framework through which the physical and psychosocial risks arising from its use in workplaces are managed.</w:t>
      </w:r>
    </w:p>
    <w:p w14:paraId="617EFB02" w14:textId="77777777" w:rsidR="00F21CE3" w:rsidRDefault="001F4902" w:rsidP="001F4902">
      <w:pPr>
        <w:pStyle w:val="Paragraph"/>
        <w:rPr>
          <w:rFonts w:cs="Arial"/>
          <w:szCs w:val="22"/>
        </w:rPr>
      </w:pPr>
      <w:r w:rsidRPr="000F1DE6">
        <w:t xml:space="preserve">Several inquiries have examined AI and other digital technologies and have recognised the importance of the model WHS laws as a means of mitigating harms associated with AI. </w:t>
      </w:r>
      <w:r w:rsidRPr="004C2695">
        <w:rPr>
          <w:rFonts w:cs="Arial"/>
          <w:szCs w:val="22"/>
        </w:rPr>
        <w:t xml:space="preserve">The </w:t>
      </w:r>
      <w:r w:rsidRPr="00BF23C9">
        <w:rPr>
          <w:rFonts w:cs="Arial"/>
          <w:i/>
          <w:iCs/>
          <w:szCs w:val="22"/>
        </w:rPr>
        <w:t>2025 Productivity Commission inquiry report</w:t>
      </w:r>
      <w:r w:rsidRPr="000F1DE6">
        <w:rPr>
          <w:rFonts w:cs="Arial"/>
          <w:szCs w:val="22"/>
        </w:rPr>
        <w:t xml:space="preserve"> on</w:t>
      </w:r>
      <w:r w:rsidRPr="000F1DE6" w:rsidDel="00057A46">
        <w:rPr>
          <w:rFonts w:cs="Arial"/>
          <w:szCs w:val="22"/>
        </w:rPr>
        <w:t xml:space="preserve"> </w:t>
      </w:r>
      <w:r w:rsidRPr="000F1DE6">
        <w:rPr>
          <w:rFonts w:cs="Arial"/>
          <w:szCs w:val="22"/>
        </w:rPr>
        <w:t>harnessing data and digital technology recommended reliance on established regulatory systems to manage potential harms and referred to the model WHS laws a</w:t>
      </w:r>
      <w:r w:rsidRPr="000F1DE6">
        <w:t>s an example of a regulatory framework that can be readily adapted to manage risks.</w:t>
      </w:r>
      <w:r w:rsidRPr="000F1DE6">
        <w:rPr>
          <w:rFonts w:eastAsiaTheme="majorEastAsia" w:cs="Arial"/>
          <w:vertAlign w:val="superscript"/>
        </w:rPr>
        <w:footnoteReference w:id="640"/>
      </w:r>
      <w:r w:rsidRPr="000F1DE6">
        <w:rPr>
          <w:rFonts w:cs="Arial"/>
          <w:szCs w:val="22"/>
        </w:rPr>
        <w:t xml:space="preserve"> This approach would involve assessing laws (including the model WHS laws) for potential AI-related gaps and considering whether targeted law reform may be needed.</w:t>
      </w:r>
      <w:r w:rsidRPr="000F1DE6">
        <w:rPr>
          <w:rFonts w:eastAsiaTheme="majorEastAsia" w:cs="Arial"/>
          <w:szCs w:val="22"/>
          <w:vertAlign w:val="superscript"/>
        </w:rPr>
        <w:footnoteReference w:id="641"/>
      </w:r>
    </w:p>
    <w:p w14:paraId="75B8159B" w14:textId="18A733E8" w:rsidR="00F21CE3" w:rsidRDefault="001F4902" w:rsidP="001F4902">
      <w:pPr>
        <w:pStyle w:val="Paragraph"/>
      </w:pPr>
      <w:r w:rsidRPr="000F1DE6">
        <w:t xml:space="preserve">The Australian Government’s </w:t>
      </w:r>
      <w:r w:rsidRPr="00AC1858">
        <w:rPr>
          <w:i/>
          <w:iCs/>
        </w:rPr>
        <w:t xml:space="preserve">National AI Plan </w:t>
      </w:r>
      <w:r w:rsidRPr="000F1DE6">
        <w:t>similarly concluded that established legal and regulatory frameworks are best placed to mitigate AI-related risks, as an alternative to new economy</w:t>
      </w:r>
      <w:r>
        <w:t>-</w:t>
      </w:r>
      <w:r w:rsidRPr="000F1DE6">
        <w:t>wide regulation.</w:t>
      </w:r>
      <w:r w:rsidRPr="000F1DE6">
        <w:rPr>
          <w:rFonts w:eastAsiaTheme="majorEastAsia" w:cs="Arial"/>
          <w:szCs w:val="22"/>
          <w:vertAlign w:val="superscript"/>
        </w:rPr>
        <w:footnoteReference w:id="642"/>
      </w:r>
    </w:p>
    <w:p w14:paraId="76336EAD" w14:textId="009C64E0" w:rsidR="001F4902" w:rsidRPr="000F1DE6" w:rsidRDefault="001F4902" w:rsidP="001F4902">
      <w:pPr>
        <w:pStyle w:val="Paragraph"/>
        <w:rPr>
          <w:rFonts w:cs="Arial"/>
          <w:szCs w:val="22"/>
        </w:rPr>
      </w:pPr>
      <w:r w:rsidRPr="000F1DE6">
        <w:t xml:space="preserve">This Review notes the AI Employment and Workplace Forum was established in April 2026 to drive tangible actions and outcomes to achieve the objectives of the </w:t>
      </w:r>
      <w:r w:rsidRPr="00AC1858">
        <w:rPr>
          <w:i/>
          <w:iCs/>
        </w:rPr>
        <w:t>National AI Plan</w:t>
      </w:r>
      <w:r w:rsidRPr="000F1DE6">
        <w:t>, facilitating tripartite dialogue on AI adoption in the workplace.</w:t>
      </w:r>
      <w:r w:rsidRPr="000F1DE6">
        <w:rPr>
          <w:vertAlign w:val="superscript"/>
        </w:rPr>
        <w:footnoteReference w:id="643"/>
      </w:r>
      <w:r w:rsidRPr="000F1DE6">
        <w:t xml:space="preserve"> </w:t>
      </w:r>
      <w:r w:rsidRPr="007A676B">
        <w:t xml:space="preserve">The </w:t>
      </w:r>
      <w:r w:rsidR="00694292" w:rsidRPr="007A676B">
        <w:t>f</w:t>
      </w:r>
      <w:r w:rsidRPr="007A676B">
        <w:t>orum’s first</w:t>
      </w:r>
      <w:r w:rsidRPr="000F1DE6">
        <w:t xml:space="preserve"> meeting examined the themes of trust, capability, transparency, safety and productivity, with WHS a key safety consideration.</w:t>
      </w:r>
    </w:p>
    <w:p w14:paraId="0C976F6B" w14:textId="07620F2E" w:rsidR="00805D9E" w:rsidRPr="000D26F7" w:rsidRDefault="00805D9E" w:rsidP="00BF204D">
      <w:pPr>
        <w:pStyle w:val="Boxedshaded"/>
        <w:rPr>
          <w:b/>
          <w:bCs/>
        </w:rPr>
      </w:pPr>
      <w:r w:rsidRPr="000D26F7">
        <w:rPr>
          <w:b/>
          <w:bCs/>
        </w:rPr>
        <w:lastRenderedPageBreak/>
        <w:t>What we heard</w:t>
      </w:r>
    </w:p>
    <w:p w14:paraId="5523429D" w14:textId="77777777" w:rsidR="00F21CE3" w:rsidRDefault="0044726D" w:rsidP="00BF204D">
      <w:pPr>
        <w:pStyle w:val="Boxedshaded"/>
      </w:pPr>
      <w:r w:rsidRPr="0044726D">
        <w:t>Some submissions emphasised the WHS benefits of AI adoption in workplaces, while others emphasised the risks and harms. Industry groups</w:t>
      </w:r>
      <w:r w:rsidRPr="000F1DE6">
        <w:rPr>
          <w:rFonts w:eastAsiaTheme="majorEastAsia"/>
          <w:vertAlign w:val="superscript"/>
        </w:rPr>
        <w:footnoteReference w:id="644"/>
      </w:r>
      <w:r w:rsidRPr="0044726D">
        <w:t xml:space="preserve"> praised its potential to improve safety and efficiency through automation, predictive analysis and reduced exposure to hazards. Unions and non</w:t>
      </w:r>
      <w:r w:rsidRPr="0044726D">
        <w:noBreakHyphen/>
        <w:t>government submissions</w:t>
      </w:r>
      <w:r w:rsidRPr="000F1DE6">
        <w:rPr>
          <w:rFonts w:eastAsiaTheme="majorEastAsia"/>
          <w:vertAlign w:val="superscript"/>
        </w:rPr>
        <w:footnoteReference w:id="645"/>
      </w:r>
      <w:r w:rsidRPr="0044726D">
        <w:t xml:space="preserve"> raised concerns about the potential physical and psychosocial risks it poses, including:</w:t>
      </w:r>
    </w:p>
    <w:p w14:paraId="7CA0AE73" w14:textId="77777777" w:rsidR="00F21CE3" w:rsidRDefault="0061455F" w:rsidP="0061455F">
      <w:pPr>
        <w:pStyle w:val="Boxedshaded"/>
        <w:tabs>
          <w:tab w:val="left" w:pos="851"/>
        </w:tabs>
        <w:ind w:firstLine="283"/>
      </w:pPr>
      <w:r>
        <w:t>•</w:t>
      </w:r>
      <w:r>
        <w:tab/>
        <w:t>low job control</w:t>
      </w:r>
    </w:p>
    <w:p w14:paraId="22B5765E" w14:textId="44BF5EB2" w:rsidR="0061455F" w:rsidRDefault="0061455F" w:rsidP="0061455F">
      <w:pPr>
        <w:pStyle w:val="Boxedshaded"/>
        <w:tabs>
          <w:tab w:val="left" w:pos="851"/>
        </w:tabs>
        <w:ind w:firstLine="283"/>
      </w:pPr>
      <w:r>
        <w:t>•</w:t>
      </w:r>
      <w:r>
        <w:tab/>
        <w:t>intrusive surveillance</w:t>
      </w:r>
    </w:p>
    <w:p w14:paraId="47538DE5" w14:textId="010A2F8C" w:rsidR="0061455F" w:rsidRDefault="0061455F" w:rsidP="0061455F">
      <w:pPr>
        <w:pStyle w:val="Boxedshaded"/>
        <w:tabs>
          <w:tab w:val="left" w:pos="851"/>
        </w:tabs>
        <w:ind w:firstLine="283"/>
      </w:pPr>
      <w:r>
        <w:t>•</w:t>
      </w:r>
      <w:r>
        <w:tab/>
        <w:t>increasing bias and discrimination against workers</w:t>
      </w:r>
    </w:p>
    <w:p w14:paraId="5DD87E34" w14:textId="6F5F289B" w:rsidR="0061455F" w:rsidRDefault="0061455F" w:rsidP="0061455F">
      <w:pPr>
        <w:pStyle w:val="Boxedshaded"/>
        <w:tabs>
          <w:tab w:val="left" w:pos="851"/>
        </w:tabs>
        <w:ind w:firstLine="283"/>
      </w:pPr>
      <w:r>
        <w:t>•</w:t>
      </w:r>
      <w:r>
        <w:tab/>
        <w:t>high work intensity</w:t>
      </w:r>
    </w:p>
    <w:p w14:paraId="090E9E3F" w14:textId="63DD0476" w:rsidR="0044726D" w:rsidRPr="0044726D" w:rsidRDefault="0061455F" w:rsidP="00AC1858">
      <w:pPr>
        <w:pStyle w:val="Boxedshaded"/>
        <w:tabs>
          <w:tab w:val="left" w:pos="851"/>
        </w:tabs>
        <w:ind w:firstLine="283"/>
      </w:pPr>
      <w:r>
        <w:t>•</w:t>
      </w:r>
      <w:r>
        <w:tab/>
        <w:t>the facilitation of harassment and abuse</w:t>
      </w:r>
      <w:r w:rsidR="0044726D" w:rsidRPr="0044726D">
        <w:t>.</w:t>
      </w:r>
    </w:p>
    <w:p w14:paraId="3BBCFC51" w14:textId="77777777" w:rsidR="00F21CE3" w:rsidRDefault="0044726D" w:rsidP="00BF204D">
      <w:pPr>
        <w:pStyle w:val="Boxedshaded"/>
      </w:pPr>
      <w:r w:rsidRPr="0044726D">
        <w:t>The Centre for Future Work acknowledged digital technology can be used to manage WHS risks (for example, by using surveillance cameras to monitor aggressive customers) but suggested excessive or unreasonable use can lead to physical or psychological harm.</w:t>
      </w:r>
      <w:r w:rsidRPr="0044726D">
        <w:rPr>
          <w:vertAlign w:val="superscript"/>
        </w:rPr>
        <w:footnoteReference w:id="646"/>
      </w:r>
      <w:r w:rsidRPr="0044726D">
        <w:t xml:space="preserve"> It noted productivity tools that determine ‘optimal’ work patterns can result in unrealistic standards or high work intensity, increasing the risk of incidents and injuries.</w:t>
      </w:r>
      <w:r w:rsidRPr="000F1DE6">
        <w:rPr>
          <w:rFonts w:cs="Arial"/>
          <w:szCs w:val="22"/>
          <w:vertAlign w:val="superscript"/>
        </w:rPr>
        <w:footnoteReference w:id="647"/>
      </w:r>
      <w:r w:rsidRPr="0044726D">
        <w:t xml:space="preserve"> This can also endanger others, such as when transport workers, pressured to meet unrealistic targets, become more prone to road accidents.</w:t>
      </w:r>
      <w:r w:rsidRPr="000F1DE6">
        <w:rPr>
          <w:rFonts w:eastAsiaTheme="majorEastAsia" w:cs="Arial"/>
          <w:szCs w:val="22"/>
          <w:vertAlign w:val="superscript"/>
        </w:rPr>
        <w:footnoteReference w:id="648"/>
      </w:r>
      <w:r w:rsidRPr="0044726D">
        <w:t xml:space="preserve"> SA Unions highlighted the psychosocial risks of workplace surveillance arising from poor organisational change management, low job control, lack of role clarity and poor organisational justice.</w:t>
      </w:r>
      <w:r w:rsidRPr="000F1DE6">
        <w:rPr>
          <w:rFonts w:eastAsiaTheme="majorEastAsia" w:cs="Arial"/>
          <w:szCs w:val="22"/>
          <w:vertAlign w:val="superscript"/>
        </w:rPr>
        <w:footnoteReference w:id="649"/>
      </w:r>
    </w:p>
    <w:p w14:paraId="779D1EA8" w14:textId="77777777" w:rsidR="00F21CE3" w:rsidRPr="00312E4E" w:rsidRDefault="0044726D" w:rsidP="00BF204D">
      <w:pPr>
        <w:pStyle w:val="Boxedshaded"/>
      </w:pPr>
      <w:r w:rsidRPr="0044726D">
        <w:t xml:space="preserve">Submissions also expressed concerns about worker privacy, data governance and the accuracy of AI </w:t>
      </w:r>
      <w:r w:rsidRPr="00312E4E">
        <w:t>decisions and outputs, including AI-generated safety documents and content, particularly SDS.</w:t>
      </w:r>
      <w:r w:rsidRPr="00312E4E">
        <w:rPr>
          <w:rFonts w:eastAsiaTheme="majorEastAsia" w:cs="Arial"/>
          <w:szCs w:val="22"/>
          <w:vertAlign w:val="superscript"/>
        </w:rPr>
        <w:footnoteReference w:id="650"/>
      </w:r>
    </w:p>
    <w:p w14:paraId="4ECD34DC" w14:textId="5F70709D" w:rsidR="00F21CE3" w:rsidRDefault="0044726D" w:rsidP="00BF204D">
      <w:pPr>
        <w:pStyle w:val="Boxedshaded"/>
      </w:pPr>
      <w:r w:rsidRPr="00312E4E">
        <w:t>Stakeholder views</w:t>
      </w:r>
      <w:r w:rsidRPr="0044726D">
        <w:t xml:space="preserve"> were mixed regarding the adequacy of existing WHS laws for regulating AI. Industry cautioned against rushing to introduce new prescriptive legislation without first considering the evidence of harm,</w:t>
      </w:r>
      <w:r w:rsidRPr="000F1DE6">
        <w:rPr>
          <w:rFonts w:eastAsiaTheme="majorEastAsia" w:cs="Arial"/>
          <w:vertAlign w:val="superscript"/>
        </w:rPr>
        <w:footnoteReference w:id="651"/>
      </w:r>
      <w:r w:rsidRPr="0044726D">
        <w:t xml:space="preserve"> instead proposing that the safety impact of new technologies be monitored.</w:t>
      </w:r>
      <w:r w:rsidRPr="000F1DE6">
        <w:rPr>
          <w:rFonts w:eastAsiaTheme="majorEastAsia" w:cs="Arial"/>
          <w:vertAlign w:val="superscript"/>
        </w:rPr>
        <w:footnoteReference w:id="652"/>
      </w:r>
      <w:r w:rsidRPr="0044726D">
        <w:t xml:space="preserve"> Unions considered current regulatory settings insufficient, particularly for managing the psychosocial hazards arising from AI use, and supported introducing new regulations and practical guidance.</w:t>
      </w:r>
      <w:r w:rsidRPr="000F1DE6">
        <w:rPr>
          <w:rFonts w:eastAsiaTheme="majorEastAsia" w:cs="Arial"/>
          <w:vertAlign w:val="superscript"/>
        </w:rPr>
        <w:footnoteReference w:id="653"/>
      </w:r>
    </w:p>
    <w:p w14:paraId="3197C411" w14:textId="17DB3000" w:rsidR="00805D9E" w:rsidRPr="00195EF6" w:rsidRDefault="0044726D" w:rsidP="00BF204D">
      <w:pPr>
        <w:pStyle w:val="Boxedshaded"/>
        <w:rPr>
          <w:rFonts w:eastAsia="Arial"/>
        </w:rPr>
      </w:pPr>
      <w:r w:rsidRPr="0044726D">
        <w:t xml:space="preserve">Within this context, the ACTU requested this Review consider recent amendments made to the NSW WHS Act through the </w:t>
      </w:r>
      <w:r w:rsidRPr="0044726D">
        <w:rPr>
          <w:i/>
        </w:rPr>
        <w:t>Work Health and Safety Amendment (Digital Work Systems) Act 2026</w:t>
      </w:r>
      <w:r w:rsidRPr="0044726D">
        <w:t xml:space="preserve"> (discussed further below). SafeWork NSW suggested the model WHS Regulations be reviewed to ensure they cover the risk of AI.</w:t>
      </w:r>
      <w:r w:rsidRPr="000F1DE6">
        <w:rPr>
          <w:rFonts w:eastAsiaTheme="majorEastAsia" w:cs="Arial"/>
          <w:vertAlign w:val="superscript"/>
        </w:rPr>
        <w:footnoteReference w:id="654"/>
      </w:r>
      <w:r w:rsidRPr="0044726D">
        <w:t xml:space="preserve"> Strategy and design firm Veyter Pty Ltd noted its concern that the designer duty in the model WHS Act does not explicitly apply to AI.</w:t>
      </w:r>
      <w:r w:rsidRPr="0044726D">
        <w:rPr>
          <w:vertAlign w:val="superscript"/>
        </w:rPr>
        <w:footnoteReference w:id="655"/>
      </w:r>
    </w:p>
    <w:p w14:paraId="2E0866B2" w14:textId="77777777" w:rsidR="000D26F7" w:rsidRDefault="000D26F7" w:rsidP="000D26F7">
      <w:pPr>
        <w:pStyle w:val="Paragraph"/>
        <w:rPr>
          <w:rFonts w:eastAsiaTheme="majorEastAsia" w:cs="Arial"/>
          <w:color w:val="7F7F7F" w:themeColor="text1" w:themeTint="80"/>
          <w:sz w:val="24"/>
          <w:szCs w:val="22"/>
        </w:rPr>
      </w:pPr>
      <w:r>
        <w:br w:type="page"/>
      </w:r>
    </w:p>
    <w:p w14:paraId="1E769839" w14:textId="19F3837F" w:rsidR="001F4902" w:rsidRPr="007A6119" w:rsidRDefault="001F4902" w:rsidP="000D26F7">
      <w:pPr>
        <w:pStyle w:val="SWAHeading4"/>
      </w:pPr>
      <w:r w:rsidRPr="007A6119">
        <w:lastRenderedPageBreak/>
        <w:t>Discussion and recommendations</w:t>
      </w:r>
    </w:p>
    <w:p w14:paraId="46BA7FB3" w14:textId="77777777" w:rsidR="001F4902" w:rsidRPr="00FF5179" w:rsidRDefault="001F4902" w:rsidP="000D26F7">
      <w:pPr>
        <w:pStyle w:val="SWAHeading5"/>
      </w:pPr>
      <w:bookmarkStart w:id="114" w:name="_Toc228256128"/>
      <w:r w:rsidRPr="00FF5179">
        <w:t>Application of the model WHS laws to AI</w:t>
      </w:r>
      <w:bookmarkEnd w:id="114"/>
    </w:p>
    <w:p w14:paraId="7CE74F00" w14:textId="77777777" w:rsidR="001F4902" w:rsidRPr="000F1DE6" w:rsidRDefault="001F4902" w:rsidP="001F4902">
      <w:pPr>
        <w:pStyle w:val="Paragraph"/>
      </w:pPr>
      <w:r w:rsidRPr="000F1DE6">
        <w:t xml:space="preserve">The model WHS laws are ‘technology neutral’, designed to be flexible and capable of dealing with changing work and workplaces. Regardless of their level of autonomy, AI, </w:t>
      </w:r>
      <w:r w:rsidRPr="00105531">
        <w:t>agentic AI and ADM are</w:t>
      </w:r>
      <w:r w:rsidRPr="000F1DE6">
        <w:t xml:space="preserve"> all, in a legal sense, tools designed and used by humans to undertake specific tasks. In this respect, they are no different to any software, plant or work system a PCBU may use to carry out work.</w:t>
      </w:r>
    </w:p>
    <w:p w14:paraId="71EC704B" w14:textId="77777777" w:rsidR="00F21CE3" w:rsidRDefault="001F4902" w:rsidP="001F4902">
      <w:pPr>
        <w:pStyle w:val="Paragraph"/>
      </w:pPr>
      <w:r w:rsidRPr="000F1DE6">
        <w:t xml:space="preserve">The primary duty in the model WHS Act requires PCBUs to </w:t>
      </w:r>
      <w:r w:rsidRPr="000F1DE6">
        <w:rPr>
          <w:rFonts w:eastAsia="Aptos Display"/>
        </w:rPr>
        <w:t>provide and maintain safe systems of work</w:t>
      </w:r>
      <w:r w:rsidRPr="000F1DE6">
        <w:t>. W</w:t>
      </w:r>
      <w:r w:rsidRPr="000F1DE6">
        <w:rPr>
          <w:rFonts w:eastAsia="Aptos Display"/>
        </w:rPr>
        <w:t xml:space="preserve">here AI systems are used at work and in workplaces, a PCBU must consider the risks to workers’ health and safety, </w:t>
      </w:r>
      <w:r w:rsidRPr="000F1DE6">
        <w:t xml:space="preserve">both physical and psychological, </w:t>
      </w:r>
      <w:r w:rsidRPr="000F1DE6">
        <w:rPr>
          <w:rFonts w:eastAsia="Aptos Display"/>
        </w:rPr>
        <w:t xml:space="preserve">and eliminate or minimise those risks so far as is reasonably practicable. </w:t>
      </w:r>
      <w:r w:rsidRPr="000F1DE6">
        <w:t>The model WHS Act also requires upstream duty holders, including designers, to ensure, so far as reasonably practicable, that plant, substances or structures (including software) are made without risks to end users.</w:t>
      </w:r>
      <w:r w:rsidRPr="000F1DE6">
        <w:rPr>
          <w:rFonts w:eastAsiaTheme="majorEastAsia" w:cs="Arial"/>
          <w:szCs w:val="22"/>
          <w:vertAlign w:val="superscript"/>
        </w:rPr>
        <w:footnoteReference w:id="656"/>
      </w:r>
      <w:r w:rsidRPr="000F1DE6">
        <w:t xml:space="preserve"> Like any other designer of plant, tools or equipment used in a workplace, AI designers and providers must ensure that potential harms are ‘designed out’ of the AI system early or resolved before deployment.</w:t>
      </w:r>
    </w:p>
    <w:p w14:paraId="1D1788E9" w14:textId="77777777" w:rsidR="00F21CE3" w:rsidRDefault="001F4902" w:rsidP="001F4902">
      <w:pPr>
        <w:pStyle w:val="Paragraph"/>
        <w:rPr>
          <w:bCs/>
        </w:rPr>
      </w:pPr>
      <w:r w:rsidRPr="002C6AE3">
        <w:t>Current WHS laws therefore apply to AI-powered systems and tools, although there may be practical</w:t>
      </w:r>
      <w:r w:rsidRPr="000F1DE6">
        <w:t xml:space="preserve"> challenges in applying and enforcing WHS laws in practice</w:t>
      </w:r>
      <w:r w:rsidRPr="000F1DE6">
        <w:rPr>
          <w:bCs/>
        </w:rPr>
        <w:t>. For example:</w:t>
      </w:r>
    </w:p>
    <w:p w14:paraId="3BDEC2FF" w14:textId="77777777" w:rsidR="00F21CE3" w:rsidRDefault="001F4902" w:rsidP="007F1480">
      <w:pPr>
        <w:pStyle w:val="ListBullet"/>
      </w:pPr>
      <w:r w:rsidRPr="00A54EF4">
        <w:t>The opacity of many AI systems makes it difficult to understand and interrogate them, leading to compliance and enforcement challenges.</w:t>
      </w:r>
    </w:p>
    <w:p w14:paraId="4297453F" w14:textId="77777777" w:rsidR="00F21CE3" w:rsidRDefault="001F4902" w:rsidP="007F1480">
      <w:pPr>
        <w:pStyle w:val="ListBullet"/>
      </w:pPr>
      <w:r w:rsidRPr="00A54EF4">
        <w:t>AI systems typically change over time, as they ‘learn’ by adapting to new inputs. This dynamism makes it more difficult to foresee risks and ensure adequate oversight.</w:t>
      </w:r>
    </w:p>
    <w:p w14:paraId="346F2F2C" w14:textId="77777777" w:rsidR="00F21CE3" w:rsidRDefault="001F4902" w:rsidP="007F1480">
      <w:pPr>
        <w:pStyle w:val="ListBullet"/>
      </w:pPr>
      <w:r w:rsidRPr="00A54EF4">
        <w:t>Third-party companies often train, update and manage AI systems used by PCBUs, which may make assigning liability for AI-related harms more complex.</w:t>
      </w:r>
    </w:p>
    <w:p w14:paraId="24E7B100" w14:textId="77777777" w:rsidR="00F21CE3" w:rsidRDefault="00025504" w:rsidP="007F1480">
      <w:pPr>
        <w:pStyle w:val="ListBullet"/>
      </w:pPr>
      <w:r w:rsidRPr="00A54EF4">
        <w:t>AI systems have known risks of bias, discrimination, and inaccuracy – and, due to the capacity of AI systems to operate and make decisions at scale, this can lead to systemic and widespread safety and discrimination problems.</w:t>
      </w:r>
    </w:p>
    <w:p w14:paraId="6ADBF7D9" w14:textId="77777777" w:rsidR="00F21CE3" w:rsidRDefault="001F4902" w:rsidP="007F1480">
      <w:pPr>
        <w:pStyle w:val="ListBullet"/>
      </w:pPr>
      <w:r w:rsidRPr="00A54EF4">
        <w:t>Many AI systems rely on mass collection and use of personal data about workers, which can be used for a range of harmful purposes – for example, to penalise or discriminate against workers or to interfere with their private lives.</w:t>
      </w:r>
    </w:p>
    <w:p w14:paraId="4F434396" w14:textId="77777777" w:rsidR="00F21CE3" w:rsidRDefault="00025504" w:rsidP="007F1480">
      <w:pPr>
        <w:pStyle w:val="ListBullet"/>
      </w:pPr>
      <w:r w:rsidRPr="00A54EF4">
        <w:t>Highly automated systems have the potential to subject workers to rigid and inflexible decisions, limit workers’ autonomy and discretion, reduce accountability for decisions, and threaten workers’ jobs.</w:t>
      </w:r>
    </w:p>
    <w:p w14:paraId="1A036725" w14:textId="77777777" w:rsidR="00F21CE3" w:rsidRDefault="001F4902" w:rsidP="007F1480">
      <w:pPr>
        <w:pStyle w:val="ListBullet"/>
      </w:pPr>
      <w:r w:rsidRPr="00A54EF4">
        <w:t>New AI products and services are introducing particular WHS risks. For example, adopting sophisticated surveillance technology such as emotion recognition and neurotechnology leads to new and potentially excessive forms of intrusion into workers’ emotions, minds and bodies.</w:t>
      </w:r>
    </w:p>
    <w:p w14:paraId="6F37087B" w14:textId="77777777" w:rsidR="00F21CE3" w:rsidRDefault="001F4902" w:rsidP="00B34EFE">
      <w:pPr>
        <w:pStyle w:val="Paragraph"/>
      </w:pPr>
      <w:r w:rsidRPr="000F1DE6">
        <w:t>To ensure the technology neutral model WHS laws are operating as intended, it is important to test whether they are being applied effectively to deal with the WHS risks of new technologies such as AI; and that how they are applied is clearly articulated to duty holders and those to whom the duty is owed, to support compliance and enforcement.</w:t>
      </w:r>
    </w:p>
    <w:p w14:paraId="6A9EC151" w14:textId="0F98AD24" w:rsidR="000D26F7" w:rsidRDefault="000D26F7">
      <w:pPr>
        <w:spacing w:after="200" w:line="276" w:lineRule="auto"/>
        <w:contextualSpacing w:val="0"/>
        <w:rPr>
          <w:rFonts w:asciiTheme="minorHAnsi" w:eastAsia="Times New Roman" w:hAnsiTheme="minorHAnsi"/>
          <w:lang w:eastAsia="en-AU"/>
        </w:rPr>
      </w:pPr>
      <w:r>
        <w:br w:type="page"/>
      </w:r>
    </w:p>
    <w:p w14:paraId="16595164" w14:textId="77777777" w:rsidR="001F4902" w:rsidRPr="000F1DE6" w:rsidRDefault="001F4902" w:rsidP="001F4902">
      <w:pPr>
        <w:pStyle w:val="Paragraph"/>
      </w:pPr>
      <w:r w:rsidRPr="000F1DE6">
        <w:lastRenderedPageBreak/>
        <w:t xml:space="preserve">This </w:t>
      </w:r>
      <w:r w:rsidRPr="000F1DE6">
        <w:rPr>
          <w:bCs/>
        </w:rPr>
        <w:t xml:space="preserve">Review </w:t>
      </w:r>
      <w:r w:rsidRPr="000F1DE6">
        <w:t xml:space="preserve">notes there are several areas that will require particular attention regarding how technology-neutral </w:t>
      </w:r>
      <w:r w:rsidRPr="000F1DE6">
        <w:rPr>
          <w:bCs/>
        </w:rPr>
        <w:t>WHS</w:t>
      </w:r>
      <w:r w:rsidRPr="000F1DE6">
        <w:t xml:space="preserve"> principles apply to AI systems in the workplace context</w:t>
      </w:r>
      <w:r>
        <w:t>,</w:t>
      </w:r>
      <w:r w:rsidRPr="000F1DE6">
        <w:t xml:space="preserve"> including considering:</w:t>
      </w:r>
    </w:p>
    <w:p w14:paraId="7B942FC2" w14:textId="77777777" w:rsidR="001F4902" w:rsidRPr="00A54EF4" w:rsidRDefault="001F4902" w:rsidP="007F1480">
      <w:pPr>
        <w:pStyle w:val="ListBullet"/>
      </w:pPr>
      <w:r w:rsidRPr="00A54EF4">
        <w:t>what is reasonably practicable in a context where AI-enabled tools have the potential to cause harm to workers while simultaneously assisting PCBUs to meet their WHS requirements</w:t>
      </w:r>
    </w:p>
    <w:p w14:paraId="7EF91BC9" w14:textId="7ADF67FA" w:rsidR="001F4902" w:rsidRPr="00AE3BF3" w:rsidRDefault="001F4902" w:rsidP="007F1480">
      <w:pPr>
        <w:pStyle w:val="ListBullet"/>
      </w:pPr>
      <w:r w:rsidRPr="00A54EF4">
        <w:t xml:space="preserve">how shared and upstream </w:t>
      </w:r>
      <w:r w:rsidRPr="00AE3BF3">
        <w:t>duties apply</w:t>
      </w:r>
      <w:r w:rsidR="006860D5" w:rsidRPr="00AE3BF3">
        <w:t>, and</w:t>
      </w:r>
    </w:p>
    <w:p w14:paraId="076A9DEA" w14:textId="77777777" w:rsidR="00F21CE3" w:rsidRDefault="001F4902" w:rsidP="007F1480">
      <w:pPr>
        <w:pStyle w:val="ListBullet"/>
        <w:rPr>
          <w:color w:val="0D0D0D" w:themeColor="text1" w:themeTint="F2"/>
        </w:rPr>
      </w:pPr>
      <w:r w:rsidRPr="00A54EF4">
        <w:t>whether the powers and functions of regulators, HSRs and EPHs remain fit for purpose as new technologies develop and working arrangements change.</w:t>
      </w:r>
    </w:p>
    <w:p w14:paraId="1ECADEDF" w14:textId="2D4D3EAF" w:rsidR="001F4902" w:rsidRPr="000F1DE6" w:rsidRDefault="001F4902" w:rsidP="00B34EFE">
      <w:pPr>
        <w:pStyle w:val="Paragraph"/>
      </w:pPr>
      <w:r w:rsidRPr="000F1DE6">
        <w:t>This Review’s recommendation to monitor and identify areas of uncertainty (see below) will ensure that these issues are contemplated when considering whether the model WHS laws may need any amendments into the future.</w:t>
      </w:r>
    </w:p>
    <w:p w14:paraId="67D4D6FE" w14:textId="77777777" w:rsidR="001F4902" w:rsidRPr="00FF5179" w:rsidRDefault="001F4902" w:rsidP="000D26F7">
      <w:pPr>
        <w:pStyle w:val="SWAHeading5"/>
      </w:pPr>
      <w:r w:rsidRPr="00FF5179">
        <w:t>Responses by governments</w:t>
      </w:r>
    </w:p>
    <w:p w14:paraId="3C61148A" w14:textId="77777777" w:rsidR="00F21CE3" w:rsidRDefault="001F4902" w:rsidP="00B34EFE">
      <w:pPr>
        <w:pStyle w:val="Paragraph"/>
      </w:pPr>
      <w:r w:rsidRPr="000F1DE6">
        <w:t>Australian governments have in recent years sought to understand and respond appropriately to the health and safety risks posed by AI both in the workplace and the wider social sphere.</w:t>
      </w:r>
      <w:r w:rsidRPr="000F1DE6">
        <w:rPr>
          <w:rFonts w:eastAsiaTheme="majorEastAsia" w:cs="Arial"/>
          <w:szCs w:val="22"/>
          <w:vertAlign w:val="superscript"/>
        </w:rPr>
        <w:footnoteReference w:id="657"/>
      </w:r>
    </w:p>
    <w:p w14:paraId="7207AE60" w14:textId="77777777" w:rsidR="00F21CE3" w:rsidRDefault="001F4902" w:rsidP="00B34EFE">
      <w:pPr>
        <w:pStyle w:val="Paragraph"/>
      </w:pPr>
      <w:r w:rsidRPr="000F1DE6">
        <w:t>Government responses reflect diverging views on how best to regulate rapidly evolving technologies and highlight the challenge of achieving a balance between safeguards and flexibility. AI tools can quickly acquire new capabilities that may not have been foreseen by legislation, making AI regulation a challenging task.</w:t>
      </w:r>
    </w:p>
    <w:p w14:paraId="147F1C21" w14:textId="735DD6D5" w:rsidR="001F4902" w:rsidRPr="00FF5179" w:rsidRDefault="001F4902" w:rsidP="000D26F7">
      <w:pPr>
        <w:pStyle w:val="SWAHeading5"/>
      </w:pPr>
      <w:r w:rsidRPr="00FF5179">
        <w:t>NSW Digital Work System variation</w:t>
      </w:r>
    </w:p>
    <w:p w14:paraId="06D40CD0" w14:textId="77777777" w:rsidR="00F21CE3" w:rsidRDefault="001F4902" w:rsidP="00B34EFE">
      <w:pPr>
        <w:pStyle w:val="Paragraph"/>
      </w:pPr>
      <w:r w:rsidRPr="000F1DE6">
        <w:t>In February 2026, NSW varied its WHS Act to require PCBUs to ensure, so far as is reasonably practicable, that the health and safety of a worker is not put at risk from the allocation of work by a digital work system.</w:t>
      </w:r>
      <w:r w:rsidRPr="000F1DE6">
        <w:rPr>
          <w:rFonts w:eastAsia="MS Gothic"/>
          <w:vertAlign w:val="superscript"/>
        </w:rPr>
        <w:footnoteReference w:id="658"/>
      </w:r>
      <w:r w:rsidRPr="000F1DE6">
        <w:t xml:space="preserve"> This includes consideration of workloads, metrics and monitoring and surveillance that may be excessive or unreasonable. The amendments also </w:t>
      </w:r>
      <w:r w:rsidRPr="000F1DE6">
        <w:rPr>
          <w:rFonts w:eastAsia="Arial"/>
          <w:lang w:eastAsia="ja-JP"/>
        </w:rPr>
        <w:t xml:space="preserve">allow </w:t>
      </w:r>
      <w:r w:rsidRPr="000F1DE6">
        <w:rPr>
          <w:rFonts w:eastAsia="MS Gothic"/>
        </w:rPr>
        <w:t>an EPH to require a PCBU to provide them with reasonable assistance to access and inspect a digital work system relevant to a suspected contravention of the Act. At least 48 hours’ notice, but no more than 14 days, must be given if an EPH proposes to exercise the power, which comes with additional safeguards.</w:t>
      </w:r>
      <w:r w:rsidRPr="000F1DE6">
        <w:rPr>
          <w:rFonts w:eastAsia="MS Gothic"/>
          <w:vertAlign w:val="superscript"/>
        </w:rPr>
        <w:footnoteReference w:id="659"/>
      </w:r>
      <w:r w:rsidRPr="000F1DE6">
        <w:t xml:space="preserve"> The variations</w:t>
      </w:r>
      <w:r w:rsidRPr="000F1DE6">
        <w:rPr>
          <w:rFonts w:eastAsia="MS Gothic"/>
        </w:rPr>
        <w:t xml:space="preserve"> also </w:t>
      </w:r>
      <w:r w:rsidRPr="000F1DE6">
        <w:t>provide for a review of the amendments should Safe Work Australia make changes to the model laws on substantially the same subject matter.</w:t>
      </w:r>
    </w:p>
    <w:p w14:paraId="5CB9460D" w14:textId="77777777" w:rsidR="00F21CE3" w:rsidRDefault="001F4902" w:rsidP="00B34EFE">
      <w:pPr>
        <w:pStyle w:val="Paragraph"/>
      </w:pPr>
      <w:r w:rsidRPr="000F1DE6">
        <w:t>Unions supported the amendments,</w:t>
      </w:r>
      <w:r w:rsidRPr="000F1DE6">
        <w:rPr>
          <w:rFonts w:eastAsiaTheme="majorEastAsia" w:cs="Arial"/>
          <w:szCs w:val="22"/>
          <w:vertAlign w:val="superscript"/>
        </w:rPr>
        <w:footnoteReference w:id="660"/>
      </w:r>
      <w:r w:rsidRPr="000F1DE6">
        <w:t xml:space="preserve"> while industry representatives</w:t>
      </w:r>
      <w:r>
        <w:t>,</w:t>
      </w:r>
      <w:r w:rsidRPr="000F1DE6">
        <w:t xml:space="preserve"> including Australian Industry Group and ACCI</w:t>
      </w:r>
      <w:r>
        <w:t>,</w:t>
      </w:r>
      <w:r w:rsidRPr="000F1DE6">
        <w:t xml:space="preserve"> considered the current PCBU duties to be sufficient and raised concerns about the practical implications of expanded entry permit powers.</w:t>
      </w:r>
      <w:r w:rsidRPr="000F1DE6">
        <w:rPr>
          <w:rFonts w:eastAsiaTheme="majorEastAsia" w:cs="Arial"/>
          <w:szCs w:val="22"/>
          <w:vertAlign w:val="superscript"/>
        </w:rPr>
        <w:footnoteReference w:id="661"/>
      </w:r>
    </w:p>
    <w:p w14:paraId="72FBCBF4" w14:textId="77777777" w:rsidR="00F21CE3" w:rsidRDefault="001F4902" w:rsidP="00B34EFE">
      <w:pPr>
        <w:pStyle w:val="Paragraph"/>
      </w:pPr>
      <w:r w:rsidRPr="000F1DE6">
        <w:t>This Review considered NSW’s variations and whether they should be adopted in the model WHS laws.</w:t>
      </w:r>
    </w:p>
    <w:p w14:paraId="703AEA35" w14:textId="4AC14188" w:rsidR="000D26F7" w:rsidRDefault="000D26F7">
      <w:pPr>
        <w:spacing w:after="200" w:line="276" w:lineRule="auto"/>
        <w:contextualSpacing w:val="0"/>
        <w:rPr>
          <w:rFonts w:asciiTheme="minorHAnsi" w:eastAsia="Times New Roman" w:hAnsiTheme="minorHAnsi"/>
          <w:lang w:eastAsia="en-AU"/>
        </w:rPr>
      </w:pPr>
      <w:r>
        <w:br w:type="page"/>
      </w:r>
    </w:p>
    <w:p w14:paraId="2217904A" w14:textId="77777777" w:rsidR="00F21CE3" w:rsidRDefault="001F4902" w:rsidP="00B34EFE">
      <w:pPr>
        <w:pStyle w:val="Paragraph"/>
        <w:rPr>
          <w:rFonts w:cs="Arial"/>
          <w:szCs w:val="22"/>
        </w:rPr>
      </w:pPr>
      <w:r w:rsidRPr="000F1DE6">
        <w:lastRenderedPageBreak/>
        <w:t xml:space="preserve">The existing primary duty of care (section 19) in the model WHS Act requires a PCBU to manage WHS risks, regardless of their source. This includes physical and psychosocial risks arising from the use of AI. </w:t>
      </w:r>
      <w:r w:rsidRPr="000F1DE6">
        <w:rPr>
          <w:rFonts w:cs="Arial"/>
          <w:szCs w:val="22"/>
        </w:rPr>
        <w:t>The NSW amendment clarifies the primary duty applies to AI and digital technologies. It does this by expressly recognising that WHS obligations extend to ‘digital work systems’ and articulating particular risks associated with these systems that must be considered by PCBUs. In this way, the NSW amendment seeks to clarify how the duty practically applies to AI and digital technologies and what kinds of psychological harms may arise.</w:t>
      </w:r>
    </w:p>
    <w:p w14:paraId="00D40E8D" w14:textId="26CD03CD" w:rsidR="00F21CE3" w:rsidRDefault="001F4902" w:rsidP="00B34EFE">
      <w:pPr>
        <w:pStyle w:val="Paragraph"/>
      </w:pPr>
      <w:r w:rsidRPr="000F1DE6">
        <w:t>The NSW amendments introduce the new concept of a ‘digital work system’ into its version of the model WHS Act. While the NSW amendment may seek to clarify how the duty practically applies to AI and digital technologies, this Review considers it has done so by introducing a new definition which may not apply to all types of systems, particularly highly sophisticated automated software systems which continue to evolve apace. In doing so, the Review considers it may have unintentionally limited the principles-based approach underpinning the model WHS laws.</w:t>
      </w:r>
    </w:p>
    <w:p w14:paraId="235CBF97" w14:textId="77777777" w:rsidR="00F21CE3" w:rsidRDefault="001F4902" w:rsidP="00B34EFE">
      <w:pPr>
        <w:pStyle w:val="Paragraph"/>
      </w:pPr>
      <w:r w:rsidRPr="000F1DE6">
        <w:t>This Review considers that introducing new definitions and new prescriptive provisions should be approached with care, to avoid the risk that future courts see in this a narrowing of the general applicability of the model WHS Act and find a future area of risk is not covered because it is not explicitly defined in the model WHS Act or Regulations. This is particularly relevant with AI</w:t>
      </w:r>
      <w:r>
        <w:t>,</w:t>
      </w:r>
      <w:r w:rsidRPr="000F1DE6">
        <w:t xml:space="preserve"> which is evolving fast.</w:t>
      </w:r>
    </w:p>
    <w:p w14:paraId="7569B075" w14:textId="77777777" w:rsidR="00F21CE3" w:rsidRDefault="001F4902" w:rsidP="00B34EFE">
      <w:pPr>
        <w:pStyle w:val="Paragraph"/>
      </w:pPr>
      <w:r w:rsidRPr="000F1DE6">
        <w:t>This Review is also concerned that the NSW amendment does not appear to have taken into account the legislative duties of upstream duty holders such as designers, whose influence on designing out potential harms is particularly relevant to AI systems and who have a WHS duty to remove those harms.</w:t>
      </w:r>
      <w:r w:rsidRPr="000F1DE6">
        <w:rPr>
          <w:rFonts w:eastAsiaTheme="majorEastAsia" w:cs="Arial"/>
          <w:vertAlign w:val="superscript"/>
        </w:rPr>
        <w:footnoteReference w:id="662"/>
      </w:r>
    </w:p>
    <w:p w14:paraId="7232823C" w14:textId="382EC5DE" w:rsidR="001F4902" w:rsidRPr="000F1DE6" w:rsidRDefault="001F4902" w:rsidP="00225919">
      <w:pPr>
        <w:pStyle w:val="Paragraph"/>
      </w:pPr>
      <w:r w:rsidRPr="000F1DE6">
        <w:t>Given this Review’s view that the primary duty contained in the model WHS Act already covers the situation considered by the NSW amendment, it is this Review’s view that the rest of the model WHS legal framework also applies, including right of entry provisions and other worker rights and PCBU obligations.</w:t>
      </w:r>
      <w:r w:rsidRPr="000F1DE6" w:rsidDel="00943A0E">
        <w:t xml:space="preserve"> </w:t>
      </w:r>
      <w:r w:rsidRPr="000F1DE6">
        <w:t>This Review notes NSW’s amendments to right of entry powers</w:t>
      </w:r>
      <w:r w:rsidRPr="000F1DE6" w:rsidDel="00943A0E">
        <w:t xml:space="preserve"> </w:t>
      </w:r>
      <w:r w:rsidRPr="000F1DE6">
        <w:t>were likely consequential to the introduction of the new duty and do not indicate a gap in existing right of entry provisions which are not limited to certain types of work</w:t>
      </w:r>
      <w:r w:rsidRPr="000F1DE6">
        <w:noBreakHyphen/>
        <w:t>related risks.</w:t>
      </w:r>
    </w:p>
    <w:p w14:paraId="7148AE88" w14:textId="16BB3D52" w:rsidR="001F4902" w:rsidRPr="000F1DE6" w:rsidRDefault="001F4902" w:rsidP="00225919">
      <w:pPr>
        <w:pStyle w:val="Paragraph"/>
      </w:pPr>
      <w:r w:rsidRPr="000F1DE6">
        <w:t>It is noted</w:t>
      </w:r>
      <w:r>
        <w:t>,</w:t>
      </w:r>
      <w:r w:rsidRPr="000F1DE6">
        <w:t xml:space="preserve"> however, that </w:t>
      </w:r>
      <w:r>
        <w:t>R</w:t>
      </w:r>
      <w:r w:rsidRPr="000F1DE6">
        <w:t>ecommendation 19(a) of this Review will allow Safe Work Australia to continuously monitor the impact of the NSW amendments in the context of its broader consideration of AI and WHS and identify any gaps in the model WHS law framework which might require future amendments.</w:t>
      </w:r>
    </w:p>
    <w:p w14:paraId="0C5C949D" w14:textId="77777777" w:rsidR="001F4902" w:rsidRPr="00FF5179" w:rsidRDefault="001F4902" w:rsidP="000D26F7">
      <w:pPr>
        <w:pStyle w:val="SWAHeading5"/>
        <w:spacing w:before="160" w:after="120"/>
      </w:pPr>
      <w:r w:rsidRPr="00FF5179">
        <w:t>Research</w:t>
      </w:r>
    </w:p>
    <w:p w14:paraId="0534FFAD" w14:textId="77777777" w:rsidR="00F21CE3" w:rsidRDefault="001F4902" w:rsidP="00225919">
      <w:pPr>
        <w:pStyle w:val="Paragraph"/>
        <w:rPr>
          <w:rFonts w:eastAsia="Aptos"/>
        </w:rPr>
      </w:pPr>
      <w:r w:rsidRPr="000F1DE6">
        <w:t>Previous reviews and inquiries, submissions to this Review and research all indicate the potential reach of AI is so vast, and the speed of change so fast, that there remain many unknowns. A report commissioned by the NSW Centre for WHS noted there is currently a lack of system-wide effort and resources dedicated to understanding and analysing the effects of AI on workers and workplaces.</w:t>
      </w:r>
      <w:r w:rsidRPr="000F1DE6">
        <w:rPr>
          <w:rFonts w:eastAsiaTheme="majorEastAsia" w:cs="Arial"/>
          <w:color w:val="000000" w:themeColor="text1"/>
          <w:vertAlign w:val="superscript"/>
        </w:rPr>
        <w:footnoteReference w:id="663"/>
      </w:r>
      <w:r w:rsidRPr="000F1DE6">
        <w:t xml:space="preserve"> As raised in many industry submissions, there is a need to continue monitoring the effects of emerging digital technology on safety, in consultation with business, industry and workers.</w:t>
      </w:r>
      <w:r w:rsidRPr="000F1DE6">
        <w:rPr>
          <w:rFonts w:eastAsiaTheme="majorEastAsia" w:cs="Arial"/>
          <w:color w:val="000000" w:themeColor="text1"/>
          <w:vertAlign w:val="superscript"/>
        </w:rPr>
        <w:footnoteReference w:id="664"/>
      </w:r>
      <w:r w:rsidRPr="000F1DE6">
        <w:t xml:space="preserve"> This Review therefore considers there is a need to build on existing research on the benefits and risks </w:t>
      </w:r>
      <w:r w:rsidRPr="000F1DE6">
        <w:rPr>
          <w:rFonts w:eastAsia="Aptos"/>
        </w:rPr>
        <w:t>associated with digital technologies, including impacts on work design, workload, psychosocial risks and decision</w:t>
      </w:r>
      <w:r w:rsidRPr="000F1DE6">
        <w:rPr>
          <w:rFonts w:eastAsia="Aptos"/>
        </w:rPr>
        <w:noBreakHyphen/>
        <w:t>making.</w:t>
      </w:r>
    </w:p>
    <w:p w14:paraId="54DC169A" w14:textId="72A37E66" w:rsidR="001F4902" w:rsidRPr="00D54906" w:rsidRDefault="001F4902" w:rsidP="000D26F7">
      <w:pPr>
        <w:pStyle w:val="SWAHeading5"/>
      </w:pPr>
      <w:r w:rsidRPr="00D54906">
        <w:lastRenderedPageBreak/>
        <w:t>Recommendations</w:t>
      </w:r>
    </w:p>
    <w:p w14:paraId="2BCC184F" w14:textId="1DD8970C" w:rsidR="00F21CE3" w:rsidRDefault="001F4902" w:rsidP="00225919">
      <w:pPr>
        <w:pStyle w:val="Paragraph"/>
      </w:pPr>
      <w:r w:rsidRPr="000F1DE6">
        <w:t xml:space="preserve">The model WHS Act is flexible and technology-neutral, which </w:t>
      </w:r>
      <w:r w:rsidRPr="004E7884">
        <w:t>renders it well</w:t>
      </w:r>
      <w:r w:rsidR="004E7884">
        <w:t xml:space="preserve"> </w:t>
      </w:r>
      <w:r w:rsidRPr="004E7884">
        <w:t>placed to respond</w:t>
      </w:r>
      <w:r w:rsidRPr="000F1DE6">
        <w:t xml:space="preserve"> to new and emerging technologies such as AI. While the law theoretically applies to all technologies, there are some specific practical challenges in seeking to apply the law to AI. In light of these challenges, it is important to ensure that the law remains effective and that it provides sufficient certainty to allow PCBUs to comply with their obligations, regulators to enforce the law, and workers to understand their rights in the AI context.</w:t>
      </w:r>
    </w:p>
    <w:p w14:paraId="13A6A509" w14:textId="77777777" w:rsidR="00F21CE3" w:rsidRDefault="001F4902" w:rsidP="00225919">
      <w:pPr>
        <w:pStyle w:val="Paragraph"/>
      </w:pPr>
      <w:r w:rsidRPr="000F1DE6">
        <w:t>This Review has highlighted the challenges for the WHS framework as AI is increasingly adopted in the workplace</w:t>
      </w:r>
      <w:r>
        <w:t>,</w:t>
      </w:r>
      <w:r w:rsidRPr="000F1DE6">
        <w:t xml:space="preserve"> and with those challenges comes the potential for future legislative gaps.</w:t>
      </w:r>
    </w:p>
    <w:p w14:paraId="173B4879" w14:textId="77777777" w:rsidR="00F21CE3" w:rsidRDefault="001F4902" w:rsidP="00225919">
      <w:pPr>
        <w:pStyle w:val="Paragraph"/>
      </w:pPr>
      <w:r w:rsidRPr="000F1DE6">
        <w:t>This Review therefore recommends Safe Work Australia develop a broad strategy on AI and other emerging technologies</w:t>
      </w:r>
      <w:r>
        <w:t xml:space="preserve">. The strategy </w:t>
      </w:r>
      <w:r w:rsidRPr="000F1DE6">
        <w:t>will allow it to monitor</w:t>
      </w:r>
      <w:r>
        <w:t>,</w:t>
      </w:r>
      <w:r w:rsidRPr="000F1DE6">
        <w:t xml:space="preserve"> through its tripartite membership</w:t>
      </w:r>
      <w:r>
        <w:t>,</w:t>
      </w:r>
      <w:r w:rsidRPr="000F1DE6">
        <w:t xml:space="preserve"> how the model WHS laws are being applied, interpreted and enforced</w:t>
      </w:r>
      <w:r>
        <w:t>.</w:t>
      </w:r>
      <w:r w:rsidRPr="000F1DE6">
        <w:t xml:space="preserve"> </w:t>
      </w:r>
      <w:r>
        <w:t xml:space="preserve">It could then </w:t>
      </w:r>
      <w:r w:rsidRPr="000F1DE6">
        <w:t xml:space="preserve">consider whether there is a need for any immediate legislative clarifications to address gaps and uncertainties or whether these uncertainties can be dealt with through industry </w:t>
      </w:r>
      <w:r>
        <w:t>C</w:t>
      </w:r>
      <w:r w:rsidRPr="000F1DE6">
        <w:t>odes and clear guidance. Technology</w:t>
      </w:r>
      <w:r>
        <w:t>-</w:t>
      </w:r>
      <w:r w:rsidRPr="000F1DE6">
        <w:t xml:space="preserve">specific and industry-specific considerations could also be included in the newly recommended national industry </w:t>
      </w:r>
      <w:r>
        <w:t>C</w:t>
      </w:r>
      <w:r w:rsidRPr="000F1DE6">
        <w:t>odes. There is also an opportunity to reinforce regulators’ compliance and enforcement stance on AI through the new NCEP.</w:t>
      </w:r>
    </w:p>
    <w:p w14:paraId="3D40D335" w14:textId="7B1607EF" w:rsidR="001F4902" w:rsidRPr="000F1DE6" w:rsidRDefault="001F4902" w:rsidP="00225919">
      <w:pPr>
        <w:pStyle w:val="Paragraph"/>
      </w:pPr>
      <w:r w:rsidRPr="000F1DE6">
        <w:t>Th</w:t>
      </w:r>
      <w:r>
        <w:t>is</w:t>
      </w:r>
      <w:r w:rsidRPr="000F1DE6">
        <w:t xml:space="preserve"> Review considers any future amendments to the model WHS Act should be technology neutral </w:t>
      </w:r>
      <w:r w:rsidRPr="000F1DE6" w:rsidDel="007151C5">
        <w:t xml:space="preserve">(and avoid </w:t>
      </w:r>
      <w:r w:rsidRPr="000F1DE6">
        <w:t>introducing new legal concepts and terms) to ensure that the model WHS framework applies to AI and digital technologies in the same way as it would to other technologies. This approach would not change the underlying duties in the model WHS Act or create a separate duty for AI – rather</w:t>
      </w:r>
      <w:r>
        <w:t>,</w:t>
      </w:r>
      <w:r w:rsidRPr="000F1DE6">
        <w:t xml:space="preserve"> it would ensure that the existing law remains clearly applicable to AI. This approach has the benefit of ensuring that proactive measures are taken by duty holders to prevent AI-related harm in the workplace, while retaining the principles-based approach that characterises the model WHS laws.</w:t>
      </w:r>
    </w:p>
    <w:p w14:paraId="7AF37C6E" w14:textId="77777777" w:rsidR="001F4902" w:rsidRPr="000F1DE6" w:rsidRDefault="001F4902" w:rsidP="00225919">
      <w:pPr>
        <w:pStyle w:val="Paragraph"/>
      </w:pPr>
      <w:r w:rsidRPr="000F1DE6">
        <w:t>This Review also recommends Safe Work Australia conduct further research to more fully understand the challenges AI presents to the application of WHS laws, clarify areas of compliance uncertainty, and monitor the benefits and risks of AI.</w:t>
      </w:r>
      <w:r>
        <w:t xml:space="preserve"> </w:t>
      </w:r>
      <w:r w:rsidRPr="000F1DE6">
        <w:t>Research should also be translated into practical solutions to support the safe adoption of AI in Australian workplaces.</w:t>
      </w:r>
    </w:p>
    <w:p w14:paraId="5A402A73" w14:textId="6B3F5402" w:rsidR="001F4902" w:rsidRDefault="001F4902" w:rsidP="0016789A">
      <w:pPr>
        <w:pStyle w:val="Paragraph"/>
        <w:spacing w:after="240"/>
        <w:rPr>
          <w:rFonts w:cs="Arial"/>
        </w:rPr>
      </w:pPr>
      <w:r w:rsidRPr="000F1DE6">
        <w:t xml:space="preserve">To support this </w:t>
      </w:r>
      <w:r>
        <w:t>s</w:t>
      </w:r>
      <w:r w:rsidRPr="000F1DE6">
        <w:t>trategy, Safe Work Australia will undertake sustained</w:t>
      </w:r>
      <w:r w:rsidRPr="000F1DE6">
        <w:rPr>
          <w:rFonts w:eastAsia="Aptos" w:cs="Aptos"/>
          <w:color w:val="498205"/>
          <w:szCs w:val="22"/>
          <w:u w:val="single"/>
        </w:rPr>
        <w:t xml:space="preserve"> </w:t>
      </w:r>
      <w:r w:rsidRPr="000F1DE6">
        <w:t>education and communications activities to ensure PCBUs, workers and others have clear, simple and easily accessible advice on how the current model WHS laws apply to AI use in the workplace.</w:t>
      </w:r>
    </w:p>
    <w:tbl>
      <w:tblPr>
        <w:tblStyle w:val="Style8"/>
        <w:tblW w:w="0" w:type="auto"/>
        <w:tblCellMar>
          <w:top w:w="113" w:type="dxa"/>
          <w:bottom w:w="113" w:type="dxa"/>
        </w:tblCellMar>
        <w:tblLook w:val="04A0" w:firstRow="1" w:lastRow="0" w:firstColumn="1" w:lastColumn="0" w:noHBand="0" w:noVBand="1"/>
      </w:tblPr>
      <w:tblGrid>
        <w:gridCol w:w="9746"/>
      </w:tblGrid>
      <w:tr w:rsidR="0045786A" w14:paraId="271236DF" w14:textId="77777777" w:rsidTr="0016789A">
        <w:trPr>
          <w:cnfStyle w:val="100000000000" w:firstRow="1" w:lastRow="0" w:firstColumn="0" w:lastColumn="0" w:oddVBand="0" w:evenVBand="0" w:oddHBand="0" w:evenHBand="0" w:firstRowFirstColumn="0" w:firstRowLastColumn="0" w:lastRowFirstColumn="0" w:lastRowLastColumn="0"/>
        </w:trPr>
        <w:tc>
          <w:tcPr>
            <w:tcW w:w="9746" w:type="dxa"/>
          </w:tcPr>
          <w:p w14:paraId="545A4B93" w14:textId="677ED514" w:rsidR="0045786A" w:rsidRDefault="0045786A">
            <w:pPr>
              <w:pStyle w:val="Tableheader"/>
            </w:pPr>
            <w:r w:rsidRPr="00BC4C23">
              <w:t>Environmental scan</w:t>
            </w:r>
            <w:r w:rsidR="000D26F7">
              <w:t xml:space="preserve"> – Recommendation 19</w:t>
            </w:r>
          </w:p>
        </w:tc>
      </w:tr>
      <w:tr w:rsidR="0045786A" w:rsidRPr="001579F9" w14:paraId="79908637" w14:textId="77777777" w:rsidTr="0016789A">
        <w:tc>
          <w:tcPr>
            <w:tcW w:w="9746" w:type="dxa"/>
          </w:tcPr>
          <w:p w14:paraId="78B3F21E" w14:textId="22817B9E" w:rsidR="008062B2" w:rsidRPr="0016789A" w:rsidRDefault="008062B2" w:rsidP="000D26F7">
            <w:pPr>
              <w:pStyle w:val="Paragraphtable"/>
              <w:rPr>
                <w:sz w:val="21"/>
                <w:szCs w:val="21"/>
              </w:rPr>
            </w:pPr>
            <w:r w:rsidRPr="0016789A">
              <w:rPr>
                <w:sz w:val="21"/>
                <w:szCs w:val="21"/>
              </w:rPr>
              <w:t>Safe Work Australia to develop a strategy on artificial intelligence and other emerging digital technologies which:</w:t>
            </w:r>
          </w:p>
          <w:p w14:paraId="44D5C3A6" w14:textId="77777777" w:rsidR="00F21CE3" w:rsidRDefault="008062B2" w:rsidP="00447786">
            <w:pPr>
              <w:pStyle w:val="Listnumber2tables"/>
              <w:numPr>
                <w:ilvl w:val="0"/>
                <w:numId w:val="57"/>
              </w:numPr>
              <w:ind w:left="574"/>
              <w:rPr>
                <w:sz w:val="21"/>
                <w:szCs w:val="21"/>
              </w:rPr>
            </w:pPr>
            <w:r w:rsidRPr="0016789A">
              <w:rPr>
                <w:sz w:val="21"/>
                <w:szCs w:val="21"/>
              </w:rPr>
              <w:t>monitors how WHS laws are interpreted, applied and enforced in relation to digital technologies to ensure the model WHS Act, Regulations and Codes remain fit for purpose as new technologies develop and working arrangements change</w:t>
            </w:r>
          </w:p>
          <w:p w14:paraId="349AEED1" w14:textId="58580C1E" w:rsidR="008062B2" w:rsidRPr="0016789A" w:rsidRDefault="008062B2" w:rsidP="00447786">
            <w:pPr>
              <w:pStyle w:val="Listnumber2tables"/>
              <w:numPr>
                <w:ilvl w:val="0"/>
                <w:numId w:val="57"/>
              </w:numPr>
              <w:ind w:left="574"/>
              <w:rPr>
                <w:bCs/>
                <w:sz w:val="21"/>
                <w:szCs w:val="21"/>
              </w:rPr>
            </w:pPr>
            <w:r w:rsidRPr="0016789A">
              <w:rPr>
                <w:sz w:val="21"/>
                <w:szCs w:val="21"/>
              </w:rPr>
              <w:t>makes new Regulations, Codes and/or amendments to the model WHS Act where gaps are identified</w:t>
            </w:r>
          </w:p>
          <w:p w14:paraId="36C893E7" w14:textId="250C0C4C" w:rsidR="008062B2" w:rsidRPr="0016789A" w:rsidRDefault="008062B2" w:rsidP="00447786">
            <w:pPr>
              <w:pStyle w:val="Listnumber2tables"/>
              <w:numPr>
                <w:ilvl w:val="0"/>
                <w:numId w:val="57"/>
              </w:numPr>
              <w:ind w:left="574"/>
              <w:rPr>
                <w:bCs/>
                <w:sz w:val="21"/>
                <w:szCs w:val="21"/>
              </w:rPr>
            </w:pPr>
            <w:r w:rsidRPr="0016789A">
              <w:rPr>
                <w:sz w:val="21"/>
                <w:szCs w:val="21"/>
              </w:rPr>
              <w:t>identifies, and clarifies through industry Codes of Practice, any areas of current regulatory uncertainty</w:t>
            </w:r>
            <w:r w:rsidR="0012320B" w:rsidRPr="0016789A">
              <w:rPr>
                <w:sz w:val="21"/>
                <w:szCs w:val="21"/>
              </w:rPr>
              <w:t>, and</w:t>
            </w:r>
          </w:p>
          <w:p w14:paraId="6B50105C" w14:textId="47DEE5CD" w:rsidR="0045786A" w:rsidRPr="001579F9" w:rsidRDefault="008062B2" w:rsidP="00447786">
            <w:pPr>
              <w:pStyle w:val="Listnumber2tables"/>
              <w:numPr>
                <w:ilvl w:val="0"/>
                <w:numId w:val="57"/>
              </w:numPr>
              <w:ind w:left="574"/>
            </w:pPr>
            <w:r w:rsidRPr="0016789A">
              <w:rPr>
                <w:sz w:val="21"/>
                <w:szCs w:val="21"/>
              </w:rPr>
              <w:t>supports through its</w:t>
            </w:r>
            <w:r w:rsidRPr="006D5A8E">
              <w:rPr>
                <w:i/>
                <w:iCs/>
                <w:sz w:val="21"/>
                <w:szCs w:val="21"/>
              </w:rPr>
              <w:t xml:space="preserve"> Research and Evaluation Strategy </w:t>
            </w:r>
            <w:r w:rsidRPr="0016789A">
              <w:rPr>
                <w:sz w:val="21"/>
                <w:szCs w:val="21"/>
              </w:rPr>
              <w:t>research on how digital technologies impact WHS (including both benefits and risks) with practical solutions that can be applied in workplaces as a priority outcome of the research.</w:t>
            </w:r>
          </w:p>
        </w:tc>
      </w:tr>
    </w:tbl>
    <w:p w14:paraId="014D9E90" w14:textId="77777777" w:rsidR="000D26F7" w:rsidRPr="000D26F7" w:rsidRDefault="000D26F7" w:rsidP="000D26F7">
      <w:pPr>
        <w:pStyle w:val="Paragraph"/>
      </w:pPr>
      <w:bookmarkStart w:id="115" w:name="_Toc234853698"/>
      <w:bookmarkStart w:id="116" w:name="_Toc236326828"/>
      <w:r w:rsidRPr="000D26F7">
        <w:br w:type="page"/>
      </w:r>
    </w:p>
    <w:p w14:paraId="6ACE4E82" w14:textId="77777777" w:rsidR="00F21CE3" w:rsidRDefault="001F4902" w:rsidP="00F14A4A">
      <w:pPr>
        <w:pStyle w:val="SWAHeading2"/>
        <w:spacing w:line="240" w:lineRule="auto"/>
        <w:rPr>
          <w:rFonts w:asciiTheme="minorHAnsi" w:hAnsiTheme="minorHAnsi"/>
        </w:rPr>
      </w:pPr>
      <w:bookmarkStart w:id="117" w:name="_Toc239845170"/>
      <w:r w:rsidRPr="000F1DE6">
        <w:rPr>
          <w:rFonts w:asciiTheme="minorHAnsi" w:hAnsiTheme="minorHAnsi"/>
        </w:rPr>
        <w:lastRenderedPageBreak/>
        <w:t>Climate change</w:t>
      </w:r>
      <w:bookmarkEnd w:id="115"/>
      <w:bookmarkEnd w:id="116"/>
      <w:bookmarkEnd w:id="117"/>
    </w:p>
    <w:p w14:paraId="23AC5281" w14:textId="77777777" w:rsidR="00F21CE3" w:rsidRDefault="001F4902" w:rsidP="001F4902">
      <w:pPr>
        <w:pStyle w:val="Paragraph"/>
      </w:pPr>
      <w:r w:rsidRPr="000F1DE6">
        <w:t>Climate change is exacerbating existing workplace hazards. Rising temperatures and more frequent heatwaves pose the most significant risk for mortality and injury</w:t>
      </w:r>
      <w:r>
        <w:t>.</w:t>
      </w:r>
      <w:r w:rsidRPr="000F1DE6">
        <w:rPr>
          <w:rStyle w:val="FootnoteReference"/>
        </w:rPr>
        <w:footnoteReference w:id="665"/>
      </w:r>
      <w:r w:rsidRPr="000F1DE6">
        <w:t xml:space="preserve"> </w:t>
      </w:r>
      <w:r>
        <w:t>H</w:t>
      </w:r>
      <w:r w:rsidRPr="000F1DE6">
        <w:t>owever</w:t>
      </w:r>
      <w:r>
        <w:t>,</w:t>
      </w:r>
      <w:r w:rsidRPr="000F1DE6">
        <w:t xml:space="preserve"> other associated hazards include floods, bushfires, poor air quality, communicable diseases, </w:t>
      </w:r>
      <w:r>
        <w:t>ultraviolet (</w:t>
      </w:r>
      <w:r w:rsidRPr="000F1DE6">
        <w:t>UV</w:t>
      </w:r>
      <w:r>
        <w:t>)</w:t>
      </w:r>
      <w:r w:rsidRPr="000F1DE6">
        <w:t xml:space="preserve"> radiation and agrochemicals (such as pesticides, the use of which is expected to increase).</w:t>
      </w:r>
      <w:r w:rsidRPr="000F1DE6">
        <w:rPr>
          <w:rStyle w:val="FootnoteReference"/>
          <w:rFonts w:eastAsiaTheme="majorEastAsia"/>
        </w:rPr>
        <w:footnoteReference w:id="666"/>
      </w:r>
      <w:r w:rsidRPr="000F1DE6">
        <w:t xml:space="preserve"> The ILO’s 2024 report on ensuring health and safety in a changing climate presents evidence linking climate change to deteriorating work environments and an increased risk of occupational injury, disease and death.</w:t>
      </w:r>
      <w:r w:rsidRPr="000F1DE6">
        <w:rPr>
          <w:rStyle w:val="FootnoteReference"/>
          <w:rFonts w:eastAsiaTheme="majorEastAsia"/>
        </w:rPr>
        <w:footnoteReference w:id="667"/>
      </w:r>
    </w:p>
    <w:p w14:paraId="716E6CA0" w14:textId="07A6C3A5" w:rsidR="001F4902" w:rsidRPr="000F1DE6" w:rsidRDefault="001F4902" w:rsidP="001F4902">
      <w:pPr>
        <w:pStyle w:val="Paragraph"/>
      </w:pPr>
      <w:r w:rsidRPr="000F1DE6">
        <w:t>Climate-related hazards affect workers across a range of industries to varying extents. Outdoor workers in agriculture, natural resource management, construction, waste collection, emergency repair work, transport, tourism and sports are most at risk of heat stress,</w:t>
      </w:r>
      <w:r w:rsidRPr="000F1DE6">
        <w:rPr>
          <w:rStyle w:val="FootnoteReference"/>
        </w:rPr>
        <w:footnoteReference w:id="668"/>
      </w:r>
      <w:r w:rsidRPr="000F1DE6">
        <w:t xml:space="preserve"> as are workers working in poorly ventilated enclosed spaces and environments that generate heat, such as bakeries, foundries and laundries. First responders are likely to be at risk of both psychological harm and physical injury in responding to increasingly severe and frequent extreme weather events. Certain cohorts of workers may be at higher risk of harm, including pregnant women, workers with certain types of disabilities, and gig workers.</w:t>
      </w:r>
      <w:r w:rsidRPr="000F1DE6">
        <w:rPr>
          <w:rStyle w:val="FootnoteReference"/>
        </w:rPr>
        <w:footnoteReference w:id="669"/>
      </w:r>
      <w:r w:rsidRPr="000F1DE6">
        <w:t xml:space="preserve"> Additionally, new WHS risks may arise from the shift to green industries in response to climate change; and the adoption of technologies such as lithium batteries and solar panels, which contain chemicals hazardous to human health.</w:t>
      </w:r>
      <w:r w:rsidRPr="000F1DE6">
        <w:rPr>
          <w:rStyle w:val="FootnoteReference"/>
        </w:rPr>
        <w:footnoteReference w:id="670"/>
      </w:r>
    </w:p>
    <w:p w14:paraId="344A186F" w14:textId="03A1CFD2" w:rsidR="001F4902" w:rsidRPr="000F1DE6" w:rsidRDefault="001F4902" w:rsidP="001F4902">
      <w:pPr>
        <w:pStyle w:val="Paragraph"/>
      </w:pPr>
      <w:r w:rsidRPr="000F1DE6">
        <w:t>Climate change impacts on WHS not only have a human cost but an economic cost as well, affecting productivity more broadly. In Australia, mining, construction, agriculture, power generation and transmission, and some service occupations</w:t>
      </w:r>
      <w:r>
        <w:t>,</w:t>
      </w:r>
      <w:r w:rsidRPr="000F1DE6">
        <w:t xml:space="preserve"> are particularly at risk from labour productivity reductions due to higher temperatures. The </w:t>
      </w:r>
      <w:r w:rsidRPr="00105531">
        <w:t>Department of the Treasury</w:t>
      </w:r>
      <w:r w:rsidRPr="000F1DE6">
        <w:t xml:space="preserve"> estimates a reduction in Australia’s aggregate labour productivity by between $135</w:t>
      </w:r>
      <w:r>
        <w:t> </w:t>
      </w:r>
      <w:r w:rsidRPr="000F1DE6">
        <w:t>billion and $423</w:t>
      </w:r>
      <w:r>
        <w:t> </w:t>
      </w:r>
      <w:r w:rsidRPr="000F1DE6">
        <w:t>billion by 2063 due to heat</w:t>
      </w:r>
      <w:r w:rsidR="006860D5">
        <w:noBreakHyphen/>
      </w:r>
      <w:r w:rsidRPr="000F1DE6">
        <w:t>related costs.</w:t>
      </w:r>
      <w:r w:rsidRPr="000F1DE6">
        <w:rPr>
          <w:rStyle w:val="FootnoteReference"/>
          <w:rFonts w:eastAsiaTheme="majorEastAsia"/>
        </w:rPr>
        <w:footnoteReference w:id="671"/>
      </w:r>
    </w:p>
    <w:p w14:paraId="199819CB" w14:textId="77777777" w:rsidR="008D3466" w:rsidRPr="000D26F7" w:rsidRDefault="008D3466" w:rsidP="00BF204D">
      <w:pPr>
        <w:pStyle w:val="Boxedshaded"/>
        <w:rPr>
          <w:b/>
          <w:bCs/>
        </w:rPr>
      </w:pPr>
      <w:r w:rsidRPr="000D26F7">
        <w:rPr>
          <w:b/>
          <w:bCs/>
        </w:rPr>
        <w:lastRenderedPageBreak/>
        <w:t>What we heard</w:t>
      </w:r>
    </w:p>
    <w:p w14:paraId="7B222E73" w14:textId="77777777" w:rsidR="008D3466" w:rsidRPr="000F1DE6" w:rsidRDefault="008D3466" w:rsidP="00BF204D">
      <w:pPr>
        <w:pStyle w:val="Boxedshaded"/>
      </w:pPr>
      <w:r w:rsidRPr="000F1DE6">
        <w:t>The ACTU called for targeted provisions in the model WHS Act or Regulations to explicitly require PCBUs to control climate-related hazards. It also reiterated the recommendations in its position paper for regulatory reforms relating to air quality, inclement weather and vector-borne illnesses.</w:t>
      </w:r>
      <w:r w:rsidRPr="000F1DE6">
        <w:rPr>
          <w:rStyle w:val="FootnoteReference"/>
          <w:rFonts w:eastAsia="Arial" w:cs="Arial"/>
          <w:szCs w:val="22"/>
        </w:rPr>
        <w:footnoteReference w:id="672"/>
      </w:r>
      <w:r w:rsidRPr="000F1DE6">
        <w:t xml:space="preserve"> The Community and Public Sector Union encouraged Safe Work Australia to support and lead coordinated planning regarding the WHS impacts of climate change.</w:t>
      </w:r>
      <w:r w:rsidRPr="000F1DE6">
        <w:rPr>
          <w:rStyle w:val="FootnoteReference"/>
          <w:rFonts w:eastAsia="Arial" w:cs="Arial"/>
          <w:szCs w:val="22"/>
        </w:rPr>
        <w:footnoteReference w:id="673"/>
      </w:r>
    </w:p>
    <w:p w14:paraId="00DAE416" w14:textId="054B5801" w:rsidR="008D3466" w:rsidRPr="000F1DE6" w:rsidRDefault="008D3466" w:rsidP="00BF204D">
      <w:pPr>
        <w:pStyle w:val="Boxedshaded"/>
      </w:pPr>
      <w:r w:rsidRPr="000F1DE6">
        <w:t xml:space="preserve">Other commentary on climate-related hazards focused primarily on work in extreme heat. The </w:t>
      </w:r>
      <w:r>
        <w:t xml:space="preserve">NFF </w:t>
      </w:r>
      <w:r w:rsidRPr="000F1DE6">
        <w:t>focused on heat stress and fatigue during seasonal peaks and recommended publishing heat stress protocols with practical hydration and rest breaks.</w:t>
      </w:r>
      <w:r w:rsidRPr="008D3466">
        <w:rPr>
          <w:vertAlign w:val="superscript"/>
        </w:rPr>
        <w:footnoteReference w:id="674"/>
      </w:r>
      <w:r w:rsidRPr="000F1DE6">
        <w:t xml:space="preserve"> The Water Services Association of Australia suggested updating national heat guidance for outdoor and 24/7 workforces</w:t>
      </w:r>
      <w:r>
        <w:t xml:space="preserve">; </w:t>
      </w:r>
      <w:r w:rsidRPr="000F1DE6">
        <w:t>and aligning psychosocial risk frameworks with heat and fatigue management.</w:t>
      </w:r>
      <w:r w:rsidRPr="008D3466">
        <w:rPr>
          <w:vertAlign w:val="superscript"/>
        </w:rPr>
        <w:footnoteReference w:id="675"/>
      </w:r>
    </w:p>
    <w:p w14:paraId="25240755" w14:textId="77777777" w:rsidR="00F21CE3" w:rsidRDefault="001F4902" w:rsidP="000D26F7">
      <w:pPr>
        <w:pStyle w:val="SWAHeading4"/>
      </w:pPr>
      <w:r w:rsidRPr="000F1DE6">
        <w:t>Discussion and recommendations</w:t>
      </w:r>
    </w:p>
    <w:p w14:paraId="2FAE88F9" w14:textId="24E5F63B" w:rsidR="001F4902" w:rsidRPr="00D54906" w:rsidRDefault="001F4902" w:rsidP="000D26F7">
      <w:pPr>
        <w:pStyle w:val="SWAHeading5"/>
      </w:pPr>
      <w:r w:rsidRPr="00D54906">
        <w:t>Better coordination and strategic planning for WHS impacts</w:t>
      </w:r>
    </w:p>
    <w:p w14:paraId="55C982B6" w14:textId="77777777" w:rsidR="001F4902" w:rsidRPr="000F1DE6" w:rsidRDefault="001F4902" w:rsidP="001F4902">
      <w:pPr>
        <w:pStyle w:val="Paragraph"/>
      </w:pPr>
      <w:r w:rsidRPr="000F1DE6">
        <w:t xml:space="preserve">The ILO published </w:t>
      </w:r>
      <w:r>
        <w:t xml:space="preserve">2 </w:t>
      </w:r>
      <w:r w:rsidRPr="000F1DE6">
        <w:t>key reports in 2024 on WHS and climate change and global best practice.</w:t>
      </w:r>
      <w:r w:rsidRPr="000F1DE6">
        <w:rPr>
          <w:rStyle w:val="FootnoteReference"/>
        </w:rPr>
        <w:footnoteReference w:id="676"/>
      </w:r>
      <w:r w:rsidRPr="000F1DE6">
        <w:t xml:space="preserve"> The ILO 2024 reports identified 4 broad actions to tackle the impact of climate change on working conditions:</w:t>
      </w:r>
    </w:p>
    <w:p w14:paraId="2EA85A2F" w14:textId="77777777" w:rsidR="001F4902" w:rsidRPr="00A54EF4" w:rsidRDefault="001F4902" w:rsidP="00A54EF4">
      <w:pPr>
        <w:numPr>
          <w:ilvl w:val="0"/>
          <w:numId w:val="1"/>
        </w:numPr>
        <w:spacing w:before="80" w:after="80" w:line="216" w:lineRule="auto"/>
        <w:ind w:left="641" w:hanging="357"/>
        <w:contextualSpacing w:val="0"/>
        <w:rPr>
          <w:rFonts w:asciiTheme="minorHAnsi" w:hAnsiTheme="minorHAnsi"/>
        </w:rPr>
      </w:pPr>
      <w:r w:rsidRPr="00A54EF4">
        <w:rPr>
          <w:rFonts w:asciiTheme="minorHAnsi" w:hAnsiTheme="minorHAnsi"/>
        </w:rPr>
        <w:t>interdepartmental coordination</w:t>
      </w:r>
    </w:p>
    <w:p w14:paraId="0B987D4B" w14:textId="77777777" w:rsidR="001F4902" w:rsidRPr="00A54EF4" w:rsidRDefault="001F4902" w:rsidP="00A54EF4">
      <w:pPr>
        <w:numPr>
          <w:ilvl w:val="0"/>
          <w:numId w:val="1"/>
        </w:numPr>
        <w:spacing w:before="80" w:after="80" w:line="216" w:lineRule="auto"/>
        <w:ind w:left="641" w:hanging="357"/>
        <w:contextualSpacing w:val="0"/>
        <w:rPr>
          <w:rFonts w:asciiTheme="minorHAnsi" w:hAnsiTheme="minorHAnsi"/>
        </w:rPr>
      </w:pPr>
      <w:r w:rsidRPr="00A54EF4">
        <w:rPr>
          <w:rFonts w:asciiTheme="minorHAnsi" w:hAnsiTheme="minorHAnsi"/>
        </w:rPr>
        <w:t>meaningful consultation with key stakeholders, underpinned by enhanced research to develop robust policy</w:t>
      </w:r>
    </w:p>
    <w:p w14:paraId="740B4CE8" w14:textId="77777777" w:rsidR="001F4902" w:rsidRPr="00A54EF4" w:rsidRDefault="001F4902" w:rsidP="00A54EF4">
      <w:pPr>
        <w:numPr>
          <w:ilvl w:val="0"/>
          <w:numId w:val="1"/>
        </w:numPr>
        <w:spacing w:before="80" w:after="80" w:line="216" w:lineRule="auto"/>
        <w:ind w:left="641" w:hanging="357"/>
        <w:contextualSpacing w:val="0"/>
        <w:rPr>
          <w:rFonts w:asciiTheme="minorHAnsi" w:hAnsiTheme="minorHAnsi"/>
        </w:rPr>
      </w:pPr>
      <w:r w:rsidRPr="00A54EF4">
        <w:rPr>
          <w:rFonts w:asciiTheme="minorHAnsi" w:hAnsiTheme="minorHAnsi"/>
        </w:rPr>
        <w:t>new regulations, policies and action plans across a wide range of industries and activities, in addition to enhancing established legislation and policy frameworks</w:t>
      </w:r>
    </w:p>
    <w:p w14:paraId="709255FE" w14:textId="77777777" w:rsidR="001F4902" w:rsidRPr="00A54EF4" w:rsidRDefault="001F4902" w:rsidP="00A54EF4">
      <w:pPr>
        <w:numPr>
          <w:ilvl w:val="0"/>
          <w:numId w:val="1"/>
        </w:numPr>
        <w:spacing w:before="80" w:after="80" w:line="216" w:lineRule="auto"/>
        <w:ind w:left="641" w:hanging="357"/>
        <w:contextualSpacing w:val="0"/>
        <w:rPr>
          <w:rFonts w:asciiTheme="minorHAnsi" w:hAnsiTheme="minorHAnsi"/>
        </w:rPr>
      </w:pPr>
      <w:r w:rsidRPr="00A54EF4">
        <w:rPr>
          <w:rFonts w:asciiTheme="minorHAnsi" w:hAnsiTheme="minorHAnsi"/>
        </w:rPr>
        <w:t>new public health education for specific industries and the broader population.</w:t>
      </w:r>
    </w:p>
    <w:p w14:paraId="387D606D" w14:textId="635C62B9" w:rsidR="00F21CE3" w:rsidRDefault="001F4902" w:rsidP="001F4902">
      <w:pPr>
        <w:pStyle w:val="Paragraph"/>
      </w:pPr>
      <w:r w:rsidRPr="000F1DE6">
        <w:t>This Review supports the ILO identification of greater policy coherence and cooperation between governments and social partners to effectively deal with the impacts of climate change on WHS.</w:t>
      </w:r>
      <w:r w:rsidRPr="000F1DE6">
        <w:rPr>
          <w:rStyle w:val="FootnoteReference"/>
        </w:rPr>
        <w:footnoteReference w:id="677"/>
      </w:r>
      <w:r w:rsidRPr="000F1DE6">
        <w:t xml:space="preserve"> A number of Australian Government departments have developed plans in response to climate change, including the </w:t>
      </w:r>
      <w:r w:rsidRPr="008E01D3">
        <w:rPr>
          <w:i/>
          <w:iCs/>
        </w:rPr>
        <w:t xml:space="preserve">National Adaptation Plan </w:t>
      </w:r>
      <w:r w:rsidRPr="006C7B49">
        <w:t>and the</w:t>
      </w:r>
      <w:r w:rsidRPr="008E01D3">
        <w:rPr>
          <w:i/>
          <w:iCs/>
        </w:rPr>
        <w:t xml:space="preserve"> National Health and Climate Strategy</w:t>
      </w:r>
      <w:r w:rsidRPr="000F1DE6">
        <w:t>, which identify certain workers as being at higher risk of negative health effects associated with climate change.</w:t>
      </w:r>
      <w:r w:rsidRPr="000F1DE6">
        <w:rPr>
          <w:rStyle w:val="FootnoteReference"/>
          <w:rFonts w:eastAsiaTheme="majorEastAsia"/>
        </w:rPr>
        <w:footnoteReference w:id="678"/>
      </w:r>
      <w:r w:rsidRPr="000F1DE6">
        <w:t xml:space="preserve"> The </w:t>
      </w:r>
      <w:r w:rsidRPr="008C7D28">
        <w:rPr>
          <w:i/>
          <w:iCs/>
        </w:rPr>
        <w:t>National Health and Climate Strategy</w:t>
      </w:r>
      <w:r w:rsidRPr="000F1DE6">
        <w:t xml:space="preserve"> also highlights the impact of climate change on mental health and wellbeing.</w:t>
      </w:r>
      <w:r w:rsidRPr="000F1DE6">
        <w:rPr>
          <w:rStyle w:val="FootnoteReference"/>
        </w:rPr>
        <w:footnoteReference w:id="679"/>
      </w:r>
      <w:r w:rsidRPr="000F1DE6">
        <w:t xml:space="preserve"> The </w:t>
      </w:r>
      <w:r w:rsidRPr="006D5A8E">
        <w:rPr>
          <w:i/>
          <w:iCs/>
        </w:rPr>
        <w:t>Australian WHS Strategy 2023</w:t>
      </w:r>
      <w:r w:rsidR="00156590">
        <w:rPr>
          <w:rFonts w:ascii="Symbol" w:eastAsia="Symbol" w:hAnsi="Symbol" w:cs="Symbol"/>
          <w:i/>
          <w:iCs/>
        </w:rPr>
        <w:t>-</w:t>
      </w:r>
      <w:r w:rsidRPr="006D5A8E">
        <w:rPr>
          <w:i/>
          <w:iCs/>
        </w:rPr>
        <w:t>2033</w:t>
      </w:r>
      <w:r w:rsidRPr="000F1DE6">
        <w:rPr>
          <w:rStyle w:val="FootnoteReference"/>
        </w:rPr>
        <w:footnoteReference w:id="680"/>
      </w:r>
      <w:r w:rsidRPr="000F1DE6">
        <w:rPr>
          <w:i/>
        </w:rPr>
        <w:t xml:space="preserve"> </w:t>
      </w:r>
      <w:r w:rsidRPr="000F1DE6">
        <w:t>and Safe Work Australia</w:t>
      </w:r>
      <w:r w:rsidRPr="006D5A8E">
        <w:rPr>
          <w:i/>
          <w:iCs/>
        </w:rPr>
        <w:t xml:space="preserve"> </w:t>
      </w:r>
      <w:r w:rsidRPr="006F5016">
        <w:rPr>
          <w:i/>
          <w:iCs/>
        </w:rPr>
        <w:t xml:space="preserve">Research and Evaluation Strategy </w:t>
      </w:r>
      <w:r w:rsidRPr="006F5016">
        <w:t>dr</w:t>
      </w:r>
      <w:r w:rsidRPr="000F1DE6">
        <w:t>aw from these frameworks, recognising the impacts of climate change on workers and the need for more consultation on how best to respond to climate change. Managing the WHS challenges posed by climate change is also part of Australia’s international obligations under ILO Convention No. 155.</w:t>
      </w:r>
      <w:r w:rsidRPr="000F1DE6">
        <w:rPr>
          <w:rStyle w:val="FootnoteReference"/>
        </w:rPr>
        <w:footnoteReference w:id="681"/>
      </w:r>
    </w:p>
    <w:p w14:paraId="5213A39A" w14:textId="0184E561" w:rsidR="00F21CE3" w:rsidRDefault="001F4902" w:rsidP="001F4902">
      <w:pPr>
        <w:pStyle w:val="Paragraph"/>
      </w:pPr>
      <w:r w:rsidRPr="000F1DE6">
        <w:lastRenderedPageBreak/>
        <w:t xml:space="preserve">This work illustrates that WHS considerations have been ‘integrated somewhat into broader </w:t>
      </w:r>
      <w:r w:rsidRPr="004E7884">
        <w:t>Commonwealth climate change planning processes, but not in a coordinated or comprehensive manner’</w:t>
      </w:r>
      <w:r w:rsidR="00C925D7">
        <w:t>.</w:t>
      </w:r>
      <w:r w:rsidRPr="004E7884">
        <w:rPr>
          <w:rStyle w:val="FootnoteReference"/>
          <w:rFonts w:eastAsiaTheme="majorEastAsia"/>
        </w:rPr>
        <w:footnoteReference w:id="682"/>
      </w:r>
      <w:r w:rsidRPr="004E7884">
        <w:t xml:space="preserve"> There is an opportunity for more coordinated, systematic engagement within the WHS ‘ecosystem’ and within</w:t>
      </w:r>
      <w:r w:rsidRPr="000F1DE6">
        <w:t xml:space="preserve"> and across governments to respond to the WHS impacts of climate change, including through Safe Work Australia’s tripartite processes.</w:t>
      </w:r>
    </w:p>
    <w:p w14:paraId="5CD425E9" w14:textId="77777777" w:rsidR="00F21CE3" w:rsidRDefault="001F4902" w:rsidP="001F4902">
      <w:pPr>
        <w:pStyle w:val="Paragraph"/>
      </w:pPr>
      <w:r w:rsidRPr="000F1DE6">
        <w:t>An absence of strategic engagement may see jurisdictions individually respond to climate</w:t>
      </w:r>
      <w:r w:rsidRPr="000F1DE6">
        <w:noBreakHyphen/>
        <w:t>related risks, weakening harmonisation. In</w:t>
      </w:r>
      <w:r w:rsidR="008C37E4">
        <w:t xml:space="preserve"> </w:t>
      </w:r>
      <w:r w:rsidRPr="000F1DE6">
        <w:t>November 2025, the ACT introduced a new Code of Practice on managing the risks associated with extreme temperatures,</w:t>
      </w:r>
      <w:r w:rsidRPr="000F1DE6">
        <w:rPr>
          <w:rStyle w:val="FootnoteReference"/>
          <w:rFonts w:eastAsiaTheme="majorEastAsia"/>
        </w:rPr>
        <w:footnoteReference w:id="683"/>
      </w:r>
      <w:r w:rsidRPr="000F1DE6">
        <w:t xml:space="preserve"> while in April 2026 the NSW Net Zero Commission</w:t>
      </w:r>
      <w:r w:rsidRPr="000F1DE6">
        <w:rPr>
          <w:rStyle w:val="FootnoteReference"/>
          <w:rFonts w:eastAsiaTheme="majorEastAsia"/>
        </w:rPr>
        <w:footnoteReference w:id="684"/>
      </w:r>
      <w:r w:rsidRPr="000F1DE6">
        <w:t xml:space="preserve"> recommended amending the NSW WHS Regulations to mandate heat stress prevention plans and safe heat thresholds.</w:t>
      </w:r>
    </w:p>
    <w:p w14:paraId="31E08BC9" w14:textId="77777777" w:rsidR="00F21CE3" w:rsidRDefault="001F4902" w:rsidP="001F4902">
      <w:pPr>
        <w:pStyle w:val="Paragraph"/>
      </w:pPr>
      <w:r w:rsidRPr="000F1DE6">
        <w:t>WHS impacts will also be felt as industries and occupations evolve during the transition to net zero. Employment in the mining sector is expected to decline by 6% by 2030 and by 12% by 2050,</w:t>
      </w:r>
      <w:r w:rsidRPr="000F1DE6">
        <w:rPr>
          <w:rStyle w:val="FootnoteReference"/>
        </w:rPr>
        <w:footnoteReference w:id="685"/>
      </w:r>
      <w:r w:rsidRPr="000F1DE6">
        <w:t xml:space="preserve"> while demand for critical roles in the trades, technical occupations and engineering professions will rise.</w:t>
      </w:r>
      <w:r w:rsidRPr="000F1DE6">
        <w:rPr>
          <w:rStyle w:val="FootnoteReference"/>
        </w:rPr>
        <w:footnoteReference w:id="686"/>
      </w:r>
      <w:r w:rsidRPr="000F1DE6">
        <w:t xml:space="preserve"> Sectors where strong jobs growth is expected include hydro-electricity generation, wind generation, solar generation and offshore wind generation.</w:t>
      </w:r>
      <w:r w:rsidRPr="000F1DE6">
        <w:rPr>
          <w:rStyle w:val="FootnoteReference"/>
        </w:rPr>
        <w:footnoteReference w:id="687"/>
      </w:r>
      <w:r w:rsidRPr="000F1DE6">
        <w:t xml:space="preserve"> As workers transition to new roles or leave the workforce, PCBUs will need to assess the risks of psychological harm associated with poor organisational change management. At the same time, jobs in the clean energy sector must be safe and healthy, and there is a need to better understand the WHS risks posed by work in the sector (such as the physical and psychosocial risks from work in remote offshore wind farms) and associated technologies (such as solar panels, lithium batteries and energy</w:t>
      </w:r>
      <w:r w:rsidRPr="000F1DE6">
        <w:noBreakHyphen/>
        <w:t>efficient fluorescent lamps, which contain hazardous chemicals including lead, cadmium and mercury).</w:t>
      </w:r>
      <w:r w:rsidRPr="000F1DE6">
        <w:rPr>
          <w:rStyle w:val="FootnoteReference"/>
        </w:rPr>
        <w:footnoteReference w:id="688"/>
      </w:r>
    </w:p>
    <w:p w14:paraId="1602E879" w14:textId="51BF45AB" w:rsidR="001F4902" w:rsidRPr="000F1DE6" w:rsidRDefault="001F4902" w:rsidP="001F4902">
      <w:pPr>
        <w:pStyle w:val="Paragraph"/>
      </w:pPr>
      <w:r w:rsidRPr="000F1DE6">
        <w:t>Within this context, th</w:t>
      </w:r>
      <w:r>
        <w:t>is</w:t>
      </w:r>
      <w:r w:rsidRPr="000F1DE6">
        <w:t xml:space="preserve"> Review recommends that the proposed model WHS </w:t>
      </w:r>
      <w:r>
        <w:t>R</w:t>
      </w:r>
      <w:r w:rsidRPr="000F1DE6">
        <w:t xml:space="preserve">egulations modernisation project review how the </w:t>
      </w:r>
      <w:r>
        <w:t>R</w:t>
      </w:r>
      <w:r w:rsidRPr="000F1DE6">
        <w:t>egulations apply to grid</w:t>
      </w:r>
      <w:r w:rsidRPr="000F1DE6">
        <w:noBreakHyphen/>
        <w:t xml:space="preserve">scale battery energy storage systems and small hydrogen facilities (see </w:t>
      </w:r>
      <w:r w:rsidRPr="000F1DE6">
        <w:rPr>
          <w:b/>
        </w:rPr>
        <w:t>Appendix G</w:t>
      </w:r>
      <w:r w:rsidRPr="006A43DE">
        <w:rPr>
          <w:bCs/>
        </w:rPr>
        <w:t>,</w:t>
      </w:r>
      <w:r w:rsidRPr="000F1DE6">
        <w:rPr>
          <w:b/>
        </w:rPr>
        <w:t xml:space="preserve"> 11</w:t>
      </w:r>
      <w:r w:rsidRPr="000F1DE6">
        <w:t>).</w:t>
      </w:r>
      <w:r w:rsidRPr="000F1DE6">
        <w:rPr>
          <w:rStyle w:val="FootnoteReference"/>
        </w:rPr>
        <w:footnoteReference w:id="689"/>
      </w:r>
    </w:p>
    <w:p w14:paraId="7E49D2D1" w14:textId="77777777" w:rsidR="00F21CE3" w:rsidRDefault="001F4902" w:rsidP="001F4902">
      <w:pPr>
        <w:pStyle w:val="Paragraph"/>
      </w:pPr>
      <w:r w:rsidRPr="000F1DE6">
        <w:t>This Review also recommends Safe Work Australia develop a strategy to ensure a nationally consistent understanding of how WHS laws apply to climate-related hazards and the clean energy industry to prevent future variations across jurisdictions and ensure clarity and certainty for duty holders, workers and regulators. A strong evidence base will also assist in identifying any legislative gaps and informing any necessary amendments to the model WHS laws.</w:t>
      </w:r>
    </w:p>
    <w:p w14:paraId="4F5C8643" w14:textId="0E5F6F9F" w:rsidR="000D26F7" w:rsidRDefault="001F4902" w:rsidP="000D26F7">
      <w:pPr>
        <w:pStyle w:val="Paragraph"/>
      </w:pPr>
      <w:r w:rsidRPr="000F1DE6">
        <w:t>In developing the strategy, Safe Work Australia should engage with federal government agencies involved in climate adaptation</w:t>
      </w:r>
      <w:r>
        <w:t>,</w:t>
      </w:r>
      <w:r w:rsidRPr="000F1DE6">
        <w:t xml:space="preserve"> such as the Australian Centre for Disease Control</w:t>
      </w:r>
      <w:r>
        <w:t>,</w:t>
      </w:r>
      <w:r w:rsidRPr="000F1DE6">
        <w:t xml:space="preserve"> to ensure that WHS is integrated into national climate change policy. This would align with international best practice and a recommendation by the ILO in April 2026 to ‘strengthen inter-institutional coordination among labour, public health, meteorological, environmental, infrastructure and disaster management bodies’</w:t>
      </w:r>
      <w:r w:rsidRPr="000F1DE6">
        <w:rPr>
          <w:rStyle w:val="FootnoteReference"/>
        </w:rPr>
        <w:footnoteReference w:id="690"/>
      </w:r>
      <w:r w:rsidRPr="000F1DE6">
        <w:t xml:space="preserve"> to promote integrated approaches to WHS in the context of extreme weather events and changing weather patterns.</w:t>
      </w:r>
      <w:r w:rsidR="000D26F7">
        <w:br w:type="page"/>
      </w:r>
    </w:p>
    <w:p w14:paraId="6337FCAA" w14:textId="77777777" w:rsidR="00F21CE3" w:rsidRDefault="001F4902" w:rsidP="001F4902">
      <w:pPr>
        <w:pStyle w:val="Paragraph"/>
      </w:pPr>
      <w:r w:rsidRPr="000F1DE6">
        <w:lastRenderedPageBreak/>
        <w:t>The ILO notes that the scientific evidence base regarding the impact of climate change on WHS is limited in many critical areas, and further research is needed to guide policymaking.</w:t>
      </w:r>
      <w:r w:rsidRPr="000F1DE6">
        <w:rPr>
          <w:rStyle w:val="FootnoteReference"/>
        </w:rPr>
        <w:footnoteReference w:id="691"/>
      </w:r>
      <w:r w:rsidRPr="000F1DE6">
        <w:t xml:space="preserve"> Industries where work is primarily performed indoors, such as healthcare and social assistance, education and training, arts and recreation and retail, have tended to be under-researched even though they will also be impacted by climate change.</w:t>
      </w:r>
      <w:r w:rsidRPr="000F1DE6">
        <w:rPr>
          <w:rStyle w:val="FootnoteReference"/>
          <w:rFonts w:eastAsiaTheme="majorEastAsia"/>
        </w:rPr>
        <w:footnoteReference w:id="692"/>
      </w:r>
      <w:r w:rsidRPr="000F1DE6">
        <w:t xml:space="preserve"> The impacts of UV radiation and air pollution on WHS require further research in the Australian context. This Review recommends supporting further research into the climate-related WHS impacts on a wider range of hazards and industries with a focus on translating findings into practical support for PCBUs.</w:t>
      </w:r>
    </w:p>
    <w:p w14:paraId="746DD162" w14:textId="712994A2" w:rsidR="001F4902" w:rsidRPr="00D54906" w:rsidRDefault="001F4902" w:rsidP="000D26F7">
      <w:pPr>
        <w:pStyle w:val="SWAHeading5"/>
        <w:spacing w:before="200" w:after="0"/>
      </w:pPr>
      <w:r w:rsidRPr="00D54906">
        <w:t>The model WHS Regulations and climate-related hazards</w:t>
      </w:r>
    </w:p>
    <w:p w14:paraId="6DA405BA" w14:textId="77777777" w:rsidR="00F21CE3" w:rsidRDefault="001F4902" w:rsidP="000D26F7">
      <w:pPr>
        <w:pStyle w:val="Paragraph"/>
        <w:spacing w:before="40"/>
      </w:pPr>
      <w:r w:rsidRPr="000F1DE6">
        <w:t>The model WHS Regulations do not explicitly refer to climate change or climate-related hazards. Climate</w:t>
      </w:r>
      <w:r w:rsidRPr="000F1DE6">
        <w:noBreakHyphen/>
        <w:t>related hazards are, however, captured by the primary duty of care in the model WHS Act, which requires PCBUs to provide and maintain a work environment without risks to health and safety, so far as is reasonably practicable.</w:t>
      </w:r>
      <w:r w:rsidRPr="000F1DE6">
        <w:rPr>
          <w:rStyle w:val="FootnoteReference"/>
          <w:rFonts w:eastAsiaTheme="majorEastAsia"/>
        </w:rPr>
        <w:footnoteReference w:id="693"/>
      </w:r>
    </w:p>
    <w:p w14:paraId="70F8804C" w14:textId="34532D29" w:rsidR="00F21CE3" w:rsidRDefault="001F4902" w:rsidP="001F4902">
      <w:pPr>
        <w:pStyle w:val="Paragraph"/>
      </w:pPr>
      <w:r w:rsidRPr="000F1DE6">
        <w:t>Climate-related risks are also covered generally across various model WHS Regulations, model Codes of Practice and guidance materials, including through specific regulations dealing with extreme temperatures, ventilation, emergency plans and air monitoring, and a model Code of Practice on managing biological hazards at work.</w:t>
      </w:r>
      <w:r w:rsidRPr="000F1DE6">
        <w:rPr>
          <w:rStyle w:val="FootnoteReference"/>
        </w:rPr>
        <w:footnoteReference w:id="694"/>
      </w:r>
      <w:r w:rsidRPr="000F1DE6">
        <w:t xml:space="preserve"> However, these laws and guidance materials generally relate to ‘business as usual’ risks and not all have been updated in response to the more serious and systemic intensification of risks caused by climate change. (The Review notes the model </w:t>
      </w:r>
      <w:r w:rsidRPr="00763AD2">
        <w:rPr>
          <w:i/>
          <w:iCs/>
        </w:rPr>
        <w:t xml:space="preserve">Code of Practice on Managing the Work Environment and </w:t>
      </w:r>
      <w:r w:rsidRPr="006C7B49">
        <w:rPr>
          <w:i/>
          <w:iCs/>
        </w:rPr>
        <w:t>Facilities</w:t>
      </w:r>
      <w:r w:rsidRPr="000F1DE6">
        <w:t xml:space="preserve"> is currently being updated to reconsider ventilation and indoor air quality control measures</w:t>
      </w:r>
      <w:r w:rsidR="00156590">
        <w:t>.</w:t>
      </w:r>
      <w:r w:rsidRPr="000F1DE6">
        <w:t>)</w:t>
      </w:r>
    </w:p>
    <w:p w14:paraId="579730CC" w14:textId="663618FE" w:rsidR="001F4902" w:rsidRPr="000F1DE6" w:rsidRDefault="001F4902" w:rsidP="001F4902">
      <w:pPr>
        <w:pStyle w:val="Paragraph"/>
      </w:pPr>
      <w:r w:rsidRPr="000F1DE6">
        <w:t xml:space="preserve">Given the significant risks associated with climate related hazards, this Review recommends new model WHS Regulations in </w:t>
      </w:r>
      <w:r>
        <w:t xml:space="preserve">3 </w:t>
      </w:r>
      <w:r w:rsidRPr="000F1DE6">
        <w:t xml:space="preserve">key areas, to be progressed as a priority as part of the proposed model WHS </w:t>
      </w:r>
      <w:r w:rsidR="00C27D80">
        <w:t>R</w:t>
      </w:r>
      <w:r w:rsidR="00C27D80" w:rsidRPr="000F1DE6">
        <w:t xml:space="preserve">egulations </w:t>
      </w:r>
      <w:r w:rsidRPr="000F1DE6">
        <w:t xml:space="preserve">modernisation project (discussed at </w:t>
      </w:r>
      <w:r w:rsidRPr="00C63977">
        <w:rPr>
          <w:b/>
        </w:rPr>
        <w:t>Chapter 7</w:t>
      </w:r>
      <w:r w:rsidRPr="000F1DE6">
        <w:t>). These are:</w:t>
      </w:r>
    </w:p>
    <w:p w14:paraId="5E37D641" w14:textId="77777777" w:rsidR="001F4902" w:rsidRPr="000F1DE6" w:rsidRDefault="001F4902" w:rsidP="00B15A3D">
      <w:pPr>
        <w:pStyle w:val="ListBullet"/>
      </w:pPr>
      <w:r w:rsidRPr="000F1DE6">
        <w:t>extreme heat</w:t>
      </w:r>
    </w:p>
    <w:p w14:paraId="1F2354C8" w14:textId="77777777" w:rsidR="001F4902" w:rsidRPr="000F1DE6" w:rsidRDefault="001F4902" w:rsidP="00B15A3D">
      <w:pPr>
        <w:pStyle w:val="ListBullet"/>
      </w:pPr>
      <w:r w:rsidRPr="000F1DE6">
        <w:t>air quality</w:t>
      </w:r>
    </w:p>
    <w:p w14:paraId="297835FA" w14:textId="77777777" w:rsidR="001F4902" w:rsidRPr="000F1DE6" w:rsidRDefault="001F4902" w:rsidP="000D26F7">
      <w:pPr>
        <w:pStyle w:val="ListBullet"/>
        <w:spacing w:after="40"/>
      </w:pPr>
      <w:r w:rsidRPr="000F1DE6">
        <w:t>vector</w:t>
      </w:r>
      <w:r>
        <w:t>-</w:t>
      </w:r>
      <w:r w:rsidRPr="000F1DE6">
        <w:t>borne diseases.</w:t>
      </w:r>
    </w:p>
    <w:p w14:paraId="03BB8FF1" w14:textId="77777777" w:rsidR="001F4902" w:rsidRPr="00D54906" w:rsidRDefault="001F4902" w:rsidP="000D26F7">
      <w:pPr>
        <w:pStyle w:val="SWAHeading5"/>
        <w:spacing w:before="200" w:after="0"/>
      </w:pPr>
      <w:r w:rsidRPr="00D54906">
        <w:t>Extreme heat</w:t>
      </w:r>
    </w:p>
    <w:p w14:paraId="4D8DB50A" w14:textId="77777777" w:rsidR="001F4902" w:rsidRPr="00F51D76" w:rsidRDefault="001F4902" w:rsidP="000D26F7">
      <w:pPr>
        <w:pStyle w:val="Paragraph"/>
        <w:spacing w:before="40"/>
      </w:pPr>
      <w:r w:rsidRPr="00F51D76">
        <w:t xml:space="preserve">The </w:t>
      </w:r>
      <w:r w:rsidRPr="000F78AB">
        <w:rPr>
          <w:i/>
          <w:iCs/>
        </w:rPr>
        <w:t>National Health and Climate Strategy</w:t>
      </w:r>
      <w:r w:rsidRPr="00F51D76">
        <w:t xml:space="preserve"> identifies heat as one of the most significant climate risks to health and wellbeing.</w:t>
      </w:r>
      <w:r>
        <w:t xml:space="preserve"> </w:t>
      </w:r>
      <w:r w:rsidRPr="00F51D76">
        <w:t>It has immediate and long-term health impacts, from illnesses such as heat exhaustion and heatstroke to the development of chronic diseases. In Australia, severe and extreme heatwave events are projected to double if global warming reaches +2</w:t>
      </w:r>
      <w:r w:rsidRPr="0078346D">
        <w:rPr>
          <w:vertAlign w:val="superscript"/>
        </w:rPr>
        <w:t>o</w:t>
      </w:r>
      <w:r w:rsidRPr="00F51D76">
        <w:t>C and more than quadruple at up to +3</w:t>
      </w:r>
      <w:r w:rsidRPr="0078346D">
        <w:rPr>
          <w:vertAlign w:val="superscript"/>
        </w:rPr>
        <w:t>o</w:t>
      </w:r>
      <w:r w:rsidRPr="00F51D76">
        <w:t>C.</w:t>
      </w:r>
      <w:r>
        <w:t xml:space="preserve"> </w:t>
      </w:r>
      <w:r w:rsidRPr="00F51D76">
        <w:t>Data shows that</w:t>
      </w:r>
      <w:r>
        <w:t>,</w:t>
      </w:r>
      <w:r w:rsidRPr="00F51D76">
        <w:t xml:space="preserve"> between 2012 and 2022, twice as many working age males (1,434) as females (716) were hospitalised due to extreme heat, which may reflect higher numbers of men in outdoor-based work.</w:t>
      </w:r>
      <w:r>
        <w:t xml:space="preserve"> Alt</w:t>
      </w:r>
      <w:r w:rsidRPr="00F51D76">
        <w:t>hough current WHS laws impose a duty on PCBUs to provide a safe working environment free from extreme temperatures, the ILO has found that such general regulations are inadequate to respond to the challenges of a warming planet.</w:t>
      </w:r>
      <w:r>
        <w:t xml:space="preserve"> </w:t>
      </w:r>
      <w:r w:rsidRPr="00F51D76">
        <w:t>It suggests following the lead of countries that have legislated specific measures for extreme heat, such as heat stress indicators, temperature thresholds and protective measures including rest areas, hydration, education and training</w:t>
      </w:r>
      <w:r>
        <w:t>,</w:t>
      </w:r>
      <w:r w:rsidRPr="00F51D76">
        <w:t xml:space="preserve"> and PPE.</w:t>
      </w:r>
    </w:p>
    <w:p w14:paraId="50672C14" w14:textId="77777777" w:rsidR="001F4902" w:rsidRPr="00D54906" w:rsidRDefault="001F4902" w:rsidP="000D26F7">
      <w:pPr>
        <w:pStyle w:val="SWAHeading5"/>
      </w:pPr>
      <w:r w:rsidRPr="00D54906">
        <w:lastRenderedPageBreak/>
        <w:t>Air quality</w:t>
      </w:r>
    </w:p>
    <w:p w14:paraId="3942AC4F" w14:textId="755440CA" w:rsidR="00F21CE3" w:rsidRDefault="001F4902" w:rsidP="001F4902">
      <w:pPr>
        <w:pStyle w:val="Paragraph"/>
      </w:pPr>
      <w:r w:rsidRPr="00F51D76">
        <w:t>Air quality is a major environmental determinant of health. Outdoor and indoor air pollution is associated with a wide range of adverse effects on respiratory, cardiovascular, reproductive and mental health and can increase the risk of cancer, stroke and cardiovascular disease.</w:t>
      </w:r>
      <w:r>
        <w:t xml:space="preserve"> </w:t>
      </w:r>
      <w:r w:rsidRPr="00F51D76">
        <w:t>Climate change is likely to lead to more frequent and widespread episodes of bushfire smoke, ozone pollution and thunderstorm asthma, which will particularly affect outdoor workers and first responders. In the 2019</w:t>
      </w:r>
      <w:r w:rsidR="00156590">
        <w:rPr>
          <w:rFonts w:ascii="Symbol" w:eastAsia="Symbol" w:hAnsi="Symbol" w:cs="Symbol"/>
        </w:rPr>
        <w:t>-</w:t>
      </w:r>
      <w:r w:rsidRPr="00F51D76">
        <w:t>20 Black Summer bushfires, close to 80% of Australia’s population was impacted by bushfire smoke, contributing to 417 excess deaths and a range of other health impacts.</w:t>
      </w:r>
      <w:r>
        <w:t xml:space="preserve"> </w:t>
      </w:r>
      <w:r w:rsidRPr="00F51D76">
        <w:t xml:space="preserve">Conventional engineering controls such as hazard enclosure and ventilation may not always be applicable to outdoor work environments, in which case specific </w:t>
      </w:r>
      <w:r>
        <w:t>r</w:t>
      </w:r>
      <w:r w:rsidRPr="00F51D76">
        <w:t>egulations would provide greater clarity to PCBUs on how to manage risks.</w:t>
      </w:r>
    </w:p>
    <w:p w14:paraId="20D90CEF" w14:textId="77777777" w:rsidR="00F21CE3" w:rsidRDefault="001F4902" w:rsidP="001F4902">
      <w:pPr>
        <w:pStyle w:val="Paragraph"/>
      </w:pPr>
      <w:r w:rsidRPr="00F51D76">
        <w:t>Indoor air quality protection will also require close attention given human exposure to air pollution occurs predominantly indoors, where people spend around 90% of their time.</w:t>
      </w:r>
      <w:r>
        <w:t xml:space="preserve"> </w:t>
      </w:r>
      <w:r w:rsidRPr="00F51D76">
        <w:t>Indoor air pollution is affected by outdoor air quality, which in turn is projected to worsen due to climate change, with increased emissions of particulate matter, ground-level ozone and other pollutants. Climate change can also alter concentrations of indoor air pollutants from indoor sources, such as mould and volatile organic compounds.</w:t>
      </w:r>
      <w:r>
        <w:t xml:space="preserve"> </w:t>
      </w:r>
      <w:r w:rsidRPr="00F51D76">
        <w:t xml:space="preserve">The current model </w:t>
      </w:r>
      <w:r>
        <w:t xml:space="preserve">WHS </w:t>
      </w:r>
      <w:r w:rsidRPr="00F51D76">
        <w:t>Regulations rely on workplace exposure standards that are primarily designed for industrial airborne contaminants, which do not meaningfully impact indoor workplaces including schools, offices, retail settings and health and aged care.</w:t>
      </w:r>
      <w:r>
        <w:t xml:space="preserve"> </w:t>
      </w:r>
      <w:r w:rsidRPr="00F51D76">
        <w:t>The Australian Academy of Science suggests strengthening WHS obligations around indoor air quality and gradually introducing specific mandatory indoor air quality parameters to measure and report against.</w:t>
      </w:r>
    </w:p>
    <w:p w14:paraId="79A7E79C" w14:textId="4DD93528" w:rsidR="001F4902" w:rsidRPr="00D54906" w:rsidRDefault="001F4902" w:rsidP="000D26F7">
      <w:pPr>
        <w:pStyle w:val="SWAHeading5"/>
      </w:pPr>
      <w:r w:rsidRPr="00D54906">
        <w:t>Vector-borne diseases</w:t>
      </w:r>
    </w:p>
    <w:p w14:paraId="396D4E46" w14:textId="77777777" w:rsidR="001F4902" w:rsidRDefault="001F4902" w:rsidP="001F4902">
      <w:pPr>
        <w:pStyle w:val="Paragraph"/>
      </w:pPr>
      <w:r w:rsidRPr="00F51D76">
        <w:t>The risk from communicable diseases is likely to increase with climate change as rising temperatures, altered rainfall patterns and flooding affect the distribution, abundance and seasonality of disease vectors such as mosquitos and ticks.</w:t>
      </w:r>
      <w:r>
        <w:t xml:space="preserve"> </w:t>
      </w:r>
      <w:r w:rsidRPr="00F51D76">
        <w:t>Outdoor workers are particularly susceptible to vector</w:t>
      </w:r>
      <w:r>
        <w:t>-</w:t>
      </w:r>
      <w:r w:rsidRPr="00F51D76">
        <w:t>borne diseases, as are emergency responders and healthcare workers who deal with infected subjects.</w:t>
      </w:r>
      <w:r>
        <w:t xml:space="preserve"> </w:t>
      </w:r>
      <w:r w:rsidRPr="00F51D76">
        <w:t>Long</w:t>
      </w:r>
      <w:r>
        <w:noBreakHyphen/>
      </w:r>
      <w:r w:rsidRPr="00F51D76">
        <w:t>term climate change projections estimate an increased geographic range and duration for mosquito-borne diseases beyond historical patterns.</w:t>
      </w:r>
      <w:r>
        <w:t xml:space="preserve"> </w:t>
      </w:r>
      <w:r w:rsidRPr="00F51D76">
        <w:t>For example, the 2023 Japanese encephalitis virus outbreak was observed in Victoria, SA and NSW</w:t>
      </w:r>
      <w:r>
        <w:t>,</w:t>
      </w:r>
      <w:r w:rsidRPr="00F51D76">
        <w:t xml:space="preserve"> when it had only previously been recorded in far north Queensland.</w:t>
      </w:r>
      <w:r>
        <w:t xml:space="preserve"> </w:t>
      </w:r>
      <w:r w:rsidRPr="00F51D76">
        <w:t xml:space="preserve">Specific </w:t>
      </w:r>
      <w:r>
        <w:t>r</w:t>
      </w:r>
      <w:r w:rsidRPr="00F51D76">
        <w:t>egulations will assist PCBUs to sufficiently manage the risks associated with vector</w:t>
      </w:r>
      <w:r>
        <w:t>-</w:t>
      </w:r>
      <w:r w:rsidRPr="00F51D76">
        <w:t>borne diseases as their likelihood and spread grows.</w:t>
      </w:r>
    </w:p>
    <w:p w14:paraId="31609DFC" w14:textId="77777777" w:rsidR="001F4902" w:rsidRPr="000F1DE6" w:rsidRDefault="001F4902" w:rsidP="001F4902">
      <w:pPr>
        <w:pStyle w:val="Paragraph"/>
      </w:pPr>
      <w:r w:rsidRPr="000F1DE6">
        <w:t>The 2024 AIHS member survey found fewer than a quarter of respondents felt confident in their ability to help organisations manage climate-related WHS risks.</w:t>
      </w:r>
      <w:r w:rsidRPr="000F1DE6">
        <w:rPr>
          <w:rStyle w:val="FootnoteReference"/>
          <w:rFonts w:eastAsiaTheme="majorEastAsia"/>
        </w:rPr>
        <w:footnoteReference w:id="695"/>
      </w:r>
    </w:p>
    <w:p w14:paraId="2F3CF19D" w14:textId="77777777" w:rsidR="00F21CE3" w:rsidRDefault="001F4902" w:rsidP="001F4902">
      <w:pPr>
        <w:pStyle w:val="Paragraph"/>
      </w:pPr>
      <w:r w:rsidRPr="000F1DE6">
        <w:t>This Review recommends the model WHS Regulations are amended to regulate extreme heat, air quality and vector</w:t>
      </w:r>
      <w:r w:rsidRPr="000F1DE6">
        <w:noBreakHyphen/>
        <w:t>borne diseases. Regulations will provide clarity to duty holders, workers and regulators on how the principles-based WHS laws apply to hazards that climate change continues to intensify.</w:t>
      </w:r>
    </w:p>
    <w:p w14:paraId="41DB9701" w14:textId="77777777" w:rsidR="00F21CE3" w:rsidRDefault="001F4902" w:rsidP="001F4902">
      <w:pPr>
        <w:pStyle w:val="Paragraph"/>
      </w:pPr>
      <w:r w:rsidRPr="000F1DE6">
        <w:t xml:space="preserve">This Review also notes that industry </w:t>
      </w:r>
      <w:r>
        <w:t>C</w:t>
      </w:r>
      <w:r w:rsidRPr="000F1DE6">
        <w:t>odes will play a crucial role in providing practical information about climate-related hazards, given the differences in how climate change is impacting different industries. Industries involving outdoor work, such as agriculture, construction, civil works and road transport</w:t>
      </w:r>
      <w:r>
        <w:t>,</w:t>
      </w:r>
      <w:r w:rsidRPr="000F1DE6">
        <w:t xml:space="preserve"> will particularly benefit from advice on heat-related risks via industry </w:t>
      </w:r>
      <w:r>
        <w:t>C</w:t>
      </w:r>
      <w:r w:rsidRPr="000F1DE6">
        <w:t>odes.</w:t>
      </w:r>
    </w:p>
    <w:p w14:paraId="1AF7E0E4" w14:textId="500DF0CC" w:rsidR="000D26F7" w:rsidRDefault="000D26F7">
      <w:pPr>
        <w:spacing w:after="200" w:line="276" w:lineRule="auto"/>
        <w:contextualSpacing w:val="0"/>
        <w:rPr>
          <w:rFonts w:asciiTheme="minorHAnsi" w:eastAsia="Times New Roman" w:hAnsiTheme="minorHAnsi"/>
          <w:lang w:eastAsia="en-AU"/>
        </w:rPr>
      </w:pPr>
      <w:r>
        <w:br w:type="page"/>
      </w:r>
    </w:p>
    <w:tbl>
      <w:tblPr>
        <w:tblStyle w:val="Style8"/>
        <w:tblW w:w="0" w:type="auto"/>
        <w:tblCellMar>
          <w:top w:w="113" w:type="dxa"/>
          <w:bottom w:w="113" w:type="dxa"/>
        </w:tblCellMar>
        <w:tblLook w:val="04A0" w:firstRow="1" w:lastRow="0" w:firstColumn="1" w:lastColumn="0" w:noHBand="0" w:noVBand="1"/>
      </w:tblPr>
      <w:tblGrid>
        <w:gridCol w:w="9746"/>
      </w:tblGrid>
      <w:tr w:rsidR="00B93A57" w14:paraId="57817657" w14:textId="77777777" w:rsidTr="0016789A">
        <w:trPr>
          <w:cnfStyle w:val="100000000000" w:firstRow="1" w:lastRow="0" w:firstColumn="0" w:lastColumn="0" w:oddVBand="0" w:evenVBand="0" w:oddHBand="0" w:evenHBand="0" w:firstRowFirstColumn="0" w:firstRowLastColumn="0" w:lastRowFirstColumn="0" w:lastRowLastColumn="0"/>
        </w:trPr>
        <w:tc>
          <w:tcPr>
            <w:tcW w:w="9746" w:type="dxa"/>
          </w:tcPr>
          <w:p w14:paraId="5A9D16D3" w14:textId="09FD0D5D" w:rsidR="00B93A57" w:rsidRDefault="00B93A57">
            <w:pPr>
              <w:pStyle w:val="Tableheader"/>
            </w:pPr>
            <w:r w:rsidRPr="00BC4C23">
              <w:lastRenderedPageBreak/>
              <w:t>Environmental scan</w:t>
            </w:r>
            <w:r w:rsidR="000D26F7">
              <w:t xml:space="preserve"> – Recommendation 20</w:t>
            </w:r>
          </w:p>
        </w:tc>
      </w:tr>
      <w:tr w:rsidR="00B93A57" w:rsidRPr="001579F9" w14:paraId="690A7A3D" w14:textId="77777777" w:rsidTr="0016789A">
        <w:tc>
          <w:tcPr>
            <w:tcW w:w="9746" w:type="dxa"/>
          </w:tcPr>
          <w:p w14:paraId="588A18E2" w14:textId="77777777" w:rsidR="00F21CE3" w:rsidRDefault="00E00288" w:rsidP="000D26F7">
            <w:pPr>
              <w:pStyle w:val="Paragraphtable"/>
              <w:rPr>
                <w:rFonts w:eastAsia="Aptos"/>
                <w:sz w:val="21"/>
                <w:szCs w:val="21"/>
              </w:rPr>
            </w:pPr>
            <w:r w:rsidRPr="0016789A">
              <w:rPr>
                <w:rFonts w:eastAsia="Aptos"/>
                <w:sz w:val="21"/>
                <w:szCs w:val="21"/>
              </w:rPr>
              <w:t>Safe Work Australia to develop a strategy on climate change which:</w:t>
            </w:r>
          </w:p>
          <w:p w14:paraId="3D93C7C2" w14:textId="203CD37D" w:rsidR="00E00288" w:rsidRPr="0016789A" w:rsidRDefault="00E00288" w:rsidP="00447786">
            <w:pPr>
              <w:pStyle w:val="Listnumber2tables"/>
              <w:numPr>
                <w:ilvl w:val="0"/>
                <w:numId w:val="58"/>
              </w:numPr>
              <w:ind w:left="716"/>
              <w:rPr>
                <w:bCs/>
                <w:sz w:val="21"/>
                <w:szCs w:val="21"/>
              </w:rPr>
            </w:pPr>
            <w:r w:rsidRPr="0016789A">
              <w:rPr>
                <w:rFonts w:eastAsia="Aptos"/>
                <w:sz w:val="21"/>
                <w:szCs w:val="21"/>
              </w:rPr>
              <w:t>includes new model WHS Regulations to regulate extreme heat, air quality and vector-</w:t>
            </w:r>
            <w:r w:rsidRPr="0016789A">
              <w:rPr>
                <w:sz w:val="21"/>
                <w:szCs w:val="21"/>
              </w:rPr>
              <w:t>borne diseases</w:t>
            </w:r>
          </w:p>
          <w:p w14:paraId="69632D20" w14:textId="77777777" w:rsidR="00E00288" w:rsidRPr="0016789A" w:rsidRDefault="00E00288" w:rsidP="00447786">
            <w:pPr>
              <w:pStyle w:val="Listnumber2tables"/>
              <w:numPr>
                <w:ilvl w:val="0"/>
                <w:numId w:val="58"/>
              </w:numPr>
              <w:ind w:left="716"/>
              <w:rPr>
                <w:bCs/>
                <w:sz w:val="21"/>
                <w:szCs w:val="21"/>
              </w:rPr>
            </w:pPr>
            <w:r w:rsidRPr="0016789A">
              <w:rPr>
                <w:sz w:val="21"/>
                <w:szCs w:val="21"/>
              </w:rPr>
              <w:t>monitors how WHS laws are interpreted, applied and enforced in relation to extreme weather to identify any gaps in the model WHS Act, Regulations and Codes</w:t>
            </w:r>
          </w:p>
          <w:p w14:paraId="3B885BA8" w14:textId="77777777" w:rsidR="00E00288" w:rsidRPr="0016789A" w:rsidRDefault="00E00288" w:rsidP="00447786">
            <w:pPr>
              <w:pStyle w:val="Listnumber2tables"/>
              <w:numPr>
                <w:ilvl w:val="0"/>
                <w:numId w:val="58"/>
              </w:numPr>
              <w:ind w:left="716"/>
              <w:rPr>
                <w:bCs/>
                <w:sz w:val="21"/>
                <w:szCs w:val="21"/>
              </w:rPr>
            </w:pPr>
            <w:r w:rsidRPr="0016789A">
              <w:rPr>
                <w:sz w:val="21"/>
                <w:szCs w:val="21"/>
              </w:rPr>
              <w:t>makes new Regulations, Codes and/or amendments to the model WHS Act where gaps are identified</w:t>
            </w:r>
          </w:p>
          <w:p w14:paraId="19988758" w14:textId="3C035B56" w:rsidR="00E00288" w:rsidRPr="0016789A" w:rsidRDefault="00E00288" w:rsidP="00447786">
            <w:pPr>
              <w:pStyle w:val="Listnumber2tables"/>
              <w:numPr>
                <w:ilvl w:val="0"/>
                <w:numId w:val="58"/>
              </w:numPr>
              <w:ind w:left="716"/>
              <w:rPr>
                <w:bCs/>
                <w:sz w:val="21"/>
                <w:szCs w:val="21"/>
              </w:rPr>
            </w:pPr>
            <w:r w:rsidRPr="0016789A">
              <w:rPr>
                <w:sz w:val="21"/>
                <w:szCs w:val="21"/>
              </w:rPr>
              <w:t>outlines how it will engage with stakeholders including social partners, experts and other government agencies to promote a national approach to managing climate-related WHS risks, and integrate WHS into a whole-of-government approach to climate change adaptation</w:t>
            </w:r>
            <w:r w:rsidR="0012320B" w:rsidRPr="0016789A">
              <w:rPr>
                <w:sz w:val="21"/>
                <w:szCs w:val="21"/>
              </w:rPr>
              <w:t>, and</w:t>
            </w:r>
          </w:p>
          <w:p w14:paraId="6A12A9D7" w14:textId="0B8CFC9C" w:rsidR="00B93A57" w:rsidRPr="001579F9" w:rsidRDefault="00E00288" w:rsidP="00447786">
            <w:pPr>
              <w:pStyle w:val="Listnumber2tables"/>
              <w:numPr>
                <w:ilvl w:val="0"/>
                <w:numId w:val="58"/>
              </w:numPr>
              <w:ind w:left="716"/>
            </w:pPr>
            <w:r w:rsidRPr="0016789A">
              <w:rPr>
                <w:sz w:val="21"/>
                <w:szCs w:val="21"/>
              </w:rPr>
              <w:t>supports further research through its</w:t>
            </w:r>
            <w:r w:rsidRPr="006D5A8E">
              <w:rPr>
                <w:i/>
                <w:iCs/>
                <w:sz w:val="21"/>
                <w:szCs w:val="21"/>
              </w:rPr>
              <w:t xml:space="preserve"> Research and Evaluation Strategy </w:t>
            </w:r>
            <w:r w:rsidRPr="0016789A">
              <w:rPr>
                <w:sz w:val="21"/>
                <w:szCs w:val="21"/>
              </w:rPr>
              <w:t>on the WHS risks of climate-related hazards and the WHS impacts of climate change on under-researched industries</w:t>
            </w:r>
            <w:r w:rsidRPr="0016789A">
              <w:rPr>
                <w:rFonts w:eastAsia="Aptos"/>
                <w:sz w:val="21"/>
                <w:szCs w:val="21"/>
              </w:rPr>
              <w:t>.</w:t>
            </w:r>
          </w:p>
        </w:tc>
      </w:tr>
    </w:tbl>
    <w:p w14:paraId="4AC5DEBB" w14:textId="77777777" w:rsidR="00F21CE3" w:rsidRDefault="001F4902" w:rsidP="00F14A4A">
      <w:pPr>
        <w:pStyle w:val="SWAHeading2"/>
        <w:spacing w:line="240" w:lineRule="auto"/>
        <w:rPr>
          <w:rFonts w:asciiTheme="minorHAnsi" w:hAnsiTheme="minorHAnsi"/>
        </w:rPr>
      </w:pPr>
      <w:bookmarkStart w:id="120" w:name="_Toc234853699"/>
      <w:bookmarkStart w:id="121" w:name="_Toc236326829"/>
      <w:bookmarkStart w:id="122" w:name="_Toc239845171"/>
      <w:r w:rsidRPr="000F1DE6">
        <w:rPr>
          <w:rFonts w:asciiTheme="minorHAnsi" w:hAnsiTheme="minorHAnsi"/>
        </w:rPr>
        <w:t>Harmful workplace behaviours</w:t>
      </w:r>
      <w:bookmarkEnd w:id="120"/>
      <w:bookmarkEnd w:id="121"/>
      <w:bookmarkEnd w:id="122"/>
    </w:p>
    <w:p w14:paraId="76E028C7" w14:textId="77777777" w:rsidR="00F21CE3" w:rsidRDefault="001F4902" w:rsidP="001F4902">
      <w:pPr>
        <w:pStyle w:val="Paragraph"/>
      </w:pPr>
      <w:r w:rsidRPr="000F1DE6">
        <w:t>In 2022, the model WHS Regulations were amended to include specific regulations detailing how businesses and employers should manage psychosocial risks. Regulation 55D reinforces that PCBUs must implement control measures to eliminate and minimise psychosocial risks so far as is reasonably practicable.</w:t>
      </w:r>
      <w:r w:rsidRPr="000F1DE6">
        <w:rPr>
          <w:rStyle w:val="FootnoteReference"/>
          <w:rFonts w:cs="Arial"/>
        </w:rPr>
        <w:footnoteReference w:id="696"/>
      </w:r>
      <w:r w:rsidRPr="000F1DE6">
        <w:t xml:space="preserve"> When determining the control measures to implement, PCBUs must consider all relevant matters, including, for the purposes of this discussion</w:t>
      </w:r>
      <w:r>
        <w:t>,</w:t>
      </w:r>
      <w:r w:rsidRPr="000F1DE6">
        <w:t xml:space="preserve"> ‘workplace interactions or behaviours’.</w:t>
      </w:r>
      <w:r w:rsidRPr="000F1DE6">
        <w:rPr>
          <w:rStyle w:val="FootnoteReference"/>
        </w:rPr>
        <w:footnoteReference w:id="697"/>
      </w:r>
      <w:r w:rsidRPr="000F1DE6">
        <w:t xml:space="preserve"> The psychosocial regulations support a ‘systems-based’ approach to managing mental health risks at a workplace, recognising that risks may stem from organisational practices, power imbalances, and workplace culture, as well as from individual behaviours.</w:t>
      </w:r>
    </w:p>
    <w:p w14:paraId="307FAE3E" w14:textId="23FE8925" w:rsidR="001F4902" w:rsidRPr="000F1DE6" w:rsidRDefault="001F4902" w:rsidP="001F4902">
      <w:pPr>
        <w:pStyle w:val="Paragraph"/>
      </w:pPr>
      <w:r w:rsidRPr="000F1DE6">
        <w:rPr>
          <w:rFonts w:eastAsia="Aptos" w:cs="Aptos"/>
          <w:color w:val="000000" w:themeColor="text1"/>
        </w:rPr>
        <w:t>T</w:t>
      </w:r>
      <w:r w:rsidRPr="000F1DE6">
        <w:rPr>
          <w:rFonts w:eastAsia="Aptos" w:cs="Aptos"/>
        </w:rPr>
        <w:t xml:space="preserve">he psychosocial </w:t>
      </w:r>
      <w:r>
        <w:rPr>
          <w:rFonts w:eastAsia="Aptos" w:cs="Aptos"/>
        </w:rPr>
        <w:t>r</w:t>
      </w:r>
      <w:r w:rsidRPr="000F1DE6">
        <w:rPr>
          <w:rFonts w:eastAsia="Aptos" w:cs="Aptos"/>
        </w:rPr>
        <w:t>egulations define a psychosocial hazard as ‘a hazard that arises from, or relates to the design or management of work; or a work environment; or plant at a workplace; or workplace interactions or behaviours; and may cause psychological harm (whether or not it may also cause physical harm)’.</w:t>
      </w:r>
      <w:r w:rsidRPr="000F1DE6">
        <w:rPr>
          <w:rStyle w:val="FootnoteReference"/>
          <w:rFonts w:eastAsia="Aptos" w:cs="Aptos"/>
        </w:rPr>
        <w:footnoteReference w:id="698"/>
      </w:r>
      <w:r w:rsidRPr="000F1DE6">
        <w:rPr>
          <w:rFonts w:eastAsia="Aptos" w:cs="Aptos"/>
        </w:rPr>
        <w:t xml:space="preserve"> The </w:t>
      </w:r>
      <w:r w:rsidRPr="00635112">
        <w:rPr>
          <w:rFonts w:eastAsia="Aptos" w:cs="Aptos"/>
          <w:i/>
          <w:iCs/>
        </w:rPr>
        <w:t>model Code of Practice</w:t>
      </w:r>
      <w:r w:rsidRPr="00635112">
        <w:rPr>
          <w:i/>
          <w:iCs/>
        </w:rPr>
        <w:t xml:space="preserve"> for Managing psychosocial hazards at work</w:t>
      </w:r>
      <w:r w:rsidRPr="000F1DE6">
        <w:t xml:space="preserve"> (Psychosocial Code) lists </w:t>
      </w:r>
      <w:r>
        <w:t xml:space="preserve">14 </w:t>
      </w:r>
      <w:r w:rsidRPr="000F1DE6">
        <w:t>common examples of psychosocial hazards to help duty holders identify them in the workplace, including violence and aggression, conflict or poor workplace relationships and interactions, bullying, and harassment (including sexual harassment).</w:t>
      </w:r>
      <w:r w:rsidRPr="000F1DE6">
        <w:rPr>
          <w:rStyle w:val="FootnoteReference"/>
        </w:rPr>
        <w:footnoteReference w:id="699"/>
      </w:r>
    </w:p>
    <w:p w14:paraId="2580D567" w14:textId="77777777" w:rsidR="00F21CE3" w:rsidRDefault="001F4902" w:rsidP="001F4902">
      <w:pPr>
        <w:pStyle w:val="Paragraph"/>
      </w:pPr>
      <w:r w:rsidRPr="000F1DE6">
        <w:t xml:space="preserve">The introduction of the psychosocial </w:t>
      </w:r>
      <w:r>
        <w:t>r</w:t>
      </w:r>
      <w:r w:rsidRPr="000F1DE6">
        <w:t>egulations has dramatically increased the awareness of these risks in the workplace and the duties of PCBUs to manage them and prevent psychological injuries to workers.</w:t>
      </w:r>
    </w:p>
    <w:p w14:paraId="15FA6E51" w14:textId="28ECF507" w:rsidR="001F4902" w:rsidRPr="000F1DE6" w:rsidRDefault="001F4902" w:rsidP="001F4902">
      <w:pPr>
        <w:pStyle w:val="Paragraph"/>
      </w:pPr>
      <w:r w:rsidRPr="000F1DE6">
        <w:t>It is noted that consultation for this report occurred in the context of rising workers’ compensation claims for psychological injury and many reports of increasing rates of harmful workplace behaviours.</w:t>
      </w:r>
      <w:r w:rsidRPr="000F1DE6">
        <w:rPr>
          <w:rStyle w:val="FootnoteReference"/>
          <w:rFonts w:eastAsiaTheme="majorEastAsia"/>
        </w:rPr>
        <w:footnoteReference w:id="700"/>
      </w:r>
    </w:p>
    <w:p w14:paraId="213DD4BC" w14:textId="18CAAD85" w:rsidR="00BF4AA9" w:rsidRPr="000D26F7" w:rsidRDefault="00BF4AA9" w:rsidP="00BF204D">
      <w:pPr>
        <w:pStyle w:val="Boxedshaded"/>
        <w:rPr>
          <w:b/>
          <w:bCs/>
        </w:rPr>
      </w:pPr>
      <w:r w:rsidRPr="000D26F7">
        <w:rPr>
          <w:b/>
          <w:bCs/>
        </w:rPr>
        <w:lastRenderedPageBreak/>
        <w:t>What we heard</w:t>
      </w:r>
    </w:p>
    <w:p w14:paraId="6355CBE1" w14:textId="1B3DC8BF" w:rsidR="00F21CE3" w:rsidRDefault="003114D8" w:rsidP="00BF204D">
      <w:pPr>
        <w:pStyle w:val="Boxedshaded"/>
      </w:pPr>
      <w:r w:rsidRPr="003114D8">
        <w:t>Unions and WHS advocates called for the psychosocial regulations to be amended to include specific regulations to cover certain psychosocial hazards, particularly work</w:t>
      </w:r>
      <w:r w:rsidRPr="003114D8">
        <w:noBreakHyphen/>
        <w:t>related violence and harassment.</w:t>
      </w:r>
      <w:r w:rsidRPr="000F1DE6">
        <w:rPr>
          <w:rStyle w:val="FootnoteReference"/>
          <w:rFonts w:eastAsia="Aptos" w:cs="Aptos"/>
          <w:color w:val="000000" w:themeColor="text1"/>
        </w:rPr>
        <w:footnoteReference w:id="701"/>
      </w:r>
      <w:r w:rsidRPr="003114D8">
        <w:t xml:space="preserve"> The ACTU’s submission reflected what this Review heard from many unions: that the overarching psychosocial regulations ‘cannot adequately address the complexity and variety of psychosocial risks, just as </w:t>
      </w:r>
      <w:r w:rsidRPr="004E7884">
        <w:t>one physical hazard regulation cannot cover all risks related to asbestos, confined spaces and manual handling’</w:t>
      </w:r>
      <w:r w:rsidR="003067A8">
        <w:t>.</w:t>
      </w:r>
      <w:r w:rsidRPr="004E7884">
        <w:rPr>
          <w:rStyle w:val="FootnoteReference"/>
          <w:rFonts w:eastAsiaTheme="majorEastAsia" w:cs="Arial"/>
        </w:rPr>
        <w:footnoteReference w:id="702"/>
      </w:r>
      <w:r w:rsidRPr="004E7884">
        <w:t xml:space="preserve"> The Australian Nursing and Midwifery Federation NSW Branch said that the ‘one size fits all’ approach of treating all psychosocial hazards as equivalent fails to recognise ‘the different risk profiles, causes and controls for hazards such as occupational violence, sexual harassment, fatigue and trauma exposure’</w:t>
      </w:r>
      <w:r w:rsidR="003067A8">
        <w:t>.</w:t>
      </w:r>
      <w:r w:rsidRPr="004E7884">
        <w:rPr>
          <w:rStyle w:val="FootnoteReference"/>
          <w:rFonts w:cs="Arial"/>
        </w:rPr>
        <w:footnoteReference w:id="703"/>
      </w:r>
      <w:r w:rsidRPr="004E7884">
        <w:t xml:space="preserve"> The Shop, Distributive and Allied Employees’ Association noted the need for more to be done to</w:t>
      </w:r>
      <w:r w:rsidRPr="003114D8">
        <w:t xml:space="preserve"> address customer abuse and violence in the retail and fast-food sectors.</w:t>
      </w:r>
      <w:r w:rsidRPr="000F1DE6">
        <w:rPr>
          <w:rStyle w:val="FootnoteReference"/>
          <w:rFonts w:cs="Arial"/>
        </w:rPr>
        <w:footnoteReference w:id="704"/>
      </w:r>
      <w:r w:rsidRPr="003114D8">
        <w:t xml:space="preserve"> The ACTU also advocated for the list of common hazards in the Psychosocial Code to match those in the Commonwealth version, which has added fatigue, job insecurity and intrusive surveillance.</w:t>
      </w:r>
      <w:r w:rsidRPr="000F1DE6">
        <w:rPr>
          <w:rStyle w:val="FootnoteReference"/>
          <w:rFonts w:eastAsia="Aptos" w:cs="Aptos"/>
          <w:color w:val="000000" w:themeColor="text1"/>
        </w:rPr>
        <w:footnoteReference w:id="705"/>
      </w:r>
    </w:p>
    <w:p w14:paraId="7E5F404D" w14:textId="40FDCAB1" w:rsidR="003114D8" w:rsidRPr="003114D8" w:rsidRDefault="003114D8" w:rsidP="00BF204D">
      <w:pPr>
        <w:pStyle w:val="Boxedshaded"/>
      </w:pPr>
      <w:r w:rsidRPr="003114D8">
        <w:t>ACCI called for more support for businesses managing psychosocial risks, highlighting jurisdictional variations in both the Act and Codes of Practice.</w:t>
      </w:r>
      <w:r w:rsidRPr="000F1DE6">
        <w:rPr>
          <w:rStyle w:val="FootnoteReference"/>
          <w:rFonts w:cs="Arial"/>
        </w:rPr>
        <w:footnoteReference w:id="706"/>
      </w:r>
      <w:r w:rsidRPr="003114D8">
        <w:t xml:space="preserve"> Industry representatives noted the value of guidance, while the Business Chamber of Queensland believed the Psychosocial Code strikes the right balance between prescriptive and general requirements.</w:t>
      </w:r>
      <w:r w:rsidRPr="003114D8">
        <w:rPr>
          <w:vertAlign w:val="superscript"/>
        </w:rPr>
        <w:footnoteReference w:id="707"/>
      </w:r>
      <w:r w:rsidRPr="003114D8">
        <w:t xml:space="preserve"> Others called for more practical guidance to support small to medium-sized businesses that do not have dedicated human resource or WHS teams to navigate psychosocial hazards.</w:t>
      </w:r>
      <w:r w:rsidRPr="003114D8">
        <w:rPr>
          <w:vertAlign w:val="superscript"/>
        </w:rPr>
        <w:footnoteReference w:id="708"/>
      </w:r>
      <w:r w:rsidRPr="003114D8">
        <w:t xml:space="preserve"> The NFF stated that tailored guidance is needed for the agriculture sector, recognising unique factors such as isolation and the fact that many farm workplaces are also family homes.</w:t>
      </w:r>
      <w:r w:rsidRPr="003114D8">
        <w:rPr>
          <w:vertAlign w:val="superscript"/>
        </w:rPr>
        <w:footnoteReference w:id="709"/>
      </w:r>
      <w:r w:rsidRPr="003114D8">
        <w:t xml:space="preserve"> Several submissions highlighted the need for additional training for WHS inspectors to better regulate psychosocial hazards.</w:t>
      </w:r>
      <w:r w:rsidRPr="000F1DE6">
        <w:rPr>
          <w:rStyle w:val="FootnoteReference"/>
          <w:rFonts w:cs="Arial"/>
        </w:rPr>
        <w:footnoteReference w:id="710"/>
      </w:r>
    </w:p>
    <w:p w14:paraId="2732D351" w14:textId="77777777" w:rsidR="003114D8" w:rsidRPr="003114D8" w:rsidRDefault="003114D8" w:rsidP="00BF204D">
      <w:pPr>
        <w:pStyle w:val="Boxedshaded"/>
      </w:pPr>
      <w:r w:rsidRPr="003114D8">
        <w:t>Submissions from The Reckoning Room and Leon Moussa both called for more to be done to address workplace bullying and to enhance psychological safety in the workplace.</w:t>
      </w:r>
      <w:r w:rsidRPr="000F1DE6">
        <w:rPr>
          <w:rStyle w:val="FootnoteReference"/>
          <w:rFonts w:cs="Arial"/>
        </w:rPr>
        <w:footnoteReference w:id="711"/>
      </w:r>
    </w:p>
    <w:p w14:paraId="63E1A251" w14:textId="77777777" w:rsidR="003114D8" w:rsidRPr="003114D8" w:rsidRDefault="003114D8" w:rsidP="00BF204D">
      <w:pPr>
        <w:pStyle w:val="Boxedshaded"/>
      </w:pPr>
      <w:r w:rsidRPr="003114D8">
        <w:t>Consultation also highlighted persistent and increasing rates of racism experienced by Aboriginal and Torres Strait Islander and culturally and linguistically diverse (CALD) workers. Submissions noted that racism at work undermines productivity, interacts with workplace power imbalances and can also intersect with other personal attributes to heighten impacts.</w:t>
      </w:r>
      <w:r w:rsidRPr="000F1DE6">
        <w:rPr>
          <w:rStyle w:val="FootnoteReference"/>
          <w:rFonts w:cs="Arial"/>
        </w:rPr>
        <w:footnoteReference w:id="712"/>
      </w:r>
      <w:r w:rsidRPr="003114D8">
        <w:t xml:space="preserve"> An inconsistent understanding of cultural safety by employers and managers was identified as limiting efforts to address racism effectively.</w:t>
      </w:r>
      <w:r w:rsidRPr="003114D8">
        <w:rPr>
          <w:vertAlign w:val="superscript"/>
        </w:rPr>
        <w:footnoteReference w:id="713"/>
      </w:r>
      <w:r w:rsidRPr="003114D8">
        <w:t xml:space="preserve"> The AHRC said that greater efforts should be made to address racism as a WHS issue; and advocated for including a requirement for anti-racism training in the Psychosocial Code.</w:t>
      </w:r>
      <w:r w:rsidRPr="000F1DE6">
        <w:rPr>
          <w:rStyle w:val="FootnoteReference"/>
          <w:rFonts w:cs="Arial"/>
        </w:rPr>
        <w:footnoteReference w:id="714"/>
      </w:r>
    </w:p>
    <w:p w14:paraId="621CD9BC" w14:textId="77777777" w:rsidR="003114D8" w:rsidRPr="003114D8" w:rsidRDefault="003114D8" w:rsidP="00BF204D">
      <w:pPr>
        <w:pStyle w:val="Boxedshaded"/>
      </w:pPr>
      <w:r w:rsidRPr="003114D8">
        <w:t>This Review also heard from the Australian Federation of Disability Organisations that people with disabilities experience discrimination in the workplace and that specific disability training is more effective than standard bullying and harassment training to address this.</w:t>
      </w:r>
      <w:r w:rsidRPr="000F1DE6">
        <w:rPr>
          <w:rStyle w:val="FootnoteReference"/>
          <w:rFonts w:cs="Arial"/>
        </w:rPr>
        <w:footnoteReference w:id="715"/>
      </w:r>
    </w:p>
    <w:p w14:paraId="32D42124" w14:textId="77777777" w:rsidR="00F21CE3" w:rsidRDefault="003114D8" w:rsidP="00BF204D">
      <w:pPr>
        <w:pStyle w:val="Boxedshaded"/>
      </w:pPr>
      <w:r w:rsidRPr="003114D8">
        <w:t>A joint submission from a range of advocacy organisations described how personal characteristics (for example, gender, sexuality, race and disability) often intersect to increase risks of harmful behaviours like discrimination, bullying and harassment, impacting how WHS hazards are experienced and reported.</w:t>
      </w:r>
      <w:r w:rsidRPr="003114D8">
        <w:rPr>
          <w:vertAlign w:val="superscript"/>
        </w:rPr>
        <w:footnoteReference w:id="716"/>
      </w:r>
      <w:r w:rsidRPr="003114D8">
        <w:t xml:space="preserve"> There were also calls for moral injury (the lasting psychological impact arising from impacts of a potentially morally injurious event at work), and the events that cause it, to be recognised as a psychosocial hazard and to be included as a consideration in managing WHS risks.</w:t>
      </w:r>
      <w:r w:rsidRPr="003114D8">
        <w:rPr>
          <w:vertAlign w:val="superscript"/>
        </w:rPr>
        <w:footnoteReference w:id="717"/>
      </w:r>
      <w:r w:rsidRPr="003114D8">
        <w:t xml:space="preserve"> The impacts of structural under-resourcing, vicarious trauma and emergency call-outs for first responders were also raised.</w:t>
      </w:r>
      <w:r w:rsidRPr="003114D8">
        <w:rPr>
          <w:vertAlign w:val="superscript"/>
        </w:rPr>
        <w:footnoteReference w:id="718"/>
      </w:r>
    </w:p>
    <w:p w14:paraId="6549F373" w14:textId="6D7B6B66" w:rsidR="000D26F7" w:rsidRDefault="000D26F7" w:rsidP="000D26F7">
      <w:pPr>
        <w:pStyle w:val="Paragraph"/>
        <w:rPr>
          <w:rFonts w:eastAsiaTheme="majorEastAsia"/>
        </w:rPr>
      </w:pPr>
      <w:r>
        <w:br w:type="page"/>
      </w:r>
    </w:p>
    <w:p w14:paraId="445E5CBE" w14:textId="77A73931" w:rsidR="001F4902" w:rsidRPr="000F1DE6" w:rsidRDefault="001F4902" w:rsidP="000D26F7">
      <w:pPr>
        <w:pStyle w:val="SWAHeading4"/>
      </w:pPr>
      <w:r w:rsidRPr="000F1DE6">
        <w:lastRenderedPageBreak/>
        <w:t>Discussion and recommendations</w:t>
      </w:r>
    </w:p>
    <w:p w14:paraId="473D9715" w14:textId="77777777" w:rsidR="00F21CE3" w:rsidRDefault="001F4902" w:rsidP="001F4902">
      <w:pPr>
        <w:pStyle w:val="Paragraph"/>
      </w:pPr>
      <w:r w:rsidRPr="000F1DE6">
        <w:t>Evidence supports a need for a greater national effort to improve understanding of, and responses to, harmful workplace behaviours, including work-related violence and harassment. This Review heard about the severity of the injuries they cause and how PCBUs often struggle to understand how to manage the associated risks.</w:t>
      </w:r>
    </w:p>
    <w:p w14:paraId="5F4BCE86" w14:textId="56756B20" w:rsidR="00F21CE3" w:rsidRDefault="001F4902" w:rsidP="001F4902">
      <w:pPr>
        <w:pStyle w:val="Paragraph"/>
      </w:pPr>
      <w:r w:rsidRPr="000F1DE6">
        <w:t>In 2023</w:t>
      </w:r>
      <w:r w:rsidR="00156590">
        <w:rPr>
          <w:rFonts w:ascii="Symbol" w:eastAsia="Symbol" w:hAnsi="Symbol" w:cs="Symbol"/>
        </w:rPr>
        <w:t>-</w:t>
      </w:r>
      <w:r w:rsidRPr="000F1DE6">
        <w:t>24, there were almost 20,000 workers’ compensation claims related to harmful behaviours, including 8,613 physical assaults, 7,051 incidences of work-related bullying or harassment, and 3,150 exposures to work-related violence and harassment causing mental stress.</w:t>
      </w:r>
      <w:r w:rsidRPr="000F1DE6">
        <w:rPr>
          <w:rStyle w:val="FootnoteReference"/>
        </w:rPr>
        <w:footnoteReference w:id="719"/>
      </w:r>
    </w:p>
    <w:p w14:paraId="4083EC1E" w14:textId="44FD6C3C" w:rsidR="001F4902" w:rsidRPr="000F1DE6" w:rsidRDefault="001F4902" w:rsidP="001F4902">
      <w:pPr>
        <w:pStyle w:val="Paragraph"/>
      </w:pPr>
      <w:r w:rsidRPr="000F1DE6">
        <w:t>These numbers represent a fraction of the true number of incidents</w:t>
      </w:r>
      <w:r w:rsidRPr="000F1DE6">
        <w:rPr>
          <w:rStyle w:val="FootnoteReference"/>
        </w:rPr>
        <w:footnoteReference w:id="720"/>
      </w:r>
      <w:r w:rsidRPr="000F1DE6">
        <w:t xml:space="preserve"> but support the significant anecdotal evidence heard by this Review of the severe impact of work-related violence and harassment. The impact appears to be compounded by what many perceive to be a lack of clarity in the model WHS laws and a focus by regulators on enforcing compliance relating to risks of physical injury in high</w:t>
      </w:r>
      <w:r w:rsidR="00C16287">
        <w:t xml:space="preserve"> </w:t>
      </w:r>
      <w:r w:rsidRPr="000F1DE6">
        <w:t>risk industries such as construction.</w:t>
      </w:r>
      <w:r w:rsidRPr="000F1DE6">
        <w:rPr>
          <w:rStyle w:val="FootnoteReference"/>
          <w:rFonts w:eastAsiaTheme="majorEastAsia"/>
        </w:rPr>
        <w:footnoteReference w:id="721"/>
      </w:r>
    </w:p>
    <w:p w14:paraId="20061DF5" w14:textId="77777777" w:rsidR="001F4902" w:rsidRPr="000F1DE6" w:rsidRDefault="001F4902" w:rsidP="001F4902">
      <w:pPr>
        <w:pStyle w:val="Paragraph"/>
      </w:pPr>
      <w:r w:rsidRPr="000F1DE6">
        <w:t>Industries where risks of harmful behaviours are significant, including public administration and safety, healthcare and social assistance, and education and training,</w:t>
      </w:r>
      <w:r w:rsidRPr="000F1DE6">
        <w:rPr>
          <w:rStyle w:val="FootnoteReference"/>
        </w:rPr>
        <w:footnoteReference w:id="722"/>
      </w:r>
      <w:r w:rsidRPr="000F1DE6">
        <w:t xml:space="preserve"> can often be overlooked during compliance and enforcement activities. The risks of harmful behaviours in these industries are also disproportionately experienced by women.</w:t>
      </w:r>
      <w:r w:rsidRPr="000F1DE6">
        <w:rPr>
          <w:rStyle w:val="FootnoteReference"/>
        </w:rPr>
        <w:footnoteReference w:id="723"/>
      </w:r>
    </w:p>
    <w:p w14:paraId="25B7F86D" w14:textId="0B1473B4" w:rsidR="000D26F7" w:rsidRDefault="001F4902" w:rsidP="001F4902">
      <w:pPr>
        <w:pStyle w:val="Paragraph"/>
        <w:rPr>
          <w:rFonts w:eastAsia="Aptos"/>
        </w:rPr>
      </w:pPr>
      <w:r w:rsidRPr="000F1DE6">
        <w:rPr>
          <w:rFonts w:eastAsia="Aptos"/>
        </w:rPr>
        <w:t>This Review recommends developing new model WHS</w:t>
      </w:r>
      <w:r w:rsidRPr="000F1DE6" w:rsidDel="002C476F">
        <w:rPr>
          <w:rFonts w:eastAsia="Aptos"/>
        </w:rPr>
        <w:t xml:space="preserve"> </w:t>
      </w:r>
      <w:r w:rsidRPr="000F1DE6">
        <w:rPr>
          <w:rFonts w:eastAsia="Aptos"/>
        </w:rPr>
        <w:t xml:space="preserve">Regulations to set out how existing WHS duties apply in relation to workplace violence and harassment (including gendered violence) as part of the model WHS Regulations modernisation project recommended at </w:t>
      </w:r>
      <w:r w:rsidRPr="00977CD5">
        <w:rPr>
          <w:rFonts w:eastAsia="Aptos"/>
          <w:b/>
        </w:rPr>
        <w:t>Chapter 7</w:t>
      </w:r>
      <w:r w:rsidRPr="000F1DE6">
        <w:rPr>
          <w:rFonts w:eastAsia="Aptos"/>
        </w:rPr>
        <w:t xml:space="preserve">. As discussed in </w:t>
      </w:r>
      <w:r w:rsidR="00407244" w:rsidRPr="009A176D">
        <w:rPr>
          <w:rFonts w:eastAsia="Aptos"/>
          <w:b/>
        </w:rPr>
        <w:t>Chapter</w:t>
      </w:r>
      <w:r w:rsidR="00407244">
        <w:rPr>
          <w:rFonts w:eastAsia="Aptos"/>
          <w:b/>
        </w:rPr>
        <w:t> </w:t>
      </w:r>
      <w:r w:rsidRPr="009A176D">
        <w:rPr>
          <w:rFonts w:eastAsia="Aptos"/>
          <w:b/>
        </w:rPr>
        <w:t>6.1</w:t>
      </w:r>
      <w:r w:rsidRPr="000F1DE6">
        <w:rPr>
          <w:rFonts w:eastAsia="Aptos"/>
        </w:rPr>
        <w:t>, the Review also recommend</w:t>
      </w:r>
      <w:r>
        <w:rPr>
          <w:rFonts w:eastAsia="Aptos"/>
        </w:rPr>
        <w:t>s</w:t>
      </w:r>
      <w:r w:rsidRPr="000F1DE6">
        <w:rPr>
          <w:rFonts w:eastAsia="Aptos"/>
        </w:rPr>
        <w:t xml:space="preserve"> new regulations to regulate access to adequate facilities, including designated female toilets, in the workplace.</w:t>
      </w:r>
    </w:p>
    <w:p w14:paraId="72E10234" w14:textId="77777777" w:rsidR="000D26F7" w:rsidRDefault="000D26F7">
      <w:pPr>
        <w:spacing w:after="200" w:line="276" w:lineRule="auto"/>
        <w:contextualSpacing w:val="0"/>
        <w:rPr>
          <w:rFonts w:asciiTheme="minorHAnsi" w:eastAsia="Aptos" w:hAnsiTheme="minorHAnsi"/>
          <w:lang w:eastAsia="en-AU"/>
        </w:rPr>
      </w:pPr>
      <w:r>
        <w:rPr>
          <w:rFonts w:eastAsia="Aptos"/>
        </w:rPr>
        <w:br w:type="page"/>
      </w:r>
    </w:p>
    <w:p w14:paraId="58D74804" w14:textId="77777777" w:rsidR="00F21CE3" w:rsidRDefault="001F4902" w:rsidP="001F4902">
      <w:pPr>
        <w:pStyle w:val="Paragraph"/>
        <w:rPr>
          <w:rFonts w:cs="Arial"/>
        </w:rPr>
      </w:pPr>
      <w:r w:rsidRPr="000F1DE6">
        <w:lastRenderedPageBreak/>
        <w:t>Racism was also raised by many as a significant and growing workplace risk</w:t>
      </w:r>
      <w:r>
        <w:t>,</w:t>
      </w:r>
      <w:r w:rsidRPr="000F1DE6">
        <w:t xml:space="preserve"> with some contributors noting there is a limited understanding of how racism operates systemically and how repeated or relatively minor behaviours can accumulate to produce significant psychological harm</w:t>
      </w:r>
      <w:r w:rsidRPr="000F1DE6">
        <w:rPr>
          <w:rFonts w:cs="Arial"/>
        </w:rPr>
        <w:t>.</w:t>
      </w:r>
      <w:r w:rsidRPr="000F1DE6">
        <w:rPr>
          <w:rFonts w:cs="Arial"/>
          <w:vertAlign w:val="superscript"/>
        </w:rPr>
        <w:footnoteReference w:id="724"/>
      </w:r>
      <w:r w:rsidRPr="000F1DE6">
        <w:rPr>
          <w:vertAlign w:val="superscript"/>
        </w:rPr>
        <w:t xml:space="preserve"> </w:t>
      </w:r>
      <w:r w:rsidRPr="000F1DE6">
        <w:t xml:space="preserve">The </w:t>
      </w:r>
      <w:r w:rsidRPr="000F1DE6">
        <w:rPr>
          <w:rFonts w:cs="Arial"/>
        </w:rPr>
        <w:t xml:space="preserve">Centre for Indigenous People and Work’s </w:t>
      </w:r>
      <w:r w:rsidRPr="004B694D">
        <w:rPr>
          <w:rFonts w:cs="Arial"/>
          <w:i/>
          <w:iCs/>
        </w:rPr>
        <w:t>Gari Yala 2 (Speak the Truth)</w:t>
      </w:r>
      <w:r w:rsidRPr="00105531">
        <w:rPr>
          <w:rFonts w:cs="Arial"/>
        </w:rPr>
        <w:t xml:space="preserve"> report</w:t>
      </w:r>
      <w:r w:rsidRPr="000F1DE6">
        <w:rPr>
          <w:rFonts w:cs="Arial"/>
        </w:rPr>
        <w:t xml:space="preserve"> shows a quarter of Aboriginal and Torres Strait Islander respondents find their workplaces culturally unsafe, and 66% reported hearing frequent racial slurs or jokes in the workplace.</w:t>
      </w:r>
      <w:r w:rsidRPr="000F1DE6">
        <w:rPr>
          <w:rFonts w:cs="Arial"/>
          <w:vertAlign w:val="superscript"/>
        </w:rPr>
        <w:footnoteReference w:id="725"/>
      </w:r>
      <w:r>
        <w:rPr>
          <w:rFonts w:cs="Arial"/>
        </w:rPr>
        <w:t xml:space="preserve"> </w:t>
      </w:r>
      <w:r w:rsidRPr="000F1DE6">
        <w:rPr>
          <w:rFonts w:cs="Arial"/>
        </w:rPr>
        <w:t xml:space="preserve">The Speak the Truth report identified </w:t>
      </w:r>
      <w:r>
        <w:rPr>
          <w:rFonts w:cs="Arial"/>
        </w:rPr>
        <w:t xml:space="preserve">that, </w:t>
      </w:r>
      <w:r w:rsidRPr="000F1DE6">
        <w:rPr>
          <w:rFonts w:cs="Arial"/>
        </w:rPr>
        <w:t xml:space="preserve">even </w:t>
      </w:r>
      <w:r w:rsidR="00156590">
        <w:rPr>
          <w:rFonts w:cs="Arial"/>
        </w:rPr>
        <w:br/>
      </w:r>
      <w:r w:rsidRPr="000F1DE6">
        <w:rPr>
          <w:rFonts w:cs="Arial"/>
        </w:rPr>
        <w:t>among workplaces with cultural safety programs, only 43% had a racism complaint procedure</w:t>
      </w:r>
      <w:r w:rsidRPr="000F1DE6" w:rsidDel="004A2337">
        <w:rPr>
          <w:rFonts w:cs="Arial"/>
        </w:rPr>
        <w:t xml:space="preserve"> </w:t>
      </w:r>
      <w:r w:rsidRPr="000F1DE6">
        <w:rPr>
          <w:rFonts w:cs="Arial"/>
        </w:rPr>
        <w:t>and anti-discrimination training</w:t>
      </w:r>
      <w:r>
        <w:rPr>
          <w:rFonts w:cs="Arial"/>
        </w:rPr>
        <w:t>,</w:t>
      </w:r>
      <w:r w:rsidRPr="000F1DE6">
        <w:rPr>
          <w:rFonts w:cs="Arial"/>
        </w:rPr>
        <w:t xml:space="preserve"> which it considers are fundamental protections.</w:t>
      </w:r>
      <w:r w:rsidRPr="000F1DE6">
        <w:rPr>
          <w:rStyle w:val="FootnoteReference"/>
          <w:rFonts w:eastAsiaTheme="majorEastAsia" w:cs="Arial"/>
        </w:rPr>
        <w:footnoteReference w:id="726"/>
      </w:r>
    </w:p>
    <w:p w14:paraId="3FF0D43B" w14:textId="7A3EDDFE" w:rsidR="001F4902" w:rsidRPr="000F1DE6" w:rsidRDefault="001F4902" w:rsidP="001F4902">
      <w:pPr>
        <w:pStyle w:val="Paragraph"/>
      </w:pPr>
      <w:r w:rsidRPr="000F1DE6">
        <w:rPr>
          <w:rFonts w:cs="Arial"/>
        </w:rPr>
        <w:t>Increasingly, the WHS framework is seen as critical to preventing harmful behaviours in workplaces</w:t>
      </w:r>
      <w:r>
        <w:rPr>
          <w:rFonts w:cs="Arial"/>
        </w:rPr>
        <w:t>,</w:t>
      </w:r>
      <w:r w:rsidRPr="000F1DE6">
        <w:rPr>
          <w:rFonts w:cs="Arial"/>
        </w:rPr>
        <w:t xml:space="preserve"> including racism and other forms of discrimination. To provide further clarity about the role of the model WHS Act to prevent injury from harmful behaviours and to elevate the need for PCBUs to be aware of their duties, this </w:t>
      </w:r>
      <w:r w:rsidRPr="000F1DE6">
        <w:t>Review recommends amending the non</w:t>
      </w:r>
      <w:r w:rsidRPr="000F1DE6">
        <w:noBreakHyphen/>
        <w:t>exhaustive list in section</w:t>
      </w:r>
      <w:r w:rsidRPr="000F1DE6">
        <w:rPr>
          <w:rFonts w:ascii="Arial" w:hAnsi="Arial" w:cs="Arial"/>
        </w:rPr>
        <w:t> </w:t>
      </w:r>
      <w:r w:rsidRPr="000F1DE6">
        <w:t>19(3) of the model WHS Act to include a reference to harmful behaviours. The intent is not to expand the scope of the primary duty but to elevate awareness of these risks and reinforce a proactive, systemic risk</w:t>
      </w:r>
      <w:r w:rsidRPr="000F1DE6">
        <w:noBreakHyphen/>
        <w:t xml:space="preserve">management approach. The exact wording of the recommendation can be found in </w:t>
      </w:r>
      <w:r w:rsidRPr="000C256D">
        <w:rPr>
          <w:b/>
        </w:rPr>
        <w:t>Chapter 2.1</w:t>
      </w:r>
      <w:r w:rsidRPr="000F1DE6">
        <w:t>.</w:t>
      </w:r>
    </w:p>
    <w:p w14:paraId="59EE3EE1" w14:textId="77777777" w:rsidR="00F21CE3" w:rsidRDefault="001F4902" w:rsidP="001F4902">
      <w:pPr>
        <w:pStyle w:val="Paragraph"/>
      </w:pPr>
      <w:r w:rsidRPr="000F1DE6">
        <w:t>Importantly, the impact of workplace harmful behaviours is not limited to those directly subjected to that harm. Research suggests those who witness harmful behaviours can also experience a range of associated negative psychological impacts,</w:t>
      </w:r>
      <w:r w:rsidRPr="000F1DE6">
        <w:rPr>
          <w:rStyle w:val="FootnoteReference"/>
          <w:rFonts w:eastAsiaTheme="majorEastAsia"/>
        </w:rPr>
        <w:footnoteReference w:id="727"/>
      </w:r>
      <w:r w:rsidRPr="000F1DE6">
        <w:t xml:space="preserve"> contributing to unsafe work environments.</w:t>
      </w:r>
    </w:p>
    <w:p w14:paraId="58D01978" w14:textId="55F2AD46" w:rsidR="001F4902" w:rsidRPr="000F1DE6" w:rsidRDefault="001F4902" w:rsidP="001F4902">
      <w:pPr>
        <w:pStyle w:val="Paragraph"/>
      </w:pPr>
      <w:r w:rsidRPr="000F1DE6">
        <w:t>Work to address these issues should consider the complex nature of harmful behaviours, including how intersectionality increases exposure risks.</w:t>
      </w:r>
      <w:r w:rsidRPr="000F1DE6">
        <w:rPr>
          <w:rStyle w:val="FootnoteReference"/>
        </w:rPr>
        <w:footnoteReference w:id="728"/>
      </w:r>
      <w:r w:rsidRPr="000F1DE6">
        <w:t xml:space="preserve"> Care is also required to ensure that WHS risk guidance does not inadvertently position affected workers as the ‘problem’.</w:t>
      </w:r>
      <w:r w:rsidRPr="000F1DE6">
        <w:rPr>
          <w:rStyle w:val="FootnoteReference"/>
        </w:rPr>
        <w:footnoteReference w:id="729"/>
      </w:r>
    </w:p>
    <w:p w14:paraId="426DF1B3" w14:textId="77777777" w:rsidR="001F4902" w:rsidRPr="000F1DE6" w:rsidRDefault="001F4902" w:rsidP="001F4902">
      <w:pPr>
        <w:pStyle w:val="Paragraph"/>
      </w:pPr>
      <w:r w:rsidRPr="000F1DE6">
        <w:t>In this context,</w:t>
      </w:r>
      <w:r w:rsidRPr="000F1DE6" w:rsidDel="00820C02">
        <w:rPr>
          <w:bCs/>
        </w:rPr>
        <w:t xml:space="preserve"> </w:t>
      </w:r>
      <w:r w:rsidRPr="000F1DE6">
        <w:rPr>
          <w:bCs/>
        </w:rPr>
        <w:t>th</w:t>
      </w:r>
      <w:r>
        <w:rPr>
          <w:bCs/>
        </w:rPr>
        <w:t>is</w:t>
      </w:r>
      <w:r w:rsidRPr="000F1DE6">
        <w:t xml:space="preserve"> Review recommends the development of a strategy to strengthen the evidence base and improve understanding of how harmful workplace behaviours are regulated through existing WHS duties, the intersection with other psychosocial hazards, and which system</w:t>
      </w:r>
      <w:r w:rsidRPr="000F1DE6">
        <w:noBreakHyphen/>
        <w:t>level controls are most effective in practice.</w:t>
      </w:r>
      <w:r w:rsidRPr="000F1DE6">
        <w:rPr>
          <w:b/>
        </w:rPr>
        <w:t xml:space="preserve"> </w:t>
      </w:r>
      <w:r w:rsidRPr="000F1DE6">
        <w:t>The strategy should also consider how this information is best translated and communicated within the WHS framework.</w:t>
      </w:r>
    </w:p>
    <w:p w14:paraId="6F28819A" w14:textId="3FBBA63B" w:rsidR="000D26F7" w:rsidRDefault="001F4902" w:rsidP="001F4902">
      <w:pPr>
        <w:pStyle w:val="Paragraph"/>
      </w:pPr>
      <w:r w:rsidRPr="000F1DE6">
        <w:t xml:space="preserve">This approach is consistent with Safe Work Australia’s </w:t>
      </w:r>
      <w:r w:rsidRPr="003A1608">
        <w:rPr>
          <w:i/>
          <w:iCs/>
        </w:rPr>
        <w:t>Research and Evaluation Strategy</w:t>
      </w:r>
      <w:r>
        <w:t>,</w:t>
      </w:r>
      <w:r w:rsidRPr="000F1DE6">
        <w:t xml:space="preserve"> which identified the need to expand the evidence base around effective systemic controls and regulatory approaches on psychological harm.</w:t>
      </w:r>
      <w:r w:rsidRPr="000F1DE6">
        <w:rPr>
          <w:rStyle w:val="FootnoteReference"/>
        </w:rPr>
        <w:footnoteReference w:id="730"/>
      </w:r>
    </w:p>
    <w:p w14:paraId="1CE4F503" w14:textId="77777777" w:rsidR="000D26F7" w:rsidRDefault="000D26F7">
      <w:pPr>
        <w:spacing w:after="200" w:line="276" w:lineRule="auto"/>
        <w:contextualSpacing w:val="0"/>
        <w:rPr>
          <w:rFonts w:asciiTheme="minorHAnsi" w:eastAsia="Times New Roman" w:hAnsiTheme="minorHAnsi"/>
          <w:lang w:eastAsia="en-AU"/>
        </w:rPr>
      </w:pPr>
      <w:r>
        <w:br w:type="page"/>
      </w:r>
    </w:p>
    <w:tbl>
      <w:tblPr>
        <w:tblStyle w:val="Style8"/>
        <w:tblW w:w="0" w:type="auto"/>
        <w:tblCellMar>
          <w:top w:w="113" w:type="dxa"/>
          <w:bottom w:w="113" w:type="dxa"/>
        </w:tblCellMar>
        <w:tblLook w:val="04A0" w:firstRow="1" w:lastRow="0" w:firstColumn="1" w:lastColumn="0" w:noHBand="0" w:noVBand="1"/>
      </w:tblPr>
      <w:tblGrid>
        <w:gridCol w:w="9746"/>
      </w:tblGrid>
      <w:tr w:rsidR="004F6A1F" w14:paraId="000E53B9" w14:textId="77777777" w:rsidTr="0016789A">
        <w:trPr>
          <w:cnfStyle w:val="100000000000" w:firstRow="1" w:lastRow="0" w:firstColumn="0" w:lastColumn="0" w:oddVBand="0" w:evenVBand="0" w:oddHBand="0" w:evenHBand="0" w:firstRowFirstColumn="0" w:firstRowLastColumn="0" w:lastRowFirstColumn="0" w:lastRowLastColumn="0"/>
        </w:trPr>
        <w:tc>
          <w:tcPr>
            <w:tcW w:w="9746" w:type="dxa"/>
          </w:tcPr>
          <w:p w14:paraId="5B0F9685" w14:textId="7CD411DA" w:rsidR="004F6A1F" w:rsidRDefault="004F6A1F">
            <w:pPr>
              <w:pStyle w:val="Tableheader"/>
            </w:pPr>
            <w:r w:rsidRPr="00BC4C23">
              <w:lastRenderedPageBreak/>
              <w:t>Environmental scan</w:t>
            </w:r>
            <w:r w:rsidR="000D26F7">
              <w:t xml:space="preserve"> – Recommendation 21</w:t>
            </w:r>
          </w:p>
        </w:tc>
      </w:tr>
      <w:tr w:rsidR="004F6A1F" w:rsidRPr="001579F9" w14:paraId="37D93212" w14:textId="77777777" w:rsidTr="0016789A">
        <w:tc>
          <w:tcPr>
            <w:tcW w:w="9746" w:type="dxa"/>
          </w:tcPr>
          <w:p w14:paraId="27990CBB" w14:textId="77777777" w:rsidR="00F21CE3" w:rsidRDefault="00827051" w:rsidP="000D26F7">
            <w:pPr>
              <w:pStyle w:val="Paragraphtable"/>
              <w:rPr>
                <w:sz w:val="21"/>
                <w:szCs w:val="21"/>
              </w:rPr>
            </w:pPr>
            <w:r w:rsidRPr="0016789A">
              <w:rPr>
                <w:sz w:val="21"/>
                <w:szCs w:val="21"/>
              </w:rPr>
              <w:t>Safe Work Australia to develop a strategy on harmful behaviours which:</w:t>
            </w:r>
          </w:p>
          <w:p w14:paraId="10D986FD" w14:textId="77777777" w:rsidR="00F21CE3" w:rsidRDefault="00827051" w:rsidP="00447786">
            <w:pPr>
              <w:pStyle w:val="Listnumber2tables"/>
              <w:numPr>
                <w:ilvl w:val="0"/>
                <w:numId w:val="59"/>
              </w:numPr>
              <w:ind w:left="574"/>
              <w:rPr>
                <w:rFonts w:eastAsia="Aptos"/>
                <w:sz w:val="21"/>
                <w:szCs w:val="21"/>
              </w:rPr>
            </w:pPr>
            <w:r w:rsidRPr="0016789A">
              <w:rPr>
                <w:rFonts w:eastAsia="Aptos"/>
                <w:sz w:val="21"/>
                <w:szCs w:val="21"/>
              </w:rPr>
              <w:t>amends the model WHS Act to clarify that the duty of care in section 19 includes the management of risks arising from harmful behaviours (see Recommendation 4)</w:t>
            </w:r>
          </w:p>
          <w:p w14:paraId="26D114D1" w14:textId="358A2C7D" w:rsidR="00827051" w:rsidRPr="0016789A" w:rsidRDefault="00827051" w:rsidP="00447786">
            <w:pPr>
              <w:pStyle w:val="Listnumber2tables"/>
              <w:numPr>
                <w:ilvl w:val="0"/>
                <w:numId w:val="59"/>
              </w:numPr>
              <w:ind w:left="574"/>
              <w:rPr>
                <w:rFonts w:eastAsia="Aptos"/>
                <w:bCs/>
                <w:sz w:val="21"/>
                <w:szCs w:val="21"/>
              </w:rPr>
            </w:pPr>
            <w:r w:rsidRPr="0016789A">
              <w:rPr>
                <w:rFonts w:eastAsia="Aptos"/>
                <w:sz w:val="21"/>
                <w:szCs w:val="21"/>
              </w:rPr>
              <w:t>develops new model WHS Regulations to regulate access to facilities, including female designated toilets, and prevention of work-related violence and harassment, including gender-related violence</w:t>
            </w:r>
          </w:p>
          <w:p w14:paraId="3E184DAC" w14:textId="77777777" w:rsidR="00827051" w:rsidRPr="0016789A" w:rsidRDefault="00827051" w:rsidP="00447786">
            <w:pPr>
              <w:pStyle w:val="Listnumber2tables"/>
              <w:numPr>
                <w:ilvl w:val="0"/>
                <w:numId w:val="59"/>
              </w:numPr>
              <w:ind w:left="574"/>
              <w:rPr>
                <w:rFonts w:eastAsia="Aptos"/>
                <w:bCs/>
                <w:sz w:val="21"/>
                <w:szCs w:val="21"/>
              </w:rPr>
            </w:pPr>
            <w:r w:rsidRPr="0016789A">
              <w:rPr>
                <w:rFonts w:eastAsia="Aptos"/>
                <w:sz w:val="21"/>
                <w:szCs w:val="21"/>
              </w:rPr>
              <w:t>supports a greater understanding of how the model WHS laws apply to harmful workplace behaviours</w:t>
            </w:r>
          </w:p>
          <w:p w14:paraId="45689EB8" w14:textId="77777777" w:rsidR="00827051" w:rsidRPr="0016789A" w:rsidRDefault="00827051" w:rsidP="00447786">
            <w:pPr>
              <w:pStyle w:val="Listnumber2tables"/>
              <w:numPr>
                <w:ilvl w:val="0"/>
                <w:numId w:val="59"/>
              </w:numPr>
              <w:ind w:left="574"/>
              <w:rPr>
                <w:rFonts w:eastAsia="Aptos"/>
                <w:bCs/>
                <w:sz w:val="21"/>
                <w:szCs w:val="21"/>
              </w:rPr>
            </w:pPr>
            <w:r w:rsidRPr="0016789A">
              <w:rPr>
                <w:rFonts w:eastAsia="Aptos"/>
                <w:sz w:val="21"/>
                <w:szCs w:val="21"/>
              </w:rPr>
              <w:t>strengthens through its</w:t>
            </w:r>
            <w:r w:rsidRPr="006D5A8E">
              <w:rPr>
                <w:rFonts w:eastAsia="Aptos"/>
                <w:i/>
                <w:iCs/>
                <w:sz w:val="21"/>
                <w:szCs w:val="21"/>
              </w:rPr>
              <w:t xml:space="preserve"> Research and Evaluation Strategy </w:t>
            </w:r>
            <w:r w:rsidRPr="0016789A">
              <w:rPr>
                <w:rFonts w:eastAsia="Aptos"/>
                <w:sz w:val="21"/>
                <w:szCs w:val="21"/>
              </w:rPr>
              <w:t>the evidence base on the management of harmful workplace behaviours, including how system level controls can prevent risks across different industries</w:t>
            </w:r>
            <w:r w:rsidR="00945EBD" w:rsidRPr="0016789A">
              <w:rPr>
                <w:rFonts w:eastAsia="Aptos"/>
                <w:sz w:val="21"/>
                <w:szCs w:val="21"/>
              </w:rPr>
              <w:t>, and</w:t>
            </w:r>
          </w:p>
          <w:p w14:paraId="7A5F5F55" w14:textId="668C4C4C" w:rsidR="004F6A1F" w:rsidRPr="001579F9" w:rsidRDefault="00827051" w:rsidP="00447786">
            <w:pPr>
              <w:pStyle w:val="Listnumber2tables"/>
              <w:numPr>
                <w:ilvl w:val="0"/>
                <w:numId w:val="59"/>
              </w:numPr>
              <w:ind w:left="574"/>
            </w:pPr>
            <w:r w:rsidRPr="0016789A">
              <w:rPr>
                <w:rFonts w:eastAsia="Aptos"/>
                <w:sz w:val="21"/>
                <w:szCs w:val="21"/>
              </w:rPr>
              <w:t xml:space="preserve">provides transparency and consistency of enforcement approach through the </w:t>
            </w:r>
            <w:r w:rsidR="005E5BED">
              <w:rPr>
                <w:rFonts w:eastAsia="Aptos"/>
                <w:sz w:val="21"/>
                <w:szCs w:val="21"/>
              </w:rPr>
              <w:t>NCEP</w:t>
            </w:r>
            <w:r w:rsidRPr="0016789A">
              <w:rPr>
                <w:rFonts w:eastAsia="Aptos"/>
                <w:sz w:val="21"/>
                <w:szCs w:val="21"/>
              </w:rPr>
              <w:t>, Codes and other supporting materials to support duty holders to manage risks.</w:t>
            </w:r>
          </w:p>
        </w:tc>
      </w:tr>
    </w:tbl>
    <w:p w14:paraId="4D27AF4B" w14:textId="77777777" w:rsidR="00913F00" w:rsidRDefault="00913F00" w:rsidP="00775484">
      <w:pPr>
        <w:pStyle w:val="Paragraph"/>
        <w:sectPr w:rsidR="00913F00" w:rsidSect="00DF1707">
          <w:headerReference w:type="default" r:id="rId41"/>
          <w:pgSz w:w="11906" w:h="16838" w:code="9"/>
          <w:pgMar w:top="1440" w:right="1080" w:bottom="1440" w:left="1080" w:header="709" w:footer="709" w:gutter="0"/>
          <w:cols w:space="708"/>
          <w:titlePg/>
          <w:docGrid w:linePitch="360"/>
        </w:sectPr>
      </w:pPr>
    </w:p>
    <w:p w14:paraId="3D4D18F3" w14:textId="36A86532" w:rsidR="0051787D" w:rsidRPr="00C8051D" w:rsidRDefault="0051787D" w:rsidP="000D26F7">
      <w:pPr>
        <w:pStyle w:val="SWAHeading1"/>
        <w:numPr>
          <w:ilvl w:val="0"/>
          <w:numId w:val="0"/>
        </w:numPr>
        <w:spacing w:before="1200" w:after="720"/>
      </w:pPr>
      <w:bookmarkStart w:id="125" w:name="_Toc239845172"/>
      <w:r w:rsidRPr="00AC054B">
        <w:lastRenderedPageBreak/>
        <w:t>Appendix A</w:t>
      </w:r>
      <w:r w:rsidR="00C8051D" w:rsidRPr="00AC054B">
        <w:t>: Communiqué – Meeting of WHS ministers 18</w:t>
      </w:r>
      <w:r w:rsidR="0079152F">
        <w:t> </w:t>
      </w:r>
      <w:r w:rsidR="00C8051D" w:rsidRPr="00AC054B">
        <w:t>September 202</w:t>
      </w:r>
      <w:r w:rsidR="00C8051D" w:rsidRPr="00C8051D">
        <w:rPr>
          <w:iCs/>
        </w:rPr>
        <w:t>4</w:t>
      </w:r>
      <w:bookmarkEnd w:id="125"/>
    </w:p>
    <w:p w14:paraId="524292AF" w14:textId="54AE65FB" w:rsidR="0051787D" w:rsidRDefault="0051787D" w:rsidP="003A6B7A">
      <w:pPr>
        <w:pStyle w:val="ListNumber"/>
        <w:numPr>
          <w:ilvl w:val="0"/>
          <w:numId w:val="12"/>
        </w:numPr>
      </w:pPr>
      <w:r>
        <w:t>Commonwealth, state and territory Work Health and Safety (WHS) Ministers met today and discussed a number of key WHS matters, including new national strategic plans for asbestos and silica and dispute resolution processes.</w:t>
      </w:r>
    </w:p>
    <w:p w14:paraId="5F023577" w14:textId="092305C7" w:rsidR="0051787D" w:rsidRDefault="0051787D" w:rsidP="0051787D">
      <w:pPr>
        <w:pStyle w:val="ListNumber"/>
      </w:pPr>
      <w:r>
        <w:t>The meeting was chaired by Senator the Hon Murray Watt, Minister for Employment and Workplace Relations.</w:t>
      </w:r>
    </w:p>
    <w:p w14:paraId="72C9F3AA" w14:textId="304A4531" w:rsidR="0051787D" w:rsidRDefault="0051787D" w:rsidP="0051787D">
      <w:pPr>
        <w:pStyle w:val="ListNumber"/>
      </w:pPr>
      <w:r>
        <w:t>There are still too many deaths, injuries and illnesses arising from work. Ministers reflected on WHS statistics published by Safe Work Australia today which show in 2023, 200 workers died from a workplace injury, and in 2022-23, 139,000 workers made a workers’ compensation claim for a serious injury.</w:t>
      </w:r>
    </w:p>
    <w:p w14:paraId="4895AE01" w14:textId="4DCA575E" w:rsidR="0051787D" w:rsidRDefault="0051787D" w:rsidP="0051787D">
      <w:pPr>
        <w:pStyle w:val="ListNumber"/>
      </w:pPr>
      <w:r>
        <w:t>Ministers discussed the importance of ensuring the model WHS laws provide the highest level of protection for workers. Ministers asked Safe Work Australia to prepare a proposal on how it would undertake a best practice review of the model WHS laws in the context of seeking to maintain a harmonised approach. This would involve examining alternative approaches used across jurisdictions that could be considered for adoption nationally.</w:t>
      </w:r>
    </w:p>
    <w:p w14:paraId="31412FE9" w14:textId="77777777" w:rsidR="0051787D" w:rsidRDefault="0051787D" w:rsidP="0051787D">
      <w:pPr>
        <w:pStyle w:val="Paragraph"/>
        <w:rPr>
          <w:lang w:eastAsia="en-US"/>
        </w:rPr>
      </w:pPr>
      <w:r>
        <w:rPr>
          <w:lang w:eastAsia="en-US"/>
        </w:rPr>
        <w:t>…</w:t>
      </w:r>
    </w:p>
    <w:p w14:paraId="4BF52D1A" w14:textId="77777777" w:rsidR="00F21CE3" w:rsidRDefault="0051787D" w:rsidP="00B20CD5">
      <w:pPr>
        <w:pStyle w:val="Paragraph"/>
        <w:rPr>
          <w:i/>
          <w:iCs/>
        </w:rPr>
      </w:pPr>
      <w:r w:rsidRPr="00B20CD5">
        <w:rPr>
          <w:i/>
          <w:iCs/>
        </w:rPr>
        <w:t>Dispute Resolution</w:t>
      </w:r>
    </w:p>
    <w:p w14:paraId="27516266" w14:textId="77777777" w:rsidR="00F21CE3" w:rsidRDefault="0051787D" w:rsidP="003A6B7A">
      <w:pPr>
        <w:pStyle w:val="ListNumber"/>
        <w:numPr>
          <w:ilvl w:val="0"/>
          <w:numId w:val="13"/>
        </w:numPr>
      </w:pPr>
      <w:r>
        <w:t>Ministers noted recent amendments made by the South Australian and Queensland governments to their respective WHS Acts following independent reviews conducted in their jurisdictions in 2022 - the Independent Review of SafeWork SA and the Review of Queensland's Work Health and Safety Act 2011.</w:t>
      </w:r>
    </w:p>
    <w:p w14:paraId="2F3B6256" w14:textId="77777777" w:rsidR="00F21CE3" w:rsidRDefault="0051787D" w:rsidP="0051787D">
      <w:pPr>
        <w:pStyle w:val="ListNumber"/>
      </w:pPr>
      <w:r>
        <w:t xml:space="preserve">The amendments allow for certain unresolved WHS disputes to be settled through referral to a relevant court or tribunal. The amendments seek to implement the policy intent of Recommendation 13 of the Review of the model WHS Laws </w:t>
      </w:r>
      <w:r w:rsidR="006860D5">
        <w:t>(Boland Review)</w:t>
      </w:r>
      <w:r>
        <w:t xml:space="preserve"> conducted in 2018.</w:t>
      </w:r>
    </w:p>
    <w:p w14:paraId="4EF6235F" w14:textId="77777777" w:rsidR="00F21CE3" w:rsidRDefault="0051787D" w:rsidP="0051787D">
      <w:pPr>
        <w:pStyle w:val="ListNumber"/>
      </w:pPr>
      <w:r>
        <w:t xml:space="preserve">Ministers discussed the importance of timely and effective resolution of WHS disputes and agreed to re-examine Recommendation 13 of the </w:t>
      </w:r>
      <w:r w:rsidRPr="00A33781">
        <w:t>2018 National Review</w:t>
      </w:r>
      <w:r>
        <w:t xml:space="preserve"> and task Safe Work Australia to scope options to improve practical dispute resolution processes under the model WHS laws and to provide advice to WHS Ministers within 6 months.</w:t>
      </w:r>
    </w:p>
    <w:p w14:paraId="400FA45F" w14:textId="14384D32" w:rsidR="0051787D" w:rsidRDefault="0051787D" w:rsidP="0051787D">
      <w:pPr>
        <w:pStyle w:val="ListNumber"/>
      </w:pPr>
      <w:r>
        <w:t>WHS Ministers also agreed to request Safe Work Australia look at other relevant recommendations from the South Australian and Queensland reviews for consideration nationally.</w:t>
      </w:r>
    </w:p>
    <w:p w14:paraId="787472B4" w14:textId="77777777" w:rsidR="0051787D" w:rsidRDefault="0051787D" w:rsidP="0051787D">
      <w:pPr>
        <w:pStyle w:val="Paragraph"/>
        <w:sectPr w:rsidR="0051787D" w:rsidSect="00DF1707">
          <w:headerReference w:type="default" r:id="rId42"/>
          <w:headerReference w:type="first" r:id="rId43"/>
          <w:pgSz w:w="11906" w:h="16838" w:code="9"/>
          <w:pgMar w:top="1440" w:right="1080" w:bottom="1440" w:left="1080" w:header="709" w:footer="709" w:gutter="0"/>
          <w:cols w:space="708"/>
          <w:titlePg/>
          <w:docGrid w:linePitch="360"/>
        </w:sectPr>
      </w:pPr>
    </w:p>
    <w:p w14:paraId="36C10AA5" w14:textId="02493557" w:rsidR="0051787D" w:rsidRDefault="0051787D" w:rsidP="0051787D">
      <w:pPr>
        <w:pStyle w:val="SWAHeading1"/>
        <w:numPr>
          <w:ilvl w:val="0"/>
          <w:numId w:val="0"/>
        </w:numPr>
      </w:pPr>
      <w:bookmarkStart w:id="126" w:name="_Toc239845173"/>
      <w:r>
        <w:lastRenderedPageBreak/>
        <w:t xml:space="preserve">Appendix B: Terms of </w:t>
      </w:r>
      <w:r w:rsidR="007F7B80">
        <w:t>R</w:t>
      </w:r>
      <w:r>
        <w:t>eference</w:t>
      </w:r>
      <w:bookmarkEnd w:id="126"/>
    </w:p>
    <w:p w14:paraId="1DE6DD4E" w14:textId="14676AD1" w:rsidR="0051787D" w:rsidRPr="006567AA" w:rsidRDefault="0051787D" w:rsidP="006567AA">
      <w:pPr>
        <w:pStyle w:val="SWAHeading3"/>
        <w:rPr>
          <w:b/>
          <w:bCs/>
        </w:rPr>
      </w:pPr>
      <w:r w:rsidRPr="006567AA">
        <w:rPr>
          <w:b/>
          <w:bCs/>
        </w:rPr>
        <w:t>Context</w:t>
      </w:r>
    </w:p>
    <w:p w14:paraId="4E44FC3F" w14:textId="77777777" w:rsidR="00F21CE3" w:rsidRDefault="0051787D" w:rsidP="0051787D">
      <w:pPr>
        <w:pStyle w:val="Paragraphhangingindent"/>
      </w:pPr>
      <w:r>
        <w:t>1.1</w:t>
      </w:r>
      <w:r>
        <w:tab/>
        <w:t>In September 2024, Work Health and Safety (WHS) ministers asked Safe Work Australia to prepare a proposal on how it would undertake a best practice review of the model WHS laws in the context of seeking to maintain a harmonised approach.</w:t>
      </w:r>
    </w:p>
    <w:p w14:paraId="6BFE0371" w14:textId="53B7D3CB" w:rsidR="0051787D" w:rsidRDefault="0051787D" w:rsidP="0051787D">
      <w:pPr>
        <w:pStyle w:val="Paragraphhangingindent"/>
      </w:pPr>
      <w:r>
        <w:t>1.2</w:t>
      </w:r>
      <w:r>
        <w:tab/>
        <w:t>This would involve examining alternative approaches used across jurisdictions that could be considered for adoption nationally.</w:t>
      </w:r>
    </w:p>
    <w:p w14:paraId="71213685" w14:textId="475FD34C" w:rsidR="0051787D" w:rsidRDefault="0051787D" w:rsidP="0051787D">
      <w:pPr>
        <w:pStyle w:val="Paragraphhangingindent"/>
      </w:pPr>
      <w:r>
        <w:t>1.3</w:t>
      </w:r>
      <w:r>
        <w:tab/>
        <w:t>The objective of a harmonised approach is to ensure workers across Australia have the same protections no matter where they work or what industry they work in and that the compliance and regulatory impact on employers is consistent and reduced for those with operations in more than one jurisdiction.</w:t>
      </w:r>
    </w:p>
    <w:p w14:paraId="795A1322" w14:textId="3278C8BF" w:rsidR="0051787D" w:rsidRDefault="0051787D" w:rsidP="0051787D">
      <w:pPr>
        <w:pStyle w:val="Paragraphhangingindent"/>
      </w:pPr>
      <w:r>
        <w:t>1.4</w:t>
      </w:r>
      <w:r>
        <w:tab/>
        <w:t>Safe Work Australia was established by the Safe Work Australia Act 2008 with primary responsibility to lead the development of policy to improve WHS and workers’ compensation arrangements across Australia. One of Safe Work Australia’s statutory functions is to develop, evaluate and, if necessary, revise a model WHS legislative framework for approval by WHS ministers for adoption as laws by the Commonwealth, the States and the Territories.</w:t>
      </w:r>
    </w:p>
    <w:p w14:paraId="3E1A095C" w14:textId="5FDD2D53" w:rsidR="0051787D" w:rsidRDefault="0051787D" w:rsidP="0051787D">
      <w:pPr>
        <w:pStyle w:val="Paragraphhangingindent"/>
      </w:pPr>
      <w:r>
        <w:t>1.5</w:t>
      </w:r>
      <w:r>
        <w:tab/>
        <w:t>Eight of the nine jurisdictions have implemented the model WHS laws. The Commonwealth, Australian Capital Territory, New South Wales, Northern Territory and Queensland implemented the model WHS laws on 1 January 2012; South Australia and Tasmania implemented the laws on 1 January 2013. Western Australia implemented the laws on 31 March 2022. Victoria has not implemented the model WHS laws in their jurisdiction.</w:t>
      </w:r>
    </w:p>
    <w:p w14:paraId="66CD5264" w14:textId="77777777" w:rsidR="0051787D" w:rsidRPr="006567AA" w:rsidRDefault="0051787D" w:rsidP="006567AA">
      <w:pPr>
        <w:pStyle w:val="SWAHeading3"/>
        <w:rPr>
          <w:b/>
          <w:bCs/>
        </w:rPr>
      </w:pPr>
      <w:r w:rsidRPr="006567AA">
        <w:rPr>
          <w:b/>
          <w:bCs/>
        </w:rPr>
        <w:t>Scope of the review</w:t>
      </w:r>
    </w:p>
    <w:p w14:paraId="1370C3BE" w14:textId="33376607" w:rsidR="0051787D" w:rsidRDefault="0051787D" w:rsidP="0051787D">
      <w:pPr>
        <w:pStyle w:val="Paragraphhangingindent"/>
      </w:pPr>
      <w:r>
        <w:t>2.1</w:t>
      </w:r>
      <w:r>
        <w:tab/>
        <w:t xml:space="preserve">Safe Work Australia will undertake a thematic review of the model laws by examining and making recommendations on whether the model WHS Act and model WHS Regulations </w:t>
      </w:r>
      <w:r w:rsidRPr="0051787D">
        <w:t>incorporate</w:t>
      </w:r>
      <w:r>
        <w:t xml:space="preserve"> a best practice approach that achieves the object of the model WHS Act (s3).</w:t>
      </w:r>
    </w:p>
    <w:p w14:paraId="6811FB1B" w14:textId="41A26219" w:rsidR="0051787D" w:rsidRDefault="0051787D" w:rsidP="0051787D">
      <w:pPr>
        <w:pStyle w:val="Paragraphhangingindent"/>
      </w:pPr>
      <w:r>
        <w:t>2.2</w:t>
      </w:r>
      <w:r>
        <w:tab/>
        <w:t>The review will consider outcomes from other recent best practice reviews, including relevant recommendations from the:</w:t>
      </w:r>
    </w:p>
    <w:p w14:paraId="14DB25A9" w14:textId="7E69496B" w:rsidR="0051787D" w:rsidRDefault="0051787D" w:rsidP="00447786">
      <w:pPr>
        <w:pStyle w:val="ListNumber2"/>
        <w:numPr>
          <w:ilvl w:val="0"/>
          <w:numId w:val="47"/>
        </w:numPr>
      </w:pPr>
      <w:r>
        <w:t>2018 Review of the model WHS laws</w:t>
      </w:r>
    </w:p>
    <w:p w14:paraId="3640789F" w14:textId="0BE252DF" w:rsidR="0051787D" w:rsidRDefault="0051787D" w:rsidP="00447786">
      <w:pPr>
        <w:pStyle w:val="ListNumber2"/>
        <w:numPr>
          <w:ilvl w:val="0"/>
          <w:numId w:val="47"/>
        </w:numPr>
      </w:pPr>
      <w:r>
        <w:t>2022 Review of the Work Health and Safety Act 2011 (Queensland)</w:t>
      </w:r>
    </w:p>
    <w:p w14:paraId="201370DF" w14:textId="21CA3108" w:rsidR="0051787D" w:rsidRDefault="0051787D" w:rsidP="00447786">
      <w:pPr>
        <w:pStyle w:val="ListNumber2"/>
        <w:numPr>
          <w:ilvl w:val="0"/>
          <w:numId w:val="47"/>
        </w:numPr>
      </w:pPr>
      <w:r>
        <w:t>2022 Independent Review of SafeWork SA.</w:t>
      </w:r>
    </w:p>
    <w:p w14:paraId="24DDECFC" w14:textId="16E28D95" w:rsidR="0051787D" w:rsidRDefault="0051787D" w:rsidP="0051787D">
      <w:pPr>
        <w:pStyle w:val="Paragraphhangingindent"/>
      </w:pPr>
      <w:r>
        <w:t xml:space="preserve">2.3 </w:t>
      </w:r>
      <w:r>
        <w:tab/>
        <w:t>The review will also consider provisions in the jurisdictional WHS Act and WHS Regulations (and equivalent Victorian OHS Act) that significantly depart from the model WHS Act and Regulations. The review will consider if these jurisdictional provisions best achieve the object of the model WHS Act and make recommendations on whether they should be incorporated into the model WHS laws.</w:t>
      </w:r>
    </w:p>
    <w:p w14:paraId="232E6E92" w14:textId="4C0E7B8F" w:rsidR="0051787D" w:rsidRDefault="0051787D" w:rsidP="0051787D">
      <w:pPr>
        <w:pStyle w:val="Paragraphhangingindent"/>
      </w:pPr>
      <w:r>
        <w:t xml:space="preserve">2.4 </w:t>
      </w:r>
      <w:r>
        <w:tab/>
        <w:t xml:space="preserve">The review will also examine the process for jurisdictions to notify Safe Work Australia Members </w:t>
      </w:r>
      <w:r>
        <w:lastRenderedPageBreak/>
        <w:t>of proposed departures from the model WHS laws to:</w:t>
      </w:r>
    </w:p>
    <w:p w14:paraId="475494EE" w14:textId="2DE982AA" w:rsidR="0051787D" w:rsidRDefault="0051787D" w:rsidP="00447786">
      <w:pPr>
        <w:pStyle w:val="ListNumber2"/>
        <w:numPr>
          <w:ilvl w:val="0"/>
          <w:numId w:val="48"/>
        </w:numPr>
      </w:pPr>
      <w:r>
        <w:t>determine if the process is operating as intended</w:t>
      </w:r>
    </w:p>
    <w:p w14:paraId="12E249A7" w14:textId="15F10870" w:rsidR="0051787D" w:rsidRDefault="0051787D" w:rsidP="00447786">
      <w:pPr>
        <w:pStyle w:val="ListNumber2"/>
        <w:numPr>
          <w:ilvl w:val="0"/>
          <w:numId w:val="48"/>
        </w:numPr>
      </w:pPr>
      <w:r>
        <w:t>ensure jurisdictions bring any proposed changes that deviate from the model WHS laws to Safe Work Australia Members, and</w:t>
      </w:r>
    </w:p>
    <w:p w14:paraId="6C469C5C" w14:textId="6D771B61" w:rsidR="0051787D" w:rsidRDefault="0051787D" w:rsidP="00447786">
      <w:pPr>
        <w:pStyle w:val="ListNumber2"/>
        <w:numPr>
          <w:ilvl w:val="0"/>
          <w:numId w:val="48"/>
        </w:numPr>
      </w:pPr>
      <w:r>
        <w:t>if required, make recommendations to improve the process.</w:t>
      </w:r>
    </w:p>
    <w:p w14:paraId="7597755A" w14:textId="6BFAD009" w:rsidR="0051787D" w:rsidRDefault="0051787D" w:rsidP="0051787D">
      <w:pPr>
        <w:pStyle w:val="Paragraphhangingindent"/>
      </w:pPr>
      <w:r>
        <w:t>2.5</w:t>
      </w:r>
      <w:r>
        <w:tab/>
        <w:t>The review will have regard to recent and ongoing work of the Safe Work Australia Agency, including theme specific reviews, which will support national best practice in making recommendations.</w:t>
      </w:r>
    </w:p>
    <w:p w14:paraId="4E7DE46C" w14:textId="27934334" w:rsidR="0051787D" w:rsidRDefault="0051787D" w:rsidP="0051787D">
      <w:pPr>
        <w:pStyle w:val="Paragraphhangingindent"/>
      </w:pPr>
      <w:r>
        <w:t>2.6</w:t>
      </w:r>
      <w:r>
        <w:tab/>
        <w:t>The review will have regard to achieving a harmonised approach to the WHS legislative framework across all jurisdictions, while also allowing for jurisdictional discretion where appropriate, provided the agreed policy intent is met.</w:t>
      </w:r>
    </w:p>
    <w:p w14:paraId="4EB0DE46" w14:textId="77777777" w:rsidR="0051787D" w:rsidRPr="006567AA" w:rsidRDefault="0051787D" w:rsidP="006567AA">
      <w:pPr>
        <w:pStyle w:val="SWAHeading3"/>
        <w:rPr>
          <w:b/>
          <w:bCs/>
        </w:rPr>
      </w:pPr>
      <w:r w:rsidRPr="006567AA">
        <w:rPr>
          <w:b/>
          <w:bCs/>
        </w:rPr>
        <w:t>Timing and process</w:t>
      </w:r>
    </w:p>
    <w:p w14:paraId="667CC60A" w14:textId="0BE7D8C6" w:rsidR="0051787D" w:rsidRDefault="0051787D" w:rsidP="0051787D">
      <w:pPr>
        <w:pStyle w:val="Paragraphhangingindent"/>
      </w:pPr>
      <w:r>
        <w:t>3.1</w:t>
      </w:r>
      <w:r>
        <w:tab/>
        <w:t>Safe Work Australia will lead the review, engaging expert advice where required and establishing working group/s to assist with liaison across Safe Work Australia Member organisations. Safe Work Australia will work closely with and encourage participation by Safe Work Australia Members and all relevant stakeholders in the review.</w:t>
      </w:r>
    </w:p>
    <w:p w14:paraId="659BC5FB" w14:textId="0879588A" w:rsidR="0051787D" w:rsidRDefault="0051787D" w:rsidP="0051787D">
      <w:pPr>
        <w:pStyle w:val="Paragraphhangingindent"/>
      </w:pPr>
      <w:r>
        <w:t>3.2</w:t>
      </w:r>
      <w:r>
        <w:tab/>
        <w:t>The review will also ensure engagement with interested parties, including through public and targeted consultation processes.</w:t>
      </w:r>
    </w:p>
    <w:p w14:paraId="422F61C6" w14:textId="41A4855D" w:rsidR="0051787D" w:rsidRDefault="0051787D" w:rsidP="0051787D">
      <w:pPr>
        <w:pStyle w:val="Paragraphhangingindent"/>
      </w:pPr>
      <w:r>
        <w:t>3.3</w:t>
      </w:r>
      <w:r>
        <w:tab/>
        <w:t>The review will provide a written report including where relevant, recommendations for amendments to the model WHS Act and Regulations, for the consideration of WHS ministers and matters that may require further scoping and review.</w:t>
      </w:r>
    </w:p>
    <w:p w14:paraId="1425E725" w14:textId="75D52F44" w:rsidR="0051787D" w:rsidRDefault="0051787D" w:rsidP="00EF727A">
      <w:pPr>
        <w:pStyle w:val="Paragraphhangingindent"/>
        <w:sectPr w:rsidR="0051787D" w:rsidSect="00DF1707">
          <w:headerReference w:type="default" r:id="rId44"/>
          <w:pgSz w:w="11906" w:h="16838" w:code="9"/>
          <w:pgMar w:top="1440" w:right="1080" w:bottom="1440" w:left="1080" w:header="709" w:footer="709" w:gutter="0"/>
          <w:cols w:space="708"/>
          <w:titlePg/>
          <w:docGrid w:linePitch="360"/>
        </w:sectPr>
      </w:pPr>
      <w:r>
        <w:t>3.4</w:t>
      </w:r>
      <w:r>
        <w:tab/>
        <w:t>The review will commence in mid-2025, with a final report to WHS ministers in mid-2026.</w:t>
      </w:r>
    </w:p>
    <w:p w14:paraId="6AE3F831" w14:textId="0E6A408D" w:rsidR="0051787D" w:rsidRDefault="0051787D" w:rsidP="0051787D">
      <w:pPr>
        <w:pStyle w:val="SWAHeading1"/>
        <w:numPr>
          <w:ilvl w:val="0"/>
          <w:numId w:val="0"/>
        </w:numPr>
      </w:pPr>
      <w:bookmarkStart w:id="127" w:name="_Toc239845174"/>
      <w:r>
        <w:lastRenderedPageBreak/>
        <w:t>Appendix C:</w:t>
      </w:r>
      <w:r w:rsidR="00BA425F">
        <w:t xml:space="preserve"> </w:t>
      </w:r>
      <w:r w:rsidR="007F7B80">
        <w:t>Overlapping</w:t>
      </w:r>
      <w:r w:rsidR="00BA425F">
        <w:t xml:space="preserve"> safety frameworks</w:t>
      </w:r>
      <w:bookmarkEnd w:id="127"/>
    </w:p>
    <w:p w14:paraId="66D8DB68" w14:textId="0EF8AC6E" w:rsidR="00BA425F" w:rsidRPr="00863A3B" w:rsidRDefault="00B55277" w:rsidP="00863A3B">
      <w:pPr>
        <w:pStyle w:val="SWAHeading3"/>
        <w:rPr>
          <w:b/>
          <w:bCs/>
        </w:rPr>
      </w:pPr>
      <w:r w:rsidRPr="00863A3B">
        <w:rPr>
          <w:b/>
          <w:bCs/>
        </w:rPr>
        <w:t>Industry-specific frameworks</w:t>
      </w:r>
    </w:p>
    <w:p w14:paraId="10842703" w14:textId="3066CBE9" w:rsidR="00B55277" w:rsidRDefault="00B55277" w:rsidP="00B55277">
      <w:pPr>
        <w:pStyle w:val="SWAHeading3"/>
      </w:pPr>
      <w:r>
        <w:t>Mining</w:t>
      </w:r>
    </w:p>
    <w:p w14:paraId="26037FCC" w14:textId="77777777" w:rsidR="00F21CE3" w:rsidRDefault="006620F8" w:rsidP="005E1BD3">
      <w:pPr>
        <w:pStyle w:val="Paragraph"/>
      </w:pPr>
      <w:r w:rsidRPr="007C53C5">
        <w:t>WHS in the mining industry is regulated by the states and territories. In 2008, the COAG Energy Council agreed to the National Mine Safety Framework with the aim of improving the safety of mining workers through consistent OHS regulations. The framework outlined a set of drafting instructions and example clauses that states and territories could use to amend their existing mine safety legislation or regulations.</w:t>
      </w:r>
    </w:p>
    <w:p w14:paraId="24BAE650" w14:textId="0652DB60" w:rsidR="006620F8" w:rsidRPr="007C53C5" w:rsidRDefault="006620F8" w:rsidP="005E1BD3">
      <w:pPr>
        <w:pStyle w:val="Paragraph"/>
      </w:pPr>
      <w:r w:rsidRPr="007C53C5">
        <w:t>In 2014, Safe Work Australia developed Chapter 10 of the model WHS Regulations to regulate mining safety; however, consensus was not reached on its inclusion in the Regulations. The provisions were instead made available for individual jurisdictions to implement as they saw fit. Specific mining chapters have been incorporated into the OHS Regulations of Victoria (Chapter 5.3) and the WHS</w:t>
      </w:r>
      <w:r w:rsidR="005653FD">
        <w:t> </w:t>
      </w:r>
      <w:r w:rsidRPr="007C53C5">
        <w:t>Regulations of SA (Chapter 10) and the NT (Chapter 10). In NSW,</w:t>
      </w:r>
      <w:r w:rsidRPr="007C53C5">
        <w:rPr>
          <w:vertAlign w:val="superscript"/>
        </w:rPr>
        <w:footnoteReference w:id="731"/>
      </w:r>
      <w:r w:rsidRPr="007C53C5">
        <w:t xml:space="preserve"> WA</w:t>
      </w:r>
      <w:r w:rsidRPr="007C53C5">
        <w:rPr>
          <w:vertAlign w:val="superscript"/>
        </w:rPr>
        <w:footnoteReference w:id="732"/>
      </w:r>
      <w:r w:rsidRPr="007C53C5">
        <w:t xml:space="preserve"> and Tasmania,</w:t>
      </w:r>
      <w:r w:rsidRPr="007C53C5">
        <w:rPr>
          <w:vertAlign w:val="superscript"/>
        </w:rPr>
        <w:footnoteReference w:id="733"/>
      </w:r>
      <w:r w:rsidRPr="007C53C5">
        <w:t xml:space="preserve"> mining safety is regulated under separate Acts or Regulations but treated as part of the general WHS</w:t>
      </w:r>
      <w:r w:rsidR="005653FD">
        <w:t> </w:t>
      </w:r>
      <w:r w:rsidRPr="007C53C5">
        <w:t>framework. The ACT does not have a mining industry.</w:t>
      </w:r>
    </w:p>
    <w:p w14:paraId="18D9A348" w14:textId="77777777" w:rsidR="00F21CE3" w:rsidRDefault="006620F8" w:rsidP="005E1BD3">
      <w:pPr>
        <w:pStyle w:val="Paragraph"/>
      </w:pPr>
      <w:r w:rsidRPr="007C53C5">
        <w:t>Currently, only Queensland relies on standalone mining safety legislation that operates independent of its WHS Act. The sector is regulated through 2 principal industry-specific statutes: the </w:t>
      </w:r>
      <w:r w:rsidRPr="007C53C5">
        <w:rPr>
          <w:i/>
        </w:rPr>
        <w:t>Coal Mining Safety and Health Act 1999</w:t>
      </w:r>
      <w:r w:rsidRPr="007C53C5">
        <w:t> for coal operations and the </w:t>
      </w:r>
      <w:r w:rsidRPr="007C53C5">
        <w:rPr>
          <w:i/>
        </w:rPr>
        <w:t>Mining and Quarrying Safety and Health Act 1999</w:t>
      </w:r>
      <w:r w:rsidRPr="007C53C5">
        <w:t> for all other mining and quarrying activities.</w:t>
      </w:r>
      <w:r w:rsidRPr="007C53C5">
        <w:rPr>
          <w:vertAlign w:val="superscript"/>
        </w:rPr>
        <w:footnoteReference w:id="734"/>
      </w:r>
      <w:r w:rsidRPr="007C53C5">
        <w:t xml:space="preserve"> The laws provide a risk management model based on keeping risk within ‘acceptable’ limits and ‘as low as reasonably achievable’.</w:t>
      </w:r>
      <w:r w:rsidRPr="007C53C5">
        <w:rPr>
          <w:vertAlign w:val="superscript"/>
        </w:rPr>
        <w:footnoteReference w:id="735"/>
      </w:r>
    </w:p>
    <w:p w14:paraId="1CF84D10" w14:textId="77777777" w:rsidR="00F21CE3" w:rsidRDefault="006620F8" w:rsidP="00B10F9B">
      <w:pPr>
        <w:pStyle w:val="Paragraph"/>
      </w:pPr>
      <w:r w:rsidRPr="007C53C5">
        <w:t>Mining is regulated by the WHS regulator in most jurisdictions. Separate mining regulators exist in the major mining states of NSW (NSW Resources Regulator), Queensland (Resources Safety and Health Queensland) and WA (Department of Mines, Industry, Regulation and Safety).</w:t>
      </w:r>
    </w:p>
    <w:p w14:paraId="40A7F569" w14:textId="5A878B4F" w:rsidR="000D26F7" w:rsidRDefault="000D26F7">
      <w:pPr>
        <w:spacing w:after="200" w:line="276" w:lineRule="auto"/>
        <w:contextualSpacing w:val="0"/>
        <w:rPr>
          <w:rFonts w:asciiTheme="minorHAnsi" w:eastAsia="Times New Roman" w:hAnsiTheme="minorHAnsi"/>
          <w:lang w:eastAsia="en-AU"/>
        </w:rPr>
      </w:pPr>
      <w:r>
        <w:br w:type="page"/>
      </w:r>
    </w:p>
    <w:p w14:paraId="1D057A40" w14:textId="77777777" w:rsidR="00F21CE3" w:rsidRDefault="008003B0" w:rsidP="008003B0">
      <w:pPr>
        <w:pStyle w:val="SWAHeading3"/>
      </w:pPr>
      <w:r w:rsidRPr="000F1DE6">
        <w:lastRenderedPageBreak/>
        <w:t>Maritime</w:t>
      </w:r>
    </w:p>
    <w:p w14:paraId="711ADA5A" w14:textId="23660CCB" w:rsidR="00200933" w:rsidRPr="00856343" w:rsidRDefault="00200933" w:rsidP="00B10F9B">
      <w:pPr>
        <w:pStyle w:val="Paragraph"/>
        <w:rPr>
          <w:rFonts w:eastAsia="Aptos"/>
        </w:rPr>
      </w:pPr>
      <w:r w:rsidRPr="00856343">
        <w:rPr>
          <w:rFonts w:eastAsia="Aptos"/>
        </w:rPr>
        <w:t>Maritime safety is governed by multiple pieces of legislation (see below). Responsibility for the maritime industry sits across a number of Australian Government departments</w:t>
      </w:r>
      <w:r w:rsidR="005653FD">
        <w:rPr>
          <w:rFonts w:eastAsia="Aptos"/>
        </w:rPr>
        <w:t>,</w:t>
      </w:r>
      <w:r w:rsidRPr="00856343">
        <w:rPr>
          <w:rFonts w:eastAsia="Aptos"/>
        </w:rPr>
        <w:t xml:space="preserve"> including the Department of Infrastructure, Transport, Regional Development, Communications, Sport and the Arts, the Department of Industry, Science and Resources and the Department of Employment and Workplace Relations. Relevant legislation includes:</w:t>
      </w:r>
    </w:p>
    <w:p w14:paraId="1E0F010D" w14:textId="77777777" w:rsidR="00F21CE3" w:rsidRDefault="00200933" w:rsidP="00C07E34">
      <w:pPr>
        <w:pStyle w:val="ListBullet"/>
        <w:rPr>
          <w:lang w:eastAsia="en-AU"/>
        </w:rPr>
      </w:pPr>
      <w:r w:rsidRPr="00856343">
        <w:rPr>
          <w:lang w:eastAsia="en-AU"/>
        </w:rPr>
        <w:t xml:space="preserve">the </w:t>
      </w:r>
      <w:r w:rsidRPr="00856343">
        <w:rPr>
          <w:i/>
          <w:lang w:eastAsia="en-AU"/>
        </w:rPr>
        <w:t xml:space="preserve">Navigation Act 2012 </w:t>
      </w:r>
      <w:r w:rsidRPr="00856343">
        <w:rPr>
          <w:lang w:eastAsia="en-AU"/>
        </w:rPr>
        <w:t>(Navigation Act)</w:t>
      </w:r>
    </w:p>
    <w:p w14:paraId="29713CFA" w14:textId="63864418" w:rsidR="00200933" w:rsidRPr="004E7884" w:rsidRDefault="00200933" w:rsidP="00C07E34">
      <w:pPr>
        <w:pStyle w:val="ListBullet"/>
        <w:rPr>
          <w:lang w:eastAsia="en-AU"/>
        </w:rPr>
      </w:pPr>
      <w:r w:rsidRPr="004E7884">
        <w:rPr>
          <w:lang w:eastAsia="en-AU"/>
        </w:rPr>
        <w:t>the OHS(MI) Act</w:t>
      </w:r>
    </w:p>
    <w:p w14:paraId="783CFF5C" w14:textId="77777777" w:rsidR="00200933" w:rsidRPr="00856343" w:rsidRDefault="00200933" w:rsidP="00C07E34">
      <w:pPr>
        <w:pStyle w:val="ListBullet"/>
        <w:rPr>
          <w:lang w:eastAsia="en-AU"/>
        </w:rPr>
      </w:pPr>
      <w:r w:rsidRPr="00856343">
        <w:rPr>
          <w:lang w:eastAsia="en-AU"/>
        </w:rPr>
        <w:t xml:space="preserve">the </w:t>
      </w:r>
      <w:r w:rsidRPr="00856343">
        <w:rPr>
          <w:i/>
          <w:lang w:eastAsia="en-AU"/>
        </w:rPr>
        <w:t xml:space="preserve">Marine Safety (Domestic Commercial Vessel) National Law </w:t>
      </w:r>
      <w:r w:rsidRPr="00856343" w:rsidDel="00275AC3">
        <w:rPr>
          <w:i/>
          <w:lang w:eastAsia="en-AU"/>
        </w:rPr>
        <w:t>Act</w:t>
      </w:r>
      <w:r w:rsidRPr="00856343">
        <w:rPr>
          <w:i/>
          <w:lang w:eastAsia="en-AU"/>
        </w:rPr>
        <w:t xml:space="preserve"> 2012</w:t>
      </w:r>
      <w:r w:rsidRPr="00856343">
        <w:rPr>
          <w:lang w:eastAsia="en-AU"/>
        </w:rPr>
        <w:t xml:space="preserve"> (Marine Safety National Law Act)</w:t>
      </w:r>
    </w:p>
    <w:p w14:paraId="571D63A2" w14:textId="77777777" w:rsidR="00200933" w:rsidRPr="004E7884" w:rsidRDefault="00200933" w:rsidP="00C07E34">
      <w:pPr>
        <w:pStyle w:val="ListBullet"/>
        <w:rPr>
          <w:lang w:eastAsia="en-AU"/>
        </w:rPr>
      </w:pPr>
      <w:r w:rsidRPr="004E7884">
        <w:rPr>
          <w:lang w:eastAsia="en-AU"/>
        </w:rPr>
        <w:t xml:space="preserve">the </w:t>
      </w:r>
      <w:r w:rsidRPr="004E7884">
        <w:rPr>
          <w:i/>
          <w:lang w:eastAsia="en-AU"/>
        </w:rPr>
        <w:t>Offshore Petroleum and Greenhouse Gas Storage Act 2006</w:t>
      </w:r>
      <w:r w:rsidRPr="004E7884">
        <w:rPr>
          <w:lang w:eastAsia="en-AU"/>
        </w:rPr>
        <w:t xml:space="preserve"> (OPGGS Act).</w:t>
      </w:r>
    </w:p>
    <w:p w14:paraId="1D841765" w14:textId="77777777" w:rsidR="00200933" w:rsidRPr="00856343" w:rsidRDefault="00200933" w:rsidP="00B10F9B">
      <w:pPr>
        <w:pStyle w:val="Paragraph"/>
        <w:rPr>
          <w:szCs w:val="22"/>
        </w:rPr>
      </w:pPr>
      <w:r w:rsidRPr="004E7884">
        <w:t>The Navigation Act sets out a range of requirements that apply to foreign-flagged vessels, and</w:t>
      </w:r>
      <w:r w:rsidRPr="00856343">
        <w:t xml:space="preserve"> certain Regulated Australian Vessels, in Australian waters.</w:t>
      </w:r>
      <w:r w:rsidRPr="00856343">
        <w:rPr>
          <w:vertAlign w:val="superscript"/>
        </w:rPr>
        <w:footnoteReference w:id="736"/>
      </w:r>
      <w:r w:rsidRPr="00856343">
        <w:t xml:space="preserve"> The </w:t>
      </w:r>
      <w:r w:rsidRPr="004E7884">
        <w:t>Australian Maritime Safety Authority (AMSA) is responsible for regulating these vessels by enforcing Marine Orders, which are requirements in</w:t>
      </w:r>
      <w:r w:rsidRPr="00856343">
        <w:t xml:space="preserve"> Australian law based on international maritime treaty obligations. They prescribe the various duties that apply to these vessels, including in relation to health and safety.</w:t>
      </w:r>
    </w:p>
    <w:p w14:paraId="0BD6E771" w14:textId="77777777" w:rsidR="00F21CE3" w:rsidRDefault="00200933" w:rsidP="00B10F9B">
      <w:pPr>
        <w:pStyle w:val="Paragraph"/>
      </w:pPr>
      <w:r w:rsidRPr="00856343">
        <w:t>There is complexity as to whether foreign flagged ships will have WHS jurisdiction applied to them when in coastal waters. Some foreign flagged vessels sail under so-called ‘flags of convenience’, meaning they are not subject to regulations that would otherwise apply, even on ships that operate wholly within Australian waters and have Australian crews. Some countries have implemented explicit laws to prevent this practice.</w:t>
      </w:r>
      <w:r w:rsidRPr="00856343">
        <w:rPr>
          <w:vertAlign w:val="superscript"/>
        </w:rPr>
        <w:footnoteReference w:id="737"/>
      </w:r>
    </w:p>
    <w:p w14:paraId="26099ECE" w14:textId="77777777" w:rsidR="00F21CE3" w:rsidRDefault="00200933" w:rsidP="00B10F9B">
      <w:pPr>
        <w:pStyle w:val="Paragraph"/>
      </w:pPr>
      <w:r w:rsidRPr="00856343">
        <w:t xml:space="preserve">The OHS(MI) Act covers prescribed Australian ships that are engaged in trade or commerce on international and domestic voyages. The scheme provides WHS protections to seafarers on ships that do not fall under state and territory coverage but have a connection to Australia. Criteria for coverage is complex and includes reference to the repealed </w:t>
      </w:r>
      <w:r w:rsidRPr="00856343">
        <w:rPr>
          <w:i/>
        </w:rPr>
        <w:t xml:space="preserve">Navigation Act 1912. </w:t>
      </w:r>
      <w:r w:rsidRPr="00856343">
        <w:t>The OHS(MI) Act is based on pre</w:t>
      </w:r>
      <w:r w:rsidRPr="00856343">
        <w:noBreakHyphen/>
        <w:t>harmonised WHS legislation and was not updated with the introduction of the model laws.</w:t>
      </w:r>
    </w:p>
    <w:p w14:paraId="4F8EAFE6" w14:textId="77777777" w:rsidR="00F21CE3" w:rsidRDefault="00200933" w:rsidP="00B10F9B">
      <w:pPr>
        <w:pStyle w:val="Paragraph"/>
      </w:pPr>
      <w:r w:rsidRPr="00856343">
        <w:t>The Marine Safety National Law Act applies to domestic commercial vessels not covered under the Navigation Act and is regulated by AMSA</w:t>
      </w:r>
      <w:r w:rsidRPr="00856343">
        <w:rPr>
          <w:i/>
        </w:rPr>
        <w:t xml:space="preserve">. </w:t>
      </w:r>
      <w:r w:rsidRPr="00856343">
        <w:t>It imposes a general duty of care on owners of domestic commercial vessels to, so far as reasonably practicable, ensure the safety of the vessel. As the definition of ‘workplace’ under the model WHS laws includes a vessel, operators of most domestic commercial vessels have duties under both state and territory WHS laws and the Marine Safety National Law Act.</w:t>
      </w:r>
      <w:r w:rsidRPr="00856343">
        <w:rPr>
          <w:vertAlign w:val="superscript"/>
        </w:rPr>
        <w:footnoteReference w:id="738"/>
      </w:r>
    </w:p>
    <w:p w14:paraId="2AD35FAC" w14:textId="5A1E1814" w:rsidR="000D26F7" w:rsidRDefault="00200933" w:rsidP="00B10F9B">
      <w:pPr>
        <w:pStyle w:val="Paragraph"/>
      </w:pPr>
      <w:r w:rsidRPr="00856343">
        <w:t>AMSA signed a single MOU with state and territory WHS regulators (except Comcare) in 2024 to provide guidance on the role of each party in responding to maritime workplace incidents in Australia.</w:t>
      </w:r>
      <w:r w:rsidRPr="00856343">
        <w:rPr>
          <w:vertAlign w:val="superscript"/>
        </w:rPr>
        <w:footnoteReference w:id="739"/>
      </w:r>
    </w:p>
    <w:p w14:paraId="52398E03" w14:textId="77777777" w:rsidR="000D26F7" w:rsidRDefault="000D26F7">
      <w:pPr>
        <w:spacing w:after="200" w:line="276" w:lineRule="auto"/>
        <w:contextualSpacing w:val="0"/>
        <w:rPr>
          <w:rFonts w:asciiTheme="minorHAnsi" w:eastAsia="Times New Roman" w:hAnsiTheme="minorHAnsi"/>
          <w:lang w:eastAsia="en-AU"/>
        </w:rPr>
      </w:pPr>
      <w:r>
        <w:br w:type="page"/>
      </w:r>
    </w:p>
    <w:p w14:paraId="63166B22" w14:textId="77777777" w:rsidR="00F21CE3" w:rsidRDefault="005667AF" w:rsidP="005667AF">
      <w:pPr>
        <w:pStyle w:val="SWAHeading3"/>
      </w:pPr>
      <w:r w:rsidRPr="000F1DE6">
        <w:lastRenderedPageBreak/>
        <w:t>Offshore petroleum, gas and electricity</w:t>
      </w:r>
    </w:p>
    <w:p w14:paraId="4D346766" w14:textId="77777777" w:rsidR="00F21CE3" w:rsidRDefault="00996610" w:rsidP="00B10F9B">
      <w:pPr>
        <w:pStyle w:val="Paragraph"/>
      </w:pPr>
      <w:r w:rsidRPr="00EE7BA9">
        <w:t xml:space="preserve">The Australian Government regulates offshore oil and gas activities in Commonwealth waters </w:t>
      </w:r>
      <w:r w:rsidRPr="00EE7BA9" w:rsidDel="00C24712">
        <w:t>3</w:t>
      </w:r>
      <w:r w:rsidRPr="00EE7BA9">
        <w:t> nautical miles from the coastline and beyond, to the boundary of Australia’s exclusive economic zone.</w:t>
      </w:r>
      <w:r w:rsidRPr="00EE7BA9">
        <w:rPr>
          <w:vertAlign w:val="superscript"/>
        </w:rPr>
        <w:footnoteReference w:id="740"/>
      </w:r>
      <w:r w:rsidRPr="00EE7BA9">
        <w:t xml:space="preserve"> The Offshore Petroleum and Greenhouse Gas Storage (Safety) Regulations 2024</w:t>
      </w:r>
      <w:r w:rsidRPr="00EE7BA9">
        <w:rPr>
          <w:i/>
        </w:rPr>
        <w:t xml:space="preserve"> </w:t>
      </w:r>
      <w:r w:rsidRPr="00EE7BA9">
        <w:t xml:space="preserve">(OPGGS Safety Regulations) provide the WHS regime for all offshore petroleum and gas activities, while the </w:t>
      </w:r>
      <w:r w:rsidRPr="00EE7BA9">
        <w:rPr>
          <w:i/>
        </w:rPr>
        <w:t xml:space="preserve">Offshore Electricity Infrastructure Act 2011 </w:t>
      </w:r>
      <w:r w:rsidRPr="00EE7BA9">
        <w:t>(OEI Act) applies to offshore electricity infrastructure projects in Commonwealth waters.</w:t>
      </w:r>
    </w:p>
    <w:p w14:paraId="4727D74D" w14:textId="6E18EC76" w:rsidR="00F03F5C" w:rsidRPr="00EE7BA9" w:rsidRDefault="00F03F5C" w:rsidP="00B10F9B">
      <w:pPr>
        <w:pStyle w:val="Paragraph"/>
        <w:rPr>
          <w:szCs w:val="22"/>
        </w:rPr>
      </w:pPr>
      <w:r w:rsidRPr="00EE7BA9">
        <w:t>The National Offshore Petroleum Safety and Environmental Management Authority (NOPSEMA) is the independent statutory regulator for health and safety in the offshore oil and gas industry. The Offshore Infrastructure Regulator, whose functions are administered by NOPSEMA, is responsible for regulating the operations of the offshore electricity industry.</w:t>
      </w:r>
    </w:p>
    <w:p w14:paraId="321FBB26" w14:textId="77777777" w:rsidR="00F21CE3" w:rsidRDefault="00F03F5C" w:rsidP="00B10F9B">
      <w:pPr>
        <w:pStyle w:val="Paragraph"/>
      </w:pPr>
      <w:r w:rsidRPr="00EE7BA9">
        <w:t>The OPGGS</w:t>
      </w:r>
      <w:r w:rsidR="00996610" w:rsidRPr="00EE7BA9">
        <w:t xml:space="preserve"> Safety</w:t>
      </w:r>
      <w:r w:rsidRPr="00EE7BA9">
        <w:t xml:space="preserve"> Regulations establish a safety case-based framework which requires the operator of a facility to outline how it will control risks to health and safety at or near the facility. The Regulations were amended in 2024, following a review, to include amendments supporting greater harmonisation with the Commonwealth WHS Act, covering HSRs, the definition of ‘health’ and discriminatory conduct provisions.</w:t>
      </w:r>
    </w:p>
    <w:p w14:paraId="4204CB83" w14:textId="7CB11FD9" w:rsidR="00F03F5C" w:rsidRPr="00EE7BA9" w:rsidRDefault="00F03F5C" w:rsidP="00B10F9B">
      <w:pPr>
        <w:pStyle w:val="Paragraph"/>
      </w:pPr>
      <w:r w:rsidRPr="00EE7BA9">
        <w:t>The OPGGS Act also regulates health and safety for vessels when they are near certain types of offshore facilities.</w:t>
      </w:r>
    </w:p>
    <w:p w14:paraId="4D00352F" w14:textId="77777777" w:rsidR="00F03F5C" w:rsidRPr="00EE7BA9" w:rsidRDefault="00F03F5C" w:rsidP="00B10F9B">
      <w:pPr>
        <w:pStyle w:val="Paragraph"/>
        <w:rPr>
          <w:szCs w:val="22"/>
        </w:rPr>
      </w:pPr>
      <w:r w:rsidRPr="00EE7BA9">
        <w:t>The OEI Act modifies the operation of the Commonwealth WHS Act to only apply to ‘regulated offshore activities’, and only during the operational phase of offshore activities. It does not apply the right of entry provisions under Part 7 of the Commonwealth WHS Act, although WHS permit holders can still access related onshore premises.</w:t>
      </w:r>
      <w:r w:rsidRPr="00EE7BA9">
        <w:rPr>
          <w:vertAlign w:val="superscript"/>
        </w:rPr>
        <w:footnoteReference w:id="741"/>
      </w:r>
    </w:p>
    <w:p w14:paraId="6F4D3156" w14:textId="77777777" w:rsidR="00057266" w:rsidRPr="000F1DE6" w:rsidRDefault="00057266" w:rsidP="00057266">
      <w:pPr>
        <w:pStyle w:val="SWAHeading3"/>
      </w:pPr>
      <w:r w:rsidRPr="000F1DE6">
        <w:t>Onshore petroleum and gas</w:t>
      </w:r>
    </w:p>
    <w:p w14:paraId="7BE1FB9D" w14:textId="77777777" w:rsidR="00F21CE3" w:rsidRDefault="003C2B1B" w:rsidP="00B10F9B">
      <w:pPr>
        <w:pStyle w:val="Paragraph"/>
      </w:pPr>
      <w:r w:rsidRPr="003C2B1B">
        <w:t>WHS for onshore petroleum and gas activities is regulated by specific safety regulations in NSW, Queensland and WA, while the relevant WHS Act applies in other jurisdictions. The NSW and WA regimes</w:t>
      </w:r>
      <w:r w:rsidRPr="003C2B1B">
        <w:rPr>
          <w:vertAlign w:val="superscript"/>
        </w:rPr>
        <w:footnoteReference w:id="742"/>
      </w:r>
      <w:r w:rsidRPr="003C2B1B">
        <w:t xml:space="preserve"> are treated as part of the principal WHS Act in each state. Queensland’s </w:t>
      </w:r>
      <w:r w:rsidRPr="003C2B1B">
        <w:rPr>
          <w:i/>
        </w:rPr>
        <w:t>Petroleum and Gas (Production and Safety) Act 2004</w:t>
      </w:r>
      <w:r w:rsidRPr="003C2B1B">
        <w:t xml:space="preserve"> (P&amp;G Act) requires the application of a safety management system to infrastructure classified as operating plant. To avoid regulatory duplication, the Queensland WHS Act</w:t>
      </w:r>
      <w:r w:rsidRPr="003C2B1B">
        <w:rPr>
          <w:vertAlign w:val="superscript"/>
        </w:rPr>
        <w:footnoteReference w:id="743"/>
      </w:r>
      <w:r w:rsidRPr="003C2B1B">
        <w:t xml:space="preserve"> does not apply to operating plant under the P&amp;G Act, with limited exceptions. The P&amp;G Act does not include the duties and protections required under the WHS Act.</w:t>
      </w:r>
      <w:r w:rsidRPr="003C2B1B">
        <w:rPr>
          <w:vertAlign w:val="superscript"/>
        </w:rPr>
        <w:footnoteReference w:id="744"/>
      </w:r>
      <w:r w:rsidRPr="003C2B1B">
        <w:t xml:space="preserve"> If the Acts conflict for a health and safety matter, the P&amp;G Act prevails to the extent of the inconsistency.</w:t>
      </w:r>
      <w:r w:rsidRPr="003C2B1B">
        <w:rPr>
          <w:vertAlign w:val="superscript"/>
        </w:rPr>
        <w:footnoteReference w:id="745"/>
      </w:r>
    </w:p>
    <w:p w14:paraId="4E079F4A" w14:textId="065B6944" w:rsidR="000D26F7" w:rsidRDefault="000D26F7">
      <w:pPr>
        <w:spacing w:after="200" w:line="276" w:lineRule="auto"/>
        <w:contextualSpacing w:val="0"/>
        <w:rPr>
          <w:rFonts w:asciiTheme="minorHAnsi" w:eastAsia="Times New Roman" w:hAnsiTheme="minorHAnsi"/>
          <w:lang w:eastAsia="en-AU"/>
        </w:rPr>
      </w:pPr>
      <w:r>
        <w:br w:type="page"/>
      </w:r>
    </w:p>
    <w:p w14:paraId="73E19D6D" w14:textId="77777777" w:rsidR="000C48DA" w:rsidRPr="000F1DE6" w:rsidRDefault="000C48DA" w:rsidP="00292362">
      <w:pPr>
        <w:pStyle w:val="SWAHeading3"/>
      </w:pPr>
      <w:r w:rsidRPr="000F1DE6">
        <w:lastRenderedPageBreak/>
        <w:t>Transport industries</w:t>
      </w:r>
    </w:p>
    <w:p w14:paraId="73D63EA7" w14:textId="77777777" w:rsidR="00820AED" w:rsidRPr="00D54906" w:rsidRDefault="00820AED" w:rsidP="000D26F7">
      <w:pPr>
        <w:pStyle w:val="SWAHeading4"/>
      </w:pPr>
      <w:r w:rsidRPr="00D54906">
        <w:t>Heavy vehicle and rail</w:t>
      </w:r>
    </w:p>
    <w:p w14:paraId="4DB67BA7" w14:textId="77777777" w:rsidR="00F21CE3" w:rsidRDefault="00761A5B" w:rsidP="00B10F9B">
      <w:pPr>
        <w:pStyle w:val="Paragraph"/>
      </w:pPr>
      <w:r w:rsidRPr="00F841EB">
        <w:t xml:space="preserve">The Heavy Vehicle National Law (HVNL) and Rail Safety National Law (RSNL) operate as mirror legislation, with one national regulator for each national law: the National Heavy Vehicle Regulator (NHVR) for the HVNL and </w:t>
      </w:r>
      <w:r w:rsidRPr="004E7884">
        <w:t>the ONRSR</w:t>
      </w:r>
      <w:r w:rsidRPr="00F841EB">
        <w:t xml:space="preserve"> for the RSNL.</w:t>
      </w:r>
      <w:r w:rsidRPr="00F841EB">
        <w:rPr>
          <w:vertAlign w:val="superscript"/>
        </w:rPr>
        <w:footnoteReference w:id="746"/>
      </w:r>
      <w:r w:rsidRPr="00F841EB">
        <w:t xml:space="preserve"> The HVNL was first enacted by Queensland in 2011 and the RSNL by SA in 2012. All states and territories except WA and the NT have adopted the HVNL,</w:t>
      </w:r>
      <w:r w:rsidRPr="00F841EB">
        <w:rPr>
          <w:vertAlign w:val="superscript"/>
        </w:rPr>
        <w:footnoteReference w:id="747"/>
      </w:r>
      <w:r w:rsidRPr="00F841EB">
        <w:t xml:space="preserve"> while the RSNL has been adopted by all jurisdictions.</w:t>
      </w:r>
    </w:p>
    <w:p w14:paraId="71E72C69" w14:textId="3BFC00C6" w:rsidR="00761A5B" w:rsidRPr="00F841EB" w:rsidRDefault="00761A5B" w:rsidP="00B10F9B">
      <w:pPr>
        <w:pStyle w:val="Paragraph"/>
      </w:pPr>
      <w:r w:rsidRPr="00F841EB">
        <w:rPr>
          <w:rFonts w:eastAsia="Arial"/>
        </w:rPr>
        <w:t>The Australian Transport Safety Bureau (ATSB) is responsible for certain types of rail safety incidents.</w:t>
      </w:r>
    </w:p>
    <w:p w14:paraId="4C9FB6B3" w14:textId="77777777" w:rsidR="00761A5B" w:rsidRPr="00F841EB" w:rsidRDefault="00761A5B" w:rsidP="00B10F9B">
      <w:pPr>
        <w:pStyle w:val="Paragraph"/>
        <w:rPr>
          <w:rFonts w:eastAsia="Arial"/>
        </w:rPr>
      </w:pPr>
      <w:r w:rsidRPr="00F841EB">
        <w:t>The HVNL was amended in 2016 to better align its duties and obligations with the model WHS laws, introducing a primary duty to ensure the safety of heavy vehicle transport activities as far as reasonably practicable.</w:t>
      </w:r>
      <w:r w:rsidRPr="00F841EB">
        <w:rPr>
          <w:vertAlign w:val="superscript"/>
        </w:rPr>
        <w:footnoteReference w:id="748"/>
      </w:r>
      <w:r w:rsidRPr="00F841EB">
        <w:t xml:space="preserve"> Under the RSNL, duty holders must ensure the safety of their operations so far as is reasonably practicable, in line with the definition used in the model WHS Act.</w:t>
      </w:r>
      <w:r w:rsidRPr="00F841EB">
        <w:rPr>
          <w:vertAlign w:val="superscript"/>
        </w:rPr>
        <w:footnoteReference w:id="749"/>
      </w:r>
    </w:p>
    <w:p w14:paraId="1ABF2E50" w14:textId="77777777" w:rsidR="00F21CE3" w:rsidRDefault="00761A5B" w:rsidP="00B10F9B">
      <w:pPr>
        <w:pStyle w:val="Paragraph"/>
      </w:pPr>
      <w:r w:rsidRPr="00F841EB">
        <w:t>The HVNL and RSNL each expressly outline their relationship to WHS laws.</w:t>
      </w:r>
      <w:r w:rsidRPr="00F841EB">
        <w:rPr>
          <w:vertAlign w:val="superscript"/>
        </w:rPr>
        <w:footnoteReference w:id="750"/>
      </w:r>
      <w:r w:rsidRPr="00F841EB">
        <w:t xml:space="preserve"> Both are intended to apply concurrently, with WHS laws prevailing to the extent of any inconsistency. Evidence of a contravention of either law is admissible in any proceeding for an offence against WHS laws.</w:t>
      </w:r>
    </w:p>
    <w:p w14:paraId="167DF476" w14:textId="77777777" w:rsidR="00F21CE3" w:rsidRDefault="00897166" w:rsidP="00B10F9B">
      <w:pPr>
        <w:pStyle w:val="Paragraph"/>
        <w:rPr>
          <w:rFonts w:eastAsia="Arial"/>
        </w:rPr>
      </w:pPr>
      <w:r w:rsidRPr="00F841EB">
        <w:rPr>
          <w:rFonts w:eastAsia="Arial"/>
        </w:rPr>
        <w:t>The NHVR is currently developing an MOU with WHS regulators to formalise a cooperative working relationship and information sharing on cross-jurisdictional matters.</w:t>
      </w:r>
      <w:r w:rsidRPr="00F841EB">
        <w:rPr>
          <w:rFonts w:eastAsia="Arial"/>
          <w:vertAlign w:val="superscript"/>
        </w:rPr>
        <w:footnoteReference w:id="751"/>
      </w:r>
      <w:r w:rsidRPr="00F841EB">
        <w:rPr>
          <w:rFonts w:eastAsia="Arial"/>
        </w:rPr>
        <w:t xml:space="preserve"> The ONRSR has MOUs with WHS regulators to delineate responsibility between regulators.</w:t>
      </w:r>
      <w:r w:rsidRPr="00F841EB">
        <w:rPr>
          <w:rFonts w:eastAsia="Arial"/>
          <w:vertAlign w:val="superscript"/>
        </w:rPr>
        <w:footnoteReference w:id="752"/>
      </w:r>
    </w:p>
    <w:p w14:paraId="5D08CD36" w14:textId="3360753A" w:rsidR="005667AF" w:rsidRPr="00D54906" w:rsidRDefault="00E4249E" w:rsidP="000D26F7">
      <w:pPr>
        <w:pStyle w:val="SWAHeading4"/>
      </w:pPr>
      <w:r w:rsidRPr="00D54906">
        <w:t>Aviation</w:t>
      </w:r>
    </w:p>
    <w:p w14:paraId="6D3B6CA6" w14:textId="546A016B" w:rsidR="00C178CD" w:rsidRPr="00E44DAB" w:rsidRDefault="00C178CD" w:rsidP="00B10F9B">
      <w:pPr>
        <w:pStyle w:val="Paragraph"/>
      </w:pPr>
      <w:r w:rsidRPr="00E44DAB">
        <w:t xml:space="preserve">Australia’s civil aviation safety framework operates under a 3-tiered structure comprising the </w:t>
      </w:r>
      <w:r w:rsidRPr="00E44DAB">
        <w:rPr>
          <w:i/>
        </w:rPr>
        <w:t>Civil Aviation Act 1988</w:t>
      </w:r>
      <w:r w:rsidRPr="00E44DAB">
        <w:t>,</w:t>
      </w:r>
      <w:r w:rsidRPr="00E44DAB">
        <w:rPr>
          <w:i/>
        </w:rPr>
        <w:t xml:space="preserve"> </w:t>
      </w:r>
      <w:r w:rsidRPr="00E44DAB">
        <w:t>Civil Aviation Safety Regulations 1998 and the Manuals of Standards. The Civil Aviation Safety Authority is the regulator, with responsibility to maintain, enhance and promote the safety of civil aviation. The ATSB investigates accidents and transport safety occurrences involving Australian-registered civilian aircraft (excluding recreational and sport aviation).</w:t>
      </w:r>
    </w:p>
    <w:p w14:paraId="2956740A" w14:textId="77777777" w:rsidR="00F21CE3" w:rsidRDefault="00C178CD" w:rsidP="00B10F9B">
      <w:pPr>
        <w:pStyle w:val="Paragraph"/>
      </w:pPr>
      <w:r w:rsidRPr="00E44DAB">
        <w:t xml:space="preserve">In </w:t>
      </w:r>
      <w:r w:rsidRPr="00E44DAB">
        <w:rPr>
          <w:i/>
        </w:rPr>
        <w:t xml:space="preserve">Work Health Authority v Outback Ballooning Pty Ltd </w:t>
      </w:r>
      <w:r w:rsidRPr="00E44DAB">
        <w:t xml:space="preserve">[2019] HCA 2, the High Court confirmed that Commonwealth aviation laws are not inconsistent with state and territory WHS laws, holding that the obligations under the </w:t>
      </w:r>
      <w:r w:rsidRPr="00E44DAB">
        <w:rPr>
          <w:i/>
        </w:rPr>
        <w:t>Civil Aviation Act 1988</w:t>
      </w:r>
      <w:r w:rsidRPr="00E44DAB">
        <w:t xml:space="preserve"> do not exclude other laws which require duty holders to exercise due care in the conduct of air operations.</w:t>
      </w:r>
      <w:r w:rsidRPr="00E44DAB">
        <w:rPr>
          <w:vertAlign w:val="superscript"/>
        </w:rPr>
        <w:footnoteReference w:id="753"/>
      </w:r>
    </w:p>
    <w:p w14:paraId="3F0C8396" w14:textId="791803CB" w:rsidR="000D26F7" w:rsidRDefault="000D26F7">
      <w:pPr>
        <w:spacing w:after="200" w:line="276" w:lineRule="auto"/>
        <w:contextualSpacing w:val="0"/>
        <w:rPr>
          <w:rFonts w:asciiTheme="minorHAnsi" w:eastAsia="Times New Roman" w:hAnsiTheme="minorHAnsi"/>
          <w:lang w:eastAsia="en-AU"/>
        </w:rPr>
      </w:pPr>
      <w:bookmarkStart w:id="128" w:name="_Toc234853704"/>
      <w:bookmarkStart w:id="129" w:name="_Toc235103723"/>
      <w:r>
        <w:br w:type="page"/>
      </w:r>
    </w:p>
    <w:p w14:paraId="2EC83968" w14:textId="77777777" w:rsidR="00F21CE3" w:rsidRDefault="003629CC" w:rsidP="00863A3B">
      <w:pPr>
        <w:pStyle w:val="SWAHeading3"/>
        <w:rPr>
          <w:b/>
          <w:bCs/>
        </w:rPr>
      </w:pPr>
      <w:r w:rsidRPr="00863A3B">
        <w:rPr>
          <w:b/>
          <w:bCs/>
        </w:rPr>
        <w:lastRenderedPageBreak/>
        <w:t>Hazard-specific frameworks</w:t>
      </w:r>
      <w:bookmarkEnd w:id="128"/>
      <w:bookmarkEnd w:id="129"/>
    </w:p>
    <w:p w14:paraId="3EF253D1" w14:textId="77777777" w:rsidR="00F21CE3" w:rsidRDefault="007E328B" w:rsidP="00351375">
      <w:pPr>
        <w:pStyle w:val="SWAHeading3"/>
      </w:pPr>
      <w:r w:rsidRPr="007E328B">
        <w:t>Dangerous goods and explosives</w:t>
      </w:r>
    </w:p>
    <w:p w14:paraId="3F19FBAC" w14:textId="524F1556" w:rsidR="007E328B" w:rsidRPr="00DB5273" w:rsidRDefault="007E328B" w:rsidP="00B10F9B">
      <w:pPr>
        <w:pStyle w:val="Paragraph"/>
        <w:rPr>
          <w:b/>
          <w:i/>
          <w:color w:val="000000"/>
        </w:rPr>
      </w:pPr>
      <w:r w:rsidRPr="00DB5273">
        <w:t>Hazardous chemicals and dangerous goods laws focus on managing risks associated with substances that have the potential to cause harm to people, property and the environment. They are regulated separately by the Commonwealth, states and territories.</w:t>
      </w:r>
    </w:p>
    <w:p w14:paraId="429DD9DB" w14:textId="77777777" w:rsidR="00F21CE3" w:rsidRDefault="007E328B" w:rsidP="00B10F9B">
      <w:pPr>
        <w:pStyle w:val="Paragraph"/>
      </w:pPr>
      <w:r w:rsidRPr="00DB5273">
        <w:t>Explosives, given their nature and the magnitude of the risk they present, are subject to further specific regulations. Each state and territory has developed and administers its own explosives regime requiring different licences for the type of activity to be undertaken, commonly for manufacture, import, supply, storage, transport and use. WHS ministers agreed in principle in 2018 to consider making explosives regulations nationally consistent, although no formal framework was reached and jurisdictions have instead amended their legislation on an as-needed basis.</w:t>
      </w:r>
    </w:p>
    <w:p w14:paraId="411A4F4A" w14:textId="277EB2CB" w:rsidR="00F21CE3" w:rsidRDefault="007E328B" w:rsidP="00B10F9B">
      <w:pPr>
        <w:pStyle w:val="Paragraph"/>
      </w:pPr>
      <w:r w:rsidRPr="00DB5273">
        <w:t xml:space="preserve">The transport of dangerous goods by road and rail is subject to the </w:t>
      </w:r>
      <w:r w:rsidRPr="004E7884">
        <w:rPr>
          <w:i/>
          <w:iCs/>
        </w:rPr>
        <w:t>Australian Code for the Transport of Dangerous Goods by Road and Rail</w:t>
      </w:r>
      <w:r w:rsidRPr="004E7884">
        <w:t>, whi</w:t>
      </w:r>
      <w:r w:rsidRPr="00DB5273">
        <w:t>ch is implemented by the adoption of a model Act in each state and territory’s dangerous goods transport regulations.</w:t>
      </w:r>
      <w:r w:rsidRPr="00DB5273">
        <w:rPr>
          <w:vertAlign w:val="superscript"/>
        </w:rPr>
        <w:footnoteReference w:id="754"/>
      </w:r>
      <w:r w:rsidRPr="00DB5273">
        <w:t xml:space="preserve"> Transport of dangerous goods by air and sea is regulated by CASA and AMSA respectively.</w:t>
      </w:r>
    </w:p>
    <w:p w14:paraId="7CBD7322" w14:textId="77777777" w:rsidR="00F21CE3" w:rsidRDefault="007E328B" w:rsidP="00351375">
      <w:pPr>
        <w:pStyle w:val="SWAHeading3"/>
      </w:pPr>
      <w:r w:rsidRPr="007E328B">
        <w:t>Electrical safety</w:t>
      </w:r>
    </w:p>
    <w:p w14:paraId="3A6FAD68" w14:textId="451F3AA2" w:rsidR="00F21CE3" w:rsidRDefault="007E328B" w:rsidP="00B10F9B">
      <w:pPr>
        <w:pStyle w:val="Paragraph"/>
        <w:rPr>
          <w:b/>
          <w:i/>
          <w:color w:val="000000"/>
        </w:rPr>
      </w:pPr>
      <w:r w:rsidRPr="00AD1BA0">
        <w:t xml:space="preserve">Part 4.7 of the model WHS Regulations includes provisions on general electrical safety in workplaces and energised electrical work. However, electrical safety is regulated outside the general WHS framework by </w:t>
      </w:r>
      <w:r w:rsidRPr="00AD1BA0">
        <w:rPr>
          <w:color w:val="000000"/>
        </w:rPr>
        <w:t xml:space="preserve">Queensland, NT and Tasmania. Queensland’s </w:t>
      </w:r>
      <w:r w:rsidRPr="00AD1BA0">
        <w:rPr>
          <w:i/>
          <w:color w:val="000000"/>
        </w:rPr>
        <w:t>Electrical Safety Act 2002</w:t>
      </w:r>
      <w:r w:rsidRPr="00AD1BA0">
        <w:rPr>
          <w:color w:val="000000"/>
        </w:rPr>
        <w:t xml:space="preserve"> prevails over its WHS Act where the </w:t>
      </w:r>
      <w:r w:rsidR="00B060CD">
        <w:rPr>
          <w:color w:val="000000"/>
        </w:rPr>
        <w:t xml:space="preserve">2 </w:t>
      </w:r>
      <w:r w:rsidRPr="00AD1BA0">
        <w:rPr>
          <w:color w:val="000000"/>
        </w:rPr>
        <w:t>may conflict.</w:t>
      </w:r>
      <w:r w:rsidRPr="00AD1BA0">
        <w:rPr>
          <w:color w:val="000000"/>
          <w:vertAlign w:val="superscript"/>
        </w:rPr>
        <w:footnoteReference w:id="755"/>
      </w:r>
      <w:r w:rsidRPr="00AD1BA0">
        <w:rPr>
          <w:color w:val="000000"/>
        </w:rPr>
        <w:t xml:space="preserve"> Tasmania’ </w:t>
      </w:r>
      <w:r w:rsidRPr="00AD1BA0">
        <w:rPr>
          <w:i/>
          <w:color w:val="000000"/>
        </w:rPr>
        <w:t>Electricity Safety Act 2022</w:t>
      </w:r>
      <w:r w:rsidRPr="00AD1BA0">
        <w:rPr>
          <w:color w:val="000000"/>
        </w:rPr>
        <w:t xml:space="preserve"> does not change the application of its WHS Act.</w:t>
      </w:r>
      <w:r w:rsidRPr="00AD1BA0">
        <w:rPr>
          <w:color w:val="000000"/>
          <w:vertAlign w:val="superscript"/>
        </w:rPr>
        <w:footnoteReference w:id="756"/>
      </w:r>
      <w:r w:rsidRPr="00AD1BA0">
        <w:rPr>
          <w:color w:val="000000"/>
        </w:rPr>
        <w:t xml:space="preserve"> The relationship between NT’s </w:t>
      </w:r>
      <w:r w:rsidRPr="00AD1BA0">
        <w:rPr>
          <w:i/>
          <w:color w:val="000000"/>
        </w:rPr>
        <w:t>Electrical Safety Act 2022</w:t>
      </w:r>
      <w:r w:rsidRPr="00AD1BA0">
        <w:rPr>
          <w:color w:val="000000"/>
        </w:rPr>
        <w:t xml:space="preserve"> and its WHS Act is not explicitly articulated in either Act.</w:t>
      </w:r>
    </w:p>
    <w:p w14:paraId="535B0A28" w14:textId="0AF6D5AB" w:rsidR="007E328B" w:rsidRPr="007E328B" w:rsidRDefault="007E328B" w:rsidP="00351375">
      <w:pPr>
        <w:pStyle w:val="SWAHeading3"/>
      </w:pPr>
      <w:r w:rsidRPr="007E328B">
        <w:t>Others</w:t>
      </w:r>
    </w:p>
    <w:p w14:paraId="66A18DA0" w14:textId="77777777" w:rsidR="007E328B" w:rsidRPr="000F1DE6" w:rsidRDefault="007E328B" w:rsidP="006F2FD4">
      <w:pPr>
        <w:pStyle w:val="Paragraph"/>
        <w:rPr>
          <w:szCs w:val="22"/>
        </w:rPr>
      </w:pPr>
      <w:r w:rsidRPr="000F1DE6">
        <w:t>Queensland is the only state to separately regulate safety for its snorkelling and diving industry. The framework includes a range of recreational water legislation which impose specific rules on divers but with the Queensland WHS Act prevailing in the event of inconsistency.</w:t>
      </w:r>
      <w:r w:rsidRPr="000F1DE6">
        <w:rPr>
          <w:vertAlign w:val="superscript"/>
        </w:rPr>
        <w:footnoteReference w:id="757"/>
      </w:r>
    </w:p>
    <w:p w14:paraId="109D9881" w14:textId="77777777" w:rsidR="00F21CE3" w:rsidRDefault="00E03D4C" w:rsidP="00863A3B">
      <w:pPr>
        <w:pStyle w:val="SWAHeading3"/>
        <w:rPr>
          <w:b/>
          <w:bCs/>
        </w:rPr>
      </w:pPr>
      <w:bookmarkStart w:id="130" w:name="_Toc234853705"/>
      <w:bookmarkStart w:id="131" w:name="_Toc235103724"/>
      <w:r w:rsidRPr="00863A3B">
        <w:rPr>
          <w:b/>
          <w:bCs/>
        </w:rPr>
        <w:t>Accreditation</w:t>
      </w:r>
      <w:bookmarkEnd w:id="130"/>
      <w:bookmarkEnd w:id="131"/>
    </w:p>
    <w:p w14:paraId="027F8B30" w14:textId="77777777" w:rsidR="00F21CE3" w:rsidRDefault="00AD5453" w:rsidP="00E2733D">
      <w:pPr>
        <w:pStyle w:val="Paragraph"/>
      </w:pPr>
      <w:r w:rsidRPr="000F1DE6">
        <w:t xml:space="preserve">Builders wishing to tender for construction projects funded by the Commonwealth or a Commonwealth corporate entity must comply with the Australian Government WHS Accreditation Scheme, which is administered by the Office of the Federal Safety Commissioner. Accreditation requires a builder to satisfy the Federal Safety Commissioner that they have </w:t>
      </w:r>
      <w:r>
        <w:t xml:space="preserve">implemented </w:t>
      </w:r>
      <w:r w:rsidRPr="000F1DE6">
        <w:t>and are implementing appropriate WHS policies, procedures and safe work practices.</w:t>
      </w:r>
    </w:p>
    <w:p w14:paraId="78276C58" w14:textId="08F03720" w:rsidR="000D26F7" w:rsidRDefault="000D26F7">
      <w:pPr>
        <w:spacing w:after="200" w:line="276" w:lineRule="auto"/>
        <w:contextualSpacing w:val="0"/>
        <w:rPr>
          <w:rFonts w:asciiTheme="minorHAnsi" w:eastAsia="Times New Roman" w:hAnsiTheme="minorHAnsi"/>
          <w:lang w:eastAsia="en-AU"/>
        </w:rPr>
      </w:pPr>
      <w:r>
        <w:br w:type="page"/>
      </w:r>
    </w:p>
    <w:p w14:paraId="5BF4A17D" w14:textId="4D1F869C" w:rsidR="00F915BA" w:rsidRPr="00863A3B" w:rsidRDefault="001219D0" w:rsidP="00863A3B">
      <w:pPr>
        <w:pStyle w:val="SWAHeading3"/>
        <w:rPr>
          <w:b/>
          <w:bCs/>
          <w:lang w:eastAsia="en-AU"/>
        </w:rPr>
      </w:pPr>
      <w:r w:rsidRPr="00863A3B">
        <w:rPr>
          <w:b/>
          <w:bCs/>
          <w:lang w:eastAsia="en-AU"/>
        </w:rPr>
        <w:lastRenderedPageBreak/>
        <w:t>Other relevant frameworks</w:t>
      </w:r>
    </w:p>
    <w:p w14:paraId="6CDD2B47" w14:textId="183309A4" w:rsidR="003C2E3E" w:rsidRDefault="00872D6D" w:rsidP="00756EB2">
      <w:pPr>
        <w:pStyle w:val="SWAHeading3"/>
      </w:pPr>
      <w:r>
        <w:t>Fair Work Act</w:t>
      </w:r>
    </w:p>
    <w:p w14:paraId="3B2CEC5D" w14:textId="77777777" w:rsidR="00F21CE3" w:rsidRDefault="00756EB2" w:rsidP="00756EB2">
      <w:pPr>
        <w:pStyle w:val="Paragraph"/>
      </w:pPr>
      <w:r w:rsidRPr="000F1DE6">
        <w:t>The FW Act aims to provide a balanced framework for cooperative and productive workplace relations that promotes national economic prosperity and social inclusion for all Australians.</w:t>
      </w:r>
      <w:r w:rsidRPr="000F1DE6">
        <w:rPr>
          <w:vertAlign w:val="superscript"/>
        </w:rPr>
        <w:footnoteReference w:id="758"/>
      </w:r>
      <w:r w:rsidRPr="000F1DE6">
        <w:t xml:space="preserve"> It includes provisions relating to matters also covered by the model WHS framework, including:</w:t>
      </w:r>
    </w:p>
    <w:p w14:paraId="2A79C2F3" w14:textId="720B6BA1" w:rsidR="00756EB2" w:rsidRPr="000F1DE6" w:rsidRDefault="00756EB2" w:rsidP="00292435">
      <w:pPr>
        <w:pStyle w:val="ListBullet"/>
      </w:pPr>
      <w:r>
        <w:t>b</w:t>
      </w:r>
      <w:r w:rsidRPr="000F1DE6">
        <w:t>ullying (Part 6-4B, FW Act)</w:t>
      </w:r>
    </w:p>
    <w:p w14:paraId="1C389BF4" w14:textId="77777777" w:rsidR="00756EB2" w:rsidRPr="000F1DE6" w:rsidRDefault="00756EB2" w:rsidP="00292435">
      <w:pPr>
        <w:pStyle w:val="ListBullet"/>
      </w:pPr>
      <w:r>
        <w:t>c</w:t>
      </w:r>
      <w:r w:rsidRPr="000F1DE6">
        <w:t>onsultation (requirements to consult with employees about significant changes in the workplace are set out in awards and enterprise agreements)</w:t>
      </w:r>
    </w:p>
    <w:p w14:paraId="42C3918B" w14:textId="77777777" w:rsidR="00756EB2" w:rsidRPr="000F1DE6" w:rsidRDefault="00756EB2" w:rsidP="00292435">
      <w:pPr>
        <w:pStyle w:val="ListBullet"/>
      </w:pPr>
      <w:r>
        <w:t>d</w:t>
      </w:r>
      <w:r w:rsidRPr="000F1DE6">
        <w:t>iscriminatory conduct (Part 6, model WHS Act; Part 3-1, FW Act)</w:t>
      </w:r>
    </w:p>
    <w:p w14:paraId="63B35A49" w14:textId="77777777" w:rsidR="00756EB2" w:rsidRPr="000F1DE6" w:rsidRDefault="00756EB2" w:rsidP="00292435">
      <w:pPr>
        <w:pStyle w:val="ListBullet"/>
      </w:pPr>
      <w:r>
        <w:t>d</w:t>
      </w:r>
      <w:r w:rsidRPr="000F1DE6">
        <w:t>iscrimination (Part 3-1, Division 5, s 351, FW Act)</w:t>
      </w:r>
    </w:p>
    <w:p w14:paraId="729B85B9" w14:textId="77777777" w:rsidR="00756EB2" w:rsidRPr="000F1DE6" w:rsidRDefault="00756EB2" w:rsidP="00292435">
      <w:pPr>
        <w:pStyle w:val="ListBullet"/>
      </w:pPr>
      <w:r>
        <w:t>d</w:t>
      </w:r>
      <w:r w:rsidRPr="000F1DE6">
        <w:t>ispute resolution (Part 6-2, FW Act)</w:t>
      </w:r>
    </w:p>
    <w:p w14:paraId="5365F6ED" w14:textId="77777777" w:rsidR="00756EB2" w:rsidRPr="000F1DE6" w:rsidRDefault="00756EB2" w:rsidP="00292435">
      <w:pPr>
        <w:pStyle w:val="ListBullet"/>
      </w:pPr>
      <w:r>
        <w:t>r</w:t>
      </w:r>
      <w:r w:rsidRPr="000F1DE6">
        <w:t>ight of entry (Part 7, model WHS Act; Part 3-4, FW Act)</w:t>
      </w:r>
    </w:p>
    <w:p w14:paraId="301B40FB" w14:textId="092D020B" w:rsidR="00872D6D" w:rsidRDefault="00756EB2" w:rsidP="00292435">
      <w:pPr>
        <w:pStyle w:val="ListBullet"/>
      </w:pPr>
      <w:r>
        <w:t>s</w:t>
      </w:r>
      <w:r w:rsidRPr="000F1DE6">
        <w:t>exual harassment (Part 3-5A, FW Act)</w:t>
      </w:r>
      <w:r>
        <w:t>.</w:t>
      </w:r>
    </w:p>
    <w:p w14:paraId="1F79BC5B" w14:textId="77777777" w:rsidR="00F21CE3" w:rsidRDefault="007F5607" w:rsidP="007F5607">
      <w:pPr>
        <w:pStyle w:val="SWAHeading3"/>
        <w:rPr>
          <w:color w:val="2B0A99"/>
        </w:rPr>
      </w:pPr>
      <w:r w:rsidRPr="000F1DE6">
        <w:rPr>
          <w:color w:val="2B0A99"/>
        </w:rPr>
        <w:t>Anti-discrimination</w:t>
      </w:r>
    </w:p>
    <w:p w14:paraId="69E59FC6" w14:textId="45747357" w:rsidR="007F5607" w:rsidRPr="00D54906" w:rsidRDefault="007F5607" w:rsidP="000D26F7">
      <w:pPr>
        <w:pStyle w:val="SWAHeading4"/>
      </w:pPr>
      <w:r w:rsidRPr="00D54906">
        <w:t>Sex discrimination</w:t>
      </w:r>
    </w:p>
    <w:p w14:paraId="37FC6640" w14:textId="77777777" w:rsidR="00F21CE3" w:rsidRDefault="007F5607" w:rsidP="007F5607">
      <w:pPr>
        <w:pStyle w:val="Paragraph"/>
      </w:pPr>
      <w:r w:rsidRPr="000F1DE6">
        <w:t xml:space="preserve">The </w:t>
      </w:r>
      <w:r w:rsidRPr="000F1DE6">
        <w:rPr>
          <w:i/>
        </w:rPr>
        <w:t>Sex Discrimination Act 1984</w:t>
      </w:r>
      <w:r w:rsidRPr="000F1DE6">
        <w:t xml:space="preserve"> (Cth) was amended in 2022 to introduce a positive duty requiring organisations and businesses to take proactive meaningful action to eliminate sexual harassment and other unlawful conduct. It is similar but not identical to the primary duty in the model WHS Act. Complying with the </w:t>
      </w:r>
      <w:r w:rsidRPr="000F1DE6">
        <w:rPr>
          <w:i/>
        </w:rPr>
        <w:t xml:space="preserve">Sex Discrimination Act 1984 </w:t>
      </w:r>
      <w:r w:rsidRPr="000F1DE6">
        <w:t>(Cth)requirements alone will not mean a PCBU has fulfilled their WHS duties.</w:t>
      </w:r>
      <w:r w:rsidRPr="000F1DE6">
        <w:rPr>
          <w:vertAlign w:val="superscript"/>
        </w:rPr>
        <w:footnoteReference w:id="759"/>
      </w:r>
      <w:r w:rsidRPr="000F1DE6">
        <w:t xml:space="preserve"> The amendment was a </w:t>
      </w:r>
      <w:r w:rsidRPr="007C55B7">
        <w:t xml:space="preserve">recommendation of </w:t>
      </w:r>
      <w:r w:rsidRPr="004E7884">
        <w:t>the</w:t>
      </w:r>
      <w:r w:rsidRPr="004E7884">
        <w:rPr>
          <w:i/>
          <w:iCs/>
        </w:rPr>
        <w:t xml:space="preserve"> Respect@Work: National Inquiry into Sexual Harassment in Australian Workplaces </w:t>
      </w:r>
      <w:r w:rsidRPr="00E11A3D">
        <w:t>report</w:t>
      </w:r>
      <w:r w:rsidRPr="004E7884">
        <w:t>,</w:t>
      </w:r>
      <w:r w:rsidRPr="007C55B7">
        <w:t xml:space="preserve"> which revealed the extent of sexual harassment in Australian workplaces and made 55 recommendations to improve the coordination, consistency and clarity between the anti</w:t>
      </w:r>
      <w:r w:rsidRPr="007C55B7">
        <w:noBreakHyphen/>
        <w:t>discrimination, employment and WH</w:t>
      </w:r>
      <w:r w:rsidRPr="000F1DE6">
        <w:t>S legislative schemes.</w:t>
      </w:r>
      <w:r w:rsidRPr="000F1DE6">
        <w:rPr>
          <w:vertAlign w:val="superscript"/>
        </w:rPr>
        <w:footnoteReference w:id="760"/>
      </w:r>
    </w:p>
    <w:p w14:paraId="179CCD02" w14:textId="1C3BAA2E" w:rsidR="007F5607" w:rsidRPr="000F1DE6" w:rsidRDefault="007F5607" w:rsidP="007F5607">
      <w:pPr>
        <w:pStyle w:val="Paragraph"/>
      </w:pPr>
      <w:r w:rsidRPr="000F1DE6">
        <w:t>The Respect@Work Council implemented another recommendation of the Respect@Work report to establish a council with representatives from anti-discrimination, employment and WHS bodies to improve the prevention and response to sexual harassment at work. Safe Work Australia and WHS regulators are core members of the council.</w:t>
      </w:r>
    </w:p>
    <w:p w14:paraId="75717321" w14:textId="77777777" w:rsidR="007F5607" w:rsidRPr="00D54906" w:rsidRDefault="007F5607" w:rsidP="000D26F7">
      <w:pPr>
        <w:pStyle w:val="SWAHeading4"/>
      </w:pPr>
      <w:r w:rsidRPr="00D54906">
        <w:t>Disability discrimination</w:t>
      </w:r>
    </w:p>
    <w:p w14:paraId="2CB4B688" w14:textId="279C0C8B" w:rsidR="0061455F" w:rsidRDefault="007F5607" w:rsidP="00AC1858">
      <w:pPr>
        <w:pStyle w:val="Paragraph"/>
        <w:rPr>
          <w:rFonts w:cs="Arial"/>
        </w:rPr>
      </w:pPr>
      <w:r w:rsidRPr="000F1DE6">
        <w:t xml:space="preserve">The Royal Commission into Violence, Abuse, Neglect and Exploitation of People with Disability (Disability Royal Commission) recommended amending the </w:t>
      </w:r>
      <w:r w:rsidRPr="000F1DE6">
        <w:rPr>
          <w:rFonts w:cs="Arial"/>
          <w:i/>
          <w:iCs/>
        </w:rPr>
        <w:t xml:space="preserve">Disability Discrimination Act 1992 </w:t>
      </w:r>
      <w:r w:rsidRPr="000F1DE6">
        <w:rPr>
          <w:rFonts w:cs="Arial"/>
        </w:rPr>
        <w:t>(Cth) to ‘introduce a positive duty on all duty</w:t>
      </w:r>
      <w:r>
        <w:rPr>
          <w:rFonts w:cs="Arial"/>
        </w:rPr>
        <w:t>-</w:t>
      </w:r>
      <w:r w:rsidRPr="000F1DE6">
        <w:rPr>
          <w:rFonts w:cs="Arial"/>
        </w:rPr>
        <w:t xml:space="preserve">holders under the Act to eliminate disability discrimination, harassment and victimisation, based on the December 2022 amendments to the </w:t>
      </w:r>
      <w:r w:rsidRPr="000F1DE6">
        <w:rPr>
          <w:rFonts w:cs="Arial"/>
          <w:i/>
          <w:iCs/>
        </w:rPr>
        <w:t xml:space="preserve">Sex Discrimination Act </w:t>
      </w:r>
      <w:r w:rsidRPr="004E7884">
        <w:rPr>
          <w:rFonts w:cs="Arial"/>
          <w:i/>
          <w:iCs/>
        </w:rPr>
        <w:t xml:space="preserve">1984 </w:t>
      </w:r>
      <w:r w:rsidRPr="004E7884">
        <w:rPr>
          <w:rFonts w:cs="Arial"/>
        </w:rPr>
        <w:t>(Cth)’</w:t>
      </w:r>
      <w:r w:rsidR="001810AD">
        <w:rPr>
          <w:rFonts w:cs="Arial"/>
        </w:rPr>
        <w:t>.</w:t>
      </w:r>
      <w:r w:rsidRPr="004E7884">
        <w:rPr>
          <w:rFonts w:cs="Arial"/>
        </w:rPr>
        <w:t xml:space="preserve"> This duty</w:t>
      </w:r>
      <w:r w:rsidRPr="000F1DE6">
        <w:rPr>
          <w:rFonts w:cs="Arial"/>
        </w:rPr>
        <w:t xml:space="preserve"> would not limit or otherwise affect a duty that a duty holder has under WHS laws.</w:t>
      </w:r>
      <w:r w:rsidRPr="000F1DE6">
        <w:rPr>
          <w:rFonts w:cs="Arial"/>
          <w:vertAlign w:val="superscript"/>
        </w:rPr>
        <w:footnoteReference w:id="761"/>
      </w:r>
      <w:r w:rsidRPr="000F1DE6">
        <w:rPr>
          <w:rFonts w:cs="Arial"/>
        </w:rPr>
        <w:t xml:space="preserve"> </w:t>
      </w:r>
      <w:r w:rsidR="0061455F">
        <w:rPr>
          <w:rFonts w:cs="Arial"/>
        </w:rPr>
        <w:br w:type="page"/>
      </w:r>
    </w:p>
    <w:p w14:paraId="2DA564F6" w14:textId="77777777" w:rsidR="00F21CE3" w:rsidRDefault="007F5607" w:rsidP="007F5607">
      <w:pPr>
        <w:pStyle w:val="Paragraph"/>
        <w:rPr>
          <w:rFonts w:eastAsia="Arial" w:cs="Arial"/>
        </w:rPr>
      </w:pPr>
      <w:r w:rsidRPr="000F1DE6">
        <w:lastRenderedPageBreak/>
        <w:t>The Disability Royal Commission also found information is lacking for duty holders and that there is no consistent regulatory approach to the employment of people with disability who are subject to different regulatory regimes.</w:t>
      </w:r>
      <w:r w:rsidRPr="000F1DE6">
        <w:rPr>
          <w:rFonts w:eastAsia="Arial" w:cs="Arial"/>
        </w:rPr>
        <w:t xml:space="preserve"> It recommended the Australian Government convene a Disability Employment Rights Council to improve coordination, consistency and clarity across regulatory bodies and frameworks to improve outcomes for people with disability in employment.</w:t>
      </w:r>
      <w:r w:rsidRPr="000F1DE6">
        <w:rPr>
          <w:rFonts w:eastAsia="Arial" w:cs="Arial"/>
          <w:vertAlign w:val="superscript"/>
        </w:rPr>
        <w:footnoteReference w:id="762"/>
      </w:r>
    </w:p>
    <w:p w14:paraId="12CEB911" w14:textId="68EB8049" w:rsidR="007F5607" w:rsidRPr="00D54906" w:rsidRDefault="007F5607" w:rsidP="000D26F7">
      <w:pPr>
        <w:pStyle w:val="SWAHeading4"/>
      </w:pPr>
      <w:r w:rsidRPr="00D54906">
        <w:t>Race discrimination</w:t>
      </w:r>
    </w:p>
    <w:p w14:paraId="66CAB24B" w14:textId="77777777" w:rsidR="00F21CE3" w:rsidRDefault="007F5607" w:rsidP="003C2E3E">
      <w:pPr>
        <w:pStyle w:val="Paragraph"/>
      </w:pPr>
      <w:r w:rsidRPr="000F1DE6">
        <w:t xml:space="preserve">The </w:t>
      </w:r>
      <w:r w:rsidRPr="00AC1858">
        <w:rPr>
          <w:i/>
          <w:iCs/>
        </w:rPr>
        <w:t>National Anti-</w:t>
      </w:r>
      <w:r w:rsidRPr="004E7884">
        <w:rPr>
          <w:i/>
          <w:iCs/>
        </w:rPr>
        <w:t>Racism Framework</w:t>
      </w:r>
      <w:r w:rsidRPr="004E7884">
        <w:t xml:space="preserve"> recommends</w:t>
      </w:r>
      <w:r w:rsidRPr="000F1DE6">
        <w:t xml:space="preserve"> amending the </w:t>
      </w:r>
      <w:r w:rsidRPr="000F1DE6">
        <w:rPr>
          <w:i/>
        </w:rPr>
        <w:t xml:space="preserve">Racial Discrimination Act 1975 </w:t>
      </w:r>
      <w:r w:rsidRPr="000F1DE6">
        <w:t>(Cth) to include a positive duty to eliminate racial discrimination.</w:t>
      </w:r>
      <w:r w:rsidRPr="000F1DE6">
        <w:rPr>
          <w:vertAlign w:val="superscript"/>
        </w:rPr>
        <w:footnoteReference w:id="763"/>
      </w:r>
      <w:r w:rsidRPr="000F1DE6">
        <w:t xml:space="preserve"> It also recommends the incorporation of cultural safety </w:t>
      </w:r>
      <w:r>
        <w:t>C</w:t>
      </w:r>
      <w:r w:rsidRPr="000F1DE6">
        <w:t>odes of Practice into WHS legislation and convening a national council of state and territory anti-discrimination and human rights bodies, WHS agencies, and relevant peak organisations to develop nationally consistent standards for employers and employees to report experiences of racism and racial discrimination in the workplace.</w:t>
      </w:r>
      <w:r w:rsidRPr="000F1DE6">
        <w:rPr>
          <w:vertAlign w:val="superscript"/>
        </w:rPr>
        <w:footnoteReference w:id="764"/>
      </w:r>
    </w:p>
    <w:p w14:paraId="4D5480F3" w14:textId="3D1EEF2F" w:rsidR="003629CC" w:rsidRDefault="003629CC" w:rsidP="00B55277">
      <w:pPr>
        <w:pStyle w:val="Paragraph"/>
        <w:rPr>
          <w:lang w:eastAsia="en-US"/>
        </w:rPr>
        <w:sectPr w:rsidR="003629CC" w:rsidSect="00DF1707">
          <w:headerReference w:type="default" r:id="rId45"/>
          <w:pgSz w:w="11906" w:h="16838" w:code="9"/>
          <w:pgMar w:top="1440" w:right="1080" w:bottom="1440" w:left="1080" w:header="709" w:footer="709" w:gutter="0"/>
          <w:cols w:space="708"/>
          <w:titlePg/>
          <w:docGrid w:linePitch="360"/>
        </w:sectPr>
      </w:pPr>
    </w:p>
    <w:p w14:paraId="4AFBF81A" w14:textId="14FE9785" w:rsidR="00B55277" w:rsidRDefault="00B55277" w:rsidP="0016789A">
      <w:pPr>
        <w:pStyle w:val="SWAHeading1"/>
        <w:numPr>
          <w:ilvl w:val="0"/>
          <w:numId w:val="0"/>
        </w:numPr>
        <w:spacing w:after="240"/>
      </w:pPr>
      <w:bookmarkStart w:id="132" w:name="_Toc239845175"/>
      <w:r>
        <w:lastRenderedPageBreak/>
        <w:t>Appendix D: Consultation, representation and participation</w:t>
      </w:r>
      <w:bookmarkEnd w:id="132"/>
    </w:p>
    <w:tbl>
      <w:tblPr>
        <w:tblStyle w:val="Style9"/>
        <w:tblpPr w:leftFromText="180" w:rightFromText="180" w:vertAnchor="text" w:horzAnchor="margin" w:tblpY="323"/>
        <w:tblW w:w="5000" w:type="pct"/>
        <w:tblCellMar>
          <w:top w:w="57" w:type="dxa"/>
          <w:bottom w:w="57" w:type="dxa"/>
        </w:tblCellMar>
        <w:tblLook w:val="0600" w:firstRow="0" w:lastRow="0" w:firstColumn="0" w:lastColumn="0" w:noHBand="1" w:noVBand="1"/>
      </w:tblPr>
      <w:tblGrid>
        <w:gridCol w:w="465"/>
        <w:gridCol w:w="14213"/>
      </w:tblGrid>
      <w:tr w:rsidR="00B55277" w:rsidRPr="0016789A" w14:paraId="41AAD303" w14:textId="77777777" w:rsidTr="0016789A">
        <w:tc>
          <w:tcPr>
            <w:tcW w:w="5000" w:type="pct"/>
            <w:gridSpan w:val="2"/>
          </w:tcPr>
          <w:p w14:paraId="3C20640B" w14:textId="2363969D" w:rsidR="00B55277" w:rsidRPr="0016789A" w:rsidRDefault="002E5930" w:rsidP="00B55277">
            <w:pPr>
              <w:pStyle w:val="Tableheader"/>
              <w:rPr>
                <w:b/>
                <w:bCs/>
                <w:szCs w:val="22"/>
              </w:rPr>
            </w:pPr>
            <w:r w:rsidRPr="0016789A">
              <w:rPr>
                <w:b/>
                <w:szCs w:val="22"/>
              </w:rPr>
              <w:t>Health and safety representative elections and health and safety committee processes</w:t>
            </w:r>
          </w:p>
        </w:tc>
      </w:tr>
      <w:tr w:rsidR="00B55277" w:rsidRPr="0016789A" w14:paraId="512265A7" w14:textId="77777777" w:rsidTr="0016789A">
        <w:tc>
          <w:tcPr>
            <w:tcW w:w="153" w:type="pct"/>
          </w:tcPr>
          <w:p w14:paraId="516DEBD6" w14:textId="77777777" w:rsidR="00B55277" w:rsidRPr="0016789A" w:rsidRDefault="00B55277">
            <w:pPr>
              <w:keepNext/>
              <w:spacing w:after="0" w:line="240" w:lineRule="auto"/>
              <w:rPr>
                <w:rFonts w:ascii="Aptos" w:hAnsi="Aptos"/>
                <w:szCs w:val="22"/>
              </w:rPr>
            </w:pPr>
            <w:r w:rsidRPr="0016789A">
              <w:rPr>
                <w:rFonts w:ascii="Aptos" w:hAnsi="Aptos"/>
                <w:szCs w:val="22"/>
              </w:rPr>
              <w:t xml:space="preserve">1. </w:t>
            </w:r>
          </w:p>
        </w:tc>
        <w:tc>
          <w:tcPr>
            <w:tcW w:w="4847" w:type="pct"/>
          </w:tcPr>
          <w:p w14:paraId="00FD511B" w14:textId="11CF3F76" w:rsidR="00B55277" w:rsidRPr="0016789A" w:rsidRDefault="00B55277" w:rsidP="00447786">
            <w:pPr>
              <w:pStyle w:val="Listnumber2tables"/>
              <w:numPr>
                <w:ilvl w:val="0"/>
                <w:numId w:val="27"/>
              </w:numPr>
              <w:ind w:left="1021" w:hanging="380"/>
              <w:rPr>
                <w:rFonts w:eastAsia="Aptos"/>
                <w:sz w:val="22"/>
              </w:rPr>
            </w:pPr>
            <w:r w:rsidRPr="0016789A">
              <w:rPr>
                <w:rFonts w:eastAsia="Aptos"/>
                <w:sz w:val="22"/>
              </w:rPr>
              <w:t>Qld variations</w:t>
            </w:r>
            <w:r w:rsidR="006073D8" w:rsidRPr="0016789A">
              <w:rPr>
                <w:rFonts w:eastAsia="Aptos"/>
                <w:sz w:val="22"/>
              </w:rPr>
              <w:t xml:space="preserve"> </w:t>
            </w:r>
            <w:r w:rsidR="006073D8" w:rsidRPr="0016789A">
              <w:rPr>
                <w:rFonts w:eastAsia="Aptos" w:cs="Aptos"/>
                <w:color w:val="000000" w:themeColor="text1"/>
                <w:sz w:val="22"/>
              </w:rPr>
              <w:t>(</w:t>
            </w:r>
            <w:hyperlink r:id="rId46" w:anchor="sec.52" w:history="1">
              <w:r w:rsidR="006073D8" w:rsidRPr="0016789A">
                <w:rPr>
                  <w:rStyle w:val="Hyperlink"/>
                  <w:rFonts w:eastAsia="Aptos" w:cs="Aptos"/>
                  <w:sz w:val="22"/>
                </w:rPr>
                <w:t>ss 52</w:t>
              </w:r>
            </w:hyperlink>
            <w:r w:rsidR="006073D8" w:rsidRPr="0016789A">
              <w:rPr>
                <w:rFonts w:eastAsia="Aptos" w:cs="Aptos"/>
                <w:color w:val="000000" w:themeColor="text1"/>
                <w:sz w:val="22"/>
              </w:rPr>
              <w:t xml:space="preserve"> and </w:t>
            </w:r>
            <w:hyperlink r:id="rId47" w:anchor="sec.54" w:history="1">
              <w:r w:rsidR="006073D8" w:rsidRPr="0016789A">
                <w:rPr>
                  <w:rStyle w:val="Hyperlink"/>
                  <w:rFonts w:eastAsia="Aptos" w:cs="Aptos"/>
                  <w:sz w:val="22"/>
                </w:rPr>
                <w:t>54</w:t>
              </w:r>
            </w:hyperlink>
            <w:r w:rsidR="006073D8" w:rsidRPr="0016789A">
              <w:rPr>
                <w:rFonts w:eastAsia="Aptos" w:cs="Aptos"/>
                <w:color w:val="000000" w:themeColor="text1"/>
                <w:sz w:val="22"/>
              </w:rPr>
              <w:t xml:space="preserve">) </w:t>
            </w:r>
            <w:r w:rsidRPr="0016789A">
              <w:rPr>
                <w:rFonts w:eastAsia="Aptos"/>
                <w:sz w:val="22"/>
              </w:rPr>
              <w:t xml:space="preserve">providing clearer timeframes for negotiating work groups and </w:t>
            </w:r>
            <w:r w:rsidR="004F78E8" w:rsidRPr="0016789A">
              <w:rPr>
                <w:rFonts w:eastAsia="Aptos"/>
                <w:sz w:val="22"/>
              </w:rPr>
              <w:t>allowing</w:t>
            </w:r>
            <w:r w:rsidRPr="0016789A">
              <w:rPr>
                <w:rFonts w:eastAsia="Aptos"/>
                <w:sz w:val="22"/>
              </w:rPr>
              <w:t xml:space="preserve"> mutual timeframe extensions.</w:t>
            </w:r>
          </w:p>
          <w:p w14:paraId="2075D190" w14:textId="77777777" w:rsidR="00A53370" w:rsidRPr="0016789A" w:rsidRDefault="00A53370" w:rsidP="00447786">
            <w:pPr>
              <w:pStyle w:val="Listnumber2tables"/>
              <w:keepNext/>
              <w:numPr>
                <w:ilvl w:val="0"/>
                <w:numId w:val="27"/>
              </w:numPr>
              <w:ind w:left="1021" w:hanging="380"/>
              <w:rPr>
                <w:sz w:val="22"/>
              </w:rPr>
            </w:pPr>
            <w:r w:rsidRPr="0016789A">
              <w:rPr>
                <w:sz w:val="22"/>
              </w:rPr>
              <w:t>Qld variations (</w:t>
            </w:r>
            <w:hyperlink r:id="rId48" w:anchor="sec.50A" w:history="1">
              <w:r w:rsidRPr="0016789A">
                <w:rPr>
                  <w:rStyle w:val="Hyperlink"/>
                  <w:sz w:val="22"/>
                </w:rPr>
                <w:t>ss 50A</w:t>
              </w:r>
            </w:hyperlink>
            <w:r w:rsidRPr="0016789A">
              <w:rPr>
                <w:sz w:val="22"/>
              </w:rPr>
              <w:t xml:space="preserve"> and </w:t>
            </w:r>
            <w:hyperlink r:id="rId49" w:anchor="sec.62A" w:history="1">
              <w:r w:rsidRPr="0016789A">
                <w:rPr>
                  <w:rStyle w:val="Hyperlink"/>
                  <w:sz w:val="22"/>
                </w:rPr>
                <w:t>62A</w:t>
              </w:r>
            </w:hyperlink>
            <w:r w:rsidRPr="0016789A">
              <w:rPr>
                <w:sz w:val="22"/>
              </w:rPr>
              <w:t>) prohibiting PCBUs from discouraging the election of an HSR or a request for an HSR election.</w:t>
            </w:r>
          </w:p>
          <w:p w14:paraId="24DD195A" w14:textId="5C8ECD43" w:rsidR="00B55277" w:rsidRPr="0016789A" w:rsidRDefault="001D523C" w:rsidP="00447786">
            <w:pPr>
              <w:pStyle w:val="Listnumber2tables"/>
              <w:numPr>
                <w:ilvl w:val="0"/>
                <w:numId w:val="27"/>
              </w:numPr>
              <w:ind w:left="1021" w:hanging="380"/>
              <w:rPr>
                <w:rFonts w:eastAsia="Aptos"/>
                <w:sz w:val="22"/>
              </w:rPr>
            </w:pPr>
            <w:r w:rsidRPr="0016789A">
              <w:rPr>
                <w:rFonts w:eastAsia="Aptos" w:cs="Aptos"/>
                <w:color w:val="000000" w:themeColor="text1"/>
                <w:sz w:val="22"/>
              </w:rPr>
              <w:t>Qld variation (</w:t>
            </w:r>
            <w:hyperlink r:id="rId50" w:anchor="sec.75" w:history="1">
              <w:r w:rsidRPr="0016789A">
                <w:rPr>
                  <w:rStyle w:val="Hyperlink"/>
                  <w:rFonts w:eastAsia="Aptos" w:cs="Aptos"/>
                  <w:sz w:val="22"/>
                </w:rPr>
                <w:t>s 75</w:t>
              </w:r>
            </w:hyperlink>
            <w:r w:rsidRPr="0016789A">
              <w:rPr>
                <w:rFonts w:eastAsia="Aptos" w:cs="Aptos"/>
                <w:color w:val="000000" w:themeColor="text1"/>
                <w:sz w:val="22"/>
              </w:rPr>
              <w:t>) providing clearer timeframes for PCBUs to establish an HSC.</w:t>
            </w:r>
          </w:p>
        </w:tc>
      </w:tr>
      <w:tr w:rsidR="00B55277" w:rsidRPr="0016789A" w14:paraId="0ADEA7FD" w14:textId="77777777" w:rsidTr="0016789A">
        <w:tc>
          <w:tcPr>
            <w:tcW w:w="5000" w:type="pct"/>
            <w:gridSpan w:val="2"/>
          </w:tcPr>
          <w:p w14:paraId="2FA29298" w14:textId="3A27D9A0" w:rsidR="00B55277" w:rsidRPr="0016789A" w:rsidRDefault="00B55277" w:rsidP="00B55277">
            <w:pPr>
              <w:pStyle w:val="Tableheader"/>
              <w:rPr>
                <w:b/>
                <w:bCs/>
                <w:szCs w:val="22"/>
              </w:rPr>
            </w:pPr>
            <w:r w:rsidRPr="0016789A">
              <w:rPr>
                <w:b/>
                <w:bCs/>
                <w:szCs w:val="22"/>
              </w:rPr>
              <w:t xml:space="preserve">Health and </w:t>
            </w:r>
            <w:r w:rsidR="00853222" w:rsidRPr="0016789A">
              <w:rPr>
                <w:b/>
                <w:bCs/>
                <w:szCs w:val="22"/>
              </w:rPr>
              <w:t>s</w:t>
            </w:r>
            <w:r w:rsidRPr="0016789A">
              <w:rPr>
                <w:b/>
                <w:bCs/>
                <w:szCs w:val="22"/>
              </w:rPr>
              <w:t xml:space="preserve">afety </w:t>
            </w:r>
            <w:r w:rsidR="00853222" w:rsidRPr="0016789A">
              <w:rPr>
                <w:b/>
                <w:bCs/>
                <w:szCs w:val="22"/>
              </w:rPr>
              <w:t>r</w:t>
            </w:r>
            <w:r w:rsidRPr="0016789A">
              <w:rPr>
                <w:b/>
                <w:bCs/>
                <w:szCs w:val="22"/>
              </w:rPr>
              <w:t>epresentative powers and functions</w:t>
            </w:r>
          </w:p>
        </w:tc>
      </w:tr>
      <w:tr w:rsidR="00B55277" w:rsidRPr="0016789A" w14:paraId="06BF3327" w14:textId="77777777" w:rsidTr="0016789A">
        <w:tc>
          <w:tcPr>
            <w:tcW w:w="153" w:type="pct"/>
          </w:tcPr>
          <w:p w14:paraId="1ADF556D" w14:textId="77777777" w:rsidR="00B55277" w:rsidRPr="0016789A" w:rsidRDefault="00B55277">
            <w:pPr>
              <w:spacing w:after="0" w:line="240" w:lineRule="auto"/>
              <w:rPr>
                <w:rFonts w:ascii="Aptos" w:hAnsi="Aptos"/>
                <w:szCs w:val="22"/>
              </w:rPr>
            </w:pPr>
            <w:r w:rsidRPr="0016789A">
              <w:rPr>
                <w:rFonts w:ascii="Aptos" w:hAnsi="Aptos"/>
                <w:szCs w:val="22"/>
              </w:rPr>
              <w:t xml:space="preserve">2. </w:t>
            </w:r>
          </w:p>
        </w:tc>
        <w:tc>
          <w:tcPr>
            <w:tcW w:w="4847" w:type="pct"/>
          </w:tcPr>
          <w:p w14:paraId="04DCF923" w14:textId="77777777" w:rsidR="006259F4" w:rsidRPr="0016789A" w:rsidRDefault="00957B2D" w:rsidP="00447786">
            <w:pPr>
              <w:pStyle w:val="Listnumber2tables"/>
              <w:numPr>
                <w:ilvl w:val="0"/>
                <w:numId w:val="50"/>
              </w:numPr>
              <w:ind w:left="1021" w:hanging="380"/>
              <w:rPr>
                <w:rFonts w:eastAsia="Aptos"/>
                <w:sz w:val="22"/>
              </w:rPr>
            </w:pPr>
            <w:r w:rsidRPr="0016789A">
              <w:rPr>
                <w:rFonts w:eastAsia="Aptos"/>
                <w:sz w:val="22"/>
              </w:rPr>
              <w:t>Qld, WA and Vic variations modernising the information</w:t>
            </w:r>
            <w:r w:rsidRPr="0016789A">
              <w:rPr>
                <w:rFonts w:eastAsia="Aptos"/>
                <w:sz w:val="22"/>
              </w:rPr>
              <w:noBreakHyphen/>
              <w:t>gathering powers of HSRs, including:</w:t>
            </w:r>
          </w:p>
          <w:p w14:paraId="2C4E7295" w14:textId="16EADD99" w:rsidR="001C7D5B" w:rsidRPr="0016789A" w:rsidRDefault="00957B2D" w:rsidP="003A6B7A">
            <w:pPr>
              <w:pStyle w:val="ListNumber2"/>
              <w:numPr>
                <w:ilvl w:val="2"/>
                <w:numId w:val="15"/>
              </w:numPr>
              <w:rPr>
                <w:szCs w:val="22"/>
              </w:rPr>
            </w:pPr>
            <w:r w:rsidRPr="0016789A">
              <w:rPr>
                <w:szCs w:val="22"/>
              </w:rPr>
              <w:t xml:space="preserve">to take photographs, video or audio recordings, measurements or samples (subject to appropriate safeguards) (Vic OHS Act, </w:t>
            </w:r>
            <w:hyperlink r:id="rId51" w:history="1">
              <w:r w:rsidRPr="0016789A">
                <w:rPr>
                  <w:rStyle w:val="Hyperlink"/>
                  <w:szCs w:val="22"/>
                </w:rPr>
                <w:t>s 58(1)(ab))</w:t>
              </w:r>
            </w:hyperlink>
          </w:p>
          <w:p w14:paraId="6301B045" w14:textId="77777777" w:rsidR="001C7D5B" w:rsidRPr="0016789A" w:rsidRDefault="00957B2D" w:rsidP="003A6B7A">
            <w:pPr>
              <w:pStyle w:val="ListNumber2"/>
              <w:numPr>
                <w:ilvl w:val="2"/>
                <w:numId w:val="15"/>
              </w:numPr>
              <w:rPr>
                <w:szCs w:val="22"/>
              </w:rPr>
            </w:pPr>
            <w:r w:rsidRPr="0016789A">
              <w:rPr>
                <w:szCs w:val="22"/>
              </w:rPr>
              <w:t xml:space="preserve">HSRs may </w:t>
            </w:r>
            <w:r w:rsidRPr="0016789A">
              <w:rPr>
                <w:iCs/>
                <w:szCs w:val="22"/>
              </w:rPr>
              <w:t>request</w:t>
            </w:r>
            <w:r w:rsidRPr="0016789A">
              <w:rPr>
                <w:i/>
                <w:szCs w:val="22"/>
              </w:rPr>
              <w:t xml:space="preserve"> </w:t>
            </w:r>
            <w:r w:rsidRPr="0016789A">
              <w:rPr>
                <w:szCs w:val="22"/>
              </w:rPr>
              <w:t xml:space="preserve">information concerning the WHS of workers in the work group (Qld WHS Act, </w:t>
            </w:r>
            <w:hyperlink r:id="rId52" w:anchor="sec.68" w:history="1">
              <w:r w:rsidRPr="0016789A">
                <w:rPr>
                  <w:rStyle w:val="Hyperlink"/>
                  <w:szCs w:val="22"/>
                </w:rPr>
                <w:t>s 68(2)(f)</w:t>
              </w:r>
            </w:hyperlink>
            <w:r w:rsidRPr="0016789A">
              <w:rPr>
                <w:szCs w:val="22"/>
              </w:rPr>
              <w:t>)</w:t>
            </w:r>
          </w:p>
          <w:p w14:paraId="52D430F0" w14:textId="40352400" w:rsidR="00D66B86" w:rsidRPr="0016789A" w:rsidRDefault="00957B2D" w:rsidP="003A6B7A">
            <w:pPr>
              <w:pStyle w:val="ListNumber2"/>
              <w:numPr>
                <w:ilvl w:val="2"/>
                <w:numId w:val="15"/>
              </w:numPr>
              <w:rPr>
                <w:szCs w:val="22"/>
              </w:rPr>
            </w:pPr>
            <w:r w:rsidRPr="0016789A">
              <w:rPr>
                <w:szCs w:val="22"/>
              </w:rPr>
              <w:t>requiring PCBUs to inform an HSR about statutory notices issued by an inspector, EPH entry notices and notifiable incidents (Qld</w:t>
            </w:r>
            <w:r w:rsidR="00B060CD">
              <w:rPr>
                <w:szCs w:val="22"/>
              </w:rPr>
              <w:t> </w:t>
            </w:r>
            <w:r w:rsidRPr="0016789A">
              <w:rPr>
                <w:szCs w:val="22"/>
              </w:rPr>
              <w:t>WHS Act,</w:t>
            </w:r>
            <w:hyperlink r:id="rId53" w:anchor="sec.70" w:history="1">
              <w:r w:rsidRPr="0016789A">
                <w:rPr>
                  <w:rStyle w:val="Hyperlink"/>
                  <w:szCs w:val="22"/>
                </w:rPr>
                <w:t xml:space="preserve"> ss 70(1)(ca)(cb)(cc)</w:t>
              </w:r>
            </w:hyperlink>
            <w:r w:rsidRPr="0016789A">
              <w:rPr>
                <w:szCs w:val="22"/>
              </w:rPr>
              <w:t xml:space="preserve">and </w:t>
            </w:r>
            <w:hyperlink r:id="rId54" w:anchor="sec.71" w:history="1">
              <w:r w:rsidRPr="0016789A">
                <w:rPr>
                  <w:rStyle w:val="Hyperlink"/>
                  <w:szCs w:val="22"/>
                </w:rPr>
                <w:t>71(8)</w:t>
              </w:r>
            </w:hyperlink>
            <w:r w:rsidRPr="0016789A">
              <w:rPr>
                <w:szCs w:val="22"/>
              </w:rPr>
              <w:t>)</w:t>
            </w:r>
          </w:p>
          <w:p w14:paraId="2FBBAFCD" w14:textId="77777777" w:rsidR="00F21CE3" w:rsidRDefault="00957B2D" w:rsidP="003A6B7A">
            <w:pPr>
              <w:pStyle w:val="ListNumber2"/>
              <w:numPr>
                <w:ilvl w:val="2"/>
                <w:numId w:val="15"/>
              </w:numPr>
              <w:rPr>
                <w:szCs w:val="22"/>
              </w:rPr>
            </w:pPr>
            <w:r w:rsidRPr="0016789A">
              <w:rPr>
                <w:szCs w:val="22"/>
              </w:rPr>
              <w:t xml:space="preserve">requiring that a PCBU notify an HSR of a review of a PIN (WA WHS Act, </w:t>
            </w:r>
            <w:hyperlink r:id="rId55" w:history="1">
              <w:r w:rsidRPr="0016789A">
                <w:rPr>
                  <w:rStyle w:val="Hyperlink"/>
                  <w:szCs w:val="22"/>
                </w:rPr>
                <w:t>s 100(2)</w:t>
              </w:r>
            </w:hyperlink>
            <w:r w:rsidRPr="0016789A">
              <w:rPr>
                <w:szCs w:val="22"/>
              </w:rPr>
              <w:t>).</w:t>
            </w:r>
          </w:p>
          <w:p w14:paraId="5DFB24CA" w14:textId="0926C762" w:rsidR="00353678" w:rsidRPr="0016789A" w:rsidRDefault="00957B2D" w:rsidP="00447786">
            <w:pPr>
              <w:pStyle w:val="Listnumber2tables"/>
              <w:numPr>
                <w:ilvl w:val="0"/>
                <w:numId w:val="50"/>
              </w:numPr>
              <w:ind w:left="1021" w:hanging="380"/>
              <w:rPr>
                <w:sz w:val="22"/>
              </w:rPr>
            </w:pPr>
            <w:r w:rsidRPr="0016789A">
              <w:rPr>
                <w:rFonts w:eastAsia="Aptos"/>
                <w:sz w:val="22"/>
              </w:rPr>
              <w:t>Qld variation (</w:t>
            </w:r>
            <w:hyperlink r:id="rId56" w:anchor="sec.97A" w:history="1">
              <w:r w:rsidR="00F3139E" w:rsidRPr="0016789A">
                <w:rPr>
                  <w:rStyle w:val="Hyperlink"/>
                  <w:sz w:val="22"/>
                </w:rPr>
                <w:t>s 97A</w:t>
              </w:r>
            </w:hyperlink>
            <w:r w:rsidRPr="0016789A">
              <w:rPr>
                <w:rFonts w:eastAsia="Aptos"/>
                <w:sz w:val="22"/>
              </w:rPr>
              <w:t>) requiring PCBUs to give the WHS regulator a copy of any PIN issued to it by an HSR.</w:t>
            </w:r>
          </w:p>
        </w:tc>
      </w:tr>
      <w:tr w:rsidR="00B55277" w:rsidRPr="0016789A" w14:paraId="650837DD" w14:textId="77777777" w:rsidTr="0016789A">
        <w:tc>
          <w:tcPr>
            <w:tcW w:w="153" w:type="pct"/>
          </w:tcPr>
          <w:p w14:paraId="701A0381" w14:textId="77777777" w:rsidR="00B55277" w:rsidRPr="0016789A" w:rsidRDefault="00B55277">
            <w:pPr>
              <w:tabs>
                <w:tab w:val="left" w:pos="1704"/>
              </w:tabs>
              <w:spacing w:after="0" w:line="240" w:lineRule="auto"/>
              <w:rPr>
                <w:rFonts w:ascii="Aptos" w:hAnsi="Aptos"/>
                <w:szCs w:val="22"/>
              </w:rPr>
            </w:pPr>
            <w:r w:rsidRPr="0016789A">
              <w:rPr>
                <w:rFonts w:ascii="Aptos" w:hAnsi="Aptos"/>
                <w:szCs w:val="22"/>
              </w:rPr>
              <w:t xml:space="preserve">3. </w:t>
            </w:r>
          </w:p>
        </w:tc>
        <w:tc>
          <w:tcPr>
            <w:tcW w:w="4847" w:type="pct"/>
          </w:tcPr>
          <w:p w14:paraId="22CB3DDF" w14:textId="6567309C" w:rsidR="0066105A" w:rsidRPr="0016789A" w:rsidRDefault="0066105A" w:rsidP="00447786">
            <w:pPr>
              <w:pStyle w:val="ListNumber2"/>
              <w:numPr>
                <w:ilvl w:val="3"/>
                <w:numId w:val="38"/>
              </w:numPr>
              <w:tabs>
                <w:tab w:val="num" w:pos="1033"/>
                <w:tab w:val="left" w:pos="1704"/>
              </w:tabs>
              <w:ind w:left="1021" w:hanging="380"/>
              <w:rPr>
                <w:szCs w:val="22"/>
              </w:rPr>
            </w:pPr>
            <w:r w:rsidRPr="0016789A">
              <w:rPr>
                <w:szCs w:val="22"/>
              </w:rPr>
              <w:t>Qld variation (</w:t>
            </w:r>
            <w:hyperlink r:id="rId57" w:anchor="sec.70" w:history="1">
              <w:r w:rsidRPr="0016789A">
                <w:rPr>
                  <w:rStyle w:val="Hyperlink"/>
                  <w:szCs w:val="22"/>
                </w:rPr>
                <w:t>s 70</w:t>
              </w:r>
            </w:hyperlink>
            <w:r w:rsidRPr="0016789A">
              <w:rPr>
                <w:szCs w:val="22"/>
              </w:rPr>
              <w:t>) requiring PCBUs to inform and make available an HSR for a relevant inspector or WHS EPH visit.</w:t>
            </w:r>
          </w:p>
          <w:p w14:paraId="389C7383" w14:textId="3EE822A5" w:rsidR="00B55277" w:rsidRPr="0016789A" w:rsidRDefault="0066105A" w:rsidP="0016789A">
            <w:pPr>
              <w:pStyle w:val="ListNumber2"/>
              <w:numPr>
                <w:ilvl w:val="3"/>
                <w:numId w:val="21"/>
              </w:numPr>
              <w:tabs>
                <w:tab w:val="num" w:pos="1033"/>
                <w:tab w:val="left" w:pos="1704"/>
              </w:tabs>
              <w:spacing w:after="720"/>
              <w:ind w:left="1021" w:hanging="380"/>
              <w:rPr>
                <w:szCs w:val="22"/>
              </w:rPr>
            </w:pPr>
            <w:r w:rsidRPr="0016789A">
              <w:rPr>
                <w:szCs w:val="22"/>
              </w:rPr>
              <w:t>Qld, SA, NSW (and others) variations (</w:t>
            </w:r>
            <w:hyperlink r:id="rId58" w:anchor="sec.74" w:history="1">
              <w:r w:rsidRPr="0016789A">
                <w:rPr>
                  <w:rStyle w:val="Hyperlink"/>
                  <w:szCs w:val="22"/>
                </w:rPr>
                <w:t>s 74</w:t>
              </w:r>
            </w:hyperlink>
            <w:r w:rsidRPr="0016789A">
              <w:rPr>
                <w:szCs w:val="22"/>
              </w:rPr>
              <w:t>) requiring PCBUs to provide the regulator with a current list of HSRs and deputy HSRs for each work group.</w:t>
            </w:r>
          </w:p>
        </w:tc>
      </w:tr>
      <w:tr w:rsidR="00B55277" w:rsidRPr="0016789A" w14:paraId="3BA598A8" w14:textId="77777777" w:rsidTr="0016789A">
        <w:trPr>
          <w:trHeight w:val="77"/>
        </w:trPr>
        <w:tc>
          <w:tcPr>
            <w:tcW w:w="5000" w:type="pct"/>
            <w:gridSpan w:val="2"/>
          </w:tcPr>
          <w:p w14:paraId="0753F9DF" w14:textId="306878B3" w:rsidR="00B55277" w:rsidRPr="0016789A" w:rsidRDefault="00B55277" w:rsidP="00B55277">
            <w:pPr>
              <w:pStyle w:val="Tableheader"/>
              <w:rPr>
                <w:b/>
                <w:bCs/>
                <w:szCs w:val="22"/>
              </w:rPr>
            </w:pPr>
            <w:r w:rsidRPr="0016789A">
              <w:rPr>
                <w:b/>
                <w:bCs/>
                <w:szCs w:val="22"/>
              </w:rPr>
              <w:lastRenderedPageBreak/>
              <w:t xml:space="preserve">Health and </w:t>
            </w:r>
            <w:r w:rsidR="0066105A" w:rsidRPr="0016789A">
              <w:rPr>
                <w:b/>
                <w:bCs/>
                <w:szCs w:val="22"/>
              </w:rPr>
              <w:t>s</w:t>
            </w:r>
            <w:r w:rsidRPr="0016789A">
              <w:rPr>
                <w:b/>
                <w:bCs/>
                <w:szCs w:val="22"/>
              </w:rPr>
              <w:t xml:space="preserve">afety </w:t>
            </w:r>
            <w:r w:rsidR="0066105A" w:rsidRPr="0016789A">
              <w:rPr>
                <w:b/>
                <w:bCs/>
                <w:szCs w:val="22"/>
              </w:rPr>
              <w:t>r</w:t>
            </w:r>
            <w:r w:rsidRPr="0016789A">
              <w:rPr>
                <w:b/>
                <w:bCs/>
                <w:szCs w:val="22"/>
              </w:rPr>
              <w:t xml:space="preserve">epresentative </w:t>
            </w:r>
            <w:r w:rsidR="0066105A" w:rsidRPr="0016789A">
              <w:rPr>
                <w:b/>
                <w:bCs/>
                <w:szCs w:val="22"/>
              </w:rPr>
              <w:t>t</w:t>
            </w:r>
            <w:r w:rsidRPr="0016789A">
              <w:rPr>
                <w:b/>
                <w:bCs/>
                <w:szCs w:val="22"/>
              </w:rPr>
              <w:t>raining entitlements</w:t>
            </w:r>
          </w:p>
        </w:tc>
      </w:tr>
      <w:tr w:rsidR="00B55277" w:rsidRPr="0016789A" w14:paraId="201CEE2A" w14:textId="77777777" w:rsidTr="0016789A">
        <w:tc>
          <w:tcPr>
            <w:tcW w:w="153" w:type="pct"/>
          </w:tcPr>
          <w:p w14:paraId="5ADE4B28" w14:textId="77777777" w:rsidR="00B55277" w:rsidRPr="0016789A" w:rsidRDefault="00B55277">
            <w:pPr>
              <w:spacing w:after="0" w:line="240" w:lineRule="auto"/>
              <w:rPr>
                <w:rFonts w:ascii="Aptos" w:hAnsi="Aptos"/>
                <w:szCs w:val="22"/>
              </w:rPr>
            </w:pPr>
            <w:r w:rsidRPr="0016789A">
              <w:rPr>
                <w:rFonts w:ascii="Aptos" w:hAnsi="Aptos"/>
                <w:szCs w:val="22"/>
              </w:rPr>
              <w:t>4.</w:t>
            </w:r>
          </w:p>
        </w:tc>
        <w:tc>
          <w:tcPr>
            <w:tcW w:w="4847" w:type="pct"/>
          </w:tcPr>
          <w:p w14:paraId="318DFBB9" w14:textId="77777777" w:rsidR="001200B9" w:rsidRPr="0016789A" w:rsidRDefault="001200B9" w:rsidP="00447786">
            <w:pPr>
              <w:pStyle w:val="ListNumber2"/>
              <w:numPr>
                <w:ilvl w:val="0"/>
                <w:numId w:val="37"/>
              </w:numPr>
              <w:rPr>
                <w:szCs w:val="22"/>
              </w:rPr>
            </w:pPr>
            <w:r w:rsidRPr="0016789A">
              <w:rPr>
                <w:szCs w:val="22"/>
              </w:rPr>
              <w:t>SA, Qld and Vic variations improving HSR training arrangements by:</w:t>
            </w:r>
          </w:p>
          <w:p w14:paraId="2EFEC100" w14:textId="4EE7B12D" w:rsidR="0054135B" w:rsidRPr="0016789A" w:rsidRDefault="001200B9" w:rsidP="00447786">
            <w:pPr>
              <w:pStyle w:val="ListNumber2"/>
              <w:numPr>
                <w:ilvl w:val="2"/>
                <w:numId w:val="37"/>
              </w:numPr>
              <w:rPr>
                <w:szCs w:val="22"/>
              </w:rPr>
            </w:pPr>
            <w:r w:rsidRPr="0016789A">
              <w:rPr>
                <w:szCs w:val="22"/>
              </w:rPr>
              <w:t xml:space="preserve">requiring PCBUs to facilitate HSR training upon appointment (Qld WHS Act, </w:t>
            </w:r>
            <w:hyperlink r:id="rId59" w:anchor="sec.72" w:history="1">
              <w:r w:rsidRPr="0016789A">
                <w:rPr>
                  <w:rStyle w:val="Hyperlink"/>
                  <w:szCs w:val="22"/>
                </w:rPr>
                <w:t>s 7</w:t>
              </w:r>
              <w:bookmarkStart w:id="133" w:name="_Hlt233894950"/>
              <w:bookmarkStart w:id="134" w:name="_Hlt233894951"/>
              <w:bookmarkEnd w:id="133"/>
              <w:bookmarkEnd w:id="134"/>
              <w:r w:rsidRPr="0016789A">
                <w:rPr>
                  <w:rStyle w:val="Hyperlink"/>
                  <w:szCs w:val="22"/>
                </w:rPr>
                <w:t>2(1)</w:t>
              </w:r>
            </w:hyperlink>
            <w:r w:rsidRPr="0016789A">
              <w:rPr>
                <w:szCs w:val="22"/>
              </w:rPr>
              <w:t>)</w:t>
            </w:r>
          </w:p>
          <w:p w14:paraId="7E3ED9D7" w14:textId="77777777" w:rsidR="001200B9" w:rsidRPr="0016789A" w:rsidRDefault="001200B9" w:rsidP="00447786">
            <w:pPr>
              <w:pStyle w:val="ListNumber2"/>
              <w:numPr>
                <w:ilvl w:val="2"/>
                <w:numId w:val="37"/>
              </w:numPr>
              <w:rPr>
                <w:szCs w:val="22"/>
              </w:rPr>
            </w:pPr>
            <w:r w:rsidRPr="0016789A">
              <w:rPr>
                <w:szCs w:val="22"/>
              </w:rPr>
              <w:t xml:space="preserve">adopting minimum training entitlements of 5 days in the first year, 3 days in the second year, and 2 days in the third year (SA WHS Act, </w:t>
            </w:r>
            <w:hyperlink r:id="rId60" w:history="1">
              <w:r w:rsidRPr="0016789A">
                <w:rPr>
                  <w:rStyle w:val="Hyperlink"/>
                  <w:szCs w:val="22"/>
                </w:rPr>
                <w:t>s 72(9)</w:t>
              </w:r>
            </w:hyperlink>
            <w:r w:rsidRPr="0016789A">
              <w:rPr>
                <w:szCs w:val="22"/>
              </w:rPr>
              <w:t>)</w:t>
            </w:r>
          </w:p>
          <w:p w14:paraId="0CF48211" w14:textId="77777777" w:rsidR="00F21CE3" w:rsidRDefault="001200B9" w:rsidP="00447786">
            <w:pPr>
              <w:pStyle w:val="ListNumber2"/>
              <w:numPr>
                <w:ilvl w:val="2"/>
                <w:numId w:val="37"/>
              </w:numPr>
              <w:rPr>
                <w:szCs w:val="22"/>
              </w:rPr>
            </w:pPr>
            <w:r w:rsidRPr="0016789A">
              <w:rPr>
                <w:szCs w:val="22"/>
              </w:rPr>
              <w:t xml:space="preserve">requiring initial training to be provided 28 days after the HSR is elected or as soon as practicable if the initial course is not reasonably available (Qld WHS </w:t>
            </w:r>
            <w:hyperlink r:id="rId61" w:anchor="sec.21" w:history="1">
              <w:r w:rsidRPr="0016789A">
                <w:rPr>
                  <w:rStyle w:val="Hyperlink"/>
                  <w:szCs w:val="22"/>
                </w:rPr>
                <w:t>Regulation, reg 21(2)</w:t>
              </w:r>
            </w:hyperlink>
            <w:r w:rsidRPr="0016789A">
              <w:rPr>
                <w:szCs w:val="22"/>
              </w:rPr>
              <w:t>)</w:t>
            </w:r>
          </w:p>
          <w:p w14:paraId="1A780313" w14:textId="4E5423F6" w:rsidR="001200B9" w:rsidRPr="0016789A" w:rsidRDefault="001200B9" w:rsidP="00447786">
            <w:pPr>
              <w:pStyle w:val="ListNumber2"/>
              <w:numPr>
                <w:ilvl w:val="2"/>
                <w:numId w:val="37"/>
              </w:numPr>
              <w:rPr>
                <w:szCs w:val="22"/>
              </w:rPr>
            </w:pPr>
            <w:r w:rsidRPr="0016789A">
              <w:rPr>
                <w:szCs w:val="22"/>
              </w:rPr>
              <w:t xml:space="preserve">where initial training has not occurred within 28 days, allowing an HSR to exercise their statutory powers (Qld WHS </w:t>
            </w:r>
            <w:hyperlink r:id="rId62" w:anchor="sec.21" w:history="1">
              <w:r w:rsidRPr="0016789A">
                <w:rPr>
                  <w:rStyle w:val="Hyperlink"/>
                  <w:szCs w:val="22"/>
                </w:rPr>
                <w:t>Regulation, reg 21</w:t>
              </w:r>
              <w:bookmarkStart w:id="135" w:name="_Hlt233895134"/>
              <w:bookmarkStart w:id="136" w:name="_Hlt233895135"/>
              <w:bookmarkEnd w:id="135"/>
              <w:bookmarkEnd w:id="136"/>
              <w:r w:rsidRPr="0016789A">
                <w:rPr>
                  <w:rStyle w:val="Hyperlink"/>
                  <w:szCs w:val="22"/>
                </w:rPr>
                <w:t>(2)</w:t>
              </w:r>
            </w:hyperlink>
            <w:r w:rsidRPr="0016789A">
              <w:rPr>
                <w:szCs w:val="22"/>
              </w:rPr>
              <w:t xml:space="preserve">; Vic OHS Act, </w:t>
            </w:r>
            <w:hyperlink r:id="rId63" w:history="1">
              <w:r w:rsidRPr="0016789A">
                <w:rPr>
                  <w:rStyle w:val="Hyperlink"/>
                  <w:szCs w:val="22"/>
                </w:rPr>
                <w:t>ss 60</w:t>
              </w:r>
            </w:hyperlink>
            <w:r w:rsidRPr="0016789A">
              <w:rPr>
                <w:szCs w:val="22"/>
              </w:rPr>
              <w:t xml:space="preserve"> and </w:t>
            </w:r>
            <w:hyperlink r:id="rId64" w:history="1">
              <w:r w:rsidRPr="0016789A">
                <w:rPr>
                  <w:rStyle w:val="Hyperlink"/>
                  <w:szCs w:val="22"/>
                </w:rPr>
                <w:t>74</w:t>
              </w:r>
            </w:hyperlink>
            <w:r w:rsidRPr="0016789A">
              <w:rPr>
                <w:szCs w:val="22"/>
                <w:vertAlign w:val="superscript"/>
              </w:rPr>
              <w:footnoteReference w:id="765"/>
            </w:r>
            <w:r w:rsidRPr="0016789A">
              <w:rPr>
                <w:szCs w:val="22"/>
              </w:rPr>
              <w:t>).</w:t>
            </w:r>
          </w:p>
          <w:p w14:paraId="55C2755A" w14:textId="386695FF" w:rsidR="00B55277" w:rsidRPr="0016789A" w:rsidRDefault="001200B9" w:rsidP="00447786">
            <w:pPr>
              <w:pStyle w:val="ListNumber2"/>
              <w:numPr>
                <w:ilvl w:val="0"/>
                <w:numId w:val="37"/>
              </w:numPr>
              <w:rPr>
                <w:szCs w:val="22"/>
              </w:rPr>
            </w:pPr>
            <w:r w:rsidRPr="0016789A">
              <w:rPr>
                <w:szCs w:val="22"/>
              </w:rPr>
              <w:t>Qld variations (</w:t>
            </w:r>
            <w:hyperlink r:id="rId65" w:anchor="sec.70" w:history="1">
              <w:r w:rsidRPr="0016789A">
                <w:rPr>
                  <w:rStyle w:val="Hyperlink"/>
                  <w:szCs w:val="22"/>
                </w:rPr>
                <w:t>ss 70(3)</w:t>
              </w:r>
            </w:hyperlink>
            <w:r w:rsidRPr="0016789A">
              <w:rPr>
                <w:szCs w:val="22"/>
              </w:rPr>
              <w:t xml:space="preserve"> and </w:t>
            </w:r>
            <w:hyperlink r:id="rId66" w:anchor="sec.72" w:history="1">
              <w:r w:rsidRPr="0016789A">
                <w:rPr>
                  <w:rStyle w:val="Hyperlink"/>
                  <w:szCs w:val="22"/>
                </w:rPr>
                <w:t>72(4)</w:t>
              </w:r>
            </w:hyperlink>
            <w:r w:rsidRPr="0016789A">
              <w:rPr>
                <w:szCs w:val="22"/>
              </w:rPr>
              <w:t>) ensuring HSRs are not financially disadvantaged by exercising their powers or attending approved training</w:t>
            </w:r>
            <w:r w:rsidR="000D7DBE" w:rsidRPr="0016789A">
              <w:rPr>
                <w:szCs w:val="22"/>
              </w:rPr>
              <w:t>.</w:t>
            </w:r>
          </w:p>
        </w:tc>
      </w:tr>
      <w:tr w:rsidR="00B55277" w:rsidRPr="0016789A" w14:paraId="6AE1D76B" w14:textId="77777777" w:rsidTr="0016789A">
        <w:tc>
          <w:tcPr>
            <w:tcW w:w="5000" w:type="pct"/>
            <w:gridSpan w:val="2"/>
          </w:tcPr>
          <w:p w14:paraId="10E98D63" w14:textId="77777777" w:rsidR="00B55277" w:rsidRPr="0016789A" w:rsidRDefault="00B55277" w:rsidP="00B55277">
            <w:pPr>
              <w:pStyle w:val="Tableheader"/>
              <w:rPr>
                <w:b/>
                <w:bCs/>
                <w:szCs w:val="22"/>
              </w:rPr>
            </w:pPr>
            <w:r w:rsidRPr="0016789A">
              <w:rPr>
                <w:b/>
                <w:bCs/>
                <w:szCs w:val="22"/>
              </w:rPr>
              <w:t>Unions’ role in consultation and representation</w:t>
            </w:r>
          </w:p>
        </w:tc>
      </w:tr>
      <w:tr w:rsidR="00B55277" w:rsidRPr="0016789A" w14:paraId="19AE2BDF" w14:textId="77777777" w:rsidTr="0016789A">
        <w:tc>
          <w:tcPr>
            <w:tcW w:w="153" w:type="pct"/>
          </w:tcPr>
          <w:p w14:paraId="75121682" w14:textId="77777777" w:rsidR="00B55277" w:rsidRPr="0016789A" w:rsidRDefault="00B55277">
            <w:pPr>
              <w:spacing w:after="0" w:line="240" w:lineRule="auto"/>
              <w:rPr>
                <w:rFonts w:ascii="Aptos" w:hAnsi="Aptos"/>
                <w:szCs w:val="22"/>
              </w:rPr>
            </w:pPr>
            <w:r w:rsidRPr="0016789A">
              <w:rPr>
                <w:rFonts w:ascii="Aptos" w:hAnsi="Aptos"/>
                <w:szCs w:val="22"/>
              </w:rPr>
              <w:t>5.</w:t>
            </w:r>
          </w:p>
        </w:tc>
        <w:tc>
          <w:tcPr>
            <w:tcW w:w="4847" w:type="pct"/>
          </w:tcPr>
          <w:p w14:paraId="608AD283" w14:textId="77777777" w:rsidR="00F21CE3" w:rsidRDefault="00C344A9" w:rsidP="00A102CE">
            <w:pPr>
              <w:pStyle w:val="ListNumber2"/>
              <w:numPr>
                <w:ilvl w:val="0"/>
                <w:numId w:val="16"/>
              </w:numPr>
              <w:rPr>
                <w:i/>
                <w:szCs w:val="22"/>
              </w:rPr>
            </w:pPr>
            <w:r w:rsidRPr="0016789A">
              <w:rPr>
                <w:szCs w:val="22"/>
              </w:rPr>
              <w:t xml:space="preserve"> Qld variations (</w:t>
            </w:r>
            <w:hyperlink r:id="rId67" w:anchor="sec.45A">
              <w:r w:rsidRPr="0016789A">
                <w:rPr>
                  <w:rStyle w:val="Hyperlink"/>
                  <w:szCs w:val="22"/>
                </w:rPr>
                <w:t>ss 45</w:t>
              </w:r>
              <w:bookmarkStart w:id="137" w:name="_Hlt233895243"/>
              <w:bookmarkStart w:id="138" w:name="_Hlt233895244"/>
              <w:bookmarkEnd w:id="137"/>
              <w:bookmarkEnd w:id="138"/>
              <w:r w:rsidRPr="0016789A">
                <w:rPr>
                  <w:rStyle w:val="Hyperlink"/>
                  <w:szCs w:val="22"/>
                </w:rPr>
                <w:t>A</w:t>
              </w:r>
            </w:hyperlink>
            <w:r w:rsidRPr="0016789A">
              <w:rPr>
                <w:szCs w:val="22"/>
              </w:rPr>
              <w:t xml:space="preserve"> and </w:t>
            </w:r>
            <w:hyperlink r:id="rId68" w:anchor="sec.45B">
              <w:r w:rsidRPr="0016789A">
                <w:rPr>
                  <w:rStyle w:val="Hyperlink"/>
                  <w:szCs w:val="22"/>
                </w:rPr>
                <w:t>45</w:t>
              </w:r>
              <w:bookmarkStart w:id="139" w:name="_Hlt233895249"/>
              <w:bookmarkStart w:id="140" w:name="_Hlt233895250"/>
              <w:bookmarkEnd w:id="139"/>
              <w:bookmarkEnd w:id="140"/>
              <w:r w:rsidRPr="0016789A">
                <w:rPr>
                  <w:rStyle w:val="Hyperlink"/>
                  <w:szCs w:val="22"/>
                </w:rPr>
                <w:t>B</w:t>
              </w:r>
            </w:hyperlink>
            <w:r w:rsidRPr="0016789A">
              <w:rPr>
                <w:szCs w:val="22"/>
              </w:rPr>
              <w:t>) clarifying that a reference to a ‘union’ means an employee organisation registered under the </w:t>
            </w:r>
            <w:r w:rsidRPr="0016789A">
              <w:rPr>
                <w:i/>
                <w:szCs w:val="22"/>
              </w:rPr>
              <w:t>Fair Work (Registered Organisations) Act 2009</w:t>
            </w:r>
            <w:r w:rsidRPr="0016789A">
              <w:rPr>
                <w:szCs w:val="22"/>
              </w:rPr>
              <w:t> (Cth) or relevant jurisdictional industrial laws.</w:t>
            </w:r>
          </w:p>
          <w:p w14:paraId="41D88BC0" w14:textId="77777777" w:rsidR="00F21CE3" w:rsidRDefault="00C344A9" w:rsidP="00A102CE">
            <w:pPr>
              <w:pStyle w:val="ListNumber2"/>
              <w:numPr>
                <w:ilvl w:val="0"/>
                <w:numId w:val="16"/>
              </w:numPr>
              <w:rPr>
                <w:szCs w:val="22"/>
              </w:rPr>
            </w:pPr>
            <w:r w:rsidRPr="0016789A">
              <w:rPr>
                <w:szCs w:val="22"/>
              </w:rPr>
              <w:t>Qld variation (</w:t>
            </w:r>
            <w:hyperlink r:id="rId69" w:anchor="sec.48" w:history="1">
              <w:r w:rsidRPr="0016789A">
                <w:rPr>
                  <w:rStyle w:val="Hyperlink"/>
                  <w:szCs w:val="22"/>
                </w:rPr>
                <w:t>s 48(3)(4)(5)</w:t>
              </w:r>
            </w:hyperlink>
            <w:r w:rsidRPr="0016789A">
              <w:rPr>
                <w:szCs w:val="22"/>
              </w:rPr>
              <w:t>) specifying that consultation must occur at times and places, or in ways, that are agreed to by all parties.</w:t>
            </w:r>
          </w:p>
          <w:p w14:paraId="72FAC6EB" w14:textId="48BAD05E" w:rsidR="00B55277" w:rsidRPr="0016789A" w:rsidRDefault="00C344A9" w:rsidP="00A102CE">
            <w:pPr>
              <w:pStyle w:val="ListNumber2"/>
              <w:numPr>
                <w:ilvl w:val="0"/>
                <w:numId w:val="16"/>
              </w:numPr>
              <w:rPr>
                <w:b/>
                <w:szCs w:val="22"/>
              </w:rPr>
            </w:pPr>
            <w:r w:rsidRPr="0016789A">
              <w:rPr>
                <w:szCs w:val="22"/>
              </w:rPr>
              <w:t>Qld variations (</w:t>
            </w:r>
            <w:hyperlink r:id="rId70" w:anchor="sec.52" w:history="1">
              <w:r w:rsidRPr="0016789A">
                <w:rPr>
                  <w:rStyle w:val="Hyperlink"/>
                  <w:szCs w:val="22"/>
                </w:rPr>
                <w:t>ss 52(4A)-(5C)</w:t>
              </w:r>
            </w:hyperlink>
            <w:r w:rsidRPr="0016789A">
              <w:rPr>
                <w:szCs w:val="22"/>
              </w:rPr>
              <w:t xml:space="preserve">and </w:t>
            </w:r>
            <w:hyperlink r:id="rId71" w:anchor="sec.80" w:history="1">
              <w:r w:rsidRPr="0016789A">
                <w:rPr>
                  <w:rStyle w:val="Hyperlink"/>
                  <w:szCs w:val="22"/>
                </w:rPr>
                <w:t>80(1)(e)</w:t>
              </w:r>
            </w:hyperlink>
            <w:r w:rsidRPr="0016789A">
              <w:rPr>
                <w:szCs w:val="22"/>
              </w:rPr>
              <w:t>) allowing a union to be a party to work group negotiations or issue resolution by notifying the PCBU in writing.</w:t>
            </w:r>
          </w:p>
        </w:tc>
      </w:tr>
      <w:tr w:rsidR="00B55277" w:rsidRPr="0016789A" w14:paraId="281832FB" w14:textId="77777777" w:rsidTr="0016789A">
        <w:tc>
          <w:tcPr>
            <w:tcW w:w="5000" w:type="pct"/>
            <w:gridSpan w:val="2"/>
          </w:tcPr>
          <w:p w14:paraId="49D5BF49" w14:textId="77777777" w:rsidR="00B55277" w:rsidRPr="0016789A" w:rsidRDefault="00B55277" w:rsidP="00B55277">
            <w:pPr>
              <w:pStyle w:val="Tableheader"/>
              <w:rPr>
                <w:b/>
                <w:bCs/>
                <w:szCs w:val="22"/>
                <w:lang w:val="en-GB"/>
              </w:rPr>
            </w:pPr>
            <w:r w:rsidRPr="0016789A">
              <w:rPr>
                <w:b/>
                <w:bCs/>
                <w:szCs w:val="22"/>
                <w:lang w:val="en-GB"/>
              </w:rPr>
              <w:t>Right to cease unsafe work</w:t>
            </w:r>
          </w:p>
        </w:tc>
      </w:tr>
      <w:tr w:rsidR="00B55277" w:rsidRPr="0016789A" w14:paraId="2C457D9B" w14:textId="77777777" w:rsidTr="0016789A">
        <w:tc>
          <w:tcPr>
            <w:tcW w:w="153" w:type="pct"/>
          </w:tcPr>
          <w:p w14:paraId="43688A65" w14:textId="75F0312F" w:rsidR="00B55277" w:rsidRPr="0016789A" w:rsidRDefault="00B55277">
            <w:pPr>
              <w:spacing w:after="0" w:line="240" w:lineRule="auto"/>
              <w:rPr>
                <w:rFonts w:ascii="Aptos" w:hAnsi="Aptos"/>
                <w:szCs w:val="22"/>
              </w:rPr>
            </w:pPr>
            <w:r w:rsidRPr="0016789A">
              <w:rPr>
                <w:rFonts w:ascii="Aptos" w:hAnsi="Aptos"/>
                <w:szCs w:val="22"/>
              </w:rPr>
              <w:t>6</w:t>
            </w:r>
            <w:r w:rsidR="00682E97" w:rsidRPr="0016789A">
              <w:rPr>
                <w:rFonts w:ascii="Aptos" w:hAnsi="Aptos"/>
                <w:szCs w:val="22"/>
              </w:rPr>
              <w:t>.</w:t>
            </w:r>
          </w:p>
        </w:tc>
        <w:tc>
          <w:tcPr>
            <w:tcW w:w="4847" w:type="pct"/>
          </w:tcPr>
          <w:p w14:paraId="1C921BE9" w14:textId="17A23AED" w:rsidR="00B55277" w:rsidRPr="0016789A" w:rsidRDefault="00460444">
            <w:pPr>
              <w:spacing w:after="0" w:line="240" w:lineRule="auto"/>
              <w:rPr>
                <w:rFonts w:asciiTheme="minorHAnsi" w:hAnsiTheme="minorHAnsi"/>
                <w:szCs w:val="22"/>
                <w:lang w:val="en-GB"/>
              </w:rPr>
            </w:pPr>
            <w:r w:rsidRPr="0016789A">
              <w:rPr>
                <w:rFonts w:asciiTheme="minorHAnsi" w:hAnsiTheme="minorHAnsi"/>
                <w:szCs w:val="22"/>
              </w:rPr>
              <w:t>WA variation (</w:t>
            </w:r>
            <w:hyperlink r:id="rId72" w:history="1">
              <w:r w:rsidRPr="0016789A">
                <w:rPr>
                  <w:rStyle w:val="Hyperlink"/>
                  <w:rFonts w:asciiTheme="minorHAnsi" w:hAnsiTheme="minorHAnsi"/>
                  <w:szCs w:val="22"/>
                </w:rPr>
                <w:t>s 84</w:t>
              </w:r>
            </w:hyperlink>
            <w:r w:rsidRPr="0016789A">
              <w:rPr>
                <w:rFonts w:asciiTheme="minorHAnsi" w:hAnsiTheme="minorHAnsi"/>
                <w:szCs w:val="22"/>
              </w:rPr>
              <w:t>) extending the right of workers to cease unsafe work where a serious risk is posed to someone besides themselves</w:t>
            </w:r>
            <w:r w:rsidR="00B55277" w:rsidRPr="0016789A">
              <w:rPr>
                <w:rFonts w:asciiTheme="minorHAnsi" w:hAnsiTheme="minorHAnsi"/>
                <w:szCs w:val="22"/>
              </w:rPr>
              <w:t>.</w:t>
            </w:r>
          </w:p>
        </w:tc>
      </w:tr>
      <w:tr w:rsidR="00B55277" w:rsidRPr="0016789A" w14:paraId="238B1D29" w14:textId="77777777" w:rsidTr="0016789A">
        <w:tc>
          <w:tcPr>
            <w:tcW w:w="5000" w:type="pct"/>
            <w:gridSpan w:val="2"/>
          </w:tcPr>
          <w:p w14:paraId="00F0737C" w14:textId="77777777" w:rsidR="00B55277" w:rsidRPr="0016789A" w:rsidRDefault="00B55277" w:rsidP="00461E87">
            <w:pPr>
              <w:pStyle w:val="Tableheader"/>
              <w:rPr>
                <w:b/>
                <w:bCs/>
                <w:szCs w:val="22"/>
              </w:rPr>
            </w:pPr>
            <w:r w:rsidRPr="0016789A">
              <w:rPr>
                <w:b/>
                <w:bCs/>
                <w:szCs w:val="22"/>
              </w:rPr>
              <w:t>Right of entry</w:t>
            </w:r>
          </w:p>
        </w:tc>
      </w:tr>
      <w:tr w:rsidR="00B55277" w:rsidRPr="0016789A" w14:paraId="758D67BB" w14:textId="77777777" w:rsidTr="0016789A">
        <w:trPr>
          <w:trHeight w:val="570"/>
        </w:trPr>
        <w:tc>
          <w:tcPr>
            <w:tcW w:w="153" w:type="pct"/>
          </w:tcPr>
          <w:p w14:paraId="2AEA81D1" w14:textId="77777777" w:rsidR="00B55277" w:rsidRPr="0016789A" w:rsidRDefault="00B55277">
            <w:pPr>
              <w:spacing w:after="0" w:line="240" w:lineRule="auto"/>
              <w:rPr>
                <w:rFonts w:ascii="Aptos" w:eastAsia="Yu Gothic" w:hAnsi="Aptos" w:cs="Arial"/>
                <w:szCs w:val="22"/>
              </w:rPr>
            </w:pPr>
            <w:r w:rsidRPr="0016789A">
              <w:rPr>
                <w:rFonts w:ascii="Aptos" w:eastAsia="Yu Gothic" w:hAnsi="Aptos" w:cs="Arial"/>
                <w:szCs w:val="22"/>
              </w:rPr>
              <w:t xml:space="preserve">7. </w:t>
            </w:r>
          </w:p>
        </w:tc>
        <w:tc>
          <w:tcPr>
            <w:tcW w:w="4847" w:type="pct"/>
          </w:tcPr>
          <w:p w14:paraId="14B18A78" w14:textId="77777777" w:rsidR="00CE0AC1" w:rsidRPr="0016789A" w:rsidRDefault="004E1D13" w:rsidP="00334073">
            <w:pPr>
              <w:pStyle w:val="ListNumber2"/>
              <w:numPr>
                <w:ilvl w:val="0"/>
                <w:numId w:val="17"/>
              </w:numPr>
              <w:rPr>
                <w:szCs w:val="22"/>
              </w:rPr>
            </w:pPr>
            <w:hyperlink r:id="rId73" w:history="1">
              <w:r w:rsidRPr="0016789A">
                <w:rPr>
                  <w:rStyle w:val="Hyperlink"/>
                  <w:szCs w:val="22"/>
                  <w:lang w:val="en-GB"/>
                </w:rPr>
                <w:t>AC</w:t>
              </w:r>
              <w:bookmarkStart w:id="141" w:name="_Hlt233896546"/>
              <w:bookmarkStart w:id="142" w:name="_Hlt233896547"/>
              <w:bookmarkEnd w:id="141"/>
              <w:bookmarkEnd w:id="142"/>
              <w:r w:rsidRPr="0016789A">
                <w:rPr>
                  <w:rStyle w:val="Hyperlink"/>
                  <w:szCs w:val="22"/>
                  <w:lang w:val="en-GB"/>
                </w:rPr>
                <w:t>T</w:t>
              </w:r>
            </w:hyperlink>
            <w:r w:rsidRPr="0016789A">
              <w:rPr>
                <w:szCs w:val="22"/>
                <w:lang w:val="en-GB"/>
              </w:rPr>
              <w:t xml:space="preserve">, </w:t>
            </w:r>
            <w:hyperlink r:id="rId74" w:history="1">
              <w:r w:rsidRPr="0016789A">
                <w:rPr>
                  <w:rStyle w:val="Hyperlink"/>
                  <w:szCs w:val="22"/>
                  <w:lang w:val="en-GB"/>
                </w:rPr>
                <w:t>SA</w:t>
              </w:r>
            </w:hyperlink>
            <w:r w:rsidRPr="0016789A">
              <w:rPr>
                <w:szCs w:val="22"/>
                <w:lang w:val="en-GB"/>
              </w:rPr>
              <w:t>,</w:t>
            </w:r>
            <w:hyperlink r:id="rId75" w:anchor="sec.118" w:history="1">
              <w:r w:rsidRPr="0016789A">
                <w:rPr>
                  <w:rStyle w:val="Hyperlink"/>
                  <w:szCs w:val="22"/>
                  <w:lang w:val="en-GB"/>
                </w:rPr>
                <w:t xml:space="preserve"> NSW</w:t>
              </w:r>
            </w:hyperlink>
            <w:r w:rsidRPr="0016789A">
              <w:rPr>
                <w:szCs w:val="22"/>
                <w:lang w:val="en-GB"/>
              </w:rPr>
              <w:t xml:space="preserve">, </w:t>
            </w:r>
            <w:hyperlink r:id="rId76" w:history="1">
              <w:r w:rsidRPr="0016789A">
                <w:rPr>
                  <w:rStyle w:val="Hyperlink"/>
                  <w:szCs w:val="22"/>
                  <w:lang w:val="en-GB"/>
                </w:rPr>
                <w:t>Vic</w:t>
              </w:r>
            </w:hyperlink>
            <w:r w:rsidRPr="0016789A">
              <w:rPr>
                <w:szCs w:val="22"/>
                <w:lang w:val="en-GB"/>
              </w:rPr>
              <w:t xml:space="preserve"> and Qld (now repealed)</w:t>
            </w:r>
            <w:r w:rsidRPr="0016789A">
              <w:rPr>
                <w:szCs w:val="22"/>
              </w:rPr>
              <w:t xml:space="preserve"> variations (s 118(1)) providing WHS EPHs with powers to take photographs, video or audio recordings, measurements or samples (subject to appropriate safeguards).</w:t>
            </w:r>
          </w:p>
          <w:p w14:paraId="6F40C45A" w14:textId="77777777" w:rsidR="00F21CE3" w:rsidRDefault="004E1D13" w:rsidP="00334073">
            <w:pPr>
              <w:pStyle w:val="ListNumber2"/>
              <w:numPr>
                <w:ilvl w:val="0"/>
                <w:numId w:val="17"/>
              </w:numPr>
              <w:rPr>
                <w:szCs w:val="22"/>
              </w:rPr>
            </w:pPr>
            <w:r w:rsidRPr="0016789A">
              <w:rPr>
                <w:szCs w:val="22"/>
              </w:rPr>
              <w:t>Qld variation (</w:t>
            </w:r>
            <w:hyperlink r:id="rId77" w:anchor="sec.118" w:history="1">
              <w:r w:rsidRPr="0016789A">
                <w:rPr>
                  <w:rStyle w:val="Hyperlink"/>
                  <w:szCs w:val="22"/>
                </w:rPr>
                <w:t>s</w:t>
              </w:r>
              <w:bookmarkStart w:id="143" w:name="_Hlt233896409"/>
              <w:bookmarkStart w:id="144" w:name="_Hlt233896410"/>
              <w:bookmarkEnd w:id="143"/>
              <w:bookmarkEnd w:id="144"/>
              <w:r w:rsidRPr="0016789A">
                <w:rPr>
                  <w:rStyle w:val="Hyperlink"/>
                  <w:szCs w:val="22"/>
                </w:rPr>
                <w:t xml:space="preserve"> 11</w:t>
              </w:r>
              <w:bookmarkStart w:id="145" w:name="_Hlt233896469"/>
              <w:bookmarkStart w:id="146" w:name="_Hlt233896470"/>
              <w:bookmarkEnd w:id="145"/>
              <w:bookmarkEnd w:id="146"/>
              <w:r w:rsidRPr="0016789A">
                <w:rPr>
                  <w:rStyle w:val="Hyperlink"/>
                  <w:szCs w:val="22"/>
                </w:rPr>
                <w:t>8(1)(f)</w:t>
              </w:r>
            </w:hyperlink>
            <w:r w:rsidRPr="0016789A">
              <w:rPr>
                <w:szCs w:val="22"/>
              </w:rPr>
              <w:t>) allowing WHS EPHs to remain at the workplace during usual hours long enough to achieve the purpose of entry.</w:t>
            </w:r>
          </w:p>
          <w:p w14:paraId="4457AC42" w14:textId="77777777" w:rsidR="00F21CE3" w:rsidRDefault="004E1D13" w:rsidP="00334073">
            <w:pPr>
              <w:pStyle w:val="ListNumber2"/>
              <w:numPr>
                <w:ilvl w:val="0"/>
                <w:numId w:val="17"/>
              </w:numPr>
              <w:rPr>
                <w:szCs w:val="22"/>
              </w:rPr>
            </w:pPr>
            <w:hyperlink r:id="rId78" w:history="1">
              <w:r w:rsidRPr="0016789A">
                <w:rPr>
                  <w:rStyle w:val="Hyperlink"/>
                  <w:szCs w:val="22"/>
                </w:rPr>
                <w:t>ACT</w:t>
              </w:r>
            </w:hyperlink>
            <w:r w:rsidRPr="0016789A">
              <w:rPr>
                <w:szCs w:val="22"/>
              </w:rPr>
              <w:t xml:space="preserve"> and </w:t>
            </w:r>
            <w:hyperlink r:id="rId79" w:anchor="sec.118" w:history="1">
              <w:r w:rsidRPr="0016789A">
                <w:rPr>
                  <w:rStyle w:val="Hyperlink"/>
                  <w:szCs w:val="22"/>
                </w:rPr>
                <w:t>NSW</w:t>
              </w:r>
            </w:hyperlink>
            <w:r w:rsidRPr="0016789A">
              <w:rPr>
                <w:szCs w:val="22"/>
              </w:rPr>
              <w:t xml:space="preserve"> variations (s 118(5)) specifying that a WHS EPH may exercise their rights to address an additional suspected contravention, during an inquiry into an initial suspected contravention.</w:t>
            </w:r>
          </w:p>
          <w:p w14:paraId="2A896FA9" w14:textId="22B99361" w:rsidR="00B55277" w:rsidRPr="0016789A" w:rsidRDefault="004E1D13" w:rsidP="00CE0AC1">
            <w:pPr>
              <w:pStyle w:val="ListNumber2"/>
              <w:numPr>
                <w:ilvl w:val="0"/>
                <w:numId w:val="17"/>
              </w:numPr>
              <w:rPr>
                <w:rFonts w:eastAsia="Yu Gothic"/>
                <w:szCs w:val="22"/>
              </w:rPr>
            </w:pPr>
            <w:r w:rsidRPr="0016789A">
              <w:rPr>
                <w:szCs w:val="22"/>
              </w:rPr>
              <w:t>Qld variation (</w:t>
            </w:r>
            <w:hyperlink r:id="rId80" w:anchor="sec.119" w:history="1">
              <w:r w:rsidRPr="0016789A">
                <w:rPr>
                  <w:rStyle w:val="Hyperlink"/>
                  <w:szCs w:val="22"/>
                </w:rPr>
                <w:t>s 119(6)</w:t>
              </w:r>
            </w:hyperlink>
            <w:r w:rsidRPr="0016789A">
              <w:rPr>
                <w:szCs w:val="22"/>
              </w:rPr>
              <w:t>) providing that a notice of entry is not invalid because of a minor defect.</w:t>
            </w:r>
          </w:p>
        </w:tc>
      </w:tr>
    </w:tbl>
    <w:p w14:paraId="544A027D" w14:textId="77777777" w:rsidR="00B55277" w:rsidRDefault="00B55277" w:rsidP="00B55277">
      <w:pPr>
        <w:pStyle w:val="Paragraph"/>
        <w:rPr>
          <w:lang w:eastAsia="en-US"/>
        </w:rPr>
        <w:sectPr w:rsidR="00B55277" w:rsidSect="00DF1707">
          <w:headerReference w:type="default" r:id="rId81"/>
          <w:pgSz w:w="16838" w:h="11906" w:orient="landscape" w:code="9"/>
          <w:pgMar w:top="1440" w:right="1080" w:bottom="1440" w:left="1080" w:header="709" w:footer="709" w:gutter="0"/>
          <w:cols w:space="708"/>
          <w:titlePg/>
          <w:docGrid w:linePitch="360"/>
        </w:sectPr>
      </w:pPr>
    </w:p>
    <w:p w14:paraId="2EF0FC1E" w14:textId="68836928" w:rsidR="00461E87" w:rsidRPr="00461E87" w:rsidRDefault="00B55277" w:rsidP="0016789A">
      <w:pPr>
        <w:pStyle w:val="SWAHeading1"/>
        <w:numPr>
          <w:ilvl w:val="0"/>
          <w:numId w:val="0"/>
        </w:numPr>
        <w:spacing w:after="240"/>
      </w:pPr>
      <w:bookmarkStart w:id="147" w:name="_Toc239845176"/>
      <w:r>
        <w:lastRenderedPageBreak/>
        <w:t>Appendix E: Compliance and enforcement</w:t>
      </w:r>
      <w:bookmarkEnd w:id="147"/>
    </w:p>
    <w:tbl>
      <w:tblPr>
        <w:tblStyle w:val="Style9"/>
        <w:tblpPr w:leftFromText="180" w:rightFromText="180" w:vertAnchor="text" w:horzAnchor="margin" w:tblpY="88"/>
        <w:tblW w:w="4927" w:type="pct"/>
        <w:tblLook w:val="04A0" w:firstRow="1" w:lastRow="0" w:firstColumn="1" w:lastColumn="0" w:noHBand="0" w:noVBand="1"/>
      </w:tblPr>
      <w:tblGrid>
        <w:gridCol w:w="465"/>
        <w:gridCol w:w="13999"/>
      </w:tblGrid>
      <w:tr w:rsidR="00461E87" w:rsidRPr="0016789A" w14:paraId="56A6FBB5" w14:textId="77777777" w:rsidTr="00461E87">
        <w:tc>
          <w:tcPr>
            <w:tcW w:w="5000" w:type="pct"/>
            <w:gridSpan w:val="2"/>
          </w:tcPr>
          <w:p w14:paraId="533FEE54" w14:textId="77777777" w:rsidR="00461E87" w:rsidRPr="0016789A" w:rsidRDefault="00461E87" w:rsidP="00461E87">
            <w:pPr>
              <w:pStyle w:val="Tableheader"/>
              <w:rPr>
                <w:rFonts w:eastAsia="Aptos"/>
                <w:b/>
                <w:bCs/>
                <w:szCs w:val="22"/>
              </w:rPr>
            </w:pPr>
            <w:r w:rsidRPr="0016789A">
              <w:rPr>
                <w:rFonts w:eastAsia="Aptos"/>
                <w:b/>
                <w:bCs/>
                <w:szCs w:val="22"/>
              </w:rPr>
              <w:t>Regulator powers and functions</w:t>
            </w:r>
          </w:p>
        </w:tc>
      </w:tr>
      <w:tr w:rsidR="00461E87" w:rsidRPr="0016789A" w14:paraId="76D24A52" w14:textId="77777777" w:rsidTr="00461E87">
        <w:trPr>
          <w:trHeight w:val="1050"/>
        </w:trPr>
        <w:tc>
          <w:tcPr>
            <w:tcW w:w="139" w:type="pct"/>
          </w:tcPr>
          <w:p w14:paraId="5F133DDF" w14:textId="77777777" w:rsidR="00461E87" w:rsidRPr="0016789A" w:rsidRDefault="00461E87" w:rsidP="003A6B7A">
            <w:pPr>
              <w:pStyle w:val="ListParagraph"/>
              <w:numPr>
                <w:ilvl w:val="0"/>
                <w:numId w:val="18"/>
              </w:numPr>
              <w:spacing w:after="0" w:line="240" w:lineRule="auto"/>
              <w:rPr>
                <w:rFonts w:ascii="Aptos" w:eastAsia="Aptos" w:hAnsi="Aptos" w:cs="Arial"/>
                <w:color w:val="000000" w:themeColor="text1"/>
                <w:szCs w:val="22"/>
              </w:rPr>
            </w:pPr>
          </w:p>
        </w:tc>
        <w:tc>
          <w:tcPr>
            <w:tcW w:w="4861" w:type="pct"/>
          </w:tcPr>
          <w:p w14:paraId="06665A19" w14:textId="77777777" w:rsidR="00F21CE3" w:rsidRDefault="00682E97" w:rsidP="00447786">
            <w:pPr>
              <w:pStyle w:val="ListNumber2"/>
              <w:numPr>
                <w:ilvl w:val="0"/>
                <w:numId w:val="49"/>
              </w:numPr>
              <w:rPr>
                <w:rFonts w:eastAsia="Yu Gothic" w:cs="Arial"/>
                <w:color w:val="000000" w:themeColor="text1"/>
                <w:szCs w:val="22"/>
              </w:rPr>
            </w:pPr>
            <w:r w:rsidRPr="0016789A">
              <w:rPr>
                <w:rFonts w:eastAsia="Aptos" w:cs="Arial"/>
                <w:color w:val="000000" w:themeColor="text1"/>
                <w:szCs w:val="22"/>
              </w:rPr>
              <w:t>WA variations (</w:t>
            </w:r>
            <w:hyperlink r:id="rId82" w:history="1">
              <w:r w:rsidRPr="0016789A">
                <w:rPr>
                  <w:rStyle w:val="Hyperlink"/>
                  <w:rFonts w:eastAsia="Aptos" w:cs="Arial"/>
                  <w:szCs w:val="22"/>
                </w:rPr>
                <w:t>s 152 (c)</w:t>
              </w:r>
            </w:hyperlink>
            <w:r w:rsidRPr="0016789A">
              <w:rPr>
                <w:rFonts w:eastAsia="Aptos" w:cs="Arial"/>
                <w:color w:val="000000" w:themeColor="text1"/>
                <w:szCs w:val="22"/>
              </w:rPr>
              <w:t>) specifying that a regulator can investigate</w:t>
            </w:r>
            <w:r w:rsidRPr="0016789A">
              <w:rPr>
                <w:rFonts w:eastAsia="Yu Gothic" w:cs="Arial"/>
                <w:color w:val="000000" w:themeColor="text1"/>
                <w:szCs w:val="22"/>
              </w:rPr>
              <w:t xml:space="preserve"> and report on WHS matters relating to particular industries or hazards.</w:t>
            </w:r>
          </w:p>
          <w:p w14:paraId="1CC2600A" w14:textId="77777777" w:rsidR="00F21CE3" w:rsidRDefault="00682E97" w:rsidP="00447786">
            <w:pPr>
              <w:pStyle w:val="ListNumber2"/>
              <w:numPr>
                <w:ilvl w:val="0"/>
                <w:numId w:val="49"/>
              </w:numPr>
              <w:rPr>
                <w:szCs w:val="22"/>
              </w:rPr>
            </w:pPr>
            <w:r w:rsidRPr="0016789A">
              <w:rPr>
                <w:szCs w:val="22"/>
              </w:rPr>
              <w:t>WA variation (</w:t>
            </w:r>
            <w:hyperlink r:id="rId83" w:history="1">
              <w:r w:rsidRPr="0016789A">
                <w:rPr>
                  <w:rStyle w:val="Hyperlink"/>
                  <w:szCs w:val="22"/>
                </w:rPr>
                <w:t>s 155B</w:t>
              </w:r>
            </w:hyperlink>
            <w:r w:rsidRPr="0016789A">
              <w:rPr>
                <w:szCs w:val="22"/>
              </w:rPr>
              <w:t>) enabling the regulator to require PCBUs to obtain independent expert reports.</w:t>
            </w:r>
          </w:p>
          <w:p w14:paraId="420396ED" w14:textId="77777777" w:rsidR="00F21CE3" w:rsidRDefault="00682E97" w:rsidP="00447786">
            <w:pPr>
              <w:pStyle w:val="ListNumber2"/>
              <w:numPr>
                <w:ilvl w:val="0"/>
                <w:numId w:val="49"/>
              </w:numPr>
              <w:rPr>
                <w:szCs w:val="22"/>
              </w:rPr>
            </w:pPr>
            <w:r w:rsidRPr="0016789A">
              <w:rPr>
                <w:szCs w:val="22"/>
              </w:rPr>
              <w:t>WA variation (</w:t>
            </w:r>
            <w:hyperlink r:id="rId84" w:history="1">
              <w:r w:rsidRPr="0016789A">
                <w:rPr>
                  <w:rStyle w:val="Hyperlink"/>
                  <w:szCs w:val="22"/>
                </w:rPr>
                <w:t>s 155C</w:t>
              </w:r>
            </w:hyperlink>
            <w:r w:rsidRPr="0016789A">
              <w:rPr>
                <w:szCs w:val="22"/>
              </w:rPr>
              <w:t>) permitting the regulator to retain documents for as long as it considers necessary.</w:t>
            </w:r>
          </w:p>
          <w:p w14:paraId="6DBC95F8" w14:textId="67EB1EA5" w:rsidR="00682E97" w:rsidRPr="0016789A" w:rsidRDefault="00682E97" w:rsidP="00447786">
            <w:pPr>
              <w:pStyle w:val="ListNumber2"/>
              <w:numPr>
                <w:ilvl w:val="0"/>
                <w:numId w:val="49"/>
              </w:numPr>
              <w:rPr>
                <w:rFonts w:eastAsia="Yu Gothic"/>
                <w:color w:val="000000"/>
                <w:szCs w:val="22"/>
              </w:rPr>
            </w:pPr>
            <w:r w:rsidRPr="0016789A">
              <w:rPr>
                <w:rFonts w:eastAsia="Yu Gothic" w:cs="Arial"/>
                <w:color w:val="000000" w:themeColor="text1"/>
                <w:szCs w:val="22"/>
              </w:rPr>
              <w:t>Cth variation (</w:t>
            </w:r>
            <w:hyperlink r:id="rId85" w:history="1">
              <w:r w:rsidRPr="0016789A">
                <w:rPr>
                  <w:rStyle w:val="Hyperlink"/>
                  <w:rFonts w:eastAsia="Yu Gothic" w:cs="Arial"/>
                  <w:szCs w:val="22"/>
                </w:rPr>
                <w:t>s 12B</w:t>
              </w:r>
            </w:hyperlink>
            <w:r w:rsidRPr="0016789A">
              <w:rPr>
                <w:rFonts w:eastAsia="Yu Gothic" w:cs="Arial"/>
                <w:color w:val="000000" w:themeColor="text1"/>
                <w:szCs w:val="22"/>
              </w:rPr>
              <w:t>) specifying the duty to consult includes those operating under another jurisdiction’s WHS Act.</w:t>
            </w:r>
          </w:p>
        </w:tc>
      </w:tr>
      <w:tr w:rsidR="00461E87" w:rsidRPr="0016789A" w14:paraId="72AF26C8" w14:textId="77777777" w:rsidTr="00461E87">
        <w:tc>
          <w:tcPr>
            <w:tcW w:w="5000" w:type="pct"/>
            <w:gridSpan w:val="2"/>
          </w:tcPr>
          <w:p w14:paraId="7C7A161C" w14:textId="77777777" w:rsidR="00461E87" w:rsidRPr="0016789A" w:rsidRDefault="00461E87" w:rsidP="00461E87">
            <w:pPr>
              <w:pStyle w:val="Tableheader"/>
              <w:rPr>
                <w:rFonts w:eastAsia="Aptos"/>
                <w:b/>
                <w:bCs/>
                <w:color w:val="000000" w:themeColor="text1"/>
                <w:szCs w:val="22"/>
              </w:rPr>
            </w:pPr>
            <w:r w:rsidRPr="0016789A">
              <w:rPr>
                <w:rFonts w:eastAsia="Aptos"/>
                <w:b/>
                <w:bCs/>
                <w:szCs w:val="22"/>
              </w:rPr>
              <w:t>Inspector powers</w:t>
            </w:r>
          </w:p>
        </w:tc>
      </w:tr>
      <w:tr w:rsidR="00461E87" w:rsidRPr="0016789A" w14:paraId="681AB7C1" w14:textId="77777777" w:rsidTr="00461E87">
        <w:tc>
          <w:tcPr>
            <w:tcW w:w="139" w:type="pct"/>
          </w:tcPr>
          <w:p w14:paraId="446FB52D" w14:textId="77777777" w:rsidR="00461E87" w:rsidRPr="0016789A" w:rsidRDefault="00461E87" w:rsidP="003A6B7A">
            <w:pPr>
              <w:pStyle w:val="ListParagraph"/>
              <w:numPr>
                <w:ilvl w:val="0"/>
                <w:numId w:val="18"/>
              </w:numPr>
              <w:spacing w:after="0" w:line="240" w:lineRule="auto"/>
              <w:rPr>
                <w:rFonts w:ascii="Aptos" w:eastAsia="Yu Gothic" w:hAnsi="Aptos" w:cs="Arial"/>
                <w:color w:val="000000" w:themeColor="text1"/>
                <w:szCs w:val="22"/>
              </w:rPr>
            </w:pPr>
          </w:p>
        </w:tc>
        <w:tc>
          <w:tcPr>
            <w:tcW w:w="4861" w:type="pct"/>
          </w:tcPr>
          <w:p w14:paraId="10AEBA60" w14:textId="77777777" w:rsidR="00F21CE3" w:rsidRDefault="00F65714" w:rsidP="00447786">
            <w:pPr>
              <w:pStyle w:val="ListNumber2"/>
              <w:numPr>
                <w:ilvl w:val="0"/>
                <w:numId w:val="28"/>
              </w:numPr>
              <w:tabs>
                <w:tab w:val="num" w:pos="360"/>
              </w:tabs>
              <w:rPr>
                <w:rFonts w:eastAsia="Aptos" w:cs="Arial"/>
                <w:color w:val="000000" w:themeColor="text1"/>
                <w:szCs w:val="22"/>
              </w:rPr>
            </w:pPr>
            <w:r w:rsidRPr="0016789A">
              <w:rPr>
                <w:rFonts w:eastAsia="Aptos" w:cs="Arial"/>
                <w:color w:val="000000" w:themeColor="text1"/>
                <w:szCs w:val="22"/>
              </w:rPr>
              <w:t>WA variation (</w:t>
            </w:r>
            <w:hyperlink r:id="rId86" w:history="1">
              <w:r w:rsidRPr="0016789A">
                <w:rPr>
                  <w:rStyle w:val="Hyperlink"/>
                  <w:rFonts w:eastAsia="Aptos" w:cs="Arial"/>
                  <w:szCs w:val="22"/>
                </w:rPr>
                <w:t>s 165</w:t>
              </w:r>
            </w:hyperlink>
            <w:r w:rsidRPr="0016789A">
              <w:rPr>
                <w:rFonts w:eastAsia="Aptos" w:cs="Arial"/>
                <w:color w:val="000000" w:themeColor="text1"/>
                <w:szCs w:val="22"/>
              </w:rPr>
              <w:t>) adding ‘testing’ and ‘examination’ as permitted reasons to take and remove a sample from the workplace.</w:t>
            </w:r>
          </w:p>
          <w:p w14:paraId="5A917584" w14:textId="77777777" w:rsidR="00F21CE3" w:rsidRDefault="00F65714" w:rsidP="00447786">
            <w:pPr>
              <w:pStyle w:val="ListNumber2"/>
              <w:numPr>
                <w:ilvl w:val="0"/>
                <w:numId w:val="28"/>
              </w:numPr>
              <w:tabs>
                <w:tab w:val="num" w:pos="360"/>
              </w:tabs>
              <w:rPr>
                <w:szCs w:val="22"/>
              </w:rPr>
            </w:pPr>
            <w:r w:rsidRPr="0016789A">
              <w:rPr>
                <w:szCs w:val="22"/>
              </w:rPr>
              <w:t>WA variation (</w:t>
            </w:r>
            <w:hyperlink r:id="rId87" w:history="1">
              <w:r w:rsidRPr="0016789A">
                <w:rPr>
                  <w:rStyle w:val="Hyperlink"/>
                  <w:szCs w:val="22"/>
                </w:rPr>
                <w:t>s 170</w:t>
              </w:r>
            </w:hyperlink>
            <w:r w:rsidRPr="0016789A">
              <w:rPr>
                <w:szCs w:val="22"/>
              </w:rPr>
              <w:t>) providing that an inspector can exercise their entry powers with the consent of the person with ‘apparent’ management or control of residential premises.</w:t>
            </w:r>
          </w:p>
          <w:p w14:paraId="715C7FBE" w14:textId="1A30BB63" w:rsidR="00F65714" w:rsidRPr="0016789A" w:rsidRDefault="00F65714" w:rsidP="00447786">
            <w:pPr>
              <w:pStyle w:val="ListNumber2"/>
              <w:numPr>
                <w:ilvl w:val="0"/>
                <w:numId w:val="28"/>
              </w:numPr>
              <w:tabs>
                <w:tab w:val="num" w:pos="360"/>
              </w:tabs>
              <w:rPr>
                <w:szCs w:val="22"/>
              </w:rPr>
            </w:pPr>
            <w:r w:rsidRPr="0016789A">
              <w:rPr>
                <w:rFonts w:eastAsia="Aptos" w:cs="Arial"/>
                <w:color w:val="000000" w:themeColor="text1"/>
                <w:szCs w:val="22"/>
              </w:rPr>
              <w:t>Cth variations (</w:t>
            </w:r>
            <w:hyperlink r:id="rId88" w:history="1">
              <w:r w:rsidRPr="0016789A">
                <w:rPr>
                  <w:rStyle w:val="Hyperlink"/>
                  <w:rFonts w:eastAsia="Aptos" w:cs="Arial"/>
                  <w:szCs w:val="22"/>
                </w:rPr>
                <w:t>ss 165A</w:t>
              </w:r>
            </w:hyperlink>
            <w:r w:rsidRPr="0016789A">
              <w:rPr>
                <w:rFonts w:eastAsia="Aptos" w:cs="Arial"/>
                <w:color w:val="000000" w:themeColor="text1"/>
                <w:szCs w:val="22"/>
              </w:rPr>
              <w:t xml:space="preserve"> and </w:t>
            </w:r>
            <w:hyperlink r:id="rId89" w:history="1">
              <w:r w:rsidRPr="0016789A">
                <w:rPr>
                  <w:rStyle w:val="Hyperlink"/>
                  <w:rFonts w:eastAsia="Aptos" w:cs="Arial"/>
                  <w:szCs w:val="22"/>
                </w:rPr>
                <w:t>165B</w:t>
              </w:r>
            </w:hyperlink>
            <w:r w:rsidRPr="0016789A">
              <w:rPr>
                <w:rFonts w:eastAsia="Aptos" w:cs="Arial"/>
                <w:color w:val="000000" w:themeColor="text1"/>
                <w:szCs w:val="22"/>
              </w:rPr>
              <w:t>) updating inspector powers in response to technological change.</w:t>
            </w:r>
          </w:p>
          <w:p w14:paraId="00DD735C" w14:textId="77777777" w:rsidR="00F21CE3" w:rsidRDefault="00F65714" w:rsidP="00447786">
            <w:pPr>
              <w:pStyle w:val="ListNumber2"/>
              <w:numPr>
                <w:ilvl w:val="0"/>
                <w:numId w:val="28"/>
              </w:numPr>
              <w:tabs>
                <w:tab w:val="num" w:pos="360"/>
              </w:tabs>
              <w:rPr>
                <w:szCs w:val="22"/>
              </w:rPr>
            </w:pPr>
            <w:r w:rsidRPr="0016789A">
              <w:rPr>
                <w:szCs w:val="22"/>
              </w:rPr>
              <w:t>WA variation (</w:t>
            </w:r>
            <w:hyperlink r:id="rId90" w:history="1">
              <w:r w:rsidRPr="0016789A">
                <w:rPr>
                  <w:rStyle w:val="Hyperlink"/>
                  <w:szCs w:val="22"/>
                </w:rPr>
                <w:t>s 171</w:t>
              </w:r>
            </w:hyperlink>
            <w:r w:rsidRPr="0016789A">
              <w:rPr>
                <w:szCs w:val="22"/>
              </w:rPr>
              <w:t>) enabling inspectors to accept copies of documents they request be produced and the recording of interviews.</w:t>
            </w:r>
          </w:p>
          <w:p w14:paraId="2E3446BF" w14:textId="3CBB84AB" w:rsidR="00F65714" w:rsidRPr="0016789A" w:rsidRDefault="00F65714" w:rsidP="00447786">
            <w:pPr>
              <w:pStyle w:val="ListNumber2"/>
              <w:numPr>
                <w:ilvl w:val="0"/>
                <w:numId w:val="28"/>
              </w:numPr>
              <w:tabs>
                <w:tab w:val="num" w:pos="360"/>
              </w:tabs>
              <w:rPr>
                <w:szCs w:val="22"/>
              </w:rPr>
            </w:pPr>
            <w:r w:rsidRPr="0016789A">
              <w:rPr>
                <w:szCs w:val="22"/>
              </w:rPr>
              <w:t>WA variations (</w:t>
            </w:r>
            <w:hyperlink r:id="rId91" w:history="1">
              <w:r w:rsidRPr="0016789A">
                <w:rPr>
                  <w:rStyle w:val="Hyperlink"/>
                  <w:szCs w:val="22"/>
                </w:rPr>
                <w:t>ss 174</w:t>
              </w:r>
            </w:hyperlink>
            <w:r w:rsidRPr="0016789A">
              <w:rPr>
                <w:szCs w:val="22"/>
              </w:rPr>
              <w:t xml:space="preserve"> and </w:t>
            </w:r>
            <w:hyperlink r:id="rId92" w:history="1">
              <w:r w:rsidRPr="0016789A">
                <w:rPr>
                  <w:rStyle w:val="Hyperlink"/>
                  <w:szCs w:val="22"/>
                </w:rPr>
                <w:t>181</w:t>
              </w:r>
            </w:hyperlink>
            <w:r w:rsidRPr="0016789A">
              <w:rPr>
                <w:szCs w:val="22"/>
              </w:rPr>
              <w:t>) limiting access to original documents or seized things only by a person with written authorisation.</w:t>
            </w:r>
          </w:p>
          <w:p w14:paraId="1DE15230" w14:textId="268AD745" w:rsidR="00F65714" w:rsidRPr="0016789A" w:rsidRDefault="00F65714" w:rsidP="00447786">
            <w:pPr>
              <w:pStyle w:val="ListNumber2"/>
              <w:numPr>
                <w:ilvl w:val="0"/>
                <w:numId w:val="28"/>
              </w:numPr>
              <w:rPr>
                <w:szCs w:val="22"/>
              </w:rPr>
            </w:pPr>
            <w:r w:rsidRPr="0016789A">
              <w:rPr>
                <w:szCs w:val="22"/>
              </w:rPr>
              <w:t>WA variations (</w:t>
            </w:r>
            <w:hyperlink r:id="rId93" w:history="1">
              <w:r w:rsidRPr="0016789A">
                <w:rPr>
                  <w:rStyle w:val="Hyperlink"/>
                  <w:szCs w:val="22"/>
                </w:rPr>
                <w:t>s 181</w:t>
              </w:r>
            </w:hyperlink>
            <w:r w:rsidRPr="0016789A">
              <w:rPr>
                <w:szCs w:val="22"/>
              </w:rPr>
              <w:t>) providing that the regulator does not have to allow inspection of a seized item where it is evidence of an offence.</w:t>
            </w:r>
          </w:p>
        </w:tc>
      </w:tr>
      <w:tr w:rsidR="00461E87" w:rsidRPr="0016789A" w14:paraId="2CF573B3" w14:textId="77777777" w:rsidTr="00461E87">
        <w:tc>
          <w:tcPr>
            <w:tcW w:w="5000" w:type="pct"/>
            <w:gridSpan w:val="2"/>
          </w:tcPr>
          <w:p w14:paraId="6408496B" w14:textId="5629F84A" w:rsidR="00461E87" w:rsidRPr="0016789A" w:rsidRDefault="00461E87" w:rsidP="00461E87">
            <w:pPr>
              <w:pStyle w:val="Tableheader"/>
              <w:rPr>
                <w:rFonts w:eastAsia="Aptos"/>
                <w:b/>
                <w:bCs/>
                <w:szCs w:val="22"/>
              </w:rPr>
            </w:pPr>
            <w:r w:rsidRPr="0016789A">
              <w:rPr>
                <w:rFonts w:eastAsia="Aptos"/>
                <w:b/>
                <w:bCs/>
                <w:szCs w:val="22"/>
              </w:rPr>
              <w:t>Enforceable undertakings</w:t>
            </w:r>
          </w:p>
        </w:tc>
      </w:tr>
      <w:tr w:rsidR="00461E87" w:rsidRPr="0016789A" w14:paraId="02B2929A" w14:textId="77777777" w:rsidTr="00461E87">
        <w:tc>
          <w:tcPr>
            <w:tcW w:w="139" w:type="pct"/>
          </w:tcPr>
          <w:p w14:paraId="5F646E18" w14:textId="77777777" w:rsidR="00461E87" w:rsidRPr="0016789A" w:rsidRDefault="00461E87">
            <w:pPr>
              <w:spacing w:after="0" w:line="240" w:lineRule="auto"/>
              <w:rPr>
                <w:rFonts w:ascii="Aptos" w:eastAsia="Yu Gothic" w:hAnsi="Aptos" w:cs="Arial"/>
                <w:color w:val="000000" w:themeColor="text1"/>
                <w:szCs w:val="22"/>
              </w:rPr>
            </w:pPr>
            <w:r w:rsidRPr="0016789A">
              <w:rPr>
                <w:rFonts w:ascii="Aptos" w:eastAsia="Yu Gothic" w:hAnsi="Aptos" w:cs="Arial"/>
                <w:color w:val="000000" w:themeColor="text1"/>
                <w:szCs w:val="22"/>
              </w:rPr>
              <w:t>3.</w:t>
            </w:r>
          </w:p>
        </w:tc>
        <w:tc>
          <w:tcPr>
            <w:tcW w:w="4861" w:type="pct"/>
          </w:tcPr>
          <w:p w14:paraId="2AE08748" w14:textId="5034B123" w:rsidR="00461E87" w:rsidRPr="0016789A" w:rsidRDefault="007926F7" w:rsidP="0097283D">
            <w:pPr>
              <w:pStyle w:val="Paragraphtable"/>
              <w:rPr>
                <w:rFonts w:ascii="Aptos" w:eastAsia="Aptos" w:hAnsi="Aptos" w:cs="Arial"/>
                <w:color w:val="000000" w:themeColor="text1"/>
                <w:sz w:val="22"/>
              </w:rPr>
            </w:pPr>
            <w:hyperlink r:id="rId94" w:history="1">
              <w:r w:rsidRPr="0016789A">
                <w:rPr>
                  <w:rStyle w:val="Hyperlink"/>
                  <w:rFonts w:eastAsia="Aptos" w:cs="Arial"/>
                  <w:sz w:val="22"/>
                </w:rPr>
                <w:t>Cth</w:t>
              </w:r>
            </w:hyperlink>
            <w:r w:rsidRPr="0016789A">
              <w:rPr>
                <w:rFonts w:eastAsia="Aptos" w:cs="Arial"/>
                <w:color w:val="000000" w:themeColor="text1"/>
                <w:sz w:val="22"/>
              </w:rPr>
              <w:t xml:space="preserve">, </w:t>
            </w:r>
            <w:hyperlink r:id="rId95" w:history="1">
              <w:r w:rsidRPr="0016789A">
                <w:rPr>
                  <w:rStyle w:val="Hyperlink"/>
                  <w:rFonts w:eastAsia="Aptos" w:cs="Arial"/>
                  <w:sz w:val="22"/>
                </w:rPr>
                <w:t>ACT</w:t>
              </w:r>
            </w:hyperlink>
            <w:r w:rsidRPr="0016789A">
              <w:rPr>
                <w:rFonts w:eastAsia="Aptos" w:cs="Arial"/>
                <w:color w:val="000000" w:themeColor="text1"/>
                <w:sz w:val="22"/>
              </w:rPr>
              <w:t xml:space="preserve">, </w:t>
            </w:r>
            <w:hyperlink r:id="rId96" w:anchor="sec.216" w:history="1">
              <w:r w:rsidRPr="0016789A">
                <w:rPr>
                  <w:rStyle w:val="Hyperlink"/>
                  <w:rFonts w:eastAsia="Aptos" w:cs="Arial"/>
                  <w:sz w:val="22"/>
                </w:rPr>
                <w:t>NSW</w:t>
              </w:r>
            </w:hyperlink>
            <w:r w:rsidRPr="0016789A">
              <w:rPr>
                <w:rFonts w:eastAsia="Aptos" w:cs="Arial"/>
                <w:color w:val="000000" w:themeColor="text1"/>
                <w:sz w:val="22"/>
              </w:rPr>
              <w:t xml:space="preserve">, </w:t>
            </w:r>
            <w:hyperlink r:id="rId97" w:anchor="sec.216" w:history="1">
              <w:r w:rsidRPr="0016789A">
                <w:rPr>
                  <w:rStyle w:val="Hyperlink"/>
                  <w:rFonts w:eastAsia="Aptos" w:cs="Arial"/>
                  <w:sz w:val="22"/>
                </w:rPr>
                <w:t>Qld</w:t>
              </w:r>
            </w:hyperlink>
            <w:r w:rsidRPr="0016789A">
              <w:rPr>
                <w:rFonts w:eastAsia="Aptos" w:cs="Arial"/>
                <w:color w:val="000000" w:themeColor="text1"/>
                <w:sz w:val="22"/>
              </w:rPr>
              <w:t xml:space="preserve">, </w:t>
            </w:r>
            <w:hyperlink r:id="rId98" w:history="1">
              <w:r w:rsidRPr="0016789A">
                <w:rPr>
                  <w:rStyle w:val="Hyperlink"/>
                  <w:rFonts w:eastAsia="Aptos" w:cs="Arial"/>
                  <w:sz w:val="22"/>
                </w:rPr>
                <w:t>SA</w:t>
              </w:r>
            </w:hyperlink>
            <w:r w:rsidRPr="0016789A">
              <w:rPr>
                <w:rFonts w:eastAsia="Aptos" w:cs="Arial"/>
                <w:color w:val="000000" w:themeColor="text1"/>
                <w:sz w:val="22"/>
              </w:rPr>
              <w:t xml:space="preserve">, </w:t>
            </w:r>
            <w:hyperlink r:id="rId99" w:anchor="GS216@EN" w:history="1">
              <w:r w:rsidRPr="0016789A">
                <w:rPr>
                  <w:rStyle w:val="Hyperlink"/>
                  <w:rFonts w:eastAsia="Aptos" w:cs="Arial"/>
                  <w:sz w:val="22"/>
                </w:rPr>
                <w:t>Tas</w:t>
              </w:r>
            </w:hyperlink>
            <w:r w:rsidRPr="0016789A">
              <w:rPr>
                <w:rFonts w:eastAsia="Aptos" w:cs="Arial"/>
                <w:color w:val="000000" w:themeColor="text1"/>
                <w:sz w:val="22"/>
              </w:rPr>
              <w:t xml:space="preserve">, </w:t>
            </w:r>
            <w:hyperlink r:id="rId100" w:history="1">
              <w:r w:rsidRPr="0016789A">
                <w:rPr>
                  <w:rStyle w:val="Hyperlink"/>
                  <w:rFonts w:eastAsia="Aptos" w:cs="Arial"/>
                  <w:sz w:val="22"/>
                </w:rPr>
                <w:t>WA</w:t>
              </w:r>
            </w:hyperlink>
            <w:r w:rsidRPr="0016789A">
              <w:rPr>
                <w:rFonts w:eastAsia="Aptos" w:cs="Arial"/>
                <w:color w:val="000000" w:themeColor="text1"/>
                <w:sz w:val="22"/>
              </w:rPr>
              <w:t xml:space="preserve"> (s 216) and </w:t>
            </w:r>
            <w:hyperlink r:id="rId101" w:history="1">
              <w:r w:rsidRPr="0016789A">
                <w:rPr>
                  <w:rStyle w:val="Hyperlink"/>
                  <w:rFonts w:eastAsia="Aptos" w:cs="Arial"/>
                  <w:sz w:val="22"/>
                </w:rPr>
                <w:t>NT</w:t>
              </w:r>
            </w:hyperlink>
            <w:r w:rsidRPr="0016789A">
              <w:rPr>
                <w:rFonts w:eastAsia="Aptos" w:cs="Arial"/>
                <w:color w:val="000000" w:themeColor="text1"/>
                <w:sz w:val="22"/>
              </w:rPr>
              <w:t xml:space="preserve"> (s 34C) variations preventing the use of </w:t>
            </w:r>
            <w:r w:rsidRPr="0016789A" w:rsidDel="0028653D">
              <w:rPr>
                <w:rFonts w:eastAsia="Aptos" w:cs="Arial"/>
                <w:color w:val="000000" w:themeColor="text1"/>
                <w:sz w:val="22"/>
              </w:rPr>
              <w:t xml:space="preserve">enforceable undertakings </w:t>
            </w:r>
            <w:r w:rsidRPr="0016789A">
              <w:rPr>
                <w:rFonts w:eastAsia="Aptos" w:cs="Arial"/>
                <w:color w:val="000000" w:themeColor="text1"/>
                <w:sz w:val="22"/>
              </w:rPr>
              <w:t xml:space="preserve">for industrial manslaughter offences. </w:t>
            </w:r>
          </w:p>
        </w:tc>
      </w:tr>
      <w:tr w:rsidR="00461E87" w:rsidRPr="0016789A" w14:paraId="28547188" w14:textId="77777777" w:rsidTr="00461E87">
        <w:tc>
          <w:tcPr>
            <w:tcW w:w="5000" w:type="pct"/>
            <w:gridSpan w:val="2"/>
          </w:tcPr>
          <w:p w14:paraId="17AECF53" w14:textId="1A9F078A" w:rsidR="00461E87" w:rsidRPr="0016789A" w:rsidRDefault="00461E87" w:rsidP="00461E87">
            <w:pPr>
              <w:pStyle w:val="Tableheader"/>
              <w:rPr>
                <w:rFonts w:eastAsia="Yu Gothic"/>
                <w:b/>
                <w:bCs/>
                <w:szCs w:val="22"/>
              </w:rPr>
            </w:pPr>
            <w:r w:rsidRPr="0016789A">
              <w:rPr>
                <w:rFonts w:eastAsia="Yu Gothic"/>
                <w:b/>
                <w:bCs/>
                <w:szCs w:val="22"/>
              </w:rPr>
              <w:lastRenderedPageBreak/>
              <w:t>Review of decisions</w:t>
            </w:r>
          </w:p>
        </w:tc>
      </w:tr>
      <w:tr w:rsidR="00461E87" w:rsidRPr="0016789A" w14:paraId="78BC02DB" w14:textId="77777777" w:rsidTr="00461E87">
        <w:tc>
          <w:tcPr>
            <w:tcW w:w="139" w:type="pct"/>
          </w:tcPr>
          <w:p w14:paraId="4A9438BC" w14:textId="77777777" w:rsidR="00461E87" w:rsidRPr="0016789A" w:rsidRDefault="00461E87">
            <w:pPr>
              <w:spacing w:after="0" w:line="240" w:lineRule="auto"/>
              <w:rPr>
                <w:rFonts w:ascii="Aptos" w:eastAsia="Yu Gothic" w:hAnsi="Aptos" w:cs="Arial"/>
                <w:color w:val="000000" w:themeColor="text1"/>
                <w:szCs w:val="22"/>
              </w:rPr>
            </w:pPr>
            <w:r w:rsidRPr="0016789A">
              <w:rPr>
                <w:rFonts w:ascii="Aptos" w:eastAsia="Yu Gothic" w:hAnsi="Aptos" w:cs="Arial"/>
                <w:color w:val="000000" w:themeColor="text1"/>
                <w:szCs w:val="22"/>
              </w:rPr>
              <w:t>4.</w:t>
            </w:r>
          </w:p>
        </w:tc>
        <w:tc>
          <w:tcPr>
            <w:tcW w:w="4861" w:type="pct"/>
          </w:tcPr>
          <w:p w14:paraId="1417DD3E" w14:textId="7DEB578B" w:rsidR="00F97CF1" w:rsidRPr="0016789A" w:rsidRDefault="00461E87" w:rsidP="003A6B7A">
            <w:pPr>
              <w:pStyle w:val="ListNumber2"/>
              <w:numPr>
                <w:ilvl w:val="0"/>
                <w:numId w:val="19"/>
              </w:numPr>
              <w:rPr>
                <w:szCs w:val="22"/>
              </w:rPr>
            </w:pPr>
            <w:r w:rsidRPr="0016789A">
              <w:rPr>
                <w:szCs w:val="22"/>
              </w:rPr>
              <w:t xml:space="preserve">SA </w:t>
            </w:r>
            <w:r w:rsidR="00F97CF1" w:rsidRPr="0016789A">
              <w:rPr>
                <w:szCs w:val="22"/>
              </w:rPr>
              <w:t>variation (</w:t>
            </w:r>
            <w:hyperlink r:id="rId102" w:history="1">
              <w:r w:rsidR="00F97CF1" w:rsidRPr="0016789A">
                <w:rPr>
                  <w:rStyle w:val="Hyperlink"/>
                  <w:szCs w:val="22"/>
                </w:rPr>
                <w:t>s 223</w:t>
              </w:r>
            </w:hyperlink>
            <w:r w:rsidR="00F97CF1" w:rsidRPr="0016789A">
              <w:rPr>
                <w:szCs w:val="22"/>
              </w:rPr>
              <w:t>) providing that a PCBU</w:t>
            </w:r>
            <w:r w:rsidR="00B060CD">
              <w:rPr>
                <w:szCs w:val="22"/>
              </w:rPr>
              <w:t>’</w:t>
            </w:r>
            <w:r w:rsidR="00F97CF1" w:rsidRPr="0016789A">
              <w:rPr>
                <w:szCs w:val="22"/>
              </w:rPr>
              <w:t>s or a worker’s representative can also be an eligible person for reviewable decisions.</w:t>
            </w:r>
          </w:p>
          <w:p w14:paraId="54A929F8" w14:textId="3084C251" w:rsidR="00461E87" w:rsidRPr="0016789A" w:rsidRDefault="00F97CF1" w:rsidP="003A6B7A">
            <w:pPr>
              <w:pStyle w:val="ListNumber2"/>
              <w:numPr>
                <w:ilvl w:val="0"/>
                <w:numId w:val="19"/>
              </w:numPr>
              <w:rPr>
                <w:szCs w:val="22"/>
              </w:rPr>
            </w:pPr>
            <w:r w:rsidRPr="0016789A">
              <w:rPr>
                <w:szCs w:val="22"/>
              </w:rPr>
              <w:t>Qld variation (</w:t>
            </w:r>
            <w:hyperlink r:id="rId103" w:anchor="pt.12-div.4" w:history="1">
              <w:r w:rsidRPr="0016789A">
                <w:rPr>
                  <w:rStyle w:val="Hyperlink"/>
                  <w:szCs w:val="22"/>
                </w:rPr>
                <w:t>s 229A</w:t>
              </w:r>
            </w:hyperlink>
            <w:r w:rsidRPr="0016789A">
              <w:rPr>
                <w:szCs w:val="22"/>
              </w:rPr>
              <w:t>) providing that</w:t>
            </w:r>
            <w:r w:rsidR="00B060CD">
              <w:rPr>
                <w:szCs w:val="22"/>
              </w:rPr>
              <w:t>,</w:t>
            </w:r>
            <w:r w:rsidRPr="0016789A">
              <w:rPr>
                <w:szCs w:val="22"/>
              </w:rPr>
              <w:t xml:space="preserve"> in relation to external reviews, persons are entitled to a statement of the decision and reasons</w:t>
            </w:r>
            <w:r w:rsidR="00461E87" w:rsidRPr="0016789A">
              <w:rPr>
                <w:rFonts w:eastAsia="Yu Gothic"/>
                <w:color w:val="000000" w:themeColor="text1"/>
                <w:szCs w:val="22"/>
              </w:rPr>
              <w:t>.</w:t>
            </w:r>
          </w:p>
        </w:tc>
      </w:tr>
      <w:tr w:rsidR="00461E87" w:rsidRPr="0016789A" w14:paraId="5CD301B2" w14:textId="77777777" w:rsidTr="00461E87">
        <w:tc>
          <w:tcPr>
            <w:tcW w:w="5000" w:type="pct"/>
            <w:gridSpan w:val="2"/>
          </w:tcPr>
          <w:p w14:paraId="5FC67DBF" w14:textId="77777777" w:rsidR="00461E87" w:rsidRPr="0016789A" w:rsidRDefault="00461E87" w:rsidP="00461E87">
            <w:pPr>
              <w:pStyle w:val="Tableheader"/>
              <w:rPr>
                <w:rFonts w:eastAsia="Aptos"/>
                <w:b/>
                <w:bCs/>
                <w:color w:val="000000" w:themeColor="text1"/>
                <w:szCs w:val="22"/>
              </w:rPr>
            </w:pPr>
            <w:r w:rsidRPr="0016789A">
              <w:rPr>
                <w:rFonts w:eastAsia="Aptos"/>
                <w:b/>
                <w:bCs/>
                <w:szCs w:val="22"/>
              </w:rPr>
              <w:t>Legal proceedings</w:t>
            </w:r>
          </w:p>
        </w:tc>
      </w:tr>
      <w:tr w:rsidR="00461E87" w:rsidRPr="0016789A" w14:paraId="060D9FB5" w14:textId="77777777" w:rsidTr="00461E87">
        <w:tc>
          <w:tcPr>
            <w:tcW w:w="139" w:type="pct"/>
          </w:tcPr>
          <w:p w14:paraId="25F4E66D" w14:textId="77777777" w:rsidR="00461E87" w:rsidRPr="0016789A" w:rsidRDefault="00461E87">
            <w:pPr>
              <w:spacing w:after="0" w:line="240" w:lineRule="auto"/>
              <w:rPr>
                <w:rFonts w:ascii="Aptos" w:eastAsia="Aptos" w:hAnsi="Aptos" w:cs="Arial"/>
                <w:color w:val="000000" w:themeColor="text1"/>
                <w:szCs w:val="22"/>
              </w:rPr>
            </w:pPr>
            <w:r w:rsidRPr="0016789A">
              <w:rPr>
                <w:rFonts w:ascii="Aptos" w:eastAsia="Aptos" w:hAnsi="Aptos" w:cs="Arial"/>
                <w:color w:val="000000" w:themeColor="text1"/>
                <w:szCs w:val="22"/>
              </w:rPr>
              <w:t>5.</w:t>
            </w:r>
          </w:p>
        </w:tc>
        <w:tc>
          <w:tcPr>
            <w:tcW w:w="4861" w:type="pct"/>
          </w:tcPr>
          <w:p w14:paraId="5B91A5D8" w14:textId="69770294" w:rsidR="00266F39" w:rsidRPr="00DF1707" w:rsidRDefault="00461E87" w:rsidP="00DF1707">
            <w:pPr>
              <w:pStyle w:val="ListNumber2"/>
              <w:numPr>
                <w:ilvl w:val="0"/>
                <w:numId w:val="20"/>
              </w:numPr>
              <w:rPr>
                <w:rFonts w:ascii="Aptos" w:eastAsia="Aptos" w:hAnsi="Aptos"/>
                <w:szCs w:val="22"/>
              </w:rPr>
            </w:pPr>
            <w:r w:rsidRPr="0016789A">
              <w:rPr>
                <w:rFonts w:ascii="Aptos" w:eastAsia="Aptos" w:hAnsi="Aptos"/>
                <w:szCs w:val="22"/>
              </w:rPr>
              <w:t xml:space="preserve">NSW </w:t>
            </w:r>
            <w:r w:rsidR="00C1000E" w:rsidRPr="0016789A">
              <w:rPr>
                <w:rFonts w:ascii="Aptos" w:eastAsia="Aptos" w:hAnsi="Aptos"/>
                <w:szCs w:val="22"/>
              </w:rPr>
              <w:t>variations (</w:t>
            </w:r>
            <w:hyperlink r:id="rId104" w:anchor="sec.260" w:history="1">
              <w:r w:rsidR="00C1000E" w:rsidRPr="0016789A">
                <w:rPr>
                  <w:rStyle w:val="Hyperlink"/>
                  <w:rFonts w:ascii="Aptos" w:eastAsia="Aptos" w:hAnsi="Aptos"/>
                  <w:szCs w:val="22"/>
                </w:rPr>
                <w:t>s 260</w:t>
              </w:r>
            </w:hyperlink>
            <w:r w:rsidR="00C1000E" w:rsidRPr="0016789A">
              <w:rPr>
                <w:rFonts w:ascii="Aptos" w:eastAsia="Aptos" w:hAnsi="Aptos"/>
                <w:szCs w:val="22"/>
              </w:rPr>
              <w:t>) providing unions</w:t>
            </w:r>
            <w:r w:rsidR="00C1000E" w:rsidRPr="0016789A" w:rsidDel="00345478">
              <w:rPr>
                <w:rFonts w:ascii="Aptos" w:eastAsia="Aptos" w:hAnsi="Aptos"/>
                <w:szCs w:val="22"/>
              </w:rPr>
              <w:t xml:space="preserve"> </w:t>
            </w:r>
            <w:r w:rsidR="00C1000E" w:rsidRPr="0016789A">
              <w:rPr>
                <w:rFonts w:ascii="Aptos" w:eastAsia="Aptos" w:hAnsi="Aptos"/>
                <w:szCs w:val="22"/>
              </w:rPr>
              <w:t>the ability to bring civil penalty proceedings.</w:t>
            </w:r>
          </w:p>
          <w:p w14:paraId="7E0A8BE4" w14:textId="6F1315A5" w:rsidR="00C1000E" w:rsidRPr="00266F39" w:rsidRDefault="00C1000E" w:rsidP="00DF1707">
            <w:pPr>
              <w:pStyle w:val="ListNumber2"/>
              <w:numPr>
                <w:ilvl w:val="0"/>
                <w:numId w:val="20"/>
              </w:numPr>
              <w:rPr>
                <w:rFonts w:ascii="Aptos" w:eastAsia="Aptos" w:hAnsi="Aptos"/>
                <w:szCs w:val="22"/>
              </w:rPr>
            </w:pPr>
            <w:r w:rsidRPr="00266F39">
              <w:rPr>
                <w:rFonts w:ascii="Aptos" w:eastAsia="Aptos" w:hAnsi="Aptos"/>
                <w:szCs w:val="22"/>
              </w:rPr>
              <w:t>Vic approach (</w:t>
            </w:r>
            <w:hyperlink r:id="rId105" w:history="1">
              <w:r w:rsidRPr="00266F39">
                <w:rPr>
                  <w:rStyle w:val="Hyperlink"/>
                  <w:rFonts w:ascii="Aptos" w:eastAsia="Aptos" w:hAnsi="Aptos"/>
                  <w:szCs w:val="22"/>
                </w:rPr>
                <w:t>s 132</w:t>
              </w:r>
            </w:hyperlink>
            <w:r w:rsidRPr="00266F39">
              <w:rPr>
                <w:rFonts w:ascii="Aptos" w:eastAsia="Aptos" w:hAnsi="Aptos"/>
                <w:szCs w:val="22"/>
              </w:rPr>
              <w:t>) to limitation periods enabling the DPP to authorise an extension of time for bringing a prosecution.</w:t>
            </w:r>
          </w:p>
          <w:p w14:paraId="7B97A11A" w14:textId="77777777" w:rsidR="00C1000E" w:rsidRPr="0016789A" w:rsidRDefault="00C1000E" w:rsidP="003A6B7A">
            <w:pPr>
              <w:pStyle w:val="ListNumber2"/>
              <w:numPr>
                <w:ilvl w:val="0"/>
                <w:numId w:val="20"/>
              </w:numPr>
              <w:rPr>
                <w:rFonts w:ascii="Aptos" w:eastAsia="Aptos" w:hAnsi="Aptos"/>
                <w:szCs w:val="22"/>
              </w:rPr>
            </w:pPr>
            <w:r w:rsidRPr="0016789A">
              <w:rPr>
                <w:rFonts w:ascii="Aptos" w:eastAsia="Aptos" w:hAnsi="Aptos"/>
                <w:szCs w:val="22"/>
              </w:rPr>
              <w:t>WA variations (</w:t>
            </w:r>
            <w:hyperlink r:id="rId106" w:history="1">
              <w:r w:rsidRPr="0016789A">
                <w:rPr>
                  <w:rStyle w:val="Hyperlink"/>
                  <w:rFonts w:ascii="Aptos" w:eastAsia="Aptos" w:hAnsi="Aptos"/>
                  <w:szCs w:val="22"/>
                </w:rPr>
                <w:t>ss 30A</w:t>
              </w:r>
            </w:hyperlink>
            <w:r w:rsidRPr="0016789A">
              <w:rPr>
                <w:rFonts w:ascii="Aptos" w:eastAsia="Aptos" w:hAnsi="Aptos"/>
                <w:szCs w:val="22"/>
              </w:rPr>
              <w:t xml:space="preserve"> and </w:t>
            </w:r>
            <w:hyperlink r:id="rId107" w:history="1">
              <w:r w:rsidRPr="0016789A">
                <w:rPr>
                  <w:rStyle w:val="Hyperlink"/>
                  <w:rFonts w:ascii="Aptos" w:eastAsia="Aptos" w:hAnsi="Aptos"/>
                  <w:szCs w:val="22"/>
                </w:rPr>
                <w:t>31-32</w:t>
              </w:r>
            </w:hyperlink>
            <w:r w:rsidRPr="0016789A">
              <w:rPr>
                <w:rFonts w:ascii="Aptos" w:eastAsia="Aptos" w:hAnsi="Aptos"/>
                <w:szCs w:val="22"/>
              </w:rPr>
              <w:t>) permitting the use of alternative verdicts in WHS proceedings.</w:t>
            </w:r>
          </w:p>
          <w:p w14:paraId="74AC4A8F" w14:textId="77777777" w:rsidR="00F21CE3" w:rsidRDefault="00C1000E" w:rsidP="003A6B7A">
            <w:pPr>
              <w:pStyle w:val="ListNumber2"/>
              <w:numPr>
                <w:ilvl w:val="0"/>
                <w:numId w:val="20"/>
              </w:numPr>
              <w:rPr>
                <w:rFonts w:ascii="Aptos" w:eastAsia="Aptos" w:hAnsi="Aptos"/>
                <w:szCs w:val="22"/>
              </w:rPr>
            </w:pPr>
            <w:r w:rsidRPr="0016789A">
              <w:rPr>
                <w:rFonts w:ascii="Aptos" w:eastAsia="Aptos" w:hAnsi="Aptos"/>
                <w:szCs w:val="22"/>
              </w:rPr>
              <w:t>WA variations (</w:t>
            </w:r>
            <w:hyperlink r:id="rId108" w:history="1">
              <w:r w:rsidRPr="0016789A">
                <w:rPr>
                  <w:rStyle w:val="Hyperlink"/>
                  <w:rFonts w:ascii="Aptos" w:eastAsia="Aptos" w:hAnsi="Aptos"/>
                  <w:szCs w:val="22"/>
                </w:rPr>
                <w:t>s 193</w:t>
              </w:r>
            </w:hyperlink>
            <w:r w:rsidRPr="0016789A">
              <w:rPr>
                <w:rFonts w:ascii="Aptos" w:eastAsia="Aptos" w:hAnsi="Aptos"/>
                <w:szCs w:val="22"/>
              </w:rPr>
              <w:t>) requiring that a person to whom an improvement notice is issued must notify the regulator once they comply.</w:t>
            </w:r>
          </w:p>
          <w:p w14:paraId="426A60BA" w14:textId="519FA5E6" w:rsidR="00461E87" w:rsidRPr="0016789A" w:rsidRDefault="00C1000E" w:rsidP="003A6B7A">
            <w:pPr>
              <w:pStyle w:val="ListNumber2"/>
              <w:numPr>
                <w:ilvl w:val="0"/>
                <w:numId w:val="20"/>
              </w:numPr>
              <w:rPr>
                <w:rFonts w:ascii="Aptos" w:eastAsia="Aptos" w:hAnsi="Aptos"/>
                <w:szCs w:val="22"/>
              </w:rPr>
            </w:pPr>
            <w:r w:rsidRPr="0016789A">
              <w:rPr>
                <w:rFonts w:ascii="Aptos" w:eastAsia="Aptos" w:hAnsi="Aptos"/>
                <w:szCs w:val="22"/>
              </w:rPr>
              <w:t>WA variation (</w:t>
            </w:r>
            <w:hyperlink r:id="rId109" w:history="1">
              <w:r w:rsidRPr="0016789A">
                <w:rPr>
                  <w:rStyle w:val="Hyperlink"/>
                  <w:rFonts w:ascii="Aptos" w:eastAsia="Aptos" w:hAnsi="Aptos"/>
                  <w:szCs w:val="22"/>
                </w:rPr>
                <w:t>s 232A</w:t>
              </w:r>
            </w:hyperlink>
            <w:r w:rsidRPr="0016789A">
              <w:rPr>
                <w:rFonts w:ascii="Aptos" w:eastAsia="Aptos" w:hAnsi="Aptos"/>
                <w:szCs w:val="22"/>
              </w:rPr>
              <w:t>) providing that the court may decide to admit evidence if it is satisfied that the benefit outweighs the harm</w:t>
            </w:r>
            <w:r w:rsidR="00461E87" w:rsidRPr="0016789A">
              <w:rPr>
                <w:rFonts w:ascii="Aptos" w:eastAsia="Aptos" w:hAnsi="Aptos"/>
                <w:szCs w:val="22"/>
              </w:rPr>
              <w:t>.</w:t>
            </w:r>
          </w:p>
        </w:tc>
      </w:tr>
      <w:tr w:rsidR="00461E87" w:rsidRPr="0016789A" w14:paraId="52364421" w14:textId="77777777" w:rsidTr="00461E87">
        <w:tc>
          <w:tcPr>
            <w:tcW w:w="5000" w:type="pct"/>
            <w:gridSpan w:val="2"/>
          </w:tcPr>
          <w:p w14:paraId="53B497F4" w14:textId="77777777" w:rsidR="00461E87" w:rsidRPr="0016789A" w:rsidRDefault="00461E87" w:rsidP="00461E87">
            <w:pPr>
              <w:pStyle w:val="Tableheader"/>
              <w:rPr>
                <w:rFonts w:eastAsia="Aptos"/>
                <w:b/>
                <w:bCs/>
                <w:color w:val="000000" w:themeColor="text1"/>
                <w:szCs w:val="22"/>
              </w:rPr>
            </w:pPr>
            <w:r w:rsidRPr="0016789A">
              <w:rPr>
                <w:rFonts w:eastAsia="Aptos"/>
                <w:b/>
                <w:bCs/>
                <w:szCs w:val="22"/>
              </w:rPr>
              <w:t>Confidentiality of information</w:t>
            </w:r>
          </w:p>
        </w:tc>
      </w:tr>
      <w:tr w:rsidR="00461E87" w:rsidRPr="0016789A" w14:paraId="320FA74D" w14:textId="77777777" w:rsidTr="00461E87">
        <w:tc>
          <w:tcPr>
            <w:tcW w:w="139" w:type="pct"/>
          </w:tcPr>
          <w:p w14:paraId="06E093B0" w14:textId="77777777" w:rsidR="00461E87" w:rsidRPr="0016789A" w:rsidRDefault="00461E87">
            <w:pPr>
              <w:spacing w:after="0" w:line="240" w:lineRule="auto"/>
              <w:rPr>
                <w:rFonts w:ascii="Aptos" w:eastAsia="Aptos" w:hAnsi="Aptos" w:cs="Arial"/>
                <w:color w:val="000000" w:themeColor="text1"/>
                <w:szCs w:val="22"/>
              </w:rPr>
            </w:pPr>
            <w:r w:rsidRPr="0016789A">
              <w:rPr>
                <w:rFonts w:ascii="Aptos" w:eastAsia="Aptos" w:hAnsi="Aptos" w:cs="Arial"/>
                <w:color w:val="000000" w:themeColor="text1"/>
                <w:szCs w:val="22"/>
              </w:rPr>
              <w:t>6.</w:t>
            </w:r>
          </w:p>
        </w:tc>
        <w:tc>
          <w:tcPr>
            <w:tcW w:w="4861" w:type="pct"/>
          </w:tcPr>
          <w:p w14:paraId="708E776A" w14:textId="56369EB3" w:rsidR="005C53A0" w:rsidRPr="0016789A" w:rsidRDefault="00461E87" w:rsidP="00447786">
            <w:pPr>
              <w:pStyle w:val="ListNumber2"/>
              <w:numPr>
                <w:ilvl w:val="0"/>
                <w:numId w:val="29"/>
              </w:numPr>
              <w:rPr>
                <w:rFonts w:eastAsia="Aptos"/>
                <w:szCs w:val="22"/>
              </w:rPr>
            </w:pPr>
            <w:r w:rsidRPr="0016789A">
              <w:rPr>
                <w:rFonts w:eastAsia="Aptos"/>
                <w:szCs w:val="22"/>
              </w:rPr>
              <w:t>SA</w:t>
            </w:r>
            <w:r w:rsidR="00304F1A">
              <w:rPr>
                <w:rFonts w:eastAsia="Aptos"/>
                <w:szCs w:val="22"/>
              </w:rPr>
              <w:t xml:space="preserve"> </w:t>
            </w:r>
            <w:r w:rsidR="005C53A0" w:rsidRPr="0016789A">
              <w:rPr>
                <w:rFonts w:eastAsia="Aptos"/>
                <w:szCs w:val="22"/>
              </w:rPr>
              <w:t>variation (</w:t>
            </w:r>
            <w:hyperlink r:id="rId110" w:history="1">
              <w:r w:rsidR="005C53A0" w:rsidRPr="0016789A">
                <w:rPr>
                  <w:rStyle w:val="Hyperlink"/>
                  <w:rFonts w:eastAsia="Aptos"/>
                  <w:szCs w:val="22"/>
                </w:rPr>
                <w:t>s 271A</w:t>
              </w:r>
            </w:hyperlink>
            <w:r w:rsidR="005C53A0" w:rsidRPr="0016789A">
              <w:rPr>
                <w:rFonts w:eastAsia="Aptos"/>
                <w:szCs w:val="22"/>
              </w:rPr>
              <w:t>) enabling regulators to disclose information to certain parties with a direct connection to an incident subject to appropriate safeguards.</w:t>
            </w:r>
          </w:p>
          <w:p w14:paraId="3ECF9329" w14:textId="77777777" w:rsidR="005C53A0" w:rsidRPr="0016789A" w:rsidRDefault="005C53A0" w:rsidP="00447786">
            <w:pPr>
              <w:pStyle w:val="ListNumber2"/>
              <w:numPr>
                <w:ilvl w:val="0"/>
                <w:numId w:val="29"/>
              </w:numPr>
              <w:rPr>
                <w:rFonts w:eastAsia="Aptos"/>
                <w:szCs w:val="22"/>
              </w:rPr>
            </w:pPr>
            <w:r w:rsidRPr="0016789A">
              <w:rPr>
                <w:rFonts w:eastAsia="Aptos"/>
                <w:szCs w:val="22"/>
              </w:rPr>
              <w:t>NSW variation (</w:t>
            </w:r>
            <w:hyperlink r:id="rId111" w:anchor="sec.271" w:history="1">
              <w:r w:rsidRPr="0016789A">
                <w:rPr>
                  <w:rStyle w:val="Hyperlink"/>
                  <w:rFonts w:eastAsia="Aptos"/>
                  <w:szCs w:val="22"/>
                </w:rPr>
                <w:t>s 271</w:t>
              </w:r>
            </w:hyperlink>
            <w:r w:rsidRPr="0016789A">
              <w:rPr>
                <w:rFonts w:eastAsia="Aptos"/>
                <w:szCs w:val="22"/>
              </w:rPr>
              <w:t>) enabling PCBUs, workers and their representatives access to information about a matter they raise with the regulator.</w:t>
            </w:r>
          </w:p>
          <w:p w14:paraId="122860A0" w14:textId="3C4D662F" w:rsidR="00461E87" w:rsidRPr="0016789A" w:rsidRDefault="005C53A0" w:rsidP="00447786">
            <w:pPr>
              <w:pStyle w:val="ListNumber2"/>
              <w:numPr>
                <w:ilvl w:val="0"/>
                <w:numId w:val="29"/>
              </w:numPr>
              <w:rPr>
                <w:rFonts w:eastAsia="Aptos"/>
                <w:szCs w:val="22"/>
              </w:rPr>
            </w:pPr>
            <w:r w:rsidRPr="0016789A">
              <w:rPr>
                <w:szCs w:val="22"/>
              </w:rPr>
              <w:t>NSW variation (</w:t>
            </w:r>
            <w:hyperlink r:id="rId112" w:anchor="sec.271AA" w:history="1">
              <w:r w:rsidRPr="0016789A">
                <w:rPr>
                  <w:rStyle w:val="Hyperlink"/>
                  <w:rFonts w:eastAsia="Aptos"/>
                  <w:bCs/>
                  <w:szCs w:val="22"/>
                </w:rPr>
                <w:t>ss 271AA</w:t>
              </w:r>
            </w:hyperlink>
            <w:r w:rsidRPr="0016789A">
              <w:rPr>
                <w:szCs w:val="22"/>
              </w:rPr>
              <w:t xml:space="preserve"> and </w:t>
            </w:r>
            <w:hyperlink r:id="rId113" w:anchor="sec.271AB" w:history="1">
              <w:r w:rsidRPr="0016789A">
                <w:rPr>
                  <w:rStyle w:val="Hyperlink"/>
                  <w:rFonts w:eastAsia="Aptos"/>
                  <w:bCs/>
                  <w:szCs w:val="22"/>
                </w:rPr>
                <w:t>271AB</w:t>
              </w:r>
            </w:hyperlink>
            <w:r w:rsidRPr="0016789A">
              <w:rPr>
                <w:szCs w:val="22"/>
              </w:rPr>
              <w:t>) providing more streamlined administrative approaches to information sharing between the regulator and other agencies.</w:t>
            </w:r>
          </w:p>
        </w:tc>
      </w:tr>
    </w:tbl>
    <w:p w14:paraId="48B727D4" w14:textId="77777777" w:rsidR="00461E87" w:rsidRDefault="00461E87" w:rsidP="00B55277">
      <w:pPr>
        <w:pStyle w:val="Paragraph"/>
        <w:rPr>
          <w:lang w:eastAsia="en-US"/>
        </w:rPr>
        <w:sectPr w:rsidR="00461E87" w:rsidSect="00DF1707">
          <w:headerReference w:type="default" r:id="rId114"/>
          <w:pgSz w:w="16838" w:h="11906" w:orient="landscape" w:code="9"/>
          <w:pgMar w:top="1440" w:right="1080" w:bottom="1440" w:left="1080" w:header="709" w:footer="709" w:gutter="0"/>
          <w:cols w:space="708"/>
          <w:titlePg/>
          <w:docGrid w:linePitch="360"/>
        </w:sectPr>
      </w:pPr>
    </w:p>
    <w:p w14:paraId="4A1A537E" w14:textId="3435B380" w:rsidR="00B55277" w:rsidRDefault="00461E87" w:rsidP="00461E87">
      <w:pPr>
        <w:pStyle w:val="SWAHeading1"/>
        <w:numPr>
          <w:ilvl w:val="0"/>
          <w:numId w:val="0"/>
        </w:numPr>
      </w:pPr>
      <w:bookmarkStart w:id="148" w:name="_Toc239845177"/>
      <w:r>
        <w:lastRenderedPageBreak/>
        <w:t xml:space="preserve">Appendix F: </w:t>
      </w:r>
      <w:r w:rsidR="00657895">
        <w:t>The model WHS Regulations: variations</w:t>
      </w:r>
      <w:bookmarkEnd w:id="148"/>
    </w:p>
    <w:tbl>
      <w:tblPr>
        <w:tblStyle w:val="Style9"/>
        <w:tblW w:w="5000" w:type="pct"/>
        <w:tblLook w:val="04A0" w:firstRow="1" w:lastRow="0" w:firstColumn="1" w:lastColumn="0" w:noHBand="0" w:noVBand="1"/>
      </w:tblPr>
      <w:tblGrid>
        <w:gridCol w:w="465"/>
        <w:gridCol w:w="14213"/>
      </w:tblGrid>
      <w:tr w:rsidR="00461E87" w:rsidRPr="0016789A" w14:paraId="5DC4264D" w14:textId="77777777" w:rsidTr="00461E87">
        <w:trPr>
          <w:trHeight w:val="300"/>
        </w:trPr>
        <w:tc>
          <w:tcPr>
            <w:tcW w:w="5000" w:type="pct"/>
            <w:gridSpan w:val="2"/>
          </w:tcPr>
          <w:p w14:paraId="04D0EA96" w14:textId="1016F418" w:rsidR="00461E87" w:rsidRPr="0016789A" w:rsidRDefault="00461E87" w:rsidP="00461E87">
            <w:pPr>
              <w:pStyle w:val="Tableheader"/>
              <w:rPr>
                <w:rFonts w:eastAsia="Aptos"/>
                <w:b/>
                <w:bCs/>
                <w:szCs w:val="22"/>
              </w:rPr>
            </w:pPr>
            <w:r w:rsidRPr="0016789A">
              <w:rPr>
                <w:rFonts w:eastAsia="Aptos"/>
                <w:b/>
                <w:bCs/>
                <w:szCs w:val="22"/>
              </w:rPr>
              <w:t xml:space="preserve">Model WHS Regulations </w:t>
            </w:r>
          </w:p>
        </w:tc>
      </w:tr>
      <w:tr w:rsidR="00461E87" w:rsidRPr="0016789A" w14:paraId="706F8149" w14:textId="77777777" w:rsidTr="00461E87">
        <w:tc>
          <w:tcPr>
            <w:tcW w:w="153" w:type="pct"/>
          </w:tcPr>
          <w:p w14:paraId="48FE3F73" w14:textId="77777777" w:rsidR="00461E87" w:rsidRPr="0016789A" w:rsidRDefault="00461E87">
            <w:pPr>
              <w:spacing w:after="0" w:line="240" w:lineRule="auto"/>
              <w:contextualSpacing w:val="0"/>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1.</w:t>
            </w:r>
          </w:p>
        </w:tc>
        <w:tc>
          <w:tcPr>
            <w:tcW w:w="4847" w:type="pct"/>
          </w:tcPr>
          <w:p w14:paraId="5CD4F2B2" w14:textId="650F1DA8" w:rsidR="00461E87" w:rsidRPr="0016789A" w:rsidRDefault="003B6D3C">
            <w:pPr>
              <w:tabs>
                <w:tab w:val="left" w:pos="1843"/>
              </w:tabs>
              <w:spacing w:after="0" w:line="240" w:lineRule="auto"/>
              <w:rPr>
                <w:rFonts w:asciiTheme="minorHAnsi" w:eastAsia="MS Mincho" w:hAnsiTheme="minorHAnsi" w:cs="Arial"/>
                <w:color w:val="000000"/>
                <w:szCs w:val="22"/>
              </w:rPr>
            </w:pPr>
            <w:r w:rsidRPr="0016789A">
              <w:rPr>
                <w:rFonts w:asciiTheme="minorHAnsi" w:eastAsia="MS Mincho" w:hAnsiTheme="minorHAnsi" w:cs="Arial"/>
                <w:color w:val="000000"/>
                <w:szCs w:val="22"/>
              </w:rPr>
              <w:t xml:space="preserve">Qld variations (WHS </w:t>
            </w:r>
            <w:hyperlink r:id="rId115" w:anchor="sec.16" w:history="1">
              <w:r w:rsidRPr="0016789A">
                <w:rPr>
                  <w:rFonts w:asciiTheme="minorHAnsi" w:eastAsia="MS Mincho" w:hAnsiTheme="minorHAnsi" w:cs="Arial"/>
                  <w:color w:val="145B85"/>
                  <w:szCs w:val="22"/>
                  <w:u w:val="single"/>
                </w:rPr>
                <w:t>Regulation, reg 16(2)</w:t>
              </w:r>
            </w:hyperlink>
            <w:r w:rsidRPr="0016789A">
              <w:rPr>
                <w:rFonts w:asciiTheme="minorHAnsi" w:eastAsia="MS Mincho" w:hAnsiTheme="minorHAnsi" w:cs="Arial"/>
                <w:color w:val="000000"/>
                <w:szCs w:val="22"/>
              </w:rPr>
              <w:t>) specifying when an HSR is ‘readily accessible’ to workers, by reference to location, work type and shift type.</w:t>
            </w:r>
          </w:p>
        </w:tc>
      </w:tr>
      <w:tr w:rsidR="00461E87" w:rsidRPr="0016789A" w14:paraId="415E2348" w14:textId="77777777" w:rsidTr="00461E87">
        <w:trPr>
          <w:trHeight w:val="19"/>
        </w:trPr>
        <w:tc>
          <w:tcPr>
            <w:tcW w:w="153" w:type="pct"/>
          </w:tcPr>
          <w:p w14:paraId="00BFB992" w14:textId="77777777" w:rsidR="00461E87" w:rsidRPr="0016789A" w:rsidRDefault="00461E87">
            <w:pPr>
              <w:spacing w:after="0" w:line="240" w:lineRule="auto"/>
              <w:contextualSpacing w:val="0"/>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2.</w:t>
            </w:r>
          </w:p>
        </w:tc>
        <w:tc>
          <w:tcPr>
            <w:tcW w:w="4847" w:type="pct"/>
          </w:tcPr>
          <w:p w14:paraId="563EC6D1" w14:textId="339EBE63" w:rsidR="00461E87" w:rsidRPr="0016789A" w:rsidRDefault="00507EDD">
            <w:pPr>
              <w:tabs>
                <w:tab w:val="left" w:pos="1843"/>
              </w:tabs>
              <w:spacing w:after="0" w:line="240" w:lineRule="auto"/>
              <w:rPr>
                <w:rFonts w:asciiTheme="minorHAnsi" w:eastAsia="Aptos" w:hAnsiTheme="minorHAnsi" w:cs="Times New Roman"/>
                <w:b/>
                <w:szCs w:val="22"/>
              </w:rPr>
            </w:pPr>
            <w:r w:rsidRPr="0016789A">
              <w:rPr>
                <w:rFonts w:asciiTheme="minorHAnsi" w:eastAsia="Aptos" w:hAnsiTheme="minorHAnsi" w:cs="Times New Roman"/>
                <w:szCs w:val="22"/>
              </w:rPr>
              <w:t xml:space="preserve">Amend the model WHS Regulations to adopt WA’s variation to </w:t>
            </w:r>
            <w:hyperlink r:id="rId116" w:history="1">
              <w:r w:rsidRPr="0016789A">
                <w:rPr>
                  <w:rFonts w:asciiTheme="minorHAnsi" w:eastAsia="Aptos" w:hAnsiTheme="minorHAnsi" w:cs="Times New Roman"/>
                  <w:color w:val="145B85"/>
                  <w:szCs w:val="22"/>
                  <w:u w:val="single"/>
                </w:rPr>
                <w:t>reg 292</w:t>
              </w:r>
            </w:hyperlink>
            <w:r w:rsidRPr="0016789A">
              <w:rPr>
                <w:rFonts w:asciiTheme="minorHAnsi" w:eastAsia="Aptos" w:hAnsiTheme="minorHAnsi" w:cs="Times New Roman"/>
                <w:szCs w:val="22"/>
              </w:rPr>
              <w:t xml:space="preserve"> in relation to construction projects, which sets the definition by reference to the number of people on the project.</w:t>
            </w:r>
          </w:p>
        </w:tc>
      </w:tr>
      <w:tr w:rsidR="00461E87" w:rsidRPr="0016789A" w14:paraId="18A1EF74" w14:textId="77777777" w:rsidTr="00461E87">
        <w:tc>
          <w:tcPr>
            <w:tcW w:w="153" w:type="pct"/>
          </w:tcPr>
          <w:p w14:paraId="537C60EA" w14:textId="77777777" w:rsidR="00461E87" w:rsidRPr="0016789A" w:rsidRDefault="00461E87">
            <w:pPr>
              <w:spacing w:after="0" w:line="240" w:lineRule="auto"/>
              <w:contextualSpacing w:val="0"/>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3.</w:t>
            </w:r>
          </w:p>
        </w:tc>
        <w:tc>
          <w:tcPr>
            <w:tcW w:w="4847" w:type="pct"/>
          </w:tcPr>
          <w:p w14:paraId="659ED017" w14:textId="28BF201F" w:rsidR="00461E87" w:rsidRPr="0016789A" w:rsidRDefault="00DD5E64">
            <w:pPr>
              <w:spacing w:after="0" w:line="240" w:lineRule="auto"/>
              <w:rPr>
                <w:rFonts w:asciiTheme="minorHAnsi" w:eastAsia="Aptos" w:hAnsiTheme="minorHAnsi" w:cs="Times New Roman"/>
                <w:szCs w:val="22"/>
              </w:rPr>
            </w:pPr>
            <w:r w:rsidRPr="0016789A">
              <w:rPr>
                <w:rFonts w:asciiTheme="minorHAnsi" w:eastAsia="Aptos" w:hAnsiTheme="minorHAnsi" w:cs="Times New Roman"/>
                <w:szCs w:val="22"/>
              </w:rPr>
              <w:t>Amend the model WHS Regulations to enable digital authorisation options for general construction induction training cards (white cards).</w:t>
            </w:r>
          </w:p>
        </w:tc>
      </w:tr>
      <w:tr w:rsidR="00461E87" w:rsidRPr="0016789A" w14:paraId="6A301CAF" w14:textId="77777777" w:rsidTr="00461E87">
        <w:tc>
          <w:tcPr>
            <w:tcW w:w="153" w:type="pct"/>
          </w:tcPr>
          <w:p w14:paraId="176BFA9A" w14:textId="77777777" w:rsidR="00461E87" w:rsidRPr="0016789A" w:rsidRDefault="00461E87">
            <w:pPr>
              <w:spacing w:after="0" w:line="240" w:lineRule="auto"/>
              <w:contextualSpacing w:val="0"/>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4.</w:t>
            </w:r>
          </w:p>
        </w:tc>
        <w:tc>
          <w:tcPr>
            <w:tcW w:w="4847" w:type="pct"/>
          </w:tcPr>
          <w:p w14:paraId="2479A809" w14:textId="6BB7CEBC" w:rsidR="00461E87" w:rsidRPr="0016789A" w:rsidRDefault="005748DA">
            <w:pPr>
              <w:spacing w:line="240" w:lineRule="auto"/>
              <w:rPr>
                <w:rFonts w:asciiTheme="minorHAnsi" w:eastAsia="Aptos" w:hAnsiTheme="minorHAnsi" w:cs="Times New Roman"/>
                <w:szCs w:val="22"/>
              </w:rPr>
            </w:pPr>
            <w:r w:rsidRPr="0016789A">
              <w:rPr>
                <w:rFonts w:asciiTheme="minorHAnsi" w:eastAsia="Calibri" w:hAnsiTheme="minorHAnsi" w:cs="Arial"/>
                <w:color w:val="000000"/>
                <w:szCs w:val="22"/>
              </w:rPr>
              <w:t xml:space="preserve">Amend Schedule 11, drawing on the </w:t>
            </w:r>
            <w:hyperlink r:id="rId117" w:anchor="sec.361" w:history="1">
              <w:r w:rsidRPr="0016789A">
                <w:rPr>
                  <w:rFonts w:asciiTheme="minorHAnsi" w:eastAsia="Calibri" w:hAnsiTheme="minorHAnsi" w:cs="Arial"/>
                  <w:color w:val="145B85"/>
                  <w:szCs w:val="22"/>
                  <w:u w:val="single"/>
                </w:rPr>
                <w:t>NSW variation</w:t>
              </w:r>
            </w:hyperlink>
            <w:r w:rsidRPr="0016789A">
              <w:rPr>
                <w:rFonts w:asciiTheme="minorHAnsi" w:eastAsia="Calibri" w:hAnsiTheme="minorHAnsi" w:cs="Arial"/>
                <w:color w:val="000000"/>
                <w:szCs w:val="22"/>
              </w:rPr>
              <w:t>, to introduce a requirement for PCBUs that use, handle or store 25,000 kg or more of lithium batteries at a workplace to lodge a copy of their emergency plan with the relevant fire authority.</w:t>
            </w:r>
          </w:p>
        </w:tc>
      </w:tr>
    </w:tbl>
    <w:p w14:paraId="60730778" w14:textId="77777777" w:rsidR="00461E87" w:rsidRPr="00461E87" w:rsidRDefault="00461E87" w:rsidP="00461E87">
      <w:pPr>
        <w:pStyle w:val="Paragraph"/>
        <w:rPr>
          <w:lang w:eastAsia="en-US"/>
        </w:rPr>
      </w:pPr>
    </w:p>
    <w:p w14:paraId="6483A075" w14:textId="77777777" w:rsidR="00461E87" w:rsidRDefault="00461E87" w:rsidP="00461E87">
      <w:pPr>
        <w:pStyle w:val="Paragraph"/>
        <w:rPr>
          <w:lang w:eastAsia="en-US"/>
        </w:rPr>
        <w:sectPr w:rsidR="00461E87" w:rsidSect="00DF1707">
          <w:headerReference w:type="default" r:id="rId118"/>
          <w:pgSz w:w="16838" w:h="11906" w:orient="landscape" w:code="9"/>
          <w:pgMar w:top="1440" w:right="1080" w:bottom="1440" w:left="1080" w:header="709" w:footer="709" w:gutter="0"/>
          <w:cols w:space="708"/>
          <w:titlePg/>
          <w:docGrid w:linePitch="360"/>
        </w:sectPr>
      </w:pPr>
    </w:p>
    <w:p w14:paraId="37C9E401" w14:textId="7DDFF6B7" w:rsidR="00461E87" w:rsidRDefault="00461E87" w:rsidP="00461E87">
      <w:pPr>
        <w:pStyle w:val="SWAHeading1"/>
        <w:numPr>
          <w:ilvl w:val="0"/>
          <w:numId w:val="0"/>
        </w:numPr>
      </w:pPr>
      <w:bookmarkStart w:id="149" w:name="_Toc239845178"/>
      <w:r>
        <w:lastRenderedPageBreak/>
        <w:t xml:space="preserve">Appendix G: </w:t>
      </w:r>
      <w:r w:rsidR="00657895">
        <w:t>The model WHS Regulations: modernisation project</w:t>
      </w:r>
      <w:bookmarkEnd w:id="149"/>
    </w:p>
    <w:p w14:paraId="440A6FD0" w14:textId="77777777" w:rsidR="00430EBE" w:rsidRPr="00430EBE" w:rsidRDefault="00430EBE" w:rsidP="0016789A">
      <w:pPr>
        <w:pStyle w:val="Paragraph"/>
        <w:rPr>
          <w:rFonts w:eastAsia="Aptos" w:cs="Arial"/>
          <w:b/>
          <w:bCs/>
        </w:rPr>
      </w:pPr>
      <w:r w:rsidRPr="00430EBE">
        <w:rPr>
          <w:rFonts w:eastAsia="Aptos"/>
        </w:rPr>
        <w:t xml:space="preserve">This Review recommends the following </w:t>
      </w:r>
      <w:r w:rsidRPr="0016789A">
        <w:rPr>
          <w:rFonts w:eastAsia="Aptos"/>
          <w:szCs w:val="22"/>
        </w:rPr>
        <w:t>issues</w:t>
      </w:r>
      <w:r w:rsidRPr="00430EBE">
        <w:rPr>
          <w:rFonts w:eastAsia="Aptos"/>
        </w:rPr>
        <w:t xml:space="preserve"> be considered through the proposed regulation modernisation project.</w:t>
      </w:r>
    </w:p>
    <w:tbl>
      <w:tblPr>
        <w:tblStyle w:val="Style9"/>
        <w:tblW w:w="5000" w:type="pct"/>
        <w:tblLook w:val="04A0" w:firstRow="1" w:lastRow="0" w:firstColumn="1" w:lastColumn="0" w:noHBand="0" w:noVBand="1"/>
      </w:tblPr>
      <w:tblGrid>
        <w:gridCol w:w="582"/>
        <w:gridCol w:w="14096"/>
      </w:tblGrid>
      <w:tr w:rsidR="00461E87" w:rsidRPr="0016789A" w14:paraId="62358321" w14:textId="77777777" w:rsidTr="00461E87">
        <w:trPr>
          <w:trHeight w:val="300"/>
        </w:trPr>
        <w:tc>
          <w:tcPr>
            <w:tcW w:w="5000" w:type="pct"/>
            <w:gridSpan w:val="2"/>
          </w:tcPr>
          <w:p w14:paraId="1AEBC6C7" w14:textId="6473C52F" w:rsidR="00461E87" w:rsidRPr="0016789A" w:rsidRDefault="00461E87" w:rsidP="00461E87">
            <w:pPr>
              <w:pStyle w:val="Tableheader"/>
              <w:rPr>
                <w:rFonts w:eastAsia="Aptos"/>
                <w:b/>
                <w:bCs/>
                <w:szCs w:val="22"/>
              </w:rPr>
            </w:pPr>
            <w:r w:rsidRPr="0016789A">
              <w:rPr>
                <w:rFonts w:eastAsia="Aptos"/>
                <w:b/>
                <w:bCs/>
                <w:szCs w:val="22"/>
              </w:rPr>
              <w:t>Model WHS Regulations</w:t>
            </w:r>
          </w:p>
        </w:tc>
      </w:tr>
      <w:tr w:rsidR="00461E87" w:rsidRPr="0016789A" w14:paraId="4F25A004" w14:textId="77777777" w:rsidTr="00461E87">
        <w:tc>
          <w:tcPr>
            <w:tcW w:w="193" w:type="pct"/>
          </w:tcPr>
          <w:p w14:paraId="39F463BA" w14:textId="77777777" w:rsidR="00461E87" w:rsidRPr="0016789A" w:rsidRDefault="00461E87" w:rsidP="00026DAE">
            <w:pPr>
              <w:pStyle w:val="Paragraphtable"/>
              <w:rPr>
                <w:sz w:val="22"/>
              </w:rPr>
            </w:pPr>
            <w:r w:rsidRPr="0016789A">
              <w:rPr>
                <w:sz w:val="22"/>
              </w:rPr>
              <w:t>1.</w:t>
            </w:r>
          </w:p>
        </w:tc>
        <w:tc>
          <w:tcPr>
            <w:tcW w:w="4807" w:type="pct"/>
          </w:tcPr>
          <w:p w14:paraId="6FA2AF22" w14:textId="25C036B1" w:rsidR="00461E87" w:rsidRPr="0016789A" w:rsidRDefault="007E0281" w:rsidP="00026DAE">
            <w:pPr>
              <w:pStyle w:val="Paragraphtable"/>
              <w:rPr>
                <w:sz w:val="22"/>
              </w:rPr>
            </w:pPr>
            <w:r w:rsidRPr="0016789A">
              <w:rPr>
                <w:rFonts w:eastAsia="Calibri" w:cs="Arial"/>
                <w:color w:val="000000"/>
                <w:sz w:val="22"/>
              </w:rPr>
              <w:t>Consider how to provide for mutual recognition of prescribed training completed by WHS EPHs across WHS jurisdictions, to remove unnecessary duplication of training for permit holders operating in multiple jurisdictions</w:t>
            </w:r>
            <w:r w:rsidR="00461E87" w:rsidRPr="0016789A">
              <w:rPr>
                <w:sz w:val="22"/>
              </w:rPr>
              <w:t>.</w:t>
            </w:r>
          </w:p>
        </w:tc>
      </w:tr>
      <w:tr w:rsidR="00C332D9" w:rsidRPr="0016789A" w14:paraId="5058B00A" w14:textId="77777777" w:rsidTr="00461E87">
        <w:tc>
          <w:tcPr>
            <w:tcW w:w="193" w:type="pct"/>
          </w:tcPr>
          <w:p w14:paraId="71788C3F" w14:textId="77777777" w:rsidR="00C332D9" w:rsidRPr="0016789A" w:rsidRDefault="00C332D9" w:rsidP="00C332D9">
            <w:pPr>
              <w:pStyle w:val="Paragraphtable"/>
              <w:rPr>
                <w:sz w:val="22"/>
              </w:rPr>
            </w:pPr>
            <w:r w:rsidRPr="0016789A">
              <w:rPr>
                <w:sz w:val="22"/>
              </w:rPr>
              <w:t>2.</w:t>
            </w:r>
          </w:p>
        </w:tc>
        <w:tc>
          <w:tcPr>
            <w:tcW w:w="4807" w:type="pct"/>
          </w:tcPr>
          <w:p w14:paraId="38A94213" w14:textId="75BF6535" w:rsidR="00C332D9" w:rsidRPr="0016789A" w:rsidRDefault="00C332D9" w:rsidP="00C332D9">
            <w:pPr>
              <w:pStyle w:val="Paragraphtable"/>
              <w:rPr>
                <w:sz w:val="22"/>
              </w:rPr>
            </w:pPr>
            <w:r w:rsidRPr="0016789A">
              <w:rPr>
                <w:sz w:val="22"/>
              </w:rPr>
              <w:t>Review Division 1 of Part 5.3 to determine how high</w:t>
            </w:r>
            <w:r w:rsidRPr="0016789A">
              <w:rPr>
                <w:rFonts w:cs="Arial"/>
                <w:sz w:val="22"/>
              </w:rPr>
              <w:t xml:space="preserve"> </w:t>
            </w:r>
            <w:r w:rsidRPr="0016789A">
              <w:rPr>
                <w:sz w:val="22"/>
              </w:rPr>
              <w:t>risk work licensing should apply when automated high</w:t>
            </w:r>
            <w:r w:rsidRPr="0016789A">
              <w:rPr>
                <w:rFonts w:cs="Arial"/>
                <w:sz w:val="22"/>
              </w:rPr>
              <w:t xml:space="preserve"> </w:t>
            </w:r>
            <w:r w:rsidRPr="0016789A">
              <w:rPr>
                <w:sz w:val="22"/>
              </w:rPr>
              <w:t>risk plant is used.</w:t>
            </w:r>
          </w:p>
        </w:tc>
      </w:tr>
      <w:tr w:rsidR="00C332D9" w:rsidRPr="0016789A" w14:paraId="0894D450" w14:textId="77777777" w:rsidTr="00461E87">
        <w:trPr>
          <w:trHeight w:val="19"/>
        </w:trPr>
        <w:tc>
          <w:tcPr>
            <w:tcW w:w="193" w:type="pct"/>
          </w:tcPr>
          <w:p w14:paraId="75664101" w14:textId="77777777" w:rsidR="00C332D9" w:rsidRPr="0016789A" w:rsidRDefault="00C332D9" w:rsidP="00C332D9">
            <w:pPr>
              <w:pStyle w:val="Paragraphtable"/>
              <w:rPr>
                <w:sz w:val="22"/>
              </w:rPr>
            </w:pPr>
            <w:r w:rsidRPr="0016789A">
              <w:rPr>
                <w:sz w:val="22"/>
              </w:rPr>
              <w:t>3.</w:t>
            </w:r>
          </w:p>
        </w:tc>
        <w:tc>
          <w:tcPr>
            <w:tcW w:w="4807" w:type="pct"/>
          </w:tcPr>
          <w:p w14:paraId="6ED8A73D" w14:textId="25D3037A" w:rsidR="00C332D9" w:rsidRPr="0016789A" w:rsidRDefault="00725E3A" w:rsidP="00C332D9">
            <w:pPr>
              <w:pStyle w:val="Paragraphtable"/>
              <w:rPr>
                <w:sz w:val="22"/>
              </w:rPr>
            </w:pPr>
            <w:r w:rsidRPr="0016789A">
              <w:rPr>
                <w:sz w:val="22"/>
              </w:rPr>
              <w:t>Amend the definition of ‘demolition work’ to include offshore demolition work.</w:t>
            </w:r>
          </w:p>
        </w:tc>
      </w:tr>
      <w:tr w:rsidR="00C332D9" w:rsidRPr="0016789A" w14:paraId="569C514C" w14:textId="77777777" w:rsidTr="00461E87">
        <w:trPr>
          <w:trHeight w:val="386"/>
        </w:trPr>
        <w:tc>
          <w:tcPr>
            <w:tcW w:w="193" w:type="pct"/>
          </w:tcPr>
          <w:p w14:paraId="50A1ABFF" w14:textId="77777777" w:rsidR="00C332D9" w:rsidRPr="0016789A" w:rsidRDefault="00C332D9" w:rsidP="00C332D9">
            <w:pPr>
              <w:pStyle w:val="Paragraphtable"/>
              <w:rPr>
                <w:sz w:val="22"/>
              </w:rPr>
            </w:pPr>
            <w:r w:rsidRPr="0016789A">
              <w:rPr>
                <w:sz w:val="22"/>
              </w:rPr>
              <w:t>4.</w:t>
            </w:r>
          </w:p>
        </w:tc>
        <w:tc>
          <w:tcPr>
            <w:tcW w:w="4807" w:type="pct"/>
          </w:tcPr>
          <w:p w14:paraId="23B74F6D" w14:textId="77777777" w:rsidR="00D23E35" w:rsidRPr="0016789A" w:rsidRDefault="00E3291D" w:rsidP="00447786">
            <w:pPr>
              <w:pStyle w:val="Listnumber2tables"/>
              <w:numPr>
                <w:ilvl w:val="0"/>
                <w:numId w:val="39"/>
              </w:numPr>
              <w:rPr>
                <w:rFonts w:eastAsia="Arial"/>
                <w:sz w:val="22"/>
              </w:rPr>
            </w:pPr>
            <w:r w:rsidRPr="0016789A">
              <w:rPr>
                <w:rFonts w:eastAsia="Arial"/>
                <w:sz w:val="22"/>
              </w:rPr>
              <w:t>Harmonise, with the support of jurisdictions, the registration requirements for plant and design for amusement devices; and consider (including by referring to HWSA if appropriate) how to increase the transparency and mutual recognition of these through national information sharing</w:t>
            </w:r>
            <w:r w:rsidR="00C332D9" w:rsidRPr="0016789A">
              <w:rPr>
                <w:rFonts w:eastAsia="Arial"/>
                <w:sz w:val="22"/>
              </w:rPr>
              <w:t>.</w:t>
            </w:r>
          </w:p>
          <w:p w14:paraId="0C23DB2F" w14:textId="31018E28" w:rsidR="00C332D9" w:rsidRPr="0016789A" w:rsidRDefault="00B71BA3" w:rsidP="00447786">
            <w:pPr>
              <w:pStyle w:val="Listnumber2tables"/>
              <w:numPr>
                <w:ilvl w:val="0"/>
                <w:numId w:val="39"/>
              </w:numPr>
              <w:rPr>
                <w:rFonts w:eastAsia="Arial"/>
                <w:sz w:val="22"/>
              </w:rPr>
            </w:pPr>
            <w:r w:rsidRPr="0016789A">
              <w:rPr>
                <w:rFonts w:eastAsia="Calibri"/>
                <w:color w:val="000000"/>
                <w:sz w:val="22"/>
              </w:rPr>
              <w:t>Review the competent persons framework across the model WHS Regulations, including the definition and application of ‘competent person’</w:t>
            </w:r>
            <w:r w:rsidR="00C332D9" w:rsidRPr="0016789A">
              <w:rPr>
                <w:rFonts w:eastAsia="Calibri"/>
                <w:color w:val="000000"/>
                <w:sz w:val="22"/>
              </w:rPr>
              <w:t>.</w:t>
            </w:r>
          </w:p>
        </w:tc>
      </w:tr>
      <w:tr w:rsidR="00C332D9" w:rsidRPr="0016789A" w14:paraId="34AD6A43" w14:textId="77777777" w:rsidTr="00461E87">
        <w:trPr>
          <w:trHeight w:val="386"/>
        </w:trPr>
        <w:tc>
          <w:tcPr>
            <w:tcW w:w="193" w:type="pct"/>
          </w:tcPr>
          <w:p w14:paraId="45E7A56E" w14:textId="77777777" w:rsidR="00C332D9" w:rsidRPr="0016789A" w:rsidRDefault="00C332D9" w:rsidP="00C332D9">
            <w:pPr>
              <w:pStyle w:val="Paragraphtable"/>
              <w:rPr>
                <w:sz w:val="22"/>
              </w:rPr>
            </w:pPr>
            <w:r w:rsidRPr="0016789A">
              <w:rPr>
                <w:sz w:val="22"/>
              </w:rPr>
              <w:t>5.</w:t>
            </w:r>
          </w:p>
        </w:tc>
        <w:tc>
          <w:tcPr>
            <w:tcW w:w="4807" w:type="pct"/>
          </w:tcPr>
          <w:p w14:paraId="4FEF917E" w14:textId="1CC21533" w:rsidR="00C332D9" w:rsidRPr="0016789A" w:rsidRDefault="00717AEB" w:rsidP="0016789A">
            <w:pPr>
              <w:pStyle w:val="Paragraphtable"/>
              <w:spacing w:after="360"/>
              <w:rPr>
                <w:sz w:val="22"/>
              </w:rPr>
            </w:pPr>
            <w:r w:rsidRPr="0016789A">
              <w:rPr>
                <w:sz w:val="22"/>
              </w:rPr>
              <w:t xml:space="preserve">Review definitions in the model WHS Regulations to ensure they </w:t>
            </w:r>
            <w:r w:rsidRPr="0016789A">
              <w:rPr>
                <w:rFonts w:eastAsia="Aptos" w:cs="Arial"/>
                <w:color w:val="000000"/>
                <w:sz w:val="22"/>
              </w:rPr>
              <w:t xml:space="preserve">reflect modern working environments and equipment, including those concerning </w:t>
            </w:r>
            <w:r w:rsidRPr="0016789A">
              <w:rPr>
                <w:sz w:val="22"/>
              </w:rPr>
              <w:t>carcinogens, germ cell mutagens and reproductive toxicants</w:t>
            </w:r>
            <w:r w:rsidR="00C332D9" w:rsidRPr="0016789A">
              <w:rPr>
                <w:sz w:val="22"/>
              </w:rPr>
              <w:t>.</w:t>
            </w:r>
          </w:p>
        </w:tc>
      </w:tr>
      <w:tr w:rsidR="00C332D9" w:rsidRPr="0016789A" w14:paraId="1CEBE8F7" w14:textId="77777777" w:rsidTr="00461E87">
        <w:trPr>
          <w:trHeight w:val="386"/>
        </w:trPr>
        <w:tc>
          <w:tcPr>
            <w:tcW w:w="193" w:type="pct"/>
          </w:tcPr>
          <w:p w14:paraId="7BD25DDC" w14:textId="43C698CE" w:rsidR="00C332D9" w:rsidRPr="0016789A" w:rsidRDefault="00C332D9" w:rsidP="00C332D9">
            <w:pPr>
              <w:pStyle w:val="Paragraphtable"/>
              <w:rPr>
                <w:sz w:val="22"/>
              </w:rPr>
            </w:pPr>
            <w:r w:rsidRPr="0016789A">
              <w:rPr>
                <w:sz w:val="22"/>
              </w:rPr>
              <w:lastRenderedPageBreak/>
              <w:t>6.</w:t>
            </w:r>
          </w:p>
        </w:tc>
        <w:tc>
          <w:tcPr>
            <w:tcW w:w="4807" w:type="pct"/>
          </w:tcPr>
          <w:p w14:paraId="5067B2BD" w14:textId="0319025D" w:rsidR="00AF3355" w:rsidRPr="0016789A" w:rsidRDefault="00AF3355" w:rsidP="00AF3355">
            <w:pPr>
              <w:tabs>
                <w:tab w:val="left" w:pos="1843"/>
              </w:tabs>
              <w:spacing w:after="0" w:line="240" w:lineRule="auto"/>
              <w:rPr>
                <w:rFonts w:asciiTheme="minorHAnsi" w:eastAsia="Arial" w:hAnsiTheme="minorHAnsi" w:cs="Arial"/>
                <w:b/>
                <w:szCs w:val="22"/>
              </w:rPr>
            </w:pPr>
            <w:r w:rsidRPr="0016789A">
              <w:rPr>
                <w:rFonts w:asciiTheme="minorHAnsi" w:eastAsia="Arial" w:hAnsiTheme="minorHAnsi" w:cs="Arial"/>
                <w:szCs w:val="22"/>
              </w:rPr>
              <w:t>Ensure a consistent regulatory approach to managing hazardous chemicals and other hazards that may arise from the processing of products, including engineered stone and welding rods. Noting existing reviews underway on these matters, Safe Work Australia should:</w:t>
            </w:r>
          </w:p>
          <w:p w14:paraId="3540D334" w14:textId="77777777" w:rsidR="00AF3355" w:rsidRPr="0016789A" w:rsidRDefault="00AF3355" w:rsidP="00AF3355">
            <w:pPr>
              <w:pStyle w:val="Listnumber3tables"/>
              <w:rPr>
                <w:sz w:val="22"/>
              </w:rPr>
            </w:pPr>
            <w:r w:rsidRPr="0016789A">
              <w:rPr>
                <w:sz w:val="22"/>
              </w:rPr>
              <w:t>examine whether existing duties and definitions adequately capture products that generate hazards when processed, particularly where those products are not hazards in their unprocessed state</w:t>
            </w:r>
          </w:p>
          <w:p w14:paraId="12F343DE" w14:textId="77777777" w:rsidR="00AF3355" w:rsidRPr="0016789A" w:rsidRDefault="00AF3355" w:rsidP="00AF3355">
            <w:pPr>
              <w:pStyle w:val="Listnumber3tables"/>
              <w:rPr>
                <w:sz w:val="22"/>
              </w:rPr>
            </w:pPr>
            <w:r w:rsidRPr="0016789A">
              <w:rPr>
                <w:sz w:val="22"/>
              </w:rPr>
              <w:t>assess whether current labelling and safety information requirements, including safety data sheets, consistently and appropriately inform downstream users of processing</w:t>
            </w:r>
            <w:r w:rsidRPr="0016789A">
              <w:rPr>
                <w:sz w:val="22"/>
              </w:rPr>
              <w:noBreakHyphen/>
              <w:t>related risks</w:t>
            </w:r>
          </w:p>
          <w:p w14:paraId="4267A32E" w14:textId="79F60DE6" w:rsidR="00C332D9" w:rsidRPr="0016789A" w:rsidRDefault="00AF3355" w:rsidP="00AF3355">
            <w:pPr>
              <w:pStyle w:val="Listnumber3tables"/>
              <w:rPr>
                <w:sz w:val="22"/>
              </w:rPr>
            </w:pPr>
            <w:r w:rsidRPr="0016789A">
              <w:rPr>
                <w:sz w:val="22"/>
              </w:rPr>
              <w:t>consider how to address processing-related risks where labelling</w:t>
            </w:r>
            <w:r w:rsidRPr="0016789A">
              <w:rPr>
                <w:rFonts w:eastAsia="MS Mincho"/>
                <w:color w:val="000000"/>
                <w:sz w:val="22"/>
              </w:rPr>
              <w:t xml:space="preserve"> and safety information requirements </w:t>
            </w:r>
            <w:r w:rsidR="00B060CD">
              <w:rPr>
                <w:rFonts w:eastAsia="MS Mincho"/>
                <w:color w:val="000000"/>
                <w:sz w:val="22"/>
              </w:rPr>
              <w:t xml:space="preserve">are </w:t>
            </w:r>
            <w:r w:rsidRPr="0016789A">
              <w:rPr>
                <w:rFonts w:eastAsia="MS Mincho"/>
                <w:color w:val="000000"/>
                <w:sz w:val="22"/>
              </w:rPr>
              <w:t>found to be inadequate</w:t>
            </w:r>
            <w:r w:rsidR="00C332D9" w:rsidRPr="0016789A">
              <w:rPr>
                <w:rFonts w:eastAsia="MS Mincho"/>
                <w:color w:val="000000"/>
                <w:sz w:val="22"/>
              </w:rPr>
              <w:t xml:space="preserve">. </w:t>
            </w:r>
          </w:p>
        </w:tc>
      </w:tr>
      <w:tr w:rsidR="00C332D9" w:rsidRPr="0016789A" w14:paraId="13C18D4B" w14:textId="77777777" w:rsidTr="00461E87">
        <w:trPr>
          <w:trHeight w:val="19"/>
        </w:trPr>
        <w:tc>
          <w:tcPr>
            <w:tcW w:w="193" w:type="pct"/>
          </w:tcPr>
          <w:p w14:paraId="215509A0" w14:textId="77777777" w:rsidR="00C332D9" w:rsidRPr="0016789A" w:rsidRDefault="00C332D9" w:rsidP="00C332D9">
            <w:pPr>
              <w:pStyle w:val="Paragraphtable"/>
              <w:rPr>
                <w:sz w:val="22"/>
              </w:rPr>
            </w:pPr>
            <w:r w:rsidRPr="0016789A">
              <w:rPr>
                <w:sz w:val="22"/>
              </w:rPr>
              <w:t>7.</w:t>
            </w:r>
          </w:p>
        </w:tc>
        <w:tc>
          <w:tcPr>
            <w:tcW w:w="4807" w:type="pct"/>
          </w:tcPr>
          <w:p w14:paraId="565EF3F3" w14:textId="2BB0F52E" w:rsidR="00C332D9" w:rsidRPr="0016789A" w:rsidRDefault="0067158B" w:rsidP="00C332D9">
            <w:pPr>
              <w:pStyle w:val="Paragraphtable"/>
              <w:rPr>
                <w:sz w:val="22"/>
              </w:rPr>
            </w:pPr>
            <w:r w:rsidRPr="0016789A">
              <w:rPr>
                <w:rFonts w:eastAsia="MS Mincho" w:cs="Arial"/>
                <w:color w:val="000000"/>
                <w:sz w:val="22"/>
              </w:rPr>
              <w:t>C</w:t>
            </w:r>
            <w:r w:rsidRPr="0016789A">
              <w:rPr>
                <w:rFonts w:cs="Arial"/>
                <w:sz w:val="22"/>
              </w:rPr>
              <w:t>onsider whether there is a legislative gap in relation to the legal capacity of inspectors to issue compliance notices where prohibited work is being done</w:t>
            </w:r>
            <w:r w:rsidR="00C332D9" w:rsidRPr="0016789A">
              <w:rPr>
                <w:sz w:val="22"/>
              </w:rPr>
              <w:t>.</w:t>
            </w:r>
          </w:p>
        </w:tc>
      </w:tr>
      <w:tr w:rsidR="00C332D9" w:rsidRPr="0016789A" w:rsidDel="007128B1" w14:paraId="5F037911" w14:textId="77777777" w:rsidTr="00461E87">
        <w:trPr>
          <w:trHeight w:val="19"/>
        </w:trPr>
        <w:tc>
          <w:tcPr>
            <w:tcW w:w="193" w:type="pct"/>
          </w:tcPr>
          <w:p w14:paraId="03562BD3" w14:textId="77777777" w:rsidR="00C332D9" w:rsidRPr="0016789A" w:rsidRDefault="00C332D9" w:rsidP="00C332D9">
            <w:pPr>
              <w:pStyle w:val="Paragraphtable"/>
              <w:rPr>
                <w:sz w:val="22"/>
              </w:rPr>
            </w:pPr>
            <w:r w:rsidRPr="0016789A">
              <w:rPr>
                <w:sz w:val="22"/>
              </w:rPr>
              <w:t>8.</w:t>
            </w:r>
          </w:p>
        </w:tc>
        <w:tc>
          <w:tcPr>
            <w:tcW w:w="4807" w:type="pct"/>
          </w:tcPr>
          <w:p w14:paraId="1BDBEC43" w14:textId="72B342A3" w:rsidR="00C332D9" w:rsidRPr="0016789A" w:rsidDel="007128B1" w:rsidRDefault="005F4D5D" w:rsidP="00C332D9">
            <w:pPr>
              <w:pStyle w:val="Paragraphtable"/>
              <w:rPr>
                <w:sz w:val="22"/>
              </w:rPr>
            </w:pPr>
            <w:r w:rsidRPr="0016789A">
              <w:rPr>
                <w:rFonts w:eastAsia="MS Mincho" w:cs="Arial"/>
                <w:color w:val="000000"/>
                <w:sz w:val="22"/>
              </w:rPr>
              <w:t>Review safety requirements for underground and overhead facilities to improve consistency across jurisdictions</w:t>
            </w:r>
            <w:r w:rsidR="00C332D9" w:rsidRPr="0016789A">
              <w:rPr>
                <w:sz w:val="22"/>
              </w:rPr>
              <w:t>.</w:t>
            </w:r>
          </w:p>
        </w:tc>
      </w:tr>
      <w:tr w:rsidR="00C332D9" w:rsidRPr="0016789A" w14:paraId="7AB1C2A7" w14:textId="77777777" w:rsidTr="00461E87">
        <w:trPr>
          <w:trHeight w:val="19"/>
        </w:trPr>
        <w:tc>
          <w:tcPr>
            <w:tcW w:w="193" w:type="pct"/>
          </w:tcPr>
          <w:p w14:paraId="234859E5" w14:textId="62105090" w:rsidR="00C332D9" w:rsidRPr="0016789A" w:rsidRDefault="00C332D9" w:rsidP="00C332D9">
            <w:pPr>
              <w:pStyle w:val="Paragraphtable"/>
              <w:rPr>
                <w:sz w:val="22"/>
              </w:rPr>
            </w:pPr>
            <w:r w:rsidRPr="0016789A">
              <w:rPr>
                <w:sz w:val="22"/>
              </w:rPr>
              <w:t>9.</w:t>
            </w:r>
          </w:p>
        </w:tc>
        <w:tc>
          <w:tcPr>
            <w:tcW w:w="4807" w:type="pct"/>
          </w:tcPr>
          <w:p w14:paraId="29AD5C11" w14:textId="152CD2EB" w:rsidR="00C332D9" w:rsidRPr="0016789A" w:rsidRDefault="008A4403" w:rsidP="00C332D9">
            <w:pPr>
              <w:pStyle w:val="Paragraphtable"/>
              <w:rPr>
                <w:sz w:val="22"/>
              </w:rPr>
            </w:pPr>
            <w:r w:rsidRPr="0016789A">
              <w:rPr>
                <w:rFonts w:eastAsia="MS Mincho" w:cs="Arial"/>
                <w:color w:val="000000"/>
                <w:sz w:val="22"/>
              </w:rPr>
              <w:t>Review dangerous goods and Major Hazard Facilities Regulations to ensure they are current and fit for purpose, including for application to the clean energy sector.</w:t>
            </w:r>
          </w:p>
        </w:tc>
      </w:tr>
      <w:tr w:rsidR="00C332D9" w:rsidRPr="0016789A" w:rsidDel="007128B1" w14:paraId="4CEC1BFB" w14:textId="77777777" w:rsidTr="00461E87">
        <w:trPr>
          <w:trHeight w:val="19"/>
        </w:trPr>
        <w:tc>
          <w:tcPr>
            <w:tcW w:w="193" w:type="pct"/>
          </w:tcPr>
          <w:p w14:paraId="10856FA4" w14:textId="77777777" w:rsidR="00C332D9" w:rsidRPr="0016789A" w:rsidDel="00AB3304" w:rsidRDefault="00C332D9" w:rsidP="00C332D9">
            <w:pPr>
              <w:pStyle w:val="Paragraphtable"/>
              <w:rPr>
                <w:sz w:val="22"/>
              </w:rPr>
            </w:pPr>
            <w:r w:rsidRPr="0016789A">
              <w:rPr>
                <w:sz w:val="22"/>
              </w:rPr>
              <w:t>10.</w:t>
            </w:r>
          </w:p>
        </w:tc>
        <w:tc>
          <w:tcPr>
            <w:tcW w:w="4807" w:type="pct"/>
          </w:tcPr>
          <w:p w14:paraId="6A189A80" w14:textId="73A43F55" w:rsidR="00C332D9" w:rsidRPr="0016789A" w:rsidDel="007128B1" w:rsidRDefault="0003005E" w:rsidP="00C332D9">
            <w:pPr>
              <w:pStyle w:val="Paragraphtable"/>
              <w:rPr>
                <w:sz w:val="22"/>
              </w:rPr>
            </w:pPr>
            <w:r w:rsidRPr="0016789A">
              <w:rPr>
                <w:rFonts w:eastAsia="MS Mincho" w:cs="Arial"/>
                <w:color w:val="000000"/>
                <w:sz w:val="22"/>
              </w:rPr>
              <w:t>Review the model WHS Regulations to consider new construction-related laser applications</w:t>
            </w:r>
            <w:r w:rsidR="00C332D9" w:rsidRPr="0016789A">
              <w:rPr>
                <w:sz w:val="22"/>
              </w:rPr>
              <w:t>.</w:t>
            </w:r>
          </w:p>
        </w:tc>
      </w:tr>
      <w:tr w:rsidR="00C332D9" w:rsidRPr="0016789A" w14:paraId="1D2E6D68" w14:textId="77777777" w:rsidTr="00461E87">
        <w:trPr>
          <w:trHeight w:val="386"/>
        </w:trPr>
        <w:tc>
          <w:tcPr>
            <w:tcW w:w="193" w:type="pct"/>
          </w:tcPr>
          <w:p w14:paraId="18FA5336" w14:textId="7F1EA865" w:rsidR="00C332D9" w:rsidRPr="0016789A" w:rsidRDefault="00C332D9" w:rsidP="00C332D9">
            <w:pPr>
              <w:pStyle w:val="Paragraphtable"/>
              <w:rPr>
                <w:sz w:val="22"/>
              </w:rPr>
            </w:pPr>
            <w:r w:rsidRPr="0016789A">
              <w:rPr>
                <w:sz w:val="22"/>
              </w:rPr>
              <w:t xml:space="preserve">11. </w:t>
            </w:r>
          </w:p>
        </w:tc>
        <w:tc>
          <w:tcPr>
            <w:tcW w:w="4807" w:type="pct"/>
          </w:tcPr>
          <w:p w14:paraId="64EAC257" w14:textId="461F76DA" w:rsidR="00C332D9" w:rsidRPr="0016789A" w:rsidRDefault="002E3DF5" w:rsidP="00C332D9">
            <w:pPr>
              <w:pStyle w:val="Paragraphtable"/>
              <w:rPr>
                <w:sz w:val="22"/>
              </w:rPr>
            </w:pPr>
            <w:r w:rsidRPr="0016789A">
              <w:rPr>
                <w:sz w:val="22"/>
              </w:rPr>
              <w:t>Consider whether updates are needed to the model WHS Regulations to accommodate emerging technologies, including grid</w:t>
            </w:r>
            <w:r w:rsidRPr="0016789A">
              <w:rPr>
                <w:sz w:val="22"/>
              </w:rPr>
              <w:noBreakHyphen/>
              <w:t>scale battery energy storage systems and small hydrogen facilities.</w:t>
            </w:r>
          </w:p>
        </w:tc>
      </w:tr>
    </w:tbl>
    <w:p w14:paraId="4511CF71" w14:textId="77777777" w:rsidR="00461E87" w:rsidRDefault="00461E87" w:rsidP="00461E87">
      <w:pPr>
        <w:pStyle w:val="Paragraph"/>
        <w:sectPr w:rsidR="00461E87" w:rsidSect="00DF1707">
          <w:headerReference w:type="default" r:id="rId119"/>
          <w:pgSz w:w="16838" w:h="11906" w:orient="landscape" w:code="9"/>
          <w:pgMar w:top="1440" w:right="1080" w:bottom="1440" w:left="1080" w:header="709" w:footer="709" w:gutter="0"/>
          <w:cols w:space="708"/>
          <w:titlePg/>
          <w:docGrid w:linePitch="360"/>
        </w:sectPr>
      </w:pPr>
    </w:p>
    <w:p w14:paraId="4BCFAAA6" w14:textId="3A029A53" w:rsidR="008E5293" w:rsidRPr="008E5293" w:rsidRDefault="00461E87" w:rsidP="005C13A9">
      <w:pPr>
        <w:pStyle w:val="SWAHeading1"/>
        <w:numPr>
          <w:ilvl w:val="0"/>
          <w:numId w:val="0"/>
        </w:numPr>
      </w:pPr>
      <w:bookmarkStart w:id="150" w:name="_Toc239845179"/>
      <w:r>
        <w:lastRenderedPageBreak/>
        <w:t>Appendix H: Key terms</w:t>
      </w:r>
      <w:bookmarkEnd w:id="150"/>
    </w:p>
    <w:tbl>
      <w:tblPr>
        <w:tblStyle w:val="Style9"/>
        <w:tblW w:w="9774" w:type="dxa"/>
        <w:tblCellMar>
          <w:top w:w="57" w:type="dxa"/>
          <w:bottom w:w="57" w:type="dxa"/>
        </w:tblCellMar>
        <w:tblLook w:val="04A0" w:firstRow="1" w:lastRow="0" w:firstColumn="1" w:lastColumn="0" w:noHBand="0" w:noVBand="1"/>
      </w:tblPr>
      <w:tblGrid>
        <w:gridCol w:w="2685"/>
        <w:gridCol w:w="7089"/>
      </w:tblGrid>
      <w:tr w:rsidR="00BA4DB2" w:rsidRPr="0016789A" w14:paraId="022C8EE9" w14:textId="77777777" w:rsidTr="0016789A">
        <w:trPr>
          <w:tblHeader/>
        </w:trPr>
        <w:tc>
          <w:tcPr>
            <w:tcW w:w="2685" w:type="dxa"/>
            <w:tcBorders>
              <w:top w:val="nil"/>
              <w:bottom w:val="single" w:sz="18" w:space="0" w:color="CBBDFA" w:themeColor="text2" w:themeTint="33"/>
            </w:tcBorders>
          </w:tcPr>
          <w:p w14:paraId="5555E08C" w14:textId="77777777" w:rsidR="00BA4DB2" w:rsidRPr="0016789A" w:rsidRDefault="00BA4DB2">
            <w:pPr>
              <w:pStyle w:val="Tableheader"/>
              <w:rPr>
                <w:b/>
                <w:bCs/>
                <w:szCs w:val="22"/>
              </w:rPr>
            </w:pPr>
            <w:r w:rsidRPr="0016789A">
              <w:rPr>
                <w:b/>
                <w:bCs/>
                <w:szCs w:val="22"/>
              </w:rPr>
              <w:t>Term</w:t>
            </w:r>
          </w:p>
        </w:tc>
        <w:tc>
          <w:tcPr>
            <w:tcW w:w="7089" w:type="dxa"/>
            <w:tcBorders>
              <w:top w:val="nil"/>
              <w:bottom w:val="single" w:sz="18" w:space="0" w:color="CBBDFA" w:themeColor="text2" w:themeTint="33"/>
            </w:tcBorders>
          </w:tcPr>
          <w:p w14:paraId="5A94311A" w14:textId="77777777" w:rsidR="00BA4DB2" w:rsidRPr="0016789A" w:rsidRDefault="00BA4DB2">
            <w:pPr>
              <w:pStyle w:val="Tableheader"/>
              <w:rPr>
                <w:b/>
                <w:bCs/>
                <w:szCs w:val="22"/>
              </w:rPr>
            </w:pPr>
            <w:r w:rsidRPr="0016789A">
              <w:rPr>
                <w:b/>
                <w:bCs/>
                <w:szCs w:val="22"/>
              </w:rPr>
              <w:t>Description</w:t>
            </w:r>
          </w:p>
        </w:tc>
      </w:tr>
      <w:tr w:rsidR="000032EA" w:rsidRPr="0016789A" w14:paraId="4094F086" w14:textId="77777777" w:rsidTr="0016789A">
        <w:tc>
          <w:tcPr>
            <w:tcW w:w="2685" w:type="dxa"/>
            <w:tcBorders>
              <w:top w:val="single" w:sz="18" w:space="0" w:color="CBBDFA" w:themeColor="text2" w:themeTint="33"/>
            </w:tcBorders>
          </w:tcPr>
          <w:p w14:paraId="6044F3CD" w14:textId="475A420D" w:rsidR="000032EA" w:rsidRPr="0016789A" w:rsidRDefault="000032EA" w:rsidP="000032EA">
            <w:pPr>
              <w:pStyle w:val="Paragraphtable"/>
              <w:rPr>
                <w:rFonts w:cs="Arial"/>
                <w:b/>
                <w:bCs w:val="0"/>
                <w:sz w:val="22"/>
              </w:rPr>
            </w:pPr>
            <w:r w:rsidRPr="0016789A">
              <w:rPr>
                <w:rFonts w:cs="Arial"/>
                <w:b/>
                <w:bCs w:val="0"/>
                <w:sz w:val="22"/>
              </w:rPr>
              <w:t>2008 National Review</w:t>
            </w:r>
          </w:p>
        </w:tc>
        <w:tc>
          <w:tcPr>
            <w:tcW w:w="7089" w:type="dxa"/>
            <w:tcBorders>
              <w:top w:val="single" w:sz="18" w:space="0" w:color="CBBDFA" w:themeColor="text2" w:themeTint="33"/>
            </w:tcBorders>
          </w:tcPr>
          <w:p w14:paraId="5049F6FC" w14:textId="6CA4D612" w:rsidR="000032EA" w:rsidRPr="0016789A" w:rsidRDefault="000032EA" w:rsidP="00D17747">
            <w:pPr>
              <w:spacing w:after="40" w:line="240" w:lineRule="auto"/>
              <w:contextualSpacing w:val="0"/>
              <w:rPr>
                <w:rFonts w:asciiTheme="minorHAnsi" w:eastAsia="Arial" w:hAnsiTheme="minorHAnsi" w:cs="Arial"/>
                <w:color w:val="000000"/>
                <w:szCs w:val="22"/>
              </w:rPr>
            </w:pPr>
            <w:r w:rsidRPr="004D1058">
              <w:rPr>
                <w:rFonts w:asciiTheme="minorHAnsi" w:hAnsiTheme="minorHAnsi" w:cs="Arial"/>
                <w:i/>
                <w:iCs/>
                <w:color w:val="000000"/>
                <w:szCs w:val="22"/>
              </w:rPr>
              <w:t>National Review into Model Occupational Health and Safety Laws</w:t>
            </w:r>
            <w:r w:rsidRPr="0016789A">
              <w:rPr>
                <w:rFonts w:asciiTheme="minorHAnsi" w:hAnsiTheme="minorHAnsi" w:cs="Arial"/>
                <w:color w:val="000000"/>
                <w:szCs w:val="22"/>
              </w:rPr>
              <w:t xml:space="preserve"> (2008): first report released in October 2008; second report released in January 2009.</w:t>
            </w:r>
          </w:p>
        </w:tc>
      </w:tr>
      <w:tr w:rsidR="000032EA" w:rsidRPr="0016789A" w14:paraId="5F50411C" w14:textId="77777777" w:rsidTr="0016789A">
        <w:tc>
          <w:tcPr>
            <w:tcW w:w="2685" w:type="dxa"/>
          </w:tcPr>
          <w:p w14:paraId="6B8BCBC5" w14:textId="0AB55938" w:rsidR="000032EA" w:rsidRPr="0016789A" w:rsidRDefault="000032EA" w:rsidP="000032EA">
            <w:pPr>
              <w:pStyle w:val="Paragraphtable"/>
              <w:rPr>
                <w:rFonts w:cs="Arial"/>
                <w:b/>
                <w:bCs w:val="0"/>
                <w:sz w:val="22"/>
              </w:rPr>
            </w:pPr>
            <w:r w:rsidRPr="0016789A">
              <w:rPr>
                <w:rFonts w:cs="Arial"/>
                <w:b/>
                <w:bCs w:val="0"/>
                <w:sz w:val="22"/>
              </w:rPr>
              <w:t>2014 COAG Review</w:t>
            </w:r>
          </w:p>
        </w:tc>
        <w:tc>
          <w:tcPr>
            <w:tcW w:w="7089" w:type="dxa"/>
          </w:tcPr>
          <w:p w14:paraId="6D152599" w14:textId="6A882057" w:rsidR="000032EA" w:rsidRPr="0016789A" w:rsidRDefault="000032EA" w:rsidP="00D17747">
            <w:pPr>
              <w:spacing w:after="40" w:line="240" w:lineRule="auto"/>
              <w:contextualSpacing w:val="0"/>
              <w:rPr>
                <w:rFonts w:asciiTheme="minorHAnsi" w:eastAsia="Arial" w:hAnsiTheme="minorHAnsi" w:cs="Arial"/>
                <w:color w:val="000000"/>
                <w:szCs w:val="22"/>
              </w:rPr>
            </w:pPr>
            <w:r w:rsidRPr="0016789A">
              <w:rPr>
                <w:rFonts w:asciiTheme="minorHAnsi" w:hAnsiTheme="minorHAnsi" w:cs="Arial"/>
                <w:color w:val="000000"/>
                <w:szCs w:val="22"/>
              </w:rPr>
              <w:t xml:space="preserve">Review of the model Work Health and Safety laws. The final report, </w:t>
            </w:r>
            <w:r w:rsidRPr="0016789A">
              <w:rPr>
                <w:rFonts w:asciiTheme="minorHAnsi" w:hAnsiTheme="minorHAnsi" w:cs="Arial"/>
                <w:i/>
                <w:color w:val="000000"/>
                <w:szCs w:val="22"/>
              </w:rPr>
              <w:t>Improving the model WHS laws: Report</w:t>
            </w:r>
            <w:r w:rsidRPr="0016789A">
              <w:rPr>
                <w:rFonts w:asciiTheme="minorHAnsi" w:hAnsiTheme="minorHAnsi" w:cs="Arial"/>
                <w:color w:val="000000"/>
                <w:szCs w:val="22"/>
              </w:rPr>
              <w:t>, was completed in 2014.</w:t>
            </w:r>
          </w:p>
        </w:tc>
      </w:tr>
      <w:tr w:rsidR="000032EA" w:rsidRPr="0016789A" w14:paraId="6EA28475" w14:textId="77777777" w:rsidTr="0016789A">
        <w:tc>
          <w:tcPr>
            <w:tcW w:w="2685" w:type="dxa"/>
          </w:tcPr>
          <w:p w14:paraId="3EC6B572" w14:textId="088B790C" w:rsidR="000032EA" w:rsidRPr="0016789A" w:rsidRDefault="000032EA" w:rsidP="000032EA">
            <w:pPr>
              <w:pStyle w:val="Paragraphtable"/>
              <w:rPr>
                <w:rFonts w:cs="Arial"/>
                <w:b/>
                <w:bCs w:val="0"/>
                <w:sz w:val="22"/>
              </w:rPr>
            </w:pPr>
            <w:r w:rsidRPr="0016789A">
              <w:rPr>
                <w:rFonts w:cs="Arial"/>
                <w:b/>
                <w:bCs w:val="0"/>
                <w:sz w:val="22"/>
              </w:rPr>
              <w:t>2017 Queensland Review</w:t>
            </w:r>
          </w:p>
        </w:tc>
        <w:tc>
          <w:tcPr>
            <w:tcW w:w="7089" w:type="dxa"/>
          </w:tcPr>
          <w:p w14:paraId="682BAD41" w14:textId="69AF70F0" w:rsidR="000032EA" w:rsidRPr="0016789A" w:rsidRDefault="000032EA" w:rsidP="00D17747">
            <w:pPr>
              <w:spacing w:after="40" w:line="240" w:lineRule="auto"/>
              <w:contextualSpacing w:val="0"/>
              <w:rPr>
                <w:rFonts w:ascii="Aptos" w:hAnsi="Aptos" w:cs="Arial"/>
                <w:color w:val="000000"/>
                <w:szCs w:val="22"/>
              </w:rPr>
            </w:pPr>
            <w:r w:rsidRPr="0016789A">
              <w:rPr>
                <w:rFonts w:asciiTheme="minorHAnsi" w:eastAsia="Arial" w:hAnsiTheme="minorHAnsi" w:cs="Arial"/>
                <w:color w:val="000000"/>
                <w:szCs w:val="22"/>
              </w:rPr>
              <w:t xml:space="preserve">Best Practice Review of Workplace Health and Safety Queensland </w:t>
            </w:r>
            <w:r w:rsidRPr="0016789A">
              <w:rPr>
                <w:rFonts w:asciiTheme="minorHAnsi" w:hAnsiTheme="minorHAnsi"/>
                <w:szCs w:val="22"/>
              </w:rPr>
              <w:br/>
            </w:r>
            <w:r w:rsidRPr="0016789A">
              <w:rPr>
                <w:rFonts w:asciiTheme="minorHAnsi" w:eastAsia="Arial" w:hAnsiTheme="minorHAnsi" w:cs="Arial"/>
                <w:color w:val="000000"/>
                <w:szCs w:val="22"/>
              </w:rPr>
              <w:t>(2017)</w:t>
            </w:r>
          </w:p>
        </w:tc>
      </w:tr>
      <w:tr w:rsidR="000032EA" w:rsidRPr="0016789A" w14:paraId="7CCD6D41" w14:textId="77777777" w:rsidTr="0016789A">
        <w:tc>
          <w:tcPr>
            <w:tcW w:w="2685" w:type="dxa"/>
          </w:tcPr>
          <w:p w14:paraId="4E0C349E" w14:textId="0A8C8E24" w:rsidR="000032EA" w:rsidRPr="0016789A" w:rsidRDefault="000032EA" w:rsidP="000032EA">
            <w:pPr>
              <w:pStyle w:val="Paragraphtable"/>
              <w:rPr>
                <w:rFonts w:cs="Arial"/>
                <w:b/>
                <w:bCs w:val="0"/>
                <w:sz w:val="22"/>
              </w:rPr>
            </w:pPr>
            <w:r w:rsidRPr="0016789A">
              <w:rPr>
                <w:rFonts w:cs="Arial"/>
                <w:b/>
                <w:bCs w:val="0"/>
                <w:sz w:val="22"/>
              </w:rPr>
              <w:t>2018 National Review</w:t>
            </w:r>
          </w:p>
        </w:tc>
        <w:tc>
          <w:tcPr>
            <w:tcW w:w="7089" w:type="dxa"/>
          </w:tcPr>
          <w:p w14:paraId="454B822A" w14:textId="65A62BCD" w:rsidR="000032EA" w:rsidRPr="0016789A" w:rsidRDefault="000032EA" w:rsidP="00D17747">
            <w:pPr>
              <w:spacing w:after="40" w:line="240" w:lineRule="auto"/>
              <w:contextualSpacing w:val="0"/>
              <w:rPr>
                <w:rFonts w:ascii="Aptos" w:hAnsi="Aptos" w:cs="Arial"/>
                <w:color w:val="000000"/>
                <w:szCs w:val="22"/>
              </w:rPr>
            </w:pPr>
            <w:r w:rsidRPr="0016789A">
              <w:rPr>
                <w:rFonts w:asciiTheme="minorHAnsi" w:eastAsia="Arial" w:hAnsiTheme="minorHAnsi" w:cs="Arial"/>
                <w:i/>
                <w:color w:val="000000"/>
                <w:szCs w:val="22"/>
              </w:rPr>
              <w:t>Review of the model Work Health and Safety laws</w:t>
            </w:r>
            <w:r w:rsidRPr="0016789A">
              <w:rPr>
                <w:rFonts w:asciiTheme="minorHAnsi" w:eastAsia="Arial" w:hAnsiTheme="minorHAnsi" w:cs="Arial"/>
                <w:color w:val="000000"/>
                <w:szCs w:val="22"/>
              </w:rPr>
              <w:t xml:space="preserve"> (2018)</w:t>
            </w:r>
          </w:p>
        </w:tc>
      </w:tr>
      <w:tr w:rsidR="000032EA" w:rsidRPr="0016789A" w14:paraId="2E268BE3" w14:textId="77777777" w:rsidTr="0016789A">
        <w:tc>
          <w:tcPr>
            <w:tcW w:w="2685" w:type="dxa"/>
          </w:tcPr>
          <w:p w14:paraId="55C22867" w14:textId="22C3693D" w:rsidR="000032EA" w:rsidRPr="0016789A" w:rsidRDefault="000032EA" w:rsidP="000032EA">
            <w:pPr>
              <w:pStyle w:val="Paragraphtable"/>
              <w:rPr>
                <w:rFonts w:cs="Arial"/>
                <w:b/>
                <w:bCs w:val="0"/>
                <w:sz w:val="22"/>
              </w:rPr>
            </w:pPr>
            <w:r w:rsidRPr="0016789A">
              <w:rPr>
                <w:rFonts w:cs="Arial"/>
                <w:b/>
                <w:bCs w:val="0"/>
                <w:sz w:val="22"/>
              </w:rPr>
              <w:t xml:space="preserve">2018 </w:t>
            </w:r>
            <w:r w:rsidRPr="00EF3CB2">
              <w:rPr>
                <w:rFonts w:cs="Arial"/>
                <w:b/>
                <w:bCs w:val="0"/>
                <w:iCs/>
                <w:sz w:val="22"/>
              </w:rPr>
              <w:t>They Never Came Home</w:t>
            </w:r>
            <w:r w:rsidRPr="0016789A">
              <w:rPr>
                <w:rFonts w:cs="Arial"/>
                <w:b/>
                <w:bCs w:val="0"/>
                <w:i/>
                <w:sz w:val="22"/>
              </w:rPr>
              <w:t xml:space="preserve"> </w:t>
            </w:r>
            <w:r w:rsidRPr="0016789A">
              <w:rPr>
                <w:rFonts w:cs="Arial"/>
                <w:b/>
                <w:bCs w:val="0"/>
                <w:sz w:val="22"/>
              </w:rPr>
              <w:t>Report</w:t>
            </w:r>
          </w:p>
        </w:tc>
        <w:tc>
          <w:tcPr>
            <w:tcW w:w="7089" w:type="dxa"/>
          </w:tcPr>
          <w:p w14:paraId="1494DE73" w14:textId="1F17D11E" w:rsidR="000032EA" w:rsidRPr="0016789A" w:rsidRDefault="000032EA" w:rsidP="00D17747">
            <w:pPr>
              <w:spacing w:after="40" w:line="240" w:lineRule="auto"/>
              <w:contextualSpacing w:val="0"/>
              <w:rPr>
                <w:rFonts w:ascii="Aptos" w:hAnsi="Aptos" w:cs="Arial"/>
                <w:color w:val="000000"/>
                <w:szCs w:val="22"/>
              </w:rPr>
            </w:pPr>
            <w:r w:rsidRPr="0016789A">
              <w:rPr>
                <w:rFonts w:asciiTheme="minorHAnsi" w:hAnsiTheme="minorHAnsi"/>
                <w:szCs w:val="22"/>
              </w:rPr>
              <w:t xml:space="preserve">Senate Education and Employment References Committee, </w:t>
            </w:r>
            <w:r w:rsidRPr="0016789A">
              <w:rPr>
                <w:rFonts w:asciiTheme="minorHAnsi" w:hAnsiTheme="minorHAnsi"/>
                <w:i/>
                <w:szCs w:val="22"/>
              </w:rPr>
              <w:t xml:space="preserve">They never came home – </w:t>
            </w:r>
            <w:r w:rsidR="003A51AB">
              <w:rPr>
                <w:rFonts w:asciiTheme="minorHAnsi" w:hAnsiTheme="minorHAnsi"/>
                <w:i/>
                <w:szCs w:val="22"/>
              </w:rPr>
              <w:t>T</w:t>
            </w:r>
            <w:r w:rsidRPr="0016789A">
              <w:rPr>
                <w:rFonts w:asciiTheme="minorHAnsi" w:hAnsiTheme="minorHAnsi"/>
                <w:i/>
                <w:szCs w:val="22"/>
              </w:rPr>
              <w:t>he framework surrounding the prevention, investigation and prosecution of industrial deaths in Australia</w:t>
            </w:r>
            <w:r w:rsidRPr="0016789A">
              <w:rPr>
                <w:rFonts w:asciiTheme="minorHAnsi" w:hAnsiTheme="minorHAnsi"/>
                <w:szCs w:val="22"/>
              </w:rPr>
              <w:t>, Australian Government, 2018.</w:t>
            </w:r>
          </w:p>
        </w:tc>
      </w:tr>
      <w:tr w:rsidR="000032EA" w:rsidRPr="0016789A" w14:paraId="4537E9B2" w14:textId="77777777" w:rsidTr="0016789A">
        <w:tc>
          <w:tcPr>
            <w:tcW w:w="2685" w:type="dxa"/>
          </w:tcPr>
          <w:p w14:paraId="613F0E5C" w14:textId="374F8C64" w:rsidR="000032EA" w:rsidRPr="0016789A" w:rsidRDefault="000032EA" w:rsidP="000032EA">
            <w:pPr>
              <w:pStyle w:val="Paragraphtable"/>
              <w:rPr>
                <w:rFonts w:cs="Arial"/>
                <w:b/>
                <w:bCs w:val="0"/>
                <w:sz w:val="22"/>
              </w:rPr>
            </w:pPr>
            <w:r w:rsidRPr="0016789A">
              <w:rPr>
                <w:rFonts w:cs="Arial"/>
                <w:b/>
                <w:bCs w:val="0"/>
                <w:sz w:val="22"/>
              </w:rPr>
              <w:t>2019 NT Review</w:t>
            </w:r>
          </w:p>
        </w:tc>
        <w:tc>
          <w:tcPr>
            <w:tcW w:w="7089" w:type="dxa"/>
          </w:tcPr>
          <w:p w14:paraId="4B16D00A" w14:textId="1748B94D" w:rsidR="000032EA" w:rsidRPr="0016789A" w:rsidRDefault="000032EA" w:rsidP="00D17747">
            <w:pPr>
              <w:spacing w:after="40" w:line="240" w:lineRule="auto"/>
              <w:contextualSpacing w:val="0"/>
              <w:rPr>
                <w:rFonts w:ascii="Aptos" w:hAnsi="Aptos" w:cs="Arial"/>
                <w:color w:val="000000"/>
                <w:szCs w:val="22"/>
              </w:rPr>
            </w:pPr>
            <w:r w:rsidRPr="0016789A">
              <w:rPr>
                <w:rFonts w:asciiTheme="minorHAnsi" w:hAnsiTheme="minorHAnsi"/>
                <w:i/>
                <w:iCs/>
                <w:szCs w:val="22"/>
              </w:rPr>
              <w:t xml:space="preserve">Best Practice Review of Workplace Health and Safety in the Northern Territory: </w:t>
            </w:r>
            <w:r w:rsidR="00DF1260">
              <w:rPr>
                <w:rFonts w:asciiTheme="minorHAnsi" w:hAnsiTheme="minorHAnsi"/>
                <w:i/>
                <w:iCs/>
                <w:szCs w:val="22"/>
              </w:rPr>
              <w:t>F</w:t>
            </w:r>
            <w:r w:rsidRPr="0016789A">
              <w:rPr>
                <w:rFonts w:asciiTheme="minorHAnsi" w:hAnsiTheme="minorHAnsi"/>
                <w:i/>
                <w:iCs/>
                <w:szCs w:val="22"/>
              </w:rPr>
              <w:t>inal report</w:t>
            </w:r>
            <w:r w:rsidRPr="0016789A">
              <w:rPr>
                <w:rFonts w:asciiTheme="minorHAnsi" w:hAnsiTheme="minorHAnsi"/>
                <w:iCs/>
                <w:szCs w:val="22"/>
              </w:rPr>
              <w:t xml:space="preserve"> (2019)</w:t>
            </w:r>
          </w:p>
        </w:tc>
      </w:tr>
      <w:tr w:rsidR="000032EA" w:rsidRPr="0016789A" w14:paraId="2115C070" w14:textId="77777777" w:rsidTr="0016789A">
        <w:tc>
          <w:tcPr>
            <w:tcW w:w="2685" w:type="dxa"/>
          </w:tcPr>
          <w:p w14:paraId="4AB42A66" w14:textId="2E9D31A3" w:rsidR="000032EA" w:rsidRPr="0016789A" w:rsidRDefault="000032EA" w:rsidP="000032EA">
            <w:pPr>
              <w:pStyle w:val="Paragraphtable"/>
              <w:rPr>
                <w:rFonts w:cs="Arial"/>
                <w:b/>
                <w:bCs w:val="0"/>
                <w:sz w:val="22"/>
              </w:rPr>
            </w:pPr>
            <w:r w:rsidRPr="0016789A">
              <w:rPr>
                <w:rFonts w:cs="Arial"/>
                <w:b/>
                <w:bCs w:val="0"/>
                <w:sz w:val="22"/>
              </w:rPr>
              <w:t>2022 ACT WHS Prosecutions Review</w:t>
            </w:r>
          </w:p>
        </w:tc>
        <w:tc>
          <w:tcPr>
            <w:tcW w:w="7089" w:type="dxa"/>
          </w:tcPr>
          <w:p w14:paraId="7CCB5F58" w14:textId="5F85F45C" w:rsidR="000032EA" w:rsidRPr="0016789A" w:rsidRDefault="000032EA" w:rsidP="00D17747">
            <w:pPr>
              <w:spacing w:after="40" w:line="240" w:lineRule="auto"/>
              <w:contextualSpacing w:val="0"/>
              <w:rPr>
                <w:rFonts w:ascii="Aptos" w:hAnsi="Aptos" w:cs="Arial"/>
                <w:color w:val="000000"/>
                <w:szCs w:val="22"/>
              </w:rPr>
            </w:pPr>
            <w:r w:rsidRPr="0016789A">
              <w:rPr>
                <w:rFonts w:asciiTheme="minorHAnsi" w:hAnsiTheme="minorHAnsi" w:cs="Arial"/>
                <w:i/>
                <w:kern w:val="2"/>
                <w:szCs w:val="22"/>
                <w14:ligatures w14:val="standardContextual"/>
              </w:rPr>
              <w:t>Conduct of Work Health and Safety Prosecutions Review (WorkSafe ACT)</w:t>
            </w:r>
            <w:r w:rsidRPr="0016789A">
              <w:rPr>
                <w:rFonts w:asciiTheme="minorHAnsi" w:hAnsiTheme="minorHAnsi" w:cs="Arial"/>
                <w:kern w:val="2"/>
                <w:szCs w:val="22"/>
                <w14:ligatures w14:val="standardContextual"/>
              </w:rPr>
              <w:t xml:space="preserve"> (2022)</w:t>
            </w:r>
          </w:p>
        </w:tc>
      </w:tr>
      <w:tr w:rsidR="000032EA" w:rsidRPr="0016789A" w14:paraId="3F822517" w14:textId="77777777" w:rsidTr="0016789A">
        <w:tc>
          <w:tcPr>
            <w:tcW w:w="2685" w:type="dxa"/>
          </w:tcPr>
          <w:p w14:paraId="4AD9038E" w14:textId="30FC5C78" w:rsidR="000032EA" w:rsidRPr="0016789A" w:rsidRDefault="000032EA" w:rsidP="000032EA">
            <w:pPr>
              <w:pStyle w:val="Paragraphtable"/>
              <w:rPr>
                <w:rFonts w:cs="Arial"/>
                <w:b/>
                <w:bCs w:val="0"/>
                <w:sz w:val="22"/>
              </w:rPr>
            </w:pPr>
            <w:r w:rsidRPr="0016789A">
              <w:rPr>
                <w:rFonts w:cs="Arial"/>
                <w:b/>
                <w:bCs w:val="0"/>
                <w:sz w:val="22"/>
              </w:rPr>
              <w:t>2022 Queensland Review</w:t>
            </w:r>
          </w:p>
        </w:tc>
        <w:tc>
          <w:tcPr>
            <w:tcW w:w="7089" w:type="dxa"/>
          </w:tcPr>
          <w:p w14:paraId="026A350F" w14:textId="5C742269" w:rsidR="000032EA" w:rsidRPr="0016789A" w:rsidRDefault="000032EA" w:rsidP="00D17747">
            <w:pPr>
              <w:spacing w:after="40" w:line="240" w:lineRule="auto"/>
              <w:contextualSpacing w:val="0"/>
              <w:rPr>
                <w:rFonts w:ascii="Aptos" w:hAnsi="Aptos" w:cs="Arial"/>
                <w:color w:val="000000"/>
                <w:szCs w:val="22"/>
              </w:rPr>
            </w:pPr>
            <w:r w:rsidRPr="0016789A">
              <w:rPr>
                <w:rFonts w:asciiTheme="minorHAnsi" w:eastAsia="Arial" w:hAnsiTheme="minorHAnsi" w:cs="Arial"/>
                <w:color w:val="000000"/>
                <w:szCs w:val="22"/>
              </w:rPr>
              <w:t xml:space="preserve">Review of the </w:t>
            </w:r>
            <w:r w:rsidRPr="0016789A">
              <w:rPr>
                <w:rFonts w:asciiTheme="minorHAnsi" w:eastAsia="Arial" w:hAnsiTheme="minorHAnsi" w:cs="Arial"/>
                <w:i/>
                <w:color w:val="000000"/>
                <w:szCs w:val="22"/>
              </w:rPr>
              <w:t>Work Health and Safety Act 2011</w:t>
            </w:r>
            <w:r w:rsidRPr="0016789A">
              <w:rPr>
                <w:rFonts w:asciiTheme="minorHAnsi" w:eastAsia="Arial" w:hAnsiTheme="minorHAnsi" w:cs="Arial"/>
                <w:color w:val="000000"/>
                <w:szCs w:val="22"/>
              </w:rPr>
              <w:t xml:space="preserve"> (Queensland)</w:t>
            </w:r>
          </w:p>
        </w:tc>
      </w:tr>
      <w:tr w:rsidR="000032EA" w:rsidRPr="0016789A" w14:paraId="2F6B211F" w14:textId="77777777" w:rsidTr="0016789A">
        <w:tc>
          <w:tcPr>
            <w:tcW w:w="2685" w:type="dxa"/>
          </w:tcPr>
          <w:p w14:paraId="7AE8BF16" w14:textId="6E590689" w:rsidR="000032EA" w:rsidRPr="0016789A" w:rsidRDefault="000032EA" w:rsidP="000032EA">
            <w:pPr>
              <w:pStyle w:val="Paragraphtable"/>
              <w:rPr>
                <w:rFonts w:cs="Arial"/>
                <w:b/>
                <w:bCs w:val="0"/>
                <w:sz w:val="22"/>
              </w:rPr>
            </w:pPr>
            <w:r w:rsidRPr="0016789A">
              <w:rPr>
                <w:rFonts w:cs="Arial"/>
                <w:b/>
                <w:bCs w:val="0"/>
                <w:sz w:val="22"/>
              </w:rPr>
              <w:t>2022 SA Review</w:t>
            </w:r>
          </w:p>
        </w:tc>
        <w:tc>
          <w:tcPr>
            <w:tcW w:w="7089" w:type="dxa"/>
          </w:tcPr>
          <w:p w14:paraId="4DF79DBC" w14:textId="685CA14A" w:rsidR="000032EA" w:rsidRPr="0016789A" w:rsidRDefault="000032EA" w:rsidP="00D17747">
            <w:pPr>
              <w:spacing w:after="40" w:line="240" w:lineRule="auto"/>
              <w:contextualSpacing w:val="0"/>
              <w:rPr>
                <w:rFonts w:ascii="Aptos" w:hAnsi="Aptos" w:cs="Arial"/>
                <w:color w:val="000000"/>
                <w:szCs w:val="22"/>
              </w:rPr>
            </w:pPr>
            <w:r w:rsidRPr="0016789A">
              <w:rPr>
                <w:rFonts w:asciiTheme="minorHAnsi" w:hAnsiTheme="minorHAnsi" w:cs="Arial"/>
                <w:i/>
                <w:szCs w:val="22"/>
              </w:rPr>
              <w:t>Independent Review of SafeWork SA</w:t>
            </w:r>
            <w:r w:rsidRPr="0016789A">
              <w:rPr>
                <w:rFonts w:asciiTheme="minorHAnsi" w:hAnsiTheme="minorHAnsi" w:cs="Arial"/>
                <w:szCs w:val="22"/>
              </w:rPr>
              <w:t xml:space="preserve"> (2022)</w:t>
            </w:r>
          </w:p>
        </w:tc>
      </w:tr>
      <w:tr w:rsidR="000032EA" w:rsidRPr="0016789A" w14:paraId="3E7B7CA0" w14:textId="77777777" w:rsidTr="0016789A">
        <w:tc>
          <w:tcPr>
            <w:tcW w:w="2685" w:type="dxa"/>
          </w:tcPr>
          <w:p w14:paraId="529655E5" w14:textId="44A486E6" w:rsidR="000032EA" w:rsidRPr="0016789A" w:rsidRDefault="000032EA" w:rsidP="000032EA">
            <w:pPr>
              <w:pStyle w:val="Paragraphtable"/>
              <w:rPr>
                <w:rFonts w:cs="Arial"/>
                <w:b/>
                <w:bCs w:val="0"/>
                <w:sz w:val="22"/>
              </w:rPr>
            </w:pPr>
            <w:r w:rsidRPr="0016789A">
              <w:rPr>
                <w:rFonts w:cs="Arial"/>
                <w:b/>
                <w:bCs w:val="0"/>
                <w:sz w:val="22"/>
              </w:rPr>
              <w:t>2023 NSW Review</w:t>
            </w:r>
          </w:p>
        </w:tc>
        <w:tc>
          <w:tcPr>
            <w:tcW w:w="7089" w:type="dxa"/>
          </w:tcPr>
          <w:p w14:paraId="6C6A20DC" w14:textId="76D7F86C" w:rsidR="000032EA" w:rsidRPr="0016789A" w:rsidRDefault="000032EA" w:rsidP="00D17747">
            <w:pPr>
              <w:spacing w:after="40" w:line="240" w:lineRule="auto"/>
              <w:contextualSpacing w:val="0"/>
              <w:rPr>
                <w:rFonts w:ascii="Aptos" w:hAnsi="Aptos" w:cs="Arial"/>
                <w:color w:val="000000"/>
                <w:szCs w:val="22"/>
              </w:rPr>
            </w:pPr>
            <w:r w:rsidRPr="0016789A">
              <w:rPr>
                <w:rFonts w:asciiTheme="minorHAnsi" w:hAnsiTheme="minorHAnsi" w:cs="Arial"/>
                <w:i/>
                <w:szCs w:val="22"/>
              </w:rPr>
              <w:t xml:space="preserve">Independent Review of SafeWork NSW </w:t>
            </w:r>
            <w:r w:rsidRPr="0016789A">
              <w:rPr>
                <w:rFonts w:asciiTheme="minorHAnsi" w:hAnsiTheme="minorHAnsi" w:cs="Arial"/>
                <w:szCs w:val="22"/>
              </w:rPr>
              <w:t>(2023)</w:t>
            </w:r>
          </w:p>
        </w:tc>
      </w:tr>
      <w:tr w:rsidR="000032EA" w:rsidRPr="0016789A" w14:paraId="12F326CB" w14:textId="77777777" w:rsidTr="0016789A">
        <w:tc>
          <w:tcPr>
            <w:tcW w:w="2685" w:type="dxa"/>
          </w:tcPr>
          <w:p w14:paraId="74AD937C" w14:textId="1523EFD9" w:rsidR="000032EA" w:rsidRPr="0016789A" w:rsidRDefault="000032EA" w:rsidP="000032EA">
            <w:pPr>
              <w:pStyle w:val="Paragraphtable"/>
              <w:rPr>
                <w:rFonts w:cs="Arial"/>
                <w:b/>
                <w:bCs w:val="0"/>
                <w:sz w:val="22"/>
              </w:rPr>
            </w:pPr>
            <w:r w:rsidRPr="0016789A">
              <w:rPr>
                <w:rFonts w:cs="Arial"/>
                <w:b/>
                <w:bCs w:val="0"/>
                <w:sz w:val="22"/>
              </w:rPr>
              <w:t>AALARA</w:t>
            </w:r>
          </w:p>
        </w:tc>
        <w:tc>
          <w:tcPr>
            <w:tcW w:w="7089" w:type="dxa"/>
          </w:tcPr>
          <w:p w14:paraId="41FFF1FC" w14:textId="1EB510DB" w:rsidR="000032EA" w:rsidRPr="0016789A" w:rsidRDefault="000032EA" w:rsidP="00030A19">
            <w:pPr>
              <w:spacing w:after="40" w:line="240" w:lineRule="auto"/>
              <w:contextualSpacing w:val="0"/>
              <w:rPr>
                <w:rFonts w:asciiTheme="minorHAnsi" w:eastAsia="Arial" w:hAnsiTheme="minorHAnsi" w:cs="Arial"/>
                <w:color w:val="000000"/>
                <w:szCs w:val="22"/>
              </w:rPr>
            </w:pPr>
            <w:r w:rsidRPr="0016789A">
              <w:rPr>
                <w:rFonts w:asciiTheme="minorHAnsi" w:eastAsia="Aptos" w:hAnsiTheme="minorHAnsi" w:cs="Aptos"/>
                <w:szCs w:val="22"/>
              </w:rPr>
              <w:t>Australian Amusement, Leisure and Recreation Association</w:t>
            </w:r>
          </w:p>
        </w:tc>
      </w:tr>
      <w:tr w:rsidR="000032EA" w:rsidRPr="0016789A" w14:paraId="6B8C87F5" w14:textId="77777777" w:rsidTr="0016789A">
        <w:tc>
          <w:tcPr>
            <w:tcW w:w="2685" w:type="dxa"/>
          </w:tcPr>
          <w:p w14:paraId="5AB85B26" w14:textId="0948B253" w:rsidR="000032EA" w:rsidRPr="0016789A" w:rsidRDefault="000032EA" w:rsidP="000032EA">
            <w:pPr>
              <w:pStyle w:val="Paragraphtable"/>
              <w:rPr>
                <w:rFonts w:cs="Arial"/>
                <w:b/>
                <w:bCs w:val="0"/>
                <w:sz w:val="22"/>
              </w:rPr>
            </w:pPr>
            <w:r w:rsidRPr="0016789A">
              <w:rPr>
                <w:rFonts w:cs="Arial"/>
                <w:b/>
                <w:bCs w:val="0"/>
                <w:sz w:val="22"/>
              </w:rPr>
              <w:t>ACCI</w:t>
            </w:r>
          </w:p>
        </w:tc>
        <w:tc>
          <w:tcPr>
            <w:tcW w:w="7089" w:type="dxa"/>
          </w:tcPr>
          <w:p w14:paraId="6D8D94A6" w14:textId="44EDD86B" w:rsidR="000032EA" w:rsidRPr="0016789A" w:rsidRDefault="000032EA" w:rsidP="00030A19">
            <w:pPr>
              <w:spacing w:after="40" w:line="240" w:lineRule="auto"/>
              <w:contextualSpacing w:val="0"/>
              <w:rPr>
                <w:rFonts w:asciiTheme="minorHAnsi" w:eastAsia="Aptos" w:hAnsiTheme="minorHAnsi" w:cs="Aptos"/>
                <w:szCs w:val="22"/>
              </w:rPr>
            </w:pPr>
            <w:r w:rsidRPr="0016789A">
              <w:rPr>
                <w:rFonts w:asciiTheme="minorHAnsi" w:eastAsia="Arial" w:hAnsiTheme="minorHAnsi" w:cs="Arial"/>
                <w:color w:val="000000"/>
                <w:szCs w:val="22"/>
              </w:rPr>
              <w:t>Australian Chamber of Commerce and Industry</w:t>
            </w:r>
          </w:p>
        </w:tc>
      </w:tr>
      <w:tr w:rsidR="000032EA" w:rsidRPr="0016789A" w14:paraId="1CBF9B7A" w14:textId="77777777" w:rsidTr="0016789A">
        <w:tc>
          <w:tcPr>
            <w:tcW w:w="2685" w:type="dxa"/>
          </w:tcPr>
          <w:p w14:paraId="5A182504" w14:textId="7DBC537C" w:rsidR="000032EA" w:rsidRPr="0016789A" w:rsidRDefault="000032EA" w:rsidP="000032EA">
            <w:pPr>
              <w:pStyle w:val="Paragraphtable"/>
              <w:rPr>
                <w:rFonts w:cs="Arial"/>
                <w:b/>
                <w:bCs w:val="0"/>
                <w:sz w:val="22"/>
              </w:rPr>
            </w:pPr>
            <w:r w:rsidRPr="0016789A">
              <w:rPr>
                <w:rFonts w:cs="Arial"/>
                <w:b/>
                <w:bCs w:val="0"/>
                <w:sz w:val="22"/>
              </w:rPr>
              <w:t>ACFA</w:t>
            </w:r>
          </w:p>
        </w:tc>
        <w:tc>
          <w:tcPr>
            <w:tcW w:w="7089" w:type="dxa"/>
          </w:tcPr>
          <w:p w14:paraId="6B50FB25" w14:textId="3CDBB6C8" w:rsidR="000032EA" w:rsidRPr="0016789A" w:rsidRDefault="000032EA" w:rsidP="00030A19">
            <w:pPr>
              <w:spacing w:after="40" w:line="240" w:lineRule="auto"/>
              <w:contextualSpacing w:val="0"/>
              <w:rPr>
                <w:rFonts w:asciiTheme="minorHAnsi" w:eastAsia="Arial" w:hAnsiTheme="minorHAnsi" w:cs="Arial"/>
                <w:color w:val="000000"/>
                <w:szCs w:val="22"/>
              </w:rPr>
            </w:pPr>
            <w:r w:rsidRPr="0016789A">
              <w:rPr>
                <w:rFonts w:asciiTheme="minorHAnsi" w:eastAsia="Arial" w:hAnsiTheme="minorHAnsi" w:cs="Arial"/>
                <w:color w:val="000000"/>
                <w:szCs w:val="22"/>
              </w:rPr>
              <w:t>Australian Cabinet and Furniture Association Ltd</w:t>
            </w:r>
          </w:p>
        </w:tc>
      </w:tr>
      <w:tr w:rsidR="000032EA" w:rsidRPr="0016789A" w14:paraId="2EA0D6D3" w14:textId="77777777" w:rsidTr="0016789A">
        <w:tc>
          <w:tcPr>
            <w:tcW w:w="2685" w:type="dxa"/>
          </w:tcPr>
          <w:p w14:paraId="4613DDD4" w14:textId="6B5E2508" w:rsidR="000032EA" w:rsidRPr="0016789A" w:rsidRDefault="000032EA" w:rsidP="000032EA">
            <w:pPr>
              <w:pStyle w:val="Paragraphtable"/>
              <w:rPr>
                <w:rFonts w:cs="Arial"/>
                <w:b/>
                <w:bCs w:val="0"/>
                <w:sz w:val="22"/>
              </w:rPr>
            </w:pPr>
            <w:r w:rsidRPr="0016789A">
              <w:rPr>
                <w:rFonts w:cs="Arial"/>
                <w:b/>
                <w:bCs w:val="0"/>
                <w:sz w:val="22"/>
              </w:rPr>
              <w:t>ACT</w:t>
            </w:r>
          </w:p>
        </w:tc>
        <w:tc>
          <w:tcPr>
            <w:tcW w:w="7089" w:type="dxa"/>
          </w:tcPr>
          <w:p w14:paraId="0331F56C" w14:textId="15BFA696" w:rsidR="000032EA" w:rsidRPr="0016789A" w:rsidRDefault="000032EA" w:rsidP="00030A19">
            <w:pPr>
              <w:spacing w:after="40" w:line="240" w:lineRule="auto"/>
              <w:contextualSpacing w:val="0"/>
              <w:rPr>
                <w:rFonts w:asciiTheme="minorHAnsi" w:eastAsia="Arial" w:hAnsiTheme="minorHAnsi" w:cs="Arial"/>
                <w:color w:val="000000"/>
                <w:szCs w:val="22"/>
              </w:rPr>
            </w:pPr>
            <w:r w:rsidRPr="0016789A">
              <w:rPr>
                <w:rFonts w:asciiTheme="minorHAnsi" w:eastAsia="Arial" w:hAnsiTheme="minorHAnsi" w:cs="Arial"/>
                <w:color w:val="000000"/>
                <w:spacing w:val="-1"/>
                <w:szCs w:val="22"/>
              </w:rPr>
              <w:t>Australian Capital Territory</w:t>
            </w:r>
          </w:p>
        </w:tc>
      </w:tr>
      <w:tr w:rsidR="000032EA" w:rsidRPr="0016789A" w14:paraId="150EE6C6" w14:textId="77777777" w:rsidTr="0016789A">
        <w:tc>
          <w:tcPr>
            <w:tcW w:w="2685" w:type="dxa"/>
          </w:tcPr>
          <w:p w14:paraId="7B0BA6FC" w14:textId="77B7F439" w:rsidR="000032EA" w:rsidRPr="0016789A" w:rsidRDefault="000032EA" w:rsidP="000032EA">
            <w:pPr>
              <w:pStyle w:val="Paragraphtable"/>
              <w:rPr>
                <w:rFonts w:cs="Arial"/>
                <w:b/>
                <w:bCs w:val="0"/>
                <w:sz w:val="22"/>
              </w:rPr>
            </w:pPr>
            <w:r w:rsidRPr="0016789A">
              <w:rPr>
                <w:rFonts w:cs="Arial"/>
                <w:b/>
                <w:bCs w:val="0"/>
                <w:sz w:val="22"/>
              </w:rPr>
              <w:t>ACT WHS Act</w:t>
            </w:r>
          </w:p>
        </w:tc>
        <w:tc>
          <w:tcPr>
            <w:tcW w:w="7089" w:type="dxa"/>
          </w:tcPr>
          <w:p w14:paraId="0912107B" w14:textId="672114AF" w:rsidR="000032EA" w:rsidRPr="0016789A" w:rsidRDefault="000032EA" w:rsidP="00D17747">
            <w:pPr>
              <w:spacing w:after="40" w:line="240" w:lineRule="auto"/>
              <w:contextualSpacing w:val="0"/>
              <w:rPr>
                <w:rFonts w:asciiTheme="minorHAnsi" w:eastAsia="Arial" w:hAnsiTheme="minorHAnsi" w:cs="Arial"/>
                <w:color w:val="000000"/>
                <w:spacing w:val="-1"/>
                <w:szCs w:val="22"/>
              </w:rPr>
            </w:pPr>
            <w:r w:rsidRPr="0016789A">
              <w:rPr>
                <w:rFonts w:asciiTheme="minorHAnsi" w:eastAsia="Arial" w:hAnsiTheme="minorHAnsi" w:cs="Arial"/>
                <w:i/>
                <w:color w:val="000000"/>
                <w:szCs w:val="22"/>
              </w:rPr>
              <w:t xml:space="preserve">Work Health and Safety Act 2011 </w:t>
            </w:r>
            <w:r w:rsidRPr="0016789A">
              <w:rPr>
                <w:rFonts w:asciiTheme="minorHAnsi" w:eastAsia="Arial" w:hAnsiTheme="minorHAnsi" w:cs="Arial"/>
                <w:color w:val="000000"/>
                <w:szCs w:val="22"/>
              </w:rPr>
              <w:t>(ACT)</w:t>
            </w:r>
          </w:p>
        </w:tc>
      </w:tr>
      <w:tr w:rsidR="000032EA" w:rsidRPr="0016789A" w14:paraId="4BB6DCD3" w14:textId="77777777" w:rsidTr="0016789A">
        <w:tc>
          <w:tcPr>
            <w:tcW w:w="2685" w:type="dxa"/>
          </w:tcPr>
          <w:p w14:paraId="4874F113" w14:textId="414279D9" w:rsidR="000032EA" w:rsidRPr="0016789A" w:rsidRDefault="000032EA" w:rsidP="000032EA">
            <w:pPr>
              <w:pStyle w:val="Paragraphtable"/>
              <w:rPr>
                <w:rFonts w:cs="Arial"/>
                <w:b/>
                <w:bCs w:val="0"/>
                <w:sz w:val="22"/>
              </w:rPr>
            </w:pPr>
            <w:r w:rsidRPr="0016789A">
              <w:rPr>
                <w:rFonts w:cs="Arial"/>
                <w:b/>
                <w:bCs w:val="0"/>
                <w:sz w:val="22"/>
              </w:rPr>
              <w:t>ACT WHS Regulations</w:t>
            </w:r>
          </w:p>
        </w:tc>
        <w:tc>
          <w:tcPr>
            <w:tcW w:w="7089" w:type="dxa"/>
          </w:tcPr>
          <w:p w14:paraId="495136F9" w14:textId="2E494297" w:rsidR="000032EA" w:rsidRPr="0016789A" w:rsidRDefault="000032EA" w:rsidP="00D17747">
            <w:pPr>
              <w:spacing w:after="40" w:line="240" w:lineRule="auto"/>
              <w:contextualSpacing w:val="0"/>
              <w:rPr>
                <w:rFonts w:asciiTheme="minorHAnsi" w:eastAsia="Arial" w:hAnsiTheme="minorHAnsi" w:cs="Arial"/>
                <w:i/>
                <w:color w:val="000000"/>
                <w:szCs w:val="22"/>
              </w:rPr>
            </w:pPr>
            <w:r w:rsidRPr="0016789A">
              <w:rPr>
                <w:rFonts w:asciiTheme="minorHAnsi" w:eastAsia="Arial" w:hAnsiTheme="minorHAnsi" w:cs="Arial"/>
                <w:iCs/>
                <w:color w:val="000000"/>
                <w:szCs w:val="22"/>
              </w:rPr>
              <w:t>Work Health and Safety Regulation 2011</w:t>
            </w:r>
            <w:r w:rsidRPr="0016789A">
              <w:rPr>
                <w:rFonts w:asciiTheme="minorHAnsi" w:eastAsia="Arial" w:hAnsiTheme="minorHAnsi" w:cs="Arial"/>
                <w:i/>
                <w:color w:val="000000"/>
                <w:szCs w:val="22"/>
              </w:rPr>
              <w:t xml:space="preserve"> </w:t>
            </w:r>
            <w:r w:rsidRPr="0016789A">
              <w:rPr>
                <w:rFonts w:asciiTheme="minorHAnsi" w:eastAsia="Arial" w:hAnsiTheme="minorHAnsi" w:cs="Arial"/>
                <w:iCs/>
                <w:color w:val="000000"/>
                <w:szCs w:val="22"/>
              </w:rPr>
              <w:t>(Act)</w:t>
            </w:r>
          </w:p>
        </w:tc>
      </w:tr>
      <w:tr w:rsidR="000032EA" w:rsidRPr="0016789A" w14:paraId="20852493" w14:textId="77777777" w:rsidTr="0016789A">
        <w:tc>
          <w:tcPr>
            <w:tcW w:w="2685" w:type="dxa"/>
          </w:tcPr>
          <w:p w14:paraId="1DC6CFBB" w14:textId="2ED8D0FA" w:rsidR="000032EA" w:rsidRPr="0016789A" w:rsidRDefault="000032EA" w:rsidP="000032EA">
            <w:pPr>
              <w:pStyle w:val="Paragraphtable"/>
              <w:rPr>
                <w:rFonts w:cs="Arial"/>
                <w:b/>
                <w:bCs w:val="0"/>
                <w:sz w:val="22"/>
              </w:rPr>
            </w:pPr>
            <w:r w:rsidRPr="0016789A">
              <w:rPr>
                <w:rFonts w:cs="Arial"/>
                <w:b/>
                <w:bCs w:val="0"/>
                <w:sz w:val="22"/>
              </w:rPr>
              <w:t>ACTU</w:t>
            </w:r>
          </w:p>
        </w:tc>
        <w:tc>
          <w:tcPr>
            <w:tcW w:w="7089" w:type="dxa"/>
          </w:tcPr>
          <w:p w14:paraId="6F1C01FC" w14:textId="4ED5DBCA" w:rsidR="000032EA" w:rsidRPr="0016789A" w:rsidRDefault="000032EA" w:rsidP="00D17747">
            <w:pPr>
              <w:spacing w:after="40" w:line="240" w:lineRule="auto"/>
              <w:contextualSpacing w:val="0"/>
              <w:rPr>
                <w:rFonts w:asciiTheme="minorHAnsi" w:eastAsia="Arial" w:hAnsiTheme="minorHAnsi" w:cs="Arial"/>
                <w:iCs/>
                <w:color w:val="000000"/>
                <w:szCs w:val="22"/>
              </w:rPr>
            </w:pPr>
            <w:r w:rsidRPr="0016789A">
              <w:rPr>
                <w:rFonts w:asciiTheme="minorHAnsi" w:eastAsia="Arial" w:hAnsiTheme="minorHAnsi" w:cs="Arial"/>
                <w:color w:val="000000"/>
                <w:szCs w:val="22"/>
              </w:rPr>
              <w:t>Australian Council of Trade Unions</w:t>
            </w:r>
          </w:p>
        </w:tc>
      </w:tr>
      <w:tr w:rsidR="000032EA" w:rsidRPr="0016789A" w14:paraId="2440108C" w14:textId="77777777" w:rsidTr="0016789A">
        <w:tc>
          <w:tcPr>
            <w:tcW w:w="2685" w:type="dxa"/>
          </w:tcPr>
          <w:p w14:paraId="38C949B9" w14:textId="48C77EB6" w:rsidR="000032EA" w:rsidRPr="0016789A" w:rsidRDefault="000032EA" w:rsidP="000032EA">
            <w:pPr>
              <w:pStyle w:val="Paragraphtable"/>
              <w:rPr>
                <w:rFonts w:cs="Arial"/>
                <w:b/>
                <w:bCs w:val="0"/>
                <w:sz w:val="22"/>
              </w:rPr>
            </w:pPr>
            <w:r w:rsidRPr="0016789A">
              <w:rPr>
                <w:rFonts w:cs="Arial"/>
                <w:b/>
                <w:bCs w:val="0"/>
                <w:sz w:val="22"/>
              </w:rPr>
              <w:t>ADM</w:t>
            </w:r>
          </w:p>
        </w:tc>
        <w:tc>
          <w:tcPr>
            <w:tcW w:w="7089" w:type="dxa"/>
          </w:tcPr>
          <w:p w14:paraId="1D1E08B0" w14:textId="2854DA45" w:rsidR="000032EA" w:rsidRPr="0016789A" w:rsidRDefault="000032EA" w:rsidP="00D17747">
            <w:pPr>
              <w:spacing w:after="40" w:line="240" w:lineRule="auto"/>
              <w:contextualSpacing w:val="0"/>
              <w:rPr>
                <w:rFonts w:asciiTheme="minorHAnsi" w:eastAsia="Arial" w:hAnsiTheme="minorHAnsi" w:cs="Arial"/>
                <w:color w:val="000000"/>
                <w:szCs w:val="22"/>
              </w:rPr>
            </w:pPr>
            <w:r w:rsidRPr="0016789A">
              <w:rPr>
                <w:rFonts w:asciiTheme="minorHAnsi" w:eastAsia="Arial" w:hAnsiTheme="minorHAnsi" w:cs="Arial"/>
                <w:color w:val="000000"/>
                <w:szCs w:val="22"/>
              </w:rPr>
              <w:t xml:space="preserve">Automated decision-making is a concept focused on the process of making fully automated decisions without direct human intervention or </w:t>
            </w:r>
            <w:r w:rsidRPr="0016789A">
              <w:rPr>
                <w:rFonts w:asciiTheme="minorHAnsi" w:eastAsia="Arial" w:hAnsiTheme="minorHAnsi" w:cs="Arial"/>
                <w:color w:val="000000"/>
                <w:szCs w:val="22"/>
              </w:rPr>
              <w:lastRenderedPageBreak/>
              <w:t xml:space="preserve">oversight. ADM systems may use both AI and non-AI methods and techniques. </w:t>
            </w:r>
          </w:p>
        </w:tc>
      </w:tr>
      <w:tr w:rsidR="000032EA" w:rsidRPr="0016789A" w14:paraId="7009FF7D" w14:textId="77777777" w:rsidTr="0016789A">
        <w:tc>
          <w:tcPr>
            <w:tcW w:w="2685" w:type="dxa"/>
          </w:tcPr>
          <w:p w14:paraId="75EB41C0" w14:textId="4A9B54F2" w:rsidR="000032EA" w:rsidRPr="0016789A" w:rsidRDefault="000032EA" w:rsidP="000032EA">
            <w:pPr>
              <w:pStyle w:val="Paragraphtable"/>
              <w:rPr>
                <w:rFonts w:cs="Arial"/>
                <w:b/>
                <w:bCs w:val="0"/>
                <w:sz w:val="22"/>
              </w:rPr>
            </w:pPr>
            <w:r w:rsidRPr="0016789A">
              <w:rPr>
                <w:rFonts w:cs="Arial"/>
                <w:b/>
                <w:bCs w:val="0"/>
                <w:sz w:val="22"/>
              </w:rPr>
              <w:lastRenderedPageBreak/>
              <w:t>AHRC</w:t>
            </w:r>
          </w:p>
        </w:tc>
        <w:tc>
          <w:tcPr>
            <w:tcW w:w="7089" w:type="dxa"/>
          </w:tcPr>
          <w:p w14:paraId="5D466127" w14:textId="4416AF8A" w:rsidR="000032EA" w:rsidRPr="0016789A" w:rsidRDefault="000032EA" w:rsidP="00D17747">
            <w:pPr>
              <w:spacing w:after="40" w:line="240" w:lineRule="auto"/>
              <w:contextualSpacing w:val="0"/>
              <w:rPr>
                <w:rFonts w:asciiTheme="minorHAnsi" w:eastAsia="Arial" w:hAnsiTheme="minorHAnsi" w:cs="Arial"/>
                <w:color w:val="000000"/>
                <w:szCs w:val="22"/>
              </w:rPr>
            </w:pPr>
            <w:r w:rsidRPr="0016789A">
              <w:rPr>
                <w:rFonts w:asciiTheme="minorHAnsi" w:eastAsia="Times New Roman" w:hAnsiTheme="minorHAnsi" w:cs="Arial"/>
                <w:szCs w:val="22"/>
                <w:lang w:eastAsia="en-AU"/>
              </w:rPr>
              <w:t xml:space="preserve">Australian Human Rights Commission </w:t>
            </w:r>
          </w:p>
        </w:tc>
      </w:tr>
      <w:tr w:rsidR="000032EA" w:rsidRPr="0016789A" w14:paraId="00C78778" w14:textId="77777777" w:rsidTr="0016789A">
        <w:tc>
          <w:tcPr>
            <w:tcW w:w="2685" w:type="dxa"/>
          </w:tcPr>
          <w:p w14:paraId="15E9D1AE" w14:textId="01A4C084" w:rsidR="000032EA" w:rsidRPr="0016789A" w:rsidRDefault="000032EA" w:rsidP="000032EA">
            <w:pPr>
              <w:pStyle w:val="Paragraphtable"/>
              <w:rPr>
                <w:rFonts w:cs="Arial"/>
                <w:b/>
                <w:bCs w:val="0"/>
                <w:sz w:val="22"/>
              </w:rPr>
            </w:pPr>
            <w:r w:rsidRPr="0016789A">
              <w:rPr>
                <w:rFonts w:cs="Arial"/>
                <w:b/>
                <w:bCs w:val="0"/>
                <w:sz w:val="22"/>
              </w:rPr>
              <w:t>AI</w:t>
            </w:r>
          </w:p>
        </w:tc>
        <w:tc>
          <w:tcPr>
            <w:tcW w:w="7089" w:type="dxa"/>
          </w:tcPr>
          <w:p w14:paraId="461DD029" w14:textId="2311E5FE" w:rsidR="000032EA" w:rsidRPr="0016789A" w:rsidRDefault="000032EA" w:rsidP="00D17747">
            <w:pPr>
              <w:spacing w:after="40" w:line="240" w:lineRule="auto"/>
              <w:contextualSpacing w:val="0"/>
              <w:rPr>
                <w:rFonts w:asciiTheme="minorHAnsi" w:eastAsia="Times New Roman" w:hAnsiTheme="minorHAnsi" w:cs="Arial"/>
                <w:szCs w:val="22"/>
                <w:lang w:eastAsia="en-AU"/>
              </w:rPr>
            </w:pPr>
            <w:r w:rsidRPr="0016789A">
              <w:rPr>
                <w:rFonts w:asciiTheme="minorHAnsi" w:eastAsia="Arial" w:hAnsiTheme="minorHAnsi" w:cs="Arial"/>
                <w:color w:val="000000"/>
                <w:szCs w:val="22"/>
              </w:rPr>
              <w:t xml:space="preserve">Artificial intelligence refers to the research and development of mechanisms and applications of AI systems. An AI system is a </w:t>
            </w:r>
            <w:r w:rsidR="00B060CD">
              <w:rPr>
                <w:rFonts w:asciiTheme="minorHAnsi" w:eastAsia="Arial" w:hAnsiTheme="minorHAnsi" w:cs="Arial"/>
                <w:color w:val="000000"/>
                <w:szCs w:val="22"/>
              </w:rPr>
              <w:br/>
            </w:r>
            <w:r w:rsidRPr="0016789A">
              <w:rPr>
                <w:rFonts w:asciiTheme="minorHAnsi" w:eastAsia="Arial" w:hAnsiTheme="minorHAnsi" w:cs="Arial"/>
                <w:color w:val="000000"/>
                <w:szCs w:val="22"/>
              </w:rPr>
              <w:t>machine-based system that, for explicit or implicit objectives, infers, from the input it receives, how to generate outputs such as predictions, content, recommendations or decisions that can influence physical or virtual environments. Different AI systems vary in their levels of autonomy and adaptiveness after deployment.</w:t>
            </w:r>
            <w:r w:rsidR="00304F1A">
              <w:rPr>
                <w:rFonts w:asciiTheme="minorHAnsi" w:eastAsia="Arial" w:hAnsiTheme="minorHAnsi" w:cs="Arial"/>
                <w:color w:val="000000"/>
                <w:szCs w:val="22"/>
              </w:rPr>
              <w:t xml:space="preserve"> </w:t>
            </w:r>
          </w:p>
        </w:tc>
      </w:tr>
      <w:tr w:rsidR="000032EA" w:rsidRPr="0016789A" w14:paraId="32C0F504" w14:textId="77777777" w:rsidTr="0016789A">
        <w:tc>
          <w:tcPr>
            <w:tcW w:w="2685" w:type="dxa"/>
          </w:tcPr>
          <w:p w14:paraId="0FBBD52A" w14:textId="2F84666F" w:rsidR="000032EA" w:rsidRPr="0016789A" w:rsidRDefault="000032EA" w:rsidP="000032EA">
            <w:pPr>
              <w:pStyle w:val="Paragraphtable"/>
              <w:rPr>
                <w:rFonts w:cs="Arial"/>
                <w:b/>
                <w:bCs w:val="0"/>
                <w:sz w:val="22"/>
              </w:rPr>
            </w:pPr>
            <w:r w:rsidRPr="0016789A">
              <w:rPr>
                <w:rFonts w:cs="Arial"/>
                <w:b/>
                <w:bCs w:val="0"/>
                <w:sz w:val="22"/>
              </w:rPr>
              <w:t>AIHS</w:t>
            </w:r>
          </w:p>
        </w:tc>
        <w:tc>
          <w:tcPr>
            <w:tcW w:w="7089" w:type="dxa"/>
          </w:tcPr>
          <w:p w14:paraId="33ED541F" w14:textId="055A6AD9" w:rsidR="000032EA" w:rsidRPr="0016789A" w:rsidRDefault="000032EA" w:rsidP="00D17747">
            <w:pPr>
              <w:spacing w:after="40" w:line="240" w:lineRule="auto"/>
              <w:contextualSpacing w:val="0"/>
              <w:rPr>
                <w:rFonts w:asciiTheme="minorHAnsi" w:eastAsia="Arial" w:hAnsiTheme="minorHAnsi" w:cs="Arial"/>
                <w:color w:val="000000"/>
                <w:szCs w:val="22"/>
              </w:rPr>
            </w:pPr>
            <w:r w:rsidRPr="0016789A">
              <w:rPr>
                <w:rFonts w:asciiTheme="minorHAnsi" w:eastAsia="Arial" w:hAnsiTheme="minorHAnsi" w:cs="Arial"/>
                <w:color w:val="000000"/>
                <w:szCs w:val="22"/>
              </w:rPr>
              <w:t>Australian Institute of Health and Safety</w:t>
            </w:r>
          </w:p>
        </w:tc>
      </w:tr>
      <w:tr w:rsidR="000032EA" w:rsidRPr="0016789A" w14:paraId="197DE0E3" w14:textId="77777777" w:rsidTr="0016789A">
        <w:tc>
          <w:tcPr>
            <w:tcW w:w="2685" w:type="dxa"/>
          </w:tcPr>
          <w:p w14:paraId="22E5C9BE" w14:textId="0D2935FE" w:rsidR="000032EA" w:rsidRPr="0016789A" w:rsidRDefault="000032EA" w:rsidP="000032EA">
            <w:pPr>
              <w:pStyle w:val="Paragraphtable"/>
              <w:rPr>
                <w:rFonts w:cs="Arial"/>
                <w:b/>
                <w:bCs w:val="0"/>
                <w:sz w:val="22"/>
              </w:rPr>
            </w:pPr>
            <w:r w:rsidRPr="0016789A">
              <w:rPr>
                <w:rFonts w:cs="Arial"/>
                <w:b/>
                <w:bCs w:val="0"/>
                <w:sz w:val="22"/>
              </w:rPr>
              <w:t>Alternative verdicts</w:t>
            </w:r>
          </w:p>
        </w:tc>
        <w:tc>
          <w:tcPr>
            <w:tcW w:w="7089" w:type="dxa"/>
          </w:tcPr>
          <w:p w14:paraId="6479389E" w14:textId="0108F65E" w:rsidR="000032EA" w:rsidRPr="0016789A" w:rsidRDefault="000032EA" w:rsidP="00D17747">
            <w:pPr>
              <w:spacing w:after="40" w:line="240" w:lineRule="auto"/>
              <w:contextualSpacing w:val="0"/>
              <w:rPr>
                <w:rFonts w:asciiTheme="minorHAnsi" w:eastAsia="Arial" w:hAnsiTheme="minorHAnsi" w:cs="Arial"/>
                <w:color w:val="000000"/>
                <w:szCs w:val="22"/>
              </w:rPr>
            </w:pPr>
            <w:r w:rsidRPr="0016789A">
              <w:rPr>
                <w:rFonts w:asciiTheme="minorHAnsi" w:eastAsia="Arial" w:hAnsiTheme="minorHAnsi" w:cs="Arial"/>
                <w:color w:val="000000"/>
                <w:szCs w:val="22"/>
              </w:rPr>
              <w:t xml:space="preserve">Alternative verdicts allow regulators to bring multiple charges for an offence so that a duty holder could be convicted of a lower penalty offence if they are acquitted of higher penalty offences. </w:t>
            </w:r>
          </w:p>
        </w:tc>
      </w:tr>
      <w:tr w:rsidR="000032EA" w:rsidRPr="0016789A" w14:paraId="081575FE" w14:textId="77777777" w:rsidTr="0016789A">
        <w:tc>
          <w:tcPr>
            <w:tcW w:w="2685" w:type="dxa"/>
          </w:tcPr>
          <w:p w14:paraId="581437E2" w14:textId="3A5C505D" w:rsidR="000032EA" w:rsidRPr="0016789A" w:rsidRDefault="000032EA" w:rsidP="000032EA">
            <w:pPr>
              <w:pStyle w:val="Paragraphtable"/>
              <w:rPr>
                <w:rFonts w:cs="Arial"/>
                <w:b/>
                <w:bCs w:val="0"/>
                <w:sz w:val="22"/>
              </w:rPr>
            </w:pPr>
            <w:r w:rsidRPr="0016789A">
              <w:rPr>
                <w:rFonts w:cs="Arial"/>
                <w:b/>
                <w:bCs w:val="0"/>
                <w:sz w:val="22"/>
              </w:rPr>
              <w:t>ANMF (Vic Branch)</w:t>
            </w:r>
          </w:p>
        </w:tc>
        <w:tc>
          <w:tcPr>
            <w:tcW w:w="7089" w:type="dxa"/>
          </w:tcPr>
          <w:p w14:paraId="1AB0B4D1" w14:textId="0283D761" w:rsidR="000032EA" w:rsidRPr="0016789A" w:rsidRDefault="000032EA" w:rsidP="00D17747">
            <w:pPr>
              <w:spacing w:after="40" w:line="240" w:lineRule="auto"/>
              <w:contextualSpacing w:val="0"/>
              <w:rPr>
                <w:rFonts w:asciiTheme="minorHAnsi" w:eastAsia="Arial" w:hAnsiTheme="minorHAnsi" w:cs="Arial"/>
                <w:color w:val="000000"/>
                <w:szCs w:val="22"/>
              </w:rPr>
            </w:pPr>
            <w:r w:rsidRPr="0016789A">
              <w:rPr>
                <w:rFonts w:asciiTheme="minorHAnsi" w:hAnsiTheme="minorHAnsi" w:cs="Arial"/>
                <w:szCs w:val="22"/>
              </w:rPr>
              <w:t>Australian Nursing and Midwifery Federation (Victorian Branch)</w:t>
            </w:r>
          </w:p>
        </w:tc>
      </w:tr>
      <w:tr w:rsidR="000032EA" w:rsidRPr="0016789A" w14:paraId="5273135F" w14:textId="77777777" w:rsidTr="0016789A">
        <w:tc>
          <w:tcPr>
            <w:tcW w:w="2685" w:type="dxa"/>
          </w:tcPr>
          <w:p w14:paraId="60B42CA5" w14:textId="23BAF290" w:rsidR="000032EA" w:rsidRPr="0016789A" w:rsidRDefault="000032EA" w:rsidP="000032EA">
            <w:pPr>
              <w:pStyle w:val="Paragraphtable"/>
              <w:rPr>
                <w:rFonts w:cs="Arial"/>
                <w:b/>
                <w:bCs w:val="0"/>
                <w:sz w:val="22"/>
              </w:rPr>
            </w:pPr>
            <w:r w:rsidRPr="0016789A">
              <w:rPr>
                <w:rFonts w:cs="Arial"/>
                <w:b/>
                <w:bCs w:val="0"/>
                <w:sz w:val="22"/>
              </w:rPr>
              <w:t>Auslan</w:t>
            </w:r>
          </w:p>
        </w:tc>
        <w:tc>
          <w:tcPr>
            <w:tcW w:w="7089" w:type="dxa"/>
          </w:tcPr>
          <w:p w14:paraId="7B21958C" w14:textId="55F849FD" w:rsidR="000032EA" w:rsidRPr="0016789A" w:rsidRDefault="000032EA" w:rsidP="00D17747">
            <w:pPr>
              <w:spacing w:after="40" w:line="240" w:lineRule="auto"/>
              <w:contextualSpacing w:val="0"/>
              <w:rPr>
                <w:rFonts w:asciiTheme="minorHAnsi" w:hAnsiTheme="minorHAnsi" w:cs="Arial"/>
                <w:szCs w:val="22"/>
              </w:rPr>
            </w:pPr>
            <w:r w:rsidRPr="0016789A">
              <w:rPr>
                <w:rFonts w:asciiTheme="minorHAnsi" w:eastAsiaTheme="majorEastAsia" w:hAnsiTheme="minorHAnsi" w:cs="Arial"/>
                <w:szCs w:val="22"/>
                <w:lang w:eastAsia="en-AU"/>
              </w:rPr>
              <w:t xml:space="preserve">Australian Sign Language </w:t>
            </w:r>
          </w:p>
        </w:tc>
      </w:tr>
      <w:tr w:rsidR="000032EA" w:rsidRPr="0016789A" w14:paraId="3304CFCB" w14:textId="77777777" w:rsidTr="0016789A">
        <w:tc>
          <w:tcPr>
            <w:tcW w:w="2685" w:type="dxa"/>
          </w:tcPr>
          <w:p w14:paraId="15B3360B" w14:textId="5AA476DC" w:rsidR="000032EA" w:rsidRPr="0016789A" w:rsidRDefault="000032EA" w:rsidP="000032EA">
            <w:pPr>
              <w:pStyle w:val="Paragraphtable"/>
              <w:rPr>
                <w:rFonts w:cs="Arial"/>
                <w:b/>
                <w:bCs w:val="0"/>
                <w:sz w:val="22"/>
              </w:rPr>
            </w:pPr>
            <w:r w:rsidRPr="0016789A">
              <w:rPr>
                <w:rFonts w:cs="Arial"/>
                <w:b/>
                <w:bCs w:val="0"/>
                <w:sz w:val="22"/>
              </w:rPr>
              <w:t>BCA</w:t>
            </w:r>
          </w:p>
        </w:tc>
        <w:tc>
          <w:tcPr>
            <w:tcW w:w="7089" w:type="dxa"/>
          </w:tcPr>
          <w:p w14:paraId="172CF6CD" w14:textId="7270C723" w:rsidR="000032EA" w:rsidRPr="0016789A" w:rsidRDefault="000032EA" w:rsidP="00D17747">
            <w:pPr>
              <w:spacing w:after="40" w:line="240" w:lineRule="auto"/>
              <w:contextualSpacing w:val="0"/>
              <w:rPr>
                <w:rFonts w:asciiTheme="minorHAnsi" w:eastAsiaTheme="majorEastAsia" w:hAnsiTheme="minorHAnsi" w:cs="Arial"/>
                <w:szCs w:val="22"/>
                <w:lang w:eastAsia="en-AU"/>
              </w:rPr>
            </w:pPr>
            <w:r w:rsidRPr="0016789A">
              <w:rPr>
                <w:rFonts w:asciiTheme="minorHAnsi" w:eastAsia="Arial" w:hAnsiTheme="minorHAnsi" w:cs="Arial"/>
                <w:color w:val="000000"/>
                <w:szCs w:val="22"/>
              </w:rPr>
              <w:t>Business Council of Australia</w:t>
            </w:r>
          </w:p>
        </w:tc>
      </w:tr>
      <w:tr w:rsidR="000032EA" w:rsidRPr="0016789A" w14:paraId="3BCC75A3" w14:textId="77777777" w:rsidTr="0016789A">
        <w:tc>
          <w:tcPr>
            <w:tcW w:w="2685" w:type="dxa"/>
          </w:tcPr>
          <w:p w14:paraId="2271817E" w14:textId="2DC9D17F" w:rsidR="000032EA" w:rsidRPr="0016789A" w:rsidRDefault="000032EA" w:rsidP="000032EA">
            <w:pPr>
              <w:pStyle w:val="Paragraphtable"/>
              <w:rPr>
                <w:rFonts w:cs="Arial"/>
                <w:b/>
                <w:bCs w:val="0"/>
                <w:sz w:val="22"/>
              </w:rPr>
            </w:pPr>
            <w:r w:rsidRPr="0016789A">
              <w:rPr>
                <w:rFonts w:cs="Arial"/>
                <w:b/>
                <w:bCs w:val="0"/>
                <w:sz w:val="22"/>
              </w:rPr>
              <w:t>Best Practice Review</w:t>
            </w:r>
          </w:p>
        </w:tc>
        <w:tc>
          <w:tcPr>
            <w:tcW w:w="7089" w:type="dxa"/>
          </w:tcPr>
          <w:p w14:paraId="778170AC" w14:textId="58D105F4" w:rsidR="000032EA" w:rsidRPr="0016789A" w:rsidRDefault="000032EA" w:rsidP="00D17747">
            <w:pPr>
              <w:spacing w:after="40" w:line="240" w:lineRule="auto"/>
              <w:contextualSpacing w:val="0"/>
              <w:rPr>
                <w:rFonts w:asciiTheme="minorHAnsi" w:eastAsia="Arial" w:hAnsiTheme="minorHAnsi" w:cs="Arial"/>
                <w:color w:val="000000"/>
                <w:szCs w:val="22"/>
              </w:rPr>
            </w:pPr>
            <w:r w:rsidRPr="0016789A">
              <w:rPr>
                <w:rFonts w:asciiTheme="minorHAnsi" w:eastAsia="Arial" w:hAnsiTheme="minorHAnsi" w:cs="Arial"/>
                <w:color w:val="000000"/>
                <w:szCs w:val="22"/>
              </w:rPr>
              <w:t>Best Practice Review of the model Work Health and Safety laws (</w:t>
            </w:r>
            <w:r w:rsidR="00B50788" w:rsidRPr="0016789A">
              <w:rPr>
                <w:rFonts w:asciiTheme="minorHAnsi" w:eastAsia="Arial" w:hAnsiTheme="minorHAnsi" w:cs="Arial"/>
                <w:color w:val="000000"/>
                <w:szCs w:val="22"/>
              </w:rPr>
              <w:t>202</w:t>
            </w:r>
            <w:r w:rsidR="00B50788">
              <w:rPr>
                <w:rFonts w:asciiTheme="minorHAnsi" w:eastAsia="Arial" w:hAnsiTheme="minorHAnsi" w:cs="Arial"/>
                <w:color w:val="000000"/>
                <w:szCs w:val="22"/>
              </w:rPr>
              <w:t>6</w:t>
            </w:r>
            <w:r w:rsidRPr="0016789A">
              <w:rPr>
                <w:rFonts w:asciiTheme="minorHAnsi" w:eastAsia="Arial" w:hAnsiTheme="minorHAnsi" w:cs="Arial"/>
                <w:color w:val="000000"/>
                <w:szCs w:val="22"/>
              </w:rPr>
              <w:t>)</w:t>
            </w:r>
          </w:p>
        </w:tc>
      </w:tr>
      <w:tr w:rsidR="000032EA" w:rsidRPr="0016789A" w14:paraId="428F8513" w14:textId="77777777" w:rsidTr="0016789A">
        <w:tc>
          <w:tcPr>
            <w:tcW w:w="2685" w:type="dxa"/>
          </w:tcPr>
          <w:p w14:paraId="4D78449F" w14:textId="16F104DE" w:rsidR="000032EA" w:rsidRPr="0016789A" w:rsidRDefault="000032EA" w:rsidP="000032EA">
            <w:pPr>
              <w:pStyle w:val="Paragraphtable"/>
              <w:rPr>
                <w:rFonts w:cs="Arial"/>
                <w:b/>
                <w:bCs w:val="0"/>
                <w:sz w:val="22"/>
              </w:rPr>
            </w:pPr>
            <w:r w:rsidRPr="0016789A">
              <w:rPr>
                <w:rFonts w:cs="Arial"/>
                <w:b/>
                <w:bCs w:val="0"/>
                <w:sz w:val="22"/>
              </w:rPr>
              <w:t>CALD</w:t>
            </w:r>
          </w:p>
        </w:tc>
        <w:tc>
          <w:tcPr>
            <w:tcW w:w="7089" w:type="dxa"/>
          </w:tcPr>
          <w:p w14:paraId="19ED602E" w14:textId="37547FC2" w:rsidR="000032EA" w:rsidRPr="0016789A" w:rsidRDefault="000032EA" w:rsidP="00D17747">
            <w:pPr>
              <w:spacing w:after="40" w:line="240" w:lineRule="auto"/>
              <w:contextualSpacing w:val="0"/>
              <w:rPr>
                <w:rFonts w:asciiTheme="minorHAnsi" w:eastAsia="Arial" w:hAnsiTheme="minorHAnsi" w:cs="Arial"/>
                <w:color w:val="000000"/>
                <w:szCs w:val="22"/>
              </w:rPr>
            </w:pPr>
            <w:r w:rsidRPr="0016789A">
              <w:rPr>
                <w:rFonts w:asciiTheme="minorHAnsi" w:hAnsiTheme="minorHAnsi" w:cs="Arial"/>
                <w:szCs w:val="22"/>
              </w:rPr>
              <w:t>Culturally and linguistically diverse</w:t>
            </w:r>
          </w:p>
        </w:tc>
      </w:tr>
      <w:tr w:rsidR="000032EA" w:rsidRPr="0016789A" w14:paraId="4C54081E" w14:textId="77777777" w:rsidTr="0016789A">
        <w:tc>
          <w:tcPr>
            <w:tcW w:w="2685" w:type="dxa"/>
          </w:tcPr>
          <w:p w14:paraId="5DC66D59" w14:textId="4EC83FD6" w:rsidR="000032EA" w:rsidRPr="0016789A" w:rsidRDefault="000032EA" w:rsidP="000032EA">
            <w:pPr>
              <w:pStyle w:val="Paragraphtable"/>
              <w:rPr>
                <w:rFonts w:cs="Arial"/>
                <w:b/>
                <w:bCs w:val="0"/>
                <w:sz w:val="22"/>
              </w:rPr>
            </w:pPr>
            <w:r w:rsidRPr="0016789A">
              <w:rPr>
                <w:rFonts w:cs="Arial"/>
                <w:b/>
                <w:bCs w:val="0"/>
                <w:sz w:val="22"/>
              </w:rPr>
              <w:t>Category 1 offence</w:t>
            </w:r>
          </w:p>
        </w:tc>
        <w:tc>
          <w:tcPr>
            <w:tcW w:w="7089" w:type="dxa"/>
          </w:tcPr>
          <w:p w14:paraId="205DDF80" w14:textId="7345E5E2" w:rsidR="000032EA" w:rsidRPr="0016789A" w:rsidRDefault="000032EA" w:rsidP="00D17747">
            <w:pPr>
              <w:spacing w:after="40" w:line="240" w:lineRule="auto"/>
              <w:contextualSpacing w:val="0"/>
              <w:rPr>
                <w:rFonts w:asciiTheme="minorHAnsi" w:hAnsiTheme="minorHAnsi" w:cs="Arial"/>
                <w:szCs w:val="22"/>
              </w:rPr>
            </w:pPr>
            <w:r w:rsidRPr="0016789A">
              <w:rPr>
                <w:rFonts w:asciiTheme="minorHAnsi" w:eastAsia="Arial" w:hAnsiTheme="minorHAnsi" w:cs="Arial"/>
                <w:color w:val="000000"/>
                <w:szCs w:val="22"/>
              </w:rPr>
              <w:t xml:space="preserve">A Category 1 offence is one of the most serious offences in the WHS Act where a duty holder, without reasonable excuse, engages in conduct that exposes the individual to whom they owe a duty to a risk of death or serious injury/illness and this duty holder was reckless or grossly negligent. If found guilty, the possible consequences for this offence in the model laws include imprisonment and monetary penalties. </w:t>
            </w:r>
          </w:p>
        </w:tc>
      </w:tr>
      <w:tr w:rsidR="000032EA" w:rsidRPr="0016789A" w14:paraId="0E7F390E" w14:textId="77777777" w:rsidTr="0016789A">
        <w:tc>
          <w:tcPr>
            <w:tcW w:w="2685" w:type="dxa"/>
          </w:tcPr>
          <w:p w14:paraId="6275FB71" w14:textId="41BC8C34" w:rsidR="000032EA" w:rsidRPr="0016789A" w:rsidRDefault="000032EA" w:rsidP="000032EA">
            <w:pPr>
              <w:pStyle w:val="Paragraphtable"/>
              <w:rPr>
                <w:rFonts w:cs="Arial"/>
                <w:b/>
                <w:bCs w:val="0"/>
                <w:sz w:val="22"/>
              </w:rPr>
            </w:pPr>
            <w:r w:rsidRPr="0016789A">
              <w:rPr>
                <w:rFonts w:cs="Arial"/>
                <w:b/>
                <w:bCs w:val="0"/>
                <w:sz w:val="22"/>
              </w:rPr>
              <w:t>Category 2 offence</w:t>
            </w:r>
          </w:p>
        </w:tc>
        <w:tc>
          <w:tcPr>
            <w:tcW w:w="7089" w:type="dxa"/>
          </w:tcPr>
          <w:p w14:paraId="633BF6FD" w14:textId="795B709E" w:rsidR="000032EA" w:rsidRPr="0016789A" w:rsidRDefault="000032EA" w:rsidP="00D17747">
            <w:pPr>
              <w:spacing w:after="40" w:line="240" w:lineRule="auto"/>
              <w:contextualSpacing w:val="0"/>
              <w:rPr>
                <w:rFonts w:asciiTheme="minorHAnsi" w:eastAsia="Arial" w:hAnsiTheme="minorHAnsi" w:cs="Arial"/>
                <w:color w:val="000000"/>
                <w:szCs w:val="22"/>
              </w:rPr>
            </w:pPr>
            <w:r w:rsidRPr="0016789A">
              <w:rPr>
                <w:rFonts w:asciiTheme="minorHAnsi" w:eastAsia="Arial" w:hAnsiTheme="minorHAnsi" w:cs="Arial"/>
                <w:color w:val="000000"/>
                <w:szCs w:val="22"/>
              </w:rPr>
              <w:t>A Category 2 offence is where a duty holder’s failure to comply with their duty exposes an individual to a risk of death or serious injury or illness. If found guilty, the possible consequences for this offence in the model laws are monetary penalties.</w:t>
            </w:r>
          </w:p>
        </w:tc>
      </w:tr>
      <w:tr w:rsidR="000032EA" w:rsidRPr="0016789A" w14:paraId="191F9572" w14:textId="77777777" w:rsidTr="0016789A">
        <w:tc>
          <w:tcPr>
            <w:tcW w:w="2685" w:type="dxa"/>
          </w:tcPr>
          <w:p w14:paraId="4A955B87" w14:textId="6BB500AA" w:rsidR="000032EA" w:rsidRPr="0016789A" w:rsidRDefault="000032EA" w:rsidP="000032EA">
            <w:pPr>
              <w:pStyle w:val="Paragraphtable"/>
              <w:rPr>
                <w:rFonts w:cs="Arial"/>
                <w:b/>
                <w:bCs w:val="0"/>
                <w:sz w:val="22"/>
              </w:rPr>
            </w:pPr>
            <w:r w:rsidRPr="0016789A">
              <w:rPr>
                <w:rFonts w:cs="Arial"/>
                <w:b/>
                <w:bCs w:val="0"/>
                <w:sz w:val="22"/>
              </w:rPr>
              <w:t xml:space="preserve">Category 3 offence </w:t>
            </w:r>
          </w:p>
        </w:tc>
        <w:tc>
          <w:tcPr>
            <w:tcW w:w="7089" w:type="dxa"/>
          </w:tcPr>
          <w:p w14:paraId="5EE52DEC" w14:textId="19E77A30" w:rsidR="000032EA" w:rsidRPr="0016789A" w:rsidRDefault="000032EA" w:rsidP="00D17747">
            <w:pPr>
              <w:spacing w:after="40" w:line="240" w:lineRule="auto"/>
              <w:contextualSpacing w:val="0"/>
              <w:rPr>
                <w:rFonts w:asciiTheme="minorHAnsi" w:eastAsia="Arial" w:hAnsiTheme="minorHAnsi" w:cs="Arial"/>
                <w:color w:val="000000"/>
                <w:szCs w:val="22"/>
              </w:rPr>
            </w:pPr>
            <w:r w:rsidRPr="0016789A">
              <w:rPr>
                <w:rFonts w:asciiTheme="minorHAnsi" w:eastAsia="Arial" w:hAnsiTheme="minorHAnsi" w:cs="Arial"/>
                <w:color w:val="000000"/>
                <w:szCs w:val="22"/>
              </w:rPr>
              <w:t>A Category 3 offence is where a duty holder has failed to comply with their duty. If found guilty, the possible consequences for this offence in the model laws are monetary penalties.</w:t>
            </w:r>
          </w:p>
        </w:tc>
      </w:tr>
      <w:tr w:rsidR="000032EA" w:rsidRPr="0016789A" w14:paraId="17E0FD35" w14:textId="77777777" w:rsidTr="0016789A">
        <w:tc>
          <w:tcPr>
            <w:tcW w:w="2685" w:type="dxa"/>
          </w:tcPr>
          <w:p w14:paraId="232E91CC" w14:textId="2D5E978C" w:rsidR="000032EA" w:rsidRPr="0016789A" w:rsidRDefault="000032EA" w:rsidP="000032EA">
            <w:pPr>
              <w:pStyle w:val="Paragraphtable"/>
              <w:rPr>
                <w:rFonts w:cs="Arial"/>
                <w:b/>
                <w:bCs w:val="0"/>
                <w:sz w:val="22"/>
              </w:rPr>
            </w:pPr>
            <w:r w:rsidRPr="0016789A">
              <w:rPr>
                <w:rFonts w:cs="Arial"/>
                <w:b/>
                <w:bCs w:val="0"/>
                <w:sz w:val="22"/>
              </w:rPr>
              <w:t>CFMEU</w:t>
            </w:r>
          </w:p>
        </w:tc>
        <w:tc>
          <w:tcPr>
            <w:tcW w:w="7089" w:type="dxa"/>
          </w:tcPr>
          <w:p w14:paraId="4C9C010C" w14:textId="20E89FAA" w:rsidR="000032EA" w:rsidRPr="0016789A" w:rsidRDefault="000032EA" w:rsidP="00030A19">
            <w:pPr>
              <w:spacing w:after="40" w:line="240" w:lineRule="auto"/>
              <w:contextualSpacing w:val="0"/>
              <w:rPr>
                <w:rFonts w:asciiTheme="minorHAnsi" w:eastAsia="Arial" w:hAnsiTheme="minorHAnsi" w:cs="Arial"/>
                <w:color w:val="000000"/>
                <w:szCs w:val="22"/>
              </w:rPr>
            </w:pPr>
            <w:r w:rsidRPr="0016789A">
              <w:rPr>
                <w:rFonts w:asciiTheme="minorHAnsi" w:eastAsia="Arial" w:hAnsiTheme="minorHAnsi" w:cs="Arial"/>
                <w:color w:val="000000"/>
                <w:szCs w:val="22"/>
              </w:rPr>
              <w:t>Construction, Forestry and Maritime Employees Union</w:t>
            </w:r>
          </w:p>
        </w:tc>
      </w:tr>
      <w:tr w:rsidR="000032EA" w:rsidRPr="0016789A" w14:paraId="0EFC23BF" w14:textId="77777777" w:rsidTr="0016789A">
        <w:tc>
          <w:tcPr>
            <w:tcW w:w="2685" w:type="dxa"/>
          </w:tcPr>
          <w:p w14:paraId="36BA76B5" w14:textId="79F3FFAB" w:rsidR="000032EA" w:rsidRPr="0016789A" w:rsidRDefault="000032EA" w:rsidP="000032EA">
            <w:pPr>
              <w:pStyle w:val="Paragraphtable"/>
              <w:rPr>
                <w:rFonts w:cs="Arial"/>
                <w:b/>
                <w:bCs w:val="0"/>
                <w:sz w:val="22"/>
              </w:rPr>
            </w:pPr>
            <w:r w:rsidRPr="0016789A">
              <w:rPr>
                <w:rFonts w:cs="Arial"/>
                <w:b/>
                <w:bCs w:val="0"/>
                <w:sz w:val="22"/>
              </w:rPr>
              <w:t>Civil penalty provisions</w:t>
            </w:r>
          </w:p>
        </w:tc>
        <w:tc>
          <w:tcPr>
            <w:tcW w:w="7089" w:type="dxa"/>
          </w:tcPr>
          <w:p w14:paraId="2A68BBDF" w14:textId="20A4468C" w:rsidR="000032EA" w:rsidRPr="0016789A" w:rsidRDefault="000032EA" w:rsidP="00030A19">
            <w:pPr>
              <w:spacing w:after="40" w:line="240" w:lineRule="auto"/>
              <w:contextualSpacing w:val="0"/>
              <w:rPr>
                <w:rFonts w:asciiTheme="minorHAnsi" w:eastAsia="Arial" w:hAnsiTheme="minorHAnsi" w:cs="Arial"/>
                <w:color w:val="000000"/>
                <w:szCs w:val="22"/>
              </w:rPr>
            </w:pPr>
            <w:r w:rsidRPr="0016789A">
              <w:rPr>
                <w:rFonts w:asciiTheme="minorHAnsi" w:eastAsia="Arial" w:hAnsiTheme="minorHAnsi" w:cs="Arial"/>
                <w:color w:val="000000"/>
                <w:szCs w:val="22"/>
              </w:rPr>
              <w:t>Civil penalty provisions are prohibitions on conduct that are not penalised by imprisonment and are dealt with according to the rules of civil proceedings.</w:t>
            </w:r>
          </w:p>
        </w:tc>
      </w:tr>
      <w:tr w:rsidR="000032EA" w:rsidRPr="0016789A" w14:paraId="42B8288F" w14:textId="77777777" w:rsidTr="0016789A">
        <w:tc>
          <w:tcPr>
            <w:tcW w:w="2685" w:type="dxa"/>
          </w:tcPr>
          <w:p w14:paraId="19C2B0B9" w14:textId="2DF8D7CF" w:rsidR="000032EA" w:rsidRPr="0016789A" w:rsidRDefault="000032EA" w:rsidP="000032EA">
            <w:pPr>
              <w:pStyle w:val="Paragraphtable"/>
              <w:rPr>
                <w:rFonts w:cs="Arial"/>
                <w:b/>
                <w:bCs w:val="0"/>
                <w:sz w:val="22"/>
              </w:rPr>
            </w:pPr>
            <w:r w:rsidRPr="0016789A">
              <w:rPr>
                <w:rFonts w:cs="Arial"/>
                <w:b/>
                <w:bCs w:val="0"/>
                <w:sz w:val="22"/>
              </w:rPr>
              <w:t>COAG</w:t>
            </w:r>
          </w:p>
        </w:tc>
        <w:tc>
          <w:tcPr>
            <w:tcW w:w="7089" w:type="dxa"/>
          </w:tcPr>
          <w:p w14:paraId="5D0277BB" w14:textId="3E7BDC38" w:rsidR="000032EA" w:rsidRPr="0016789A" w:rsidRDefault="000032EA" w:rsidP="00030A19">
            <w:pPr>
              <w:spacing w:after="40" w:line="240" w:lineRule="auto"/>
              <w:contextualSpacing w:val="0"/>
              <w:rPr>
                <w:rFonts w:asciiTheme="minorHAnsi" w:eastAsia="Arial" w:hAnsiTheme="minorHAnsi" w:cs="Arial"/>
                <w:color w:val="000000"/>
                <w:szCs w:val="22"/>
              </w:rPr>
            </w:pPr>
            <w:r w:rsidRPr="0016789A">
              <w:rPr>
                <w:rFonts w:asciiTheme="minorHAnsi" w:eastAsia="Arial" w:hAnsiTheme="minorHAnsi" w:cs="Arial"/>
                <w:color w:val="000000"/>
                <w:spacing w:val="-1"/>
                <w:szCs w:val="22"/>
              </w:rPr>
              <w:t>Council of Australian Governments (succeeded by National Cabinet)</w:t>
            </w:r>
          </w:p>
        </w:tc>
      </w:tr>
      <w:tr w:rsidR="000032EA" w:rsidRPr="0016789A" w14:paraId="2F91C380" w14:textId="77777777" w:rsidTr="0016789A">
        <w:tc>
          <w:tcPr>
            <w:tcW w:w="2685" w:type="dxa"/>
          </w:tcPr>
          <w:p w14:paraId="578A3D18" w14:textId="0605D5C1" w:rsidR="000032EA" w:rsidRPr="0016789A" w:rsidRDefault="000032EA" w:rsidP="000032EA">
            <w:pPr>
              <w:pStyle w:val="Paragraphtable"/>
              <w:rPr>
                <w:rFonts w:cs="Arial"/>
                <w:b/>
                <w:bCs w:val="0"/>
                <w:sz w:val="22"/>
              </w:rPr>
            </w:pPr>
            <w:r w:rsidRPr="0016789A">
              <w:rPr>
                <w:rFonts w:cs="Arial"/>
                <w:b/>
                <w:bCs w:val="0"/>
                <w:sz w:val="22"/>
              </w:rPr>
              <w:t>Commonwealth WHS Act</w:t>
            </w:r>
          </w:p>
        </w:tc>
        <w:tc>
          <w:tcPr>
            <w:tcW w:w="7089" w:type="dxa"/>
          </w:tcPr>
          <w:p w14:paraId="6D56A200" w14:textId="28E5EED5" w:rsidR="000032EA" w:rsidRPr="0016789A" w:rsidRDefault="000032EA" w:rsidP="00030A19">
            <w:pPr>
              <w:spacing w:after="40" w:line="240" w:lineRule="auto"/>
              <w:contextualSpacing w:val="0"/>
              <w:rPr>
                <w:rFonts w:asciiTheme="minorHAnsi" w:eastAsia="Arial" w:hAnsiTheme="minorHAnsi" w:cs="Arial"/>
                <w:color w:val="000000"/>
                <w:spacing w:val="-1"/>
                <w:szCs w:val="22"/>
              </w:rPr>
            </w:pPr>
            <w:r w:rsidRPr="0016789A">
              <w:rPr>
                <w:rFonts w:asciiTheme="minorHAnsi" w:eastAsia="Arial" w:hAnsiTheme="minorHAnsi" w:cs="Arial"/>
                <w:i/>
                <w:color w:val="000000"/>
                <w:spacing w:val="-1"/>
                <w:szCs w:val="22"/>
              </w:rPr>
              <w:t xml:space="preserve">Work Health and Safety Act 2011 </w:t>
            </w:r>
            <w:r w:rsidRPr="0016789A">
              <w:rPr>
                <w:rFonts w:asciiTheme="minorHAnsi" w:eastAsia="Arial" w:hAnsiTheme="minorHAnsi" w:cs="Arial"/>
                <w:color w:val="000000"/>
                <w:spacing w:val="-1"/>
                <w:szCs w:val="22"/>
              </w:rPr>
              <w:t>(Cth)</w:t>
            </w:r>
          </w:p>
        </w:tc>
      </w:tr>
      <w:tr w:rsidR="000032EA" w:rsidRPr="0016789A" w14:paraId="59AF73F8" w14:textId="77777777" w:rsidTr="0016789A">
        <w:tc>
          <w:tcPr>
            <w:tcW w:w="2685" w:type="dxa"/>
          </w:tcPr>
          <w:p w14:paraId="55EFF67E" w14:textId="3B00E276" w:rsidR="000032EA" w:rsidRPr="0016789A" w:rsidRDefault="000032EA" w:rsidP="000032EA">
            <w:pPr>
              <w:pStyle w:val="Paragraphtable"/>
              <w:rPr>
                <w:rFonts w:cs="Arial"/>
                <w:b/>
                <w:bCs w:val="0"/>
                <w:sz w:val="22"/>
              </w:rPr>
            </w:pPr>
            <w:r w:rsidRPr="0016789A">
              <w:rPr>
                <w:rFonts w:cs="Arial"/>
                <w:b/>
                <w:bCs w:val="0"/>
                <w:sz w:val="22"/>
              </w:rPr>
              <w:lastRenderedPageBreak/>
              <w:t>CSA</w:t>
            </w:r>
          </w:p>
        </w:tc>
        <w:tc>
          <w:tcPr>
            <w:tcW w:w="7089" w:type="dxa"/>
          </w:tcPr>
          <w:p w14:paraId="71D02885" w14:textId="2BFC9BE4" w:rsidR="000032EA" w:rsidRPr="0016789A" w:rsidRDefault="000032EA" w:rsidP="00030A19">
            <w:pPr>
              <w:spacing w:after="40" w:line="240" w:lineRule="auto"/>
              <w:contextualSpacing w:val="0"/>
              <w:rPr>
                <w:rFonts w:asciiTheme="minorHAnsi" w:eastAsia="Arial" w:hAnsiTheme="minorHAnsi" w:cs="Arial"/>
                <w:i/>
                <w:color w:val="000000"/>
                <w:spacing w:val="-1"/>
                <w:szCs w:val="22"/>
              </w:rPr>
            </w:pPr>
            <w:r w:rsidRPr="0016789A">
              <w:rPr>
                <w:rFonts w:asciiTheme="minorHAnsi" w:hAnsiTheme="minorHAnsi" w:cs="Arial"/>
                <w:szCs w:val="22"/>
              </w:rPr>
              <w:t>Carnival Safety Australia</w:t>
            </w:r>
          </w:p>
        </w:tc>
      </w:tr>
      <w:tr w:rsidR="000032EA" w:rsidRPr="0016789A" w14:paraId="6D67BA15" w14:textId="77777777" w:rsidTr="0016789A">
        <w:tc>
          <w:tcPr>
            <w:tcW w:w="2685" w:type="dxa"/>
          </w:tcPr>
          <w:p w14:paraId="7C484EAE" w14:textId="3F5AADF1" w:rsidR="000032EA" w:rsidRPr="0016789A" w:rsidRDefault="000032EA" w:rsidP="000032EA">
            <w:pPr>
              <w:pStyle w:val="Paragraphtable"/>
              <w:rPr>
                <w:rFonts w:cs="Arial"/>
                <w:b/>
                <w:bCs w:val="0"/>
                <w:sz w:val="22"/>
              </w:rPr>
            </w:pPr>
            <w:r w:rsidRPr="0016789A">
              <w:rPr>
                <w:rFonts w:cs="Arial"/>
                <w:b/>
                <w:bCs w:val="0"/>
                <w:sz w:val="22"/>
              </w:rPr>
              <w:t>DCCEEW</w:t>
            </w:r>
          </w:p>
        </w:tc>
        <w:tc>
          <w:tcPr>
            <w:tcW w:w="7089" w:type="dxa"/>
          </w:tcPr>
          <w:p w14:paraId="7CFF68E3" w14:textId="14CFC933" w:rsidR="000032EA" w:rsidRPr="0016789A" w:rsidRDefault="000032EA" w:rsidP="00030A19">
            <w:pPr>
              <w:spacing w:after="40" w:line="240" w:lineRule="auto"/>
              <w:contextualSpacing w:val="0"/>
              <w:rPr>
                <w:rFonts w:asciiTheme="minorHAnsi" w:hAnsiTheme="minorHAnsi" w:cs="Arial"/>
                <w:szCs w:val="22"/>
              </w:rPr>
            </w:pPr>
            <w:r w:rsidRPr="0016789A">
              <w:rPr>
                <w:rFonts w:asciiTheme="minorHAnsi" w:hAnsiTheme="minorHAnsi" w:cs="Arial"/>
                <w:szCs w:val="22"/>
              </w:rPr>
              <w:t>Department of Climate Change, Energy, the Environment and Water (Commonwealth)</w:t>
            </w:r>
          </w:p>
        </w:tc>
      </w:tr>
      <w:tr w:rsidR="000032EA" w:rsidRPr="0016789A" w14:paraId="23DAB2DD" w14:textId="77777777" w:rsidTr="0016789A">
        <w:tc>
          <w:tcPr>
            <w:tcW w:w="2685" w:type="dxa"/>
          </w:tcPr>
          <w:p w14:paraId="4ED85A17" w14:textId="180C8F9F" w:rsidR="000032EA" w:rsidRPr="0016789A" w:rsidRDefault="000032EA" w:rsidP="000032EA">
            <w:pPr>
              <w:pStyle w:val="Paragraphtable"/>
              <w:rPr>
                <w:rFonts w:cs="Arial"/>
                <w:b/>
                <w:bCs w:val="0"/>
                <w:sz w:val="22"/>
              </w:rPr>
            </w:pPr>
            <w:r w:rsidRPr="0016789A">
              <w:rPr>
                <w:rFonts w:cs="Arial"/>
                <w:b/>
                <w:bCs w:val="0"/>
                <w:sz w:val="22"/>
              </w:rPr>
              <w:t>DEWR</w:t>
            </w:r>
          </w:p>
        </w:tc>
        <w:tc>
          <w:tcPr>
            <w:tcW w:w="7089" w:type="dxa"/>
          </w:tcPr>
          <w:p w14:paraId="5D04FFEB" w14:textId="34EE773E" w:rsidR="000032EA" w:rsidRPr="0016789A" w:rsidRDefault="000032EA" w:rsidP="00030A19">
            <w:pPr>
              <w:spacing w:after="40" w:line="240" w:lineRule="auto"/>
              <w:contextualSpacing w:val="0"/>
              <w:rPr>
                <w:rFonts w:asciiTheme="minorHAnsi" w:hAnsiTheme="minorHAnsi" w:cs="Arial"/>
                <w:szCs w:val="22"/>
              </w:rPr>
            </w:pPr>
            <w:r w:rsidRPr="0016789A">
              <w:rPr>
                <w:rFonts w:asciiTheme="minorHAnsi" w:hAnsiTheme="minorHAnsi" w:cs="Arial"/>
                <w:szCs w:val="22"/>
              </w:rPr>
              <w:t>Department of Employment and Workplace Relations (Commonwealth)</w:t>
            </w:r>
          </w:p>
        </w:tc>
      </w:tr>
      <w:tr w:rsidR="000032EA" w:rsidRPr="0016789A" w14:paraId="42637738" w14:textId="77777777" w:rsidTr="0016789A">
        <w:tc>
          <w:tcPr>
            <w:tcW w:w="2685" w:type="dxa"/>
          </w:tcPr>
          <w:p w14:paraId="46AFBEAE" w14:textId="7CE18205" w:rsidR="000032EA" w:rsidRPr="0016789A" w:rsidRDefault="000032EA" w:rsidP="000032EA">
            <w:pPr>
              <w:pStyle w:val="Paragraphtable"/>
              <w:rPr>
                <w:rFonts w:cs="Arial"/>
                <w:b/>
                <w:bCs w:val="0"/>
                <w:sz w:val="22"/>
              </w:rPr>
            </w:pPr>
            <w:r w:rsidRPr="0016789A">
              <w:rPr>
                <w:rFonts w:cs="Arial"/>
                <w:b/>
                <w:bCs w:val="0"/>
                <w:sz w:val="22"/>
              </w:rPr>
              <w:t>DPP</w:t>
            </w:r>
          </w:p>
        </w:tc>
        <w:tc>
          <w:tcPr>
            <w:tcW w:w="7089" w:type="dxa"/>
          </w:tcPr>
          <w:p w14:paraId="5F32FEBD" w14:textId="7246027C" w:rsidR="000032EA" w:rsidRPr="0016789A" w:rsidRDefault="000032EA" w:rsidP="00030A19">
            <w:pPr>
              <w:spacing w:after="40" w:line="240" w:lineRule="auto"/>
              <w:contextualSpacing w:val="0"/>
              <w:rPr>
                <w:rFonts w:asciiTheme="minorHAnsi" w:hAnsiTheme="minorHAnsi" w:cs="Arial"/>
                <w:szCs w:val="22"/>
              </w:rPr>
            </w:pPr>
            <w:r w:rsidRPr="0016789A">
              <w:rPr>
                <w:rFonts w:asciiTheme="minorHAnsi" w:hAnsiTheme="minorHAnsi" w:cs="Arial"/>
                <w:color w:val="000000"/>
                <w:szCs w:val="22"/>
              </w:rPr>
              <w:t xml:space="preserve">Director of Public Prosecutions </w:t>
            </w:r>
          </w:p>
        </w:tc>
      </w:tr>
      <w:tr w:rsidR="000032EA" w:rsidRPr="0016789A" w14:paraId="3C080CB3" w14:textId="77777777" w:rsidTr="0016789A">
        <w:tc>
          <w:tcPr>
            <w:tcW w:w="2685" w:type="dxa"/>
          </w:tcPr>
          <w:p w14:paraId="7FB04C7B" w14:textId="1BDC068C" w:rsidR="000032EA" w:rsidRPr="0016789A" w:rsidRDefault="000032EA" w:rsidP="000032EA">
            <w:pPr>
              <w:pStyle w:val="Paragraphtable"/>
              <w:rPr>
                <w:rFonts w:cs="Arial"/>
                <w:b/>
                <w:bCs w:val="0"/>
                <w:sz w:val="22"/>
              </w:rPr>
            </w:pPr>
            <w:r w:rsidRPr="0016789A">
              <w:rPr>
                <w:rFonts w:cs="Arial"/>
                <w:b/>
                <w:bCs w:val="0"/>
                <w:sz w:val="22"/>
              </w:rPr>
              <w:t>Duty holder</w:t>
            </w:r>
          </w:p>
        </w:tc>
        <w:tc>
          <w:tcPr>
            <w:tcW w:w="7089" w:type="dxa"/>
          </w:tcPr>
          <w:p w14:paraId="2973015D" w14:textId="62F3E254" w:rsidR="000032EA" w:rsidRPr="0016789A" w:rsidRDefault="000032EA" w:rsidP="00030A19">
            <w:pPr>
              <w:spacing w:after="40" w:line="240" w:lineRule="auto"/>
              <w:contextualSpacing w:val="0"/>
              <w:rPr>
                <w:rFonts w:asciiTheme="minorHAnsi" w:hAnsiTheme="minorHAnsi" w:cs="Arial"/>
                <w:color w:val="000000"/>
                <w:szCs w:val="22"/>
              </w:rPr>
            </w:pPr>
            <w:r w:rsidRPr="0016789A">
              <w:rPr>
                <w:rFonts w:asciiTheme="minorHAnsi" w:hAnsiTheme="minorHAnsi" w:cs="Arial"/>
                <w:color w:val="000000"/>
                <w:szCs w:val="22"/>
              </w:rPr>
              <w:t>A duty holder refers to any person who has a WHS duty under the model WHS laws, including a PCBU, designer, manufacturer, importer, supplier, installer of plant or structures, officer and worker.</w:t>
            </w:r>
          </w:p>
        </w:tc>
      </w:tr>
      <w:tr w:rsidR="000032EA" w:rsidRPr="0016789A" w14:paraId="47570136" w14:textId="77777777" w:rsidTr="0016789A">
        <w:tc>
          <w:tcPr>
            <w:tcW w:w="2685" w:type="dxa"/>
          </w:tcPr>
          <w:p w14:paraId="73CEC980" w14:textId="6FD658DE" w:rsidR="000032EA" w:rsidRPr="0016789A" w:rsidRDefault="000032EA" w:rsidP="000032EA">
            <w:pPr>
              <w:pStyle w:val="Paragraphtable"/>
              <w:rPr>
                <w:rFonts w:cs="Arial"/>
                <w:b/>
                <w:bCs w:val="0"/>
                <w:sz w:val="22"/>
              </w:rPr>
            </w:pPr>
            <w:r w:rsidRPr="0016789A">
              <w:rPr>
                <w:rFonts w:cs="Arial"/>
                <w:b/>
                <w:bCs w:val="0"/>
                <w:sz w:val="22"/>
              </w:rPr>
              <w:t>Enforceable undertaking (EU) / WHS undertaking</w:t>
            </w:r>
          </w:p>
        </w:tc>
        <w:tc>
          <w:tcPr>
            <w:tcW w:w="7089" w:type="dxa"/>
          </w:tcPr>
          <w:p w14:paraId="5F15186D" w14:textId="0D1C3E34" w:rsidR="000032EA" w:rsidRPr="0016789A" w:rsidRDefault="000032EA" w:rsidP="004035AC">
            <w:pPr>
              <w:spacing w:after="40" w:line="240" w:lineRule="auto"/>
              <w:contextualSpacing w:val="0"/>
              <w:rPr>
                <w:rFonts w:asciiTheme="minorHAnsi" w:hAnsiTheme="minorHAnsi" w:cs="Arial"/>
                <w:color w:val="000000"/>
                <w:szCs w:val="22"/>
              </w:rPr>
            </w:pPr>
            <w:r w:rsidRPr="0016789A">
              <w:rPr>
                <w:rFonts w:asciiTheme="minorHAnsi" w:hAnsiTheme="minorHAnsi" w:cs="Arial"/>
                <w:color w:val="000000"/>
                <w:szCs w:val="22"/>
              </w:rPr>
              <w:t xml:space="preserve">As an alternative to prosecution, a person can commit to do certain actions, and this commitment becomes enforceable following a regulator’s decision to accept the undertaking. </w:t>
            </w:r>
          </w:p>
        </w:tc>
      </w:tr>
      <w:tr w:rsidR="000032EA" w:rsidRPr="0016789A" w14:paraId="112DEE83" w14:textId="77777777" w:rsidTr="0016789A">
        <w:tc>
          <w:tcPr>
            <w:tcW w:w="2685" w:type="dxa"/>
          </w:tcPr>
          <w:p w14:paraId="3096C966" w14:textId="2A23DF39" w:rsidR="000032EA" w:rsidRPr="0016789A" w:rsidRDefault="000032EA" w:rsidP="000032EA">
            <w:pPr>
              <w:pStyle w:val="Paragraphtable"/>
              <w:rPr>
                <w:rFonts w:cs="Arial"/>
                <w:b/>
                <w:bCs w:val="0"/>
                <w:sz w:val="22"/>
              </w:rPr>
            </w:pPr>
            <w:r w:rsidRPr="0016789A">
              <w:rPr>
                <w:rFonts w:cs="Arial"/>
                <w:b/>
                <w:bCs w:val="0"/>
                <w:sz w:val="22"/>
              </w:rPr>
              <w:t>EPH</w:t>
            </w:r>
          </w:p>
        </w:tc>
        <w:tc>
          <w:tcPr>
            <w:tcW w:w="7089" w:type="dxa"/>
          </w:tcPr>
          <w:p w14:paraId="23B92785" w14:textId="3D375A0F" w:rsidR="000032EA" w:rsidRPr="0016789A" w:rsidRDefault="000032EA" w:rsidP="004035AC">
            <w:pPr>
              <w:spacing w:after="40" w:line="240" w:lineRule="auto"/>
              <w:contextualSpacing w:val="0"/>
              <w:rPr>
                <w:rFonts w:asciiTheme="minorHAnsi" w:hAnsiTheme="minorHAnsi" w:cs="Arial"/>
                <w:color w:val="000000"/>
                <w:szCs w:val="22"/>
              </w:rPr>
            </w:pPr>
            <w:r w:rsidRPr="0016789A">
              <w:rPr>
                <w:rFonts w:asciiTheme="minorHAnsi" w:hAnsiTheme="minorHAnsi" w:cs="Arial"/>
                <w:color w:val="000000"/>
                <w:szCs w:val="22"/>
              </w:rPr>
              <w:t>WHS entry permit holder</w:t>
            </w:r>
          </w:p>
        </w:tc>
      </w:tr>
      <w:tr w:rsidR="000032EA" w:rsidRPr="0016789A" w14:paraId="3EF29674" w14:textId="77777777" w:rsidTr="0016789A">
        <w:tc>
          <w:tcPr>
            <w:tcW w:w="2685" w:type="dxa"/>
          </w:tcPr>
          <w:p w14:paraId="67E33CD6" w14:textId="7B82C91D" w:rsidR="000032EA" w:rsidRPr="0016789A" w:rsidRDefault="000032EA" w:rsidP="000032EA">
            <w:pPr>
              <w:pStyle w:val="Paragraphtable"/>
              <w:rPr>
                <w:rFonts w:cs="Arial"/>
                <w:b/>
                <w:bCs w:val="0"/>
                <w:sz w:val="22"/>
              </w:rPr>
            </w:pPr>
            <w:r w:rsidRPr="0016789A">
              <w:rPr>
                <w:rFonts w:cs="Arial"/>
                <w:b/>
                <w:bCs w:val="0"/>
                <w:sz w:val="22"/>
              </w:rPr>
              <w:t>FW Act</w:t>
            </w:r>
          </w:p>
        </w:tc>
        <w:tc>
          <w:tcPr>
            <w:tcW w:w="7089" w:type="dxa"/>
          </w:tcPr>
          <w:p w14:paraId="13A1BD94" w14:textId="636A49BB" w:rsidR="000032EA" w:rsidRPr="0016789A" w:rsidRDefault="000032EA" w:rsidP="004035AC">
            <w:pPr>
              <w:spacing w:after="40" w:line="240" w:lineRule="auto"/>
              <w:contextualSpacing w:val="0"/>
              <w:rPr>
                <w:rFonts w:asciiTheme="minorHAnsi" w:hAnsiTheme="minorHAnsi" w:cs="Arial"/>
                <w:color w:val="000000"/>
                <w:szCs w:val="22"/>
              </w:rPr>
            </w:pPr>
            <w:r w:rsidRPr="0016789A">
              <w:rPr>
                <w:rFonts w:asciiTheme="minorHAnsi" w:hAnsiTheme="minorHAnsi" w:cs="Arial"/>
                <w:i/>
                <w:color w:val="000000"/>
                <w:szCs w:val="22"/>
              </w:rPr>
              <w:t>Fair Work Act 2009</w:t>
            </w:r>
            <w:r w:rsidRPr="0016789A">
              <w:rPr>
                <w:rFonts w:asciiTheme="minorHAnsi" w:hAnsiTheme="minorHAnsi" w:cs="Arial"/>
                <w:color w:val="000000"/>
                <w:szCs w:val="22"/>
              </w:rPr>
              <w:t xml:space="preserve"> (Cth)</w:t>
            </w:r>
          </w:p>
        </w:tc>
      </w:tr>
      <w:tr w:rsidR="000032EA" w:rsidRPr="0016789A" w14:paraId="110694BE" w14:textId="77777777" w:rsidTr="0016789A">
        <w:tc>
          <w:tcPr>
            <w:tcW w:w="2685" w:type="dxa"/>
          </w:tcPr>
          <w:p w14:paraId="0EAC124E" w14:textId="4484F6F1" w:rsidR="000032EA" w:rsidRPr="0016789A" w:rsidRDefault="000032EA" w:rsidP="000032EA">
            <w:pPr>
              <w:pStyle w:val="Paragraphtable"/>
              <w:rPr>
                <w:rFonts w:cs="Arial"/>
                <w:b/>
                <w:bCs w:val="0"/>
                <w:sz w:val="22"/>
              </w:rPr>
            </w:pPr>
            <w:r w:rsidRPr="0016789A">
              <w:rPr>
                <w:rFonts w:cs="Arial"/>
                <w:b/>
                <w:bCs w:val="0"/>
                <w:sz w:val="22"/>
              </w:rPr>
              <w:t>GDP</w:t>
            </w:r>
          </w:p>
        </w:tc>
        <w:tc>
          <w:tcPr>
            <w:tcW w:w="7089" w:type="dxa"/>
          </w:tcPr>
          <w:p w14:paraId="7A470137" w14:textId="3C02650D" w:rsidR="000032EA" w:rsidRPr="0016789A" w:rsidRDefault="000032EA" w:rsidP="004035AC">
            <w:pPr>
              <w:spacing w:after="40" w:line="240" w:lineRule="auto"/>
              <w:contextualSpacing w:val="0"/>
              <w:rPr>
                <w:rFonts w:asciiTheme="minorHAnsi" w:hAnsiTheme="minorHAnsi" w:cs="Arial"/>
                <w:i/>
                <w:color w:val="000000"/>
                <w:szCs w:val="22"/>
              </w:rPr>
            </w:pPr>
            <w:r w:rsidRPr="0016789A">
              <w:rPr>
                <w:rFonts w:asciiTheme="minorHAnsi" w:hAnsiTheme="minorHAnsi" w:cs="Arial"/>
                <w:color w:val="000000"/>
                <w:szCs w:val="22"/>
              </w:rPr>
              <w:t>Gross Domestic Product</w:t>
            </w:r>
          </w:p>
        </w:tc>
      </w:tr>
      <w:tr w:rsidR="000032EA" w:rsidRPr="0016789A" w14:paraId="37412820" w14:textId="77777777" w:rsidTr="0016789A">
        <w:tc>
          <w:tcPr>
            <w:tcW w:w="2685" w:type="dxa"/>
          </w:tcPr>
          <w:p w14:paraId="4F3B30E6" w14:textId="59AD296B" w:rsidR="000032EA" w:rsidRPr="0016789A" w:rsidRDefault="000032EA" w:rsidP="000032EA">
            <w:pPr>
              <w:pStyle w:val="Paragraphtable"/>
              <w:rPr>
                <w:rFonts w:cs="Arial"/>
                <w:b/>
                <w:bCs w:val="0"/>
                <w:sz w:val="22"/>
              </w:rPr>
            </w:pPr>
            <w:r w:rsidRPr="0016789A">
              <w:rPr>
                <w:rFonts w:cs="Arial"/>
                <w:b/>
                <w:bCs w:val="0"/>
                <w:sz w:val="22"/>
              </w:rPr>
              <w:t>HIA</w:t>
            </w:r>
          </w:p>
        </w:tc>
        <w:tc>
          <w:tcPr>
            <w:tcW w:w="7089" w:type="dxa"/>
          </w:tcPr>
          <w:p w14:paraId="2CCFB435" w14:textId="631AC6E2" w:rsidR="000032EA" w:rsidRPr="0016789A" w:rsidRDefault="000032EA" w:rsidP="004035AC">
            <w:pPr>
              <w:spacing w:after="40" w:line="240" w:lineRule="auto"/>
              <w:contextualSpacing w:val="0"/>
              <w:rPr>
                <w:rFonts w:asciiTheme="minorHAnsi" w:hAnsiTheme="minorHAnsi" w:cs="Arial"/>
                <w:color w:val="000000"/>
                <w:szCs w:val="22"/>
              </w:rPr>
            </w:pPr>
            <w:r w:rsidRPr="0016789A">
              <w:rPr>
                <w:rFonts w:asciiTheme="minorHAnsi" w:eastAsia="Aptos" w:hAnsiTheme="minorHAnsi" w:cs="Aptos"/>
                <w:color w:val="000000" w:themeColor="text1"/>
                <w:szCs w:val="22"/>
              </w:rPr>
              <w:t>Housing Industry Association</w:t>
            </w:r>
          </w:p>
        </w:tc>
      </w:tr>
      <w:tr w:rsidR="000032EA" w:rsidRPr="0016789A" w14:paraId="6EBBF66E" w14:textId="77777777" w:rsidTr="0016789A">
        <w:tc>
          <w:tcPr>
            <w:tcW w:w="2685" w:type="dxa"/>
          </w:tcPr>
          <w:p w14:paraId="6D0C236A" w14:textId="3BE9DEBC" w:rsidR="000032EA" w:rsidRPr="0016789A" w:rsidRDefault="000032EA" w:rsidP="000032EA">
            <w:pPr>
              <w:pStyle w:val="Paragraphtable"/>
              <w:rPr>
                <w:rFonts w:cs="Arial"/>
                <w:b/>
                <w:bCs w:val="0"/>
                <w:sz w:val="22"/>
              </w:rPr>
            </w:pPr>
            <w:r w:rsidRPr="0016789A">
              <w:rPr>
                <w:rFonts w:cs="Arial"/>
                <w:b/>
                <w:bCs w:val="0"/>
                <w:sz w:val="22"/>
              </w:rPr>
              <w:t>HSC</w:t>
            </w:r>
          </w:p>
        </w:tc>
        <w:tc>
          <w:tcPr>
            <w:tcW w:w="7089" w:type="dxa"/>
          </w:tcPr>
          <w:p w14:paraId="05B7942B" w14:textId="1FE654A3" w:rsidR="000032EA" w:rsidRPr="0016789A" w:rsidRDefault="000032EA" w:rsidP="004035AC">
            <w:pPr>
              <w:spacing w:after="40" w:line="240" w:lineRule="auto"/>
              <w:contextualSpacing w:val="0"/>
              <w:rPr>
                <w:rFonts w:asciiTheme="minorHAnsi" w:hAnsiTheme="minorHAnsi" w:cs="Arial"/>
                <w:color w:val="000000"/>
                <w:szCs w:val="22"/>
              </w:rPr>
            </w:pPr>
            <w:r w:rsidRPr="0016789A">
              <w:rPr>
                <w:rFonts w:asciiTheme="minorHAnsi" w:hAnsiTheme="minorHAnsi" w:cs="Arial"/>
                <w:color w:val="000000"/>
                <w:szCs w:val="22"/>
              </w:rPr>
              <w:t>Health and safety committee, which is a consultative body established under the model WHS Act. The committee’s functions include facilitating cooperation between workers and the PCBU to ensure workers’ health and safety at work; and assisting to develop WHS standards, rules and procedures for the workplace.</w:t>
            </w:r>
          </w:p>
        </w:tc>
      </w:tr>
      <w:tr w:rsidR="000032EA" w:rsidRPr="0016789A" w14:paraId="2AAF3FD8" w14:textId="77777777" w:rsidTr="0016789A">
        <w:tc>
          <w:tcPr>
            <w:tcW w:w="2685" w:type="dxa"/>
          </w:tcPr>
          <w:p w14:paraId="7F99A27E" w14:textId="20311D09" w:rsidR="000032EA" w:rsidRPr="0016789A" w:rsidRDefault="000032EA" w:rsidP="000032EA">
            <w:pPr>
              <w:pStyle w:val="Paragraphtable"/>
              <w:rPr>
                <w:rFonts w:cs="Arial"/>
                <w:b/>
                <w:bCs w:val="0"/>
                <w:sz w:val="22"/>
              </w:rPr>
            </w:pPr>
            <w:r w:rsidRPr="0016789A">
              <w:rPr>
                <w:rFonts w:cs="Arial"/>
                <w:b/>
                <w:bCs w:val="0"/>
                <w:sz w:val="22"/>
              </w:rPr>
              <w:t>HSR</w:t>
            </w:r>
          </w:p>
        </w:tc>
        <w:tc>
          <w:tcPr>
            <w:tcW w:w="7089" w:type="dxa"/>
          </w:tcPr>
          <w:p w14:paraId="43FBB72E" w14:textId="17339466" w:rsidR="000032EA" w:rsidRPr="0016789A" w:rsidRDefault="000032EA" w:rsidP="004035AC">
            <w:pPr>
              <w:spacing w:after="40" w:line="240" w:lineRule="auto"/>
              <w:contextualSpacing w:val="0"/>
              <w:rPr>
                <w:rFonts w:asciiTheme="minorHAnsi" w:hAnsiTheme="minorHAnsi" w:cs="Arial"/>
                <w:color w:val="000000"/>
                <w:szCs w:val="22"/>
              </w:rPr>
            </w:pPr>
            <w:r w:rsidRPr="0016789A">
              <w:rPr>
                <w:rFonts w:asciiTheme="minorHAnsi" w:hAnsiTheme="minorHAnsi" w:cs="Arial"/>
                <w:color w:val="000000"/>
                <w:szCs w:val="22"/>
              </w:rPr>
              <w:t>Health and safety representative, which is a worker who has been elected by a work group under the model WHS Act to represent them on health and safety issues.</w:t>
            </w:r>
          </w:p>
        </w:tc>
      </w:tr>
      <w:tr w:rsidR="000032EA" w:rsidRPr="0016789A" w14:paraId="69B72683" w14:textId="77777777" w:rsidTr="0016789A">
        <w:tc>
          <w:tcPr>
            <w:tcW w:w="2685" w:type="dxa"/>
          </w:tcPr>
          <w:p w14:paraId="3C3BBCAE" w14:textId="324D551E" w:rsidR="000032EA" w:rsidRPr="0016789A" w:rsidRDefault="000032EA" w:rsidP="000032EA">
            <w:pPr>
              <w:pStyle w:val="Paragraphtable"/>
              <w:rPr>
                <w:rFonts w:cs="Arial"/>
                <w:b/>
                <w:bCs w:val="0"/>
                <w:sz w:val="22"/>
              </w:rPr>
            </w:pPr>
            <w:r w:rsidRPr="0016789A">
              <w:rPr>
                <w:rFonts w:cs="Arial"/>
                <w:b/>
                <w:bCs w:val="0"/>
                <w:sz w:val="22"/>
              </w:rPr>
              <w:t>HVNL</w:t>
            </w:r>
          </w:p>
        </w:tc>
        <w:tc>
          <w:tcPr>
            <w:tcW w:w="7089" w:type="dxa"/>
          </w:tcPr>
          <w:p w14:paraId="5AC243FD" w14:textId="5BC73E75" w:rsidR="000032EA" w:rsidRPr="0016789A" w:rsidRDefault="000032EA" w:rsidP="004035AC">
            <w:pPr>
              <w:spacing w:after="40" w:line="240" w:lineRule="auto"/>
              <w:contextualSpacing w:val="0"/>
              <w:rPr>
                <w:rFonts w:asciiTheme="minorHAnsi" w:hAnsiTheme="minorHAnsi" w:cs="Arial"/>
                <w:color w:val="000000"/>
                <w:szCs w:val="22"/>
              </w:rPr>
            </w:pPr>
            <w:r w:rsidRPr="0016789A">
              <w:rPr>
                <w:rFonts w:asciiTheme="minorHAnsi" w:hAnsiTheme="minorHAnsi" w:cs="Arial"/>
                <w:color w:val="000000"/>
                <w:szCs w:val="22"/>
              </w:rPr>
              <w:t>Heavy Vehicle National Law</w:t>
            </w:r>
          </w:p>
        </w:tc>
      </w:tr>
      <w:tr w:rsidR="000032EA" w:rsidRPr="0016789A" w14:paraId="2FD3AC16" w14:textId="77777777" w:rsidTr="0016789A">
        <w:tc>
          <w:tcPr>
            <w:tcW w:w="2685" w:type="dxa"/>
          </w:tcPr>
          <w:p w14:paraId="08BBC112" w14:textId="667D856E" w:rsidR="000032EA" w:rsidRPr="0016789A" w:rsidRDefault="000032EA" w:rsidP="000032EA">
            <w:pPr>
              <w:pStyle w:val="Paragraphtable"/>
              <w:rPr>
                <w:rFonts w:cs="Arial"/>
                <w:b/>
                <w:bCs w:val="0"/>
                <w:sz w:val="22"/>
              </w:rPr>
            </w:pPr>
            <w:r w:rsidRPr="0016789A">
              <w:rPr>
                <w:rFonts w:cs="Arial"/>
                <w:b/>
                <w:bCs w:val="0"/>
                <w:sz w:val="22"/>
              </w:rPr>
              <w:t>HWSA</w:t>
            </w:r>
          </w:p>
        </w:tc>
        <w:tc>
          <w:tcPr>
            <w:tcW w:w="7089" w:type="dxa"/>
          </w:tcPr>
          <w:p w14:paraId="25EA7D3F" w14:textId="7874CB10" w:rsidR="000032EA" w:rsidRPr="0016789A" w:rsidRDefault="000032EA" w:rsidP="004035AC">
            <w:pPr>
              <w:spacing w:after="40" w:line="240" w:lineRule="auto"/>
              <w:contextualSpacing w:val="0"/>
              <w:rPr>
                <w:rFonts w:asciiTheme="minorHAnsi" w:hAnsiTheme="minorHAnsi" w:cs="Arial"/>
                <w:color w:val="000000"/>
                <w:szCs w:val="22"/>
              </w:rPr>
            </w:pPr>
            <w:r w:rsidRPr="0016789A">
              <w:rPr>
                <w:rFonts w:asciiTheme="minorHAnsi" w:hAnsiTheme="minorHAnsi" w:cs="Arial"/>
                <w:color w:val="000000"/>
                <w:szCs w:val="22"/>
              </w:rPr>
              <w:t xml:space="preserve">Heads of Workplace Safety Authorities is made up of representatives from work health and safety regulators across Australia and New Zealand. They work together to promote and implement best practice in work health and safety in the areas of operational policy, legislative matters, education and enforcement. </w:t>
            </w:r>
          </w:p>
        </w:tc>
      </w:tr>
      <w:tr w:rsidR="000032EA" w:rsidRPr="0016789A" w14:paraId="6023CBA7" w14:textId="77777777" w:rsidTr="0016789A">
        <w:tc>
          <w:tcPr>
            <w:tcW w:w="2685" w:type="dxa"/>
          </w:tcPr>
          <w:p w14:paraId="2609077C" w14:textId="5848AF8A" w:rsidR="000032EA" w:rsidRPr="0016789A" w:rsidRDefault="000032EA" w:rsidP="000032EA">
            <w:pPr>
              <w:pStyle w:val="Paragraphtable"/>
              <w:rPr>
                <w:rFonts w:cs="Arial"/>
                <w:b/>
                <w:bCs w:val="0"/>
                <w:sz w:val="22"/>
              </w:rPr>
            </w:pPr>
            <w:r w:rsidRPr="0016789A">
              <w:rPr>
                <w:rFonts w:cs="Arial"/>
                <w:b/>
                <w:bCs w:val="0"/>
                <w:sz w:val="22"/>
              </w:rPr>
              <w:t>IGA</w:t>
            </w:r>
          </w:p>
        </w:tc>
        <w:tc>
          <w:tcPr>
            <w:tcW w:w="7089" w:type="dxa"/>
          </w:tcPr>
          <w:p w14:paraId="4370F996" w14:textId="77833438" w:rsidR="000032EA" w:rsidRPr="0016789A" w:rsidRDefault="000032EA" w:rsidP="004035AC">
            <w:pPr>
              <w:spacing w:after="40" w:line="240" w:lineRule="auto"/>
              <w:contextualSpacing w:val="0"/>
              <w:rPr>
                <w:rFonts w:asciiTheme="minorHAnsi" w:hAnsiTheme="minorHAnsi" w:cs="Arial"/>
                <w:color w:val="000000"/>
                <w:szCs w:val="22"/>
              </w:rPr>
            </w:pPr>
            <w:r w:rsidRPr="0016789A">
              <w:rPr>
                <w:rFonts w:asciiTheme="minorHAnsi" w:hAnsiTheme="minorHAnsi" w:cs="Arial"/>
                <w:i/>
                <w:iCs/>
                <w:color w:val="000000"/>
                <w:szCs w:val="22"/>
              </w:rPr>
              <w:t>Intergovernmental Agreement for Regulatory and Operational Reform in Occupational Health and Safety</w:t>
            </w:r>
            <w:r w:rsidRPr="0016789A">
              <w:rPr>
                <w:rFonts w:asciiTheme="minorHAnsi" w:hAnsiTheme="minorHAnsi" w:cs="Arial"/>
                <w:color w:val="000000"/>
                <w:szCs w:val="22"/>
              </w:rPr>
              <w:t xml:space="preserve"> (2008)</w:t>
            </w:r>
          </w:p>
        </w:tc>
      </w:tr>
      <w:tr w:rsidR="000032EA" w:rsidRPr="0016789A" w14:paraId="17F99717" w14:textId="77777777" w:rsidTr="0016789A">
        <w:tc>
          <w:tcPr>
            <w:tcW w:w="2685" w:type="dxa"/>
          </w:tcPr>
          <w:p w14:paraId="5782BEBD" w14:textId="5D26162F" w:rsidR="000032EA" w:rsidRPr="0016789A" w:rsidRDefault="000032EA" w:rsidP="000032EA">
            <w:pPr>
              <w:pStyle w:val="Paragraphtable"/>
              <w:rPr>
                <w:rFonts w:cs="Arial"/>
                <w:b/>
                <w:bCs w:val="0"/>
                <w:sz w:val="22"/>
              </w:rPr>
            </w:pPr>
            <w:r w:rsidRPr="0016789A">
              <w:rPr>
                <w:rFonts w:cs="Arial"/>
                <w:b/>
                <w:bCs w:val="0"/>
                <w:sz w:val="22"/>
              </w:rPr>
              <w:t>ILO</w:t>
            </w:r>
          </w:p>
        </w:tc>
        <w:tc>
          <w:tcPr>
            <w:tcW w:w="7089" w:type="dxa"/>
          </w:tcPr>
          <w:p w14:paraId="4DDC5018" w14:textId="192DF832" w:rsidR="000032EA" w:rsidRPr="0016789A" w:rsidRDefault="000032EA" w:rsidP="004035AC">
            <w:pPr>
              <w:spacing w:after="40" w:line="240" w:lineRule="auto"/>
              <w:contextualSpacing w:val="0"/>
              <w:rPr>
                <w:rFonts w:asciiTheme="minorHAnsi" w:hAnsiTheme="minorHAnsi" w:cs="Arial"/>
                <w:color w:val="000000"/>
                <w:szCs w:val="22"/>
              </w:rPr>
            </w:pPr>
            <w:r w:rsidRPr="0016789A">
              <w:rPr>
                <w:rFonts w:asciiTheme="minorHAnsi" w:hAnsiTheme="minorHAnsi" w:cs="Arial"/>
                <w:szCs w:val="22"/>
              </w:rPr>
              <w:t>International Labour Organization</w:t>
            </w:r>
          </w:p>
        </w:tc>
      </w:tr>
      <w:tr w:rsidR="000032EA" w:rsidRPr="0016789A" w14:paraId="55F91911" w14:textId="77777777" w:rsidTr="0016789A">
        <w:tc>
          <w:tcPr>
            <w:tcW w:w="2685" w:type="dxa"/>
          </w:tcPr>
          <w:p w14:paraId="54E073C1" w14:textId="50437CF6" w:rsidR="000032EA" w:rsidRPr="0016789A" w:rsidRDefault="000032EA" w:rsidP="000032EA">
            <w:pPr>
              <w:pStyle w:val="Paragraphtable"/>
              <w:rPr>
                <w:rFonts w:cs="Arial"/>
                <w:b/>
                <w:bCs w:val="0"/>
                <w:sz w:val="22"/>
              </w:rPr>
            </w:pPr>
            <w:r w:rsidRPr="0016789A">
              <w:rPr>
                <w:rFonts w:cs="Arial"/>
                <w:b/>
                <w:bCs w:val="0"/>
                <w:sz w:val="22"/>
              </w:rPr>
              <w:t>Improvement notices</w:t>
            </w:r>
          </w:p>
        </w:tc>
        <w:tc>
          <w:tcPr>
            <w:tcW w:w="7089" w:type="dxa"/>
          </w:tcPr>
          <w:p w14:paraId="41C5A288" w14:textId="481DD6C3" w:rsidR="000032EA" w:rsidRPr="0016789A" w:rsidRDefault="000032EA" w:rsidP="004035AC">
            <w:pPr>
              <w:spacing w:after="40" w:line="240" w:lineRule="auto"/>
              <w:contextualSpacing w:val="0"/>
              <w:rPr>
                <w:rFonts w:asciiTheme="minorHAnsi" w:hAnsiTheme="minorHAnsi" w:cs="Arial"/>
                <w:szCs w:val="22"/>
              </w:rPr>
            </w:pPr>
            <w:r w:rsidRPr="0016789A">
              <w:rPr>
                <w:rFonts w:asciiTheme="minorHAnsi" w:hAnsiTheme="minorHAnsi" w:cs="Arial"/>
                <w:color w:val="000000"/>
                <w:szCs w:val="22"/>
              </w:rPr>
              <w:t xml:space="preserve">An improvement notice is a notice that inspectors can issue that requires a person to remedy a contravention or prevent a likely contravention of the WHS laws. </w:t>
            </w:r>
          </w:p>
        </w:tc>
      </w:tr>
      <w:tr w:rsidR="000032EA" w:rsidRPr="0016789A" w14:paraId="6F8CCFA6" w14:textId="77777777" w:rsidTr="0016789A">
        <w:tc>
          <w:tcPr>
            <w:tcW w:w="2685" w:type="dxa"/>
          </w:tcPr>
          <w:p w14:paraId="3CC0388F" w14:textId="080710BD" w:rsidR="000032EA" w:rsidRPr="0016789A" w:rsidRDefault="000032EA" w:rsidP="000032EA">
            <w:pPr>
              <w:pStyle w:val="Paragraphtable"/>
              <w:rPr>
                <w:rFonts w:cs="Arial"/>
                <w:b/>
                <w:bCs w:val="0"/>
                <w:sz w:val="22"/>
              </w:rPr>
            </w:pPr>
            <w:r w:rsidRPr="0016789A">
              <w:rPr>
                <w:rFonts w:cs="Arial"/>
                <w:b/>
                <w:bCs w:val="0"/>
                <w:sz w:val="22"/>
              </w:rPr>
              <w:t>Indictable offences</w:t>
            </w:r>
          </w:p>
        </w:tc>
        <w:tc>
          <w:tcPr>
            <w:tcW w:w="7089" w:type="dxa"/>
          </w:tcPr>
          <w:p w14:paraId="35469347" w14:textId="1219D8D6" w:rsidR="000032EA" w:rsidRPr="0016789A" w:rsidRDefault="000032EA" w:rsidP="004035AC">
            <w:pPr>
              <w:spacing w:after="40" w:line="240" w:lineRule="auto"/>
              <w:contextualSpacing w:val="0"/>
              <w:rPr>
                <w:rFonts w:asciiTheme="minorHAnsi" w:hAnsiTheme="minorHAnsi" w:cs="Arial"/>
                <w:color w:val="000000"/>
                <w:szCs w:val="22"/>
              </w:rPr>
            </w:pPr>
            <w:r w:rsidRPr="0016789A">
              <w:rPr>
                <w:rFonts w:asciiTheme="minorHAnsi" w:hAnsiTheme="minorHAnsi" w:cs="Arial"/>
                <w:color w:val="000000"/>
                <w:szCs w:val="22"/>
              </w:rPr>
              <w:t xml:space="preserve">Indictable offences are more serious criminal offences with larger penalties. For example, for federal offences, offences that are punishable by imprisonment for more than 12 months are indictable offences. See section 4G of the </w:t>
            </w:r>
            <w:r w:rsidRPr="0016789A">
              <w:rPr>
                <w:rFonts w:asciiTheme="minorHAnsi" w:hAnsiTheme="minorHAnsi" w:cs="Arial"/>
                <w:i/>
                <w:color w:val="000000"/>
                <w:szCs w:val="22"/>
              </w:rPr>
              <w:t xml:space="preserve">Crimes Act 1914 </w:t>
            </w:r>
            <w:r w:rsidRPr="0016789A">
              <w:rPr>
                <w:rFonts w:asciiTheme="minorHAnsi" w:hAnsiTheme="minorHAnsi" w:cs="Arial"/>
                <w:color w:val="000000"/>
                <w:szCs w:val="22"/>
              </w:rPr>
              <w:t xml:space="preserve">(Cth). </w:t>
            </w:r>
          </w:p>
        </w:tc>
      </w:tr>
      <w:tr w:rsidR="000032EA" w:rsidRPr="0016789A" w14:paraId="35B4501D" w14:textId="77777777" w:rsidTr="0016789A">
        <w:tc>
          <w:tcPr>
            <w:tcW w:w="2685" w:type="dxa"/>
          </w:tcPr>
          <w:p w14:paraId="798E0995" w14:textId="61724718" w:rsidR="000032EA" w:rsidRPr="0016789A" w:rsidRDefault="000032EA" w:rsidP="000032EA">
            <w:pPr>
              <w:pStyle w:val="Paragraphtable"/>
              <w:rPr>
                <w:rFonts w:cs="Arial"/>
                <w:b/>
                <w:bCs w:val="0"/>
                <w:sz w:val="22"/>
              </w:rPr>
            </w:pPr>
            <w:r w:rsidRPr="0016789A">
              <w:rPr>
                <w:rFonts w:cs="Arial"/>
                <w:b/>
                <w:bCs w:val="0"/>
                <w:sz w:val="22"/>
              </w:rPr>
              <w:lastRenderedPageBreak/>
              <w:t>Industrial manslaughter</w:t>
            </w:r>
          </w:p>
        </w:tc>
        <w:tc>
          <w:tcPr>
            <w:tcW w:w="7089" w:type="dxa"/>
          </w:tcPr>
          <w:p w14:paraId="59127F8E" w14:textId="6D7DF8F5" w:rsidR="000032EA" w:rsidRPr="0016789A" w:rsidRDefault="000032EA" w:rsidP="004035AC">
            <w:pPr>
              <w:spacing w:after="40" w:line="240" w:lineRule="auto"/>
              <w:contextualSpacing w:val="0"/>
              <w:rPr>
                <w:rFonts w:asciiTheme="minorHAnsi" w:hAnsiTheme="minorHAnsi" w:cs="Arial"/>
                <w:color w:val="000000"/>
                <w:szCs w:val="22"/>
              </w:rPr>
            </w:pPr>
            <w:r w:rsidRPr="0016789A">
              <w:rPr>
                <w:rFonts w:asciiTheme="minorHAnsi" w:hAnsiTheme="minorHAnsi" w:cs="Arial"/>
                <w:color w:val="000000"/>
                <w:szCs w:val="22"/>
              </w:rPr>
              <w:t>Industrial manslaughter is the most serious WHS offence. A jurisdictional note provides that each jurisdiction may create its own laws to establish an industrial manslaughter offence, thus they are not nationally uniform. The model laws recommend imprisonment and monetary penalties as consequences if found guilty.</w:t>
            </w:r>
            <w:r w:rsidR="00304F1A">
              <w:rPr>
                <w:rFonts w:asciiTheme="minorHAnsi" w:hAnsiTheme="minorHAnsi" w:cs="Arial"/>
                <w:color w:val="000000"/>
                <w:szCs w:val="22"/>
              </w:rPr>
              <w:t xml:space="preserve"> </w:t>
            </w:r>
          </w:p>
        </w:tc>
      </w:tr>
      <w:tr w:rsidR="000032EA" w:rsidRPr="0016789A" w14:paraId="4BE4CD5A" w14:textId="77777777" w:rsidTr="0016789A">
        <w:tc>
          <w:tcPr>
            <w:tcW w:w="2685" w:type="dxa"/>
          </w:tcPr>
          <w:p w14:paraId="44E61F52" w14:textId="23A6CD70" w:rsidR="000032EA" w:rsidRPr="0016789A" w:rsidRDefault="000032EA" w:rsidP="000032EA">
            <w:pPr>
              <w:pStyle w:val="Paragraphtable"/>
              <w:rPr>
                <w:rFonts w:cs="Arial"/>
                <w:b/>
                <w:bCs w:val="0"/>
                <w:sz w:val="22"/>
              </w:rPr>
            </w:pPr>
            <w:r w:rsidRPr="0016789A">
              <w:rPr>
                <w:rFonts w:cs="Arial"/>
                <w:b/>
                <w:bCs w:val="0"/>
                <w:sz w:val="22"/>
              </w:rPr>
              <w:t>Infringement notice</w:t>
            </w:r>
          </w:p>
        </w:tc>
        <w:tc>
          <w:tcPr>
            <w:tcW w:w="7089" w:type="dxa"/>
          </w:tcPr>
          <w:p w14:paraId="4B4C5EFC" w14:textId="51241010" w:rsidR="000032EA" w:rsidRPr="0016789A" w:rsidRDefault="000032EA" w:rsidP="004035AC">
            <w:pPr>
              <w:spacing w:after="40" w:line="240" w:lineRule="auto"/>
              <w:contextualSpacing w:val="0"/>
              <w:rPr>
                <w:rFonts w:asciiTheme="minorHAnsi" w:hAnsiTheme="minorHAnsi" w:cs="Arial"/>
                <w:color w:val="000000"/>
                <w:szCs w:val="22"/>
              </w:rPr>
            </w:pPr>
            <w:r w:rsidRPr="0016789A">
              <w:rPr>
                <w:rFonts w:asciiTheme="minorHAnsi" w:hAnsiTheme="minorHAnsi" w:cs="Arial"/>
                <w:color w:val="000000"/>
                <w:szCs w:val="22"/>
              </w:rPr>
              <w:t xml:space="preserve">An infringement notice can be issued that requires a person to pay a fine for contravening the laws. A jurisdictional note in the model laws permits jurisdictions to enact provisions that establish an infringement notice scheme. </w:t>
            </w:r>
          </w:p>
        </w:tc>
      </w:tr>
      <w:tr w:rsidR="000032EA" w:rsidRPr="0016789A" w14:paraId="37A7782C" w14:textId="77777777" w:rsidTr="0016789A">
        <w:tc>
          <w:tcPr>
            <w:tcW w:w="2685" w:type="dxa"/>
          </w:tcPr>
          <w:p w14:paraId="2D0C4E37" w14:textId="2EB9FAB0" w:rsidR="000032EA" w:rsidRPr="0016789A" w:rsidRDefault="000032EA" w:rsidP="000032EA">
            <w:pPr>
              <w:pStyle w:val="Paragraphtable"/>
              <w:rPr>
                <w:rFonts w:cs="Arial"/>
                <w:b/>
                <w:bCs w:val="0"/>
                <w:sz w:val="22"/>
              </w:rPr>
            </w:pPr>
            <w:r w:rsidRPr="0016789A">
              <w:rPr>
                <w:rFonts w:cs="Arial"/>
                <w:b/>
                <w:bCs w:val="0"/>
                <w:sz w:val="22"/>
              </w:rPr>
              <w:t>Inspections</w:t>
            </w:r>
          </w:p>
        </w:tc>
        <w:tc>
          <w:tcPr>
            <w:tcW w:w="7089" w:type="dxa"/>
          </w:tcPr>
          <w:p w14:paraId="146F5556" w14:textId="77777777" w:rsidR="00F21CE3" w:rsidRDefault="000032EA" w:rsidP="004035AC">
            <w:pPr>
              <w:spacing w:after="40" w:line="240" w:lineRule="auto"/>
              <w:contextualSpacing w:val="0"/>
              <w:rPr>
                <w:rFonts w:asciiTheme="minorHAnsi" w:hAnsiTheme="minorHAnsi" w:cs="Arial"/>
                <w:color w:val="000000"/>
                <w:szCs w:val="22"/>
              </w:rPr>
            </w:pPr>
            <w:r w:rsidRPr="0016789A">
              <w:rPr>
                <w:rFonts w:asciiTheme="minorHAnsi" w:hAnsiTheme="minorHAnsi" w:cs="Arial"/>
                <w:color w:val="000000"/>
                <w:szCs w:val="22"/>
              </w:rPr>
              <w:t>Under the model laws, certain persons can enter a workplace to inspect and make inquiries about the health and safety of the workplace. These include inspectors and WHS entry permit holders.</w:t>
            </w:r>
          </w:p>
          <w:p w14:paraId="4C216188" w14:textId="10B54045" w:rsidR="000032EA" w:rsidRPr="0016789A" w:rsidRDefault="000032EA" w:rsidP="004035AC">
            <w:pPr>
              <w:spacing w:after="40" w:line="240" w:lineRule="auto"/>
              <w:contextualSpacing w:val="0"/>
              <w:rPr>
                <w:rFonts w:asciiTheme="minorHAnsi" w:hAnsiTheme="minorHAnsi" w:cs="Arial"/>
                <w:color w:val="000000"/>
                <w:szCs w:val="22"/>
              </w:rPr>
            </w:pPr>
            <w:r w:rsidRPr="0016789A">
              <w:rPr>
                <w:rFonts w:asciiTheme="minorHAnsi" w:hAnsiTheme="minorHAnsi" w:cs="Arial"/>
                <w:color w:val="000000"/>
                <w:szCs w:val="22"/>
              </w:rPr>
              <w:t xml:space="preserve">Inspectors can do reactive or proactive inspections. Proactive inspections refer to workplace visits by an inspector that did not result from a complaint or workplace incident. Reactive inspections refer to workplace visits undertaken in resolution of a workplace incident or complaint. </w:t>
            </w:r>
          </w:p>
        </w:tc>
      </w:tr>
      <w:tr w:rsidR="000032EA" w:rsidRPr="0016789A" w14:paraId="00A31024" w14:textId="77777777" w:rsidTr="0016789A">
        <w:tc>
          <w:tcPr>
            <w:tcW w:w="2685" w:type="dxa"/>
          </w:tcPr>
          <w:p w14:paraId="5E873651" w14:textId="0AAEF72B" w:rsidR="000032EA" w:rsidRPr="0016789A" w:rsidRDefault="000032EA" w:rsidP="000032EA">
            <w:pPr>
              <w:pStyle w:val="Paragraphtable"/>
              <w:rPr>
                <w:rFonts w:cs="Arial"/>
                <w:b/>
                <w:bCs w:val="0"/>
                <w:sz w:val="22"/>
              </w:rPr>
            </w:pPr>
            <w:r w:rsidRPr="0016789A">
              <w:rPr>
                <w:rFonts w:cs="Arial"/>
                <w:b/>
                <w:bCs w:val="0"/>
                <w:sz w:val="22"/>
              </w:rPr>
              <w:t>IRC</w:t>
            </w:r>
          </w:p>
        </w:tc>
        <w:tc>
          <w:tcPr>
            <w:tcW w:w="7089" w:type="dxa"/>
          </w:tcPr>
          <w:p w14:paraId="043BAE86" w14:textId="754CE80A" w:rsidR="000032EA" w:rsidRPr="0016789A" w:rsidRDefault="000032EA" w:rsidP="004035AC">
            <w:pPr>
              <w:spacing w:after="40" w:line="240" w:lineRule="auto"/>
              <w:contextualSpacing w:val="0"/>
              <w:rPr>
                <w:rFonts w:asciiTheme="minorHAnsi" w:hAnsiTheme="minorHAnsi" w:cs="Arial"/>
                <w:color w:val="000000"/>
                <w:szCs w:val="22"/>
              </w:rPr>
            </w:pPr>
            <w:r w:rsidRPr="0016789A">
              <w:rPr>
                <w:rFonts w:asciiTheme="minorHAnsi" w:hAnsiTheme="minorHAnsi" w:cs="Arial"/>
                <w:color w:val="000000"/>
                <w:szCs w:val="22"/>
              </w:rPr>
              <w:t>Industrial Relations Commission of NSW</w:t>
            </w:r>
          </w:p>
        </w:tc>
      </w:tr>
      <w:tr w:rsidR="000032EA" w:rsidRPr="0016789A" w14:paraId="4986C779" w14:textId="77777777" w:rsidTr="0016789A">
        <w:tc>
          <w:tcPr>
            <w:tcW w:w="2685" w:type="dxa"/>
          </w:tcPr>
          <w:p w14:paraId="0D2F47BD" w14:textId="529F54E2" w:rsidR="000032EA" w:rsidRPr="0016789A" w:rsidRDefault="000032EA" w:rsidP="000032EA">
            <w:pPr>
              <w:pStyle w:val="Paragraphtable"/>
              <w:rPr>
                <w:rFonts w:cs="Arial"/>
                <w:b/>
                <w:bCs w:val="0"/>
                <w:sz w:val="22"/>
              </w:rPr>
            </w:pPr>
            <w:r w:rsidRPr="0016789A">
              <w:rPr>
                <w:rFonts w:cs="Arial"/>
                <w:b/>
                <w:bCs w:val="0"/>
                <w:sz w:val="22"/>
              </w:rPr>
              <w:t>ISO</w:t>
            </w:r>
          </w:p>
        </w:tc>
        <w:tc>
          <w:tcPr>
            <w:tcW w:w="7089" w:type="dxa"/>
          </w:tcPr>
          <w:p w14:paraId="69DFCB4A" w14:textId="45883978" w:rsidR="000032EA" w:rsidRPr="0016789A" w:rsidRDefault="000032EA" w:rsidP="004035AC">
            <w:pPr>
              <w:spacing w:after="40" w:line="240" w:lineRule="auto"/>
              <w:contextualSpacing w:val="0"/>
              <w:rPr>
                <w:rFonts w:asciiTheme="minorHAnsi" w:hAnsiTheme="minorHAnsi" w:cs="Arial"/>
                <w:color w:val="000000"/>
                <w:szCs w:val="22"/>
              </w:rPr>
            </w:pPr>
            <w:r w:rsidRPr="0016789A">
              <w:rPr>
                <w:rFonts w:asciiTheme="minorHAnsi" w:hAnsiTheme="minorHAnsi" w:cs="Arial"/>
                <w:color w:val="000000"/>
                <w:szCs w:val="22"/>
              </w:rPr>
              <w:t>The International Organization for Standardization is an independent, non-governmental, international standard development organisation.</w:t>
            </w:r>
          </w:p>
        </w:tc>
      </w:tr>
      <w:tr w:rsidR="000032EA" w:rsidRPr="0016789A" w14:paraId="621FCF34" w14:textId="77777777" w:rsidTr="0016789A">
        <w:tc>
          <w:tcPr>
            <w:tcW w:w="2685" w:type="dxa"/>
          </w:tcPr>
          <w:p w14:paraId="6777589D" w14:textId="795CEDAE" w:rsidR="000032EA" w:rsidRPr="0016789A" w:rsidRDefault="000032EA" w:rsidP="000032EA">
            <w:pPr>
              <w:pStyle w:val="Paragraphtable"/>
              <w:rPr>
                <w:rFonts w:cs="Arial"/>
                <w:b/>
                <w:bCs w:val="0"/>
                <w:sz w:val="22"/>
              </w:rPr>
            </w:pPr>
            <w:r w:rsidRPr="0016789A">
              <w:rPr>
                <w:rFonts w:cs="Arial"/>
                <w:b/>
                <w:bCs w:val="0"/>
                <w:sz w:val="22"/>
              </w:rPr>
              <w:t>Jurisdictional note</w:t>
            </w:r>
          </w:p>
        </w:tc>
        <w:tc>
          <w:tcPr>
            <w:tcW w:w="7089" w:type="dxa"/>
          </w:tcPr>
          <w:p w14:paraId="688F7246" w14:textId="7D172CB6" w:rsidR="000032EA" w:rsidRPr="0016789A" w:rsidRDefault="000032EA" w:rsidP="004035AC">
            <w:pPr>
              <w:spacing w:after="40" w:line="240" w:lineRule="auto"/>
              <w:contextualSpacing w:val="0"/>
              <w:rPr>
                <w:rFonts w:asciiTheme="minorHAnsi" w:hAnsiTheme="minorHAnsi" w:cs="Arial"/>
                <w:color w:val="000000"/>
                <w:szCs w:val="22"/>
              </w:rPr>
            </w:pPr>
            <w:r w:rsidRPr="0016789A">
              <w:rPr>
                <w:rFonts w:asciiTheme="minorHAnsi" w:hAnsiTheme="minorHAnsi" w:cs="Arial"/>
                <w:color w:val="000000"/>
                <w:szCs w:val="22"/>
              </w:rPr>
              <w:t xml:space="preserve">Jurisdictional notes provide further information on how the provisions in the model laws can be amended to suit the existing legislation and local mechanisms of jurisdictions. </w:t>
            </w:r>
          </w:p>
        </w:tc>
      </w:tr>
      <w:tr w:rsidR="000032EA" w:rsidRPr="0016789A" w14:paraId="64468860" w14:textId="77777777" w:rsidTr="0016789A">
        <w:tc>
          <w:tcPr>
            <w:tcW w:w="2685" w:type="dxa"/>
          </w:tcPr>
          <w:p w14:paraId="712C7451" w14:textId="00EAA970" w:rsidR="000032EA" w:rsidRPr="0016789A" w:rsidRDefault="000032EA" w:rsidP="000032EA">
            <w:pPr>
              <w:pStyle w:val="Paragraphtable"/>
              <w:rPr>
                <w:rFonts w:cs="Arial"/>
                <w:b/>
                <w:bCs w:val="0"/>
                <w:sz w:val="22"/>
              </w:rPr>
            </w:pPr>
            <w:r w:rsidRPr="0016789A">
              <w:rPr>
                <w:rFonts w:cs="Arial"/>
                <w:b/>
                <w:bCs w:val="0"/>
                <w:sz w:val="22"/>
              </w:rPr>
              <w:t xml:space="preserve">Jurisdictions </w:t>
            </w:r>
          </w:p>
        </w:tc>
        <w:tc>
          <w:tcPr>
            <w:tcW w:w="7089" w:type="dxa"/>
          </w:tcPr>
          <w:p w14:paraId="51772EAD" w14:textId="4572EA01" w:rsidR="000032EA" w:rsidRPr="0016789A" w:rsidRDefault="000032EA" w:rsidP="00D17747">
            <w:pPr>
              <w:spacing w:after="40" w:line="240" w:lineRule="auto"/>
              <w:contextualSpacing w:val="0"/>
              <w:rPr>
                <w:rFonts w:asciiTheme="minorHAnsi" w:hAnsiTheme="minorHAnsi" w:cs="Arial"/>
                <w:color w:val="000000"/>
                <w:szCs w:val="22"/>
              </w:rPr>
            </w:pPr>
            <w:r w:rsidRPr="0016789A">
              <w:rPr>
                <w:rFonts w:asciiTheme="minorHAnsi" w:hAnsiTheme="minorHAnsi" w:cs="Arial"/>
                <w:color w:val="000000"/>
                <w:szCs w:val="22"/>
              </w:rPr>
              <w:t xml:space="preserve">The jurisdictions refer to the states and territories, and some Commonwealth entities, that implement and regulate the WHS laws. The Commonwealth jurisdiction includes maritime and offshore matters, Australian Government employees and employees of self-insured organisations. </w:t>
            </w:r>
          </w:p>
        </w:tc>
      </w:tr>
      <w:tr w:rsidR="000032EA" w:rsidRPr="0016789A" w14:paraId="125C06E0" w14:textId="77777777" w:rsidTr="0016789A">
        <w:tc>
          <w:tcPr>
            <w:tcW w:w="2685" w:type="dxa"/>
          </w:tcPr>
          <w:p w14:paraId="05D73590" w14:textId="6F806F07" w:rsidR="000032EA" w:rsidRPr="0016789A" w:rsidRDefault="000032EA" w:rsidP="000032EA">
            <w:pPr>
              <w:pStyle w:val="Paragraphtable"/>
              <w:rPr>
                <w:rFonts w:cs="Arial"/>
                <w:b/>
                <w:bCs w:val="0"/>
                <w:sz w:val="22"/>
              </w:rPr>
            </w:pPr>
            <w:r w:rsidRPr="0016789A">
              <w:rPr>
                <w:rFonts w:cs="Arial"/>
                <w:b/>
                <w:bCs w:val="0"/>
                <w:sz w:val="22"/>
              </w:rPr>
              <w:t>KBDi</w:t>
            </w:r>
          </w:p>
        </w:tc>
        <w:tc>
          <w:tcPr>
            <w:tcW w:w="7089" w:type="dxa"/>
          </w:tcPr>
          <w:p w14:paraId="2C2E96CD" w14:textId="2D304D77" w:rsidR="000032EA" w:rsidRPr="0016789A" w:rsidRDefault="000032EA" w:rsidP="0016789A">
            <w:pPr>
              <w:spacing w:after="480" w:line="240" w:lineRule="auto"/>
              <w:contextualSpacing w:val="0"/>
              <w:rPr>
                <w:rFonts w:asciiTheme="minorHAnsi" w:hAnsiTheme="minorHAnsi" w:cs="Arial"/>
                <w:color w:val="000000"/>
                <w:szCs w:val="22"/>
              </w:rPr>
            </w:pPr>
            <w:r w:rsidRPr="0016789A">
              <w:rPr>
                <w:rFonts w:asciiTheme="minorHAnsi" w:hAnsiTheme="minorHAnsi"/>
                <w:szCs w:val="22"/>
              </w:rPr>
              <w:t>The Kitchen and Bathroom Designers Institute</w:t>
            </w:r>
          </w:p>
        </w:tc>
      </w:tr>
      <w:tr w:rsidR="000032EA" w:rsidRPr="0016789A" w14:paraId="516FEF07" w14:textId="77777777" w:rsidTr="0016789A">
        <w:tc>
          <w:tcPr>
            <w:tcW w:w="2685" w:type="dxa"/>
          </w:tcPr>
          <w:p w14:paraId="2AE34ABF" w14:textId="4E31AF31" w:rsidR="000032EA" w:rsidRPr="0016789A" w:rsidRDefault="000032EA" w:rsidP="000032EA">
            <w:pPr>
              <w:pStyle w:val="Paragraphtable"/>
              <w:rPr>
                <w:rFonts w:cs="Arial"/>
                <w:b/>
                <w:bCs w:val="0"/>
                <w:sz w:val="22"/>
              </w:rPr>
            </w:pPr>
            <w:r w:rsidRPr="0016789A">
              <w:rPr>
                <w:rFonts w:cs="Arial"/>
                <w:b/>
                <w:bCs w:val="0"/>
                <w:sz w:val="22"/>
              </w:rPr>
              <w:t xml:space="preserve">Limitation period / statute of limitations </w:t>
            </w:r>
          </w:p>
        </w:tc>
        <w:tc>
          <w:tcPr>
            <w:tcW w:w="7089" w:type="dxa"/>
          </w:tcPr>
          <w:p w14:paraId="6CB75CCC" w14:textId="631AC7DC" w:rsidR="000032EA" w:rsidRPr="0016789A" w:rsidRDefault="000032EA" w:rsidP="00D17747">
            <w:pPr>
              <w:spacing w:after="40" w:line="240" w:lineRule="auto"/>
              <w:contextualSpacing w:val="0"/>
              <w:rPr>
                <w:rFonts w:asciiTheme="minorHAnsi" w:hAnsiTheme="minorHAnsi"/>
                <w:szCs w:val="22"/>
              </w:rPr>
            </w:pPr>
            <w:r w:rsidRPr="0016789A">
              <w:rPr>
                <w:rFonts w:asciiTheme="minorHAnsi" w:hAnsiTheme="minorHAnsi" w:cs="Arial"/>
                <w:color w:val="000000"/>
                <w:szCs w:val="22"/>
              </w:rPr>
              <w:t xml:space="preserve">This is the maximum amount of time permitted for a regulator to bring a prosecution proceeding. In the model laws, proceedings must be brought within 2 years after the offence first came to the regulator’s attention, within one year after a finding in a coronial or other official inquiry or within 6 months of a WHS undertaking being contravened or withdrawn by the regulator. </w:t>
            </w:r>
          </w:p>
        </w:tc>
      </w:tr>
      <w:tr w:rsidR="000032EA" w:rsidRPr="0016789A" w14:paraId="3A31ADD0" w14:textId="77777777" w:rsidTr="0016789A">
        <w:tc>
          <w:tcPr>
            <w:tcW w:w="2685" w:type="dxa"/>
          </w:tcPr>
          <w:p w14:paraId="0050AB87" w14:textId="1EE5D14B" w:rsidR="000032EA" w:rsidRPr="0016789A" w:rsidRDefault="000032EA" w:rsidP="000032EA">
            <w:pPr>
              <w:pStyle w:val="Paragraphtable"/>
              <w:rPr>
                <w:rFonts w:cs="Arial"/>
                <w:b/>
                <w:bCs w:val="0"/>
                <w:sz w:val="22"/>
              </w:rPr>
            </w:pPr>
            <w:r w:rsidRPr="0016789A">
              <w:rPr>
                <w:rFonts w:cs="Arial"/>
                <w:b/>
                <w:bCs w:val="0"/>
                <w:sz w:val="22"/>
              </w:rPr>
              <w:t>LGBTQIA+</w:t>
            </w:r>
          </w:p>
        </w:tc>
        <w:tc>
          <w:tcPr>
            <w:tcW w:w="7089" w:type="dxa"/>
          </w:tcPr>
          <w:p w14:paraId="31D10175" w14:textId="719ADDB8" w:rsidR="000032EA" w:rsidRPr="0016789A" w:rsidRDefault="000032EA" w:rsidP="00D17747">
            <w:pPr>
              <w:spacing w:after="40" w:line="240" w:lineRule="auto"/>
              <w:contextualSpacing w:val="0"/>
              <w:rPr>
                <w:rFonts w:asciiTheme="minorHAnsi" w:hAnsiTheme="minorHAnsi" w:cs="Arial"/>
                <w:color w:val="000000"/>
                <w:szCs w:val="22"/>
              </w:rPr>
            </w:pPr>
            <w:r w:rsidRPr="0016789A">
              <w:rPr>
                <w:rFonts w:asciiTheme="minorHAnsi" w:hAnsiTheme="minorHAnsi" w:cs="Arial"/>
                <w:color w:val="000000"/>
                <w:szCs w:val="22"/>
              </w:rPr>
              <w:t>Lesbian, gay, bisexual, transgender, queer, intersex, asexual and other sexually or gender diverse people</w:t>
            </w:r>
          </w:p>
        </w:tc>
      </w:tr>
      <w:tr w:rsidR="000032EA" w:rsidRPr="0016789A" w14:paraId="77E5B5C0" w14:textId="77777777" w:rsidTr="0016789A">
        <w:tc>
          <w:tcPr>
            <w:tcW w:w="2685" w:type="dxa"/>
          </w:tcPr>
          <w:p w14:paraId="76ECD7F4" w14:textId="427A8DFF" w:rsidR="000032EA" w:rsidRPr="0016789A" w:rsidRDefault="000032EA" w:rsidP="000032EA">
            <w:pPr>
              <w:pStyle w:val="Paragraphtable"/>
              <w:rPr>
                <w:rFonts w:cs="Arial"/>
                <w:b/>
                <w:bCs w:val="0"/>
                <w:sz w:val="22"/>
              </w:rPr>
            </w:pPr>
            <w:r w:rsidRPr="0016789A">
              <w:rPr>
                <w:rFonts w:cs="Arial"/>
                <w:b/>
                <w:bCs w:val="0"/>
                <w:sz w:val="22"/>
              </w:rPr>
              <w:t xml:space="preserve">Long latency diseases </w:t>
            </w:r>
          </w:p>
        </w:tc>
        <w:tc>
          <w:tcPr>
            <w:tcW w:w="7089" w:type="dxa"/>
          </w:tcPr>
          <w:p w14:paraId="77259583" w14:textId="5DCC7732" w:rsidR="000032EA" w:rsidRPr="0016789A" w:rsidRDefault="000032EA" w:rsidP="00D17747">
            <w:pPr>
              <w:spacing w:after="40" w:line="240" w:lineRule="auto"/>
              <w:contextualSpacing w:val="0"/>
              <w:rPr>
                <w:rFonts w:asciiTheme="minorHAnsi" w:hAnsiTheme="minorHAnsi" w:cs="Arial"/>
                <w:color w:val="000000"/>
                <w:szCs w:val="22"/>
              </w:rPr>
            </w:pPr>
            <w:r w:rsidRPr="0016789A">
              <w:rPr>
                <w:rFonts w:asciiTheme="minorHAnsi" w:hAnsiTheme="minorHAnsi" w:cs="Arial"/>
                <w:color w:val="000000"/>
                <w:szCs w:val="22"/>
              </w:rPr>
              <w:t xml:space="preserve">These are diseases that develop slowly </w:t>
            </w:r>
            <w:r w:rsidR="00A713D2">
              <w:rPr>
                <w:rFonts w:asciiTheme="minorHAnsi" w:eastAsia="Symbol" w:hAnsiTheme="minorHAnsi" w:cs="Symbol"/>
                <w:color w:val="000000"/>
                <w:szCs w:val="22"/>
              </w:rPr>
              <w:t>-</w:t>
            </w:r>
            <w:r w:rsidRPr="0016789A">
              <w:rPr>
                <w:rFonts w:asciiTheme="minorHAnsi" w:hAnsiTheme="minorHAnsi" w:cs="Arial"/>
                <w:color w:val="000000"/>
                <w:szCs w:val="22"/>
              </w:rPr>
              <w:t xml:space="preserve"> for example, some cancers associated with asbestos may not have </w:t>
            </w:r>
            <w:r w:rsidRPr="004E7884">
              <w:rPr>
                <w:rFonts w:asciiTheme="minorHAnsi" w:hAnsiTheme="minorHAnsi" w:cs="Arial"/>
                <w:color w:val="000000"/>
                <w:szCs w:val="22"/>
              </w:rPr>
              <w:t xml:space="preserve">symptoms </w:t>
            </w:r>
            <w:r w:rsidR="00A713D2" w:rsidRPr="004E7884">
              <w:rPr>
                <w:rFonts w:asciiTheme="minorHAnsi" w:hAnsiTheme="minorHAnsi" w:cs="Arial"/>
                <w:color w:val="000000"/>
                <w:szCs w:val="22"/>
              </w:rPr>
              <w:t xml:space="preserve">until </w:t>
            </w:r>
            <w:r w:rsidRPr="004E7884">
              <w:rPr>
                <w:rFonts w:asciiTheme="minorHAnsi" w:hAnsiTheme="minorHAnsi" w:cs="Arial"/>
                <w:color w:val="000000"/>
                <w:szCs w:val="22"/>
              </w:rPr>
              <w:t>20</w:t>
            </w:r>
            <w:r w:rsidR="00A713D2" w:rsidRPr="004E7884">
              <w:rPr>
                <w:rFonts w:asciiTheme="minorHAnsi" w:eastAsia="Symbol" w:hAnsiTheme="minorHAnsi" w:cs="Symbol"/>
                <w:color w:val="000000"/>
                <w:szCs w:val="22"/>
              </w:rPr>
              <w:t xml:space="preserve"> to </w:t>
            </w:r>
            <w:r w:rsidRPr="004E7884">
              <w:rPr>
                <w:rFonts w:asciiTheme="minorHAnsi" w:hAnsiTheme="minorHAnsi" w:cs="Arial"/>
                <w:color w:val="000000"/>
                <w:szCs w:val="22"/>
              </w:rPr>
              <w:t>30 years</w:t>
            </w:r>
            <w:r w:rsidRPr="0016789A">
              <w:rPr>
                <w:rFonts w:asciiTheme="minorHAnsi" w:hAnsiTheme="minorHAnsi" w:cs="Arial"/>
                <w:color w:val="000000"/>
                <w:szCs w:val="22"/>
              </w:rPr>
              <w:t xml:space="preserve"> after exposure.</w:t>
            </w:r>
          </w:p>
        </w:tc>
      </w:tr>
      <w:tr w:rsidR="000032EA" w:rsidRPr="0016789A" w14:paraId="2C7FB164" w14:textId="77777777" w:rsidTr="0016789A">
        <w:tc>
          <w:tcPr>
            <w:tcW w:w="2685" w:type="dxa"/>
          </w:tcPr>
          <w:p w14:paraId="5D840CDD" w14:textId="39C51A8D" w:rsidR="000032EA" w:rsidRPr="0016789A" w:rsidRDefault="000032EA" w:rsidP="000032EA">
            <w:pPr>
              <w:pStyle w:val="Paragraphtable"/>
              <w:rPr>
                <w:rFonts w:cs="Arial"/>
                <w:b/>
                <w:bCs w:val="0"/>
                <w:sz w:val="22"/>
              </w:rPr>
            </w:pPr>
            <w:r w:rsidRPr="0016789A">
              <w:rPr>
                <w:rFonts w:cs="Arial"/>
                <w:b/>
                <w:bCs w:val="0"/>
                <w:sz w:val="22"/>
              </w:rPr>
              <w:t xml:space="preserve">Marine Safety National </w:t>
            </w:r>
            <w:r w:rsidRPr="0016789A">
              <w:rPr>
                <w:rFonts w:cs="Arial"/>
                <w:b/>
                <w:bCs w:val="0"/>
                <w:sz w:val="22"/>
              </w:rPr>
              <w:lastRenderedPageBreak/>
              <w:t>Law Act</w:t>
            </w:r>
          </w:p>
        </w:tc>
        <w:tc>
          <w:tcPr>
            <w:tcW w:w="7089" w:type="dxa"/>
          </w:tcPr>
          <w:p w14:paraId="2DEE5D57" w14:textId="5998692A" w:rsidR="000032EA" w:rsidRPr="0016789A" w:rsidRDefault="000032EA" w:rsidP="00D17747">
            <w:pPr>
              <w:spacing w:after="40" w:line="240" w:lineRule="auto"/>
              <w:contextualSpacing w:val="0"/>
              <w:rPr>
                <w:rFonts w:asciiTheme="minorHAnsi" w:hAnsiTheme="minorHAnsi" w:cs="Arial"/>
                <w:color w:val="000000"/>
                <w:szCs w:val="22"/>
              </w:rPr>
            </w:pPr>
            <w:r w:rsidRPr="0016789A">
              <w:rPr>
                <w:rFonts w:asciiTheme="minorHAnsi" w:hAnsiTheme="minorHAnsi"/>
                <w:i/>
                <w:szCs w:val="22"/>
              </w:rPr>
              <w:lastRenderedPageBreak/>
              <w:t>Marine Safety (Domestic Commercial Vessel) National Law Act 2012</w:t>
            </w:r>
          </w:p>
        </w:tc>
      </w:tr>
      <w:tr w:rsidR="000032EA" w:rsidRPr="0016789A" w14:paraId="3BAB15AF" w14:textId="77777777" w:rsidTr="0016789A">
        <w:tc>
          <w:tcPr>
            <w:tcW w:w="2685" w:type="dxa"/>
          </w:tcPr>
          <w:p w14:paraId="240B925F" w14:textId="2D6BA6ED" w:rsidR="000032EA" w:rsidRPr="0016789A" w:rsidRDefault="000032EA" w:rsidP="000032EA">
            <w:pPr>
              <w:pStyle w:val="Paragraphtable"/>
              <w:rPr>
                <w:rFonts w:cs="Arial"/>
                <w:b/>
                <w:bCs w:val="0"/>
                <w:sz w:val="22"/>
              </w:rPr>
            </w:pPr>
            <w:r w:rsidRPr="0016789A">
              <w:rPr>
                <w:rFonts w:cs="Arial"/>
                <w:b/>
                <w:bCs w:val="0"/>
                <w:sz w:val="22"/>
              </w:rPr>
              <w:t>Maxwell Review</w:t>
            </w:r>
          </w:p>
        </w:tc>
        <w:tc>
          <w:tcPr>
            <w:tcW w:w="7089" w:type="dxa"/>
          </w:tcPr>
          <w:p w14:paraId="6AFB0992" w14:textId="15EFAF76" w:rsidR="000032EA" w:rsidRPr="0016789A" w:rsidRDefault="000032EA" w:rsidP="00D17747">
            <w:pPr>
              <w:spacing w:after="40" w:line="240" w:lineRule="auto"/>
              <w:contextualSpacing w:val="0"/>
              <w:rPr>
                <w:rFonts w:asciiTheme="minorHAnsi" w:hAnsiTheme="minorHAnsi"/>
                <w:i/>
                <w:szCs w:val="22"/>
              </w:rPr>
            </w:pPr>
            <w:r w:rsidRPr="0016789A">
              <w:rPr>
                <w:rFonts w:asciiTheme="minorHAnsi" w:hAnsiTheme="minorHAnsi" w:cs="Arial"/>
                <w:i/>
                <w:iCs/>
                <w:color w:val="000000"/>
                <w:szCs w:val="22"/>
              </w:rPr>
              <w:t>Occupational Health and Safety Act Review</w:t>
            </w:r>
            <w:r w:rsidRPr="0016789A">
              <w:rPr>
                <w:rFonts w:asciiTheme="minorHAnsi" w:hAnsiTheme="minorHAnsi" w:cs="Arial"/>
                <w:color w:val="000000"/>
                <w:szCs w:val="22"/>
              </w:rPr>
              <w:t xml:space="preserve"> (2004)</w:t>
            </w:r>
          </w:p>
        </w:tc>
      </w:tr>
      <w:tr w:rsidR="000032EA" w:rsidRPr="0016789A" w14:paraId="4668AACB" w14:textId="77777777" w:rsidTr="0016789A">
        <w:tc>
          <w:tcPr>
            <w:tcW w:w="2685" w:type="dxa"/>
          </w:tcPr>
          <w:p w14:paraId="1401D0D2" w14:textId="386D19F1" w:rsidR="000032EA" w:rsidRPr="0016789A" w:rsidRDefault="000032EA" w:rsidP="000032EA">
            <w:pPr>
              <w:pStyle w:val="Paragraphtable"/>
              <w:rPr>
                <w:rFonts w:cs="Arial"/>
                <w:b/>
                <w:bCs w:val="0"/>
                <w:sz w:val="22"/>
              </w:rPr>
            </w:pPr>
            <w:r w:rsidRPr="0016789A">
              <w:rPr>
                <w:rFonts w:cs="Arial"/>
                <w:b/>
                <w:bCs w:val="0"/>
                <w:sz w:val="22"/>
              </w:rPr>
              <w:t>MBA</w:t>
            </w:r>
          </w:p>
        </w:tc>
        <w:tc>
          <w:tcPr>
            <w:tcW w:w="7089" w:type="dxa"/>
          </w:tcPr>
          <w:p w14:paraId="24B4C7FB" w14:textId="4C89177B" w:rsidR="000032EA" w:rsidRPr="0016789A" w:rsidRDefault="000032EA" w:rsidP="00D17747">
            <w:pPr>
              <w:spacing w:after="40" w:line="240" w:lineRule="auto"/>
              <w:contextualSpacing w:val="0"/>
              <w:rPr>
                <w:rFonts w:asciiTheme="minorHAnsi" w:hAnsiTheme="minorHAnsi" w:cs="Arial"/>
                <w:color w:val="000000"/>
                <w:szCs w:val="22"/>
              </w:rPr>
            </w:pPr>
            <w:r w:rsidRPr="0016789A">
              <w:rPr>
                <w:rFonts w:asciiTheme="minorHAnsi" w:hAnsiTheme="minorHAnsi" w:cs="Arial"/>
                <w:szCs w:val="22"/>
              </w:rPr>
              <w:t xml:space="preserve">Master Builders Australia </w:t>
            </w:r>
          </w:p>
        </w:tc>
      </w:tr>
      <w:tr w:rsidR="000032EA" w:rsidRPr="0016789A" w14:paraId="086C8BBD" w14:textId="77777777" w:rsidTr="0016789A">
        <w:tc>
          <w:tcPr>
            <w:tcW w:w="2685" w:type="dxa"/>
          </w:tcPr>
          <w:p w14:paraId="3512F790" w14:textId="473994DF" w:rsidR="000032EA" w:rsidRPr="0016789A" w:rsidRDefault="000032EA" w:rsidP="000032EA">
            <w:pPr>
              <w:pStyle w:val="Paragraphtable"/>
              <w:rPr>
                <w:rFonts w:cs="Arial"/>
                <w:b/>
                <w:bCs w:val="0"/>
                <w:sz w:val="22"/>
              </w:rPr>
            </w:pPr>
            <w:r w:rsidRPr="0016789A">
              <w:rPr>
                <w:rFonts w:cs="Arial"/>
                <w:b/>
                <w:bCs w:val="0"/>
                <w:sz w:val="22"/>
              </w:rPr>
              <w:t>MCA</w:t>
            </w:r>
          </w:p>
        </w:tc>
        <w:tc>
          <w:tcPr>
            <w:tcW w:w="7089" w:type="dxa"/>
          </w:tcPr>
          <w:p w14:paraId="33B02AF3" w14:textId="0711063B" w:rsidR="000032EA" w:rsidRPr="0016789A" w:rsidRDefault="000032EA" w:rsidP="00D17747">
            <w:pPr>
              <w:spacing w:after="40" w:line="240" w:lineRule="auto"/>
              <w:contextualSpacing w:val="0"/>
              <w:rPr>
                <w:rFonts w:asciiTheme="minorHAnsi" w:hAnsiTheme="minorHAnsi" w:cs="Arial"/>
                <w:szCs w:val="22"/>
              </w:rPr>
            </w:pPr>
            <w:r w:rsidRPr="0016789A">
              <w:rPr>
                <w:rFonts w:asciiTheme="minorHAnsi" w:hAnsiTheme="minorHAnsi" w:cs="Arial"/>
                <w:szCs w:val="22"/>
              </w:rPr>
              <w:t>Minerals Council of Australia</w:t>
            </w:r>
          </w:p>
        </w:tc>
      </w:tr>
      <w:tr w:rsidR="000032EA" w:rsidRPr="0016789A" w14:paraId="62D21919" w14:textId="77777777" w:rsidTr="0016789A">
        <w:tc>
          <w:tcPr>
            <w:tcW w:w="2685" w:type="dxa"/>
          </w:tcPr>
          <w:p w14:paraId="58ABC0C3" w14:textId="3119C021" w:rsidR="000032EA" w:rsidRPr="0016789A" w:rsidRDefault="000032EA" w:rsidP="000032EA">
            <w:pPr>
              <w:pStyle w:val="Paragraphtable"/>
              <w:rPr>
                <w:rFonts w:cs="Arial"/>
                <w:b/>
                <w:bCs w:val="0"/>
                <w:sz w:val="22"/>
              </w:rPr>
            </w:pPr>
            <w:r w:rsidRPr="0016789A">
              <w:rPr>
                <w:rFonts w:cs="Arial"/>
                <w:b/>
                <w:bCs w:val="0"/>
                <w:sz w:val="22"/>
              </w:rPr>
              <w:t>MHF</w:t>
            </w:r>
          </w:p>
        </w:tc>
        <w:tc>
          <w:tcPr>
            <w:tcW w:w="7089" w:type="dxa"/>
          </w:tcPr>
          <w:p w14:paraId="500ECCC2" w14:textId="43EC88FB" w:rsidR="000032EA" w:rsidRPr="0016789A" w:rsidRDefault="000032EA" w:rsidP="00D17747">
            <w:pPr>
              <w:spacing w:after="40" w:line="240" w:lineRule="auto"/>
              <w:contextualSpacing w:val="0"/>
              <w:rPr>
                <w:rFonts w:asciiTheme="minorHAnsi" w:hAnsiTheme="minorHAnsi" w:cs="Arial"/>
                <w:szCs w:val="22"/>
              </w:rPr>
            </w:pPr>
            <w:r w:rsidRPr="0016789A">
              <w:rPr>
                <w:rFonts w:asciiTheme="minorHAnsi" w:hAnsiTheme="minorHAnsi" w:cs="Arial"/>
                <w:color w:val="000000"/>
                <w:szCs w:val="22"/>
              </w:rPr>
              <w:t>Major hazard facility</w:t>
            </w:r>
          </w:p>
        </w:tc>
      </w:tr>
      <w:tr w:rsidR="000032EA" w:rsidRPr="0016789A" w14:paraId="14F329D4" w14:textId="77777777" w:rsidTr="0016789A">
        <w:tc>
          <w:tcPr>
            <w:tcW w:w="2685" w:type="dxa"/>
          </w:tcPr>
          <w:p w14:paraId="2971AF0A" w14:textId="4F986A14" w:rsidR="000032EA" w:rsidRPr="0016789A" w:rsidRDefault="000032EA" w:rsidP="000032EA">
            <w:pPr>
              <w:pStyle w:val="Paragraphtable"/>
              <w:rPr>
                <w:rFonts w:cs="Arial"/>
                <w:b/>
                <w:bCs w:val="0"/>
                <w:sz w:val="22"/>
              </w:rPr>
            </w:pPr>
            <w:r w:rsidRPr="0016789A">
              <w:rPr>
                <w:rFonts w:cs="Arial"/>
                <w:b/>
                <w:bCs w:val="0"/>
                <w:sz w:val="22"/>
              </w:rPr>
              <w:t>Model Codes</w:t>
            </w:r>
          </w:p>
        </w:tc>
        <w:tc>
          <w:tcPr>
            <w:tcW w:w="7089" w:type="dxa"/>
          </w:tcPr>
          <w:p w14:paraId="0954CAC2" w14:textId="0CF5B3D1" w:rsidR="000032EA" w:rsidRPr="0016789A" w:rsidRDefault="000032EA" w:rsidP="00D17747">
            <w:pPr>
              <w:spacing w:after="40" w:line="240" w:lineRule="auto"/>
              <w:contextualSpacing w:val="0"/>
              <w:rPr>
                <w:rFonts w:asciiTheme="minorHAnsi" w:hAnsiTheme="minorHAnsi" w:cs="Arial"/>
                <w:color w:val="000000"/>
                <w:szCs w:val="22"/>
              </w:rPr>
            </w:pPr>
            <w:r w:rsidRPr="0016789A">
              <w:rPr>
                <w:rFonts w:asciiTheme="minorHAnsi" w:hAnsiTheme="minorHAnsi" w:cs="Arial"/>
                <w:color w:val="000000"/>
                <w:szCs w:val="22"/>
              </w:rPr>
              <w:t>Model Codes of Practice are practical guides to achieving the standards of health and safety required under the model WHS laws and identifying and managing risks. Under the model WHS Act, courts may regard a Code of Practice as evidence of what is known about a hazard or risk, risk assessment or risk control (s 275(3)(a) of the model WHS Act) and may rely on the Code of Practice in determining what is reasonably practicable in the circumstances to which the Code relates (s 275(3)(b) of the model WHS Act).</w:t>
            </w:r>
          </w:p>
        </w:tc>
      </w:tr>
      <w:tr w:rsidR="000032EA" w:rsidRPr="0016789A" w14:paraId="7DBEA37F" w14:textId="77777777" w:rsidTr="0016789A">
        <w:tc>
          <w:tcPr>
            <w:tcW w:w="2685" w:type="dxa"/>
          </w:tcPr>
          <w:p w14:paraId="01A3AA8F" w14:textId="15934171" w:rsidR="000032EA" w:rsidRPr="0016789A" w:rsidRDefault="000032EA" w:rsidP="000032EA">
            <w:pPr>
              <w:pStyle w:val="Paragraphtable"/>
              <w:rPr>
                <w:rFonts w:cs="Arial"/>
                <w:b/>
                <w:bCs w:val="0"/>
                <w:sz w:val="22"/>
              </w:rPr>
            </w:pPr>
            <w:r w:rsidRPr="0016789A">
              <w:rPr>
                <w:rFonts w:cs="Arial"/>
                <w:b/>
                <w:bCs w:val="0"/>
                <w:sz w:val="22"/>
              </w:rPr>
              <w:t>Model WHS Act</w:t>
            </w:r>
          </w:p>
        </w:tc>
        <w:tc>
          <w:tcPr>
            <w:tcW w:w="7089" w:type="dxa"/>
          </w:tcPr>
          <w:p w14:paraId="7ED2F2EE" w14:textId="4D423ABB" w:rsidR="000032EA" w:rsidRPr="0016789A" w:rsidRDefault="000032EA" w:rsidP="00D17747">
            <w:pPr>
              <w:spacing w:after="40" w:line="240" w:lineRule="auto"/>
              <w:contextualSpacing w:val="0"/>
              <w:rPr>
                <w:rFonts w:asciiTheme="minorHAnsi" w:hAnsiTheme="minorHAnsi" w:cs="Arial"/>
                <w:color w:val="000000"/>
                <w:szCs w:val="22"/>
              </w:rPr>
            </w:pPr>
            <w:r w:rsidRPr="0016789A">
              <w:rPr>
                <w:rFonts w:asciiTheme="minorHAnsi" w:hAnsiTheme="minorHAnsi" w:cs="Arial"/>
                <w:color w:val="000000"/>
                <w:szCs w:val="22"/>
              </w:rPr>
              <w:t>The model WHS Act refers to the model Work Health and Safety Bill. It forms the basis of the WHS Acts that have been implemented in all jurisdictions across Australia, except Victoria.</w:t>
            </w:r>
          </w:p>
        </w:tc>
      </w:tr>
      <w:tr w:rsidR="000032EA" w:rsidRPr="0016789A" w14:paraId="6740FB2F" w14:textId="77777777" w:rsidTr="0016789A">
        <w:tc>
          <w:tcPr>
            <w:tcW w:w="2685" w:type="dxa"/>
          </w:tcPr>
          <w:p w14:paraId="774AE442" w14:textId="42F12BD1" w:rsidR="000032EA" w:rsidRPr="0016789A" w:rsidRDefault="000032EA" w:rsidP="000032EA">
            <w:pPr>
              <w:pStyle w:val="Paragraphtable"/>
              <w:rPr>
                <w:rFonts w:cs="Arial"/>
                <w:b/>
                <w:bCs w:val="0"/>
                <w:sz w:val="22"/>
              </w:rPr>
            </w:pPr>
            <w:r w:rsidRPr="0016789A">
              <w:rPr>
                <w:rFonts w:cs="Arial"/>
                <w:b/>
                <w:bCs w:val="0"/>
                <w:sz w:val="22"/>
              </w:rPr>
              <w:t>Model WHS laws</w:t>
            </w:r>
          </w:p>
        </w:tc>
        <w:tc>
          <w:tcPr>
            <w:tcW w:w="7089" w:type="dxa"/>
          </w:tcPr>
          <w:p w14:paraId="0F23B0C4" w14:textId="392AC06D" w:rsidR="000032EA" w:rsidRPr="0016789A" w:rsidRDefault="000032EA" w:rsidP="00D17747">
            <w:pPr>
              <w:spacing w:after="40" w:line="240" w:lineRule="auto"/>
              <w:contextualSpacing w:val="0"/>
              <w:rPr>
                <w:rFonts w:asciiTheme="minorHAnsi" w:hAnsiTheme="minorHAnsi" w:cs="Arial"/>
                <w:color w:val="000000"/>
                <w:szCs w:val="22"/>
              </w:rPr>
            </w:pPr>
            <w:r w:rsidRPr="0016789A">
              <w:rPr>
                <w:rFonts w:asciiTheme="minorHAnsi" w:hAnsiTheme="minorHAnsi" w:cs="Arial"/>
                <w:color w:val="000000"/>
                <w:szCs w:val="22"/>
              </w:rPr>
              <w:t>The model WHS laws comprise the model WHS Act, model WHS Regulations, and model Codes of Practice.</w:t>
            </w:r>
          </w:p>
        </w:tc>
      </w:tr>
      <w:tr w:rsidR="000032EA" w:rsidRPr="0016789A" w14:paraId="44FF4B2F" w14:textId="77777777" w:rsidTr="0016789A">
        <w:tc>
          <w:tcPr>
            <w:tcW w:w="2685" w:type="dxa"/>
          </w:tcPr>
          <w:p w14:paraId="6AD51572" w14:textId="10F433BA" w:rsidR="000032EA" w:rsidRPr="0016789A" w:rsidRDefault="000032EA" w:rsidP="000032EA">
            <w:pPr>
              <w:pStyle w:val="Paragraphtable"/>
              <w:rPr>
                <w:rFonts w:cs="Arial"/>
                <w:b/>
                <w:bCs w:val="0"/>
                <w:sz w:val="22"/>
              </w:rPr>
            </w:pPr>
            <w:r w:rsidRPr="0016789A">
              <w:rPr>
                <w:rFonts w:cs="Arial"/>
                <w:b/>
                <w:bCs w:val="0"/>
                <w:sz w:val="22"/>
              </w:rPr>
              <w:t>Model WHS Regulations</w:t>
            </w:r>
          </w:p>
        </w:tc>
        <w:tc>
          <w:tcPr>
            <w:tcW w:w="7089" w:type="dxa"/>
          </w:tcPr>
          <w:p w14:paraId="0BA49BF2" w14:textId="03711E65" w:rsidR="000032EA" w:rsidRPr="0016789A" w:rsidRDefault="000032EA" w:rsidP="00D17747">
            <w:pPr>
              <w:spacing w:after="40" w:line="240" w:lineRule="auto"/>
              <w:contextualSpacing w:val="0"/>
              <w:rPr>
                <w:rFonts w:asciiTheme="minorHAnsi" w:hAnsiTheme="minorHAnsi" w:cs="Arial"/>
                <w:color w:val="000000"/>
                <w:szCs w:val="22"/>
              </w:rPr>
            </w:pPr>
            <w:r w:rsidRPr="0016789A">
              <w:rPr>
                <w:rFonts w:asciiTheme="minorHAnsi" w:hAnsiTheme="minorHAnsi" w:cs="Arial"/>
                <w:color w:val="000000"/>
                <w:szCs w:val="22"/>
              </w:rPr>
              <w:t>The model WHS Regulations form the basis of the WHS Regulations that have been implemented in all jurisdictions across Australia, except Victoria. They set out detailed requirements to support the duties in the model WHS Act.</w:t>
            </w:r>
          </w:p>
        </w:tc>
      </w:tr>
      <w:tr w:rsidR="000032EA" w:rsidRPr="0016789A" w14:paraId="43850AB0" w14:textId="77777777" w:rsidTr="0016789A">
        <w:tc>
          <w:tcPr>
            <w:tcW w:w="2685" w:type="dxa"/>
          </w:tcPr>
          <w:p w14:paraId="0AEA4999" w14:textId="61F7DC60" w:rsidR="000032EA" w:rsidRPr="0016789A" w:rsidRDefault="000032EA" w:rsidP="000032EA">
            <w:pPr>
              <w:pStyle w:val="Paragraphtable"/>
              <w:rPr>
                <w:rFonts w:cs="Arial"/>
                <w:b/>
                <w:bCs w:val="0"/>
                <w:sz w:val="22"/>
              </w:rPr>
            </w:pPr>
            <w:r w:rsidRPr="0016789A">
              <w:rPr>
                <w:rFonts w:cs="Arial"/>
                <w:b/>
                <w:bCs w:val="0"/>
                <w:sz w:val="22"/>
              </w:rPr>
              <w:t>MOU</w:t>
            </w:r>
          </w:p>
        </w:tc>
        <w:tc>
          <w:tcPr>
            <w:tcW w:w="7089" w:type="dxa"/>
          </w:tcPr>
          <w:p w14:paraId="591631E5" w14:textId="7CCE31ED" w:rsidR="000032EA" w:rsidRPr="0016789A" w:rsidRDefault="000032EA" w:rsidP="00D17747">
            <w:pPr>
              <w:spacing w:after="40" w:line="240" w:lineRule="auto"/>
              <w:contextualSpacing w:val="0"/>
              <w:rPr>
                <w:rFonts w:asciiTheme="minorHAnsi" w:hAnsiTheme="minorHAnsi" w:cs="Arial"/>
                <w:color w:val="000000"/>
                <w:szCs w:val="22"/>
              </w:rPr>
            </w:pPr>
            <w:r w:rsidRPr="0016789A">
              <w:rPr>
                <w:rFonts w:asciiTheme="minorHAnsi" w:hAnsiTheme="minorHAnsi" w:cs="Arial"/>
                <w:color w:val="000000"/>
                <w:szCs w:val="22"/>
              </w:rPr>
              <w:t>Memorandum of Understanding</w:t>
            </w:r>
          </w:p>
        </w:tc>
      </w:tr>
      <w:tr w:rsidR="000032EA" w:rsidRPr="0016789A" w14:paraId="3DEE801E" w14:textId="77777777" w:rsidTr="0016789A">
        <w:tc>
          <w:tcPr>
            <w:tcW w:w="2685" w:type="dxa"/>
          </w:tcPr>
          <w:p w14:paraId="0E8567FD" w14:textId="01B5DC7D" w:rsidR="000032EA" w:rsidRPr="0016789A" w:rsidRDefault="000032EA" w:rsidP="000032EA">
            <w:pPr>
              <w:pStyle w:val="Paragraphtable"/>
              <w:rPr>
                <w:rFonts w:cs="Arial"/>
                <w:b/>
                <w:bCs w:val="0"/>
                <w:sz w:val="22"/>
              </w:rPr>
            </w:pPr>
            <w:r w:rsidRPr="0016789A">
              <w:rPr>
                <w:rFonts w:cs="Arial"/>
                <w:b/>
                <w:bCs w:val="0"/>
                <w:sz w:val="22"/>
              </w:rPr>
              <w:t>Navigation Act</w:t>
            </w:r>
          </w:p>
        </w:tc>
        <w:tc>
          <w:tcPr>
            <w:tcW w:w="7089" w:type="dxa"/>
          </w:tcPr>
          <w:p w14:paraId="2EF31161" w14:textId="38D855DE" w:rsidR="000032EA" w:rsidRPr="0016789A" w:rsidRDefault="000032EA" w:rsidP="00D17747">
            <w:pPr>
              <w:spacing w:after="40" w:line="240" w:lineRule="auto"/>
              <w:contextualSpacing w:val="0"/>
              <w:rPr>
                <w:rFonts w:asciiTheme="minorHAnsi" w:hAnsiTheme="minorHAnsi" w:cs="Arial"/>
                <w:color w:val="000000"/>
                <w:szCs w:val="22"/>
              </w:rPr>
            </w:pPr>
            <w:r w:rsidRPr="0016789A">
              <w:rPr>
                <w:rFonts w:asciiTheme="minorHAnsi" w:hAnsiTheme="minorHAnsi" w:cs="Arial"/>
                <w:i/>
                <w:iCs/>
                <w:color w:val="000000"/>
                <w:szCs w:val="22"/>
              </w:rPr>
              <w:t>Navigation Act 2012</w:t>
            </w:r>
          </w:p>
        </w:tc>
      </w:tr>
      <w:tr w:rsidR="000032EA" w:rsidRPr="0016789A" w14:paraId="4B7178AD" w14:textId="77777777" w:rsidTr="0016789A">
        <w:tc>
          <w:tcPr>
            <w:tcW w:w="2685" w:type="dxa"/>
          </w:tcPr>
          <w:p w14:paraId="2CFAD4BF" w14:textId="5B2F5458" w:rsidR="000032EA" w:rsidRPr="0016789A" w:rsidRDefault="000032EA" w:rsidP="000032EA">
            <w:pPr>
              <w:pStyle w:val="Paragraphtable"/>
              <w:rPr>
                <w:rFonts w:cs="Arial"/>
                <w:b/>
                <w:bCs w:val="0"/>
                <w:sz w:val="22"/>
              </w:rPr>
            </w:pPr>
            <w:r w:rsidRPr="0016789A">
              <w:rPr>
                <w:rFonts w:cs="Arial"/>
                <w:b/>
                <w:bCs w:val="0"/>
                <w:sz w:val="22"/>
              </w:rPr>
              <w:t>NCEP</w:t>
            </w:r>
          </w:p>
        </w:tc>
        <w:tc>
          <w:tcPr>
            <w:tcW w:w="7089" w:type="dxa"/>
          </w:tcPr>
          <w:p w14:paraId="2DC075BC" w14:textId="41C3A975" w:rsidR="000032EA" w:rsidRPr="0016789A" w:rsidRDefault="000032EA" w:rsidP="00D17747">
            <w:pPr>
              <w:spacing w:after="40" w:line="240" w:lineRule="auto"/>
              <w:contextualSpacing w:val="0"/>
              <w:rPr>
                <w:rFonts w:asciiTheme="minorHAnsi" w:hAnsiTheme="minorHAnsi" w:cs="Arial"/>
                <w:i/>
                <w:iCs/>
                <w:color w:val="000000"/>
                <w:szCs w:val="22"/>
              </w:rPr>
            </w:pPr>
            <w:r w:rsidRPr="0016789A">
              <w:rPr>
                <w:rFonts w:asciiTheme="minorHAnsi" w:hAnsiTheme="minorHAnsi" w:cs="Arial"/>
                <w:color w:val="000000"/>
                <w:szCs w:val="22"/>
              </w:rPr>
              <w:t>National Compliance and Enforcement Policy</w:t>
            </w:r>
          </w:p>
        </w:tc>
      </w:tr>
      <w:tr w:rsidR="000032EA" w:rsidRPr="0016789A" w14:paraId="28A2B21F" w14:textId="77777777" w:rsidTr="0016789A">
        <w:tc>
          <w:tcPr>
            <w:tcW w:w="2685" w:type="dxa"/>
          </w:tcPr>
          <w:p w14:paraId="3C655377" w14:textId="04980A76" w:rsidR="000032EA" w:rsidRPr="0016789A" w:rsidRDefault="000032EA" w:rsidP="000032EA">
            <w:pPr>
              <w:pStyle w:val="Paragraphtable"/>
              <w:rPr>
                <w:rFonts w:cs="Arial"/>
                <w:b/>
                <w:bCs w:val="0"/>
                <w:sz w:val="22"/>
              </w:rPr>
            </w:pPr>
            <w:r w:rsidRPr="0016789A">
              <w:rPr>
                <w:rFonts w:cs="Arial"/>
                <w:b/>
                <w:bCs w:val="0"/>
                <w:sz w:val="22"/>
              </w:rPr>
              <w:t>NCIF</w:t>
            </w:r>
          </w:p>
        </w:tc>
        <w:tc>
          <w:tcPr>
            <w:tcW w:w="7089" w:type="dxa"/>
          </w:tcPr>
          <w:p w14:paraId="163FCCDB" w14:textId="57D5F103" w:rsidR="000032EA" w:rsidRPr="0016789A" w:rsidRDefault="000032EA" w:rsidP="00D17747">
            <w:pPr>
              <w:spacing w:after="40" w:line="240" w:lineRule="auto"/>
              <w:contextualSpacing w:val="0"/>
              <w:rPr>
                <w:rFonts w:asciiTheme="minorHAnsi" w:hAnsiTheme="minorHAnsi" w:cs="Arial"/>
                <w:color w:val="000000"/>
                <w:szCs w:val="22"/>
              </w:rPr>
            </w:pPr>
            <w:r w:rsidRPr="0016789A">
              <w:rPr>
                <w:rFonts w:asciiTheme="minorHAnsi" w:hAnsiTheme="minorHAnsi"/>
                <w:szCs w:val="22"/>
              </w:rPr>
              <w:t>National Construction Industry Forum</w:t>
            </w:r>
          </w:p>
        </w:tc>
      </w:tr>
      <w:tr w:rsidR="000032EA" w:rsidRPr="0016789A" w14:paraId="2E6F2C9D" w14:textId="77777777" w:rsidTr="0016789A">
        <w:tc>
          <w:tcPr>
            <w:tcW w:w="2685" w:type="dxa"/>
          </w:tcPr>
          <w:p w14:paraId="225F3D02" w14:textId="7A0F4CFC" w:rsidR="000032EA" w:rsidRPr="0016789A" w:rsidRDefault="000032EA" w:rsidP="000032EA">
            <w:pPr>
              <w:pStyle w:val="Paragraphtable"/>
              <w:rPr>
                <w:rFonts w:cs="Arial"/>
                <w:b/>
                <w:bCs w:val="0"/>
                <w:sz w:val="22"/>
              </w:rPr>
            </w:pPr>
            <w:r w:rsidRPr="0016789A">
              <w:rPr>
                <w:rFonts w:cs="Arial"/>
                <w:b/>
                <w:bCs w:val="0"/>
                <w:sz w:val="22"/>
              </w:rPr>
              <w:t>NDA</w:t>
            </w:r>
          </w:p>
        </w:tc>
        <w:tc>
          <w:tcPr>
            <w:tcW w:w="7089" w:type="dxa"/>
          </w:tcPr>
          <w:p w14:paraId="3AB43557" w14:textId="38096A77" w:rsidR="000032EA" w:rsidRPr="0016789A" w:rsidRDefault="000032EA" w:rsidP="00D17747">
            <w:pPr>
              <w:spacing w:after="40" w:line="240" w:lineRule="auto"/>
              <w:contextualSpacing w:val="0"/>
              <w:rPr>
                <w:rFonts w:asciiTheme="minorHAnsi" w:hAnsiTheme="minorHAnsi"/>
                <w:szCs w:val="22"/>
              </w:rPr>
            </w:pPr>
            <w:r w:rsidRPr="0016789A">
              <w:rPr>
                <w:rFonts w:asciiTheme="minorHAnsi" w:eastAsia="Arial" w:hAnsiTheme="minorHAnsi" w:cs="Arial"/>
                <w:color w:val="000000"/>
                <w:szCs w:val="22"/>
              </w:rPr>
              <w:t>Non-disclosure agreement</w:t>
            </w:r>
          </w:p>
        </w:tc>
      </w:tr>
      <w:tr w:rsidR="000032EA" w:rsidRPr="0016789A" w14:paraId="733BA81C" w14:textId="77777777" w:rsidTr="0016789A">
        <w:tc>
          <w:tcPr>
            <w:tcW w:w="2685" w:type="dxa"/>
          </w:tcPr>
          <w:p w14:paraId="6097BB20" w14:textId="52AD3DE5" w:rsidR="000032EA" w:rsidRPr="0016789A" w:rsidRDefault="000032EA" w:rsidP="000032EA">
            <w:pPr>
              <w:pStyle w:val="Paragraphtable"/>
              <w:rPr>
                <w:rFonts w:cs="Arial"/>
                <w:b/>
                <w:bCs w:val="0"/>
                <w:sz w:val="22"/>
              </w:rPr>
            </w:pPr>
            <w:r w:rsidRPr="0016789A">
              <w:rPr>
                <w:rFonts w:cs="Arial"/>
                <w:b/>
                <w:bCs w:val="0"/>
                <w:sz w:val="22"/>
              </w:rPr>
              <w:t>NFF</w:t>
            </w:r>
          </w:p>
        </w:tc>
        <w:tc>
          <w:tcPr>
            <w:tcW w:w="7089" w:type="dxa"/>
          </w:tcPr>
          <w:p w14:paraId="37F2A89F" w14:textId="5B2C609E" w:rsidR="000032EA" w:rsidRPr="0016789A" w:rsidRDefault="000032EA" w:rsidP="00D17747">
            <w:pPr>
              <w:spacing w:after="40" w:line="240" w:lineRule="auto"/>
              <w:contextualSpacing w:val="0"/>
              <w:rPr>
                <w:rFonts w:asciiTheme="minorHAnsi" w:eastAsia="Arial" w:hAnsiTheme="minorHAnsi" w:cs="Arial"/>
                <w:color w:val="000000"/>
                <w:szCs w:val="22"/>
              </w:rPr>
            </w:pPr>
            <w:r w:rsidRPr="0016789A">
              <w:rPr>
                <w:rFonts w:asciiTheme="minorHAnsi" w:eastAsia="Aptos" w:hAnsiTheme="minorHAnsi" w:cs="Aptos"/>
                <w:szCs w:val="22"/>
              </w:rPr>
              <w:t>National Farmers’ Federation</w:t>
            </w:r>
          </w:p>
        </w:tc>
      </w:tr>
      <w:tr w:rsidR="000032EA" w:rsidRPr="0016789A" w14:paraId="7BA788B1" w14:textId="77777777" w:rsidTr="0016789A">
        <w:tc>
          <w:tcPr>
            <w:tcW w:w="2685" w:type="dxa"/>
          </w:tcPr>
          <w:p w14:paraId="0C5DC1D3" w14:textId="6533D6F9" w:rsidR="000032EA" w:rsidRPr="0016789A" w:rsidRDefault="000032EA" w:rsidP="000032EA">
            <w:pPr>
              <w:pStyle w:val="Paragraphtable"/>
              <w:rPr>
                <w:rFonts w:cs="Arial"/>
                <w:b/>
                <w:bCs w:val="0"/>
                <w:sz w:val="22"/>
              </w:rPr>
            </w:pPr>
            <w:r w:rsidRPr="0016789A">
              <w:rPr>
                <w:rFonts w:cs="Arial"/>
                <w:b/>
                <w:bCs w:val="0"/>
                <w:sz w:val="22"/>
              </w:rPr>
              <w:t>NHVR</w:t>
            </w:r>
          </w:p>
        </w:tc>
        <w:tc>
          <w:tcPr>
            <w:tcW w:w="7089" w:type="dxa"/>
          </w:tcPr>
          <w:p w14:paraId="03E17739" w14:textId="10CB0539" w:rsidR="000032EA" w:rsidRPr="0016789A" w:rsidRDefault="000032EA" w:rsidP="00D17747">
            <w:pPr>
              <w:spacing w:after="40" w:line="240" w:lineRule="auto"/>
              <w:contextualSpacing w:val="0"/>
              <w:rPr>
                <w:rFonts w:asciiTheme="minorHAnsi" w:eastAsia="Aptos" w:hAnsiTheme="minorHAnsi" w:cs="Aptos"/>
                <w:szCs w:val="22"/>
              </w:rPr>
            </w:pPr>
            <w:r w:rsidRPr="0016789A">
              <w:rPr>
                <w:rFonts w:asciiTheme="minorHAnsi" w:hAnsiTheme="minorHAnsi" w:cs="Arial"/>
                <w:szCs w:val="22"/>
              </w:rPr>
              <w:t>National Heavy Vehicle Regulator</w:t>
            </w:r>
          </w:p>
        </w:tc>
      </w:tr>
      <w:tr w:rsidR="000032EA" w:rsidRPr="0016789A" w14:paraId="45A5B540" w14:textId="77777777" w:rsidTr="0016789A">
        <w:tc>
          <w:tcPr>
            <w:tcW w:w="2685" w:type="dxa"/>
          </w:tcPr>
          <w:p w14:paraId="2F54135B" w14:textId="0127334B" w:rsidR="000032EA" w:rsidRPr="0016789A" w:rsidRDefault="000032EA" w:rsidP="000032EA">
            <w:pPr>
              <w:pStyle w:val="Paragraphtable"/>
              <w:rPr>
                <w:rFonts w:cs="Arial"/>
                <w:b/>
                <w:bCs w:val="0"/>
                <w:sz w:val="22"/>
              </w:rPr>
            </w:pPr>
            <w:r w:rsidRPr="0016789A">
              <w:rPr>
                <w:rFonts w:cs="Arial"/>
                <w:b/>
                <w:bCs w:val="0"/>
                <w:sz w:val="22"/>
              </w:rPr>
              <w:t>NOPSEMA</w:t>
            </w:r>
          </w:p>
        </w:tc>
        <w:tc>
          <w:tcPr>
            <w:tcW w:w="7089" w:type="dxa"/>
          </w:tcPr>
          <w:p w14:paraId="4777452D" w14:textId="57E76BF5" w:rsidR="000032EA" w:rsidRPr="0016789A" w:rsidRDefault="000032EA" w:rsidP="00D17747">
            <w:pPr>
              <w:spacing w:after="40" w:line="240" w:lineRule="auto"/>
              <w:contextualSpacing w:val="0"/>
              <w:rPr>
                <w:rFonts w:asciiTheme="minorHAnsi" w:hAnsiTheme="minorHAnsi" w:cs="Arial"/>
                <w:szCs w:val="22"/>
              </w:rPr>
            </w:pPr>
            <w:r w:rsidRPr="0016789A">
              <w:rPr>
                <w:rFonts w:asciiTheme="minorHAnsi" w:eastAsia="Arial" w:hAnsiTheme="minorHAnsi" w:cs="Arial"/>
                <w:color w:val="000000"/>
                <w:szCs w:val="22"/>
              </w:rPr>
              <w:t>National Offshore Petroleum Safety and Environmental Management Authority</w:t>
            </w:r>
          </w:p>
        </w:tc>
      </w:tr>
      <w:tr w:rsidR="000032EA" w:rsidRPr="0016789A" w14:paraId="25348DFD" w14:textId="77777777" w:rsidTr="0016789A">
        <w:tc>
          <w:tcPr>
            <w:tcW w:w="2685" w:type="dxa"/>
          </w:tcPr>
          <w:p w14:paraId="38A0B698" w14:textId="6C37E884" w:rsidR="000032EA" w:rsidRPr="0016789A" w:rsidRDefault="000032EA" w:rsidP="000032EA">
            <w:pPr>
              <w:pStyle w:val="Paragraphtable"/>
              <w:rPr>
                <w:rFonts w:cs="Arial"/>
                <w:b/>
                <w:bCs w:val="0"/>
                <w:sz w:val="22"/>
              </w:rPr>
            </w:pPr>
            <w:r w:rsidRPr="0016789A">
              <w:rPr>
                <w:rFonts w:cs="Arial"/>
                <w:b/>
                <w:bCs w:val="0"/>
                <w:sz w:val="22"/>
              </w:rPr>
              <w:t>NSW</w:t>
            </w:r>
          </w:p>
        </w:tc>
        <w:tc>
          <w:tcPr>
            <w:tcW w:w="7089" w:type="dxa"/>
          </w:tcPr>
          <w:p w14:paraId="0889B013" w14:textId="37E00657" w:rsidR="000032EA" w:rsidRPr="0016789A" w:rsidRDefault="000032EA" w:rsidP="00D17747">
            <w:pPr>
              <w:spacing w:after="40" w:line="240" w:lineRule="auto"/>
              <w:contextualSpacing w:val="0"/>
              <w:rPr>
                <w:rFonts w:asciiTheme="minorHAnsi" w:eastAsia="Arial" w:hAnsiTheme="minorHAnsi" w:cs="Arial"/>
                <w:color w:val="000000"/>
                <w:szCs w:val="22"/>
              </w:rPr>
            </w:pPr>
            <w:r w:rsidRPr="0016789A">
              <w:rPr>
                <w:rFonts w:asciiTheme="minorHAnsi" w:hAnsiTheme="minorHAnsi" w:cs="Arial"/>
                <w:color w:val="000000"/>
                <w:szCs w:val="22"/>
              </w:rPr>
              <w:t>New South Wales</w:t>
            </w:r>
          </w:p>
        </w:tc>
      </w:tr>
      <w:tr w:rsidR="000032EA" w:rsidRPr="0016789A" w14:paraId="3A840D4B" w14:textId="77777777" w:rsidTr="0016789A">
        <w:tc>
          <w:tcPr>
            <w:tcW w:w="2685" w:type="dxa"/>
          </w:tcPr>
          <w:p w14:paraId="7B17C1D1" w14:textId="76FEC7EA" w:rsidR="000032EA" w:rsidRPr="0016789A" w:rsidRDefault="000032EA" w:rsidP="000032EA">
            <w:pPr>
              <w:pStyle w:val="Paragraphtable"/>
              <w:rPr>
                <w:rFonts w:cs="Arial"/>
                <w:b/>
                <w:bCs w:val="0"/>
                <w:sz w:val="22"/>
              </w:rPr>
            </w:pPr>
            <w:r w:rsidRPr="0016789A">
              <w:rPr>
                <w:rFonts w:cs="Arial"/>
                <w:b/>
                <w:bCs w:val="0"/>
                <w:sz w:val="22"/>
              </w:rPr>
              <w:t>NSW WHS Act</w:t>
            </w:r>
          </w:p>
        </w:tc>
        <w:tc>
          <w:tcPr>
            <w:tcW w:w="7089" w:type="dxa"/>
          </w:tcPr>
          <w:p w14:paraId="59736204" w14:textId="27485BC3" w:rsidR="000032EA" w:rsidRPr="0016789A" w:rsidRDefault="000032EA" w:rsidP="00D17747">
            <w:pPr>
              <w:spacing w:after="40" w:line="240" w:lineRule="auto"/>
              <w:contextualSpacing w:val="0"/>
              <w:rPr>
                <w:rFonts w:asciiTheme="minorHAnsi" w:hAnsiTheme="minorHAnsi" w:cs="Arial"/>
                <w:color w:val="000000"/>
                <w:szCs w:val="22"/>
              </w:rPr>
            </w:pPr>
            <w:r w:rsidRPr="0016789A">
              <w:rPr>
                <w:rFonts w:asciiTheme="minorHAnsi" w:eastAsia="Arial" w:hAnsiTheme="minorHAnsi" w:cs="Arial"/>
                <w:i/>
                <w:color w:val="000000"/>
                <w:spacing w:val="-1"/>
                <w:szCs w:val="22"/>
              </w:rPr>
              <w:t xml:space="preserve">Work Health and Safety Act 2011 </w:t>
            </w:r>
            <w:r w:rsidRPr="0016789A">
              <w:rPr>
                <w:rFonts w:asciiTheme="minorHAnsi" w:eastAsia="Arial" w:hAnsiTheme="minorHAnsi" w:cs="Arial"/>
                <w:color w:val="000000"/>
                <w:spacing w:val="-1"/>
                <w:szCs w:val="22"/>
              </w:rPr>
              <w:t>(NSW)</w:t>
            </w:r>
          </w:p>
        </w:tc>
      </w:tr>
      <w:tr w:rsidR="000032EA" w:rsidRPr="0016789A" w14:paraId="160040EE" w14:textId="77777777" w:rsidTr="0016789A">
        <w:tc>
          <w:tcPr>
            <w:tcW w:w="2685" w:type="dxa"/>
          </w:tcPr>
          <w:p w14:paraId="059FC155" w14:textId="22C7AB80" w:rsidR="000032EA" w:rsidRPr="0016789A" w:rsidRDefault="000032EA" w:rsidP="000032EA">
            <w:pPr>
              <w:pStyle w:val="Paragraphtable"/>
              <w:rPr>
                <w:rFonts w:cs="Arial"/>
                <w:b/>
                <w:bCs w:val="0"/>
                <w:sz w:val="22"/>
              </w:rPr>
            </w:pPr>
            <w:r w:rsidRPr="0016789A">
              <w:rPr>
                <w:rFonts w:cs="Arial"/>
                <w:b/>
                <w:bCs w:val="0"/>
                <w:sz w:val="22"/>
              </w:rPr>
              <w:t>NSW WHS Regulations</w:t>
            </w:r>
          </w:p>
        </w:tc>
        <w:tc>
          <w:tcPr>
            <w:tcW w:w="7089" w:type="dxa"/>
          </w:tcPr>
          <w:p w14:paraId="5CC894C5" w14:textId="610B1A73" w:rsidR="000032EA" w:rsidRPr="0016789A" w:rsidRDefault="000032EA" w:rsidP="00D17747">
            <w:pPr>
              <w:spacing w:after="40" w:line="240" w:lineRule="auto"/>
              <w:contextualSpacing w:val="0"/>
              <w:rPr>
                <w:rFonts w:asciiTheme="minorHAnsi" w:eastAsia="Arial" w:hAnsiTheme="minorHAnsi" w:cs="Arial"/>
                <w:i/>
                <w:color w:val="000000"/>
                <w:spacing w:val="-1"/>
                <w:szCs w:val="22"/>
              </w:rPr>
            </w:pPr>
            <w:r w:rsidRPr="0016789A">
              <w:rPr>
                <w:rFonts w:asciiTheme="minorHAnsi" w:eastAsia="Arial" w:hAnsiTheme="minorHAnsi" w:cs="Arial"/>
                <w:iCs/>
                <w:color w:val="000000"/>
                <w:szCs w:val="22"/>
              </w:rPr>
              <w:t>Work Health and Safety Regulation 2025</w:t>
            </w:r>
            <w:r w:rsidRPr="0016789A">
              <w:rPr>
                <w:rFonts w:asciiTheme="minorHAnsi" w:eastAsia="Arial" w:hAnsiTheme="minorHAnsi" w:cs="Arial"/>
                <w:i/>
                <w:color w:val="000000"/>
                <w:szCs w:val="22"/>
              </w:rPr>
              <w:t xml:space="preserve"> </w:t>
            </w:r>
            <w:r w:rsidRPr="0016789A">
              <w:rPr>
                <w:rFonts w:asciiTheme="minorHAnsi" w:eastAsia="Arial" w:hAnsiTheme="minorHAnsi" w:cs="Arial"/>
                <w:color w:val="000000"/>
                <w:szCs w:val="22"/>
              </w:rPr>
              <w:t>(NSW)</w:t>
            </w:r>
          </w:p>
        </w:tc>
      </w:tr>
      <w:tr w:rsidR="000032EA" w:rsidRPr="0016789A" w14:paraId="1872C8F1" w14:textId="77777777" w:rsidTr="0016789A">
        <w:tc>
          <w:tcPr>
            <w:tcW w:w="2685" w:type="dxa"/>
          </w:tcPr>
          <w:p w14:paraId="3B90156D" w14:textId="0693719D" w:rsidR="000032EA" w:rsidRPr="0016789A" w:rsidRDefault="000032EA" w:rsidP="000032EA">
            <w:pPr>
              <w:pStyle w:val="Paragraphtable"/>
              <w:rPr>
                <w:rFonts w:cs="Arial"/>
                <w:b/>
                <w:bCs w:val="0"/>
                <w:sz w:val="22"/>
              </w:rPr>
            </w:pPr>
            <w:r w:rsidRPr="0016789A">
              <w:rPr>
                <w:rFonts w:cs="Arial"/>
                <w:b/>
                <w:bCs w:val="0"/>
                <w:sz w:val="22"/>
              </w:rPr>
              <w:t>NT</w:t>
            </w:r>
          </w:p>
        </w:tc>
        <w:tc>
          <w:tcPr>
            <w:tcW w:w="7089" w:type="dxa"/>
          </w:tcPr>
          <w:p w14:paraId="2192D143" w14:textId="617A4004" w:rsidR="000032EA" w:rsidRPr="0016789A" w:rsidRDefault="000032EA" w:rsidP="00D17747">
            <w:pPr>
              <w:spacing w:after="40" w:line="240" w:lineRule="auto"/>
              <w:contextualSpacing w:val="0"/>
              <w:rPr>
                <w:rFonts w:asciiTheme="minorHAnsi" w:eastAsia="Arial" w:hAnsiTheme="minorHAnsi" w:cs="Arial"/>
                <w:iCs/>
                <w:color w:val="000000"/>
                <w:szCs w:val="22"/>
              </w:rPr>
            </w:pPr>
            <w:r w:rsidRPr="0016789A">
              <w:rPr>
                <w:rFonts w:asciiTheme="minorHAnsi" w:eastAsia="Arial" w:hAnsiTheme="minorHAnsi" w:cs="Arial"/>
                <w:color w:val="000000"/>
                <w:spacing w:val="-2"/>
                <w:szCs w:val="22"/>
              </w:rPr>
              <w:t>Northern Territory</w:t>
            </w:r>
          </w:p>
        </w:tc>
      </w:tr>
      <w:tr w:rsidR="000032EA" w:rsidRPr="0016789A" w14:paraId="7E2C3AA2" w14:textId="77777777" w:rsidTr="0016789A">
        <w:tc>
          <w:tcPr>
            <w:tcW w:w="2685" w:type="dxa"/>
          </w:tcPr>
          <w:p w14:paraId="1098A4E3" w14:textId="01D26499" w:rsidR="000032EA" w:rsidRPr="0016789A" w:rsidRDefault="000032EA" w:rsidP="000032EA">
            <w:pPr>
              <w:pStyle w:val="Paragraphtable"/>
              <w:rPr>
                <w:rFonts w:cs="Arial"/>
                <w:b/>
                <w:bCs w:val="0"/>
                <w:sz w:val="22"/>
              </w:rPr>
            </w:pPr>
            <w:r w:rsidRPr="0016789A">
              <w:rPr>
                <w:rFonts w:cs="Arial"/>
                <w:b/>
                <w:bCs w:val="0"/>
                <w:sz w:val="22"/>
              </w:rPr>
              <w:t xml:space="preserve">Officer </w:t>
            </w:r>
          </w:p>
        </w:tc>
        <w:tc>
          <w:tcPr>
            <w:tcW w:w="7089" w:type="dxa"/>
          </w:tcPr>
          <w:p w14:paraId="4AFA44BF" w14:textId="0F51B6F2" w:rsidR="000032EA" w:rsidRPr="0016789A" w:rsidRDefault="000032EA" w:rsidP="00D17747">
            <w:pPr>
              <w:spacing w:after="40" w:line="240" w:lineRule="auto"/>
              <w:contextualSpacing w:val="0"/>
              <w:rPr>
                <w:rFonts w:asciiTheme="minorHAnsi" w:eastAsia="Arial" w:hAnsiTheme="minorHAnsi" w:cs="Arial"/>
                <w:color w:val="000000"/>
                <w:spacing w:val="-2"/>
                <w:szCs w:val="22"/>
              </w:rPr>
            </w:pPr>
            <w:r w:rsidRPr="0016789A">
              <w:rPr>
                <w:rFonts w:asciiTheme="minorHAnsi" w:eastAsia="Arial" w:hAnsiTheme="minorHAnsi" w:cs="Arial"/>
                <w:color w:val="000000"/>
                <w:szCs w:val="22"/>
              </w:rPr>
              <w:t>A</w:t>
            </w:r>
            <w:r w:rsidR="00A713D2">
              <w:rPr>
                <w:rFonts w:asciiTheme="minorHAnsi" w:eastAsia="Arial" w:hAnsiTheme="minorHAnsi" w:cs="Arial"/>
                <w:color w:val="000000"/>
                <w:szCs w:val="22"/>
              </w:rPr>
              <w:t>n officer is a</w:t>
            </w:r>
            <w:r w:rsidRPr="0016789A">
              <w:rPr>
                <w:rFonts w:asciiTheme="minorHAnsi" w:eastAsia="Arial" w:hAnsiTheme="minorHAnsi" w:cs="Arial"/>
                <w:color w:val="000000"/>
                <w:szCs w:val="22"/>
              </w:rPr>
              <w:t xml:space="preserve"> type of duty holder under the model WHS laws. An example of an officer is</w:t>
            </w:r>
            <w:r w:rsidR="00FA128D">
              <w:rPr>
                <w:rFonts w:asciiTheme="minorHAnsi" w:eastAsia="Arial" w:hAnsiTheme="minorHAnsi" w:cs="Arial"/>
                <w:color w:val="000000"/>
                <w:szCs w:val="22"/>
              </w:rPr>
              <w:t xml:space="preserve"> a</w:t>
            </w:r>
            <w:r w:rsidRPr="0016789A">
              <w:rPr>
                <w:rFonts w:asciiTheme="minorHAnsi" w:eastAsia="Arial" w:hAnsiTheme="minorHAnsi" w:cs="Arial"/>
                <w:color w:val="000000"/>
                <w:szCs w:val="22"/>
              </w:rPr>
              <w:t xml:space="preserve"> director o</w:t>
            </w:r>
            <w:r w:rsidR="00916839">
              <w:rPr>
                <w:rFonts w:asciiTheme="minorHAnsi" w:eastAsia="Arial" w:hAnsiTheme="minorHAnsi" w:cs="Arial"/>
                <w:color w:val="000000"/>
                <w:szCs w:val="22"/>
              </w:rPr>
              <w:t>f</w:t>
            </w:r>
            <w:r w:rsidRPr="0016789A">
              <w:rPr>
                <w:rFonts w:asciiTheme="minorHAnsi" w:eastAsia="Arial" w:hAnsiTheme="minorHAnsi" w:cs="Arial"/>
                <w:color w:val="000000"/>
                <w:szCs w:val="22"/>
              </w:rPr>
              <w:t xml:space="preserve"> </w:t>
            </w:r>
            <w:r w:rsidR="00FA128D">
              <w:rPr>
                <w:rFonts w:asciiTheme="minorHAnsi" w:eastAsia="Arial" w:hAnsiTheme="minorHAnsi" w:cs="Arial"/>
                <w:color w:val="000000"/>
                <w:szCs w:val="22"/>
              </w:rPr>
              <w:t xml:space="preserve">a </w:t>
            </w:r>
            <w:r w:rsidRPr="0016789A">
              <w:rPr>
                <w:rFonts w:asciiTheme="minorHAnsi" w:eastAsia="Arial" w:hAnsiTheme="minorHAnsi" w:cs="Arial"/>
                <w:color w:val="000000"/>
                <w:szCs w:val="22"/>
              </w:rPr>
              <w:t xml:space="preserve">corporation. </w:t>
            </w:r>
          </w:p>
        </w:tc>
      </w:tr>
      <w:tr w:rsidR="000032EA" w:rsidRPr="0016789A" w14:paraId="78B173C1" w14:textId="77777777" w:rsidTr="0016789A">
        <w:tc>
          <w:tcPr>
            <w:tcW w:w="2685" w:type="dxa"/>
          </w:tcPr>
          <w:p w14:paraId="3B26DC53" w14:textId="4AB2B184" w:rsidR="000032EA" w:rsidRPr="0016789A" w:rsidRDefault="000032EA" w:rsidP="000032EA">
            <w:pPr>
              <w:pStyle w:val="Paragraphtable"/>
              <w:rPr>
                <w:rFonts w:cs="Arial"/>
                <w:b/>
                <w:bCs w:val="0"/>
                <w:sz w:val="22"/>
              </w:rPr>
            </w:pPr>
            <w:r w:rsidRPr="0016789A">
              <w:rPr>
                <w:rFonts w:cs="Arial"/>
                <w:b/>
                <w:bCs w:val="0"/>
                <w:sz w:val="22"/>
              </w:rPr>
              <w:lastRenderedPageBreak/>
              <w:t>OHS</w:t>
            </w:r>
          </w:p>
        </w:tc>
        <w:tc>
          <w:tcPr>
            <w:tcW w:w="7089" w:type="dxa"/>
          </w:tcPr>
          <w:p w14:paraId="5CDF2C40" w14:textId="4450FF47" w:rsidR="000032EA" w:rsidRPr="0016789A" w:rsidRDefault="000032EA" w:rsidP="00D17747">
            <w:pPr>
              <w:spacing w:after="40" w:line="240" w:lineRule="auto"/>
              <w:contextualSpacing w:val="0"/>
              <w:rPr>
                <w:rFonts w:asciiTheme="minorHAnsi" w:eastAsia="Arial" w:hAnsiTheme="minorHAnsi" w:cs="Arial"/>
                <w:color w:val="000000"/>
                <w:szCs w:val="22"/>
              </w:rPr>
            </w:pPr>
            <w:r w:rsidRPr="0016789A">
              <w:rPr>
                <w:rFonts w:asciiTheme="minorHAnsi" w:eastAsia="Arial" w:hAnsiTheme="minorHAnsi" w:cs="Arial"/>
                <w:color w:val="000000"/>
                <w:spacing w:val="-1"/>
                <w:szCs w:val="22"/>
              </w:rPr>
              <w:t>Occupational health and safety</w:t>
            </w:r>
          </w:p>
        </w:tc>
      </w:tr>
      <w:tr w:rsidR="000032EA" w:rsidRPr="0016789A" w14:paraId="0AC80440" w14:textId="77777777" w:rsidTr="0016789A">
        <w:tc>
          <w:tcPr>
            <w:tcW w:w="2685" w:type="dxa"/>
          </w:tcPr>
          <w:p w14:paraId="11366A40" w14:textId="3657BC54" w:rsidR="000032EA" w:rsidRPr="0016789A" w:rsidRDefault="000032EA" w:rsidP="000032EA">
            <w:pPr>
              <w:pStyle w:val="Paragraphtable"/>
              <w:rPr>
                <w:rFonts w:cs="Arial"/>
                <w:b/>
                <w:bCs w:val="0"/>
                <w:sz w:val="22"/>
              </w:rPr>
            </w:pPr>
            <w:r w:rsidRPr="0016789A">
              <w:rPr>
                <w:rFonts w:cs="Arial"/>
                <w:b/>
                <w:bCs w:val="0"/>
                <w:sz w:val="22"/>
              </w:rPr>
              <w:t>OHS(MI) Act</w:t>
            </w:r>
          </w:p>
        </w:tc>
        <w:tc>
          <w:tcPr>
            <w:tcW w:w="7089" w:type="dxa"/>
          </w:tcPr>
          <w:p w14:paraId="6F96E47A" w14:textId="5EE0BB61" w:rsidR="000032EA" w:rsidRPr="0016789A" w:rsidRDefault="000032EA" w:rsidP="00D17747">
            <w:pPr>
              <w:spacing w:after="40" w:line="240" w:lineRule="auto"/>
              <w:contextualSpacing w:val="0"/>
              <w:rPr>
                <w:rFonts w:asciiTheme="minorHAnsi" w:eastAsia="Arial" w:hAnsiTheme="minorHAnsi" w:cs="Arial"/>
                <w:color w:val="000000"/>
                <w:spacing w:val="-1"/>
                <w:szCs w:val="22"/>
              </w:rPr>
            </w:pPr>
            <w:r w:rsidRPr="0016789A">
              <w:rPr>
                <w:rFonts w:asciiTheme="minorHAnsi" w:hAnsiTheme="minorHAnsi"/>
                <w:i/>
                <w:iCs/>
                <w:szCs w:val="22"/>
              </w:rPr>
              <w:t xml:space="preserve">Occupational Health and Safety (Maritime Industry) Act 1993 </w:t>
            </w:r>
            <w:r w:rsidRPr="0016789A">
              <w:rPr>
                <w:rFonts w:asciiTheme="minorHAnsi" w:hAnsiTheme="minorHAnsi"/>
                <w:szCs w:val="22"/>
              </w:rPr>
              <w:t>(Cth)</w:t>
            </w:r>
          </w:p>
        </w:tc>
      </w:tr>
      <w:tr w:rsidR="000032EA" w:rsidRPr="0016789A" w14:paraId="3168A357" w14:textId="77777777" w:rsidTr="0016789A">
        <w:tc>
          <w:tcPr>
            <w:tcW w:w="2685" w:type="dxa"/>
          </w:tcPr>
          <w:p w14:paraId="1BD8EEBE" w14:textId="164F052B" w:rsidR="000032EA" w:rsidRPr="0016789A" w:rsidRDefault="000032EA" w:rsidP="000032EA">
            <w:pPr>
              <w:pStyle w:val="Paragraphtable"/>
              <w:rPr>
                <w:rFonts w:cs="Arial"/>
                <w:b/>
                <w:bCs w:val="0"/>
                <w:sz w:val="22"/>
              </w:rPr>
            </w:pPr>
            <w:r w:rsidRPr="0016789A">
              <w:rPr>
                <w:rFonts w:cs="Arial"/>
                <w:b/>
                <w:bCs w:val="0"/>
                <w:sz w:val="22"/>
              </w:rPr>
              <w:t>ONRSR</w:t>
            </w:r>
          </w:p>
        </w:tc>
        <w:tc>
          <w:tcPr>
            <w:tcW w:w="7089" w:type="dxa"/>
          </w:tcPr>
          <w:p w14:paraId="6C4BC244" w14:textId="7085FDD0" w:rsidR="000032EA" w:rsidRPr="0016789A" w:rsidRDefault="000032EA" w:rsidP="00D17747">
            <w:pPr>
              <w:spacing w:after="40" w:line="240" w:lineRule="auto"/>
              <w:contextualSpacing w:val="0"/>
              <w:rPr>
                <w:rFonts w:asciiTheme="minorHAnsi" w:hAnsiTheme="minorHAnsi"/>
                <w:i/>
                <w:iCs/>
                <w:szCs w:val="22"/>
              </w:rPr>
            </w:pPr>
            <w:r w:rsidRPr="0016789A">
              <w:rPr>
                <w:rFonts w:asciiTheme="minorHAnsi" w:hAnsiTheme="minorHAnsi"/>
                <w:szCs w:val="22"/>
              </w:rPr>
              <w:t>Office of the National Rail Safety Regulator</w:t>
            </w:r>
          </w:p>
        </w:tc>
      </w:tr>
      <w:tr w:rsidR="000032EA" w:rsidRPr="0016789A" w14:paraId="2C8A61B8" w14:textId="77777777" w:rsidTr="0016789A">
        <w:tc>
          <w:tcPr>
            <w:tcW w:w="2685" w:type="dxa"/>
          </w:tcPr>
          <w:p w14:paraId="0760B6D9" w14:textId="53D387F7" w:rsidR="000032EA" w:rsidRPr="0016789A" w:rsidRDefault="000032EA" w:rsidP="000032EA">
            <w:pPr>
              <w:pStyle w:val="Paragraphtable"/>
              <w:rPr>
                <w:rFonts w:cs="Arial"/>
                <w:b/>
                <w:bCs w:val="0"/>
                <w:sz w:val="22"/>
              </w:rPr>
            </w:pPr>
            <w:r w:rsidRPr="0016789A">
              <w:rPr>
                <w:rFonts w:cs="Arial"/>
                <w:b/>
                <w:bCs w:val="0"/>
                <w:sz w:val="22"/>
              </w:rPr>
              <w:t>OPGGS Act</w:t>
            </w:r>
          </w:p>
        </w:tc>
        <w:tc>
          <w:tcPr>
            <w:tcW w:w="7089" w:type="dxa"/>
          </w:tcPr>
          <w:p w14:paraId="24535902" w14:textId="7513EA71" w:rsidR="000032EA" w:rsidRPr="0016789A" w:rsidRDefault="000032EA" w:rsidP="00D17747">
            <w:pPr>
              <w:spacing w:after="40" w:line="240" w:lineRule="auto"/>
              <w:contextualSpacing w:val="0"/>
              <w:rPr>
                <w:rFonts w:asciiTheme="minorHAnsi" w:hAnsiTheme="minorHAnsi"/>
                <w:szCs w:val="22"/>
              </w:rPr>
            </w:pPr>
            <w:r w:rsidRPr="0016789A">
              <w:rPr>
                <w:rFonts w:asciiTheme="minorHAnsi" w:hAnsiTheme="minorHAnsi"/>
                <w:i/>
                <w:szCs w:val="22"/>
              </w:rPr>
              <w:t>Offshore Petroleum and Greenhouse Gas Storage Act 2006</w:t>
            </w:r>
          </w:p>
        </w:tc>
      </w:tr>
      <w:tr w:rsidR="000032EA" w:rsidRPr="0016789A" w14:paraId="1A1A5509" w14:textId="77777777" w:rsidTr="0016789A">
        <w:tc>
          <w:tcPr>
            <w:tcW w:w="2685" w:type="dxa"/>
          </w:tcPr>
          <w:p w14:paraId="080F8B65" w14:textId="7F3CF9BB" w:rsidR="000032EA" w:rsidRPr="0016789A" w:rsidRDefault="000032EA" w:rsidP="000032EA">
            <w:pPr>
              <w:pStyle w:val="Paragraphtable"/>
              <w:rPr>
                <w:rFonts w:cs="Arial"/>
                <w:b/>
                <w:bCs w:val="0"/>
                <w:sz w:val="22"/>
              </w:rPr>
            </w:pPr>
            <w:r w:rsidRPr="0016789A">
              <w:rPr>
                <w:rFonts w:cs="Arial"/>
                <w:b/>
                <w:bCs w:val="0"/>
                <w:sz w:val="22"/>
              </w:rPr>
              <w:t>OPGGS Safety Regulations</w:t>
            </w:r>
          </w:p>
        </w:tc>
        <w:tc>
          <w:tcPr>
            <w:tcW w:w="7089" w:type="dxa"/>
          </w:tcPr>
          <w:p w14:paraId="57635E02" w14:textId="6145755D" w:rsidR="000032EA" w:rsidRPr="0016789A" w:rsidRDefault="000032EA" w:rsidP="00D17747">
            <w:pPr>
              <w:spacing w:after="40" w:line="240" w:lineRule="auto"/>
              <w:contextualSpacing w:val="0"/>
              <w:rPr>
                <w:rFonts w:asciiTheme="minorHAnsi" w:hAnsiTheme="minorHAnsi"/>
                <w:i/>
                <w:szCs w:val="22"/>
              </w:rPr>
            </w:pPr>
            <w:r w:rsidRPr="0016789A">
              <w:rPr>
                <w:rFonts w:asciiTheme="minorHAnsi" w:hAnsiTheme="minorHAnsi"/>
                <w:iCs/>
                <w:szCs w:val="22"/>
              </w:rPr>
              <w:t>Offshore Petroleum and Greenhouse Gas Storage (Safety) Regulations 2024</w:t>
            </w:r>
            <w:r w:rsidRPr="0016789A">
              <w:rPr>
                <w:rFonts w:asciiTheme="minorHAnsi" w:hAnsiTheme="minorHAnsi"/>
                <w:i/>
                <w:szCs w:val="22"/>
              </w:rPr>
              <w:t xml:space="preserve"> </w:t>
            </w:r>
          </w:p>
        </w:tc>
      </w:tr>
      <w:tr w:rsidR="000032EA" w:rsidRPr="0016789A" w14:paraId="4C663759" w14:textId="77777777" w:rsidTr="0016789A">
        <w:tc>
          <w:tcPr>
            <w:tcW w:w="2685" w:type="dxa"/>
          </w:tcPr>
          <w:p w14:paraId="052DAF75" w14:textId="08663896" w:rsidR="000032EA" w:rsidRPr="0016789A" w:rsidRDefault="000032EA" w:rsidP="000032EA">
            <w:pPr>
              <w:pStyle w:val="Paragraphtable"/>
              <w:rPr>
                <w:rFonts w:cs="Arial"/>
                <w:b/>
                <w:bCs w:val="0"/>
                <w:sz w:val="22"/>
              </w:rPr>
            </w:pPr>
            <w:r w:rsidRPr="0016789A">
              <w:rPr>
                <w:rFonts w:cs="Arial"/>
                <w:b/>
                <w:bCs w:val="0"/>
                <w:sz w:val="22"/>
              </w:rPr>
              <w:t>PCBU</w:t>
            </w:r>
          </w:p>
        </w:tc>
        <w:tc>
          <w:tcPr>
            <w:tcW w:w="7089" w:type="dxa"/>
          </w:tcPr>
          <w:p w14:paraId="44B0C444" w14:textId="3086BC7A" w:rsidR="000032EA" w:rsidRPr="0016789A" w:rsidRDefault="00A713D2" w:rsidP="00D17747">
            <w:pPr>
              <w:spacing w:after="40" w:line="240" w:lineRule="auto"/>
              <w:contextualSpacing w:val="0"/>
              <w:rPr>
                <w:rFonts w:asciiTheme="minorHAnsi" w:hAnsiTheme="minorHAnsi"/>
                <w:iCs/>
                <w:szCs w:val="22"/>
              </w:rPr>
            </w:pPr>
            <w:r>
              <w:rPr>
                <w:rFonts w:asciiTheme="minorHAnsi" w:hAnsiTheme="minorHAnsi" w:cs="Arial"/>
                <w:color w:val="000000"/>
                <w:szCs w:val="22"/>
              </w:rPr>
              <w:t>A p</w:t>
            </w:r>
            <w:r w:rsidR="000032EA" w:rsidRPr="0016789A">
              <w:rPr>
                <w:rFonts w:asciiTheme="minorHAnsi" w:hAnsiTheme="minorHAnsi" w:cs="Arial"/>
                <w:color w:val="000000"/>
                <w:szCs w:val="22"/>
              </w:rPr>
              <w:t>erson conducting a business or undertaking</w:t>
            </w:r>
            <w:r>
              <w:rPr>
                <w:rFonts w:asciiTheme="minorHAnsi" w:hAnsiTheme="minorHAnsi" w:cs="Arial"/>
                <w:color w:val="000000"/>
                <w:szCs w:val="22"/>
              </w:rPr>
              <w:t xml:space="preserve"> is </w:t>
            </w:r>
            <w:r w:rsidR="000032EA" w:rsidRPr="0016789A">
              <w:rPr>
                <w:rFonts w:asciiTheme="minorHAnsi" w:hAnsiTheme="minorHAnsi" w:cs="Arial"/>
                <w:color w:val="000000"/>
                <w:szCs w:val="22"/>
              </w:rPr>
              <w:t>defined under s</w:t>
            </w:r>
            <w:r w:rsidR="00F97429">
              <w:rPr>
                <w:rFonts w:asciiTheme="minorHAnsi" w:hAnsiTheme="minorHAnsi" w:cs="Arial"/>
                <w:color w:val="000000"/>
                <w:szCs w:val="22"/>
              </w:rPr>
              <w:t> </w:t>
            </w:r>
            <w:r w:rsidR="000032EA" w:rsidRPr="0016789A">
              <w:rPr>
                <w:rFonts w:asciiTheme="minorHAnsi" w:hAnsiTheme="minorHAnsi" w:cs="Arial"/>
                <w:color w:val="000000"/>
                <w:szCs w:val="22"/>
              </w:rPr>
              <w:t>5 of the model WHS Act. A PCBU can be a company; an unincorporated body or association; a sole trader or self-employed person; a not</w:t>
            </w:r>
            <w:r w:rsidR="006860D5">
              <w:rPr>
                <w:rFonts w:asciiTheme="minorHAnsi" w:hAnsiTheme="minorHAnsi" w:cs="Arial"/>
                <w:color w:val="000000"/>
                <w:szCs w:val="22"/>
              </w:rPr>
              <w:noBreakHyphen/>
            </w:r>
            <w:r w:rsidR="000032EA" w:rsidRPr="0016789A">
              <w:rPr>
                <w:rFonts w:asciiTheme="minorHAnsi" w:hAnsiTheme="minorHAnsi" w:cs="Arial"/>
                <w:color w:val="000000"/>
                <w:szCs w:val="22"/>
              </w:rPr>
              <w:t>for</w:t>
            </w:r>
            <w:r w:rsidR="006860D5">
              <w:rPr>
                <w:rFonts w:asciiTheme="minorHAnsi" w:hAnsiTheme="minorHAnsi" w:cs="Arial"/>
                <w:color w:val="000000"/>
                <w:szCs w:val="22"/>
              </w:rPr>
              <w:noBreakHyphen/>
            </w:r>
            <w:r w:rsidR="000032EA" w:rsidRPr="0016789A">
              <w:rPr>
                <w:rFonts w:asciiTheme="minorHAnsi" w:hAnsiTheme="minorHAnsi" w:cs="Arial"/>
                <w:color w:val="000000"/>
                <w:szCs w:val="22"/>
              </w:rPr>
              <w:t>profit organisation; a local council; a government department or agency; a school; a franchise; or in some circumstances a volunteer organisation. Individuals who are in a partnership that is conducting a business will individually and collectively be a PCBU.</w:t>
            </w:r>
          </w:p>
        </w:tc>
      </w:tr>
      <w:tr w:rsidR="000032EA" w:rsidRPr="0016789A" w14:paraId="0E3F5B32" w14:textId="77777777" w:rsidTr="0016789A">
        <w:tc>
          <w:tcPr>
            <w:tcW w:w="2685" w:type="dxa"/>
          </w:tcPr>
          <w:p w14:paraId="5512D8AB" w14:textId="2F9A3541" w:rsidR="000032EA" w:rsidRPr="0016789A" w:rsidRDefault="000032EA" w:rsidP="000032EA">
            <w:pPr>
              <w:pStyle w:val="Paragraphtable"/>
              <w:rPr>
                <w:rFonts w:cs="Arial"/>
                <w:b/>
                <w:bCs w:val="0"/>
                <w:sz w:val="22"/>
              </w:rPr>
            </w:pPr>
            <w:r w:rsidRPr="0016789A">
              <w:rPr>
                <w:rFonts w:cs="Arial"/>
                <w:b/>
                <w:bCs w:val="0"/>
                <w:sz w:val="22"/>
              </w:rPr>
              <w:t>PIN</w:t>
            </w:r>
          </w:p>
        </w:tc>
        <w:tc>
          <w:tcPr>
            <w:tcW w:w="7089" w:type="dxa"/>
          </w:tcPr>
          <w:p w14:paraId="4F0F04FE" w14:textId="18292F5C" w:rsidR="000032EA" w:rsidRPr="0016789A" w:rsidRDefault="000032EA" w:rsidP="00D17747">
            <w:pPr>
              <w:spacing w:after="40" w:line="240" w:lineRule="auto"/>
              <w:contextualSpacing w:val="0"/>
              <w:rPr>
                <w:rFonts w:asciiTheme="minorHAnsi" w:hAnsiTheme="minorHAnsi" w:cs="Arial"/>
                <w:color w:val="000000"/>
                <w:szCs w:val="22"/>
              </w:rPr>
            </w:pPr>
            <w:r w:rsidRPr="0016789A">
              <w:rPr>
                <w:rFonts w:asciiTheme="minorHAnsi" w:hAnsiTheme="minorHAnsi" w:cs="Arial"/>
                <w:color w:val="000000"/>
                <w:szCs w:val="22"/>
              </w:rPr>
              <w:t>A provisional improvement notice is a written notice from an HSR to a duty holder requiring the duty holder to remedy a contravention, prevent a likely contravention, or remedy the things or operations causing the contravention or likely contravention (see Division 7 of Part 5 of the model WHS Act).</w:t>
            </w:r>
          </w:p>
        </w:tc>
      </w:tr>
      <w:tr w:rsidR="000032EA" w:rsidRPr="0016789A" w14:paraId="574A80C8" w14:textId="77777777" w:rsidTr="0016789A">
        <w:tc>
          <w:tcPr>
            <w:tcW w:w="2685" w:type="dxa"/>
          </w:tcPr>
          <w:p w14:paraId="64453080" w14:textId="603B6A8C" w:rsidR="000032EA" w:rsidRPr="0016789A" w:rsidRDefault="000032EA" w:rsidP="000032EA">
            <w:pPr>
              <w:pStyle w:val="Paragraphtable"/>
              <w:rPr>
                <w:rFonts w:cs="Arial"/>
                <w:b/>
                <w:bCs w:val="0"/>
                <w:sz w:val="22"/>
              </w:rPr>
            </w:pPr>
            <w:r w:rsidRPr="0016789A">
              <w:rPr>
                <w:rFonts w:cs="Arial"/>
                <w:b/>
                <w:bCs w:val="0"/>
                <w:sz w:val="22"/>
              </w:rPr>
              <w:t>PPE</w:t>
            </w:r>
          </w:p>
        </w:tc>
        <w:tc>
          <w:tcPr>
            <w:tcW w:w="7089" w:type="dxa"/>
          </w:tcPr>
          <w:p w14:paraId="4D62830E" w14:textId="347DC1C1" w:rsidR="000032EA" w:rsidRPr="0016789A" w:rsidRDefault="000032EA" w:rsidP="00D17747">
            <w:pPr>
              <w:spacing w:after="40" w:line="240" w:lineRule="auto"/>
              <w:contextualSpacing w:val="0"/>
              <w:rPr>
                <w:rFonts w:asciiTheme="minorHAnsi" w:hAnsiTheme="minorHAnsi" w:cs="Arial"/>
                <w:color w:val="000000"/>
                <w:szCs w:val="22"/>
              </w:rPr>
            </w:pPr>
            <w:r w:rsidRPr="0016789A">
              <w:rPr>
                <w:rFonts w:asciiTheme="minorHAnsi" w:hAnsiTheme="minorHAnsi" w:cs="Arial"/>
                <w:szCs w:val="22"/>
              </w:rPr>
              <w:t xml:space="preserve">Personal protective </w:t>
            </w:r>
            <w:r w:rsidRPr="004E7884">
              <w:rPr>
                <w:rFonts w:asciiTheme="minorHAnsi" w:hAnsiTheme="minorHAnsi" w:cs="Arial"/>
                <w:szCs w:val="22"/>
              </w:rPr>
              <w:t>equipment</w:t>
            </w:r>
            <w:r w:rsidR="00A713D2" w:rsidRPr="004E7884">
              <w:rPr>
                <w:rFonts w:asciiTheme="minorHAnsi" w:hAnsiTheme="minorHAnsi" w:cs="Arial"/>
                <w:szCs w:val="22"/>
              </w:rPr>
              <w:t xml:space="preserve"> is </w:t>
            </w:r>
            <w:r w:rsidR="004E7884">
              <w:rPr>
                <w:rFonts w:asciiTheme="minorHAnsi" w:hAnsiTheme="minorHAnsi" w:cs="Arial"/>
                <w:szCs w:val="22"/>
              </w:rPr>
              <w:t xml:space="preserve">equipment </w:t>
            </w:r>
            <w:r w:rsidRPr="004E7884">
              <w:rPr>
                <w:rFonts w:asciiTheme="minorHAnsi" w:hAnsiTheme="minorHAnsi" w:cs="Arial"/>
                <w:szCs w:val="22"/>
              </w:rPr>
              <w:t>used</w:t>
            </w:r>
            <w:r w:rsidRPr="0016789A">
              <w:rPr>
                <w:rFonts w:asciiTheme="minorHAnsi" w:hAnsiTheme="minorHAnsi" w:cs="Arial"/>
                <w:szCs w:val="22"/>
              </w:rPr>
              <w:t xml:space="preserve"> or worn by a person to minimise risk to the person’s health and safety.</w:t>
            </w:r>
          </w:p>
        </w:tc>
      </w:tr>
      <w:tr w:rsidR="000032EA" w:rsidRPr="0016789A" w14:paraId="17EBA21F" w14:textId="77777777" w:rsidTr="0016789A">
        <w:tc>
          <w:tcPr>
            <w:tcW w:w="2685" w:type="dxa"/>
          </w:tcPr>
          <w:p w14:paraId="5601CEE7" w14:textId="45B74758" w:rsidR="000032EA" w:rsidRPr="0016789A" w:rsidRDefault="000032EA" w:rsidP="000032EA">
            <w:pPr>
              <w:pStyle w:val="Paragraphtable"/>
              <w:rPr>
                <w:rFonts w:cs="Arial"/>
                <w:b/>
                <w:bCs w:val="0"/>
                <w:sz w:val="22"/>
              </w:rPr>
            </w:pPr>
            <w:r w:rsidRPr="0016789A">
              <w:rPr>
                <w:rFonts w:cs="Arial"/>
                <w:b/>
                <w:bCs w:val="0"/>
                <w:sz w:val="22"/>
              </w:rPr>
              <w:t>Prohibition notice</w:t>
            </w:r>
          </w:p>
        </w:tc>
        <w:tc>
          <w:tcPr>
            <w:tcW w:w="7089" w:type="dxa"/>
          </w:tcPr>
          <w:p w14:paraId="1E6B5D6B" w14:textId="2338CAC5" w:rsidR="000032EA" w:rsidRPr="0016789A" w:rsidRDefault="000032EA" w:rsidP="0016789A">
            <w:pPr>
              <w:spacing w:after="840" w:line="240" w:lineRule="auto"/>
              <w:contextualSpacing w:val="0"/>
              <w:rPr>
                <w:rFonts w:asciiTheme="minorHAnsi" w:hAnsiTheme="minorHAnsi" w:cs="Arial"/>
                <w:szCs w:val="22"/>
              </w:rPr>
            </w:pPr>
            <w:r w:rsidRPr="0016789A">
              <w:rPr>
                <w:rFonts w:asciiTheme="minorHAnsi" w:hAnsiTheme="minorHAnsi" w:cs="Arial"/>
                <w:color w:val="000000"/>
                <w:szCs w:val="22"/>
              </w:rPr>
              <w:t xml:space="preserve">This is a type of notice that inspectors can issue to stop or prevent an activity at a workplace or modify the way the activity is carried out if they reasonably believe that it will involve a serious risk to the health and safety of a person emanating from immediate or imminent exposure to a hazard. </w:t>
            </w:r>
          </w:p>
        </w:tc>
      </w:tr>
      <w:tr w:rsidR="000032EA" w:rsidRPr="0016789A" w14:paraId="036BF72F" w14:textId="77777777" w:rsidTr="0016789A">
        <w:tc>
          <w:tcPr>
            <w:tcW w:w="2685" w:type="dxa"/>
          </w:tcPr>
          <w:p w14:paraId="4D362079" w14:textId="5FF66BC3" w:rsidR="000032EA" w:rsidRPr="0016789A" w:rsidRDefault="000032EA" w:rsidP="000032EA">
            <w:pPr>
              <w:pStyle w:val="Paragraphtable"/>
              <w:rPr>
                <w:rFonts w:cs="Arial"/>
                <w:b/>
                <w:bCs w:val="0"/>
                <w:sz w:val="22"/>
              </w:rPr>
            </w:pPr>
            <w:r w:rsidRPr="0016789A">
              <w:rPr>
                <w:rFonts w:cs="Arial"/>
                <w:b/>
                <w:bCs w:val="0"/>
                <w:sz w:val="22"/>
              </w:rPr>
              <w:t>Psychological injury</w:t>
            </w:r>
          </w:p>
        </w:tc>
        <w:tc>
          <w:tcPr>
            <w:tcW w:w="7089" w:type="dxa"/>
          </w:tcPr>
          <w:p w14:paraId="30889940" w14:textId="0B90FFB2" w:rsidR="000032EA" w:rsidRPr="0016789A" w:rsidRDefault="000032EA" w:rsidP="00D17747">
            <w:pPr>
              <w:spacing w:after="40" w:line="240" w:lineRule="auto"/>
              <w:contextualSpacing w:val="0"/>
              <w:rPr>
                <w:rFonts w:asciiTheme="minorHAnsi" w:hAnsiTheme="minorHAnsi" w:cs="Arial"/>
                <w:color w:val="000000"/>
                <w:szCs w:val="22"/>
              </w:rPr>
            </w:pPr>
            <w:r w:rsidRPr="0016789A">
              <w:rPr>
                <w:rFonts w:asciiTheme="minorHAnsi" w:hAnsiTheme="minorHAnsi" w:cs="Arial"/>
                <w:color w:val="000000"/>
                <w:szCs w:val="22"/>
              </w:rPr>
              <w:t>This is a disorder diagnosed by a medical practitioner which includes a range of recognised cognitive, emotional, physical and behavioural symptoms. These may be short-term or occur over many months or years and can significantly affect how a person feels, thinks, behaves and interacts with others. These are sometimes also known as mental health conditions or disorders.</w:t>
            </w:r>
          </w:p>
        </w:tc>
      </w:tr>
      <w:tr w:rsidR="000032EA" w:rsidRPr="0016789A" w14:paraId="58FE5A98" w14:textId="77777777" w:rsidTr="0016789A">
        <w:tc>
          <w:tcPr>
            <w:tcW w:w="2685" w:type="dxa"/>
          </w:tcPr>
          <w:p w14:paraId="0FFA79EB" w14:textId="30E65F1F" w:rsidR="000032EA" w:rsidRPr="0016789A" w:rsidRDefault="000032EA" w:rsidP="000032EA">
            <w:pPr>
              <w:pStyle w:val="Paragraphtable"/>
              <w:rPr>
                <w:rFonts w:cs="Arial"/>
                <w:b/>
                <w:bCs w:val="0"/>
                <w:sz w:val="22"/>
              </w:rPr>
            </w:pPr>
            <w:r w:rsidRPr="0016789A">
              <w:rPr>
                <w:rFonts w:cs="Arial"/>
                <w:b/>
                <w:bCs w:val="0"/>
                <w:sz w:val="22"/>
              </w:rPr>
              <w:t>Psychosocial hazard</w:t>
            </w:r>
          </w:p>
        </w:tc>
        <w:tc>
          <w:tcPr>
            <w:tcW w:w="7089" w:type="dxa"/>
          </w:tcPr>
          <w:p w14:paraId="1723F1C2" w14:textId="10DC034E" w:rsidR="000032EA" w:rsidRPr="0016789A" w:rsidRDefault="000032EA" w:rsidP="00D17747">
            <w:pPr>
              <w:spacing w:after="40" w:line="240" w:lineRule="auto"/>
              <w:contextualSpacing w:val="0"/>
              <w:rPr>
                <w:rFonts w:asciiTheme="minorHAnsi" w:hAnsiTheme="minorHAnsi" w:cs="Arial"/>
                <w:color w:val="000000"/>
                <w:szCs w:val="22"/>
              </w:rPr>
            </w:pPr>
            <w:r w:rsidRPr="0016789A">
              <w:rPr>
                <w:rFonts w:asciiTheme="minorHAnsi" w:hAnsiTheme="minorHAnsi" w:cs="Arial"/>
                <w:color w:val="000000"/>
                <w:szCs w:val="22"/>
              </w:rPr>
              <w:t>Psychosocial hazards are hazards</w:t>
            </w:r>
            <w:r w:rsidRPr="0016789A">
              <w:rPr>
                <w:rFonts w:asciiTheme="minorHAnsi" w:eastAsia="Aptos" w:hAnsiTheme="minorHAnsi" w:cs="Aptos"/>
                <w:szCs w:val="22"/>
              </w:rPr>
              <w:t xml:space="preserve"> that arise from or relate to the design or management of work; or a work environment; or plant at a workplace; or workplace interactions or behaviours; and may cause psychological harm (whether or not it may also cause physical harm).</w:t>
            </w:r>
          </w:p>
        </w:tc>
      </w:tr>
      <w:tr w:rsidR="000032EA" w:rsidRPr="0016789A" w14:paraId="16EDE49B" w14:textId="77777777" w:rsidTr="0016789A">
        <w:tc>
          <w:tcPr>
            <w:tcW w:w="2685" w:type="dxa"/>
          </w:tcPr>
          <w:p w14:paraId="65846599" w14:textId="3F67C681" w:rsidR="000032EA" w:rsidRPr="0016789A" w:rsidRDefault="000032EA" w:rsidP="000032EA">
            <w:pPr>
              <w:pStyle w:val="Paragraphtable"/>
              <w:rPr>
                <w:rFonts w:cs="Arial"/>
                <w:b/>
                <w:bCs w:val="0"/>
                <w:sz w:val="22"/>
              </w:rPr>
            </w:pPr>
            <w:r w:rsidRPr="0016789A">
              <w:rPr>
                <w:rFonts w:cs="Arial"/>
                <w:b/>
                <w:bCs w:val="0"/>
                <w:sz w:val="22"/>
              </w:rPr>
              <w:t>Qld</w:t>
            </w:r>
          </w:p>
        </w:tc>
        <w:tc>
          <w:tcPr>
            <w:tcW w:w="7089" w:type="dxa"/>
          </w:tcPr>
          <w:p w14:paraId="233A8430" w14:textId="0B37258C" w:rsidR="000032EA" w:rsidRPr="0016789A" w:rsidRDefault="000032EA" w:rsidP="00D17747">
            <w:pPr>
              <w:spacing w:after="40" w:line="240" w:lineRule="auto"/>
              <w:contextualSpacing w:val="0"/>
              <w:rPr>
                <w:rFonts w:asciiTheme="minorHAnsi" w:eastAsia="Arial" w:hAnsiTheme="minorHAnsi" w:cs="Arial"/>
                <w:color w:val="000000"/>
                <w:szCs w:val="22"/>
              </w:rPr>
            </w:pPr>
            <w:r w:rsidRPr="0016789A">
              <w:rPr>
                <w:rFonts w:asciiTheme="minorHAnsi" w:eastAsia="Arial" w:hAnsiTheme="minorHAnsi" w:cs="Arial"/>
                <w:color w:val="000000"/>
                <w:szCs w:val="22"/>
              </w:rPr>
              <w:t>Queensland</w:t>
            </w:r>
          </w:p>
        </w:tc>
      </w:tr>
      <w:tr w:rsidR="000032EA" w:rsidRPr="0016789A" w14:paraId="4DF08E9B" w14:textId="77777777" w:rsidTr="0016789A">
        <w:tc>
          <w:tcPr>
            <w:tcW w:w="2685" w:type="dxa"/>
          </w:tcPr>
          <w:p w14:paraId="3A36630B" w14:textId="209BA80D" w:rsidR="000032EA" w:rsidRPr="0016789A" w:rsidRDefault="000032EA" w:rsidP="000032EA">
            <w:pPr>
              <w:pStyle w:val="Paragraphtable"/>
              <w:rPr>
                <w:rFonts w:cs="Arial"/>
                <w:b/>
                <w:bCs w:val="0"/>
                <w:sz w:val="22"/>
              </w:rPr>
            </w:pPr>
            <w:r w:rsidRPr="0016789A">
              <w:rPr>
                <w:rFonts w:cs="Arial"/>
                <w:b/>
                <w:bCs w:val="0"/>
                <w:sz w:val="22"/>
              </w:rPr>
              <w:t>Queensland WHS Act</w:t>
            </w:r>
          </w:p>
        </w:tc>
        <w:tc>
          <w:tcPr>
            <w:tcW w:w="7089" w:type="dxa"/>
          </w:tcPr>
          <w:p w14:paraId="53826F31" w14:textId="0E8AC91A" w:rsidR="000032EA" w:rsidRPr="0016789A" w:rsidRDefault="000032EA" w:rsidP="00D17747">
            <w:pPr>
              <w:spacing w:after="40" w:line="240" w:lineRule="auto"/>
              <w:contextualSpacing w:val="0"/>
              <w:rPr>
                <w:rFonts w:asciiTheme="minorHAnsi" w:eastAsia="Arial" w:hAnsiTheme="minorHAnsi" w:cs="Arial"/>
                <w:color w:val="000000"/>
                <w:szCs w:val="22"/>
              </w:rPr>
            </w:pPr>
            <w:r w:rsidRPr="0016789A">
              <w:rPr>
                <w:rFonts w:asciiTheme="minorHAnsi" w:eastAsia="Arial" w:hAnsiTheme="minorHAnsi" w:cs="Arial"/>
                <w:i/>
                <w:color w:val="000000"/>
                <w:szCs w:val="22"/>
              </w:rPr>
              <w:t xml:space="preserve">Work Health and Safety Act 2011 </w:t>
            </w:r>
            <w:r w:rsidRPr="0016789A">
              <w:rPr>
                <w:rFonts w:asciiTheme="minorHAnsi" w:eastAsia="Arial" w:hAnsiTheme="minorHAnsi" w:cs="Arial"/>
                <w:color w:val="000000"/>
                <w:szCs w:val="22"/>
              </w:rPr>
              <w:t>(Queensland)</w:t>
            </w:r>
          </w:p>
        </w:tc>
      </w:tr>
      <w:tr w:rsidR="000032EA" w:rsidRPr="0016789A" w14:paraId="0CBE81A3" w14:textId="77777777" w:rsidTr="0016789A">
        <w:tc>
          <w:tcPr>
            <w:tcW w:w="2685" w:type="dxa"/>
          </w:tcPr>
          <w:p w14:paraId="0F07F365" w14:textId="037FF2AE" w:rsidR="000032EA" w:rsidRPr="0016789A" w:rsidRDefault="000032EA" w:rsidP="000032EA">
            <w:pPr>
              <w:pStyle w:val="Paragraphtable"/>
              <w:rPr>
                <w:rFonts w:cs="Arial"/>
                <w:b/>
                <w:bCs w:val="0"/>
                <w:sz w:val="22"/>
              </w:rPr>
            </w:pPr>
            <w:r w:rsidRPr="0016789A">
              <w:rPr>
                <w:rFonts w:cs="Arial"/>
                <w:b/>
                <w:bCs w:val="0"/>
                <w:sz w:val="22"/>
              </w:rPr>
              <w:t>Queensland WHS Regulations</w:t>
            </w:r>
          </w:p>
        </w:tc>
        <w:tc>
          <w:tcPr>
            <w:tcW w:w="7089" w:type="dxa"/>
          </w:tcPr>
          <w:p w14:paraId="3F1110CE" w14:textId="5E8DB3FB" w:rsidR="000032EA" w:rsidRPr="0016789A" w:rsidRDefault="000032EA" w:rsidP="00D17747">
            <w:pPr>
              <w:spacing w:after="40" w:line="240" w:lineRule="auto"/>
              <w:contextualSpacing w:val="0"/>
              <w:rPr>
                <w:rFonts w:asciiTheme="minorHAnsi" w:eastAsia="Arial" w:hAnsiTheme="minorHAnsi" w:cs="Arial"/>
                <w:i/>
                <w:color w:val="000000"/>
                <w:szCs w:val="22"/>
              </w:rPr>
            </w:pPr>
            <w:r w:rsidRPr="0016789A">
              <w:rPr>
                <w:rFonts w:asciiTheme="minorHAnsi" w:eastAsia="Arial" w:hAnsiTheme="minorHAnsi" w:cs="Arial"/>
                <w:iCs/>
                <w:color w:val="000000"/>
                <w:szCs w:val="22"/>
              </w:rPr>
              <w:t>Work Health and Safety Regulation 2011</w:t>
            </w:r>
            <w:r w:rsidRPr="0016789A">
              <w:rPr>
                <w:rFonts w:asciiTheme="minorHAnsi" w:eastAsia="Arial" w:hAnsiTheme="minorHAnsi" w:cs="Arial"/>
                <w:color w:val="000000"/>
                <w:szCs w:val="22"/>
              </w:rPr>
              <w:t xml:space="preserve"> (Queensland)</w:t>
            </w:r>
          </w:p>
        </w:tc>
      </w:tr>
      <w:tr w:rsidR="000032EA" w:rsidRPr="0016789A" w14:paraId="3A5A6649" w14:textId="77777777" w:rsidTr="0016789A">
        <w:tc>
          <w:tcPr>
            <w:tcW w:w="2685" w:type="dxa"/>
          </w:tcPr>
          <w:p w14:paraId="63DACC37" w14:textId="3912C6AD" w:rsidR="000032EA" w:rsidRPr="0016789A" w:rsidRDefault="000032EA" w:rsidP="000032EA">
            <w:pPr>
              <w:pStyle w:val="Paragraphtable"/>
              <w:rPr>
                <w:rFonts w:cs="Arial"/>
                <w:b/>
                <w:bCs w:val="0"/>
                <w:sz w:val="22"/>
              </w:rPr>
            </w:pPr>
            <w:r w:rsidRPr="0016789A">
              <w:rPr>
                <w:rFonts w:cs="Arial"/>
                <w:b/>
                <w:bCs w:val="0"/>
                <w:sz w:val="22"/>
              </w:rPr>
              <w:lastRenderedPageBreak/>
              <w:t>Regulator</w:t>
            </w:r>
          </w:p>
        </w:tc>
        <w:tc>
          <w:tcPr>
            <w:tcW w:w="7089" w:type="dxa"/>
          </w:tcPr>
          <w:p w14:paraId="5BD94C8B" w14:textId="205CB19E" w:rsidR="000032EA" w:rsidRPr="0016789A" w:rsidRDefault="000032EA" w:rsidP="00D17747">
            <w:pPr>
              <w:spacing w:after="40" w:line="240" w:lineRule="auto"/>
              <w:contextualSpacing w:val="0"/>
              <w:rPr>
                <w:rFonts w:asciiTheme="minorHAnsi" w:eastAsia="MS Mincho" w:hAnsiTheme="minorHAnsi" w:cs="Arial"/>
                <w:szCs w:val="22"/>
              </w:rPr>
            </w:pPr>
            <w:r w:rsidRPr="0016789A">
              <w:rPr>
                <w:rFonts w:asciiTheme="minorHAnsi" w:hAnsiTheme="minorHAnsi" w:cs="Arial"/>
                <w:color w:val="000000"/>
                <w:szCs w:val="22"/>
              </w:rPr>
              <w:t>This is the relevant WHS regulator for each jurisdiction. The regulator manages compliance and enforcement of WHS laws and has enforcement and arbitration powers. The regulators are Comcare (Commonwealth), WorkSafe ACT, SafeWork NSW, NT WorkSafe, Workplace Health and Safety Queensland, SafeWork SA, WorkSafe Tasmania, WorkSafe Victoria, and WorkSafe WA.</w:t>
            </w:r>
          </w:p>
        </w:tc>
      </w:tr>
      <w:tr w:rsidR="000032EA" w:rsidRPr="0016789A" w14:paraId="4F1FC4C7" w14:textId="77777777" w:rsidTr="0016789A">
        <w:tc>
          <w:tcPr>
            <w:tcW w:w="2685" w:type="dxa"/>
          </w:tcPr>
          <w:p w14:paraId="0AFD6ABA" w14:textId="10CCE71B" w:rsidR="000032EA" w:rsidRPr="0016789A" w:rsidRDefault="000032EA" w:rsidP="000032EA">
            <w:pPr>
              <w:pStyle w:val="Paragraphtable"/>
              <w:rPr>
                <w:rFonts w:cs="Arial"/>
                <w:b/>
                <w:bCs w:val="0"/>
                <w:sz w:val="22"/>
              </w:rPr>
            </w:pPr>
            <w:r w:rsidRPr="0016789A">
              <w:rPr>
                <w:rFonts w:cs="Arial"/>
                <w:b/>
                <w:bCs w:val="0"/>
                <w:sz w:val="22"/>
              </w:rPr>
              <w:t>Reviewable decisions</w:t>
            </w:r>
          </w:p>
        </w:tc>
        <w:tc>
          <w:tcPr>
            <w:tcW w:w="7089" w:type="dxa"/>
          </w:tcPr>
          <w:p w14:paraId="1FCA9E00" w14:textId="77777777" w:rsidR="000032EA" w:rsidRPr="0016789A" w:rsidRDefault="000032EA" w:rsidP="00D17747">
            <w:pPr>
              <w:spacing w:after="40" w:line="240" w:lineRule="auto"/>
              <w:contextualSpacing w:val="0"/>
              <w:rPr>
                <w:rFonts w:asciiTheme="minorHAnsi" w:hAnsiTheme="minorHAnsi" w:cs="Arial"/>
                <w:color w:val="000000"/>
                <w:szCs w:val="22"/>
              </w:rPr>
            </w:pPr>
            <w:r w:rsidRPr="0016789A">
              <w:rPr>
                <w:rFonts w:asciiTheme="minorHAnsi" w:hAnsiTheme="minorHAnsi" w:cs="Arial"/>
                <w:color w:val="000000"/>
                <w:szCs w:val="22"/>
              </w:rPr>
              <w:t>The model laws set out how decisions made under WHS laws can be reviewed.</w:t>
            </w:r>
          </w:p>
          <w:p w14:paraId="36F42442" w14:textId="3B1C1967" w:rsidR="000032EA" w:rsidRPr="0016789A" w:rsidRDefault="000032EA" w:rsidP="00D17747">
            <w:pPr>
              <w:spacing w:after="40" w:line="240" w:lineRule="auto"/>
              <w:contextualSpacing w:val="0"/>
              <w:rPr>
                <w:rFonts w:asciiTheme="minorHAnsi" w:hAnsiTheme="minorHAnsi" w:cs="Arial"/>
                <w:color w:val="000000"/>
                <w:szCs w:val="22"/>
              </w:rPr>
            </w:pPr>
            <w:r w:rsidRPr="0016789A">
              <w:rPr>
                <w:rFonts w:asciiTheme="minorHAnsi" w:hAnsiTheme="minorHAnsi" w:cs="Arial"/>
                <w:color w:val="000000"/>
                <w:szCs w:val="22"/>
              </w:rPr>
              <w:t xml:space="preserve">Generally, decisions made by inspectors can be reviewed by the regulator internally at the first instance (internal review) and then go on to be reviewed by an external review body (external review). Decisions made by a regulator must be reviewed externally. A jurisdictional note allows jurisdictions to decide who the external review body is. </w:t>
            </w:r>
          </w:p>
        </w:tc>
      </w:tr>
      <w:tr w:rsidR="000032EA" w:rsidRPr="0016789A" w14:paraId="3B9DBFEA" w14:textId="77777777" w:rsidTr="0016789A">
        <w:tc>
          <w:tcPr>
            <w:tcW w:w="2685" w:type="dxa"/>
          </w:tcPr>
          <w:p w14:paraId="25E2BAC8" w14:textId="2DD84EE6" w:rsidR="000032EA" w:rsidRPr="0016789A" w:rsidRDefault="000032EA" w:rsidP="000032EA">
            <w:pPr>
              <w:pStyle w:val="Paragraphtable"/>
              <w:rPr>
                <w:rFonts w:cs="Arial"/>
                <w:b/>
                <w:bCs w:val="0"/>
                <w:sz w:val="22"/>
              </w:rPr>
            </w:pPr>
            <w:r w:rsidRPr="0016789A">
              <w:rPr>
                <w:rFonts w:cs="Arial"/>
                <w:b/>
                <w:bCs w:val="0"/>
                <w:sz w:val="22"/>
              </w:rPr>
              <w:t>Risk-based offending</w:t>
            </w:r>
          </w:p>
        </w:tc>
        <w:tc>
          <w:tcPr>
            <w:tcW w:w="7089" w:type="dxa"/>
          </w:tcPr>
          <w:p w14:paraId="06245A02" w14:textId="5E578DB1" w:rsidR="000032EA" w:rsidRPr="0016789A" w:rsidRDefault="000032EA" w:rsidP="00D17747">
            <w:pPr>
              <w:spacing w:after="40" w:line="240" w:lineRule="auto"/>
              <w:contextualSpacing w:val="0"/>
              <w:rPr>
                <w:rFonts w:asciiTheme="minorHAnsi" w:hAnsiTheme="minorHAnsi" w:cs="Arial"/>
                <w:color w:val="000000"/>
                <w:szCs w:val="22"/>
              </w:rPr>
            </w:pPr>
            <w:r w:rsidRPr="0016789A">
              <w:rPr>
                <w:rFonts w:asciiTheme="minorHAnsi" w:hAnsiTheme="minorHAnsi" w:cs="Arial"/>
                <w:color w:val="000000"/>
                <w:szCs w:val="22"/>
              </w:rPr>
              <w:t>WHS</w:t>
            </w:r>
            <w:r w:rsidRPr="0016789A">
              <w:rPr>
                <w:rFonts w:asciiTheme="minorHAnsi" w:eastAsia="Arial" w:hAnsiTheme="minorHAnsi" w:cs="Arial"/>
                <w:color w:val="000000"/>
                <w:szCs w:val="22"/>
              </w:rPr>
              <w:t xml:space="preserve"> offences are primarily risk-based, meaning that it is a contravention of the laws where the alleged breach of the duty exposed an individual to a </w:t>
            </w:r>
            <w:r w:rsidRPr="0016789A">
              <w:rPr>
                <w:rFonts w:asciiTheme="minorHAnsi" w:eastAsia="Arial" w:hAnsiTheme="minorHAnsi" w:cs="Arial"/>
                <w:i/>
                <w:color w:val="000000"/>
                <w:szCs w:val="22"/>
              </w:rPr>
              <w:t xml:space="preserve">risk </w:t>
            </w:r>
            <w:r w:rsidRPr="0016789A">
              <w:rPr>
                <w:rFonts w:asciiTheme="minorHAnsi" w:eastAsia="Arial" w:hAnsiTheme="minorHAnsi" w:cs="Arial"/>
                <w:color w:val="000000"/>
                <w:szCs w:val="22"/>
              </w:rPr>
              <w:t>of harm, but no harm actually occurred.</w:t>
            </w:r>
          </w:p>
        </w:tc>
      </w:tr>
      <w:tr w:rsidR="000032EA" w:rsidRPr="0016789A" w14:paraId="7E127499" w14:textId="77777777" w:rsidTr="0016789A">
        <w:tc>
          <w:tcPr>
            <w:tcW w:w="2685" w:type="dxa"/>
          </w:tcPr>
          <w:p w14:paraId="71A9F305" w14:textId="250FFC22" w:rsidR="000032EA" w:rsidRPr="0016789A" w:rsidRDefault="000032EA" w:rsidP="000032EA">
            <w:pPr>
              <w:pStyle w:val="Paragraphtable"/>
              <w:rPr>
                <w:rFonts w:cs="Arial"/>
                <w:b/>
                <w:bCs w:val="0"/>
                <w:sz w:val="22"/>
              </w:rPr>
            </w:pPr>
            <w:r w:rsidRPr="0016789A">
              <w:rPr>
                <w:rFonts w:cs="Arial"/>
                <w:b/>
                <w:bCs w:val="0"/>
                <w:sz w:val="22"/>
              </w:rPr>
              <w:t>Robens model</w:t>
            </w:r>
          </w:p>
        </w:tc>
        <w:tc>
          <w:tcPr>
            <w:tcW w:w="7089" w:type="dxa"/>
          </w:tcPr>
          <w:p w14:paraId="1FDD0B97" w14:textId="71486337" w:rsidR="000032EA" w:rsidRPr="0016789A" w:rsidRDefault="000032EA" w:rsidP="00D17747">
            <w:pPr>
              <w:spacing w:after="40" w:line="240" w:lineRule="auto"/>
              <w:contextualSpacing w:val="0"/>
              <w:rPr>
                <w:rFonts w:asciiTheme="minorHAnsi" w:hAnsiTheme="minorHAnsi" w:cs="Arial"/>
                <w:color w:val="000000"/>
                <w:szCs w:val="22"/>
              </w:rPr>
            </w:pPr>
            <w:r w:rsidRPr="0016789A">
              <w:rPr>
                <w:rFonts w:asciiTheme="minorHAnsi" w:hAnsiTheme="minorHAnsi" w:cs="Arial"/>
                <w:color w:val="000000"/>
                <w:szCs w:val="22"/>
              </w:rPr>
              <w:t xml:space="preserve">This is a common term used to describe an approach to regulating WHS established under Lord Robens’ </w:t>
            </w:r>
            <w:r w:rsidRPr="0016789A">
              <w:rPr>
                <w:rFonts w:asciiTheme="minorHAnsi" w:hAnsiTheme="minorHAnsi" w:cs="Arial"/>
                <w:i/>
                <w:iCs/>
                <w:color w:val="000000"/>
                <w:szCs w:val="22"/>
              </w:rPr>
              <w:t>Report of the Committee on Safety and Health at Work</w:t>
            </w:r>
            <w:r w:rsidRPr="0016789A">
              <w:rPr>
                <w:rFonts w:asciiTheme="minorHAnsi" w:hAnsiTheme="minorHAnsi" w:cs="Arial"/>
                <w:color w:val="000000"/>
                <w:szCs w:val="22"/>
              </w:rPr>
              <w:t>, HSMO, London, 1972. Key features of the Robens model include a unified and integrated system of general duties and self-regulation through greater consultation between workers and PCBUs.</w:t>
            </w:r>
          </w:p>
        </w:tc>
      </w:tr>
      <w:tr w:rsidR="000032EA" w:rsidRPr="0016789A" w14:paraId="68F51AAA" w14:textId="77777777" w:rsidTr="0016789A">
        <w:tc>
          <w:tcPr>
            <w:tcW w:w="2685" w:type="dxa"/>
          </w:tcPr>
          <w:p w14:paraId="5A45F14D" w14:textId="1E0CEB70" w:rsidR="000032EA" w:rsidRPr="0016789A" w:rsidRDefault="000032EA" w:rsidP="00BE79D5">
            <w:pPr>
              <w:pStyle w:val="Paragraphtable"/>
              <w:rPr>
                <w:rFonts w:cs="Arial"/>
                <w:b/>
                <w:bCs w:val="0"/>
                <w:sz w:val="22"/>
              </w:rPr>
            </w:pPr>
            <w:r w:rsidRPr="0016789A">
              <w:rPr>
                <w:rFonts w:cs="Arial"/>
                <w:b/>
                <w:bCs w:val="0"/>
                <w:sz w:val="22"/>
              </w:rPr>
              <w:t>RSNL</w:t>
            </w:r>
          </w:p>
        </w:tc>
        <w:tc>
          <w:tcPr>
            <w:tcW w:w="7089" w:type="dxa"/>
          </w:tcPr>
          <w:p w14:paraId="48470E1C" w14:textId="70B0EEF1" w:rsidR="000032EA" w:rsidRPr="0016789A" w:rsidRDefault="000032EA" w:rsidP="00D17747">
            <w:pPr>
              <w:spacing w:after="40" w:line="240" w:lineRule="auto"/>
              <w:contextualSpacing w:val="0"/>
              <w:rPr>
                <w:rFonts w:asciiTheme="minorHAnsi" w:hAnsiTheme="minorHAnsi" w:cs="Arial"/>
                <w:color w:val="000000"/>
                <w:szCs w:val="22"/>
              </w:rPr>
            </w:pPr>
            <w:r w:rsidRPr="0016789A">
              <w:rPr>
                <w:rFonts w:asciiTheme="minorHAnsi" w:hAnsiTheme="minorHAnsi" w:cs="Arial"/>
                <w:color w:val="000000"/>
                <w:szCs w:val="22"/>
              </w:rPr>
              <w:t>Rail Safety National Law</w:t>
            </w:r>
          </w:p>
        </w:tc>
      </w:tr>
      <w:tr w:rsidR="000032EA" w:rsidRPr="0016789A" w14:paraId="62A91255" w14:textId="77777777" w:rsidTr="0016789A">
        <w:tc>
          <w:tcPr>
            <w:tcW w:w="2685" w:type="dxa"/>
          </w:tcPr>
          <w:p w14:paraId="3730C8B1" w14:textId="0B313AA6" w:rsidR="000032EA" w:rsidRPr="0016789A" w:rsidRDefault="000032EA" w:rsidP="00BE79D5">
            <w:pPr>
              <w:pStyle w:val="Paragraphtable"/>
              <w:rPr>
                <w:rFonts w:cs="Arial"/>
                <w:b/>
                <w:bCs w:val="0"/>
                <w:sz w:val="22"/>
              </w:rPr>
            </w:pPr>
            <w:r w:rsidRPr="0016789A">
              <w:rPr>
                <w:rFonts w:cs="Arial"/>
                <w:b/>
                <w:bCs w:val="0"/>
                <w:sz w:val="22"/>
              </w:rPr>
              <w:t>SA</w:t>
            </w:r>
          </w:p>
        </w:tc>
        <w:tc>
          <w:tcPr>
            <w:tcW w:w="7089" w:type="dxa"/>
          </w:tcPr>
          <w:p w14:paraId="65900F55" w14:textId="7AA397C4" w:rsidR="000032EA" w:rsidRPr="0016789A" w:rsidRDefault="000032EA" w:rsidP="00D17747">
            <w:pPr>
              <w:spacing w:after="40" w:line="240" w:lineRule="auto"/>
              <w:contextualSpacing w:val="0"/>
              <w:rPr>
                <w:rFonts w:asciiTheme="minorHAnsi" w:hAnsiTheme="minorHAnsi" w:cs="Arial"/>
                <w:color w:val="000000"/>
                <w:szCs w:val="22"/>
              </w:rPr>
            </w:pPr>
            <w:r w:rsidRPr="0016789A">
              <w:rPr>
                <w:rFonts w:asciiTheme="minorHAnsi" w:hAnsiTheme="minorHAnsi" w:cs="Arial"/>
                <w:color w:val="000000"/>
                <w:szCs w:val="22"/>
              </w:rPr>
              <w:t>South Australia</w:t>
            </w:r>
          </w:p>
        </w:tc>
      </w:tr>
      <w:tr w:rsidR="000032EA" w:rsidRPr="0016789A" w14:paraId="196E09A0" w14:textId="77777777" w:rsidTr="0016789A">
        <w:tc>
          <w:tcPr>
            <w:tcW w:w="2685" w:type="dxa"/>
          </w:tcPr>
          <w:p w14:paraId="30000289" w14:textId="2D73ED5B" w:rsidR="000032EA" w:rsidRPr="0016789A" w:rsidRDefault="000032EA" w:rsidP="00BE79D5">
            <w:pPr>
              <w:pStyle w:val="Paragraphtable"/>
              <w:rPr>
                <w:rFonts w:cs="Arial"/>
                <w:b/>
                <w:bCs w:val="0"/>
                <w:sz w:val="22"/>
              </w:rPr>
            </w:pPr>
            <w:r w:rsidRPr="0016789A">
              <w:rPr>
                <w:rFonts w:cs="Arial"/>
                <w:b/>
                <w:bCs w:val="0"/>
                <w:sz w:val="22"/>
              </w:rPr>
              <w:t>SA WHS Act</w:t>
            </w:r>
          </w:p>
        </w:tc>
        <w:tc>
          <w:tcPr>
            <w:tcW w:w="7089" w:type="dxa"/>
          </w:tcPr>
          <w:p w14:paraId="0B6E16D1" w14:textId="536598AB" w:rsidR="000032EA" w:rsidRPr="0016789A" w:rsidRDefault="000032EA" w:rsidP="00D17747">
            <w:pPr>
              <w:spacing w:after="40" w:line="240" w:lineRule="auto"/>
              <w:contextualSpacing w:val="0"/>
              <w:rPr>
                <w:rFonts w:asciiTheme="minorHAnsi" w:hAnsiTheme="minorHAnsi" w:cs="Arial"/>
                <w:color w:val="000000"/>
                <w:szCs w:val="22"/>
              </w:rPr>
            </w:pPr>
            <w:r w:rsidRPr="0016789A">
              <w:rPr>
                <w:rFonts w:asciiTheme="minorHAnsi" w:eastAsia="Arial" w:hAnsiTheme="minorHAnsi" w:cs="Arial"/>
                <w:i/>
                <w:color w:val="000000"/>
                <w:spacing w:val="-1"/>
                <w:szCs w:val="22"/>
              </w:rPr>
              <w:t xml:space="preserve">Work Health and Safety Act 2012 </w:t>
            </w:r>
            <w:r w:rsidRPr="0016789A">
              <w:rPr>
                <w:rFonts w:asciiTheme="minorHAnsi" w:eastAsia="Arial" w:hAnsiTheme="minorHAnsi" w:cs="Arial"/>
                <w:color w:val="000000"/>
                <w:spacing w:val="-1"/>
                <w:szCs w:val="22"/>
              </w:rPr>
              <w:t>(SA)</w:t>
            </w:r>
          </w:p>
        </w:tc>
      </w:tr>
      <w:tr w:rsidR="000032EA" w:rsidRPr="0016789A" w14:paraId="48252241" w14:textId="77777777" w:rsidTr="0016789A">
        <w:tc>
          <w:tcPr>
            <w:tcW w:w="2685" w:type="dxa"/>
          </w:tcPr>
          <w:p w14:paraId="22DE70BF" w14:textId="539FF1D3" w:rsidR="000032EA" w:rsidRPr="0016789A" w:rsidRDefault="000032EA" w:rsidP="00BE79D5">
            <w:pPr>
              <w:pStyle w:val="Paragraphtable"/>
              <w:rPr>
                <w:rFonts w:cs="Arial"/>
                <w:b/>
                <w:bCs w:val="0"/>
                <w:sz w:val="22"/>
              </w:rPr>
            </w:pPr>
            <w:r w:rsidRPr="0016789A">
              <w:rPr>
                <w:rFonts w:cs="Arial"/>
                <w:b/>
                <w:bCs w:val="0"/>
                <w:sz w:val="22"/>
              </w:rPr>
              <w:t xml:space="preserve">SA WHS Regulations </w:t>
            </w:r>
          </w:p>
        </w:tc>
        <w:tc>
          <w:tcPr>
            <w:tcW w:w="7089" w:type="dxa"/>
          </w:tcPr>
          <w:p w14:paraId="4A9819DD" w14:textId="3A0D202B" w:rsidR="000032EA" w:rsidRPr="0016789A" w:rsidRDefault="000032EA" w:rsidP="00D17747">
            <w:pPr>
              <w:spacing w:after="40" w:line="240" w:lineRule="auto"/>
              <w:contextualSpacing w:val="0"/>
              <w:rPr>
                <w:rFonts w:asciiTheme="minorHAnsi" w:eastAsia="Arial" w:hAnsiTheme="minorHAnsi" w:cs="Arial"/>
                <w:i/>
                <w:color w:val="000000"/>
                <w:spacing w:val="-1"/>
                <w:szCs w:val="22"/>
              </w:rPr>
            </w:pPr>
            <w:r w:rsidRPr="0016789A">
              <w:rPr>
                <w:rFonts w:asciiTheme="minorHAnsi" w:eastAsia="Arial" w:hAnsiTheme="minorHAnsi" w:cs="Arial"/>
                <w:iCs/>
                <w:color w:val="000000"/>
                <w:spacing w:val="-1"/>
                <w:szCs w:val="22"/>
              </w:rPr>
              <w:t>Work Health and Safety Regulations 2012</w:t>
            </w:r>
            <w:r w:rsidRPr="0016789A">
              <w:rPr>
                <w:rFonts w:asciiTheme="minorHAnsi" w:eastAsia="Arial" w:hAnsiTheme="minorHAnsi" w:cs="Arial"/>
                <w:i/>
                <w:color w:val="000000"/>
                <w:spacing w:val="-1"/>
                <w:szCs w:val="22"/>
              </w:rPr>
              <w:t xml:space="preserve"> </w:t>
            </w:r>
            <w:r w:rsidRPr="0016789A">
              <w:rPr>
                <w:rFonts w:asciiTheme="minorHAnsi" w:eastAsia="Arial" w:hAnsiTheme="minorHAnsi" w:cs="Arial"/>
                <w:iCs/>
                <w:color w:val="000000"/>
                <w:spacing w:val="-1"/>
                <w:szCs w:val="22"/>
              </w:rPr>
              <w:t xml:space="preserve">(SA) </w:t>
            </w:r>
          </w:p>
        </w:tc>
      </w:tr>
      <w:tr w:rsidR="000032EA" w:rsidRPr="0016789A" w14:paraId="134B9D59" w14:textId="77777777" w:rsidTr="0016789A">
        <w:tc>
          <w:tcPr>
            <w:tcW w:w="2685" w:type="dxa"/>
          </w:tcPr>
          <w:p w14:paraId="29B24F3F" w14:textId="56E02889" w:rsidR="000032EA" w:rsidRPr="0016789A" w:rsidRDefault="000032EA" w:rsidP="00BE79D5">
            <w:pPr>
              <w:pStyle w:val="Paragraphtable"/>
              <w:rPr>
                <w:rFonts w:cs="Arial"/>
                <w:b/>
                <w:bCs w:val="0"/>
                <w:sz w:val="22"/>
              </w:rPr>
            </w:pPr>
            <w:r w:rsidRPr="0016789A">
              <w:rPr>
                <w:rFonts w:cs="Arial"/>
                <w:b/>
                <w:bCs w:val="0"/>
                <w:sz w:val="22"/>
              </w:rPr>
              <w:t>Safe Work Australia Act</w:t>
            </w:r>
          </w:p>
        </w:tc>
        <w:tc>
          <w:tcPr>
            <w:tcW w:w="7089" w:type="dxa"/>
          </w:tcPr>
          <w:p w14:paraId="3896FBEE" w14:textId="251EAAB1" w:rsidR="000032EA" w:rsidRPr="0016789A" w:rsidRDefault="000032EA" w:rsidP="00D17747">
            <w:pPr>
              <w:spacing w:after="40" w:line="240" w:lineRule="auto"/>
              <w:contextualSpacing w:val="0"/>
              <w:rPr>
                <w:rFonts w:asciiTheme="minorHAnsi" w:eastAsia="Arial" w:hAnsiTheme="minorHAnsi" w:cs="Arial"/>
                <w:iCs/>
                <w:color w:val="000000"/>
                <w:spacing w:val="-1"/>
                <w:szCs w:val="22"/>
              </w:rPr>
            </w:pPr>
            <w:r w:rsidRPr="0016789A">
              <w:rPr>
                <w:rFonts w:asciiTheme="minorHAnsi" w:hAnsiTheme="minorHAnsi" w:cs="Arial"/>
                <w:color w:val="000000"/>
                <w:szCs w:val="22"/>
              </w:rPr>
              <w:t xml:space="preserve">The </w:t>
            </w:r>
            <w:r w:rsidRPr="0016789A">
              <w:rPr>
                <w:rFonts w:asciiTheme="minorHAnsi" w:hAnsiTheme="minorHAnsi" w:cs="Arial"/>
                <w:i/>
                <w:color w:val="000000"/>
                <w:szCs w:val="22"/>
              </w:rPr>
              <w:t>Safe Work Australia Act 2008</w:t>
            </w:r>
            <w:r w:rsidRPr="0016789A">
              <w:rPr>
                <w:rFonts w:asciiTheme="minorHAnsi" w:hAnsiTheme="minorHAnsi" w:cs="Arial"/>
                <w:color w:val="000000"/>
                <w:szCs w:val="22"/>
              </w:rPr>
              <w:t xml:space="preserve"> (Cth) establishes Safe Work Australia to improve work health and safety outcomes and workers’ compensation arrangements in Australia. The Act includes Safe Work Australia’s functions and sets out its membership </w:t>
            </w:r>
            <w:r w:rsidR="00A713D2">
              <w:rPr>
                <w:rFonts w:asciiTheme="minorHAnsi" w:eastAsia="Symbol" w:hAnsiTheme="minorHAnsi" w:cs="Symbol"/>
                <w:color w:val="000000"/>
                <w:szCs w:val="22"/>
              </w:rPr>
              <w:t>-</w:t>
            </w:r>
            <w:r w:rsidRPr="0016789A">
              <w:rPr>
                <w:rFonts w:asciiTheme="minorHAnsi" w:hAnsiTheme="minorHAnsi" w:cs="Arial"/>
                <w:color w:val="000000"/>
                <w:szCs w:val="22"/>
              </w:rPr>
              <w:t xml:space="preserve"> voting members represent the Commonwealth, states, territories, workers and employers.</w:t>
            </w:r>
          </w:p>
        </w:tc>
      </w:tr>
      <w:tr w:rsidR="000032EA" w:rsidRPr="0016789A" w14:paraId="4F9C7559" w14:textId="77777777" w:rsidTr="0016789A">
        <w:tc>
          <w:tcPr>
            <w:tcW w:w="2685" w:type="dxa"/>
          </w:tcPr>
          <w:p w14:paraId="606BCBA6" w14:textId="404EA4A9" w:rsidR="000032EA" w:rsidRPr="0016789A" w:rsidRDefault="000032EA" w:rsidP="00BE79D5">
            <w:pPr>
              <w:pStyle w:val="Paragraphtable"/>
              <w:rPr>
                <w:rFonts w:cs="Arial"/>
                <w:b/>
                <w:bCs w:val="0"/>
                <w:sz w:val="22"/>
              </w:rPr>
            </w:pPr>
            <w:r w:rsidRPr="0016789A">
              <w:rPr>
                <w:rFonts w:cs="Arial"/>
                <w:b/>
                <w:bCs w:val="0"/>
                <w:sz w:val="22"/>
              </w:rPr>
              <w:t>SDS</w:t>
            </w:r>
          </w:p>
        </w:tc>
        <w:tc>
          <w:tcPr>
            <w:tcW w:w="7089" w:type="dxa"/>
          </w:tcPr>
          <w:p w14:paraId="22707746" w14:textId="240FAC41" w:rsidR="000032EA" w:rsidRPr="0016789A" w:rsidRDefault="000032EA" w:rsidP="00D17747">
            <w:pPr>
              <w:spacing w:after="40" w:line="240" w:lineRule="auto"/>
              <w:contextualSpacing w:val="0"/>
              <w:rPr>
                <w:rFonts w:asciiTheme="minorHAnsi" w:hAnsiTheme="minorHAnsi" w:cs="Arial"/>
                <w:color w:val="000000"/>
                <w:szCs w:val="22"/>
              </w:rPr>
            </w:pPr>
            <w:r w:rsidRPr="0016789A">
              <w:rPr>
                <w:rFonts w:asciiTheme="minorHAnsi" w:hAnsiTheme="minorHAnsi" w:cs="Arial"/>
                <w:color w:val="000000"/>
                <w:szCs w:val="22"/>
              </w:rPr>
              <w:t>A safety data sheet is a document that provides detailed information about a hazardous chemical, including the identity of the chemical product and ingredients, hazards, physical properties, workplace exposure standards, safe handling and storage, transport information, emergency procedures, and first aid information.</w:t>
            </w:r>
          </w:p>
        </w:tc>
      </w:tr>
      <w:tr w:rsidR="000032EA" w:rsidRPr="0016789A" w14:paraId="34C8D2C1" w14:textId="77777777" w:rsidTr="0016789A">
        <w:tc>
          <w:tcPr>
            <w:tcW w:w="2685" w:type="dxa"/>
          </w:tcPr>
          <w:p w14:paraId="526F28FF" w14:textId="1749F428" w:rsidR="000032EA" w:rsidRPr="0016789A" w:rsidRDefault="000032EA" w:rsidP="00BE79D5">
            <w:pPr>
              <w:pStyle w:val="Paragraphtable"/>
              <w:rPr>
                <w:rFonts w:cs="Arial"/>
                <w:b/>
                <w:bCs w:val="0"/>
                <w:sz w:val="22"/>
              </w:rPr>
            </w:pPr>
            <w:r w:rsidRPr="0016789A">
              <w:rPr>
                <w:rFonts w:cs="Arial"/>
                <w:b/>
                <w:bCs w:val="0"/>
                <w:sz w:val="22"/>
              </w:rPr>
              <w:t>SIG</w:t>
            </w:r>
          </w:p>
        </w:tc>
        <w:tc>
          <w:tcPr>
            <w:tcW w:w="7089" w:type="dxa"/>
          </w:tcPr>
          <w:p w14:paraId="0D84A55F" w14:textId="0B28654C" w:rsidR="000032EA" w:rsidRPr="0016789A" w:rsidRDefault="000032EA" w:rsidP="00D17747">
            <w:pPr>
              <w:spacing w:after="40" w:line="240" w:lineRule="auto"/>
              <w:contextualSpacing w:val="0"/>
              <w:rPr>
                <w:rFonts w:asciiTheme="minorHAnsi" w:hAnsiTheme="minorHAnsi" w:cs="Arial"/>
                <w:color w:val="000000"/>
                <w:szCs w:val="22"/>
              </w:rPr>
            </w:pPr>
            <w:r w:rsidRPr="0016789A">
              <w:rPr>
                <w:rFonts w:asciiTheme="minorHAnsi" w:hAnsiTheme="minorHAnsi"/>
                <w:szCs w:val="22"/>
              </w:rPr>
              <w:t>Strategic Issues Group</w:t>
            </w:r>
          </w:p>
        </w:tc>
      </w:tr>
      <w:tr w:rsidR="000032EA" w:rsidRPr="0016789A" w14:paraId="79B65DC4" w14:textId="77777777" w:rsidTr="0016789A">
        <w:tc>
          <w:tcPr>
            <w:tcW w:w="2685" w:type="dxa"/>
          </w:tcPr>
          <w:p w14:paraId="2D9E6301" w14:textId="64382DF3" w:rsidR="000032EA" w:rsidRPr="0016789A" w:rsidRDefault="000032EA" w:rsidP="00BE79D5">
            <w:pPr>
              <w:pStyle w:val="Paragraphtable"/>
              <w:rPr>
                <w:rFonts w:cs="Arial"/>
                <w:b/>
                <w:bCs w:val="0"/>
                <w:sz w:val="22"/>
              </w:rPr>
            </w:pPr>
            <w:r w:rsidRPr="0016789A">
              <w:rPr>
                <w:rFonts w:cs="Arial"/>
                <w:b/>
                <w:bCs w:val="0"/>
                <w:sz w:val="22"/>
              </w:rPr>
              <w:t>Summary offences</w:t>
            </w:r>
          </w:p>
        </w:tc>
        <w:tc>
          <w:tcPr>
            <w:tcW w:w="7089" w:type="dxa"/>
          </w:tcPr>
          <w:p w14:paraId="3048F39B" w14:textId="753E0954" w:rsidR="000032EA" w:rsidRPr="0016789A" w:rsidRDefault="000032EA" w:rsidP="00D17747">
            <w:pPr>
              <w:spacing w:after="40" w:line="240" w:lineRule="auto"/>
              <w:contextualSpacing w:val="0"/>
              <w:rPr>
                <w:rFonts w:asciiTheme="minorHAnsi" w:hAnsiTheme="minorHAnsi"/>
                <w:szCs w:val="22"/>
              </w:rPr>
            </w:pPr>
            <w:r w:rsidRPr="0016789A">
              <w:rPr>
                <w:rFonts w:asciiTheme="minorHAnsi" w:hAnsiTheme="minorHAnsi" w:cs="Arial"/>
                <w:color w:val="000000"/>
                <w:szCs w:val="22"/>
              </w:rPr>
              <w:t>These offences are less serious criminal offences with smaller penalties</w:t>
            </w:r>
            <w:r w:rsidR="00A713D2">
              <w:rPr>
                <w:rFonts w:asciiTheme="minorHAnsi" w:hAnsiTheme="minorHAnsi" w:cs="Arial"/>
                <w:color w:val="000000"/>
                <w:szCs w:val="22"/>
              </w:rPr>
              <w:t xml:space="preserve"> </w:t>
            </w:r>
            <w:r w:rsidR="00A713D2">
              <w:rPr>
                <w:rFonts w:asciiTheme="minorHAnsi" w:eastAsia="Symbol" w:hAnsiTheme="minorHAnsi" w:cs="Symbol"/>
                <w:color w:val="000000"/>
                <w:szCs w:val="22"/>
              </w:rPr>
              <w:t>-</w:t>
            </w:r>
            <w:r w:rsidR="00A713D2">
              <w:rPr>
                <w:rFonts w:asciiTheme="minorHAnsi" w:hAnsiTheme="minorHAnsi" w:cs="Arial"/>
                <w:color w:val="000000"/>
                <w:szCs w:val="22"/>
              </w:rPr>
              <w:t xml:space="preserve"> f</w:t>
            </w:r>
            <w:r w:rsidRPr="0016789A">
              <w:rPr>
                <w:rFonts w:asciiTheme="minorHAnsi" w:hAnsiTheme="minorHAnsi" w:cs="Arial"/>
                <w:color w:val="000000"/>
                <w:szCs w:val="22"/>
              </w:rPr>
              <w:t xml:space="preserve">or example, for federal offences, offences that are punishable by less than 12 months of imprisonment or are not punishable by imprisonment are summary offences. See section 4H of the </w:t>
            </w:r>
            <w:r w:rsidRPr="0016789A">
              <w:rPr>
                <w:rFonts w:asciiTheme="minorHAnsi" w:hAnsiTheme="minorHAnsi" w:cs="Arial"/>
                <w:i/>
                <w:color w:val="000000"/>
                <w:szCs w:val="22"/>
              </w:rPr>
              <w:t>Crimes Act 1914</w:t>
            </w:r>
            <w:r w:rsidRPr="0016789A">
              <w:rPr>
                <w:rFonts w:asciiTheme="minorHAnsi" w:hAnsiTheme="minorHAnsi" w:cs="Arial"/>
                <w:color w:val="000000"/>
                <w:szCs w:val="22"/>
              </w:rPr>
              <w:t xml:space="preserve"> (Cth). </w:t>
            </w:r>
          </w:p>
        </w:tc>
      </w:tr>
      <w:tr w:rsidR="000032EA" w:rsidRPr="0016789A" w14:paraId="509148D0" w14:textId="77777777" w:rsidTr="0016789A">
        <w:tc>
          <w:tcPr>
            <w:tcW w:w="2685" w:type="dxa"/>
          </w:tcPr>
          <w:p w14:paraId="7939B51C" w14:textId="70A33245" w:rsidR="000032EA" w:rsidRPr="0016789A" w:rsidRDefault="000032EA" w:rsidP="00BE79D5">
            <w:pPr>
              <w:pStyle w:val="Paragraphtable"/>
              <w:rPr>
                <w:rFonts w:cs="Arial"/>
                <w:b/>
                <w:bCs w:val="0"/>
                <w:sz w:val="22"/>
              </w:rPr>
            </w:pPr>
            <w:r w:rsidRPr="0016789A">
              <w:rPr>
                <w:rFonts w:cs="Arial"/>
                <w:b/>
                <w:bCs w:val="0"/>
                <w:sz w:val="22"/>
              </w:rPr>
              <w:lastRenderedPageBreak/>
              <w:t>Tas</w:t>
            </w:r>
          </w:p>
        </w:tc>
        <w:tc>
          <w:tcPr>
            <w:tcW w:w="7089" w:type="dxa"/>
          </w:tcPr>
          <w:p w14:paraId="35E5EBBC" w14:textId="3FCC71AF" w:rsidR="000032EA" w:rsidRPr="0016789A" w:rsidRDefault="000032EA" w:rsidP="00D17747">
            <w:pPr>
              <w:spacing w:after="40" w:line="240" w:lineRule="auto"/>
              <w:contextualSpacing w:val="0"/>
              <w:rPr>
                <w:rFonts w:asciiTheme="minorHAnsi" w:hAnsiTheme="minorHAnsi" w:cs="Arial"/>
                <w:color w:val="000000"/>
                <w:szCs w:val="22"/>
              </w:rPr>
            </w:pPr>
            <w:r w:rsidRPr="0016789A">
              <w:rPr>
                <w:rFonts w:asciiTheme="minorHAnsi" w:hAnsiTheme="minorHAnsi" w:cs="Arial"/>
                <w:color w:val="000000"/>
                <w:szCs w:val="22"/>
              </w:rPr>
              <w:t>Tasmania</w:t>
            </w:r>
          </w:p>
        </w:tc>
      </w:tr>
      <w:tr w:rsidR="000032EA" w:rsidRPr="0016789A" w14:paraId="320EC8B7" w14:textId="77777777" w:rsidTr="0016789A">
        <w:tc>
          <w:tcPr>
            <w:tcW w:w="2685" w:type="dxa"/>
          </w:tcPr>
          <w:p w14:paraId="624DE9A9" w14:textId="7C36DAC3" w:rsidR="000032EA" w:rsidRPr="0016789A" w:rsidRDefault="000032EA" w:rsidP="00BE79D5">
            <w:pPr>
              <w:pStyle w:val="Paragraphtable"/>
              <w:rPr>
                <w:rFonts w:cs="Arial"/>
                <w:b/>
                <w:bCs w:val="0"/>
                <w:sz w:val="22"/>
              </w:rPr>
            </w:pPr>
            <w:r w:rsidRPr="0016789A">
              <w:rPr>
                <w:rFonts w:cs="Arial"/>
                <w:b/>
                <w:bCs w:val="0"/>
                <w:sz w:val="22"/>
              </w:rPr>
              <w:t>Tas WHS Act</w:t>
            </w:r>
          </w:p>
        </w:tc>
        <w:tc>
          <w:tcPr>
            <w:tcW w:w="7089" w:type="dxa"/>
          </w:tcPr>
          <w:p w14:paraId="6209EE7B" w14:textId="08AE6F13" w:rsidR="000032EA" w:rsidRPr="0016789A" w:rsidRDefault="000032EA" w:rsidP="00D17747">
            <w:pPr>
              <w:spacing w:after="40" w:line="240" w:lineRule="auto"/>
              <w:contextualSpacing w:val="0"/>
              <w:rPr>
                <w:rFonts w:asciiTheme="minorHAnsi" w:hAnsiTheme="minorHAnsi" w:cs="Arial"/>
                <w:color w:val="000000"/>
                <w:szCs w:val="22"/>
              </w:rPr>
            </w:pPr>
            <w:r w:rsidRPr="0016789A">
              <w:rPr>
                <w:rFonts w:asciiTheme="minorHAnsi" w:eastAsia="Arial" w:hAnsiTheme="minorHAnsi" w:cs="Arial"/>
                <w:i/>
                <w:color w:val="000000"/>
                <w:szCs w:val="22"/>
              </w:rPr>
              <w:t xml:space="preserve">Work Health and Safety Act 2012 </w:t>
            </w:r>
            <w:r w:rsidRPr="0016789A">
              <w:rPr>
                <w:rFonts w:asciiTheme="minorHAnsi" w:eastAsia="Arial" w:hAnsiTheme="minorHAnsi" w:cs="Arial"/>
                <w:color w:val="000000"/>
                <w:szCs w:val="22"/>
              </w:rPr>
              <w:t>(Tas)</w:t>
            </w:r>
          </w:p>
        </w:tc>
      </w:tr>
      <w:tr w:rsidR="000032EA" w:rsidRPr="0016789A" w14:paraId="21E5DD76" w14:textId="77777777" w:rsidTr="0016789A">
        <w:tc>
          <w:tcPr>
            <w:tcW w:w="2685" w:type="dxa"/>
          </w:tcPr>
          <w:p w14:paraId="729AB439" w14:textId="0A6DBDDB" w:rsidR="000032EA" w:rsidRPr="0016789A" w:rsidRDefault="000032EA" w:rsidP="00BE79D5">
            <w:pPr>
              <w:pStyle w:val="Paragraphtable"/>
              <w:rPr>
                <w:rFonts w:cs="Arial"/>
                <w:b/>
                <w:bCs w:val="0"/>
                <w:sz w:val="22"/>
              </w:rPr>
            </w:pPr>
            <w:r w:rsidRPr="0016789A">
              <w:rPr>
                <w:rFonts w:cs="Arial"/>
                <w:b/>
                <w:bCs w:val="0"/>
                <w:sz w:val="22"/>
              </w:rPr>
              <w:t>Tas WHS Regulations</w:t>
            </w:r>
          </w:p>
        </w:tc>
        <w:tc>
          <w:tcPr>
            <w:tcW w:w="7089" w:type="dxa"/>
          </w:tcPr>
          <w:p w14:paraId="3400E88B" w14:textId="6363A80A" w:rsidR="000032EA" w:rsidRPr="0016789A" w:rsidRDefault="000032EA" w:rsidP="00D17747">
            <w:pPr>
              <w:spacing w:after="40" w:line="240" w:lineRule="auto"/>
              <w:contextualSpacing w:val="0"/>
              <w:rPr>
                <w:rFonts w:asciiTheme="minorHAnsi" w:eastAsia="Arial" w:hAnsiTheme="minorHAnsi" w:cs="Arial"/>
                <w:i/>
                <w:color w:val="000000"/>
                <w:szCs w:val="22"/>
              </w:rPr>
            </w:pPr>
            <w:r w:rsidRPr="0016789A">
              <w:rPr>
                <w:rFonts w:asciiTheme="minorHAnsi" w:eastAsia="Arial" w:hAnsiTheme="minorHAnsi" w:cs="Arial"/>
                <w:iCs/>
                <w:color w:val="000000"/>
                <w:szCs w:val="22"/>
              </w:rPr>
              <w:t>Work Health and Safety Regulations 2012</w:t>
            </w:r>
            <w:r w:rsidRPr="0016789A">
              <w:rPr>
                <w:rFonts w:asciiTheme="minorHAnsi" w:eastAsia="Arial" w:hAnsiTheme="minorHAnsi" w:cs="Arial"/>
                <w:i/>
                <w:color w:val="000000"/>
                <w:szCs w:val="22"/>
              </w:rPr>
              <w:t xml:space="preserve"> </w:t>
            </w:r>
            <w:r w:rsidRPr="0016789A">
              <w:rPr>
                <w:rFonts w:asciiTheme="minorHAnsi" w:eastAsia="Arial" w:hAnsiTheme="minorHAnsi" w:cs="Arial"/>
                <w:iCs/>
                <w:color w:val="000000"/>
                <w:szCs w:val="22"/>
              </w:rPr>
              <w:t>(Tas)</w:t>
            </w:r>
          </w:p>
        </w:tc>
      </w:tr>
      <w:tr w:rsidR="000032EA" w:rsidRPr="0016789A" w14:paraId="1FC41408" w14:textId="77777777" w:rsidTr="0016789A">
        <w:tc>
          <w:tcPr>
            <w:tcW w:w="2685" w:type="dxa"/>
          </w:tcPr>
          <w:p w14:paraId="7FFD65C1" w14:textId="40414B93" w:rsidR="000032EA" w:rsidRPr="0016789A" w:rsidRDefault="000032EA" w:rsidP="00BE79D5">
            <w:pPr>
              <w:pStyle w:val="Paragraphtable"/>
              <w:rPr>
                <w:rFonts w:cs="Arial"/>
                <w:b/>
                <w:bCs w:val="0"/>
                <w:sz w:val="22"/>
              </w:rPr>
            </w:pPr>
            <w:r w:rsidRPr="0016789A">
              <w:rPr>
                <w:rFonts w:cs="Arial"/>
                <w:b/>
                <w:bCs w:val="0"/>
                <w:sz w:val="22"/>
              </w:rPr>
              <w:t>Tripartite</w:t>
            </w:r>
          </w:p>
        </w:tc>
        <w:tc>
          <w:tcPr>
            <w:tcW w:w="7089" w:type="dxa"/>
          </w:tcPr>
          <w:p w14:paraId="3735A33C" w14:textId="23FD29FC" w:rsidR="000032EA" w:rsidRPr="0016789A" w:rsidRDefault="000032EA" w:rsidP="00D17747">
            <w:pPr>
              <w:spacing w:after="40" w:line="240" w:lineRule="auto"/>
              <w:contextualSpacing w:val="0"/>
              <w:rPr>
                <w:rFonts w:asciiTheme="minorHAnsi" w:eastAsia="Arial" w:hAnsiTheme="minorHAnsi" w:cs="Arial"/>
                <w:iCs/>
                <w:color w:val="000000"/>
                <w:szCs w:val="22"/>
              </w:rPr>
            </w:pPr>
            <w:r w:rsidRPr="0016789A">
              <w:rPr>
                <w:rFonts w:asciiTheme="minorHAnsi" w:eastAsia="Arial" w:hAnsiTheme="minorHAnsi" w:cs="Arial"/>
                <w:color w:val="000000"/>
                <w:szCs w:val="22"/>
              </w:rPr>
              <w:t>Shared by or involving 3 parties. In the Safe Work Australia membership context, this means government, worker and employer representatives.</w:t>
            </w:r>
          </w:p>
        </w:tc>
      </w:tr>
      <w:tr w:rsidR="000032EA" w:rsidRPr="0016789A" w14:paraId="7E725050" w14:textId="77777777" w:rsidTr="0016789A">
        <w:tc>
          <w:tcPr>
            <w:tcW w:w="2685" w:type="dxa"/>
          </w:tcPr>
          <w:p w14:paraId="732A072B" w14:textId="02800241" w:rsidR="000032EA" w:rsidRPr="0016789A" w:rsidRDefault="000032EA" w:rsidP="00BE79D5">
            <w:pPr>
              <w:pStyle w:val="Paragraphtable"/>
              <w:rPr>
                <w:rFonts w:cs="Arial"/>
                <w:b/>
                <w:bCs w:val="0"/>
                <w:sz w:val="22"/>
              </w:rPr>
            </w:pPr>
            <w:r w:rsidRPr="0016789A">
              <w:rPr>
                <w:rFonts w:cs="Arial"/>
                <w:b/>
                <w:bCs w:val="0"/>
                <w:sz w:val="22"/>
              </w:rPr>
              <w:t>VET</w:t>
            </w:r>
          </w:p>
        </w:tc>
        <w:tc>
          <w:tcPr>
            <w:tcW w:w="7089" w:type="dxa"/>
          </w:tcPr>
          <w:p w14:paraId="2E61F149" w14:textId="03E32E64" w:rsidR="000032EA" w:rsidRPr="0016789A" w:rsidRDefault="000032EA" w:rsidP="00D17747">
            <w:pPr>
              <w:spacing w:after="40" w:line="240" w:lineRule="auto"/>
              <w:contextualSpacing w:val="0"/>
              <w:rPr>
                <w:rFonts w:asciiTheme="minorHAnsi" w:eastAsia="Arial" w:hAnsiTheme="minorHAnsi" w:cs="Arial"/>
                <w:color w:val="000000"/>
                <w:szCs w:val="22"/>
              </w:rPr>
            </w:pPr>
            <w:r w:rsidRPr="0016789A">
              <w:rPr>
                <w:rFonts w:asciiTheme="minorHAnsi" w:eastAsia="Arial" w:hAnsiTheme="minorHAnsi" w:cs="Arial"/>
                <w:color w:val="000000"/>
                <w:spacing w:val="-3"/>
                <w:szCs w:val="22"/>
              </w:rPr>
              <w:t>Vocational education and training</w:t>
            </w:r>
          </w:p>
        </w:tc>
      </w:tr>
      <w:tr w:rsidR="000032EA" w:rsidRPr="0016789A" w14:paraId="574579B2" w14:textId="77777777" w:rsidTr="0016789A">
        <w:tc>
          <w:tcPr>
            <w:tcW w:w="2685" w:type="dxa"/>
          </w:tcPr>
          <w:p w14:paraId="0FCBF042" w14:textId="1F5A8193" w:rsidR="000032EA" w:rsidRPr="0016789A" w:rsidRDefault="000032EA" w:rsidP="00BE79D5">
            <w:pPr>
              <w:pStyle w:val="Paragraphtable"/>
              <w:rPr>
                <w:rFonts w:cs="Arial"/>
                <w:b/>
                <w:bCs w:val="0"/>
                <w:sz w:val="22"/>
              </w:rPr>
            </w:pPr>
            <w:r w:rsidRPr="0016789A">
              <w:rPr>
                <w:rFonts w:cs="Arial"/>
                <w:b/>
                <w:bCs w:val="0"/>
                <w:sz w:val="22"/>
              </w:rPr>
              <w:t>Vic</w:t>
            </w:r>
          </w:p>
        </w:tc>
        <w:tc>
          <w:tcPr>
            <w:tcW w:w="7089" w:type="dxa"/>
          </w:tcPr>
          <w:p w14:paraId="1DCCDCF6" w14:textId="6E29AB0F" w:rsidR="000032EA" w:rsidRPr="0016789A" w:rsidRDefault="000032EA" w:rsidP="00D17747">
            <w:pPr>
              <w:spacing w:after="40" w:line="240" w:lineRule="auto"/>
              <w:contextualSpacing w:val="0"/>
              <w:rPr>
                <w:rFonts w:asciiTheme="minorHAnsi" w:eastAsia="Arial" w:hAnsiTheme="minorHAnsi" w:cs="Arial"/>
                <w:color w:val="000000"/>
                <w:spacing w:val="-3"/>
                <w:szCs w:val="22"/>
              </w:rPr>
            </w:pPr>
            <w:r w:rsidRPr="0016789A">
              <w:rPr>
                <w:rFonts w:asciiTheme="minorHAnsi" w:eastAsia="Arial" w:hAnsiTheme="minorHAnsi" w:cs="Arial"/>
                <w:color w:val="000000"/>
                <w:spacing w:val="-3"/>
                <w:szCs w:val="22"/>
              </w:rPr>
              <w:t>Victoria</w:t>
            </w:r>
          </w:p>
        </w:tc>
      </w:tr>
      <w:tr w:rsidR="000032EA" w:rsidRPr="0016789A" w14:paraId="2E3054C3" w14:textId="77777777" w:rsidTr="0016789A">
        <w:tc>
          <w:tcPr>
            <w:tcW w:w="2685" w:type="dxa"/>
          </w:tcPr>
          <w:p w14:paraId="026DEEA6" w14:textId="0F309A81" w:rsidR="000032EA" w:rsidRPr="0016789A" w:rsidRDefault="000032EA" w:rsidP="00BE79D5">
            <w:pPr>
              <w:pStyle w:val="Paragraphtable"/>
              <w:rPr>
                <w:rFonts w:cs="Arial"/>
                <w:b/>
                <w:bCs w:val="0"/>
                <w:sz w:val="22"/>
              </w:rPr>
            </w:pPr>
            <w:r w:rsidRPr="0016789A">
              <w:rPr>
                <w:rFonts w:cs="Arial"/>
                <w:b/>
                <w:bCs w:val="0"/>
                <w:sz w:val="22"/>
              </w:rPr>
              <w:t>Vic OHS Act</w:t>
            </w:r>
          </w:p>
        </w:tc>
        <w:tc>
          <w:tcPr>
            <w:tcW w:w="7089" w:type="dxa"/>
          </w:tcPr>
          <w:p w14:paraId="4E6906A2" w14:textId="56A3FC49" w:rsidR="000032EA" w:rsidRPr="0016789A" w:rsidRDefault="000032EA" w:rsidP="00D17747">
            <w:pPr>
              <w:spacing w:after="40" w:line="240" w:lineRule="auto"/>
              <w:contextualSpacing w:val="0"/>
              <w:rPr>
                <w:rFonts w:asciiTheme="minorHAnsi" w:eastAsia="Arial" w:hAnsiTheme="minorHAnsi" w:cs="Arial"/>
                <w:color w:val="000000"/>
                <w:spacing w:val="-3"/>
                <w:szCs w:val="22"/>
              </w:rPr>
            </w:pPr>
            <w:r w:rsidRPr="0016789A">
              <w:rPr>
                <w:rFonts w:asciiTheme="minorHAnsi" w:eastAsia="Arial" w:hAnsiTheme="minorHAnsi" w:cs="Arial"/>
                <w:i/>
                <w:color w:val="000000"/>
                <w:szCs w:val="22"/>
              </w:rPr>
              <w:t xml:space="preserve">Occupational Health and Safety Act 2004 </w:t>
            </w:r>
            <w:hyperlink r:id="rId120">
              <w:r w:rsidRPr="0016789A">
                <w:rPr>
                  <w:rFonts w:asciiTheme="minorHAnsi" w:eastAsia="Arial" w:hAnsiTheme="minorHAnsi" w:cs="Arial"/>
                  <w:color w:val="000000"/>
                  <w:szCs w:val="22"/>
                </w:rPr>
                <w:t>(Vic)</w:t>
              </w:r>
            </w:hyperlink>
          </w:p>
        </w:tc>
      </w:tr>
      <w:tr w:rsidR="000032EA" w:rsidRPr="0016789A" w14:paraId="05CDD102" w14:textId="77777777" w:rsidTr="0016789A">
        <w:tc>
          <w:tcPr>
            <w:tcW w:w="2685" w:type="dxa"/>
          </w:tcPr>
          <w:p w14:paraId="626A3CA5" w14:textId="43D7FEF6" w:rsidR="000032EA" w:rsidRPr="0016789A" w:rsidRDefault="000032EA" w:rsidP="00BE79D5">
            <w:pPr>
              <w:pStyle w:val="Paragraphtable"/>
              <w:rPr>
                <w:rFonts w:cs="Arial"/>
                <w:b/>
                <w:bCs w:val="0"/>
                <w:sz w:val="22"/>
              </w:rPr>
            </w:pPr>
            <w:r w:rsidRPr="0016789A">
              <w:rPr>
                <w:rFonts w:cs="Arial"/>
                <w:b/>
                <w:bCs w:val="0"/>
                <w:sz w:val="22"/>
              </w:rPr>
              <w:t>Vic OHS Regulations</w:t>
            </w:r>
          </w:p>
        </w:tc>
        <w:tc>
          <w:tcPr>
            <w:tcW w:w="7089" w:type="dxa"/>
          </w:tcPr>
          <w:p w14:paraId="20A57031" w14:textId="505CF6E9" w:rsidR="000032EA" w:rsidRPr="0016789A" w:rsidRDefault="000032EA" w:rsidP="00D17747">
            <w:pPr>
              <w:spacing w:after="40" w:line="240" w:lineRule="auto"/>
              <w:contextualSpacing w:val="0"/>
              <w:rPr>
                <w:rFonts w:asciiTheme="minorHAnsi" w:eastAsia="Arial" w:hAnsiTheme="minorHAnsi" w:cs="Arial"/>
                <w:i/>
                <w:color w:val="000000"/>
                <w:szCs w:val="22"/>
              </w:rPr>
            </w:pPr>
            <w:r w:rsidRPr="0016789A">
              <w:rPr>
                <w:rFonts w:asciiTheme="minorHAnsi" w:eastAsia="Arial" w:hAnsiTheme="minorHAnsi" w:cs="Arial"/>
                <w:iCs/>
                <w:color w:val="000000"/>
                <w:szCs w:val="22"/>
              </w:rPr>
              <w:t>Occupational Health and Safety Regulations 2017</w:t>
            </w:r>
            <w:r w:rsidRPr="0016789A">
              <w:rPr>
                <w:rFonts w:asciiTheme="minorHAnsi" w:eastAsia="Arial" w:hAnsiTheme="minorHAnsi" w:cs="Arial"/>
                <w:i/>
                <w:color w:val="000000"/>
                <w:szCs w:val="22"/>
              </w:rPr>
              <w:t xml:space="preserve"> </w:t>
            </w:r>
            <w:r w:rsidRPr="0016789A">
              <w:rPr>
                <w:rFonts w:asciiTheme="minorHAnsi" w:eastAsia="Arial" w:hAnsiTheme="minorHAnsi" w:cs="Arial"/>
                <w:iCs/>
                <w:color w:val="000000"/>
                <w:szCs w:val="22"/>
              </w:rPr>
              <w:t xml:space="preserve">(Vic) </w:t>
            </w:r>
          </w:p>
        </w:tc>
      </w:tr>
      <w:tr w:rsidR="000032EA" w:rsidRPr="0016789A" w14:paraId="5ADD56EE" w14:textId="77777777" w:rsidTr="0016789A">
        <w:tc>
          <w:tcPr>
            <w:tcW w:w="2685" w:type="dxa"/>
          </w:tcPr>
          <w:p w14:paraId="2774449B" w14:textId="785CC572" w:rsidR="000032EA" w:rsidRPr="0016789A" w:rsidRDefault="000032EA" w:rsidP="00BE79D5">
            <w:pPr>
              <w:pStyle w:val="Paragraphtable"/>
              <w:rPr>
                <w:rFonts w:cs="Arial"/>
                <w:b/>
                <w:bCs w:val="0"/>
                <w:sz w:val="22"/>
              </w:rPr>
            </w:pPr>
            <w:r w:rsidRPr="0016789A">
              <w:rPr>
                <w:rFonts w:cs="Arial"/>
                <w:b/>
                <w:bCs w:val="0"/>
                <w:sz w:val="22"/>
              </w:rPr>
              <w:t>Victorian Review Interim Report</w:t>
            </w:r>
          </w:p>
        </w:tc>
        <w:tc>
          <w:tcPr>
            <w:tcW w:w="7089" w:type="dxa"/>
          </w:tcPr>
          <w:p w14:paraId="3278AEF9" w14:textId="6BAEA38A" w:rsidR="000032EA" w:rsidRPr="0016789A" w:rsidRDefault="000032EA" w:rsidP="00D17747">
            <w:pPr>
              <w:spacing w:after="40" w:line="240" w:lineRule="auto"/>
              <w:contextualSpacing w:val="0"/>
              <w:rPr>
                <w:rFonts w:asciiTheme="minorHAnsi" w:eastAsia="Arial" w:hAnsiTheme="minorHAnsi" w:cs="Arial"/>
                <w:iCs/>
                <w:color w:val="000000"/>
                <w:szCs w:val="22"/>
              </w:rPr>
            </w:pPr>
            <w:r w:rsidRPr="0016789A">
              <w:rPr>
                <w:rFonts w:asciiTheme="minorHAnsi" w:hAnsiTheme="minorHAnsi" w:cs="Arial"/>
                <w:i/>
                <w:iCs/>
                <w:color w:val="000000"/>
                <w:szCs w:val="22"/>
              </w:rPr>
              <w:t xml:space="preserve">Independent Review of Employee Representatives </w:t>
            </w:r>
            <w:r w:rsidR="00A713D2">
              <w:rPr>
                <w:rFonts w:asciiTheme="minorHAnsi" w:hAnsiTheme="minorHAnsi" w:cs="Arial"/>
                <w:i/>
                <w:iCs/>
                <w:color w:val="000000"/>
                <w:szCs w:val="22"/>
              </w:rPr>
              <w:t>i</w:t>
            </w:r>
            <w:r w:rsidRPr="0016789A">
              <w:rPr>
                <w:rFonts w:asciiTheme="minorHAnsi" w:hAnsiTheme="minorHAnsi" w:cs="Arial"/>
                <w:i/>
                <w:iCs/>
                <w:color w:val="000000"/>
                <w:szCs w:val="22"/>
              </w:rPr>
              <w:t xml:space="preserve">nterim </w:t>
            </w:r>
            <w:r w:rsidR="00A713D2">
              <w:rPr>
                <w:rFonts w:asciiTheme="minorHAnsi" w:hAnsiTheme="minorHAnsi" w:cs="Arial"/>
                <w:i/>
                <w:iCs/>
                <w:color w:val="000000"/>
                <w:szCs w:val="22"/>
              </w:rPr>
              <w:t>r</w:t>
            </w:r>
            <w:r w:rsidRPr="0016789A">
              <w:rPr>
                <w:rFonts w:asciiTheme="minorHAnsi" w:hAnsiTheme="minorHAnsi" w:cs="Arial"/>
                <w:i/>
                <w:iCs/>
                <w:color w:val="000000"/>
                <w:szCs w:val="22"/>
              </w:rPr>
              <w:t>eport</w:t>
            </w:r>
            <w:r w:rsidRPr="0016789A">
              <w:rPr>
                <w:rFonts w:asciiTheme="minorHAnsi" w:hAnsiTheme="minorHAnsi" w:cs="Arial"/>
                <w:color w:val="000000"/>
                <w:szCs w:val="22"/>
              </w:rPr>
              <w:t xml:space="preserve"> (2025)</w:t>
            </w:r>
          </w:p>
        </w:tc>
      </w:tr>
      <w:tr w:rsidR="000032EA" w:rsidRPr="0016789A" w14:paraId="4A2BF833" w14:textId="77777777" w:rsidTr="0016789A">
        <w:tc>
          <w:tcPr>
            <w:tcW w:w="2685" w:type="dxa"/>
          </w:tcPr>
          <w:p w14:paraId="74BF400E" w14:textId="13DD8942" w:rsidR="000032EA" w:rsidRPr="0016789A" w:rsidRDefault="000032EA" w:rsidP="00BE79D5">
            <w:pPr>
              <w:pStyle w:val="Paragraphtable"/>
              <w:rPr>
                <w:rFonts w:cs="Arial"/>
                <w:b/>
                <w:bCs w:val="0"/>
                <w:sz w:val="22"/>
              </w:rPr>
            </w:pPr>
            <w:r w:rsidRPr="0016789A">
              <w:rPr>
                <w:rFonts w:cs="Arial"/>
                <w:b/>
                <w:bCs w:val="0"/>
                <w:sz w:val="22"/>
              </w:rPr>
              <w:t>Victorian Sentencing Advisory Council Review / VSAC Report</w:t>
            </w:r>
          </w:p>
        </w:tc>
        <w:tc>
          <w:tcPr>
            <w:tcW w:w="7089" w:type="dxa"/>
          </w:tcPr>
          <w:p w14:paraId="68095C6F" w14:textId="19E0AF0F" w:rsidR="000032EA" w:rsidRPr="0016789A" w:rsidRDefault="000032EA" w:rsidP="00D17747">
            <w:pPr>
              <w:spacing w:after="40" w:line="240" w:lineRule="auto"/>
              <w:contextualSpacing w:val="0"/>
              <w:rPr>
                <w:rFonts w:asciiTheme="minorHAnsi" w:hAnsiTheme="minorHAnsi" w:cs="Arial"/>
                <w:i/>
                <w:iCs/>
                <w:color w:val="000000"/>
                <w:szCs w:val="22"/>
              </w:rPr>
            </w:pPr>
            <w:r w:rsidRPr="0016789A">
              <w:rPr>
                <w:rFonts w:asciiTheme="minorHAnsi" w:hAnsiTheme="minorHAnsi" w:cs="Arial"/>
                <w:i/>
                <w:szCs w:val="22"/>
              </w:rPr>
              <w:t xml:space="preserve">Sentencing </w:t>
            </w:r>
            <w:r w:rsidR="00A713D2">
              <w:rPr>
                <w:rFonts w:asciiTheme="minorHAnsi" w:hAnsiTheme="minorHAnsi" w:cs="Arial"/>
                <w:i/>
                <w:szCs w:val="22"/>
              </w:rPr>
              <w:t>o</w:t>
            </w:r>
            <w:r w:rsidRPr="0016789A">
              <w:rPr>
                <w:rFonts w:asciiTheme="minorHAnsi" w:hAnsiTheme="minorHAnsi" w:cs="Arial"/>
                <w:i/>
                <w:szCs w:val="22"/>
              </w:rPr>
              <w:t xml:space="preserve">ccupational </w:t>
            </w:r>
            <w:r w:rsidR="00A713D2">
              <w:rPr>
                <w:rFonts w:asciiTheme="minorHAnsi" w:hAnsiTheme="minorHAnsi" w:cs="Arial"/>
                <w:i/>
                <w:szCs w:val="22"/>
              </w:rPr>
              <w:t>h</w:t>
            </w:r>
            <w:r w:rsidRPr="0016789A">
              <w:rPr>
                <w:rFonts w:asciiTheme="minorHAnsi" w:hAnsiTheme="minorHAnsi" w:cs="Arial"/>
                <w:i/>
                <w:szCs w:val="22"/>
              </w:rPr>
              <w:t xml:space="preserve">ealth and </w:t>
            </w:r>
            <w:r w:rsidR="00A713D2">
              <w:rPr>
                <w:rFonts w:asciiTheme="minorHAnsi" w:hAnsiTheme="minorHAnsi" w:cs="Arial"/>
                <w:i/>
                <w:szCs w:val="22"/>
              </w:rPr>
              <w:t>s</w:t>
            </w:r>
            <w:r w:rsidRPr="0016789A">
              <w:rPr>
                <w:rFonts w:asciiTheme="minorHAnsi" w:hAnsiTheme="minorHAnsi" w:cs="Arial"/>
                <w:i/>
                <w:szCs w:val="22"/>
              </w:rPr>
              <w:t xml:space="preserve">afety </w:t>
            </w:r>
            <w:r w:rsidR="00A713D2">
              <w:rPr>
                <w:rFonts w:asciiTheme="minorHAnsi" w:hAnsiTheme="minorHAnsi" w:cs="Arial"/>
                <w:i/>
                <w:szCs w:val="22"/>
              </w:rPr>
              <w:t>o</w:t>
            </w:r>
            <w:r w:rsidRPr="0016789A">
              <w:rPr>
                <w:rFonts w:asciiTheme="minorHAnsi" w:hAnsiTheme="minorHAnsi" w:cs="Arial"/>
                <w:i/>
                <w:szCs w:val="22"/>
              </w:rPr>
              <w:t>ffences in Victoria</w:t>
            </w:r>
            <w:r w:rsidRPr="0016789A">
              <w:rPr>
                <w:rFonts w:asciiTheme="minorHAnsi" w:hAnsiTheme="minorHAnsi" w:cs="Arial"/>
                <w:szCs w:val="22"/>
              </w:rPr>
              <w:t xml:space="preserve"> (2025) </w:t>
            </w:r>
          </w:p>
        </w:tc>
      </w:tr>
      <w:tr w:rsidR="000032EA" w:rsidRPr="0016789A" w14:paraId="0A49BC66" w14:textId="77777777" w:rsidTr="0016789A">
        <w:tc>
          <w:tcPr>
            <w:tcW w:w="2685" w:type="dxa"/>
          </w:tcPr>
          <w:p w14:paraId="4288A9DE" w14:textId="49CD4F93" w:rsidR="000032EA" w:rsidRPr="0016789A" w:rsidRDefault="000032EA" w:rsidP="000032EA">
            <w:pPr>
              <w:pStyle w:val="Paragraphtable"/>
              <w:rPr>
                <w:rFonts w:cs="Arial"/>
                <w:b/>
                <w:bCs w:val="0"/>
                <w:sz w:val="22"/>
              </w:rPr>
            </w:pPr>
            <w:r w:rsidRPr="0016789A">
              <w:rPr>
                <w:rFonts w:cs="Arial"/>
                <w:b/>
                <w:bCs w:val="0"/>
                <w:sz w:val="22"/>
              </w:rPr>
              <w:t>WA</w:t>
            </w:r>
          </w:p>
        </w:tc>
        <w:tc>
          <w:tcPr>
            <w:tcW w:w="7089" w:type="dxa"/>
          </w:tcPr>
          <w:p w14:paraId="0FE97567" w14:textId="64728EEB" w:rsidR="000032EA" w:rsidRPr="0016789A" w:rsidRDefault="000032EA" w:rsidP="00D17747">
            <w:pPr>
              <w:spacing w:after="40" w:line="240" w:lineRule="auto"/>
              <w:contextualSpacing w:val="0"/>
              <w:rPr>
                <w:rFonts w:asciiTheme="minorHAnsi" w:hAnsiTheme="minorHAnsi" w:cs="Arial"/>
                <w:i/>
                <w:szCs w:val="22"/>
              </w:rPr>
            </w:pPr>
            <w:r w:rsidRPr="0016789A">
              <w:rPr>
                <w:rFonts w:asciiTheme="minorHAnsi" w:eastAsia="Arial" w:hAnsiTheme="minorHAnsi" w:cs="Arial"/>
                <w:color w:val="000000"/>
                <w:spacing w:val="-2"/>
                <w:szCs w:val="22"/>
              </w:rPr>
              <w:t xml:space="preserve">Western Australia </w:t>
            </w:r>
          </w:p>
        </w:tc>
      </w:tr>
      <w:tr w:rsidR="000032EA" w:rsidRPr="0016789A" w14:paraId="6C142C0B" w14:textId="77777777" w:rsidTr="0016789A">
        <w:tc>
          <w:tcPr>
            <w:tcW w:w="2685" w:type="dxa"/>
          </w:tcPr>
          <w:p w14:paraId="7D2A5269" w14:textId="5CEA9755" w:rsidR="000032EA" w:rsidRPr="0016789A" w:rsidRDefault="000032EA" w:rsidP="000032EA">
            <w:pPr>
              <w:pStyle w:val="Paragraphtable"/>
              <w:rPr>
                <w:rFonts w:cs="Arial"/>
                <w:b/>
                <w:bCs w:val="0"/>
                <w:sz w:val="22"/>
              </w:rPr>
            </w:pPr>
            <w:r w:rsidRPr="0016789A">
              <w:rPr>
                <w:rFonts w:cs="Arial"/>
                <w:b/>
                <w:bCs w:val="0"/>
                <w:sz w:val="22"/>
              </w:rPr>
              <w:t>WA WHS Act</w:t>
            </w:r>
          </w:p>
        </w:tc>
        <w:tc>
          <w:tcPr>
            <w:tcW w:w="7089" w:type="dxa"/>
          </w:tcPr>
          <w:p w14:paraId="5BA88C1D" w14:textId="2EBC831A" w:rsidR="000032EA" w:rsidRPr="0016789A" w:rsidRDefault="000032EA" w:rsidP="00D17747">
            <w:pPr>
              <w:spacing w:after="40" w:line="240" w:lineRule="auto"/>
              <w:contextualSpacing w:val="0"/>
              <w:rPr>
                <w:rFonts w:asciiTheme="minorHAnsi" w:eastAsia="Arial" w:hAnsiTheme="minorHAnsi" w:cs="Arial"/>
                <w:color w:val="000000"/>
                <w:spacing w:val="-2"/>
                <w:szCs w:val="22"/>
              </w:rPr>
            </w:pPr>
            <w:r w:rsidRPr="0016789A">
              <w:rPr>
                <w:rFonts w:asciiTheme="minorHAnsi" w:eastAsia="Arial" w:hAnsiTheme="minorHAnsi" w:cs="Arial"/>
                <w:i/>
                <w:color w:val="000000"/>
                <w:szCs w:val="22"/>
              </w:rPr>
              <w:t xml:space="preserve">Work Health and Safety Act 2020 </w:t>
            </w:r>
            <w:r w:rsidRPr="0016789A">
              <w:rPr>
                <w:rFonts w:asciiTheme="minorHAnsi" w:eastAsia="Arial" w:hAnsiTheme="minorHAnsi" w:cs="Arial"/>
                <w:color w:val="000000"/>
                <w:szCs w:val="22"/>
              </w:rPr>
              <w:t>(WA)</w:t>
            </w:r>
          </w:p>
        </w:tc>
      </w:tr>
      <w:tr w:rsidR="000032EA" w:rsidRPr="0016789A" w14:paraId="2510FEA5" w14:textId="77777777" w:rsidTr="0016789A">
        <w:tc>
          <w:tcPr>
            <w:tcW w:w="2685" w:type="dxa"/>
          </w:tcPr>
          <w:p w14:paraId="5083E33C" w14:textId="1805C733" w:rsidR="000032EA" w:rsidRPr="0016789A" w:rsidRDefault="000032EA" w:rsidP="000032EA">
            <w:pPr>
              <w:pStyle w:val="Paragraphtable"/>
              <w:rPr>
                <w:rFonts w:cs="Arial"/>
                <w:b/>
                <w:bCs w:val="0"/>
                <w:sz w:val="22"/>
              </w:rPr>
            </w:pPr>
            <w:r w:rsidRPr="0016789A">
              <w:rPr>
                <w:rFonts w:cs="Arial"/>
                <w:b/>
                <w:bCs w:val="0"/>
                <w:sz w:val="22"/>
              </w:rPr>
              <w:t>WA WHS Regulations</w:t>
            </w:r>
          </w:p>
        </w:tc>
        <w:tc>
          <w:tcPr>
            <w:tcW w:w="7089" w:type="dxa"/>
          </w:tcPr>
          <w:p w14:paraId="6EB15B85" w14:textId="30B7BF67" w:rsidR="000032EA" w:rsidRPr="0016789A" w:rsidRDefault="000032EA" w:rsidP="00D17747">
            <w:pPr>
              <w:spacing w:after="40" w:line="240" w:lineRule="auto"/>
              <w:contextualSpacing w:val="0"/>
              <w:rPr>
                <w:rFonts w:asciiTheme="minorHAnsi" w:eastAsia="Arial" w:hAnsiTheme="minorHAnsi" w:cs="Arial"/>
                <w:i/>
                <w:color w:val="000000"/>
                <w:szCs w:val="22"/>
              </w:rPr>
            </w:pPr>
            <w:r w:rsidRPr="0016789A">
              <w:rPr>
                <w:rFonts w:asciiTheme="minorHAnsi" w:eastAsia="Arial" w:hAnsiTheme="minorHAnsi" w:cs="Arial"/>
                <w:iCs/>
                <w:color w:val="000000"/>
                <w:szCs w:val="22"/>
              </w:rPr>
              <w:t>Work Health and Safety (General) Regulations 2022</w:t>
            </w:r>
            <w:r w:rsidRPr="0016789A">
              <w:rPr>
                <w:rFonts w:asciiTheme="minorHAnsi" w:eastAsia="Arial" w:hAnsiTheme="minorHAnsi" w:cs="Arial"/>
                <w:i/>
                <w:color w:val="000000"/>
                <w:szCs w:val="22"/>
              </w:rPr>
              <w:t xml:space="preserve"> </w:t>
            </w:r>
            <w:r w:rsidRPr="0016789A">
              <w:rPr>
                <w:rFonts w:asciiTheme="minorHAnsi" w:eastAsia="Arial" w:hAnsiTheme="minorHAnsi" w:cs="Arial"/>
                <w:color w:val="000000"/>
                <w:szCs w:val="22"/>
              </w:rPr>
              <w:t>(WA)</w:t>
            </w:r>
          </w:p>
        </w:tc>
      </w:tr>
      <w:tr w:rsidR="000032EA" w:rsidRPr="0016789A" w14:paraId="0E25A67A" w14:textId="77777777" w:rsidTr="0016789A">
        <w:tc>
          <w:tcPr>
            <w:tcW w:w="2685" w:type="dxa"/>
          </w:tcPr>
          <w:p w14:paraId="08E9EF79" w14:textId="55703DE2" w:rsidR="000032EA" w:rsidRPr="0016789A" w:rsidRDefault="000032EA" w:rsidP="000032EA">
            <w:pPr>
              <w:pStyle w:val="Paragraphtable"/>
              <w:rPr>
                <w:rFonts w:cs="Arial"/>
                <w:b/>
                <w:bCs w:val="0"/>
                <w:sz w:val="22"/>
              </w:rPr>
            </w:pPr>
            <w:r w:rsidRPr="0016789A">
              <w:rPr>
                <w:rFonts w:cs="Arial"/>
                <w:b/>
                <w:bCs w:val="0"/>
                <w:sz w:val="22"/>
              </w:rPr>
              <w:t>WEL</w:t>
            </w:r>
          </w:p>
        </w:tc>
        <w:tc>
          <w:tcPr>
            <w:tcW w:w="7089" w:type="dxa"/>
          </w:tcPr>
          <w:p w14:paraId="1194A25E" w14:textId="4E02DD58" w:rsidR="000032EA" w:rsidRPr="0016789A" w:rsidRDefault="000032EA" w:rsidP="00D17747">
            <w:pPr>
              <w:spacing w:after="40" w:line="240" w:lineRule="auto"/>
              <w:contextualSpacing w:val="0"/>
              <w:rPr>
                <w:rFonts w:asciiTheme="minorHAnsi" w:eastAsia="Arial" w:hAnsiTheme="minorHAnsi" w:cs="Arial"/>
                <w:iCs/>
                <w:color w:val="000000"/>
                <w:szCs w:val="22"/>
              </w:rPr>
            </w:pPr>
            <w:r w:rsidRPr="0016789A">
              <w:rPr>
                <w:rFonts w:asciiTheme="minorHAnsi" w:eastAsia="Arial" w:hAnsiTheme="minorHAnsi" w:cs="Arial"/>
                <w:color w:val="000000"/>
                <w:szCs w:val="22"/>
              </w:rPr>
              <w:t>The Workplace Exposure Limits relate to the level of airborne contaminants present in the air, for mixtures and substances that can cause harm to health.</w:t>
            </w:r>
          </w:p>
        </w:tc>
      </w:tr>
      <w:tr w:rsidR="000032EA" w:rsidRPr="0016789A" w14:paraId="34D8A49C" w14:textId="77777777" w:rsidTr="0016789A">
        <w:tc>
          <w:tcPr>
            <w:tcW w:w="2685" w:type="dxa"/>
          </w:tcPr>
          <w:p w14:paraId="304BDE93" w14:textId="762FC85D" w:rsidR="000032EA" w:rsidRPr="0016789A" w:rsidRDefault="000032EA" w:rsidP="000032EA">
            <w:pPr>
              <w:pStyle w:val="Paragraphtable"/>
              <w:rPr>
                <w:rFonts w:cs="Arial"/>
                <w:b/>
                <w:bCs w:val="0"/>
                <w:sz w:val="22"/>
              </w:rPr>
            </w:pPr>
            <w:r w:rsidRPr="0016789A">
              <w:rPr>
                <w:rFonts w:cs="Arial"/>
                <w:b/>
                <w:bCs w:val="0"/>
                <w:sz w:val="22"/>
              </w:rPr>
              <w:t>White cards</w:t>
            </w:r>
          </w:p>
        </w:tc>
        <w:tc>
          <w:tcPr>
            <w:tcW w:w="7089" w:type="dxa"/>
          </w:tcPr>
          <w:p w14:paraId="69A688BD" w14:textId="222693DE" w:rsidR="000032EA" w:rsidRPr="0016789A" w:rsidRDefault="000032EA" w:rsidP="00D17747">
            <w:pPr>
              <w:spacing w:after="40" w:line="240" w:lineRule="auto"/>
              <w:contextualSpacing w:val="0"/>
              <w:rPr>
                <w:rFonts w:asciiTheme="minorHAnsi" w:eastAsia="Arial" w:hAnsiTheme="minorHAnsi" w:cs="Arial"/>
                <w:color w:val="000000"/>
                <w:szCs w:val="22"/>
              </w:rPr>
            </w:pPr>
            <w:r w:rsidRPr="0016789A">
              <w:rPr>
                <w:rFonts w:asciiTheme="minorHAnsi" w:eastAsia="Aptos" w:hAnsiTheme="minorHAnsi" w:cs="Aptos"/>
                <w:color w:val="000000" w:themeColor="text1"/>
                <w:szCs w:val="22"/>
              </w:rPr>
              <w:t>General construction induction training cards</w:t>
            </w:r>
          </w:p>
        </w:tc>
      </w:tr>
      <w:tr w:rsidR="000032EA" w:rsidRPr="0016789A" w14:paraId="4FB2165F" w14:textId="77777777" w:rsidTr="0016789A">
        <w:tc>
          <w:tcPr>
            <w:tcW w:w="2685" w:type="dxa"/>
          </w:tcPr>
          <w:p w14:paraId="13CDA064" w14:textId="7E112774" w:rsidR="000032EA" w:rsidRPr="0016789A" w:rsidRDefault="000032EA" w:rsidP="000032EA">
            <w:pPr>
              <w:pStyle w:val="Paragraphtable"/>
              <w:rPr>
                <w:rFonts w:cs="Arial"/>
                <w:b/>
                <w:bCs w:val="0"/>
                <w:sz w:val="22"/>
              </w:rPr>
            </w:pPr>
            <w:r w:rsidRPr="0016789A">
              <w:rPr>
                <w:rFonts w:cs="Arial"/>
                <w:b/>
                <w:bCs w:val="0"/>
                <w:sz w:val="22"/>
              </w:rPr>
              <w:t xml:space="preserve">WHS </w:t>
            </w:r>
          </w:p>
        </w:tc>
        <w:tc>
          <w:tcPr>
            <w:tcW w:w="7089" w:type="dxa"/>
          </w:tcPr>
          <w:p w14:paraId="528EE9F4" w14:textId="73239163" w:rsidR="000032EA" w:rsidRPr="0016789A" w:rsidRDefault="000032EA" w:rsidP="00D17747">
            <w:pPr>
              <w:spacing w:after="40" w:line="240" w:lineRule="auto"/>
              <w:contextualSpacing w:val="0"/>
              <w:rPr>
                <w:rFonts w:asciiTheme="minorHAnsi" w:eastAsia="Aptos" w:hAnsiTheme="minorHAnsi" w:cs="Aptos"/>
                <w:color w:val="000000" w:themeColor="text1"/>
                <w:szCs w:val="22"/>
              </w:rPr>
            </w:pPr>
            <w:r w:rsidRPr="0016789A">
              <w:rPr>
                <w:rFonts w:asciiTheme="minorHAnsi" w:eastAsia="Arial" w:hAnsiTheme="minorHAnsi" w:cs="Arial"/>
                <w:color w:val="000000"/>
                <w:spacing w:val="-1"/>
                <w:szCs w:val="22"/>
              </w:rPr>
              <w:t>Work health and safety</w:t>
            </w:r>
          </w:p>
        </w:tc>
      </w:tr>
      <w:tr w:rsidR="000032EA" w:rsidRPr="0016789A" w14:paraId="4A61B3FE" w14:textId="77777777" w:rsidTr="0016789A">
        <w:tc>
          <w:tcPr>
            <w:tcW w:w="2685" w:type="dxa"/>
          </w:tcPr>
          <w:p w14:paraId="1C35F308" w14:textId="2142F875" w:rsidR="000032EA" w:rsidRPr="0016789A" w:rsidRDefault="000032EA" w:rsidP="000032EA">
            <w:pPr>
              <w:pStyle w:val="Paragraphtable"/>
              <w:rPr>
                <w:rFonts w:cs="Arial"/>
                <w:b/>
                <w:bCs w:val="0"/>
                <w:sz w:val="22"/>
              </w:rPr>
            </w:pPr>
            <w:r w:rsidRPr="0016789A">
              <w:rPr>
                <w:rFonts w:cs="Arial"/>
                <w:b/>
                <w:bCs w:val="0"/>
                <w:sz w:val="22"/>
              </w:rPr>
              <w:t>WHS ministers</w:t>
            </w:r>
          </w:p>
        </w:tc>
        <w:tc>
          <w:tcPr>
            <w:tcW w:w="7089" w:type="dxa"/>
          </w:tcPr>
          <w:p w14:paraId="5CB9438F" w14:textId="21426A89" w:rsidR="000032EA" w:rsidRPr="0016789A" w:rsidRDefault="000032EA" w:rsidP="00D17747">
            <w:pPr>
              <w:spacing w:after="40" w:line="240" w:lineRule="auto"/>
              <w:contextualSpacing w:val="0"/>
              <w:rPr>
                <w:rFonts w:asciiTheme="minorHAnsi" w:eastAsia="Arial" w:hAnsiTheme="minorHAnsi" w:cs="Arial"/>
                <w:color w:val="000000"/>
                <w:spacing w:val="-1"/>
                <w:szCs w:val="22"/>
              </w:rPr>
            </w:pPr>
            <w:r w:rsidRPr="0016789A">
              <w:rPr>
                <w:rFonts w:asciiTheme="minorHAnsi" w:hAnsiTheme="minorHAnsi" w:cs="Arial"/>
                <w:color w:val="000000"/>
                <w:szCs w:val="22"/>
              </w:rPr>
              <w:t>Commonwealth, state, and territory ministers with responsibility for WHS</w:t>
            </w:r>
          </w:p>
        </w:tc>
      </w:tr>
      <w:tr w:rsidR="000032EA" w:rsidRPr="0016789A" w14:paraId="4D46B337" w14:textId="77777777" w:rsidTr="0016789A">
        <w:tc>
          <w:tcPr>
            <w:tcW w:w="2685" w:type="dxa"/>
          </w:tcPr>
          <w:p w14:paraId="2AB04489" w14:textId="2C561A40" w:rsidR="000032EA" w:rsidRPr="0016789A" w:rsidRDefault="000032EA" w:rsidP="000032EA">
            <w:pPr>
              <w:pStyle w:val="Paragraphtable"/>
              <w:rPr>
                <w:rFonts w:cs="Arial"/>
                <w:b/>
                <w:bCs w:val="0"/>
                <w:sz w:val="22"/>
              </w:rPr>
            </w:pPr>
            <w:r w:rsidRPr="0016789A">
              <w:rPr>
                <w:rFonts w:cs="Arial"/>
                <w:b/>
                <w:bCs w:val="0"/>
                <w:sz w:val="22"/>
              </w:rPr>
              <w:t xml:space="preserve">Worker </w:t>
            </w:r>
          </w:p>
        </w:tc>
        <w:tc>
          <w:tcPr>
            <w:tcW w:w="7089" w:type="dxa"/>
          </w:tcPr>
          <w:p w14:paraId="474215AF" w14:textId="7E39D7D9" w:rsidR="000032EA" w:rsidRPr="0016789A" w:rsidRDefault="000032EA" w:rsidP="00D17747">
            <w:pPr>
              <w:spacing w:after="40" w:line="240" w:lineRule="auto"/>
              <w:contextualSpacing w:val="0"/>
              <w:rPr>
                <w:rFonts w:asciiTheme="minorHAnsi" w:hAnsiTheme="minorHAnsi" w:cs="Arial"/>
                <w:color w:val="000000"/>
                <w:szCs w:val="22"/>
              </w:rPr>
            </w:pPr>
            <w:r w:rsidRPr="0016789A">
              <w:rPr>
                <w:rFonts w:asciiTheme="minorHAnsi" w:hAnsiTheme="minorHAnsi" w:cs="Arial"/>
                <w:color w:val="000000"/>
                <w:szCs w:val="22"/>
              </w:rPr>
              <w:t>A worker is any person who carries out work in any capacity for a PCBU, as defined under s 7 of the model WHS Act. This includes work as an employee, contractor, subcontractor, self-employed person, outworker, apprentice or trainee, work experience student, employee of a labour hire company placed with a ‘host employer’ and volunteer.</w:t>
            </w:r>
          </w:p>
        </w:tc>
      </w:tr>
      <w:tr w:rsidR="000032EA" w:rsidRPr="0016789A" w14:paraId="0074A114" w14:textId="77777777" w:rsidTr="0016789A">
        <w:tc>
          <w:tcPr>
            <w:tcW w:w="2685" w:type="dxa"/>
          </w:tcPr>
          <w:p w14:paraId="57F6A4A2" w14:textId="1554221B" w:rsidR="000032EA" w:rsidRPr="0016789A" w:rsidRDefault="000032EA" w:rsidP="000032EA">
            <w:pPr>
              <w:pStyle w:val="Paragraphtable"/>
              <w:rPr>
                <w:rFonts w:cs="Arial"/>
                <w:b/>
                <w:bCs w:val="0"/>
                <w:sz w:val="22"/>
              </w:rPr>
            </w:pPr>
            <w:r w:rsidRPr="0016789A">
              <w:rPr>
                <w:rFonts w:cs="Arial"/>
                <w:b/>
                <w:bCs w:val="0"/>
                <w:sz w:val="22"/>
              </w:rPr>
              <w:t>Workplace</w:t>
            </w:r>
          </w:p>
        </w:tc>
        <w:tc>
          <w:tcPr>
            <w:tcW w:w="7089" w:type="dxa"/>
          </w:tcPr>
          <w:p w14:paraId="2C16C447" w14:textId="57AD353C" w:rsidR="000032EA" w:rsidRPr="0016789A" w:rsidRDefault="000032EA" w:rsidP="00D17747">
            <w:pPr>
              <w:spacing w:after="40" w:line="240" w:lineRule="auto"/>
              <w:contextualSpacing w:val="0"/>
              <w:rPr>
                <w:rFonts w:asciiTheme="minorHAnsi" w:hAnsiTheme="minorHAnsi" w:cs="Arial"/>
                <w:color w:val="000000"/>
                <w:szCs w:val="22"/>
              </w:rPr>
            </w:pPr>
            <w:r w:rsidRPr="0016789A">
              <w:rPr>
                <w:rFonts w:asciiTheme="minorHAnsi" w:hAnsiTheme="minorHAnsi" w:cs="Arial"/>
                <w:color w:val="000000"/>
                <w:szCs w:val="22"/>
              </w:rPr>
              <w:t>A workplace is any place where work is carried out for a business or undertaking and includes any place where a worker goes, or is likely to be, while at work, as defined under s 8 of the model WHS Act. This may include offices, factories, shops, construction sites, vehicles, ships, aircraft or other mobile structures on land or water.</w:t>
            </w:r>
          </w:p>
        </w:tc>
      </w:tr>
    </w:tbl>
    <w:p w14:paraId="3C2B12E7" w14:textId="77777777" w:rsidR="002D0A16" w:rsidRDefault="002D0A16" w:rsidP="000D26F7">
      <w:pPr>
        <w:pStyle w:val="Paragraph"/>
        <w:sectPr w:rsidR="002D0A16" w:rsidSect="00DF1707">
          <w:headerReference w:type="default" r:id="rId121"/>
          <w:pgSz w:w="11906" w:h="16838" w:code="9"/>
          <w:pgMar w:top="1440" w:right="1080" w:bottom="1440" w:left="1080" w:header="709" w:footer="709" w:gutter="0"/>
          <w:cols w:space="708"/>
          <w:titlePg/>
          <w:docGrid w:linePitch="360"/>
        </w:sectPr>
      </w:pPr>
    </w:p>
    <w:p w14:paraId="7D8DA85A" w14:textId="1EB5BD8C" w:rsidR="007E7387" w:rsidRDefault="008A020A" w:rsidP="008A020A">
      <w:pPr>
        <w:pStyle w:val="SWAHeading1"/>
        <w:numPr>
          <w:ilvl w:val="0"/>
          <w:numId w:val="0"/>
        </w:numPr>
      </w:pPr>
      <w:bookmarkStart w:id="151" w:name="_Toc239845180"/>
      <w:r>
        <w:lastRenderedPageBreak/>
        <w:t>Appendix I:</w:t>
      </w:r>
      <w:r w:rsidR="004B30BF">
        <w:t xml:space="preserve"> Data insights</w:t>
      </w:r>
      <w:bookmarkEnd w:id="151"/>
    </w:p>
    <w:p w14:paraId="678F4344" w14:textId="77777777" w:rsidR="00F21CE3" w:rsidRDefault="00DA7D6B" w:rsidP="00DA7D6B">
      <w:pPr>
        <w:pStyle w:val="Paragraph"/>
      </w:pPr>
      <w:r w:rsidRPr="000F1DE6">
        <w:t xml:space="preserve">This appendix summarises key insights from different evidence sources relevant to </w:t>
      </w:r>
      <w:r>
        <w:t xml:space="preserve">this </w:t>
      </w:r>
      <w:r w:rsidRPr="00C820ED">
        <w:t>Review</w:t>
      </w:r>
      <w:r w:rsidRPr="000F1DE6">
        <w:t>.</w:t>
      </w:r>
      <w:r w:rsidRPr="000F1DE6">
        <w:rPr>
          <w:rFonts w:ascii="Arial" w:hAnsi="Arial" w:cs="Arial"/>
        </w:rPr>
        <w:t>  </w:t>
      </w:r>
    </w:p>
    <w:p w14:paraId="31B87B04" w14:textId="0E29758C" w:rsidR="00DA7D6B" w:rsidRPr="005A5D3A" w:rsidRDefault="00DA7D6B" w:rsidP="005A5D3A">
      <w:pPr>
        <w:pStyle w:val="SWAHeading3"/>
        <w:rPr>
          <w:b/>
          <w:bCs/>
        </w:rPr>
      </w:pPr>
      <w:r w:rsidRPr="005A5D3A">
        <w:rPr>
          <w:b/>
          <w:bCs/>
        </w:rPr>
        <w:t>Harmonisation</w:t>
      </w:r>
    </w:p>
    <w:p w14:paraId="0D5423A5" w14:textId="77777777" w:rsidR="00DA7D6B" w:rsidRPr="000F1DE6" w:rsidRDefault="00DA7D6B" w:rsidP="00DA7D6B">
      <w:pPr>
        <w:pStyle w:val="Paragraph"/>
        <w:rPr>
          <w:rFonts w:eastAsia="Aptos"/>
        </w:rPr>
      </w:pPr>
      <w:r w:rsidRPr="000F1DE6">
        <w:rPr>
          <w:rFonts w:eastAsia="Aptos"/>
        </w:rPr>
        <w:t>The analysis in this section compares:</w:t>
      </w:r>
    </w:p>
    <w:p w14:paraId="6FE82696" w14:textId="77777777" w:rsidR="00DA7D6B" w:rsidRPr="000F1DE6" w:rsidRDefault="00DA7D6B" w:rsidP="0000798C">
      <w:pPr>
        <w:pStyle w:val="ListBullet"/>
      </w:pPr>
      <w:r w:rsidRPr="000F1DE6">
        <w:t>how harmonised each part of the legislation is to the model WHS laws overall across jurisdictions</w:t>
      </w:r>
    </w:p>
    <w:p w14:paraId="6F873C50" w14:textId="77777777" w:rsidR="00F21CE3" w:rsidRDefault="00DA7D6B" w:rsidP="0000798C">
      <w:pPr>
        <w:pStyle w:val="ListBullet"/>
      </w:pPr>
      <w:r w:rsidRPr="000F1DE6">
        <w:t>how harmonised each</w:t>
      </w:r>
      <w:r w:rsidRPr="000F1DE6">
        <w:rPr>
          <w:rFonts w:ascii="Arial" w:hAnsi="Arial" w:cs="Arial"/>
        </w:rPr>
        <w:t> </w:t>
      </w:r>
      <w:r w:rsidRPr="000F1DE6">
        <w:t>jurisdiction</w:t>
      </w:r>
      <w:r w:rsidRPr="000F1DE6">
        <w:rPr>
          <w:rFonts w:ascii="Arial" w:hAnsi="Arial" w:cs="Arial"/>
        </w:rPr>
        <w:t> </w:t>
      </w:r>
      <w:r w:rsidRPr="000F1DE6">
        <w:t>is to the model WHS laws.</w:t>
      </w:r>
      <w:r w:rsidRPr="000F1DE6">
        <w:rPr>
          <w:rFonts w:ascii="Arial" w:hAnsi="Arial" w:cs="Arial"/>
        </w:rPr>
        <w:t> </w:t>
      </w:r>
    </w:p>
    <w:p w14:paraId="51283602" w14:textId="77777777" w:rsidR="00F21CE3" w:rsidRDefault="00DA7D6B" w:rsidP="00DA7D6B">
      <w:pPr>
        <w:pStyle w:val="Paragraph"/>
        <w:rPr>
          <w:rFonts w:eastAsia="Aptos"/>
        </w:rPr>
      </w:pPr>
      <w:r w:rsidRPr="000F1DE6">
        <w:rPr>
          <w:rFonts w:eastAsia="Aptos"/>
        </w:rPr>
        <w:t>The analysis is drawn from the WHS Act</w:t>
      </w:r>
      <w:r w:rsidRPr="000F1DE6">
        <w:rPr>
          <w:rFonts w:ascii="Arial" w:eastAsia="Aptos" w:hAnsi="Arial" w:cs="Arial"/>
        </w:rPr>
        <w:t> </w:t>
      </w:r>
      <w:r w:rsidRPr="000F1DE6">
        <w:rPr>
          <w:rFonts w:eastAsia="Aptos"/>
        </w:rPr>
        <w:t>cross-comparison table, which is developed by Safe Work Australia and published on its website. The table</w:t>
      </w:r>
      <w:r w:rsidRPr="000F1DE6">
        <w:rPr>
          <w:rFonts w:ascii="Arial" w:eastAsia="Aptos" w:hAnsi="Arial" w:cs="Arial"/>
        </w:rPr>
        <w:t> </w:t>
      </w:r>
      <w:r w:rsidRPr="000F1DE6">
        <w:rPr>
          <w:rFonts w:eastAsia="Aptos"/>
        </w:rPr>
        <w:t>summarises the similarities and differences between the model WHS Act and the WHS Acts of each model law</w:t>
      </w:r>
      <w:r w:rsidRPr="000F1DE6">
        <w:rPr>
          <w:rFonts w:ascii="Arial" w:eastAsia="Aptos" w:hAnsi="Arial" w:cs="Arial"/>
        </w:rPr>
        <w:t> </w:t>
      </w:r>
      <w:r w:rsidRPr="000F1DE6">
        <w:rPr>
          <w:rFonts w:eastAsia="Aptos"/>
        </w:rPr>
        <w:t>jurisdiction.</w:t>
      </w:r>
      <w:r w:rsidRPr="000F1DE6">
        <w:rPr>
          <w:rFonts w:ascii="Arial" w:eastAsia="Aptos" w:hAnsi="Arial" w:cs="Arial"/>
        </w:rPr>
        <w:t>  </w:t>
      </w:r>
    </w:p>
    <w:p w14:paraId="4A027F71" w14:textId="3221AE4B" w:rsidR="00DA7D6B" w:rsidRPr="000F1DE6" w:rsidRDefault="00DA7D6B" w:rsidP="00DA7D6B">
      <w:pPr>
        <w:pStyle w:val="Paragraph"/>
        <w:rPr>
          <w:rFonts w:eastAsia="Aptos"/>
        </w:rPr>
      </w:pPr>
      <w:r w:rsidRPr="000F1DE6">
        <w:rPr>
          <w:rFonts w:eastAsia="Aptos"/>
        </w:rPr>
        <w:t>A colour scale has been applied to illustrate the relative differences in harmonisation.</w:t>
      </w:r>
    </w:p>
    <w:p w14:paraId="1414EAD3" w14:textId="77777777" w:rsidR="00F21CE3" w:rsidRDefault="00DA7D6B" w:rsidP="00DA7D6B">
      <w:pPr>
        <w:pStyle w:val="Paragraph"/>
        <w:rPr>
          <w:rFonts w:eastAsia="Aptos"/>
        </w:rPr>
      </w:pPr>
      <w:r w:rsidRPr="000F1DE6">
        <w:rPr>
          <w:rFonts w:eastAsia="Aptos"/>
        </w:rPr>
        <w:t>Please note the information in this section is for illustrative purposes only. Assessing the level of harmonisation across the model WHS Act and jurisdictions is complex. For example, a minor variation to an administrative process may not be as significant as a variation to a general duty. A jurisdiction may adopt a provision of the model Act with different wording but reflect the same policy intent. These nuances are difficult to reflect in quantitative data.</w:t>
      </w:r>
    </w:p>
    <w:p w14:paraId="5A364926" w14:textId="77777777" w:rsidR="00F21CE3" w:rsidRDefault="00DA7D6B" w:rsidP="00DA7D6B">
      <w:pPr>
        <w:pStyle w:val="Paragraph"/>
        <w:rPr>
          <w:rFonts w:eastAsia="Aptos"/>
        </w:rPr>
      </w:pPr>
      <w:r w:rsidRPr="000F1DE6">
        <w:rPr>
          <w:rFonts w:eastAsia="Aptos"/>
        </w:rPr>
        <w:t>The analysis does, however, provide a general sense of which parts of the Act are relatively more or less harmonised across the jurisdictions.</w:t>
      </w:r>
    </w:p>
    <w:p w14:paraId="56DB4B49" w14:textId="4A9F3EBA" w:rsidR="00F21CE3" w:rsidRDefault="00DA7D6B" w:rsidP="00DA7D6B">
      <w:pPr>
        <w:pStyle w:val="Paragraph"/>
        <w:rPr>
          <w:rFonts w:eastAsia="Aptos"/>
        </w:rPr>
      </w:pPr>
      <w:r w:rsidRPr="000F1DE6">
        <w:rPr>
          <w:rFonts w:eastAsia="Aptos"/>
        </w:rPr>
        <w:t xml:space="preserve">Please also note the information in the cross-comparison table was last updated on </w:t>
      </w:r>
      <w:r w:rsidRPr="000F1DE6">
        <w:rPr>
          <w:rFonts w:eastAsia="Aptos" w:cs="Times New Roman"/>
          <w:kern w:val="2"/>
          <w:szCs w:val="22"/>
          <w14:ligatures w14:val="standardContextual"/>
        </w:rPr>
        <w:t>30 June 2025</w:t>
      </w:r>
      <w:r w:rsidRPr="000F1DE6">
        <w:rPr>
          <w:rFonts w:eastAsia="Aptos"/>
        </w:rPr>
        <w:t>. While we make every effort to capture all jurisdictional variations, the information in the table should be treated as a general overview only.</w:t>
      </w:r>
    </w:p>
    <w:p w14:paraId="5CABC993" w14:textId="7832FB30" w:rsidR="000D26F7" w:rsidRDefault="000D26F7">
      <w:pPr>
        <w:spacing w:after="200" w:line="276" w:lineRule="auto"/>
        <w:contextualSpacing w:val="0"/>
        <w:rPr>
          <w:rFonts w:asciiTheme="minorHAnsi" w:eastAsia="Aptos" w:hAnsiTheme="minorHAnsi"/>
          <w:lang w:eastAsia="en-AU"/>
        </w:rPr>
      </w:pPr>
      <w:r>
        <w:rPr>
          <w:rFonts w:eastAsia="Aptos"/>
        </w:rPr>
        <w:br w:type="page"/>
      </w:r>
    </w:p>
    <w:p w14:paraId="4CE508DC" w14:textId="77777777" w:rsidR="00DA7D6B" w:rsidRPr="000F1DE6" w:rsidRDefault="00DA7D6B" w:rsidP="00627D93">
      <w:pPr>
        <w:pStyle w:val="SWAHeading3"/>
        <w:rPr>
          <w:rFonts w:eastAsia="Aptos"/>
          <w:kern w:val="2"/>
          <w14:ligatures w14:val="standardContextual"/>
        </w:rPr>
      </w:pPr>
      <w:r w:rsidRPr="000F1DE6">
        <w:lastRenderedPageBreak/>
        <w:t>Analysis</w:t>
      </w:r>
    </w:p>
    <w:p w14:paraId="7449D4EF" w14:textId="01F6D5B3" w:rsidR="00BD5338" w:rsidRPr="000D26F7" w:rsidRDefault="00DA7D6B" w:rsidP="000D26F7">
      <w:pPr>
        <w:pStyle w:val="Caption"/>
        <w:rPr>
          <w:rFonts w:cs="Times New Roman"/>
        </w:rPr>
      </w:pPr>
      <w:r w:rsidRPr="000F1DE6">
        <w:t xml:space="preserve">Data table 1 Harmonisation of the model WHS </w:t>
      </w:r>
      <w:r w:rsidRPr="000D26F7">
        <w:t>laws</w:t>
      </w:r>
      <w:r w:rsidRPr="000F1DE6">
        <w:t>, by Parts </w:t>
      </w:r>
      <w:r w:rsidRPr="000F1DE6">
        <w:rPr>
          <w:rFonts w:cs="Times New Roman"/>
        </w:rPr>
        <w:t> </w:t>
      </w:r>
    </w:p>
    <w:tbl>
      <w:tblPr>
        <w:tblW w:w="0" w:type="auto"/>
        <w:tblBorders>
          <w:insideH w:val="single" w:sz="8" w:space="0" w:color="000000" w:themeColor="text1"/>
        </w:tblBorders>
        <w:tblLook w:val="04A0" w:firstRow="1" w:lastRow="0" w:firstColumn="1" w:lastColumn="0" w:noHBand="0" w:noVBand="1"/>
        <w:tblCaption w:val="Key for data table 1"/>
        <w:tblDescription w:val="The key for data table 1 shows the overall level of harmonisation across each section of the model WHS Act.&#10;More harmonised sections are darker green with diagonal stripes&#10;Average harmonised sections are mid green with no pattern&#10;Less harmonised sections are light green with a lattice pattern &#10;"/>
      </w:tblPr>
      <w:tblGrid>
        <w:gridCol w:w="1980"/>
        <w:gridCol w:w="567"/>
      </w:tblGrid>
      <w:tr w:rsidR="00BD5338" w:rsidRPr="00BD5338" w14:paraId="68F830A4" w14:textId="77777777" w:rsidTr="0016789A">
        <w:tc>
          <w:tcPr>
            <w:tcW w:w="1980" w:type="dxa"/>
            <w:shd w:val="clear" w:color="auto" w:fill="F2F2F2" w:themeFill="background1" w:themeFillShade="F2"/>
          </w:tcPr>
          <w:p w14:paraId="49C5FE2B" w14:textId="77777777" w:rsidR="00BD5338" w:rsidRPr="00BD5338" w:rsidRDefault="00BD5338" w:rsidP="00931ADC">
            <w:pPr>
              <w:spacing w:line="240" w:lineRule="auto"/>
              <w:rPr>
                <w:rFonts w:ascii="Aptos" w:eastAsia="Aptos" w:hAnsi="Aptos"/>
                <w:b/>
                <w:szCs w:val="22"/>
              </w:rPr>
            </w:pPr>
            <w:r w:rsidRPr="00BD5338">
              <w:rPr>
                <w:rFonts w:ascii="Aptos" w:eastAsia="Aptos" w:hAnsi="Aptos"/>
                <w:b/>
                <w:szCs w:val="22"/>
              </w:rPr>
              <w:t>Key</w:t>
            </w:r>
          </w:p>
        </w:tc>
        <w:tc>
          <w:tcPr>
            <w:tcW w:w="567" w:type="dxa"/>
            <w:shd w:val="clear" w:color="auto" w:fill="F2F2F2" w:themeFill="background1" w:themeFillShade="F2"/>
          </w:tcPr>
          <w:p w14:paraId="4BB48FA9" w14:textId="77777777" w:rsidR="00BD5338" w:rsidRPr="00BD5338" w:rsidRDefault="00BD5338" w:rsidP="00931ADC">
            <w:pPr>
              <w:spacing w:line="240" w:lineRule="auto"/>
              <w:ind w:left="1701"/>
              <w:jc w:val="center"/>
              <w:rPr>
                <w:rFonts w:ascii="Aptos" w:eastAsia="Aptos" w:hAnsi="Aptos"/>
                <w:b/>
                <w:szCs w:val="22"/>
              </w:rPr>
            </w:pPr>
          </w:p>
        </w:tc>
      </w:tr>
      <w:tr w:rsidR="00BD5338" w:rsidRPr="00BD5338" w14:paraId="6FF1592D" w14:textId="77777777" w:rsidTr="0016789A">
        <w:tc>
          <w:tcPr>
            <w:tcW w:w="1980" w:type="dxa"/>
          </w:tcPr>
          <w:p w14:paraId="146EF326" w14:textId="77777777" w:rsidR="00BD5338" w:rsidRPr="00BD5338" w:rsidRDefault="00BD5338" w:rsidP="00931ADC">
            <w:pPr>
              <w:spacing w:line="240" w:lineRule="auto"/>
              <w:rPr>
                <w:rFonts w:ascii="Aptos" w:eastAsia="Aptos" w:hAnsi="Aptos"/>
                <w:szCs w:val="22"/>
              </w:rPr>
            </w:pPr>
            <w:r w:rsidRPr="00BD5338">
              <w:rPr>
                <w:rFonts w:ascii="Aptos" w:eastAsia="Aptos" w:hAnsi="Aptos"/>
                <w:szCs w:val="22"/>
              </w:rPr>
              <w:t>More harmonised</w:t>
            </w:r>
          </w:p>
        </w:tc>
        <w:tc>
          <w:tcPr>
            <w:tcW w:w="567" w:type="dxa"/>
            <w:shd w:val="thinDiagStripe" w:color="auto" w:fill="4EA72E"/>
          </w:tcPr>
          <w:p w14:paraId="7F72BE09" w14:textId="77777777" w:rsidR="00BD5338" w:rsidRPr="00BD5338" w:rsidRDefault="00BD5338" w:rsidP="00931ADC">
            <w:pPr>
              <w:spacing w:line="240" w:lineRule="auto"/>
              <w:ind w:left="1701"/>
              <w:rPr>
                <w:rFonts w:ascii="Aptos" w:eastAsia="Aptos" w:hAnsi="Aptos"/>
                <w:szCs w:val="22"/>
              </w:rPr>
            </w:pPr>
          </w:p>
        </w:tc>
      </w:tr>
      <w:tr w:rsidR="00BD5338" w:rsidRPr="00BD5338" w14:paraId="4E7499B1" w14:textId="77777777" w:rsidTr="0016789A">
        <w:tc>
          <w:tcPr>
            <w:tcW w:w="1980" w:type="dxa"/>
          </w:tcPr>
          <w:p w14:paraId="18F70192" w14:textId="77777777" w:rsidR="00BD5338" w:rsidRPr="00BD5338" w:rsidRDefault="00BD5338" w:rsidP="00931ADC">
            <w:pPr>
              <w:spacing w:line="240" w:lineRule="auto"/>
              <w:rPr>
                <w:rFonts w:ascii="Aptos" w:eastAsia="Aptos" w:hAnsi="Aptos"/>
                <w:szCs w:val="22"/>
              </w:rPr>
            </w:pPr>
          </w:p>
        </w:tc>
        <w:tc>
          <w:tcPr>
            <w:tcW w:w="567" w:type="dxa"/>
            <w:shd w:val="clear" w:color="auto" w:fill="8DD873"/>
          </w:tcPr>
          <w:p w14:paraId="5703F902" w14:textId="77777777" w:rsidR="00BD5338" w:rsidRPr="00BD5338" w:rsidRDefault="00BD5338" w:rsidP="00931ADC">
            <w:pPr>
              <w:spacing w:line="240" w:lineRule="auto"/>
              <w:ind w:left="1701"/>
              <w:rPr>
                <w:rFonts w:ascii="Aptos" w:eastAsia="Aptos" w:hAnsi="Aptos"/>
                <w:szCs w:val="22"/>
              </w:rPr>
            </w:pPr>
          </w:p>
        </w:tc>
      </w:tr>
      <w:tr w:rsidR="00BD5338" w:rsidRPr="00BD5338" w14:paraId="2A0CB85D" w14:textId="77777777" w:rsidTr="0016789A">
        <w:tc>
          <w:tcPr>
            <w:tcW w:w="1980" w:type="dxa"/>
          </w:tcPr>
          <w:p w14:paraId="6A38FE94" w14:textId="77777777" w:rsidR="00BD5338" w:rsidRPr="00BD5338" w:rsidRDefault="00BD5338" w:rsidP="00931ADC">
            <w:pPr>
              <w:spacing w:line="240" w:lineRule="auto"/>
              <w:rPr>
                <w:rFonts w:ascii="Aptos" w:eastAsia="Aptos" w:hAnsi="Aptos"/>
                <w:szCs w:val="22"/>
              </w:rPr>
            </w:pPr>
            <w:r w:rsidRPr="00BD5338">
              <w:rPr>
                <w:rFonts w:ascii="Aptos" w:eastAsia="Aptos" w:hAnsi="Aptos"/>
                <w:szCs w:val="22"/>
              </w:rPr>
              <w:t>Less harmonised</w:t>
            </w:r>
          </w:p>
        </w:tc>
        <w:tc>
          <w:tcPr>
            <w:tcW w:w="567" w:type="dxa"/>
            <w:shd w:val="thinDiagCross" w:color="auto" w:fill="D9F2D0"/>
          </w:tcPr>
          <w:p w14:paraId="278B6775" w14:textId="77777777" w:rsidR="00BD5338" w:rsidRPr="00BD5338" w:rsidRDefault="00BD5338" w:rsidP="00931ADC">
            <w:pPr>
              <w:spacing w:line="240" w:lineRule="auto"/>
              <w:ind w:left="1701"/>
              <w:rPr>
                <w:rFonts w:ascii="Aptos" w:eastAsia="Aptos" w:hAnsi="Aptos"/>
                <w:szCs w:val="22"/>
              </w:rPr>
            </w:pPr>
          </w:p>
        </w:tc>
      </w:tr>
    </w:tbl>
    <w:p w14:paraId="1E05C930" w14:textId="77777777" w:rsidR="00DA7D6B" w:rsidRPr="000F1DE6" w:rsidRDefault="00DA7D6B" w:rsidP="00DA7D6B">
      <w:pPr>
        <w:spacing w:after="0" w:line="240" w:lineRule="auto"/>
        <w:rPr>
          <w:rFonts w:asciiTheme="minorHAnsi" w:eastAsia="Aptos" w:hAnsiTheme="minorHAnsi" w:cs="Times New Roman"/>
          <w:kern w:val="2"/>
          <w:szCs w:val="22"/>
          <w14:ligatures w14:val="standardContextual"/>
        </w:rPr>
      </w:pPr>
    </w:p>
    <w:tbl>
      <w:tblPr>
        <w:tblW w:w="5000" w:type="pct"/>
        <w:tblBorders>
          <w:insideH w:val="single" w:sz="8" w:space="0" w:color="D9D9D9" w:themeColor="background1" w:themeShade="D9"/>
        </w:tblBorders>
        <w:tblCellMar>
          <w:top w:w="57" w:type="dxa"/>
          <w:bottom w:w="57" w:type="dxa"/>
        </w:tblCellMar>
        <w:tblLook w:val="04A0" w:firstRow="1" w:lastRow="0" w:firstColumn="1" w:lastColumn="0" w:noHBand="0" w:noVBand="1"/>
        <w:tblCaption w:val="Data table 1 - Harmonisation of the model WHS laws, by Parts"/>
        <w:tblDescription w:val="Data table 1 shows the overall level of harmonisation across each section of the model WHS Act. Refer to table description below."/>
      </w:tblPr>
      <w:tblGrid>
        <w:gridCol w:w="5735"/>
        <w:gridCol w:w="4011"/>
      </w:tblGrid>
      <w:tr w:rsidR="00DA7D6B" w:rsidRPr="000F1DE6" w14:paraId="205BB9EE" w14:textId="77777777" w:rsidTr="0016789A">
        <w:trPr>
          <w:trHeight w:val="290"/>
        </w:trPr>
        <w:tc>
          <w:tcPr>
            <w:tcW w:w="2942" w:type="pct"/>
            <w:tcBorders>
              <w:top w:val="nil"/>
              <w:bottom w:val="single" w:sz="8" w:space="0" w:color="000000" w:themeColor="text1"/>
            </w:tcBorders>
            <w:shd w:val="clear" w:color="auto" w:fill="F2F2F2" w:themeFill="background1" w:themeFillShade="F2"/>
            <w:noWrap/>
            <w:vAlign w:val="bottom"/>
            <w:hideMark/>
          </w:tcPr>
          <w:p w14:paraId="5F03E9B0" w14:textId="77777777" w:rsidR="00DA7D6B" w:rsidRPr="000F1DE6" w:rsidRDefault="00DA7D6B">
            <w:pPr>
              <w:spacing w:after="0" w:line="240" w:lineRule="auto"/>
              <w:rPr>
                <w:rFonts w:asciiTheme="minorHAnsi" w:eastAsia="Times New Roman" w:hAnsiTheme="minorHAnsi" w:cs="Times New Roman"/>
                <w:b/>
                <w:color w:val="000000"/>
                <w:szCs w:val="22"/>
                <w:lang w:eastAsia="en-AU"/>
              </w:rPr>
            </w:pPr>
            <w:r w:rsidRPr="000F1DE6">
              <w:rPr>
                <w:rFonts w:asciiTheme="minorHAnsi" w:eastAsia="Times New Roman" w:hAnsiTheme="minorHAnsi" w:cs="Times New Roman"/>
                <w:b/>
                <w:color w:val="000000"/>
                <w:szCs w:val="22"/>
                <w:lang w:eastAsia="en-AU"/>
              </w:rPr>
              <w:t xml:space="preserve">Model WHS Law Parts </w:t>
            </w:r>
          </w:p>
        </w:tc>
        <w:tc>
          <w:tcPr>
            <w:tcW w:w="2058" w:type="pct"/>
            <w:tcBorders>
              <w:top w:val="nil"/>
              <w:bottom w:val="single" w:sz="8" w:space="0" w:color="000000" w:themeColor="text1"/>
            </w:tcBorders>
            <w:shd w:val="clear" w:color="auto" w:fill="F2F2F2" w:themeFill="background1" w:themeFillShade="F2"/>
            <w:noWrap/>
            <w:vAlign w:val="bottom"/>
            <w:hideMark/>
          </w:tcPr>
          <w:p w14:paraId="3428E812" w14:textId="77777777" w:rsidR="00DA7D6B" w:rsidRPr="000F1DE6" w:rsidRDefault="00DA7D6B">
            <w:pPr>
              <w:spacing w:after="0" w:line="240" w:lineRule="auto"/>
              <w:rPr>
                <w:rFonts w:asciiTheme="minorHAnsi" w:eastAsia="Times New Roman" w:hAnsiTheme="minorHAnsi" w:cs="Times New Roman"/>
                <w:b/>
                <w:color w:val="000000"/>
                <w:szCs w:val="22"/>
                <w:lang w:eastAsia="en-AU"/>
              </w:rPr>
            </w:pPr>
            <w:r w:rsidRPr="000F1DE6">
              <w:rPr>
                <w:rFonts w:asciiTheme="minorHAnsi" w:eastAsia="Times New Roman" w:hAnsiTheme="minorHAnsi" w:cs="Times New Roman"/>
                <w:b/>
                <w:color w:val="000000"/>
                <w:szCs w:val="22"/>
                <w:lang w:eastAsia="en-AU"/>
              </w:rPr>
              <w:t>Relative harmonisation level</w:t>
            </w:r>
          </w:p>
        </w:tc>
      </w:tr>
      <w:tr w:rsidR="00DA7D6B" w:rsidRPr="000F1DE6" w14:paraId="419C91EB" w14:textId="77777777" w:rsidTr="000D26F7">
        <w:trPr>
          <w:trHeight w:val="290"/>
        </w:trPr>
        <w:tc>
          <w:tcPr>
            <w:tcW w:w="2942" w:type="pct"/>
            <w:tcBorders>
              <w:top w:val="single" w:sz="8" w:space="0" w:color="000000" w:themeColor="text1"/>
              <w:bottom w:val="single" w:sz="8" w:space="0" w:color="000000" w:themeColor="text1"/>
            </w:tcBorders>
            <w:noWrap/>
            <w:vAlign w:val="bottom"/>
            <w:hideMark/>
          </w:tcPr>
          <w:p w14:paraId="79F8AC8F" w14:textId="77777777" w:rsidR="00DA7D6B" w:rsidRPr="000F1DE6" w:rsidRDefault="00DA7D6B">
            <w:pPr>
              <w:spacing w:after="0" w:line="240" w:lineRule="auto"/>
              <w:rPr>
                <w:rFonts w:asciiTheme="minorHAnsi" w:eastAsia="Times New Roman" w:hAnsiTheme="minorHAnsi" w:cs="Times New Roman"/>
                <w:i/>
                <w:color w:val="000000"/>
                <w:szCs w:val="22"/>
                <w:lang w:eastAsia="en-AU"/>
              </w:rPr>
            </w:pPr>
            <w:r w:rsidRPr="000F1DE6">
              <w:rPr>
                <w:rFonts w:asciiTheme="minorHAnsi" w:eastAsia="Times New Roman" w:hAnsiTheme="minorHAnsi" w:cs="Times New Roman"/>
                <w:i/>
                <w:color w:val="000000"/>
                <w:szCs w:val="22"/>
                <w:lang w:eastAsia="en-AU"/>
              </w:rPr>
              <w:t>Part 1 Introduction</w:t>
            </w:r>
          </w:p>
        </w:tc>
        <w:tc>
          <w:tcPr>
            <w:tcW w:w="2058" w:type="pct"/>
            <w:tcBorders>
              <w:top w:val="single" w:sz="8" w:space="0" w:color="000000" w:themeColor="text1"/>
              <w:bottom w:val="single" w:sz="8" w:space="0" w:color="000000" w:themeColor="text1"/>
            </w:tcBorders>
            <w:shd w:val="clear" w:color="auto" w:fill="8DD873"/>
            <w:noWrap/>
            <w:vAlign w:val="bottom"/>
          </w:tcPr>
          <w:p w14:paraId="5400E6A1" w14:textId="77777777" w:rsidR="00DA7D6B" w:rsidRPr="000F1DE6" w:rsidRDefault="00DA7D6B">
            <w:pPr>
              <w:spacing w:after="0" w:line="240" w:lineRule="auto"/>
              <w:jc w:val="right"/>
              <w:rPr>
                <w:rFonts w:asciiTheme="minorHAnsi" w:eastAsia="Times New Roman" w:hAnsiTheme="minorHAnsi" w:cs="Times New Roman"/>
                <w:color w:val="000000"/>
                <w:szCs w:val="22"/>
                <w:lang w:eastAsia="en-AU"/>
              </w:rPr>
            </w:pPr>
          </w:p>
        </w:tc>
      </w:tr>
      <w:tr w:rsidR="00DA7D6B" w:rsidRPr="000F1DE6" w14:paraId="5C219F32" w14:textId="77777777" w:rsidTr="000D26F7">
        <w:trPr>
          <w:trHeight w:val="290"/>
        </w:trPr>
        <w:tc>
          <w:tcPr>
            <w:tcW w:w="2942" w:type="pct"/>
            <w:tcBorders>
              <w:top w:val="single" w:sz="8" w:space="0" w:color="000000" w:themeColor="text1"/>
              <w:bottom w:val="single" w:sz="8" w:space="0" w:color="000000" w:themeColor="text1"/>
            </w:tcBorders>
            <w:noWrap/>
            <w:vAlign w:val="bottom"/>
            <w:hideMark/>
          </w:tcPr>
          <w:p w14:paraId="2E96BFA3" w14:textId="466DF519" w:rsidR="00DA7D6B" w:rsidRPr="000F1DE6" w:rsidRDefault="00DA7D6B">
            <w:pPr>
              <w:spacing w:after="0" w:line="240" w:lineRule="auto"/>
              <w:rPr>
                <w:rFonts w:asciiTheme="minorHAnsi" w:eastAsia="Times New Roman" w:hAnsiTheme="minorHAnsi" w:cs="Times New Roman"/>
                <w:i/>
                <w:color w:val="000000"/>
                <w:szCs w:val="22"/>
                <w:lang w:eastAsia="en-AU"/>
              </w:rPr>
            </w:pPr>
            <w:r w:rsidRPr="000F1DE6">
              <w:rPr>
                <w:rFonts w:asciiTheme="minorHAnsi" w:eastAsia="Times New Roman" w:hAnsiTheme="minorHAnsi" w:cs="Times New Roman"/>
                <w:i/>
                <w:color w:val="000000"/>
                <w:szCs w:val="22"/>
                <w:lang w:eastAsia="en-AU"/>
              </w:rPr>
              <w:t xml:space="preserve">Part 2 Health and </w:t>
            </w:r>
            <w:r w:rsidR="00A713D2">
              <w:rPr>
                <w:rFonts w:asciiTheme="minorHAnsi" w:eastAsia="Times New Roman" w:hAnsiTheme="minorHAnsi" w:cs="Times New Roman"/>
                <w:i/>
                <w:color w:val="000000"/>
                <w:szCs w:val="22"/>
                <w:lang w:eastAsia="en-AU"/>
              </w:rPr>
              <w:t>s</w:t>
            </w:r>
            <w:r w:rsidRPr="000F1DE6">
              <w:rPr>
                <w:rFonts w:asciiTheme="minorHAnsi" w:eastAsia="Times New Roman" w:hAnsiTheme="minorHAnsi" w:cs="Times New Roman"/>
                <w:i/>
                <w:color w:val="000000"/>
                <w:szCs w:val="22"/>
                <w:lang w:eastAsia="en-AU"/>
              </w:rPr>
              <w:t xml:space="preserve">afety </w:t>
            </w:r>
            <w:r w:rsidR="00A713D2">
              <w:rPr>
                <w:rFonts w:asciiTheme="minorHAnsi" w:eastAsia="Times New Roman" w:hAnsiTheme="minorHAnsi" w:cs="Times New Roman"/>
                <w:i/>
                <w:color w:val="000000"/>
                <w:szCs w:val="22"/>
                <w:lang w:eastAsia="en-AU"/>
              </w:rPr>
              <w:t>d</w:t>
            </w:r>
            <w:r w:rsidRPr="000F1DE6">
              <w:rPr>
                <w:rFonts w:asciiTheme="minorHAnsi" w:eastAsia="Times New Roman" w:hAnsiTheme="minorHAnsi" w:cs="Times New Roman"/>
                <w:i/>
                <w:color w:val="000000"/>
                <w:szCs w:val="22"/>
                <w:lang w:eastAsia="en-AU"/>
              </w:rPr>
              <w:t>uties</w:t>
            </w:r>
          </w:p>
        </w:tc>
        <w:tc>
          <w:tcPr>
            <w:tcW w:w="2058" w:type="pct"/>
            <w:tcBorders>
              <w:top w:val="single" w:sz="8" w:space="0" w:color="000000" w:themeColor="text1"/>
              <w:bottom w:val="single" w:sz="8" w:space="0" w:color="000000" w:themeColor="text1"/>
            </w:tcBorders>
            <w:shd w:val="thinDiagStripe" w:color="auto" w:fill="4EA72E"/>
            <w:noWrap/>
            <w:vAlign w:val="bottom"/>
          </w:tcPr>
          <w:p w14:paraId="68428CD4" w14:textId="77777777" w:rsidR="00DA7D6B" w:rsidRPr="000F1DE6" w:rsidRDefault="00DA7D6B">
            <w:pPr>
              <w:spacing w:after="0" w:line="240" w:lineRule="auto"/>
              <w:jc w:val="right"/>
              <w:rPr>
                <w:rFonts w:asciiTheme="minorHAnsi" w:eastAsia="Times New Roman" w:hAnsiTheme="minorHAnsi" w:cs="Times New Roman"/>
                <w:color w:val="000000"/>
                <w:szCs w:val="22"/>
                <w:lang w:eastAsia="en-AU"/>
              </w:rPr>
            </w:pPr>
          </w:p>
        </w:tc>
      </w:tr>
      <w:tr w:rsidR="00DA7D6B" w:rsidRPr="000F1DE6" w14:paraId="10E4AC39" w14:textId="77777777" w:rsidTr="000D26F7">
        <w:trPr>
          <w:trHeight w:val="290"/>
        </w:trPr>
        <w:tc>
          <w:tcPr>
            <w:tcW w:w="2942" w:type="pct"/>
            <w:tcBorders>
              <w:top w:val="single" w:sz="8" w:space="0" w:color="000000" w:themeColor="text1"/>
              <w:bottom w:val="single" w:sz="8" w:space="0" w:color="000000" w:themeColor="text1"/>
            </w:tcBorders>
            <w:noWrap/>
            <w:vAlign w:val="bottom"/>
            <w:hideMark/>
          </w:tcPr>
          <w:p w14:paraId="10E51683" w14:textId="41F795BF" w:rsidR="00DA7D6B" w:rsidRPr="000F1DE6" w:rsidRDefault="00DA7D6B">
            <w:pPr>
              <w:spacing w:after="0" w:line="240" w:lineRule="auto"/>
              <w:rPr>
                <w:rFonts w:asciiTheme="minorHAnsi" w:eastAsia="Times New Roman" w:hAnsiTheme="minorHAnsi" w:cs="Times New Roman"/>
                <w:i/>
                <w:color w:val="000000"/>
                <w:szCs w:val="22"/>
                <w:lang w:eastAsia="en-AU"/>
              </w:rPr>
            </w:pPr>
            <w:r w:rsidRPr="000F1DE6">
              <w:rPr>
                <w:rFonts w:asciiTheme="minorHAnsi" w:eastAsia="Times New Roman" w:hAnsiTheme="minorHAnsi" w:cs="Times New Roman"/>
                <w:i/>
                <w:color w:val="000000"/>
                <w:szCs w:val="22"/>
                <w:lang w:eastAsia="en-AU"/>
              </w:rPr>
              <w:t xml:space="preserve">Part 3 Incident </w:t>
            </w:r>
            <w:r w:rsidR="00A713D2">
              <w:rPr>
                <w:rFonts w:asciiTheme="minorHAnsi" w:eastAsia="Times New Roman" w:hAnsiTheme="minorHAnsi" w:cs="Times New Roman"/>
                <w:i/>
                <w:color w:val="000000"/>
                <w:szCs w:val="22"/>
                <w:lang w:eastAsia="en-AU"/>
              </w:rPr>
              <w:t>n</w:t>
            </w:r>
            <w:r w:rsidRPr="000F1DE6">
              <w:rPr>
                <w:rFonts w:asciiTheme="minorHAnsi" w:eastAsia="Times New Roman" w:hAnsiTheme="minorHAnsi" w:cs="Times New Roman"/>
                <w:i/>
                <w:color w:val="000000"/>
                <w:szCs w:val="22"/>
                <w:lang w:eastAsia="en-AU"/>
              </w:rPr>
              <w:t>otification</w:t>
            </w:r>
          </w:p>
        </w:tc>
        <w:tc>
          <w:tcPr>
            <w:tcW w:w="2058" w:type="pct"/>
            <w:tcBorders>
              <w:top w:val="single" w:sz="8" w:space="0" w:color="000000" w:themeColor="text1"/>
              <w:bottom w:val="single" w:sz="8" w:space="0" w:color="000000" w:themeColor="text1"/>
            </w:tcBorders>
            <w:shd w:val="thinDiagStripe" w:color="auto" w:fill="4EA72E"/>
            <w:noWrap/>
            <w:vAlign w:val="bottom"/>
          </w:tcPr>
          <w:p w14:paraId="3F9D4ECC" w14:textId="77777777" w:rsidR="00DA7D6B" w:rsidRPr="000F1DE6" w:rsidRDefault="00DA7D6B">
            <w:pPr>
              <w:spacing w:after="0" w:line="240" w:lineRule="auto"/>
              <w:jc w:val="right"/>
              <w:rPr>
                <w:rFonts w:asciiTheme="minorHAnsi" w:eastAsia="Times New Roman" w:hAnsiTheme="minorHAnsi" w:cs="Times New Roman"/>
                <w:color w:val="000000"/>
                <w:szCs w:val="22"/>
                <w:lang w:eastAsia="en-AU"/>
              </w:rPr>
            </w:pPr>
          </w:p>
        </w:tc>
      </w:tr>
      <w:tr w:rsidR="00DA7D6B" w:rsidRPr="000F1DE6" w14:paraId="6501028B" w14:textId="77777777" w:rsidTr="000D26F7">
        <w:trPr>
          <w:trHeight w:val="290"/>
        </w:trPr>
        <w:tc>
          <w:tcPr>
            <w:tcW w:w="2942" w:type="pct"/>
            <w:tcBorders>
              <w:top w:val="single" w:sz="8" w:space="0" w:color="000000" w:themeColor="text1"/>
              <w:bottom w:val="single" w:sz="8" w:space="0" w:color="000000" w:themeColor="text1"/>
            </w:tcBorders>
            <w:noWrap/>
            <w:vAlign w:val="bottom"/>
            <w:hideMark/>
          </w:tcPr>
          <w:p w14:paraId="2FAFBE74" w14:textId="77777777" w:rsidR="00DA7D6B" w:rsidRPr="000F1DE6" w:rsidRDefault="00DA7D6B">
            <w:pPr>
              <w:spacing w:after="0" w:line="240" w:lineRule="auto"/>
              <w:rPr>
                <w:rFonts w:asciiTheme="minorHAnsi" w:eastAsia="Times New Roman" w:hAnsiTheme="minorHAnsi" w:cs="Times New Roman"/>
                <w:i/>
                <w:color w:val="000000"/>
                <w:szCs w:val="22"/>
                <w:lang w:eastAsia="en-AU"/>
              </w:rPr>
            </w:pPr>
            <w:r w:rsidRPr="000F1DE6">
              <w:rPr>
                <w:rFonts w:asciiTheme="minorHAnsi" w:eastAsia="Times New Roman" w:hAnsiTheme="minorHAnsi" w:cs="Times New Roman"/>
                <w:i/>
                <w:color w:val="000000"/>
                <w:szCs w:val="22"/>
                <w:lang w:eastAsia="en-AU"/>
              </w:rPr>
              <w:t>Part 4 Authorisations</w:t>
            </w:r>
          </w:p>
        </w:tc>
        <w:tc>
          <w:tcPr>
            <w:tcW w:w="2058" w:type="pct"/>
            <w:tcBorders>
              <w:top w:val="single" w:sz="8" w:space="0" w:color="000000" w:themeColor="text1"/>
              <w:bottom w:val="single" w:sz="8" w:space="0" w:color="000000" w:themeColor="text1"/>
            </w:tcBorders>
            <w:shd w:val="clear" w:color="auto" w:fill="8DD873"/>
            <w:noWrap/>
            <w:vAlign w:val="bottom"/>
          </w:tcPr>
          <w:p w14:paraId="042A4761" w14:textId="77777777" w:rsidR="00DA7D6B" w:rsidRPr="000F1DE6" w:rsidRDefault="00DA7D6B">
            <w:pPr>
              <w:spacing w:after="0" w:line="240" w:lineRule="auto"/>
              <w:jc w:val="right"/>
              <w:rPr>
                <w:rFonts w:asciiTheme="minorHAnsi" w:eastAsia="Times New Roman" w:hAnsiTheme="minorHAnsi" w:cs="Times New Roman"/>
                <w:color w:val="000000"/>
                <w:szCs w:val="22"/>
                <w:lang w:eastAsia="en-AU"/>
              </w:rPr>
            </w:pPr>
          </w:p>
        </w:tc>
      </w:tr>
      <w:tr w:rsidR="00DA7D6B" w:rsidRPr="000F1DE6" w14:paraId="297CBC2F" w14:textId="77777777" w:rsidTr="000D26F7">
        <w:trPr>
          <w:trHeight w:val="290"/>
        </w:trPr>
        <w:tc>
          <w:tcPr>
            <w:tcW w:w="2942" w:type="pct"/>
            <w:tcBorders>
              <w:top w:val="single" w:sz="8" w:space="0" w:color="000000" w:themeColor="text1"/>
              <w:bottom w:val="single" w:sz="8" w:space="0" w:color="000000" w:themeColor="text1"/>
            </w:tcBorders>
            <w:noWrap/>
            <w:vAlign w:val="bottom"/>
            <w:hideMark/>
          </w:tcPr>
          <w:p w14:paraId="72CB7213" w14:textId="77777777" w:rsidR="00DA7D6B" w:rsidRPr="000F1DE6" w:rsidRDefault="00DA7D6B">
            <w:pPr>
              <w:spacing w:after="0" w:line="240" w:lineRule="auto"/>
              <w:rPr>
                <w:rFonts w:asciiTheme="minorHAnsi" w:eastAsia="Times New Roman" w:hAnsiTheme="minorHAnsi" w:cs="Times New Roman"/>
                <w:i/>
                <w:color w:val="000000"/>
                <w:szCs w:val="22"/>
                <w:lang w:eastAsia="en-AU"/>
              </w:rPr>
            </w:pPr>
            <w:r w:rsidRPr="000F1DE6">
              <w:rPr>
                <w:rFonts w:asciiTheme="minorHAnsi" w:eastAsia="Times New Roman" w:hAnsiTheme="minorHAnsi" w:cs="Times New Roman"/>
                <w:i/>
                <w:color w:val="000000"/>
                <w:szCs w:val="22"/>
                <w:lang w:eastAsia="en-AU"/>
              </w:rPr>
              <w:t>Part 5 Consultation, co-operation and co-ordination</w:t>
            </w:r>
            <w:r w:rsidRPr="000F1DE6">
              <w:rPr>
                <w:rStyle w:val="FootnoteReference"/>
                <w:rFonts w:asciiTheme="minorHAnsi" w:eastAsia="Times New Roman" w:hAnsiTheme="minorHAnsi" w:cs="Times New Roman"/>
                <w:i/>
                <w:color w:val="000000"/>
                <w:szCs w:val="22"/>
                <w:lang w:eastAsia="en-AU"/>
              </w:rPr>
              <w:footnoteReference w:id="766"/>
            </w:r>
          </w:p>
        </w:tc>
        <w:tc>
          <w:tcPr>
            <w:tcW w:w="2058" w:type="pct"/>
            <w:tcBorders>
              <w:top w:val="single" w:sz="8" w:space="0" w:color="000000" w:themeColor="text1"/>
              <w:bottom w:val="single" w:sz="8" w:space="0" w:color="000000" w:themeColor="text1"/>
            </w:tcBorders>
            <w:shd w:val="thinDiagCross" w:color="auto" w:fill="D9F2D0"/>
            <w:noWrap/>
            <w:vAlign w:val="bottom"/>
          </w:tcPr>
          <w:p w14:paraId="01E42C1B" w14:textId="77777777" w:rsidR="00DA7D6B" w:rsidRPr="0062037A" w:rsidRDefault="00DA7D6B">
            <w:pPr>
              <w:spacing w:line="240" w:lineRule="auto"/>
              <w:jc w:val="right"/>
              <w:rPr>
                <w:rFonts w:asciiTheme="minorHAnsi" w:hAnsiTheme="minorHAnsi"/>
                <w:szCs w:val="22"/>
              </w:rPr>
            </w:pPr>
          </w:p>
        </w:tc>
      </w:tr>
      <w:tr w:rsidR="00DA7D6B" w:rsidRPr="000F1DE6" w14:paraId="0C1F26C2" w14:textId="77777777" w:rsidTr="000D26F7">
        <w:trPr>
          <w:trHeight w:val="290"/>
        </w:trPr>
        <w:tc>
          <w:tcPr>
            <w:tcW w:w="2942" w:type="pct"/>
            <w:tcBorders>
              <w:top w:val="single" w:sz="8" w:space="0" w:color="000000" w:themeColor="text1"/>
              <w:bottom w:val="single" w:sz="8" w:space="0" w:color="000000" w:themeColor="text1"/>
            </w:tcBorders>
            <w:noWrap/>
            <w:vAlign w:val="bottom"/>
            <w:hideMark/>
          </w:tcPr>
          <w:p w14:paraId="314C2FA5" w14:textId="77777777" w:rsidR="00DA7D6B" w:rsidRPr="000F1DE6" w:rsidRDefault="00DA7D6B">
            <w:pPr>
              <w:spacing w:after="0" w:line="240" w:lineRule="auto"/>
              <w:rPr>
                <w:rFonts w:asciiTheme="minorHAnsi" w:eastAsia="Times New Roman" w:hAnsiTheme="minorHAnsi" w:cs="Times New Roman"/>
                <w:i/>
                <w:color w:val="000000"/>
                <w:szCs w:val="22"/>
                <w:lang w:eastAsia="en-AU"/>
              </w:rPr>
            </w:pPr>
            <w:r w:rsidRPr="000F1DE6">
              <w:rPr>
                <w:rFonts w:asciiTheme="minorHAnsi" w:eastAsia="Times New Roman" w:hAnsiTheme="minorHAnsi" w:cs="Times New Roman"/>
                <w:i/>
                <w:color w:val="000000"/>
                <w:szCs w:val="22"/>
                <w:lang w:eastAsia="en-AU"/>
              </w:rPr>
              <w:t>Part 6 Discriminatory, coercive and misleading conduct</w:t>
            </w:r>
          </w:p>
        </w:tc>
        <w:tc>
          <w:tcPr>
            <w:tcW w:w="2058" w:type="pct"/>
            <w:tcBorders>
              <w:top w:val="single" w:sz="8" w:space="0" w:color="000000" w:themeColor="text1"/>
              <w:bottom w:val="single" w:sz="8" w:space="0" w:color="000000" w:themeColor="text1"/>
            </w:tcBorders>
            <w:shd w:val="clear" w:color="auto" w:fill="8DD873"/>
            <w:noWrap/>
            <w:vAlign w:val="bottom"/>
          </w:tcPr>
          <w:p w14:paraId="52CC8BE1" w14:textId="77777777" w:rsidR="00DA7D6B" w:rsidRPr="000F1DE6" w:rsidRDefault="00DA7D6B">
            <w:pPr>
              <w:spacing w:after="0" w:line="240" w:lineRule="auto"/>
              <w:jc w:val="right"/>
              <w:rPr>
                <w:rFonts w:asciiTheme="minorHAnsi" w:eastAsia="Times New Roman" w:hAnsiTheme="minorHAnsi" w:cs="Times New Roman"/>
                <w:color w:val="000000"/>
                <w:szCs w:val="22"/>
                <w:lang w:eastAsia="en-AU"/>
              </w:rPr>
            </w:pPr>
          </w:p>
        </w:tc>
      </w:tr>
      <w:tr w:rsidR="00DA7D6B" w:rsidRPr="000F1DE6" w14:paraId="41F4EA83" w14:textId="77777777" w:rsidTr="000D26F7">
        <w:trPr>
          <w:trHeight w:val="290"/>
        </w:trPr>
        <w:tc>
          <w:tcPr>
            <w:tcW w:w="2942" w:type="pct"/>
            <w:tcBorders>
              <w:top w:val="single" w:sz="8" w:space="0" w:color="000000" w:themeColor="text1"/>
              <w:bottom w:val="single" w:sz="8" w:space="0" w:color="000000" w:themeColor="text1"/>
            </w:tcBorders>
            <w:noWrap/>
            <w:vAlign w:val="bottom"/>
            <w:hideMark/>
          </w:tcPr>
          <w:p w14:paraId="221EA929" w14:textId="77777777" w:rsidR="00DA7D6B" w:rsidRPr="000F1DE6" w:rsidRDefault="00DA7D6B">
            <w:pPr>
              <w:spacing w:after="0" w:line="240" w:lineRule="auto"/>
              <w:rPr>
                <w:rFonts w:asciiTheme="minorHAnsi" w:eastAsia="Times New Roman" w:hAnsiTheme="minorHAnsi" w:cs="Times New Roman"/>
                <w:i/>
                <w:color w:val="000000"/>
                <w:szCs w:val="22"/>
                <w:lang w:eastAsia="en-AU"/>
              </w:rPr>
            </w:pPr>
            <w:r w:rsidRPr="000F1DE6">
              <w:rPr>
                <w:rFonts w:asciiTheme="minorHAnsi" w:eastAsia="Times New Roman" w:hAnsiTheme="minorHAnsi" w:cs="Times New Roman"/>
                <w:i/>
                <w:color w:val="000000"/>
                <w:szCs w:val="22"/>
                <w:lang w:eastAsia="en-AU"/>
              </w:rPr>
              <w:t>Part 7 Workplace entry by WHS entry permit holders</w:t>
            </w:r>
          </w:p>
        </w:tc>
        <w:tc>
          <w:tcPr>
            <w:tcW w:w="2058" w:type="pct"/>
            <w:tcBorders>
              <w:top w:val="single" w:sz="8" w:space="0" w:color="000000" w:themeColor="text1"/>
              <w:bottom w:val="single" w:sz="8" w:space="0" w:color="000000" w:themeColor="text1"/>
            </w:tcBorders>
            <w:shd w:val="clear" w:color="auto" w:fill="8DD873"/>
            <w:noWrap/>
            <w:vAlign w:val="bottom"/>
          </w:tcPr>
          <w:p w14:paraId="0D4C44B7" w14:textId="77777777" w:rsidR="00DA7D6B" w:rsidRPr="000F1DE6" w:rsidRDefault="00DA7D6B">
            <w:pPr>
              <w:spacing w:after="0" w:line="240" w:lineRule="auto"/>
              <w:jc w:val="right"/>
              <w:rPr>
                <w:rFonts w:asciiTheme="minorHAnsi" w:eastAsia="Times New Roman" w:hAnsiTheme="minorHAnsi" w:cs="Times New Roman"/>
                <w:color w:val="000000"/>
                <w:szCs w:val="22"/>
                <w:lang w:eastAsia="en-AU"/>
              </w:rPr>
            </w:pPr>
          </w:p>
        </w:tc>
      </w:tr>
      <w:tr w:rsidR="00DA7D6B" w:rsidRPr="000F1DE6" w14:paraId="75361491" w14:textId="77777777" w:rsidTr="000D26F7">
        <w:trPr>
          <w:trHeight w:val="290"/>
        </w:trPr>
        <w:tc>
          <w:tcPr>
            <w:tcW w:w="2942" w:type="pct"/>
            <w:tcBorders>
              <w:top w:val="single" w:sz="8" w:space="0" w:color="000000" w:themeColor="text1"/>
              <w:bottom w:val="single" w:sz="8" w:space="0" w:color="000000" w:themeColor="text1"/>
            </w:tcBorders>
            <w:noWrap/>
            <w:vAlign w:val="bottom"/>
            <w:hideMark/>
          </w:tcPr>
          <w:p w14:paraId="6BD568BF" w14:textId="77777777" w:rsidR="00DA7D6B" w:rsidRPr="000F1DE6" w:rsidRDefault="00DA7D6B">
            <w:pPr>
              <w:spacing w:after="0" w:line="240" w:lineRule="auto"/>
              <w:rPr>
                <w:rFonts w:asciiTheme="minorHAnsi" w:eastAsia="Times New Roman" w:hAnsiTheme="minorHAnsi" w:cs="Times New Roman"/>
                <w:i/>
                <w:color w:val="000000"/>
                <w:szCs w:val="22"/>
                <w:lang w:eastAsia="en-AU"/>
              </w:rPr>
            </w:pPr>
            <w:r w:rsidRPr="000F1DE6">
              <w:rPr>
                <w:rFonts w:asciiTheme="minorHAnsi" w:eastAsia="Times New Roman" w:hAnsiTheme="minorHAnsi" w:cs="Times New Roman"/>
                <w:i/>
                <w:color w:val="000000"/>
                <w:szCs w:val="22"/>
                <w:lang w:eastAsia="en-AU"/>
              </w:rPr>
              <w:t>Part 8 The Regulator</w:t>
            </w:r>
          </w:p>
        </w:tc>
        <w:tc>
          <w:tcPr>
            <w:tcW w:w="2058" w:type="pct"/>
            <w:tcBorders>
              <w:top w:val="single" w:sz="8" w:space="0" w:color="000000" w:themeColor="text1"/>
              <w:bottom w:val="single" w:sz="8" w:space="0" w:color="000000" w:themeColor="text1"/>
            </w:tcBorders>
            <w:shd w:val="clear" w:color="auto" w:fill="8DD873"/>
            <w:noWrap/>
            <w:vAlign w:val="bottom"/>
          </w:tcPr>
          <w:p w14:paraId="75205A53" w14:textId="77777777" w:rsidR="00DA7D6B" w:rsidRPr="000F1DE6" w:rsidRDefault="00DA7D6B">
            <w:pPr>
              <w:spacing w:after="0" w:line="240" w:lineRule="auto"/>
              <w:jc w:val="right"/>
              <w:rPr>
                <w:rFonts w:asciiTheme="minorHAnsi" w:eastAsia="Times New Roman" w:hAnsiTheme="minorHAnsi" w:cs="Times New Roman"/>
                <w:color w:val="000000"/>
                <w:szCs w:val="22"/>
                <w:lang w:eastAsia="en-AU"/>
              </w:rPr>
            </w:pPr>
          </w:p>
        </w:tc>
      </w:tr>
      <w:tr w:rsidR="00DA7D6B" w:rsidRPr="000F1DE6" w14:paraId="0F83A3D5" w14:textId="77777777" w:rsidTr="000D26F7">
        <w:trPr>
          <w:trHeight w:val="290"/>
        </w:trPr>
        <w:tc>
          <w:tcPr>
            <w:tcW w:w="2942" w:type="pct"/>
            <w:tcBorders>
              <w:top w:val="single" w:sz="8" w:space="0" w:color="000000" w:themeColor="text1"/>
              <w:bottom w:val="single" w:sz="8" w:space="0" w:color="000000" w:themeColor="text1"/>
            </w:tcBorders>
            <w:noWrap/>
            <w:vAlign w:val="bottom"/>
            <w:hideMark/>
          </w:tcPr>
          <w:p w14:paraId="36BFE69A" w14:textId="58308CDC" w:rsidR="00DA7D6B" w:rsidRPr="000F1DE6" w:rsidRDefault="00DA7D6B">
            <w:pPr>
              <w:spacing w:after="0" w:line="240" w:lineRule="auto"/>
              <w:rPr>
                <w:rFonts w:asciiTheme="minorHAnsi" w:eastAsia="Times New Roman" w:hAnsiTheme="minorHAnsi" w:cs="Times New Roman"/>
                <w:i/>
                <w:color w:val="000000"/>
                <w:szCs w:val="22"/>
                <w:lang w:eastAsia="en-AU"/>
              </w:rPr>
            </w:pPr>
            <w:r w:rsidRPr="000F1DE6">
              <w:rPr>
                <w:rFonts w:asciiTheme="minorHAnsi" w:eastAsia="Times New Roman" w:hAnsiTheme="minorHAnsi" w:cs="Times New Roman"/>
                <w:i/>
                <w:color w:val="000000"/>
                <w:szCs w:val="22"/>
                <w:lang w:eastAsia="en-AU"/>
              </w:rPr>
              <w:t xml:space="preserve">Part 9 Securing </w:t>
            </w:r>
            <w:r w:rsidR="00A713D2">
              <w:rPr>
                <w:rFonts w:asciiTheme="minorHAnsi" w:eastAsia="Times New Roman" w:hAnsiTheme="minorHAnsi" w:cs="Times New Roman"/>
                <w:i/>
                <w:color w:val="000000"/>
                <w:szCs w:val="22"/>
                <w:lang w:eastAsia="en-AU"/>
              </w:rPr>
              <w:t>c</w:t>
            </w:r>
            <w:r w:rsidRPr="000F1DE6">
              <w:rPr>
                <w:rFonts w:asciiTheme="minorHAnsi" w:eastAsia="Times New Roman" w:hAnsiTheme="minorHAnsi" w:cs="Times New Roman"/>
                <w:i/>
                <w:color w:val="000000"/>
                <w:szCs w:val="22"/>
                <w:lang w:eastAsia="en-AU"/>
              </w:rPr>
              <w:t>ompliance</w:t>
            </w:r>
          </w:p>
        </w:tc>
        <w:tc>
          <w:tcPr>
            <w:tcW w:w="2058" w:type="pct"/>
            <w:tcBorders>
              <w:top w:val="single" w:sz="8" w:space="0" w:color="000000" w:themeColor="text1"/>
              <w:bottom w:val="single" w:sz="8" w:space="0" w:color="000000" w:themeColor="text1"/>
            </w:tcBorders>
            <w:shd w:val="clear" w:color="auto" w:fill="8DD873"/>
            <w:noWrap/>
            <w:vAlign w:val="bottom"/>
          </w:tcPr>
          <w:p w14:paraId="7AFE7962" w14:textId="77777777" w:rsidR="00DA7D6B" w:rsidRPr="000F1DE6" w:rsidRDefault="00DA7D6B">
            <w:pPr>
              <w:spacing w:after="0" w:line="240" w:lineRule="auto"/>
              <w:jc w:val="right"/>
              <w:rPr>
                <w:rFonts w:asciiTheme="minorHAnsi" w:eastAsia="Times New Roman" w:hAnsiTheme="minorHAnsi" w:cs="Times New Roman"/>
                <w:color w:val="000000"/>
                <w:szCs w:val="22"/>
                <w:lang w:eastAsia="en-AU"/>
              </w:rPr>
            </w:pPr>
          </w:p>
        </w:tc>
      </w:tr>
      <w:tr w:rsidR="00DA7D6B" w:rsidRPr="000F1DE6" w14:paraId="2BF724C5" w14:textId="77777777" w:rsidTr="000D26F7">
        <w:trPr>
          <w:trHeight w:val="290"/>
        </w:trPr>
        <w:tc>
          <w:tcPr>
            <w:tcW w:w="2942" w:type="pct"/>
            <w:tcBorders>
              <w:top w:val="single" w:sz="8" w:space="0" w:color="000000" w:themeColor="text1"/>
              <w:bottom w:val="single" w:sz="8" w:space="0" w:color="000000" w:themeColor="text1"/>
            </w:tcBorders>
            <w:noWrap/>
            <w:vAlign w:val="bottom"/>
            <w:hideMark/>
          </w:tcPr>
          <w:p w14:paraId="4830E657" w14:textId="45C432E3" w:rsidR="00DA7D6B" w:rsidRPr="000F1DE6" w:rsidRDefault="00DA7D6B">
            <w:pPr>
              <w:spacing w:after="0" w:line="240" w:lineRule="auto"/>
              <w:rPr>
                <w:rFonts w:asciiTheme="minorHAnsi" w:eastAsia="Times New Roman" w:hAnsiTheme="minorHAnsi" w:cs="Times New Roman"/>
                <w:i/>
                <w:color w:val="000000"/>
                <w:szCs w:val="22"/>
                <w:lang w:eastAsia="en-AU"/>
              </w:rPr>
            </w:pPr>
            <w:r w:rsidRPr="000F1DE6">
              <w:rPr>
                <w:rFonts w:asciiTheme="minorHAnsi" w:eastAsia="Times New Roman" w:hAnsiTheme="minorHAnsi" w:cs="Times New Roman"/>
                <w:i/>
                <w:color w:val="000000"/>
                <w:szCs w:val="22"/>
                <w:lang w:eastAsia="en-AU"/>
              </w:rPr>
              <w:t xml:space="preserve">Part 10 Enforcement </w:t>
            </w:r>
            <w:r w:rsidR="00A713D2">
              <w:rPr>
                <w:rFonts w:asciiTheme="minorHAnsi" w:eastAsia="Times New Roman" w:hAnsiTheme="minorHAnsi" w:cs="Times New Roman"/>
                <w:i/>
                <w:color w:val="000000"/>
                <w:szCs w:val="22"/>
                <w:lang w:eastAsia="en-AU"/>
              </w:rPr>
              <w:t>m</w:t>
            </w:r>
            <w:r w:rsidRPr="000F1DE6">
              <w:rPr>
                <w:rFonts w:asciiTheme="minorHAnsi" w:eastAsia="Times New Roman" w:hAnsiTheme="minorHAnsi" w:cs="Times New Roman"/>
                <w:i/>
                <w:color w:val="000000"/>
                <w:szCs w:val="22"/>
                <w:lang w:eastAsia="en-AU"/>
              </w:rPr>
              <w:t>easures</w:t>
            </w:r>
          </w:p>
        </w:tc>
        <w:tc>
          <w:tcPr>
            <w:tcW w:w="2058" w:type="pct"/>
            <w:tcBorders>
              <w:top w:val="single" w:sz="8" w:space="0" w:color="000000" w:themeColor="text1"/>
              <w:bottom w:val="single" w:sz="8" w:space="0" w:color="000000" w:themeColor="text1"/>
            </w:tcBorders>
            <w:shd w:val="thinDiagCross" w:color="auto" w:fill="D9F2D0"/>
            <w:noWrap/>
            <w:vAlign w:val="bottom"/>
          </w:tcPr>
          <w:p w14:paraId="170167C8" w14:textId="77777777" w:rsidR="00DA7D6B" w:rsidRPr="000F1DE6" w:rsidRDefault="00DA7D6B">
            <w:pPr>
              <w:spacing w:after="0" w:line="240" w:lineRule="auto"/>
              <w:jc w:val="right"/>
              <w:rPr>
                <w:rFonts w:asciiTheme="minorHAnsi" w:eastAsia="Times New Roman" w:hAnsiTheme="minorHAnsi" w:cs="Times New Roman"/>
                <w:color w:val="000000"/>
                <w:szCs w:val="22"/>
                <w:lang w:eastAsia="en-AU"/>
              </w:rPr>
            </w:pPr>
          </w:p>
        </w:tc>
      </w:tr>
      <w:tr w:rsidR="00DA7D6B" w:rsidRPr="000F1DE6" w14:paraId="3D5A442B" w14:textId="77777777" w:rsidTr="000D26F7">
        <w:trPr>
          <w:trHeight w:val="290"/>
        </w:trPr>
        <w:tc>
          <w:tcPr>
            <w:tcW w:w="2942" w:type="pct"/>
            <w:tcBorders>
              <w:top w:val="single" w:sz="8" w:space="0" w:color="000000" w:themeColor="text1"/>
              <w:bottom w:val="single" w:sz="8" w:space="0" w:color="000000" w:themeColor="text1"/>
            </w:tcBorders>
            <w:noWrap/>
            <w:vAlign w:val="bottom"/>
            <w:hideMark/>
          </w:tcPr>
          <w:p w14:paraId="434A6D7C" w14:textId="77777777" w:rsidR="00DA7D6B" w:rsidRPr="000F1DE6" w:rsidRDefault="00DA7D6B">
            <w:pPr>
              <w:spacing w:after="0" w:line="240" w:lineRule="auto"/>
              <w:rPr>
                <w:rFonts w:asciiTheme="minorHAnsi" w:eastAsia="Times New Roman" w:hAnsiTheme="minorHAnsi" w:cs="Times New Roman"/>
                <w:i/>
                <w:color w:val="000000"/>
                <w:szCs w:val="22"/>
                <w:lang w:eastAsia="en-AU"/>
              </w:rPr>
            </w:pPr>
            <w:r w:rsidRPr="000F1DE6">
              <w:rPr>
                <w:rFonts w:asciiTheme="minorHAnsi" w:eastAsia="Times New Roman" w:hAnsiTheme="minorHAnsi" w:cs="Times New Roman"/>
                <w:i/>
                <w:color w:val="000000"/>
                <w:szCs w:val="22"/>
                <w:lang w:eastAsia="en-AU"/>
              </w:rPr>
              <w:t>Part 11 Enforceable undertakings</w:t>
            </w:r>
          </w:p>
        </w:tc>
        <w:tc>
          <w:tcPr>
            <w:tcW w:w="2058" w:type="pct"/>
            <w:tcBorders>
              <w:top w:val="single" w:sz="8" w:space="0" w:color="000000" w:themeColor="text1"/>
              <w:bottom w:val="single" w:sz="8" w:space="0" w:color="000000" w:themeColor="text1"/>
            </w:tcBorders>
            <w:shd w:val="thinDiagStripe" w:color="auto" w:fill="4EA72E"/>
            <w:noWrap/>
            <w:vAlign w:val="bottom"/>
          </w:tcPr>
          <w:p w14:paraId="195718AC" w14:textId="77777777" w:rsidR="00DA7D6B" w:rsidRPr="000F1DE6" w:rsidRDefault="00DA7D6B">
            <w:pPr>
              <w:spacing w:after="0" w:line="240" w:lineRule="auto"/>
              <w:jc w:val="right"/>
              <w:rPr>
                <w:rFonts w:asciiTheme="minorHAnsi" w:eastAsia="Times New Roman" w:hAnsiTheme="minorHAnsi" w:cs="Times New Roman"/>
                <w:color w:val="000000"/>
                <w:szCs w:val="22"/>
                <w:lang w:eastAsia="en-AU"/>
              </w:rPr>
            </w:pPr>
          </w:p>
        </w:tc>
      </w:tr>
      <w:tr w:rsidR="00DA7D6B" w:rsidRPr="000F1DE6" w14:paraId="572A86AD" w14:textId="77777777" w:rsidTr="000D26F7">
        <w:trPr>
          <w:trHeight w:val="290"/>
        </w:trPr>
        <w:tc>
          <w:tcPr>
            <w:tcW w:w="2942" w:type="pct"/>
            <w:tcBorders>
              <w:top w:val="single" w:sz="8" w:space="0" w:color="000000" w:themeColor="text1"/>
              <w:bottom w:val="single" w:sz="8" w:space="0" w:color="000000" w:themeColor="text1"/>
            </w:tcBorders>
            <w:noWrap/>
            <w:vAlign w:val="bottom"/>
            <w:hideMark/>
          </w:tcPr>
          <w:p w14:paraId="4AF5FC9D" w14:textId="77777777" w:rsidR="00DA7D6B" w:rsidRPr="000F1DE6" w:rsidRDefault="00DA7D6B">
            <w:pPr>
              <w:spacing w:after="0" w:line="240" w:lineRule="auto"/>
              <w:rPr>
                <w:rFonts w:asciiTheme="minorHAnsi" w:eastAsia="Times New Roman" w:hAnsiTheme="minorHAnsi" w:cs="Times New Roman"/>
                <w:i/>
                <w:color w:val="000000"/>
                <w:szCs w:val="22"/>
                <w:lang w:eastAsia="en-AU"/>
              </w:rPr>
            </w:pPr>
            <w:r w:rsidRPr="000F1DE6">
              <w:rPr>
                <w:rFonts w:asciiTheme="minorHAnsi" w:eastAsia="Times New Roman" w:hAnsiTheme="minorHAnsi" w:cs="Times New Roman"/>
                <w:i/>
                <w:color w:val="000000"/>
                <w:szCs w:val="22"/>
                <w:lang w:eastAsia="en-AU"/>
              </w:rPr>
              <w:t>Part 12 Review of decisions</w:t>
            </w:r>
          </w:p>
        </w:tc>
        <w:tc>
          <w:tcPr>
            <w:tcW w:w="2058" w:type="pct"/>
            <w:tcBorders>
              <w:top w:val="single" w:sz="8" w:space="0" w:color="000000" w:themeColor="text1"/>
              <w:bottom w:val="single" w:sz="8" w:space="0" w:color="000000" w:themeColor="text1"/>
            </w:tcBorders>
            <w:shd w:val="clear" w:color="auto" w:fill="8DD873"/>
            <w:noWrap/>
            <w:vAlign w:val="bottom"/>
          </w:tcPr>
          <w:p w14:paraId="59E8E874" w14:textId="77777777" w:rsidR="00DA7D6B" w:rsidRPr="000F1DE6" w:rsidRDefault="00DA7D6B">
            <w:pPr>
              <w:spacing w:after="0" w:line="240" w:lineRule="auto"/>
              <w:jc w:val="right"/>
              <w:rPr>
                <w:rFonts w:asciiTheme="minorHAnsi" w:eastAsia="Times New Roman" w:hAnsiTheme="minorHAnsi" w:cs="Times New Roman"/>
                <w:color w:val="000000"/>
                <w:szCs w:val="22"/>
                <w:lang w:eastAsia="en-AU"/>
              </w:rPr>
            </w:pPr>
          </w:p>
        </w:tc>
      </w:tr>
      <w:tr w:rsidR="00DA7D6B" w:rsidRPr="000F1DE6" w14:paraId="43BA2ECD" w14:textId="77777777" w:rsidTr="000D26F7">
        <w:trPr>
          <w:trHeight w:val="290"/>
        </w:trPr>
        <w:tc>
          <w:tcPr>
            <w:tcW w:w="2942" w:type="pct"/>
            <w:tcBorders>
              <w:top w:val="single" w:sz="8" w:space="0" w:color="000000" w:themeColor="text1"/>
              <w:bottom w:val="single" w:sz="8" w:space="0" w:color="000000" w:themeColor="text1"/>
            </w:tcBorders>
            <w:noWrap/>
            <w:vAlign w:val="bottom"/>
            <w:hideMark/>
          </w:tcPr>
          <w:p w14:paraId="157D8134" w14:textId="29232C15" w:rsidR="00DA7D6B" w:rsidRPr="000F1DE6" w:rsidRDefault="00DA7D6B">
            <w:pPr>
              <w:spacing w:after="0" w:line="240" w:lineRule="auto"/>
              <w:rPr>
                <w:rFonts w:asciiTheme="minorHAnsi" w:eastAsia="Times New Roman" w:hAnsiTheme="minorHAnsi" w:cs="Times New Roman"/>
                <w:i/>
                <w:color w:val="000000"/>
                <w:szCs w:val="22"/>
                <w:lang w:eastAsia="en-AU"/>
              </w:rPr>
            </w:pPr>
            <w:r w:rsidRPr="000F1DE6">
              <w:rPr>
                <w:rFonts w:asciiTheme="minorHAnsi" w:eastAsia="Times New Roman" w:hAnsiTheme="minorHAnsi" w:cs="Times New Roman"/>
                <w:i/>
                <w:color w:val="000000"/>
                <w:szCs w:val="22"/>
                <w:lang w:eastAsia="en-AU"/>
              </w:rPr>
              <w:t xml:space="preserve">Part 13 Legal </w:t>
            </w:r>
            <w:r w:rsidR="00A713D2">
              <w:rPr>
                <w:rFonts w:asciiTheme="minorHAnsi" w:eastAsia="Times New Roman" w:hAnsiTheme="minorHAnsi" w:cs="Times New Roman"/>
                <w:i/>
                <w:color w:val="000000"/>
                <w:szCs w:val="22"/>
                <w:lang w:eastAsia="en-AU"/>
              </w:rPr>
              <w:t>p</w:t>
            </w:r>
            <w:r w:rsidRPr="000F1DE6">
              <w:rPr>
                <w:rFonts w:asciiTheme="minorHAnsi" w:eastAsia="Times New Roman" w:hAnsiTheme="minorHAnsi" w:cs="Times New Roman"/>
                <w:i/>
                <w:color w:val="000000"/>
                <w:szCs w:val="22"/>
                <w:lang w:eastAsia="en-AU"/>
              </w:rPr>
              <w:t>roceedings</w:t>
            </w:r>
          </w:p>
        </w:tc>
        <w:tc>
          <w:tcPr>
            <w:tcW w:w="2058" w:type="pct"/>
            <w:tcBorders>
              <w:top w:val="single" w:sz="8" w:space="0" w:color="000000" w:themeColor="text1"/>
              <w:bottom w:val="single" w:sz="8" w:space="0" w:color="000000" w:themeColor="text1"/>
            </w:tcBorders>
            <w:shd w:val="clear" w:color="auto" w:fill="8DD873"/>
            <w:noWrap/>
            <w:vAlign w:val="bottom"/>
          </w:tcPr>
          <w:p w14:paraId="0AD26004" w14:textId="77777777" w:rsidR="00DA7D6B" w:rsidRPr="000F1DE6" w:rsidRDefault="00DA7D6B">
            <w:pPr>
              <w:spacing w:after="0" w:line="240" w:lineRule="auto"/>
              <w:jc w:val="right"/>
              <w:rPr>
                <w:rFonts w:asciiTheme="minorHAnsi" w:eastAsia="Times New Roman" w:hAnsiTheme="minorHAnsi" w:cs="Times New Roman"/>
                <w:color w:val="000000"/>
                <w:szCs w:val="22"/>
                <w:lang w:eastAsia="en-AU"/>
              </w:rPr>
            </w:pPr>
          </w:p>
        </w:tc>
      </w:tr>
      <w:tr w:rsidR="00DA7D6B" w:rsidRPr="000F1DE6" w14:paraId="1E87E152" w14:textId="77777777" w:rsidTr="000D26F7">
        <w:trPr>
          <w:trHeight w:val="290"/>
        </w:trPr>
        <w:tc>
          <w:tcPr>
            <w:tcW w:w="2942" w:type="pct"/>
            <w:tcBorders>
              <w:top w:val="single" w:sz="8" w:space="0" w:color="000000" w:themeColor="text1"/>
              <w:bottom w:val="single" w:sz="8" w:space="0" w:color="000000" w:themeColor="text1"/>
            </w:tcBorders>
            <w:noWrap/>
            <w:vAlign w:val="bottom"/>
            <w:hideMark/>
          </w:tcPr>
          <w:p w14:paraId="58A254E6" w14:textId="77777777" w:rsidR="00DA7D6B" w:rsidRPr="000F1DE6" w:rsidRDefault="00DA7D6B">
            <w:pPr>
              <w:spacing w:after="0" w:line="240" w:lineRule="auto"/>
              <w:rPr>
                <w:rFonts w:asciiTheme="minorHAnsi" w:eastAsia="Times New Roman" w:hAnsiTheme="minorHAnsi" w:cs="Times New Roman"/>
                <w:i/>
                <w:color w:val="000000"/>
                <w:szCs w:val="22"/>
                <w:lang w:eastAsia="en-AU"/>
              </w:rPr>
            </w:pPr>
            <w:r w:rsidRPr="000F1DE6">
              <w:rPr>
                <w:rFonts w:asciiTheme="minorHAnsi" w:eastAsia="Times New Roman" w:hAnsiTheme="minorHAnsi" w:cs="Times New Roman"/>
                <w:i/>
                <w:color w:val="000000"/>
                <w:szCs w:val="22"/>
                <w:lang w:eastAsia="en-AU"/>
              </w:rPr>
              <w:t>Part 14 General</w:t>
            </w:r>
          </w:p>
        </w:tc>
        <w:tc>
          <w:tcPr>
            <w:tcW w:w="2058" w:type="pct"/>
            <w:tcBorders>
              <w:top w:val="single" w:sz="8" w:space="0" w:color="000000" w:themeColor="text1"/>
              <w:bottom w:val="single" w:sz="8" w:space="0" w:color="000000" w:themeColor="text1"/>
            </w:tcBorders>
            <w:shd w:val="thinDiagCross" w:color="auto" w:fill="D9F2D0"/>
            <w:noWrap/>
            <w:vAlign w:val="bottom"/>
          </w:tcPr>
          <w:p w14:paraId="669FE101" w14:textId="77777777" w:rsidR="00DA7D6B" w:rsidRPr="000F1DE6" w:rsidRDefault="00DA7D6B">
            <w:pPr>
              <w:spacing w:after="0" w:line="240" w:lineRule="auto"/>
              <w:jc w:val="right"/>
              <w:rPr>
                <w:rFonts w:asciiTheme="minorHAnsi" w:eastAsia="Times New Roman" w:hAnsiTheme="minorHAnsi" w:cs="Times New Roman"/>
                <w:color w:val="000000"/>
                <w:szCs w:val="22"/>
                <w:lang w:eastAsia="en-AU"/>
              </w:rPr>
            </w:pPr>
          </w:p>
        </w:tc>
      </w:tr>
      <w:tr w:rsidR="00DA7D6B" w:rsidRPr="000F1DE6" w14:paraId="122F8F5A" w14:textId="77777777" w:rsidTr="000D26F7">
        <w:trPr>
          <w:trHeight w:val="290"/>
        </w:trPr>
        <w:tc>
          <w:tcPr>
            <w:tcW w:w="2942" w:type="pct"/>
            <w:tcBorders>
              <w:top w:val="single" w:sz="8" w:space="0" w:color="000000" w:themeColor="text1"/>
              <w:bottom w:val="nil"/>
            </w:tcBorders>
            <w:noWrap/>
            <w:vAlign w:val="bottom"/>
            <w:hideMark/>
          </w:tcPr>
          <w:p w14:paraId="5DDBC73A" w14:textId="77777777" w:rsidR="00DA7D6B" w:rsidRPr="000F1DE6" w:rsidRDefault="00DA7D6B">
            <w:pPr>
              <w:spacing w:after="0" w:line="240" w:lineRule="auto"/>
              <w:rPr>
                <w:rFonts w:asciiTheme="minorHAnsi" w:eastAsia="Times New Roman" w:hAnsiTheme="minorHAnsi" w:cs="Times New Roman"/>
                <w:i/>
                <w:color w:val="000000"/>
                <w:szCs w:val="22"/>
                <w:lang w:eastAsia="en-AU"/>
              </w:rPr>
            </w:pPr>
            <w:r w:rsidRPr="000F1DE6">
              <w:rPr>
                <w:rFonts w:asciiTheme="minorHAnsi" w:eastAsia="Times New Roman" w:hAnsiTheme="minorHAnsi" w:cs="Times New Roman"/>
                <w:i/>
                <w:color w:val="000000"/>
                <w:szCs w:val="22"/>
                <w:lang w:eastAsia="en-AU"/>
              </w:rPr>
              <w:t>Schedules</w:t>
            </w:r>
          </w:p>
        </w:tc>
        <w:tc>
          <w:tcPr>
            <w:tcW w:w="2058" w:type="pct"/>
            <w:tcBorders>
              <w:top w:val="single" w:sz="8" w:space="0" w:color="000000" w:themeColor="text1"/>
              <w:bottom w:val="nil"/>
            </w:tcBorders>
            <w:shd w:val="clear" w:color="auto" w:fill="8DD873"/>
            <w:noWrap/>
            <w:vAlign w:val="bottom"/>
          </w:tcPr>
          <w:p w14:paraId="5376DE00" w14:textId="77777777" w:rsidR="00DA7D6B" w:rsidRPr="000F1DE6" w:rsidRDefault="00DA7D6B">
            <w:pPr>
              <w:spacing w:after="0" w:line="240" w:lineRule="auto"/>
              <w:jc w:val="right"/>
              <w:rPr>
                <w:rFonts w:asciiTheme="minorHAnsi" w:eastAsia="Times New Roman" w:hAnsiTheme="minorHAnsi" w:cs="Times New Roman"/>
                <w:color w:val="000000"/>
                <w:szCs w:val="22"/>
                <w:lang w:eastAsia="en-AU"/>
              </w:rPr>
            </w:pPr>
          </w:p>
        </w:tc>
      </w:tr>
    </w:tbl>
    <w:p w14:paraId="459B3202" w14:textId="77777777" w:rsidR="00DA7D6B" w:rsidRPr="000F1DE6" w:rsidRDefault="00DA7D6B" w:rsidP="00DA7D6B">
      <w:pPr>
        <w:pStyle w:val="Paragraph"/>
        <w:rPr>
          <w:rFonts w:eastAsia="Aptos"/>
        </w:rPr>
      </w:pPr>
      <w:r w:rsidRPr="000F1DE6">
        <w:rPr>
          <w:rFonts w:eastAsia="Aptos"/>
          <w:b/>
        </w:rPr>
        <w:t>Data table 1</w:t>
      </w:r>
      <w:r w:rsidRPr="000F1DE6">
        <w:rPr>
          <w:rFonts w:eastAsia="Aptos"/>
        </w:rPr>
        <w:t xml:space="preserve"> shows the overall level of harmonisation across each section of the model WHS Act.</w:t>
      </w:r>
    </w:p>
    <w:p w14:paraId="086A5E8C" w14:textId="77777777" w:rsidR="00F21CE3" w:rsidRDefault="00DA7D6B" w:rsidP="00DA7D6B">
      <w:pPr>
        <w:pStyle w:val="Paragraph"/>
        <w:rPr>
          <w:rFonts w:eastAsia="Aptos"/>
        </w:rPr>
      </w:pPr>
      <w:r w:rsidRPr="000F1DE6">
        <w:rPr>
          <w:rFonts w:eastAsia="Aptos"/>
        </w:rPr>
        <w:t>It indicates that</w:t>
      </w:r>
      <w:r>
        <w:rPr>
          <w:rFonts w:eastAsia="Aptos"/>
        </w:rPr>
        <w:t>,</w:t>
      </w:r>
      <w:r w:rsidRPr="000F1DE6">
        <w:rPr>
          <w:rFonts w:eastAsia="Aptos"/>
        </w:rPr>
        <w:t xml:space="preserve"> overall, there is sound alignment</w:t>
      </w:r>
      <w:r w:rsidRPr="000F1DE6">
        <w:rPr>
          <w:rFonts w:eastAsia="Aptos" w:cs="Aptos"/>
        </w:rPr>
        <w:t> </w:t>
      </w:r>
      <w:r w:rsidRPr="000F1DE6">
        <w:rPr>
          <w:rFonts w:eastAsia="Aptos"/>
        </w:rPr>
        <w:t>with</w:t>
      </w:r>
      <w:r w:rsidRPr="000F1DE6">
        <w:rPr>
          <w:rFonts w:eastAsia="Aptos" w:cs="Aptos"/>
        </w:rPr>
        <w:t> </w:t>
      </w:r>
      <w:r w:rsidRPr="000F1DE6">
        <w:rPr>
          <w:rFonts w:eastAsia="Aptos"/>
        </w:rPr>
        <w:t>the model WHS laws</w:t>
      </w:r>
      <w:r w:rsidRPr="000F1DE6">
        <w:rPr>
          <w:rFonts w:eastAsia="Aptos" w:cs="Aptos"/>
        </w:rPr>
        <w:t> </w:t>
      </w:r>
      <w:r w:rsidRPr="000F1DE6">
        <w:rPr>
          <w:rFonts w:eastAsia="Aptos"/>
        </w:rPr>
        <w:t>across all jurisdictions, with some parts of the model WHS Act varied more frequently than others</w:t>
      </w:r>
      <w:r>
        <w:rPr>
          <w:rFonts w:eastAsia="Aptos"/>
        </w:rPr>
        <w:t>:</w:t>
      </w:r>
      <w:r w:rsidRPr="000F1DE6">
        <w:rPr>
          <w:rFonts w:ascii="Arial" w:eastAsia="Aptos" w:hAnsi="Arial" w:cs="Arial"/>
        </w:rPr>
        <w:t> </w:t>
      </w:r>
    </w:p>
    <w:p w14:paraId="39590CD5" w14:textId="25AF30D6" w:rsidR="00F21CE3" w:rsidRDefault="00DA7D6B" w:rsidP="00447786">
      <w:pPr>
        <w:pStyle w:val="Paragraph"/>
        <w:widowControl/>
        <w:numPr>
          <w:ilvl w:val="0"/>
          <w:numId w:val="25"/>
        </w:numPr>
        <w:spacing w:before="0"/>
        <w:rPr>
          <w:rFonts w:eastAsia="Aptos"/>
        </w:rPr>
      </w:pPr>
      <w:r w:rsidRPr="000F1DE6">
        <w:rPr>
          <w:rFonts w:eastAsia="Aptos"/>
        </w:rPr>
        <w:t xml:space="preserve">‘Part 2 Health and </w:t>
      </w:r>
      <w:r w:rsidR="00A713D2">
        <w:rPr>
          <w:rFonts w:eastAsia="Aptos"/>
        </w:rPr>
        <w:t>s</w:t>
      </w:r>
      <w:r w:rsidRPr="000F1DE6">
        <w:rPr>
          <w:rFonts w:eastAsia="Aptos"/>
        </w:rPr>
        <w:t xml:space="preserve">afety </w:t>
      </w:r>
      <w:r w:rsidR="00A713D2">
        <w:rPr>
          <w:rFonts w:eastAsia="Aptos"/>
        </w:rPr>
        <w:t>d</w:t>
      </w:r>
      <w:r w:rsidRPr="000F1DE6">
        <w:rPr>
          <w:rFonts w:eastAsia="Aptos"/>
        </w:rPr>
        <w:t>uties’, ‘Part 3 Incident notification’, ‘Part 5 Consultation, co-operation and co-ordination’ and ‘Part 11 Enforceable undertakings’ had the strongest level of alignment across</w:t>
      </w:r>
      <w:r w:rsidRPr="000F1DE6">
        <w:rPr>
          <w:rFonts w:ascii="Arial" w:eastAsia="Aptos" w:hAnsi="Arial" w:cs="Arial"/>
        </w:rPr>
        <w:t> </w:t>
      </w:r>
      <w:r w:rsidRPr="000F1DE6">
        <w:rPr>
          <w:rFonts w:eastAsia="Aptos"/>
        </w:rPr>
        <w:t>jurisdictions.</w:t>
      </w:r>
      <w:r w:rsidRPr="000F1DE6">
        <w:rPr>
          <w:rFonts w:ascii="Arial" w:eastAsia="Aptos" w:hAnsi="Arial" w:cs="Arial"/>
        </w:rPr>
        <w:t> </w:t>
      </w:r>
    </w:p>
    <w:p w14:paraId="55AB520E" w14:textId="77777777" w:rsidR="00F21CE3" w:rsidRDefault="00DA7D6B" w:rsidP="00447786">
      <w:pPr>
        <w:pStyle w:val="Paragraph"/>
        <w:widowControl/>
        <w:numPr>
          <w:ilvl w:val="0"/>
          <w:numId w:val="25"/>
        </w:numPr>
        <w:spacing w:before="0"/>
        <w:rPr>
          <w:rFonts w:eastAsia="Aptos"/>
        </w:rPr>
      </w:pPr>
      <w:r w:rsidRPr="000F1DE6">
        <w:rPr>
          <w:rFonts w:eastAsia="Aptos"/>
        </w:rPr>
        <w:t>‘Part 10 Enforcement measures’ and ‘Part 14 General’ had the lowest level of alignment across</w:t>
      </w:r>
      <w:r w:rsidRPr="000F1DE6">
        <w:rPr>
          <w:rFonts w:ascii="Arial" w:eastAsia="Aptos" w:hAnsi="Arial" w:cs="Arial"/>
        </w:rPr>
        <w:t> </w:t>
      </w:r>
      <w:r w:rsidRPr="000F1DE6">
        <w:rPr>
          <w:rFonts w:eastAsia="Aptos"/>
        </w:rPr>
        <w:t>jurisdictions.</w:t>
      </w:r>
      <w:r w:rsidRPr="000F1DE6">
        <w:rPr>
          <w:rFonts w:ascii="Arial" w:eastAsia="Aptos" w:hAnsi="Arial" w:cs="Arial"/>
        </w:rPr>
        <w:t> </w:t>
      </w:r>
    </w:p>
    <w:p w14:paraId="203A71DD" w14:textId="284E0F3D" w:rsidR="000D26F7" w:rsidRDefault="000D26F7">
      <w:pPr>
        <w:spacing w:after="200" w:line="276" w:lineRule="auto"/>
        <w:contextualSpacing w:val="0"/>
        <w:rPr>
          <w:b/>
          <w:bCs/>
        </w:rPr>
      </w:pPr>
      <w:r>
        <w:br w:type="page"/>
      </w:r>
    </w:p>
    <w:p w14:paraId="1B0C2C8E" w14:textId="76A7D8F0" w:rsidR="00DA7D6B" w:rsidRPr="000F1DE6" w:rsidRDefault="00DA7D6B" w:rsidP="000D26F7">
      <w:pPr>
        <w:pStyle w:val="Caption"/>
      </w:pPr>
      <w:r w:rsidRPr="000F1DE6">
        <w:lastRenderedPageBreak/>
        <w:t>Data table 2 Harmonisation of jurisdictions with the model WHS laws  </w:t>
      </w:r>
    </w:p>
    <w:tbl>
      <w:tblPr>
        <w:tblW w:w="5000" w:type="pct"/>
        <w:tblLayout w:type="fixed"/>
        <w:tblCellMar>
          <w:top w:w="28" w:type="dxa"/>
          <w:bottom w:w="28" w:type="dxa"/>
        </w:tblCellMar>
        <w:tblLook w:val="04A0" w:firstRow="1" w:lastRow="0" w:firstColumn="1" w:lastColumn="0" w:noHBand="0" w:noVBand="1"/>
        <w:tblCaption w:val="Data table 2 - Harmonisation of jurisdictions with the model WHS laws"/>
        <w:tblDescription w:val="Data table 2 compares harmonisation across both the parts of the model WHS Act and each jurisdiction.  Refer to table description below.&#10;"/>
      </w:tblPr>
      <w:tblGrid>
        <w:gridCol w:w="3825"/>
        <w:gridCol w:w="741"/>
        <w:gridCol w:w="741"/>
        <w:gridCol w:w="491"/>
        <w:gridCol w:w="249"/>
        <w:gridCol w:w="741"/>
        <w:gridCol w:w="741"/>
        <w:gridCol w:w="242"/>
        <w:gridCol w:w="499"/>
        <w:gridCol w:w="741"/>
        <w:gridCol w:w="735"/>
      </w:tblGrid>
      <w:tr w:rsidR="006B75AE" w:rsidRPr="000F1DE6" w14:paraId="4FB77B01" w14:textId="77777777" w:rsidTr="0016789A">
        <w:trPr>
          <w:trHeight w:val="290"/>
        </w:trPr>
        <w:tc>
          <w:tcPr>
            <w:tcW w:w="1963" w:type="pct"/>
            <w:vMerge w:val="restart"/>
            <w:tcBorders>
              <w:right w:val="single" w:sz="4" w:space="0" w:color="auto"/>
            </w:tcBorders>
            <w:shd w:val="clear" w:color="auto" w:fill="F2F2F2" w:themeFill="background1" w:themeFillShade="F2"/>
            <w:noWrap/>
            <w:vAlign w:val="bottom"/>
            <w:hideMark/>
          </w:tcPr>
          <w:p w14:paraId="13447108" w14:textId="77777777" w:rsidR="00F21CE3" w:rsidRDefault="006B75AE">
            <w:pPr>
              <w:spacing w:after="0" w:line="240" w:lineRule="auto"/>
              <w:rPr>
                <w:rFonts w:asciiTheme="minorHAnsi" w:eastAsia="Times New Roman" w:hAnsiTheme="minorHAnsi" w:cs="Times New Roman"/>
                <w:b/>
                <w:color w:val="000000"/>
                <w:szCs w:val="22"/>
                <w:lang w:eastAsia="en-AU"/>
              </w:rPr>
            </w:pPr>
            <w:r w:rsidRPr="000F1DE6">
              <w:rPr>
                <w:rFonts w:asciiTheme="minorHAnsi" w:eastAsia="Times New Roman" w:hAnsiTheme="minorHAnsi" w:cs="Times New Roman"/>
                <w:b/>
                <w:color w:val="000000"/>
                <w:szCs w:val="22"/>
                <w:lang w:eastAsia="en-AU"/>
              </w:rPr>
              <w:t>Part of the</w:t>
            </w:r>
          </w:p>
          <w:p w14:paraId="73711B7A" w14:textId="2877B416" w:rsidR="006B75AE" w:rsidRPr="000F1DE6" w:rsidRDefault="006B75AE">
            <w:pPr>
              <w:spacing w:after="0" w:line="240" w:lineRule="auto"/>
              <w:rPr>
                <w:rFonts w:asciiTheme="minorHAnsi" w:eastAsia="Times New Roman" w:hAnsiTheme="minorHAnsi" w:cs="Times New Roman"/>
                <w:b/>
                <w:color w:val="000000"/>
                <w:szCs w:val="22"/>
                <w:lang w:eastAsia="en-AU"/>
              </w:rPr>
            </w:pPr>
            <w:r w:rsidRPr="000F1DE6">
              <w:rPr>
                <w:rFonts w:asciiTheme="minorHAnsi" w:eastAsia="Times New Roman" w:hAnsiTheme="minorHAnsi" w:cs="Times New Roman"/>
                <w:b/>
                <w:color w:val="000000"/>
                <w:szCs w:val="22"/>
                <w:lang w:eastAsia="en-AU"/>
              </w:rPr>
              <w:t>Model WHS Act</w:t>
            </w:r>
          </w:p>
        </w:tc>
        <w:tc>
          <w:tcPr>
            <w:tcW w:w="380" w:type="pct"/>
            <w:tcBorders>
              <w:left w:val="single" w:sz="4" w:space="0" w:color="auto"/>
              <w:bottom w:val="single" w:sz="4" w:space="0" w:color="auto"/>
              <w:right w:val="single" w:sz="4" w:space="0" w:color="auto"/>
            </w:tcBorders>
            <w:shd w:val="clear" w:color="auto" w:fill="F2F2F2" w:themeFill="background1" w:themeFillShade="F2"/>
            <w:noWrap/>
            <w:vAlign w:val="bottom"/>
            <w:hideMark/>
          </w:tcPr>
          <w:p w14:paraId="5538181F" w14:textId="77777777" w:rsidR="006B75AE" w:rsidRPr="000F1DE6" w:rsidRDefault="006B75AE">
            <w:pPr>
              <w:spacing w:after="0" w:line="240" w:lineRule="auto"/>
              <w:rPr>
                <w:rFonts w:asciiTheme="minorHAnsi" w:eastAsia="Times New Roman" w:hAnsiTheme="minorHAnsi" w:cs="Times New Roman"/>
                <w:b/>
                <w:color w:val="000000"/>
                <w:szCs w:val="22"/>
                <w:lang w:eastAsia="en-AU"/>
              </w:rPr>
            </w:pPr>
            <w:r w:rsidRPr="000F1DE6">
              <w:rPr>
                <w:rFonts w:asciiTheme="minorHAnsi" w:eastAsia="Times New Roman" w:hAnsiTheme="minorHAnsi" w:cs="Times New Roman"/>
                <w:b/>
                <w:color w:val="000000"/>
                <w:szCs w:val="22"/>
                <w:lang w:eastAsia="en-AU"/>
              </w:rPr>
              <w:t>Cth</w:t>
            </w:r>
          </w:p>
        </w:tc>
        <w:tc>
          <w:tcPr>
            <w:tcW w:w="380" w:type="pct"/>
            <w:tcBorders>
              <w:left w:val="single" w:sz="4" w:space="0" w:color="auto"/>
              <w:bottom w:val="single" w:sz="4" w:space="0" w:color="auto"/>
              <w:right w:val="single" w:sz="4" w:space="0" w:color="auto"/>
            </w:tcBorders>
            <w:shd w:val="clear" w:color="auto" w:fill="F2F2F2" w:themeFill="background1" w:themeFillShade="F2"/>
            <w:noWrap/>
            <w:vAlign w:val="bottom"/>
            <w:hideMark/>
          </w:tcPr>
          <w:p w14:paraId="64024064" w14:textId="77777777" w:rsidR="006B75AE" w:rsidRPr="000F1DE6" w:rsidRDefault="006B75AE">
            <w:pPr>
              <w:spacing w:after="0" w:line="240" w:lineRule="auto"/>
              <w:rPr>
                <w:rFonts w:asciiTheme="minorHAnsi" w:eastAsia="Times New Roman" w:hAnsiTheme="minorHAnsi" w:cs="Times New Roman"/>
                <w:b/>
                <w:color w:val="000000"/>
                <w:szCs w:val="22"/>
                <w:lang w:eastAsia="en-AU"/>
              </w:rPr>
            </w:pPr>
            <w:r w:rsidRPr="000F1DE6">
              <w:rPr>
                <w:rFonts w:asciiTheme="minorHAnsi" w:eastAsia="Times New Roman" w:hAnsiTheme="minorHAnsi" w:cs="Times New Roman"/>
                <w:b/>
                <w:color w:val="000000"/>
                <w:szCs w:val="22"/>
                <w:lang w:eastAsia="en-AU"/>
              </w:rPr>
              <w:t>NSW</w:t>
            </w:r>
          </w:p>
        </w:tc>
        <w:tc>
          <w:tcPr>
            <w:tcW w:w="380" w:type="pct"/>
            <w:gridSpan w:val="2"/>
            <w:tcBorders>
              <w:left w:val="single" w:sz="4" w:space="0" w:color="auto"/>
              <w:bottom w:val="single" w:sz="4" w:space="0" w:color="auto"/>
              <w:right w:val="single" w:sz="4" w:space="0" w:color="auto"/>
            </w:tcBorders>
            <w:shd w:val="clear" w:color="auto" w:fill="F2F2F2" w:themeFill="background1" w:themeFillShade="F2"/>
            <w:noWrap/>
            <w:vAlign w:val="bottom"/>
            <w:hideMark/>
          </w:tcPr>
          <w:p w14:paraId="456D2215" w14:textId="77777777" w:rsidR="006B75AE" w:rsidRPr="000F1DE6" w:rsidRDefault="006B75AE">
            <w:pPr>
              <w:spacing w:after="0" w:line="240" w:lineRule="auto"/>
              <w:rPr>
                <w:rFonts w:asciiTheme="minorHAnsi" w:eastAsia="Times New Roman" w:hAnsiTheme="minorHAnsi" w:cs="Times New Roman"/>
                <w:b/>
                <w:color w:val="000000"/>
                <w:szCs w:val="22"/>
                <w:lang w:eastAsia="en-AU"/>
              </w:rPr>
            </w:pPr>
            <w:r w:rsidRPr="000F1DE6">
              <w:rPr>
                <w:rFonts w:asciiTheme="minorHAnsi" w:eastAsia="Times New Roman" w:hAnsiTheme="minorHAnsi" w:cs="Times New Roman"/>
                <w:b/>
                <w:color w:val="000000"/>
                <w:szCs w:val="22"/>
                <w:lang w:eastAsia="en-AU"/>
              </w:rPr>
              <w:t>T</w:t>
            </w:r>
            <w:r>
              <w:rPr>
                <w:rFonts w:asciiTheme="minorHAnsi" w:eastAsia="Times New Roman" w:hAnsiTheme="minorHAnsi" w:cs="Times New Roman"/>
                <w:b/>
                <w:color w:val="000000"/>
                <w:szCs w:val="22"/>
                <w:lang w:eastAsia="en-AU"/>
              </w:rPr>
              <w:t>as</w:t>
            </w:r>
          </w:p>
        </w:tc>
        <w:tc>
          <w:tcPr>
            <w:tcW w:w="380" w:type="pct"/>
            <w:tcBorders>
              <w:left w:val="single" w:sz="4" w:space="0" w:color="auto"/>
              <w:bottom w:val="single" w:sz="4" w:space="0" w:color="auto"/>
              <w:right w:val="single" w:sz="4" w:space="0" w:color="auto"/>
            </w:tcBorders>
            <w:shd w:val="clear" w:color="auto" w:fill="F2F2F2" w:themeFill="background1" w:themeFillShade="F2"/>
            <w:noWrap/>
            <w:vAlign w:val="bottom"/>
            <w:hideMark/>
          </w:tcPr>
          <w:p w14:paraId="06C14CBC" w14:textId="77777777" w:rsidR="006B75AE" w:rsidRPr="000F1DE6" w:rsidRDefault="006B75AE">
            <w:pPr>
              <w:spacing w:after="0" w:line="240" w:lineRule="auto"/>
              <w:rPr>
                <w:rFonts w:asciiTheme="minorHAnsi" w:eastAsia="Times New Roman" w:hAnsiTheme="minorHAnsi" w:cs="Times New Roman"/>
                <w:b/>
                <w:color w:val="000000"/>
                <w:szCs w:val="22"/>
                <w:lang w:eastAsia="en-AU"/>
              </w:rPr>
            </w:pPr>
            <w:r w:rsidRPr="000F1DE6">
              <w:rPr>
                <w:rFonts w:asciiTheme="minorHAnsi" w:eastAsia="Times New Roman" w:hAnsiTheme="minorHAnsi" w:cs="Times New Roman"/>
                <w:b/>
                <w:color w:val="000000"/>
                <w:szCs w:val="22"/>
                <w:lang w:eastAsia="en-AU"/>
              </w:rPr>
              <w:t>NT</w:t>
            </w:r>
          </w:p>
        </w:tc>
        <w:tc>
          <w:tcPr>
            <w:tcW w:w="380" w:type="pct"/>
            <w:tcBorders>
              <w:left w:val="single" w:sz="4" w:space="0" w:color="auto"/>
              <w:bottom w:val="single" w:sz="4" w:space="0" w:color="auto"/>
              <w:right w:val="single" w:sz="4" w:space="0" w:color="auto"/>
            </w:tcBorders>
            <w:shd w:val="clear" w:color="auto" w:fill="F2F2F2" w:themeFill="background1" w:themeFillShade="F2"/>
            <w:noWrap/>
            <w:vAlign w:val="bottom"/>
            <w:hideMark/>
          </w:tcPr>
          <w:p w14:paraId="40A97840" w14:textId="77777777" w:rsidR="006B75AE" w:rsidRPr="000F1DE6" w:rsidRDefault="006B75AE">
            <w:pPr>
              <w:spacing w:after="0" w:line="240" w:lineRule="auto"/>
              <w:rPr>
                <w:rFonts w:asciiTheme="minorHAnsi" w:eastAsia="Times New Roman" w:hAnsiTheme="minorHAnsi" w:cs="Times New Roman"/>
                <w:b/>
                <w:color w:val="000000"/>
                <w:szCs w:val="22"/>
                <w:lang w:eastAsia="en-AU"/>
              </w:rPr>
            </w:pPr>
            <w:r w:rsidRPr="000F1DE6">
              <w:rPr>
                <w:rFonts w:asciiTheme="minorHAnsi" w:eastAsia="Times New Roman" w:hAnsiTheme="minorHAnsi" w:cs="Times New Roman"/>
                <w:b/>
                <w:color w:val="000000"/>
                <w:szCs w:val="22"/>
                <w:lang w:eastAsia="en-AU"/>
              </w:rPr>
              <w:t>SA</w:t>
            </w:r>
          </w:p>
        </w:tc>
        <w:tc>
          <w:tcPr>
            <w:tcW w:w="380" w:type="pct"/>
            <w:gridSpan w:val="2"/>
            <w:tcBorders>
              <w:left w:val="single" w:sz="4" w:space="0" w:color="auto"/>
              <w:bottom w:val="single" w:sz="4" w:space="0" w:color="auto"/>
              <w:right w:val="single" w:sz="4" w:space="0" w:color="auto"/>
            </w:tcBorders>
            <w:shd w:val="clear" w:color="auto" w:fill="F2F2F2" w:themeFill="background1" w:themeFillShade="F2"/>
            <w:noWrap/>
            <w:vAlign w:val="bottom"/>
            <w:hideMark/>
          </w:tcPr>
          <w:p w14:paraId="407712AE" w14:textId="77777777" w:rsidR="006B75AE" w:rsidRPr="000F1DE6" w:rsidRDefault="006B75AE">
            <w:pPr>
              <w:spacing w:after="0" w:line="240" w:lineRule="auto"/>
              <w:rPr>
                <w:rFonts w:asciiTheme="minorHAnsi" w:eastAsia="Times New Roman" w:hAnsiTheme="minorHAnsi" w:cs="Times New Roman"/>
                <w:b/>
                <w:color w:val="000000"/>
                <w:szCs w:val="22"/>
                <w:lang w:eastAsia="en-AU"/>
              </w:rPr>
            </w:pPr>
            <w:r w:rsidRPr="000F1DE6">
              <w:rPr>
                <w:rFonts w:asciiTheme="minorHAnsi" w:eastAsia="Times New Roman" w:hAnsiTheme="minorHAnsi" w:cs="Times New Roman"/>
                <w:b/>
                <w:color w:val="000000"/>
                <w:szCs w:val="22"/>
                <w:lang w:eastAsia="en-AU"/>
              </w:rPr>
              <w:t>ACT</w:t>
            </w:r>
          </w:p>
        </w:tc>
        <w:tc>
          <w:tcPr>
            <w:tcW w:w="380" w:type="pct"/>
            <w:tcBorders>
              <w:left w:val="single" w:sz="4" w:space="0" w:color="auto"/>
              <w:bottom w:val="single" w:sz="4" w:space="0" w:color="auto"/>
              <w:right w:val="single" w:sz="4" w:space="0" w:color="auto"/>
            </w:tcBorders>
            <w:shd w:val="clear" w:color="auto" w:fill="F2F2F2" w:themeFill="background1" w:themeFillShade="F2"/>
            <w:noWrap/>
            <w:vAlign w:val="bottom"/>
            <w:hideMark/>
          </w:tcPr>
          <w:p w14:paraId="3314787A" w14:textId="77777777" w:rsidR="006B75AE" w:rsidRPr="000F1DE6" w:rsidRDefault="006B75AE">
            <w:pPr>
              <w:spacing w:after="0" w:line="240" w:lineRule="auto"/>
              <w:rPr>
                <w:rFonts w:asciiTheme="minorHAnsi" w:eastAsia="Times New Roman" w:hAnsiTheme="minorHAnsi" w:cs="Times New Roman"/>
                <w:b/>
                <w:color w:val="000000"/>
                <w:szCs w:val="22"/>
                <w:lang w:eastAsia="en-AU"/>
              </w:rPr>
            </w:pPr>
            <w:r w:rsidRPr="000F1DE6">
              <w:rPr>
                <w:rFonts w:asciiTheme="minorHAnsi" w:eastAsia="Times New Roman" w:hAnsiTheme="minorHAnsi" w:cs="Times New Roman"/>
                <w:b/>
                <w:color w:val="000000"/>
                <w:szCs w:val="22"/>
                <w:lang w:eastAsia="en-AU"/>
              </w:rPr>
              <w:t>Qld</w:t>
            </w:r>
          </w:p>
        </w:tc>
        <w:tc>
          <w:tcPr>
            <w:tcW w:w="380" w:type="pct"/>
            <w:tcBorders>
              <w:left w:val="single" w:sz="4" w:space="0" w:color="auto"/>
              <w:bottom w:val="single" w:sz="4" w:space="0" w:color="auto"/>
            </w:tcBorders>
            <w:shd w:val="clear" w:color="auto" w:fill="F2F2F2" w:themeFill="background1" w:themeFillShade="F2"/>
            <w:noWrap/>
            <w:vAlign w:val="bottom"/>
            <w:hideMark/>
          </w:tcPr>
          <w:p w14:paraId="335E9CF0" w14:textId="77777777" w:rsidR="006B75AE" w:rsidRPr="000F1DE6" w:rsidRDefault="006B75AE">
            <w:pPr>
              <w:spacing w:after="0" w:line="240" w:lineRule="auto"/>
              <w:rPr>
                <w:rFonts w:asciiTheme="minorHAnsi" w:eastAsia="Times New Roman" w:hAnsiTheme="minorHAnsi" w:cs="Times New Roman"/>
                <w:b/>
                <w:color w:val="000000"/>
                <w:szCs w:val="22"/>
                <w:lang w:eastAsia="en-AU"/>
              </w:rPr>
            </w:pPr>
            <w:r w:rsidRPr="000F1DE6">
              <w:rPr>
                <w:rFonts w:asciiTheme="minorHAnsi" w:eastAsia="Times New Roman" w:hAnsiTheme="minorHAnsi" w:cs="Times New Roman"/>
                <w:b/>
                <w:color w:val="000000"/>
                <w:szCs w:val="22"/>
                <w:lang w:eastAsia="en-AU"/>
              </w:rPr>
              <w:t>WA</w:t>
            </w:r>
          </w:p>
        </w:tc>
      </w:tr>
      <w:tr w:rsidR="006B75AE" w:rsidRPr="000F1DE6" w14:paraId="0904CA04" w14:textId="77777777" w:rsidTr="000D26F7">
        <w:trPr>
          <w:trHeight w:val="290"/>
        </w:trPr>
        <w:tc>
          <w:tcPr>
            <w:tcW w:w="1963" w:type="pct"/>
            <w:vMerge/>
            <w:tcBorders>
              <w:bottom w:val="single" w:sz="4" w:space="0" w:color="auto"/>
              <w:right w:val="single" w:sz="4" w:space="0" w:color="auto"/>
            </w:tcBorders>
            <w:noWrap/>
            <w:vAlign w:val="bottom"/>
          </w:tcPr>
          <w:p w14:paraId="4CF6AAB5" w14:textId="77777777" w:rsidR="006B75AE" w:rsidRPr="000F1DE6" w:rsidRDefault="006B75AE">
            <w:pPr>
              <w:spacing w:after="0" w:line="240" w:lineRule="auto"/>
              <w:rPr>
                <w:rFonts w:asciiTheme="minorHAnsi" w:eastAsia="Times New Roman" w:hAnsiTheme="minorHAnsi" w:cs="Times New Roman"/>
                <w:i/>
                <w:color w:val="000000"/>
                <w:szCs w:val="22"/>
                <w:lang w:eastAsia="en-AU"/>
              </w:rPr>
            </w:pPr>
          </w:p>
        </w:tc>
        <w:tc>
          <w:tcPr>
            <w:tcW w:w="1012" w:type="pct"/>
            <w:gridSpan w:val="3"/>
            <w:tcBorders>
              <w:top w:val="single" w:sz="4" w:space="0" w:color="auto"/>
              <w:left w:val="single" w:sz="4" w:space="0" w:color="auto"/>
              <w:bottom w:val="single" w:sz="4" w:space="0" w:color="auto"/>
            </w:tcBorders>
            <w:noWrap/>
            <w:vAlign w:val="bottom"/>
          </w:tcPr>
          <w:p w14:paraId="2DFFB753" w14:textId="3C49C1E1" w:rsidR="006B75AE" w:rsidRPr="000F1DE6" w:rsidRDefault="006B75AE">
            <w:pPr>
              <w:spacing w:after="0" w:line="240" w:lineRule="auto"/>
              <w:rPr>
                <w:rFonts w:asciiTheme="minorHAnsi" w:eastAsia="Times New Roman" w:hAnsiTheme="minorHAnsi" w:cs="Times New Roman"/>
                <w:color w:val="000000"/>
                <w:szCs w:val="22"/>
                <w:lang w:eastAsia="en-AU"/>
              </w:rPr>
            </w:pPr>
            <w:r w:rsidRPr="000F1DE6">
              <w:rPr>
                <w:rFonts w:asciiTheme="minorHAnsi" w:eastAsia="Times New Roman" w:hAnsiTheme="minorHAnsi" w:cs="Times New Roman"/>
                <w:b/>
                <w:color w:val="000000"/>
                <w:szCs w:val="22"/>
                <w:lang w:eastAsia="en-AU"/>
              </w:rPr>
              <w:t>More harmonised</w:t>
            </w:r>
          </w:p>
        </w:tc>
        <w:tc>
          <w:tcPr>
            <w:tcW w:w="1012" w:type="pct"/>
            <w:gridSpan w:val="4"/>
            <w:tcBorders>
              <w:top w:val="single" w:sz="4" w:space="0" w:color="auto"/>
              <w:bottom w:val="single" w:sz="4" w:space="0" w:color="auto"/>
            </w:tcBorders>
            <w:noWrap/>
            <w:vAlign w:val="bottom"/>
          </w:tcPr>
          <w:p w14:paraId="4628AF43" w14:textId="1D41BB93" w:rsidR="006B75AE" w:rsidRPr="000F1DE6" w:rsidRDefault="000D26F7">
            <w:pPr>
              <w:spacing w:after="0" w:line="240" w:lineRule="auto"/>
              <w:jc w:val="right"/>
              <w:rPr>
                <w:rFonts w:asciiTheme="minorHAnsi" w:eastAsia="Times New Roman" w:hAnsiTheme="minorHAnsi" w:cs="Times New Roman"/>
                <w:color w:val="000000"/>
                <w:szCs w:val="22"/>
                <w:lang w:eastAsia="en-AU"/>
              </w:rPr>
            </w:pPr>
            <w:r w:rsidRPr="000F1DE6">
              <w:rPr>
                <w:rFonts w:asciiTheme="minorHAnsi" w:eastAsia="Times New Roman" w:hAnsiTheme="minorHAnsi" w:cs="Times New Roman"/>
                <w:b/>
                <w:noProof/>
                <w:color w:val="000000"/>
                <w:sz w:val="20"/>
                <w:szCs w:val="20"/>
                <w:lang w:eastAsia="en-AU"/>
                <w14:ligatures w14:val="standardContextual"/>
              </w:rPr>
              <mc:AlternateContent>
                <mc:Choice Requires="wps">
                  <w:drawing>
                    <wp:anchor distT="0" distB="0" distL="114300" distR="114300" simplePos="0" relativeHeight="251658240" behindDoc="0" locked="0" layoutInCell="1" allowOverlap="1" wp14:anchorId="680F7CD9" wp14:editId="5701DE70">
                      <wp:simplePos x="0" y="0"/>
                      <wp:positionH relativeFrom="column">
                        <wp:posOffset>-328295</wp:posOffset>
                      </wp:positionH>
                      <wp:positionV relativeFrom="paragraph">
                        <wp:posOffset>0</wp:posOffset>
                      </wp:positionV>
                      <wp:extent cx="1763395" cy="0"/>
                      <wp:effectExtent l="38100" t="76200" r="27305" b="95250"/>
                      <wp:wrapNone/>
                      <wp:docPr id="855302087" name="Straight Arrow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1763395" cy="0"/>
                              </a:xfrm>
                              <a:prstGeom prst="straightConnector1">
                                <a:avLst/>
                              </a:prstGeom>
                              <a:ln w="19050">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c="http://schemas.openxmlformats.org/drawingml/2006/chart" xmlns:a16="http://schemas.microsoft.com/office/drawing/2014/main" xmlns:a14="http://schemas.microsoft.com/office/drawing/2010/main" xmlns:pic="http://schemas.openxmlformats.org/drawingml/2006/picture" xmlns:adec="http://schemas.microsoft.com/office/drawing/2017/decorative" xmlns:a="http://schemas.openxmlformats.org/drawingml/2006/main">
                  <w:pict w14:anchorId="13BD232B">
                    <v:shapetype id="_x0000_t32" coordsize="21600,21600" o:oned="t" filled="f" o:spt="32" path="m,l21600,21600e" w14:anchorId="10C17BA1">
                      <v:path fillok="f" arrowok="t" o:connecttype="none"/>
                      <o:lock v:ext="edit" shapetype="t"/>
                    </v:shapetype>
                    <v:shape id="Straight Arrow Connector 3" style="position:absolute;margin-left:-25.85pt;margin-top:0;width:138.8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alt="&quot;&quot;" o:spid="_x0000_s1026" strokecolor="black [3213]"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">
                      <v:stroke startarrow="block" endarrow="block"/>
                    </v:shape>
                  </w:pict>
                </mc:Fallback>
              </mc:AlternateContent>
            </w:r>
          </w:p>
        </w:tc>
        <w:tc>
          <w:tcPr>
            <w:tcW w:w="1013" w:type="pct"/>
            <w:gridSpan w:val="3"/>
            <w:tcBorders>
              <w:top w:val="single" w:sz="4" w:space="0" w:color="auto"/>
              <w:bottom w:val="single" w:sz="4" w:space="0" w:color="auto"/>
            </w:tcBorders>
            <w:noWrap/>
            <w:vAlign w:val="bottom"/>
          </w:tcPr>
          <w:p w14:paraId="21D87B74" w14:textId="3BA3FD85" w:rsidR="006B75AE" w:rsidRPr="000F1DE6" w:rsidRDefault="006B75AE">
            <w:pPr>
              <w:spacing w:after="0" w:line="240" w:lineRule="auto"/>
              <w:jc w:val="right"/>
              <w:rPr>
                <w:rFonts w:asciiTheme="minorHAnsi" w:eastAsia="Times New Roman" w:hAnsiTheme="minorHAnsi" w:cs="Times New Roman"/>
                <w:color w:val="000000"/>
                <w:szCs w:val="22"/>
                <w:lang w:eastAsia="en-AU"/>
              </w:rPr>
            </w:pPr>
            <w:r w:rsidRPr="000F1DE6">
              <w:rPr>
                <w:rFonts w:asciiTheme="minorHAnsi" w:eastAsia="Times New Roman" w:hAnsiTheme="minorHAnsi" w:cs="Times New Roman"/>
                <w:b/>
                <w:color w:val="000000"/>
                <w:szCs w:val="22"/>
                <w:lang w:eastAsia="en-AU"/>
              </w:rPr>
              <w:t xml:space="preserve">Less </w:t>
            </w:r>
            <w:r w:rsidR="000D26F7">
              <w:rPr>
                <w:rFonts w:asciiTheme="minorHAnsi" w:eastAsia="Times New Roman" w:hAnsiTheme="minorHAnsi" w:cs="Times New Roman"/>
                <w:b/>
                <w:color w:val="000000"/>
                <w:szCs w:val="22"/>
                <w:lang w:eastAsia="en-AU"/>
              </w:rPr>
              <w:br/>
            </w:r>
            <w:r w:rsidRPr="000F1DE6">
              <w:rPr>
                <w:rFonts w:asciiTheme="minorHAnsi" w:eastAsia="Times New Roman" w:hAnsiTheme="minorHAnsi" w:cs="Times New Roman"/>
                <w:b/>
                <w:color w:val="000000"/>
                <w:szCs w:val="22"/>
                <w:lang w:eastAsia="en-AU"/>
              </w:rPr>
              <w:t>harmonised</w:t>
            </w:r>
          </w:p>
        </w:tc>
      </w:tr>
      <w:tr w:rsidR="006B75AE" w:rsidRPr="000F1DE6" w14:paraId="59BCA0D2" w14:textId="77777777" w:rsidTr="0016789A">
        <w:trPr>
          <w:trHeight w:val="537"/>
        </w:trPr>
        <w:tc>
          <w:tcPr>
            <w:tcW w:w="1963" w:type="pct"/>
            <w:tcBorders>
              <w:top w:val="single" w:sz="4" w:space="0" w:color="auto"/>
              <w:bottom w:val="single" w:sz="4" w:space="0" w:color="auto"/>
              <w:right w:val="single" w:sz="4" w:space="0" w:color="auto"/>
            </w:tcBorders>
            <w:noWrap/>
            <w:vAlign w:val="center"/>
            <w:hideMark/>
          </w:tcPr>
          <w:p w14:paraId="17C6A9C3" w14:textId="77777777" w:rsidR="006B75AE" w:rsidRPr="000F1DE6" w:rsidRDefault="006B75AE" w:rsidP="0016789A">
            <w:pPr>
              <w:spacing w:after="0" w:line="240" w:lineRule="auto"/>
              <w:rPr>
                <w:rFonts w:asciiTheme="minorHAnsi" w:eastAsia="Times New Roman" w:hAnsiTheme="minorHAnsi" w:cs="Times New Roman"/>
                <w:i/>
                <w:color w:val="000000"/>
                <w:szCs w:val="22"/>
                <w:lang w:eastAsia="en-AU"/>
              </w:rPr>
            </w:pPr>
            <w:r w:rsidRPr="000F1DE6">
              <w:rPr>
                <w:rFonts w:asciiTheme="minorHAnsi" w:eastAsia="Times New Roman" w:hAnsiTheme="minorHAnsi" w:cs="Times New Roman"/>
                <w:i/>
                <w:color w:val="000000"/>
                <w:szCs w:val="22"/>
                <w:lang w:eastAsia="en-AU"/>
              </w:rPr>
              <w:t>Part 1 Introduction</w:t>
            </w:r>
          </w:p>
        </w:tc>
        <w:tc>
          <w:tcPr>
            <w:tcW w:w="380" w:type="pct"/>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3B6B5B0F"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2091114A"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gridSpan w:val="2"/>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7850F841"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clear" w:color="auto" w:fill="8DD873"/>
            <w:noWrap/>
            <w:vAlign w:val="bottom"/>
          </w:tcPr>
          <w:p w14:paraId="5550D48A"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clear" w:color="auto" w:fill="8DD873"/>
            <w:noWrap/>
            <w:vAlign w:val="bottom"/>
          </w:tcPr>
          <w:p w14:paraId="18F6A6F3"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gridSpan w:val="2"/>
            <w:tcBorders>
              <w:top w:val="single" w:sz="4" w:space="0" w:color="auto"/>
              <w:left w:val="single" w:sz="4" w:space="0" w:color="auto"/>
              <w:bottom w:val="single" w:sz="4" w:space="0" w:color="auto"/>
              <w:right w:val="single" w:sz="4" w:space="0" w:color="auto"/>
            </w:tcBorders>
            <w:shd w:val="thinDiagCross" w:color="auto" w:fill="D9F2D0"/>
            <w:noWrap/>
            <w:vAlign w:val="bottom"/>
          </w:tcPr>
          <w:p w14:paraId="496F7292"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thinDiagCross" w:color="auto" w:fill="D9F2D0"/>
            <w:noWrap/>
            <w:vAlign w:val="bottom"/>
          </w:tcPr>
          <w:p w14:paraId="538B3104"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tcBorders>
            <w:shd w:val="thinDiagCross" w:color="auto" w:fill="D9F2D0"/>
            <w:noWrap/>
            <w:vAlign w:val="bottom"/>
          </w:tcPr>
          <w:p w14:paraId="1DE44876"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r>
      <w:tr w:rsidR="006B75AE" w:rsidRPr="000F1DE6" w14:paraId="1EB5DEC6" w14:textId="77777777" w:rsidTr="0016789A">
        <w:trPr>
          <w:trHeight w:val="537"/>
        </w:trPr>
        <w:tc>
          <w:tcPr>
            <w:tcW w:w="1963" w:type="pct"/>
            <w:tcBorders>
              <w:top w:val="single" w:sz="4" w:space="0" w:color="auto"/>
              <w:bottom w:val="single" w:sz="4" w:space="0" w:color="auto"/>
              <w:right w:val="single" w:sz="4" w:space="0" w:color="auto"/>
            </w:tcBorders>
            <w:noWrap/>
            <w:vAlign w:val="center"/>
            <w:hideMark/>
          </w:tcPr>
          <w:p w14:paraId="34727CD8" w14:textId="49EB65C4" w:rsidR="006B75AE" w:rsidRPr="000F1DE6" w:rsidRDefault="006B75AE" w:rsidP="0016789A">
            <w:pPr>
              <w:spacing w:after="0" w:line="240" w:lineRule="auto"/>
              <w:rPr>
                <w:rFonts w:asciiTheme="minorHAnsi" w:eastAsia="Times New Roman" w:hAnsiTheme="minorHAnsi" w:cs="Times New Roman"/>
                <w:i/>
                <w:color w:val="000000"/>
                <w:szCs w:val="22"/>
                <w:lang w:eastAsia="en-AU"/>
              </w:rPr>
            </w:pPr>
            <w:r w:rsidRPr="000F1DE6">
              <w:rPr>
                <w:rFonts w:asciiTheme="minorHAnsi" w:eastAsia="Times New Roman" w:hAnsiTheme="minorHAnsi" w:cs="Times New Roman"/>
                <w:i/>
                <w:color w:val="000000"/>
                <w:szCs w:val="22"/>
                <w:lang w:eastAsia="en-AU"/>
              </w:rPr>
              <w:t xml:space="preserve">Part 2 Health and </w:t>
            </w:r>
            <w:r w:rsidR="00A713D2">
              <w:rPr>
                <w:rFonts w:asciiTheme="minorHAnsi" w:eastAsia="Times New Roman" w:hAnsiTheme="minorHAnsi" w:cs="Times New Roman"/>
                <w:i/>
                <w:color w:val="000000"/>
                <w:szCs w:val="22"/>
                <w:lang w:eastAsia="en-AU"/>
              </w:rPr>
              <w:t>s</w:t>
            </w:r>
            <w:r w:rsidRPr="000F1DE6">
              <w:rPr>
                <w:rFonts w:asciiTheme="minorHAnsi" w:eastAsia="Times New Roman" w:hAnsiTheme="minorHAnsi" w:cs="Times New Roman"/>
                <w:i/>
                <w:color w:val="000000"/>
                <w:szCs w:val="22"/>
                <w:lang w:eastAsia="en-AU"/>
              </w:rPr>
              <w:t xml:space="preserve">afety </w:t>
            </w:r>
            <w:r w:rsidR="00A713D2">
              <w:rPr>
                <w:rFonts w:asciiTheme="minorHAnsi" w:eastAsia="Times New Roman" w:hAnsiTheme="minorHAnsi" w:cs="Times New Roman"/>
                <w:i/>
                <w:color w:val="000000"/>
                <w:szCs w:val="22"/>
                <w:lang w:eastAsia="en-AU"/>
              </w:rPr>
              <w:t>d</w:t>
            </w:r>
            <w:r w:rsidRPr="000F1DE6">
              <w:rPr>
                <w:rFonts w:asciiTheme="minorHAnsi" w:eastAsia="Times New Roman" w:hAnsiTheme="minorHAnsi" w:cs="Times New Roman"/>
                <w:i/>
                <w:color w:val="000000"/>
                <w:szCs w:val="22"/>
                <w:lang w:eastAsia="en-AU"/>
              </w:rPr>
              <w:t>uties</w:t>
            </w:r>
          </w:p>
        </w:tc>
        <w:tc>
          <w:tcPr>
            <w:tcW w:w="380" w:type="pct"/>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272C3B2B"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66E6AC26"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gridSpan w:val="2"/>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3A670B3E"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1E271068"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5BAD392D"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gridSpan w:val="2"/>
            <w:tcBorders>
              <w:top w:val="single" w:sz="4" w:space="0" w:color="auto"/>
              <w:left w:val="single" w:sz="4" w:space="0" w:color="auto"/>
              <w:bottom w:val="single" w:sz="4" w:space="0" w:color="auto"/>
              <w:right w:val="single" w:sz="4" w:space="0" w:color="auto"/>
            </w:tcBorders>
            <w:shd w:val="thinDiagCross" w:color="auto" w:fill="D9F2D0"/>
            <w:noWrap/>
            <w:vAlign w:val="bottom"/>
          </w:tcPr>
          <w:p w14:paraId="1F77538F"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3FCD511E"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tcBorders>
            <w:shd w:val="clear" w:color="auto" w:fill="8DD873"/>
            <w:noWrap/>
            <w:vAlign w:val="bottom"/>
          </w:tcPr>
          <w:p w14:paraId="42ADC045"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r>
      <w:tr w:rsidR="006B75AE" w:rsidRPr="000F1DE6" w14:paraId="7C252E81" w14:textId="77777777" w:rsidTr="0016789A">
        <w:trPr>
          <w:trHeight w:val="537"/>
        </w:trPr>
        <w:tc>
          <w:tcPr>
            <w:tcW w:w="1963" w:type="pct"/>
            <w:tcBorders>
              <w:top w:val="single" w:sz="4" w:space="0" w:color="auto"/>
              <w:bottom w:val="single" w:sz="4" w:space="0" w:color="auto"/>
              <w:right w:val="single" w:sz="4" w:space="0" w:color="auto"/>
            </w:tcBorders>
            <w:noWrap/>
            <w:vAlign w:val="center"/>
            <w:hideMark/>
          </w:tcPr>
          <w:p w14:paraId="42302540" w14:textId="6BD6C19E" w:rsidR="006B75AE" w:rsidRPr="000F1DE6" w:rsidRDefault="006B75AE" w:rsidP="0016789A">
            <w:pPr>
              <w:spacing w:after="0" w:line="240" w:lineRule="auto"/>
              <w:rPr>
                <w:rFonts w:asciiTheme="minorHAnsi" w:eastAsia="Times New Roman" w:hAnsiTheme="minorHAnsi" w:cs="Times New Roman"/>
                <w:i/>
                <w:color w:val="000000"/>
                <w:szCs w:val="22"/>
                <w:lang w:eastAsia="en-AU"/>
              </w:rPr>
            </w:pPr>
            <w:r w:rsidRPr="000F1DE6">
              <w:rPr>
                <w:rFonts w:asciiTheme="minorHAnsi" w:eastAsia="Times New Roman" w:hAnsiTheme="minorHAnsi" w:cs="Times New Roman"/>
                <w:i/>
                <w:color w:val="000000"/>
                <w:szCs w:val="22"/>
                <w:lang w:eastAsia="en-AU"/>
              </w:rPr>
              <w:t xml:space="preserve">Part 3 Incident </w:t>
            </w:r>
            <w:r w:rsidR="00A713D2">
              <w:rPr>
                <w:rFonts w:asciiTheme="minorHAnsi" w:eastAsia="Times New Roman" w:hAnsiTheme="minorHAnsi" w:cs="Times New Roman"/>
                <w:i/>
                <w:color w:val="000000"/>
                <w:szCs w:val="22"/>
                <w:lang w:eastAsia="en-AU"/>
              </w:rPr>
              <w:t>n</w:t>
            </w:r>
            <w:r w:rsidRPr="000F1DE6">
              <w:rPr>
                <w:rFonts w:asciiTheme="minorHAnsi" w:eastAsia="Times New Roman" w:hAnsiTheme="minorHAnsi" w:cs="Times New Roman"/>
                <w:i/>
                <w:color w:val="000000"/>
                <w:szCs w:val="22"/>
                <w:lang w:eastAsia="en-AU"/>
              </w:rPr>
              <w:t>otification</w:t>
            </w:r>
          </w:p>
        </w:tc>
        <w:tc>
          <w:tcPr>
            <w:tcW w:w="380" w:type="pct"/>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4C11E17D"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clear" w:color="auto" w:fill="8DD873"/>
            <w:noWrap/>
            <w:vAlign w:val="bottom"/>
          </w:tcPr>
          <w:p w14:paraId="65045F0F"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gridSpan w:val="2"/>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73BFBCCE"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1DBB1C6E"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2E3E6986"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gridSpan w:val="2"/>
            <w:tcBorders>
              <w:top w:val="single" w:sz="4" w:space="0" w:color="auto"/>
              <w:left w:val="single" w:sz="4" w:space="0" w:color="auto"/>
              <w:bottom w:val="single" w:sz="4" w:space="0" w:color="auto"/>
              <w:right w:val="single" w:sz="4" w:space="0" w:color="auto"/>
            </w:tcBorders>
            <w:shd w:val="thinDiagCross" w:color="auto" w:fill="D9F2D0"/>
            <w:noWrap/>
            <w:vAlign w:val="bottom"/>
          </w:tcPr>
          <w:p w14:paraId="2B63110C"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1291CB42"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tcBorders>
            <w:shd w:val="thinDiagCross" w:color="auto" w:fill="D9F2D0"/>
            <w:noWrap/>
            <w:vAlign w:val="bottom"/>
          </w:tcPr>
          <w:p w14:paraId="7E2F6AE7"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r>
      <w:tr w:rsidR="006B75AE" w:rsidRPr="000F1DE6" w14:paraId="59A7D850" w14:textId="77777777" w:rsidTr="0016789A">
        <w:trPr>
          <w:trHeight w:val="537"/>
        </w:trPr>
        <w:tc>
          <w:tcPr>
            <w:tcW w:w="1963" w:type="pct"/>
            <w:tcBorders>
              <w:top w:val="single" w:sz="4" w:space="0" w:color="auto"/>
              <w:bottom w:val="single" w:sz="4" w:space="0" w:color="auto"/>
              <w:right w:val="single" w:sz="4" w:space="0" w:color="auto"/>
            </w:tcBorders>
            <w:noWrap/>
            <w:vAlign w:val="center"/>
            <w:hideMark/>
          </w:tcPr>
          <w:p w14:paraId="3975FE2E" w14:textId="77777777" w:rsidR="006B75AE" w:rsidRPr="000F1DE6" w:rsidRDefault="006B75AE" w:rsidP="0016789A">
            <w:pPr>
              <w:spacing w:after="0" w:line="240" w:lineRule="auto"/>
              <w:rPr>
                <w:rFonts w:asciiTheme="minorHAnsi" w:eastAsia="Times New Roman" w:hAnsiTheme="minorHAnsi" w:cs="Times New Roman"/>
                <w:i/>
                <w:color w:val="000000"/>
                <w:szCs w:val="22"/>
                <w:lang w:eastAsia="en-AU"/>
              </w:rPr>
            </w:pPr>
            <w:r w:rsidRPr="000F1DE6">
              <w:rPr>
                <w:rFonts w:asciiTheme="minorHAnsi" w:eastAsia="Times New Roman" w:hAnsiTheme="minorHAnsi" w:cs="Times New Roman"/>
                <w:i/>
                <w:color w:val="000000"/>
                <w:szCs w:val="22"/>
                <w:lang w:eastAsia="en-AU"/>
              </w:rPr>
              <w:t>Part 4 Authorisations</w:t>
            </w:r>
          </w:p>
        </w:tc>
        <w:tc>
          <w:tcPr>
            <w:tcW w:w="380" w:type="pct"/>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7EA4F32A"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191184E7"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gridSpan w:val="2"/>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50244219"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1A088B0E"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54CB66FC"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gridSpan w:val="2"/>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1A3AB5A7"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thinDiagCross" w:color="auto" w:fill="D9F2D0"/>
            <w:noWrap/>
            <w:vAlign w:val="bottom"/>
          </w:tcPr>
          <w:p w14:paraId="595794EB"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tcBorders>
            <w:shd w:val="thinDiagCross" w:color="auto" w:fill="D9F2D0"/>
            <w:noWrap/>
            <w:vAlign w:val="bottom"/>
          </w:tcPr>
          <w:p w14:paraId="0FF8DFA1"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r>
      <w:tr w:rsidR="006B75AE" w:rsidRPr="000F1DE6" w14:paraId="45580109" w14:textId="77777777" w:rsidTr="0016789A">
        <w:trPr>
          <w:trHeight w:val="537"/>
        </w:trPr>
        <w:tc>
          <w:tcPr>
            <w:tcW w:w="1963" w:type="pct"/>
            <w:tcBorders>
              <w:top w:val="single" w:sz="4" w:space="0" w:color="auto"/>
              <w:bottom w:val="single" w:sz="4" w:space="0" w:color="auto"/>
              <w:right w:val="single" w:sz="4" w:space="0" w:color="auto"/>
            </w:tcBorders>
            <w:noWrap/>
            <w:vAlign w:val="center"/>
            <w:hideMark/>
          </w:tcPr>
          <w:p w14:paraId="17225114" w14:textId="77777777" w:rsidR="006B75AE" w:rsidRPr="000F1DE6" w:rsidRDefault="006B75AE" w:rsidP="0016789A">
            <w:pPr>
              <w:spacing w:after="0" w:line="240" w:lineRule="auto"/>
              <w:rPr>
                <w:rFonts w:asciiTheme="minorHAnsi" w:eastAsia="Times New Roman" w:hAnsiTheme="minorHAnsi" w:cs="Times New Roman"/>
                <w:i/>
                <w:color w:val="000000"/>
                <w:szCs w:val="22"/>
                <w:lang w:eastAsia="en-AU"/>
              </w:rPr>
            </w:pPr>
            <w:r w:rsidRPr="000F1DE6">
              <w:rPr>
                <w:rFonts w:asciiTheme="minorHAnsi" w:eastAsia="Times New Roman" w:hAnsiTheme="minorHAnsi" w:cs="Times New Roman"/>
                <w:i/>
                <w:color w:val="000000"/>
                <w:szCs w:val="22"/>
                <w:lang w:eastAsia="en-AU"/>
              </w:rPr>
              <w:t>Part 5 Consultation, co-operation and co-ordination</w:t>
            </w:r>
            <w:r w:rsidRPr="000F1DE6">
              <w:rPr>
                <w:rStyle w:val="FootnoteReference"/>
                <w:rFonts w:asciiTheme="minorHAnsi" w:eastAsia="Times New Roman" w:hAnsiTheme="minorHAnsi" w:cs="Times New Roman"/>
                <w:i/>
                <w:color w:val="000000"/>
                <w:szCs w:val="22"/>
                <w:lang w:eastAsia="en-AU"/>
              </w:rPr>
              <w:footnoteReference w:id="767"/>
            </w:r>
          </w:p>
        </w:tc>
        <w:tc>
          <w:tcPr>
            <w:tcW w:w="380" w:type="pct"/>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1A8D21D8"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33580A13"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gridSpan w:val="2"/>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538753FE"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09AE0FFE"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thinDiagCross" w:color="auto" w:fill="D9F2D0"/>
            <w:noWrap/>
            <w:vAlign w:val="bottom"/>
          </w:tcPr>
          <w:p w14:paraId="75A83925"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gridSpan w:val="2"/>
            <w:tcBorders>
              <w:top w:val="single" w:sz="4" w:space="0" w:color="auto"/>
              <w:left w:val="single" w:sz="4" w:space="0" w:color="auto"/>
              <w:bottom w:val="single" w:sz="4" w:space="0" w:color="auto"/>
              <w:right w:val="single" w:sz="4" w:space="0" w:color="auto"/>
            </w:tcBorders>
            <w:shd w:val="clear" w:color="auto" w:fill="8DD873"/>
            <w:noWrap/>
            <w:vAlign w:val="bottom"/>
          </w:tcPr>
          <w:p w14:paraId="51A53148"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thinDiagCross" w:color="auto" w:fill="D9F2D0"/>
            <w:noWrap/>
            <w:vAlign w:val="bottom"/>
          </w:tcPr>
          <w:p w14:paraId="49608646"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tcBorders>
            <w:shd w:val="clear" w:color="auto" w:fill="8DD873"/>
            <w:noWrap/>
            <w:vAlign w:val="bottom"/>
          </w:tcPr>
          <w:p w14:paraId="170C1395"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r>
      <w:tr w:rsidR="006B75AE" w:rsidRPr="000F1DE6" w14:paraId="31F713D4" w14:textId="77777777" w:rsidTr="0016789A">
        <w:trPr>
          <w:trHeight w:val="537"/>
        </w:trPr>
        <w:tc>
          <w:tcPr>
            <w:tcW w:w="1963" w:type="pct"/>
            <w:tcBorders>
              <w:top w:val="single" w:sz="4" w:space="0" w:color="auto"/>
              <w:bottom w:val="single" w:sz="4" w:space="0" w:color="auto"/>
              <w:right w:val="single" w:sz="4" w:space="0" w:color="auto"/>
            </w:tcBorders>
            <w:noWrap/>
            <w:vAlign w:val="center"/>
            <w:hideMark/>
          </w:tcPr>
          <w:p w14:paraId="5C2CA22A" w14:textId="77777777" w:rsidR="006B75AE" w:rsidRPr="000F1DE6" w:rsidRDefault="006B75AE" w:rsidP="0016789A">
            <w:pPr>
              <w:spacing w:after="0" w:line="240" w:lineRule="auto"/>
              <w:rPr>
                <w:rFonts w:asciiTheme="minorHAnsi" w:eastAsia="Times New Roman" w:hAnsiTheme="minorHAnsi" w:cs="Times New Roman"/>
                <w:i/>
                <w:color w:val="000000"/>
                <w:szCs w:val="22"/>
                <w:lang w:eastAsia="en-AU"/>
              </w:rPr>
            </w:pPr>
            <w:r w:rsidRPr="000F1DE6">
              <w:rPr>
                <w:rFonts w:asciiTheme="minorHAnsi" w:eastAsia="Times New Roman" w:hAnsiTheme="minorHAnsi" w:cs="Times New Roman"/>
                <w:i/>
                <w:color w:val="000000"/>
                <w:szCs w:val="22"/>
                <w:lang w:eastAsia="en-AU"/>
              </w:rPr>
              <w:t>Part 6 Discriminatory, coercive and misleading conduct</w:t>
            </w:r>
          </w:p>
        </w:tc>
        <w:tc>
          <w:tcPr>
            <w:tcW w:w="380" w:type="pct"/>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375614AD"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7C640E81"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gridSpan w:val="2"/>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258D6D04"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clear" w:color="auto" w:fill="8DD873"/>
            <w:noWrap/>
            <w:vAlign w:val="bottom"/>
          </w:tcPr>
          <w:p w14:paraId="3D9BF990"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23C1CB40"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gridSpan w:val="2"/>
            <w:tcBorders>
              <w:top w:val="single" w:sz="4" w:space="0" w:color="auto"/>
              <w:left w:val="single" w:sz="4" w:space="0" w:color="auto"/>
              <w:bottom w:val="single" w:sz="4" w:space="0" w:color="auto"/>
              <w:right w:val="single" w:sz="4" w:space="0" w:color="auto"/>
            </w:tcBorders>
            <w:shd w:val="thinDiagCross" w:color="auto" w:fill="D9F2D0"/>
            <w:noWrap/>
            <w:vAlign w:val="bottom"/>
          </w:tcPr>
          <w:p w14:paraId="5C9F2A18"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clear" w:color="auto" w:fill="8DD873"/>
            <w:noWrap/>
            <w:vAlign w:val="bottom"/>
          </w:tcPr>
          <w:p w14:paraId="611EBE5F"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tcBorders>
            <w:shd w:val="thinDiagCross" w:color="auto" w:fill="D9F2D0"/>
            <w:noWrap/>
            <w:vAlign w:val="bottom"/>
          </w:tcPr>
          <w:p w14:paraId="737A32AD"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r>
      <w:tr w:rsidR="006B75AE" w:rsidRPr="000F1DE6" w14:paraId="4F5AE6A4" w14:textId="77777777" w:rsidTr="0016789A">
        <w:trPr>
          <w:trHeight w:val="537"/>
        </w:trPr>
        <w:tc>
          <w:tcPr>
            <w:tcW w:w="1963" w:type="pct"/>
            <w:tcBorders>
              <w:top w:val="single" w:sz="4" w:space="0" w:color="auto"/>
              <w:bottom w:val="single" w:sz="4" w:space="0" w:color="auto"/>
              <w:right w:val="single" w:sz="4" w:space="0" w:color="auto"/>
            </w:tcBorders>
            <w:noWrap/>
            <w:vAlign w:val="center"/>
            <w:hideMark/>
          </w:tcPr>
          <w:p w14:paraId="6EC084F4" w14:textId="77777777" w:rsidR="006B75AE" w:rsidRPr="000F1DE6" w:rsidRDefault="006B75AE" w:rsidP="0016789A">
            <w:pPr>
              <w:spacing w:after="0" w:line="240" w:lineRule="auto"/>
              <w:rPr>
                <w:rFonts w:asciiTheme="minorHAnsi" w:eastAsia="Times New Roman" w:hAnsiTheme="minorHAnsi" w:cs="Times New Roman"/>
                <w:i/>
                <w:color w:val="000000"/>
                <w:szCs w:val="22"/>
                <w:lang w:eastAsia="en-AU"/>
              </w:rPr>
            </w:pPr>
            <w:r w:rsidRPr="000F1DE6">
              <w:rPr>
                <w:rFonts w:asciiTheme="minorHAnsi" w:eastAsia="Times New Roman" w:hAnsiTheme="minorHAnsi" w:cs="Times New Roman"/>
                <w:i/>
                <w:color w:val="000000"/>
                <w:szCs w:val="22"/>
                <w:lang w:eastAsia="en-AU"/>
              </w:rPr>
              <w:t>Part 7 Workplace entry by WHS entry permit holders</w:t>
            </w:r>
          </w:p>
        </w:tc>
        <w:tc>
          <w:tcPr>
            <w:tcW w:w="380" w:type="pct"/>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6AB975C8"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67E85E48"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gridSpan w:val="2"/>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5875EE2F"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3F3F6ED8"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7F8C3247"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gridSpan w:val="2"/>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4071B784"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clear" w:color="auto" w:fill="8DD873"/>
            <w:noWrap/>
            <w:vAlign w:val="bottom"/>
          </w:tcPr>
          <w:p w14:paraId="659A282E"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tcBorders>
            <w:shd w:val="thinDiagCross" w:color="auto" w:fill="D9F2D0"/>
            <w:noWrap/>
            <w:vAlign w:val="bottom"/>
          </w:tcPr>
          <w:p w14:paraId="660455C2"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r>
      <w:tr w:rsidR="006B75AE" w:rsidRPr="000F1DE6" w14:paraId="63FEFEF2" w14:textId="77777777" w:rsidTr="0016789A">
        <w:trPr>
          <w:trHeight w:val="537"/>
        </w:trPr>
        <w:tc>
          <w:tcPr>
            <w:tcW w:w="1963" w:type="pct"/>
            <w:tcBorders>
              <w:top w:val="single" w:sz="4" w:space="0" w:color="auto"/>
              <w:bottom w:val="single" w:sz="4" w:space="0" w:color="auto"/>
              <w:right w:val="single" w:sz="4" w:space="0" w:color="auto"/>
            </w:tcBorders>
            <w:noWrap/>
            <w:vAlign w:val="center"/>
            <w:hideMark/>
          </w:tcPr>
          <w:p w14:paraId="6D4F0262" w14:textId="77777777" w:rsidR="006B75AE" w:rsidRPr="000F1DE6" w:rsidRDefault="006B75AE" w:rsidP="0016789A">
            <w:pPr>
              <w:spacing w:after="0" w:line="240" w:lineRule="auto"/>
              <w:rPr>
                <w:rFonts w:asciiTheme="minorHAnsi" w:eastAsia="Times New Roman" w:hAnsiTheme="minorHAnsi" w:cs="Times New Roman"/>
                <w:i/>
                <w:color w:val="000000"/>
                <w:szCs w:val="22"/>
                <w:lang w:eastAsia="en-AU"/>
              </w:rPr>
            </w:pPr>
            <w:r w:rsidRPr="000F1DE6">
              <w:rPr>
                <w:rFonts w:asciiTheme="minorHAnsi" w:eastAsia="Times New Roman" w:hAnsiTheme="minorHAnsi" w:cs="Times New Roman"/>
                <w:i/>
                <w:color w:val="000000"/>
                <w:szCs w:val="22"/>
                <w:lang w:eastAsia="en-AU"/>
              </w:rPr>
              <w:t>Part 8 The Regulator</w:t>
            </w:r>
          </w:p>
        </w:tc>
        <w:tc>
          <w:tcPr>
            <w:tcW w:w="380" w:type="pct"/>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0B1B5D85"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clear" w:color="auto" w:fill="8DD873"/>
            <w:noWrap/>
            <w:vAlign w:val="bottom"/>
          </w:tcPr>
          <w:p w14:paraId="33DF6ACB"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gridSpan w:val="2"/>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1D10BF6C"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268C4543"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6E49E990"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gridSpan w:val="2"/>
            <w:tcBorders>
              <w:top w:val="single" w:sz="4" w:space="0" w:color="auto"/>
              <w:left w:val="single" w:sz="4" w:space="0" w:color="auto"/>
              <w:bottom w:val="single" w:sz="4" w:space="0" w:color="auto"/>
              <w:right w:val="single" w:sz="4" w:space="0" w:color="auto"/>
            </w:tcBorders>
            <w:shd w:val="thinDiagCross" w:color="auto" w:fill="D9F2D0"/>
            <w:noWrap/>
            <w:vAlign w:val="bottom"/>
          </w:tcPr>
          <w:p w14:paraId="24922B6E"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thinDiagCross" w:color="auto" w:fill="D9F2D0"/>
            <w:noWrap/>
            <w:vAlign w:val="bottom"/>
          </w:tcPr>
          <w:p w14:paraId="1698E704"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tcBorders>
            <w:shd w:val="thinDiagCross" w:color="auto" w:fill="D9F2D0"/>
            <w:noWrap/>
            <w:vAlign w:val="bottom"/>
          </w:tcPr>
          <w:p w14:paraId="02E345F2"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r>
      <w:tr w:rsidR="006B75AE" w:rsidRPr="000F1DE6" w14:paraId="5F574461" w14:textId="77777777" w:rsidTr="0016789A">
        <w:trPr>
          <w:trHeight w:val="537"/>
        </w:trPr>
        <w:tc>
          <w:tcPr>
            <w:tcW w:w="1963" w:type="pct"/>
            <w:tcBorders>
              <w:top w:val="single" w:sz="4" w:space="0" w:color="auto"/>
              <w:bottom w:val="single" w:sz="4" w:space="0" w:color="auto"/>
              <w:right w:val="single" w:sz="4" w:space="0" w:color="auto"/>
            </w:tcBorders>
            <w:noWrap/>
            <w:vAlign w:val="center"/>
            <w:hideMark/>
          </w:tcPr>
          <w:p w14:paraId="4887864C" w14:textId="33EB3367" w:rsidR="006B75AE" w:rsidRPr="000F1DE6" w:rsidRDefault="006B75AE" w:rsidP="0016789A">
            <w:pPr>
              <w:spacing w:after="0" w:line="240" w:lineRule="auto"/>
              <w:rPr>
                <w:rFonts w:asciiTheme="minorHAnsi" w:eastAsia="Times New Roman" w:hAnsiTheme="minorHAnsi" w:cs="Times New Roman"/>
                <w:i/>
                <w:color w:val="000000"/>
                <w:szCs w:val="22"/>
                <w:lang w:eastAsia="en-AU"/>
              </w:rPr>
            </w:pPr>
            <w:r w:rsidRPr="000F1DE6">
              <w:rPr>
                <w:rFonts w:asciiTheme="minorHAnsi" w:eastAsia="Times New Roman" w:hAnsiTheme="minorHAnsi" w:cs="Times New Roman"/>
                <w:i/>
                <w:color w:val="000000"/>
                <w:szCs w:val="22"/>
                <w:lang w:eastAsia="en-AU"/>
              </w:rPr>
              <w:t xml:space="preserve">Part 9 Securing </w:t>
            </w:r>
            <w:r w:rsidR="00A713D2">
              <w:rPr>
                <w:rFonts w:asciiTheme="minorHAnsi" w:eastAsia="Times New Roman" w:hAnsiTheme="minorHAnsi" w:cs="Times New Roman"/>
                <w:i/>
                <w:color w:val="000000"/>
                <w:szCs w:val="22"/>
                <w:lang w:eastAsia="en-AU"/>
              </w:rPr>
              <w:t>c</w:t>
            </w:r>
            <w:r w:rsidRPr="000F1DE6">
              <w:rPr>
                <w:rFonts w:asciiTheme="minorHAnsi" w:eastAsia="Times New Roman" w:hAnsiTheme="minorHAnsi" w:cs="Times New Roman"/>
                <w:i/>
                <w:color w:val="000000"/>
                <w:szCs w:val="22"/>
                <w:lang w:eastAsia="en-AU"/>
              </w:rPr>
              <w:t>ompliance</w:t>
            </w:r>
          </w:p>
        </w:tc>
        <w:tc>
          <w:tcPr>
            <w:tcW w:w="380" w:type="pct"/>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1237F02C"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0705844E"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gridSpan w:val="2"/>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79B16046"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24C7699F"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112BCCE9"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gridSpan w:val="2"/>
            <w:tcBorders>
              <w:top w:val="single" w:sz="4" w:space="0" w:color="auto"/>
              <w:left w:val="single" w:sz="4" w:space="0" w:color="auto"/>
              <w:bottom w:val="single" w:sz="4" w:space="0" w:color="auto"/>
              <w:right w:val="single" w:sz="4" w:space="0" w:color="auto"/>
            </w:tcBorders>
            <w:shd w:val="clear" w:color="auto" w:fill="8DD873"/>
            <w:noWrap/>
            <w:vAlign w:val="bottom"/>
          </w:tcPr>
          <w:p w14:paraId="5860B972"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thinDiagCross" w:color="auto" w:fill="D9F2D0"/>
            <w:noWrap/>
            <w:vAlign w:val="bottom"/>
          </w:tcPr>
          <w:p w14:paraId="11B72A1A"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tcBorders>
            <w:shd w:val="thinDiagCross" w:color="auto" w:fill="D9F2D0"/>
            <w:noWrap/>
            <w:vAlign w:val="bottom"/>
          </w:tcPr>
          <w:p w14:paraId="3AD6D933"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r>
      <w:tr w:rsidR="006B75AE" w:rsidRPr="000F1DE6" w14:paraId="23F5D9F6" w14:textId="77777777" w:rsidTr="0016789A">
        <w:trPr>
          <w:trHeight w:val="537"/>
        </w:trPr>
        <w:tc>
          <w:tcPr>
            <w:tcW w:w="1963" w:type="pct"/>
            <w:tcBorders>
              <w:top w:val="single" w:sz="4" w:space="0" w:color="auto"/>
              <w:bottom w:val="single" w:sz="4" w:space="0" w:color="auto"/>
              <w:right w:val="single" w:sz="4" w:space="0" w:color="auto"/>
            </w:tcBorders>
            <w:noWrap/>
            <w:vAlign w:val="center"/>
            <w:hideMark/>
          </w:tcPr>
          <w:p w14:paraId="31E728B0" w14:textId="24EAFBE5" w:rsidR="006B75AE" w:rsidRPr="000F1DE6" w:rsidRDefault="006B75AE" w:rsidP="0016789A">
            <w:pPr>
              <w:spacing w:after="0" w:line="240" w:lineRule="auto"/>
              <w:rPr>
                <w:rFonts w:asciiTheme="minorHAnsi" w:eastAsia="Times New Roman" w:hAnsiTheme="minorHAnsi" w:cs="Times New Roman"/>
                <w:i/>
                <w:color w:val="000000"/>
                <w:szCs w:val="22"/>
                <w:lang w:eastAsia="en-AU"/>
              </w:rPr>
            </w:pPr>
            <w:r w:rsidRPr="000F1DE6">
              <w:rPr>
                <w:rFonts w:asciiTheme="minorHAnsi" w:eastAsia="Times New Roman" w:hAnsiTheme="minorHAnsi" w:cs="Times New Roman"/>
                <w:i/>
                <w:color w:val="000000"/>
                <w:szCs w:val="22"/>
                <w:lang w:eastAsia="en-AU"/>
              </w:rPr>
              <w:t xml:space="preserve">Part 10 Enforcement </w:t>
            </w:r>
            <w:r w:rsidR="00A713D2">
              <w:rPr>
                <w:rFonts w:asciiTheme="minorHAnsi" w:eastAsia="Times New Roman" w:hAnsiTheme="minorHAnsi" w:cs="Times New Roman"/>
                <w:i/>
                <w:color w:val="000000"/>
                <w:szCs w:val="22"/>
                <w:lang w:eastAsia="en-AU"/>
              </w:rPr>
              <w:t>m</w:t>
            </w:r>
            <w:r w:rsidRPr="000F1DE6">
              <w:rPr>
                <w:rFonts w:asciiTheme="minorHAnsi" w:eastAsia="Times New Roman" w:hAnsiTheme="minorHAnsi" w:cs="Times New Roman"/>
                <w:i/>
                <w:color w:val="000000"/>
                <w:szCs w:val="22"/>
                <w:lang w:eastAsia="en-AU"/>
              </w:rPr>
              <w:t>easures</w:t>
            </w:r>
          </w:p>
        </w:tc>
        <w:tc>
          <w:tcPr>
            <w:tcW w:w="380" w:type="pct"/>
            <w:tcBorders>
              <w:top w:val="single" w:sz="4" w:space="0" w:color="auto"/>
              <w:left w:val="single" w:sz="4" w:space="0" w:color="auto"/>
              <w:bottom w:val="single" w:sz="4" w:space="0" w:color="auto"/>
              <w:right w:val="single" w:sz="4" w:space="0" w:color="auto"/>
            </w:tcBorders>
            <w:shd w:val="clear" w:color="auto" w:fill="8DD873"/>
            <w:noWrap/>
            <w:vAlign w:val="bottom"/>
          </w:tcPr>
          <w:p w14:paraId="0C10AD8D"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clear" w:color="auto" w:fill="8DD873"/>
            <w:noWrap/>
            <w:vAlign w:val="bottom"/>
          </w:tcPr>
          <w:p w14:paraId="76DEA3E1"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gridSpan w:val="2"/>
            <w:tcBorders>
              <w:top w:val="single" w:sz="4" w:space="0" w:color="auto"/>
              <w:left w:val="single" w:sz="4" w:space="0" w:color="auto"/>
              <w:bottom w:val="single" w:sz="4" w:space="0" w:color="auto"/>
              <w:right w:val="single" w:sz="4" w:space="0" w:color="auto"/>
            </w:tcBorders>
            <w:shd w:val="clear" w:color="auto" w:fill="8DD873"/>
            <w:noWrap/>
            <w:vAlign w:val="bottom"/>
          </w:tcPr>
          <w:p w14:paraId="5641EEA4"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clear" w:color="auto" w:fill="8DD873"/>
            <w:noWrap/>
            <w:vAlign w:val="bottom"/>
          </w:tcPr>
          <w:p w14:paraId="3A6CE5D1"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clear" w:color="auto" w:fill="8DD873"/>
            <w:noWrap/>
            <w:vAlign w:val="bottom"/>
          </w:tcPr>
          <w:p w14:paraId="7EB94D67"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gridSpan w:val="2"/>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25DB5764"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thinDiagCross" w:color="auto" w:fill="D9F2D0"/>
            <w:noWrap/>
            <w:vAlign w:val="bottom"/>
          </w:tcPr>
          <w:p w14:paraId="6AB44B40"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tcBorders>
            <w:shd w:val="thinDiagCross" w:color="auto" w:fill="D9F2D0"/>
            <w:noWrap/>
            <w:vAlign w:val="bottom"/>
          </w:tcPr>
          <w:p w14:paraId="21B7D1BC"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r>
      <w:tr w:rsidR="006B75AE" w:rsidRPr="000F1DE6" w14:paraId="5AA547E7" w14:textId="77777777" w:rsidTr="0016789A">
        <w:trPr>
          <w:trHeight w:val="537"/>
        </w:trPr>
        <w:tc>
          <w:tcPr>
            <w:tcW w:w="1963" w:type="pct"/>
            <w:tcBorders>
              <w:top w:val="single" w:sz="4" w:space="0" w:color="auto"/>
              <w:bottom w:val="single" w:sz="4" w:space="0" w:color="auto"/>
              <w:right w:val="single" w:sz="4" w:space="0" w:color="auto"/>
            </w:tcBorders>
            <w:noWrap/>
            <w:vAlign w:val="center"/>
            <w:hideMark/>
          </w:tcPr>
          <w:p w14:paraId="29B782D8" w14:textId="77777777" w:rsidR="006B75AE" w:rsidRPr="000F1DE6" w:rsidRDefault="006B75AE" w:rsidP="0016789A">
            <w:pPr>
              <w:spacing w:after="0" w:line="240" w:lineRule="auto"/>
              <w:rPr>
                <w:rFonts w:asciiTheme="minorHAnsi" w:eastAsia="Times New Roman" w:hAnsiTheme="minorHAnsi" w:cs="Times New Roman"/>
                <w:i/>
                <w:color w:val="000000"/>
                <w:szCs w:val="22"/>
                <w:lang w:eastAsia="en-AU"/>
              </w:rPr>
            </w:pPr>
            <w:r w:rsidRPr="000F1DE6">
              <w:rPr>
                <w:rFonts w:asciiTheme="minorHAnsi" w:eastAsia="Times New Roman" w:hAnsiTheme="minorHAnsi" w:cs="Times New Roman"/>
                <w:i/>
                <w:color w:val="000000"/>
                <w:szCs w:val="22"/>
                <w:lang w:eastAsia="en-AU"/>
              </w:rPr>
              <w:t>Part 11 Enforceable undertakings</w:t>
            </w:r>
          </w:p>
        </w:tc>
        <w:tc>
          <w:tcPr>
            <w:tcW w:w="380" w:type="pct"/>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00234F18"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659E0F27"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gridSpan w:val="2"/>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7BB8374A"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652DFE3A"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307EEA16"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gridSpan w:val="2"/>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0FE720DE"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thinDiagCross" w:color="auto" w:fill="D9F2D0"/>
            <w:noWrap/>
            <w:vAlign w:val="bottom"/>
          </w:tcPr>
          <w:p w14:paraId="30E49414"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tcBorders>
            <w:shd w:val="clear" w:color="auto" w:fill="8DD873"/>
            <w:noWrap/>
            <w:vAlign w:val="bottom"/>
          </w:tcPr>
          <w:p w14:paraId="4C119C48"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r>
      <w:tr w:rsidR="006B75AE" w:rsidRPr="000F1DE6" w14:paraId="34217AA3" w14:textId="77777777" w:rsidTr="0016789A">
        <w:trPr>
          <w:trHeight w:val="537"/>
        </w:trPr>
        <w:tc>
          <w:tcPr>
            <w:tcW w:w="1963" w:type="pct"/>
            <w:tcBorders>
              <w:top w:val="single" w:sz="4" w:space="0" w:color="auto"/>
              <w:bottom w:val="single" w:sz="4" w:space="0" w:color="auto"/>
              <w:right w:val="single" w:sz="4" w:space="0" w:color="auto"/>
            </w:tcBorders>
            <w:noWrap/>
            <w:vAlign w:val="center"/>
            <w:hideMark/>
          </w:tcPr>
          <w:p w14:paraId="11C44947" w14:textId="77777777" w:rsidR="006B75AE" w:rsidRPr="000F1DE6" w:rsidRDefault="006B75AE" w:rsidP="0016789A">
            <w:pPr>
              <w:spacing w:after="0" w:line="240" w:lineRule="auto"/>
              <w:rPr>
                <w:rFonts w:asciiTheme="minorHAnsi" w:eastAsia="Times New Roman" w:hAnsiTheme="minorHAnsi" w:cs="Times New Roman"/>
                <w:i/>
                <w:color w:val="000000"/>
                <w:szCs w:val="22"/>
                <w:lang w:eastAsia="en-AU"/>
              </w:rPr>
            </w:pPr>
            <w:r w:rsidRPr="000F1DE6">
              <w:rPr>
                <w:rFonts w:asciiTheme="minorHAnsi" w:eastAsia="Times New Roman" w:hAnsiTheme="minorHAnsi" w:cs="Times New Roman"/>
                <w:i/>
                <w:color w:val="000000"/>
                <w:szCs w:val="22"/>
                <w:lang w:eastAsia="en-AU"/>
              </w:rPr>
              <w:t>Part 12 Review of decisions</w:t>
            </w:r>
          </w:p>
        </w:tc>
        <w:tc>
          <w:tcPr>
            <w:tcW w:w="380" w:type="pct"/>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323BF2E6"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40E22DAF"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gridSpan w:val="2"/>
            <w:tcBorders>
              <w:top w:val="single" w:sz="4" w:space="0" w:color="auto"/>
              <w:left w:val="single" w:sz="4" w:space="0" w:color="auto"/>
              <w:bottom w:val="single" w:sz="4" w:space="0" w:color="auto"/>
              <w:right w:val="single" w:sz="4" w:space="0" w:color="auto"/>
            </w:tcBorders>
            <w:shd w:val="clear" w:color="auto" w:fill="8DD873"/>
            <w:noWrap/>
            <w:vAlign w:val="bottom"/>
          </w:tcPr>
          <w:p w14:paraId="3FFF5B08"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clear" w:color="auto" w:fill="8DD873"/>
            <w:noWrap/>
            <w:vAlign w:val="bottom"/>
          </w:tcPr>
          <w:p w14:paraId="42540E2F"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2DB0F778"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gridSpan w:val="2"/>
            <w:tcBorders>
              <w:top w:val="single" w:sz="4" w:space="0" w:color="auto"/>
              <w:left w:val="single" w:sz="4" w:space="0" w:color="auto"/>
              <w:bottom w:val="single" w:sz="4" w:space="0" w:color="auto"/>
              <w:right w:val="single" w:sz="4" w:space="0" w:color="auto"/>
            </w:tcBorders>
            <w:shd w:val="thinDiagCross" w:color="auto" w:fill="D9F2D0"/>
            <w:noWrap/>
            <w:vAlign w:val="bottom"/>
          </w:tcPr>
          <w:p w14:paraId="79127AA0"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clear" w:color="auto" w:fill="8DD873"/>
            <w:noWrap/>
            <w:vAlign w:val="bottom"/>
          </w:tcPr>
          <w:p w14:paraId="54F749A1"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tcBorders>
            <w:shd w:val="thinDiagCross" w:color="auto" w:fill="D9F2D0"/>
            <w:noWrap/>
            <w:vAlign w:val="bottom"/>
          </w:tcPr>
          <w:p w14:paraId="2DD088EB"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r>
      <w:tr w:rsidR="006B75AE" w:rsidRPr="000F1DE6" w14:paraId="05ECB679" w14:textId="77777777" w:rsidTr="0016789A">
        <w:trPr>
          <w:trHeight w:val="537"/>
        </w:trPr>
        <w:tc>
          <w:tcPr>
            <w:tcW w:w="1963" w:type="pct"/>
            <w:tcBorders>
              <w:top w:val="single" w:sz="4" w:space="0" w:color="auto"/>
              <w:bottom w:val="single" w:sz="4" w:space="0" w:color="auto"/>
              <w:right w:val="single" w:sz="4" w:space="0" w:color="auto"/>
            </w:tcBorders>
            <w:noWrap/>
            <w:vAlign w:val="center"/>
            <w:hideMark/>
          </w:tcPr>
          <w:p w14:paraId="036A7BD6" w14:textId="77777777" w:rsidR="006B75AE" w:rsidRPr="000F1DE6" w:rsidRDefault="006B75AE" w:rsidP="0016789A">
            <w:pPr>
              <w:spacing w:after="0" w:line="240" w:lineRule="auto"/>
              <w:rPr>
                <w:rFonts w:asciiTheme="minorHAnsi" w:eastAsia="Times New Roman" w:hAnsiTheme="minorHAnsi" w:cs="Times New Roman"/>
                <w:i/>
                <w:color w:val="000000"/>
                <w:szCs w:val="22"/>
                <w:lang w:eastAsia="en-AU"/>
              </w:rPr>
            </w:pPr>
            <w:r w:rsidRPr="000F1DE6">
              <w:rPr>
                <w:rFonts w:asciiTheme="minorHAnsi" w:eastAsia="Times New Roman" w:hAnsiTheme="minorHAnsi" w:cs="Times New Roman"/>
                <w:i/>
                <w:color w:val="000000"/>
                <w:szCs w:val="22"/>
                <w:lang w:eastAsia="en-AU"/>
              </w:rPr>
              <w:t>Part 13 Legal proceedings</w:t>
            </w:r>
          </w:p>
        </w:tc>
        <w:tc>
          <w:tcPr>
            <w:tcW w:w="380" w:type="pct"/>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271D7232"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clear" w:color="auto" w:fill="8DD873"/>
            <w:noWrap/>
            <w:vAlign w:val="bottom"/>
          </w:tcPr>
          <w:p w14:paraId="2FB2BD82"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gridSpan w:val="2"/>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771CF9CB"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2DA7CB38"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clear" w:color="auto" w:fill="8DD873"/>
            <w:noWrap/>
            <w:vAlign w:val="bottom"/>
          </w:tcPr>
          <w:p w14:paraId="192C0188"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gridSpan w:val="2"/>
            <w:tcBorders>
              <w:top w:val="single" w:sz="4" w:space="0" w:color="auto"/>
              <w:left w:val="single" w:sz="4" w:space="0" w:color="auto"/>
              <w:bottom w:val="single" w:sz="4" w:space="0" w:color="auto"/>
              <w:right w:val="single" w:sz="4" w:space="0" w:color="auto"/>
            </w:tcBorders>
            <w:shd w:val="clear" w:color="auto" w:fill="8DD873"/>
            <w:noWrap/>
            <w:vAlign w:val="bottom"/>
          </w:tcPr>
          <w:p w14:paraId="48437E3F"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thinDiagCross" w:color="auto" w:fill="D9F2D0"/>
            <w:noWrap/>
            <w:vAlign w:val="bottom"/>
          </w:tcPr>
          <w:p w14:paraId="604F076F"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tcBorders>
            <w:shd w:val="thinDiagCross" w:color="auto" w:fill="D9F2D0"/>
            <w:noWrap/>
            <w:vAlign w:val="bottom"/>
          </w:tcPr>
          <w:p w14:paraId="52DD1147"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r>
      <w:tr w:rsidR="006B75AE" w:rsidRPr="000F1DE6" w14:paraId="43E00C32" w14:textId="77777777" w:rsidTr="0016789A">
        <w:trPr>
          <w:trHeight w:val="537"/>
        </w:trPr>
        <w:tc>
          <w:tcPr>
            <w:tcW w:w="1963" w:type="pct"/>
            <w:tcBorders>
              <w:top w:val="single" w:sz="4" w:space="0" w:color="auto"/>
              <w:bottom w:val="single" w:sz="4" w:space="0" w:color="auto"/>
              <w:right w:val="single" w:sz="4" w:space="0" w:color="auto"/>
            </w:tcBorders>
            <w:noWrap/>
            <w:vAlign w:val="center"/>
            <w:hideMark/>
          </w:tcPr>
          <w:p w14:paraId="65210617" w14:textId="77777777" w:rsidR="006B75AE" w:rsidRPr="000F1DE6" w:rsidRDefault="006B75AE" w:rsidP="0016789A">
            <w:pPr>
              <w:spacing w:after="0" w:line="240" w:lineRule="auto"/>
              <w:rPr>
                <w:rFonts w:asciiTheme="minorHAnsi" w:eastAsia="Times New Roman" w:hAnsiTheme="minorHAnsi" w:cs="Times New Roman"/>
                <w:i/>
                <w:color w:val="000000"/>
                <w:szCs w:val="22"/>
                <w:lang w:eastAsia="en-AU"/>
              </w:rPr>
            </w:pPr>
            <w:r w:rsidRPr="000F1DE6">
              <w:rPr>
                <w:rFonts w:asciiTheme="minorHAnsi" w:eastAsia="Times New Roman" w:hAnsiTheme="minorHAnsi" w:cs="Times New Roman"/>
                <w:i/>
                <w:color w:val="000000"/>
                <w:szCs w:val="22"/>
                <w:lang w:eastAsia="en-AU"/>
              </w:rPr>
              <w:t>Part 14 General</w:t>
            </w:r>
          </w:p>
        </w:tc>
        <w:tc>
          <w:tcPr>
            <w:tcW w:w="380" w:type="pct"/>
            <w:tcBorders>
              <w:top w:val="single" w:sz="4" w:space="0" w:color="auto"/>
              <w:left w:val="single" w:sz="4" w:space="0" w:color="auto"/>
              <w:bottom w:val="single" w:sz="4" w:space="0" w:color="auto"/>
              <w:right w:val="single" w:sz="4" w:space="0" w:color="auto"/>
            </w:tcBorders>
            <w:shd w:val="thinDiagStripe" w:color="auto" w:fill="4EA72E"/>
            <w:noWrap/>
            <w:vAlign w:val="bottom"/>
          </w:tcPr>
          <w:p w14:paraId="3EF37ACB"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thinDiagCross" w:color="auto" w:fill="D9F2D0"/>
            <w:noWrap/>
            <w:vAlign w:val="bottom"/>
          </w:tcPr>
          <w:p w14:paraId="1DBAA0CE"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gridSpan w:val="2"/>
            <w:tcBorders>
              <w:top w:val="single" w:sz="4" w:space="0" w:color="auto"/>
              <w:left w:val="single" w:sz="4" w:space="0" w:color="auto"/>
              <w:bottom w:val="single" w:sz="4" w:space="0" w:color="auto"/>
              <w:right w:val="single" w:sz="4" w:space="0" w:color="auto"/>
            </w:tcBorders>
            <w:shd w:val="clear" w:color="auto" w:fill="8DD873"/>
            <w:noWrap/>
            <w:vAlign w:val="bottom"/>
          </w:tcPr>
          <w:p w14:paraId="1BB7B742"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thinDiagCross" w:color="auto" w:fill="D9F2D0"/>
            <w:noWrap/>
            <w:vAlign w:val="bottom"/>
          </w:tcPr>
          <w:p w14:paraId="71FE3032"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thinDiagCross" w:color="auto" w:fill="D9F2D0"/>
            <w:noWrap/>
            <w:vAlign w:val="bottom"/>
          </w:tcPr>
          <w:p w14:paraId="3F8BEA78"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gridSpan w:val="2"/>
            <w:tcBorders>
              <w:top w:val="single" w:sz="4" w:space="0" w:color="auto"/>
              <w:left w:val="single" w:sz="4" w:space="0" w:color="auto"/>
              <w:bottom w:val="single" w:sz="4" w:space="0" w:color="auto"/>
              <w:right w:val="single" w:sz="4" w:space="0" w:color="auto"/>
            </w:tcBorders>
            <w:shd w:val="thinDiagCross" w:color="auto" w:fill="D9F2D0"/>
            <w:noWrap/>
            <w:vAlign w:val="bottom"/>
          </w:tcPr>
          <w:p w14:paraId="75AEE49E"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right w:val="single" w:sz="4" w:space="0" w:color="auto"/>
            </w:tcBorders>
            <w:shd w:val="thinDiagCross" w:color="auto" w:fill="D9F2D0"/>
            <w:noWrap/>
            <w:vAlign w:val="bottom"/>
          </w:tcPr>
          <w:p w14:paraId="5185783C"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bottom w:val="single" w:sz="4" w:space="0" w:color="auto"/>
            </w:tcBorders>
            <w:shd w:val="thinDiagCross" w:color="auto" w:fill="D9F2D0"/>
            <w:noWrap/>
            <w:vAlign w:val="bottom"/>
          </w:tcPr>
          <w:p w14:paraId="086272F0"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r>
      <w:tr w:rsidR="006B75AE" w:rsidRPr="000F1DE6" w14:paraId="6474989C" w14:textId="77777777" w:rsidTr="0016789A">
        <w:trPr>
          <w:trHeight w:val="537"/>
        </w:trPr>
        <w:tc>
          <w:tcPr>
            <w:tcW w:w="1963" w:type="pct"/>
            <w:tcBorders>
              <w:top w:val="single" w:sz="4" w:space="0" w:color="auto"/>
              <w:right w:val="single" w:sz="4" w:space="0" w:color="auto"/>
            </w:tcBorders>
            <w:noWrap/>
            <w:vAlign w:val="center"/>
            <w:hideMark/>
          </w:tcPr>
          <w:p w14:paraId="0540BE0C" w14:textId="77777777" w:rsidR="006B75AE" w:rsidRPr="000F1DE6" w:rsidRDefault="006B75AE" w:rsidP="0016789A">
            <w:pPr>
              <w:spacing w:after="0" w:line="240" w:lineRule="auto"/>
              <w:rPr>
                <w:rFonts w:asciiTheme="minorHAnsi" w:eastAsia="Times New Roman" w:hAnsiTheme="minorHAnsi" w:cs="Times New Roman"/>
                <w:i/>
                <w:color w:val="000000"/>
                <w:szCs w:val="22"/>
                <w:lang w:eastAsia="en-AU"/>
              </w:rPr>
            </w:pPr>
            <w:r w:rsidRPr="000F1DE6">
              <w:rPr>
                <w:rFonts w:asciiTheme="minorHAnsi" w:eastAsia="Times New Roman" w:hAnsiTheme="minorHAnsi" w:cs="Times New Roman"/>
                <w:i/>
                <w:color w:val="000000"/>
                <w:szCs w:val="22"/>
                <w:lang w:eastAsia="en-AU"/>
              </w:rPr>
              <w:t>Schedules</w:t>
            </w:r>
          </w:p>
        </w:tc>
        <w:tc>
          <w:tcPr>
            <w:tcW w:w="380" w:type="pct"/>
            <w:tcBorders>
              <w:top w:val="single" w:sz="4" w:space="0" w:color="auto"/>
              <w:left w:val="single" w:sz="4" w:space="0" w:color="auto"/>
              <w:right w:val="single" w:sz="4" w:space="0" w:color="auto"/>
            </w:tcBorders>
            <w:shd w:val="thinDiagCross" w:color="auto" w:fill="D9F2D0"/>
            <w:noWrap/>
            <w:vAlign w:val="bottom"/>
          </w:tcPr>
          <w:p w14:paraId="1FC78AB5"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right w:val="single" w:sz="4" w:space="0" w:color="auto"/>
            </w:tcBorders>
            <w:shd w:val="clear" w:color="auto" w:fill="8DD873"/>
            <w:noWrap/>
            <w:vAlign w:val="bottom"/>
          </w:tcPr>
          <w:p w14:paraId="45210C02"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gridSpan w:val="2"/>
            <w:tcBorders>
              <w:top w:val="single" w:sz="4" w:space="0" w:color="auto"/>
              <w:left w:val="single" w:sz="4" w:space="0" w:color="auto"/>
              <w:right w:val="single" w:sz="4" w:space="0" w:color="auto"/>
            </w:tcBorders>
            <w:shd w:val="clear" w:color="auto" w:fill="8DD873"/>
            <w:noWrap/>
            <w:vAlign w:val="bottom"/>
          </w:tcPr>
          <w:p w14:paraId="1FD682CB"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right w:val="single" w:sz="4" w:space="0" w:color="auto"/>
            </w:tcBorders>
            <w:shd w:val="clear" w:color="auto" w:fill="8DD873"/>
            <w:noWrap/>
            <w:vAlign w:val="bottom"/>
          </w:tcPr>
          <w:p w14:paraId="036465F7"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right w:val="single" w:sz="4" w:space="0" w:color="auto"/>
            </w:tcBorders>
            <w:shd w:val="clear" w:color="auto" w:fill="8DD873"/>
            <w:noWrap/>
            <w:vAlign w:val="bottom"/>
          </w:tcPr>
          <w:p w14:paraId="3DA85B65"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gridSpan w:val="2"/>
            <w:tcBorders>
              <w:top w:val="single" w:sz="4" w:space="0" w:color="auto"/>
              <w:left w:val="single" w:sz="4" w:space="0" w:color="auto"/>
              <w:right w:val="single" w:sz="4" w:space="0" w:color="auto"/>
            </w:tcBorders>
            <w:shd w:val="clear" w:color="auto" w:fill="8DD873"/>
            <w:noWrap/>
            <w:vAlign w:val="bottom"/>
          </w:tcPr>
          <w:p w14:paraId="7EC70109"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right w:val="single" w:sz="4" w:space="0" w:color="auto"/>
            </w:tcBorders>
            <w:shd w:val="clear" w:color="auto" w:fill="8DD873"/>
            <w:noWrap/>
            <w:vAlign w:val="bottom"/>
          </w:tcPr>
          <w:p w14:paraId="337FC42F"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c>
          <w:tcPr>
            <w:tcW w:w="380" w:type="pct"/>
            <w:tcBorders>
              <w:top w:val="single" w:sz="4" w:space="0" w:color="auto"/>
              <w:left w:val="single" w:sz="4" w:space="0" w:color="auto"/>
            </w:tcBorders>
            <w:shd w:val="clear" w:color="auto" w:fill="8DD873"/>
            <w:noWrap/>
            <w:vAlign w:val="bottom"/>
          </w:tcPr>
          <w:p w14:paraId="47961A1D" w14:textId="77777777" w:rsidR="006B75AE" w:rsidRPr="000F1DE6" w:rsidRDefault="006B75AE">
            <w:pPr>
              <w:spacing w:after="0" w:line="240" w:lineRule="auto"/>
              <w:jc w:val="right"/>
              <w:rPr>
                <w:rFonts w:asciiTheme="minorHAnsi" w:eastAsia="Times New Roman" w:hAnsiTheme="minorHAnsi" w:cs="Times New Roman"/>
                <w:color w:val="000000"/>
                <w:szCs w:val="22"/>
                <w:lang w:eastAsia="en-AU"/>
              </w:rPr>
            </w:pPr>
          </w:p>
        </w:tc>
      </w:tr>
    </w:tbl>
    <w:p w14:paraId="7A471C4D" w14:textId="77777777" w:rsidR="00F21CE3" w:rsidRDefault="00DA7D6B" w:rsidP="00DA7D6B">
      <w:pPr>
        <w:pStyle w:val="Paragraph"/>
        <w:rPr>
          <w:rFonts w:eastAsia="Aptos"/>
        </w:rPr>
      </w:pPr>
      <w:r w:rsidRPr="000F1DE6">
        <w:rPr>
          <w:rFonts w:eastAsia="Aptos"/>
          <w:b/>
        </w:rPr>
        <w:t>Data table 2</w:t>
      </w:r>
      <w:r w:rsidRPr="000F1DE6">
        <w:rPr>
          <w:rFonts w:eastAsia="Aptos"/>
        </w:rPr>
        <w:t xml:space="preserve"> compares harmonisation across both the parts of the model WHS Act and each jurisdiction.</w:t>
      </w:r>
      <w:r w:rsidRPr="000F1DE6">
        <w:rPr>
          <w:rFonts w:ascii="Arial" w:eastAsia="Aptos" w:hAnsi="Arial" w:cs="Arial"/>
        </w:rPr>
        <w:t> </w:t>
      </w:r>
    </w:p>
    <w:p w14:paraId="79E71187" w14:textId="77777777" w:rsidR="00F21CE3" w:rsidRDefault="00DA7D6B" w:rsidP="00DA7D6B">
      <w:pPr>
        <w:pStyle w:val="Paragraph"/>
        <w:rPr>
          <w:rFonts w:eastAsia="Aptos"/>
        </w:rPr>
      </w:pPr>
      <w:r w:rsidRPr="000F1DE6">
        <w:rPr>
          <w:rFonts w:eastAsia="Aptos"/>
        </w:rPr>
        <w:t>The</w:t>
      </w:r>
      <w:r w:rsidRPr="000F1DE6">
        <w:rPr>
          <w:rFonts w:ascii="Arial" w:eastAsia="Aptos" w:hAnsi="Arial" w:cs="Arial"/>
        </w:rPr>
        <w:t> </w:t>
      </w:r>
      <w:r w:rsidRPr="000F1DE6">
        <w:rPr>
          <w:rFonts w:eastAsia="Aptos"/>
        </w:rPr>
        <w:t>jurisdiction</w:t>
      </w:r>
      <w:r w:rsidRPr="000F1DE6">
        <w:rPr>
          <w:rFonts w:ascii="Arial" w:eastAsia="Aptos" w:hAnsi="Arial" w:cs="Arial"/>
        </w:rPr>
        <w:t> </w:t>
      </w:r>
      <w:r w:rsidRPr="000F1DE6">
        <w:rPr>
          <w:rFonts w:eastAsia="Aptos"/>
        </w:rPr>
        <w:t>with the highest overall level of harmonisation across all parts of the legislation is the Commonwealth, followed by NSW, Tasmania, NT and SA.</w:t>
      </w:r>
      <w:r w:rsidRPr="000F1DE6">
        <w:rPr>
          <w:rFonts w:ascii="Arial" w:eastAsia="Aptos" w:hAnsi="Arial" w:cs="Arial"/>
        </w:rPr>
        <w:t> </w:t>
      </w:r>
    </w:p>
    <w:p w14:paraId="157A8041" w14:textId="1515A1A6" w:rsidR="000D26F7" w:rsidRDefault="00DA7D6B" w:rsidP="00DA7D6B">
      <w:pPr>
        <w:pStyle w:val="Paragraph"/>
        <w:rPr>
          <w:rFonts w:eastAsia="Aptos"/>
        </w:rPr>
      </w:pPr>
      <w:r w:rsidRPr="000F1DE6">
        <w:rPr>
          <w:rFonts w:eastAsia="Aptos"/>
        </w:rPr>
        <w:t>The number of provisions that deviate from the model WHS laws across jurisdictions varies, with Queensland and WA having a larger number than other jurisdictions.</w:t>
      </w:r>
    </w:p>
    <w:p w14:paraId="08B1E670" w14:textId="77777777" w:rsidR="000D26F7" w:rsidRDefault="000D26F7">
      <w:pPr>
        <w:spacing w:after="200" w:line="276" w:lineRule="auto"/>
        <w:contextualSpacing w:val="0"/>
        <w:rPr>
          <w:rFonts w:asciiTheme="minorHAnsi" w:eastAsia="Aptos" w:hAnsiTheme="minorHAnsi"/>
          <w:lang w:eastAsia="en-AU"/>
        </w:rPr>
      </w:pPr>
      <w:r>
        <w:rPr>
          <w:rFonts w:eastAsia="Aptos"/>
        </w:rPr>
        <w:br w:type="page"/>
      </w:r>
    </w:p>
    <w:p w14:paraId="5F9C84CF" w14:textId="77777777" w:rsidR="00F21CE3" w:rsidRDefault="00DA7D6B" w:rsidP="005A5D3A">
      <w:pPr>
        <w:pStyle w:val="SWAHeading3"/>
        <w:rPr>
          <w:rFonts w:cs="Aptos"/>
          <w:b/>
          <w:bCs/>
        </w:rPr>
      </w:pPr>
      <w:bookmarkStart w:id="152" w:name="_Toc228256142"/>
      <w:r w:rsidRPr="005A5D3A">
        <w:rPr>
          <w:b/>
          <w:bCs/>
        </w:rPr>
        <w:lastRenderedPageBreak/>
        <w:t>Traumatic injury fatalities</w:t>
      </w:r>
      <w:r w:rsidRPr="005A5D3A">
        <w:rPr>
          <w:rFonts w:ascii="Arial" w:hAnsi="Arial"/>
          <w:b/>
          <w:bCs/>
        </w:rPr>
        <w:t> </w:t>
      </w:r>
      <w:bookmarkEnd w:id="152"/>
    </w:p>
    <w:p w14:paraId="1D01E3AC" w14:textId="77777777" w:rsidR="00F21CE3" w:rsidRDefault="00DA7D6B" w:rsidP="00DA7D6B">
      <w:pPr>
        <w:pStyle w:val="Paragraph"/>
      </w:pPr>
      <w:r w:rsidRPr="000F1DE6">
        <w:t>The analysis in this section compares traumatic injury fatalities across jurisdictions.</w:t>
      </w:r>
    </w:p>
    <w:p w14:paraId="153A6535" w14:textId="77777777" w:rsidR="00F21CE3" w:rsidRDefault="00DA7D6B" w:rsidP="00DA7D6B">
      <w:pPr>
        <w:pStyle w:val="Paragraph"/>
      </w:pPr>
      <w:r w:rsidRPr="000F1DE6">
        <w:t>Safe Work Australia compiles the Work-related Traumatic Injury Fatalities dataset,</w:t>
      </w:r>
      <w:r w:rsidRPr="000F1DE6">
        <w:rPr>
          <w:rStyle w:val="FootnoteReference"/>
        </w:rPr>
        <w:footnoteReference w:id="768"/>
      </w:r>
      <w:r w:rsidRPr="000F1DE6">
        <w:t xml:space="preserve"> which provides national statistics on all workers and bystanders fatally injured at work.</w:t>
      </w:r>
    </w:p>
    <w:p w14:paraId="6A0A9F69" w14:textId="7D071EED" w:rsidR="00F21CE3" w:rsidRDefault="00DA7D6B" w:rsidP="00DA7D6B">
      <w:pPr>
        <w:pStyle w:val="Paragraph"/>
      </w:pPr>
      <w:r w:rsidRPr="000F1DE6">
        <w:t>This dataset draws on a range of information sources, including:</w:t>
      </w:r>
    </w:p>
    <w:p w14:paraId="1117855D" w14:textId="3F278448" w:rsidR="00DA7D6B" w:rsidRPr="000F1DE6" w:rsidRDefault="00DA7D6B" w:rsidP="00447786">
      <w:pPr>
        <w:pStyle w:val="Paragraph"/>
        <w:widowControl/>
        <w:numPr>
          <w:ilvl w:val="0"/>
          <w:numId w:val="26"/>
        </w:numPr>
        <w:spacing w:before="0"/>
      </w:pPr>
      <w:r w:rsidRPr="000F1DE6">
        <w:t>reporting of fatalities in the media or on relevant authority websites such as police, road authorities and the Australian Transport Safety Bureau</w:t>
      </w:r>
    </w:p>
    <w:p w14:paraId="4E640A5D" w14:textId="77777777" w:rsidR="00DA7D6B" w:rsidRPr="000F1DE6" w:rsidRDefault="00DA7D6B" w:rsidP="00447786">
      <w:pPr>
        <w:pStyle w:val="Paragraph"/>
        <w:widowControl/>
        <w:numPr>
          <w:ilvl w:val="0"/>
          <w:numId w:val="26"/>
        </w:numPr>
        <w:spacing w:before="0"/>
      </w:pPr>
      <w:r w:rsidRPr="000F1DE6">
        <w:t>notifications to Safe Work Australia from jurisdictional authorities</w:t>
      </w:r>
    </w:p>
    <w:p w14:paraId="71D91A43" w14:textId="77777777" w:rsidR="00F21CE3" w:rsidRDefault="00DA7D6B" w:rsidP="00447786">
      <w:pPr>
        <w:pStyle w:val="Paragraph"/>
        <w:widowControl/>
        <w:numPr>
          <w:ilvl w:val="0"/>
          <w:numId w:val="26"/>
        </w:numPr>
        <w:spacing w:before="0"/>
      </w:pPr>
      <w:r w:rsidRPr="000F1DE6">
        <w:t>the National Coronial Information System, which contains coroners’, police and other investigative reports.</w:t>
      </w:r>
    </w:p>
    <w:p w14:paraId="47ADA564" w14:textId="34927682" w:rsidR="00F21CE3" w:rsidRDefault="00DA7D6B" w:rsidP="00DA7D6B">
      <w:pPr>
        <w:pStyle w:val="Paragraph"/>
      </w:pPr>
      <w:r w:rsidRPr="000F1DE6">
        <w:t>Work-related fatalities resulting from diseases, natural causes and suicides are excluded.</w:t>
      </w:r>
    </w:p>
    <w:p w14:paraId="6DB5487C" w14:textId="77777777" w:rsidR="00F21CE3" w:rsidRDefault="00DA7D6B" w:rsidP="00DA7D6B">
      <w:pPr>
        <w:pStyle w:val="Paragraph"/>
      </w:pPr>
      <w:r w:rsidRPr="000F1DE6">
        <w:t>Tragically, 188 workers lost their lives due to traumatic injuries in 2024 (the most recent year for which data is available). The national frequency rate of worker fatalities was 1.3 deaths per 100,000 workers.</w:t>
      </w:r>
    </w:p>
    <w:p w14:paraId="46536923" w14:textId="418C86A8" w:rsidR="00F21CE3" w:rsidRDefault="00DA7D6B" w:rsidP="00DA7D6B">
      <w:pPr>
        <w:pStyle w:val="Paragraph"/>
      </w:pPr>
      <w:r w:rsidRPr="000F1DE6">
        <w:t>Both figures were slightly lower than the 5-year average of 191 deaths per year, and 1.4 deaths per 100,000 workers, from 2020 to 2024. Since 2014, the fatality rate has decreased 24% (from 1.7</w:t>
      </w:r>
      <w:r w:rsidR="00A713D2">
        <w:t> </w:t>
      </w:r>
      <w:r w:rsidRPr="000F1DE6">
        <w:t>fatalities per 100,000 workers)</w:t>
      </w:r>
      <w:r>
        <w:t>;</w:t>
      </w:r>
      <w:r w:rsidRPr="000F1DE6">
        <w:t xml:space="preserve"> however</w:t>
      </w:r>
      <w:r>
        <w:t>,</w:t>
      </w:r>
      <w:r w:rsidRPr="000F1DE6">
        <w:t xml:space="preserve"> this has remained relatively steady in recent years.</w:t>
      </w:r>
    </w:p>
    <w:p w14:paraId="26EE9BA3" w14:textId="77777777" w:rsidR="00F21CE3" w:rsidRDefault="00DA7D6B" w:rsidP="000D26F7">
      <w:pPr>
        <w:pStyle w:val="Paragraph"/>
      </w:pPr>
      <w:r w:rsidRPr="000F1DE6">
        <w:t>The frequency rate of injury fatalities varies significantly by jurisdiction.</w:t>
      </w:r>
    </w:p>
    <w:p w14:paraId="7C170816" w14:textId="7C496683" w:rsidR="00DA7D6B" w:rsidRPr="000F1DE6" w:rsidRDefault="00DA7D6B" w:rsidP="000D26F7">
      <w:pPr>
        <w:pStyle w:val="Caption"/>
      </w:pPr>
      <w:r w:rsidRPr="000F1DE6">
        <w:t>Figure 1 Worker fatalities by jurisdiction 2024</w:t>
      </w:r>
    </w:p>
    <w:p w14:paraId="1A9E22D0" w14:textId="77777777" w:rsidR="00DA7D6B" w:rsidRPr="000F1DE6" w:rsidRDefault="00DA7D6B" w:rsidP="00DA7D6B">
      <w:pPr>
        <w:spacing w:after="0" w:line="240" w:lineRule="auto"/>
        <w:jc w:val="center"/>
        <w:rPr>
          <w:rFonts w:asciiTheme="minorHAnsi" w:hAnsiTheme="minorHAnsi"/>
        </w:rPr>
      </w:pPr>
      <w:r w:rsidRPr="000F1DE6">
        <w:rPr>
          <w:rFonts w:asciiTheme="minorHAnsi" w:hAnsiTheme="minorHAnsi"/>
          <w:noProof/>
        </w:rPr>
        <w:drawing>
          <wp:inline distT="0" distB="0" distL="0" distR="0" wp14:anchorId="1981F1A7" wp14:editId="34774D59">
            <wp:extent cx="4324779" cy="3781425"/>
            <wp:effectExtent l="0" t="0" r="0" b="0"/>
            <wp:docPr id="153982968" name="Picture 2" descr="Map of Australia showing that in 2024 most fatalities occurred in Queensland, with 53 fatalities, and New South Wales, with 48 fatalities. The highest rate of fatalities occurred in Northern Territory, with 2.8 fatalities per 100,000 work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82968" name="Picture 2" descr="Map of Australia showing that in 2024 most fatalities occurred in Queensland, with 53 fatalities, and New South Wales, with 48 fatalities. The highest rate of fatalities occurred in Northern Territory, with 2.8 fatalities per 100,000 workers."/>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4372493" cy="3823144"/>
                    </a:xfrm>
                    <a:prstGeom prst="rect">
                      <a:avLst/>
                    </a:prstGeom>
                    <a:noFill/>
                    <a:ln>
                      <a:noFill/>
                    </a:ln>
                  </pic:spPr>
                </pic:pic>
              </a:graphicData>
            </a:graphic>
          </wp:inline>
        </w:drawing>
      </w:r>
    </w:p>
    <w:p w14:paraId="03302027" w14:textId="77777777" w:rsidR="00F21CE3" w:rsidRDefault="00DA7D6B" w:rsidP="00DA7D6B">
      <w:pPr>
        <w:pStyle w:val="Paragraph"/>
      </w:pPr>
      <w:r w:rsidRPr="000F1DE6">
        <w:rPr>
          <w:b/>
        </w:rPr>
        <w:t xml:space="preserve">Figure 1 </w:t>
      </w:r>
      <w:r w:rsidRPr="000F1DE6">
        <w:t>shows worker fatalities by state or territory</w:t>
      </w:r>
      <w:r w:rsidRPr="000F1DE6">
        <w:rPr>
          <w:b/>
        </w:rPr>
        <w:t xml:space="preserve"> </w:t>
      </w:r>
      <w:r w:rsidRPr="000F1DE6">
        <w:t>for 2024.</w:t>
      </w:r>
      <w:r w:rsidRPr="000F1DE6">
        <w:rPr>
          <w:b/>
        </w:rPr>
        <w:t> </w:t>
      </w:r>
      <w:r w:rsidRPr="000F1DE6">
        <w:t>Queensland recorded the highest number of fatalities (53 workers) followed by NSW (48 workers).</w:t>
      </w:r>
    </w:p>
    <w:p w14:paraId="1899F9E1" w14:textId="77777777" w:rsidR="00F21CE3" w:rsidRDefault="00DA7D6B" w:rsidP="00DA7D6B">
      <w:pPr>
        <w:pStyle w:val="Paragraph"/>
      </w:pPr>
      <w:r w:rsidRPr="000F1DE6">
        <w:lastRenderedPageBreak/>
        <w:t xml:space="preserve">NT recorded the highest fatality rate (2.8 fatalities per 100,000 workers), followed by WA (1.9 fatalities per 100,000 workers). Note </w:t>
      </w:r>
      <w:r>
        <w:t xml:space="preserve">that </w:t>
      </w:r>
      <w:r w:rsidRPr="000F1DE6">
        <w:t>fatalities are presented according to the geographical place where the fatality occurred, not the jurisdiction under which the fatality fell.</w:t>
      </w:r>
    </w:p>
    <w:p w14:paraId="25117E32" w14:textId="77777777" w:rsidR="00F21CE3" w:rsidRDefault="00DA7D6B" w:rsidP="00DA7D6B">
      <w:pPr>
        <w:pStyle w:val="Paragraph"/>
      </w:pPr>
      <w:r w:rsidRPr="000F1DE6">
        <w:t xml:space="preserve">Note </w:t>
      </w:r>
      <w:r>
        <w:t xml:space="preserve">that </w:t>
      </w:r>
      <w:r w:rsidRPr="000F1DE6">
        <w:t>this data should be interpreted with caution due to differences in industry mixes, and other factors, across jurisdictions. Injury fatalities have a stronger association with mechanism of incident and industry of employer than the state or territory in which they occur.</w:t>
      </w:r>
    </w:p>
    <w:p w14:paraId="7A4EE00B" w14:textId="77777777" w:rsidR="00F21CE3" w:rsidRDefault="00DA7D6B" w:rsidP="00DA7D6B">
      <w:pPr>
        <w:pStyle w:val="Paragraph"/>
      </w:pPr>
      <w:r w:rsidRPr="000F1DE6">
        <w:t>In 2024, the industries with the highest number of fatalities were Transport, postal and warehousing (54 fatalities or 29%), Agriculture, forestry and fishing (44 fatalities or 23%) and Construction (37 fatalities or 20%).</w:t>
      </w:r>
    </w:p>
    <w:p w14:paraId="16B50CEF" w14:textId="77777777" w:rsidR="00F21CE3" w:rsidRDefault="00DA7D6B" w:rsidP="00DA7D6B">
      <w:pPr>
        <w:pStyle w:val="Paragraph"/>
      </w:pPr>
      <w:r w:rsidRPr="000F1DE6">
        <w:t>The industries with the highest fatality rates were Agriculture, forestry and fishing (13.7 fatalities per 100,000 workers), Transport, postal and warehousing (7.4) and Mining (3.4). The industry composition of labour markets needs to be considered when interpreting injury fatalities data at a jurisdictional level.</w:t>
      </w:r>
    </w:p>
    <w:p w14:paraId="30D10D6A" w14:textId="329845A8" w:rsidR="00F21CE3" w:rsidRDefault="00DA7D6B" w:rsidP="005A5D3A">
      <w:pPr>
        <w:pStyle w:val="SWAHeading3"/>
        <w:rPr>
          <w:b/>
          <w:bCs/>
        </w:rPr>
      </w:pPr>
      <w:bookmarkStart w:id="153" w:name="_Toc228256143"/>
      <w:r w:rsidRPr="005A5D3A">
        <w:rPr>
          <w:b/>
          <w:bCs/>
        </w:rPr>
        <w:t>The economic benefits of improved WHS arrangements</w:t>
      </w:r>
      <w:bookmarkEnd w:id="153"/>
    </w:p>
    <w:p w14:paraId="5E82ED69" w14:textId="77777777" w:rsidR="00F21CE3" w:rsidRDefault="00DA7D6B" w:rsidP="00DA7D6B">
      <w:pPr>
        <w:pStyle w:val="Paragraph"/>
      </w:pPr>
      <w:r w:rsidRPr="000F1DE6">
        <w:t xml:space="preserve">This section provides a summary of key estimates of the costs associated with work-related fatalities, injuries and disease, drawing on (and comparing) </w:t>
      </w:r>
      <w:r>
        <w:t xml:space="preserve">2 </w:t>
      </w:r>
      <w:r w:rsidRPr="000F1DE6">
        <w:t>different analyses by Safe Work Australia.</w:t>
      </w:r>
    </w:p>
    <w:p w14:paraId="11D533B4" w14:textId="2AD5935C" w:rsidR="00DA7D6B" w:rsidRPr="00AC1858" w:rsidRDefault="00DA7D6B" w:rsidP="001F0884">
      <w:pPr>
        <w:pStyle w:val="SWAHeading3"/>
        <w:rPr>
          <w:i/>
          <w:iCs/>
        </w:rPr>
      </w:pPr>
      <w:r w:rsidRPr="00AC1858">
        <w:rPr>
          <w:i/>
          <w:iCs/>
        </w:rPr>
        <w:t>Safer, healthier, wealthier</w:t>
      </w:r>
    </w:p>
    <w:p w14:paraId="795808AD" w14:textId="77777777" w:rsidR="00F21CE3" w:rsidRDefault="00DA7D6B" w:rsidP="00DA7D6B">
      <w:pPr>
        <w:pStyle w:val="Paragraph"/>
      </w:pPr>
      <w:r w:rsidRPr="000F1DE6">
        <w:t>In 2022, Safe Work Australia published research exploring the economic value of reducing work</w:t>
      </w:r>
      <w:r w:rsidRPr="000F1DE6">
        <w:noBreakHyphen/>
        <w:t>related injuries and illnesses.</w:t>
      </w:r>
      <w:r w:rsidRPr="000F1DE6">
        <w:rPr>
          <w:rStyle w:val="FootnoteReference"/>
        </w:rPr>
        <w:footnoteReference w:id="769"/>
      </w:r>
    </w:p>
    <w:p w14:paraId="7B1F48C6" w14:textId="77777777" w:rsidR="00F21CE3" w:rsidRDefault="00DA7D6B" w:rsidP="00DA7D6B">
      <w:pPr>
        <w:pStyle w:val="Paragraph"/>
      </w:pPr>
      <w:r w:rsidRPr="000F1DE6">
        <w:rPr>
          <w:i/>
        </w:rPr>
        <w:t>Safer, healthier, wealthier</w:t>
      </w:r>
      <w:r w:rsidRPr="000F1DE6">
        <w:t> found that</w:t>
      </w:r>
      <w:r>
        <w:t>,</w:t>
      </w:r>
      <w:r w:rsidRPr="000F1DE6">
        <w:t xml:space="preserve"> when a worker experiences a work-related injury or illness, it is not only those directly affected that suffer – including the individual, their families and community – it is also the wider Australian workforce that loses the opportunity to access more, and better, jobs with higher wages.</w:t>
      </w:r>
      <w:r w:rsidRPr="000F1DE6">
        <w:rPr>
          <w:rFonts w:ascii="Arial" w:hAnsi="Arial" w:cs="Arial"/>
        </w:rPr>
        <w:t> </w:t>
      </w:r>
    </w:p>
    <w:p w14:paraId="4B088BB7" w14:textId="79DAE672" w:rsidR="00F21CE3" w:rsidRDefault="00DA7D6B" w:rsidP="00DA7D6B">
      <w:pPr>
        <w:pStyle w:val="Paragraph"/>
      </w:pPr>
      <w:r w:rsidRPr="000F1DE6">
        <w:t>The report found that without work-related injuries and illnesses Australia’s economy would have been $28.6 billion larger each year from 2008</w:t>
      </w:r>
      <w:r>
        <w:t xml:space="preserve"> to 20</w:t>
      </w:r>
      <w:r w:rsidRPr="000F1DE6">
        <w:t>18, and there would have been an</w:t>
      </w:r>
      <w:r w:rsidRPr="000F1DE6">
        <w:rPr>
          <w:rFonts w:cs="Arial"/>
        </w:rPr>
        <w:t xml:space="preserve"> </w:t>
      </w:r>
      <w:r w:rsidRPr="000F1DE6">
        <w:t>additional</w:t>
      </w:r>
      <w:r w:rsidRPr="000F1DE6">
        <w:rPr>
          <w:rFonts w:ascii="Arial" w:hAnsi="Arial" w:cs="Arial"/>
        </w:rPr>
        <w:t> </w:t>
      </w:r>
      <w:r w:rsidRPr="000F1DE6">
        <w:t>185,500 Full</w:t>
      </w:r>
      <w:r w:rsidR="00A713D2">
        <w:t> </w:t>
      </w:r>
      <w:r w:rsidRPr="000F1DE6">
        <w:t>Time</w:t>
      </w:r>
      <w:r w:rsidRPr="000F1DE6">
        <w:rPr>
          <w:rFonts w:ascii="Arial" w:hAnsi="Arial" w:cs="Arial"/>
        </w:rPr>
        <w:t> </w:t>
      </w:r>
      <w:r w:rsidRPr="000F1DE6">
        <w:t>Equivalent (FTE)</w:t>
      </w:r>
      <w:r w:rsidRPr="000F1DE6">
        <w:rPr>
          <w:rFonts w:ascii="Arial" w:hAnsi="Arial" w:cs="Arial"/>
        </w:rPr>
        <w:t> </w:t>
      </w:r>
      <w:r w:rsidRPr="000F1DE6">
        <w:t>jobs every year. This impact would have translated to a 1.6</w:t>
      </w:r>
      <w:r>
        <w:t>%</w:t>
      </w:r>
      <w:r w:rsidRPr="000F1DE6">
        <w:t xml:space="preserve"> increase in GDP</w:t>
      </w:r>
      <w:r w:rsidRPr="000F1DE6">
        <w:rPr>
          <w:rFonts w:cs="Aptos"/>
        </w:rPr>
        <w:t> </w:t>
      </w:r>
      <w:r w:rsidRPr="000F1DE6">
        <w:t>every year, which</w:t>
      </w:r>
      <w:r w:rsidRPr="000F1DE6">
        <w:rPr>
          <w:rFonts w:cs="Aptos"/>
        </w:rPr>
        <w:t> </w:t>
      </w:r>
      <w:r w:rsidRPr="000F1DE6">
        <w:t>was</w:t>
      </w:r>
      <w:r w:rsidRPr="000F1DE6">
        <w:rPr>
          <w:rFonts w:cs="Aptos"/>
        </w:rPr>
        <w:t> </w:t>
      </w:r>
      <w:r w:rsidRPr="000F1DE6">
        <w:t>comparable to the direct contribution of the Australian agriculture industry at the time of the study.</w:t>
      </w:r>
      <w:r w:rsidRPr="000F1DE6">
        <w:rPr>
          <w:rFonts w:ascii="Arial" w:hAnsi="Arial" w:cs="Arial"/>
        </w:rPr>
        <w:t> </w:t>
      </w:r>
    </w:p>
    <w:p w14:paraId="6CE52667" w14:textId="7A37D58D" w:rsidR="000D26F7" w:rsidRDefault="000D26F7">
      <w:pPr>
        <w:spacing w:after="200" w:line="276" w:lineRule="auto"/>
        <w:contextualSpacing w:val="0"/>
        <w:rPr>
          <w:rFonts w:asciiTheme="minorHAnsi" w:eastAsia="Times New Roman" w:hAnsiTheme="minorHAnsi"/>
          <w:lang w:eastAsia="en-AU"/>
        </w:rPr>
      </w:pPr>
      <w:r>
        <w:br w:type="page"/>
      </w:r>
    </w:p>
    <w:p w14:paraId="3DDD2395" w14:textId="77777777" w:rsidR="00DA7D6B" w:rsidRPr="000F1DE6" w:rsidRDefault="00DA7D6B" w:rsidP="000D26F7">
      <w:pPr>
        <w:pStyle w:val="Caption"/>
      </w:pPr>
      <w:r w:rsidRPr="000F1DE6">
        <w:lastRenderedPageBreak/>
        <w:t>Data table 3 Summary of costs of work-related harms in Australia</w:t>
      </w:r>
    </w:p>
    <w:tbl>
      <w:tblPr>
        <w:tblStyle w:val="Style9"/>
        <w:tblW w:w="5000" w:type="pct"/>
        <w:tblCellMar>
          <w:top w:w="57" w:type="dxa"/>
          <w:bottom w:w="57" w:type="dxa"/>
        </w:tblCellMar>
        <w:tblLook w:val="04A0" w:firstRow="1" w:lastRow="0" w:firstColumn="1" w:lastColumn="0" w:noHBand="0" w:noVBand="1"/>
        <w:tblCaption w:val="Data table 3 Summary of costs of work-related harms in Australia"/>
        <w:tblDescription w:val="Table outlines the costs of work related harms in Australia. The table shows how many full time jobs were lost to absenteeism, presenteeism, reduced employment, premature mortality and informal care. The table also shows that over $37 billion was incured by the health system following work-related injury or illness, and over $49 billion was incurred by employers in lost efficiency.  "/>
      </w:tblPr>
      <w:tblGrid>
        <w:gridCol w:w="1791"/>
        <w:gridCol w:w="5787"/>
        <w:gridCol w:w="2168"/>
      </w:tblGrid>
      <w:tr w:rsidR="00DA7D6B" w:rsidRPr="000F1DE6" w14:paraId="39391CEC" w14:textId="77777777" w:rsidTr="0016789A">
        <w:trPr>
          <w:trHeight w:val="307"/>
        </w:trPr>
        <w:tc>
          <w:tcPr>
            <w:tcW w:w="919" w:type="pct"/>
            <w:shd w:val="clear" w:color="auto" w:fill="F2F2F2" w:themeFill="background1" w:themeFillShade="F2"/>
          </w:tcPr>
          <w:p w14:paraId="67AADC46" w14:textId="77777777" w:rsidR="00DA7D6B" w:rsidRPr="000D26F7" w:rsidRDefault="00DA7D6B">
            <w:pPr>
              <w:rPr>
                <w:rFonts w:asciiTheme="minorHAnsi" w:hAnsiTheme="minorHAnsi"/>
                <w:b/>
                <w:bCs/>
              </w:rPr>
            </w:pPr>
            <w:r w:rsidRPr="000D26F7">
              <w:rPr>
                <w:rFonts w:asciiTheme="minorHAnsi" w:hAnsiTheme="minorHAnsi"/>
                <w:b/>
                <w:bCs/>
              </w:rPr>
              <w:t>Component</w:t>
            </w:r>
          </w:p>
        </w:tc>
        <w:tc>
          <w:tcPr>
            <w:tcW w:w="2969" w:type="pct"/>
            <w:shd w:val="clear" w:color="auto" w:fill="F2F2F2" w:themeFill="background1" w:themeFillShade="F2"/>
          </w:tcPr>
          <w:p w14:paraId="20D15EC5" w14:textId="77777777" w:rsidR="00DA7D6B" w:rsidRPr="000D26F7" w:rsidRDefault="00DA7D6B">
            <w:pPr>
              <w:rPr>
                <w:rFonts w:asciiTheme="minorHAnsi" w:hAnsiTheme="minorHAnsi"/>
                <w:b/>
                <w:bCs/>
              </w:rPr>
            </w:pPr>
            <w:r w:rsidRPr="000D26F7">
              <w:rPr>
                <w:rFonts w:asciiTheme="minorHAnsi" w:hAnsiTheme="minorHAnsi"/>
                <w:b/>
                <w:bCs/>
              </w:rPr>
              <w:t>Description</w:t>
            </w:r>
          </w:p>
        </w:tc>
        <w:tc>
          <w:tcPr>
            <w:tcW w:w="1112" w:type="pct"/>
            <w:shd w:val="clear" w:color="auto" w:fill="F2F2F2" w:themeFill="background1" w:themeFillShade="F2"/>
          </w:tcPr>
          <w:p w14:paraId="1B2D7047" w14:textId="77777777" w:rsidR="00DA7D6B" w:rsidRPr="000D26F7" w:rsidRDefault="00DA7D6B" w:rsidP="000D26F7">
            <w:pPr>
              <w:jc w:val="right"/>
              <w:rPr>
                <w:rFonts w:asciiTheme="minorHAnsi" w:hAnsiTheme="minorHAnsi"/>
                <w:b/>
                <w:bCs/>
              </w:rPr>
            </w:pPr>
            <w:r w:rsidRPr="000D26F7">
              <w:rPr>
                <w:rFonts w:asciiTheme="minorHAnsi" w:hAnsiTheme="minorHAnsi"/>
                <w:b/>
                <w:bCs/>
              </w:rPr>
              <w:t>Total impact</w:t>
            </w:r>
          </w:p>
        </w:tc>
      </w:tr>
      <w:tr w:rsidR="00DA7D6B" w:rsidRPr="000F1DE6" w14:paraId="488322AB" w14:textId="77777777" w:rsidTr="0016789A">
        <w:trPr>
          <w:trHeight w:val="319"/>
        </w:trPr>
        <w:tc>
          <w:tcPr>
            <w:tcW w:w="919" w:type="pct"/>
          </w:tcPr>
          <w:p w14:paraId="5F176E5D" w14:textId="77777777" w:rsidR="00DA7D6B" w:rsidRPr="000F1DE6" w:rsidRDefault="00DA7D6B">
            <w:pPr>
              <w:rPr>
                <w:rFonts w:asciiTheme="minorHAnsi" w:hAnsiTheme="minorHAnsi"/>
                <w:b/>
                <w:bCs/>
              </w:rPr>
            </w:pPr>
            <w:r w:rsidRPr="000F1DE6">
              <w:rPr>
                <w:rFonts w:asciiTheme="minorHAnsi" w:hAnsiTheme="minorHAnsi"/>
              </w:rPr>
              <w:t>Absenteeism</w:t>
            </w:r>
          </w:p>
        </w:tc>
        <w:tc>
          <w:tcPr>
            <w:tcW w:w="2969" w:type="pct"/>
          </w:tcPr>
          <w:p w14:paraId="20F1BD74" w14:textId="77777777" w:rsidR="00DA7D6B" w:rsidRPr="000F1DE6" w:rsidRDefault="00DA7D6B">
            <w:pPr>
              <w:rPr>
                <w:rFonts w:asciiTheme="minorHAnsi" w:hAnsiTheme="minorHAnsi"/>
              </w:rPr>
            </w:pPr>
            <w:r w:rsidRPr="000F1DE6">
              <w:rPr>
                <w:rFonts w:asciiTheme="minorHAnsi" w:hAnsiTheme="minorHAnsi"/>
              </w:rPr>
              <w:t>Short</w:t>
            </w:r>
            <w:r>
              <w:rPr>
                <w:rFonts w:asciiTheme="minorHAnsi" w:hAnsiTheme="minorHAnsi"/>
              </w:rPr>
              <w:t>-</w:t>
            </w:r>
            <w:r w:rsidRPr="000F1DE6">
              <w:rPr>
                <w:rFonts w:asciiTheme="minorHAnsi" w:hAnsiTheme="minorHAnsi"/>
              </w:rPr>
              <w:t>term productivity losses from time off work</w:t>
            </w:r>
          </w:p>
        </w:tc>
        <w:tc>
          <w:tcPr>
            <w:tcW w:w="1112" w:type="pct"/>
          </w:tcPr>
          <w:p w14:paraId="74FDD28B" w14:textId="77777777" w:rsidR="00DA7D6B" w:rsidRPr="000F1DE6" w:rsidRDefault="00DA7D6B">
            <w:pPr>
              <w:jc w:val="right"/>
              <w:rPr>
                <w:rFonts w:asciiTheme="minorHAnsi" w:hAnsiTheme="minorHAnsi"/>
              </w:rPr>
            </w:pPr>
            <w:r w:rsidRPr="000F1DE6">
              <w:rPr>
                <w:rFonts w:asciiTheme="minorHAnsi" w:hAnsiTheme="minorHAnsi"/>
              </w:rPr>
              <w:t>835,770 FTE</w:t>
            </w:r>
          </w:p>
        </w:tc>
      </w:tr>
      <w:tr w:rsidR="00DA7D6B" w:rsidRPr="000F1DE6" w14:paraId="6BE6FA64" w14:textId="77777777" w:rsidTr="0016789A">
        <w:trPr>
          <w:trHeight w:val="307"/>
        </w:trPr>
        <w:tc>
          <w:tcPr>
            <w:tcW w:w="919" w:type="pct"/>
          </w:tcPr>
          <w:p w14:paraId="69D5E3D8" w14:textId="77777777" w:rsidR="00DA7D6B" w:rsidRPr="000F1DE6" w:rsidRDefault="00DA7D6B">
            <w:pPr>
              <w:rPr>
                <w:rFonts w:asciiTheme="minorHAnsi" w:hAnsiTheme="minorHAnsi"/>
                <w:b/>
                <w:bCs/>
              </w:rPr>
            </w:pPr>
            <w:r w:rsidRPr="000F1DE6">
              <w:rPr>
                <w:rFonts w:asciiTheme="minorHAnsi" w:hAnsiTheme="minorHAnsi"/>
              </w:rPr>
              <w:t>Presenteeism</w:t>
            </w:r>
          </w:p>
        </w:tc>
        <w:tc>
          <w:tcPr>
            <w:tcW w:w="2969" w:type="pct"/>
          </w:tcPr>
          <w:p w14:paraId="4D92BA9F" w14:textId="77777777" w:rsidR="00DA7D6B" w:rsidRPr="000F1DE6" w:rsidRDefault="00DA7D6B">
            <w:pPr>
              <w:rPr>
                <w:rFonts w:asciiTheme="minorHAnsi" w:hAnsiTheme="minorHAnsi"/>
              </w:rPr>
            </w:pPr>
            <w:r w:rsidRPr="000F1DE6">
              <w:rPr>
                <w:rFonts w:asciiTheme="minorHAnsi" w:hAnsiTheme="minorHAnsi"/>
              </w:rPr>
              <w:t>Reduced productivity upon returning to work</w:t>
            </w:r>
          </w:p>
        </w:tc>
        <w:tc>
          <w:tcPr>
            <w:tcW w:w="1112" w:type="pct"/>
          </w:tcPr>
          <w:p w14:paraId="110E47D9" w14:textId="77777777" w:rsidR="00DA7D6B" w:rsidRPr="000F1DE6" w:rsidRDefault="00DA7D6B">
            <w:pPr>
              <w:jc w:val="right"/>
              <w:rPr>
                <w:rFonts w:asciiTheme="minorHAnsi" w:hAnsiTheme="minorHAnsi"/>
              </w:rPr>
            </w:pPr>
            <w:r w:rsidRPr="000F1DE6">
              <w:rPr>
                <w:rFonts w:asciiTheme="minorHAnsi" w:hAnsiTheme="minorHAnsi"/>
              </w:rPr>
              <w:t>331,000 FTE</w:t>
            </w:r>
          </w:p>
        </w:tc>
      </w:tr>
      <w:tr w:rsidR="00DA7D6B" w:rsidRPr="000F1DE6" w14:paraId="7D25182C" w14:textId="77777777" w:rsidTr="0016789A">
        <w:trPr>
          <w:trHeight w:val="626"/>
        </w:trPr>
        <w:tc>
          <w:tcPr>
            <w:tcW w:w="919" w:type="pct"/>
          </w:tcPr>
          <w:p w14:paraId="1720AEC3" w14:textId="77777777" w:rsidR="00DA7D6B" w:rsidRPr="000F1DE6" w:rsidRDefault="00DA7D6B">
            <w:pPr>
              <w:rPr>
                <w:rFonts w:asciiTheme="minorHAnsi" w:hAnsiTheme="minorHAnsi"/>
                <w:b/>
                <w:bCs/>
              </w:rPr>
            </w:pPr>
            <w:r w:rsidRPr="000F1DE6">
              <w:rPr>
                <w:rFonts w:asciiTheme="minorHAnsi" w:hAnsiTheme="minorHAnsi"/>
              </w:rPr>
              <w:t>Reduced employment</w:t>
            </w:r>
          </w:p>
        </w:tc>
        <w:tc>
          <w:tcPr>
            <w:tcW w:w="2969" w:type="pct"/>
          </w:tcPr>
          <w:p w14:paraId="5BDD3FFC" w14:textId="17D55EC4" w:rsidR="00DA7D6B" w:rsidRPr="000F1DE6" w:rsidRDefault="00DA7D6B">
            <w:pPr>
              <w:rPr>
                <w:rFonts w:asciiTheme="minorHAnsi" w:hAnsiTheme="minorHAnsi"/>
              </w:rPr>
            </w:pPr>
            <w:r w:rsidRPr="000F1DE6">
              <w:rPr>
                <w:rFonts w:asciiTheme="minorHAnsi" w:hAnsiTheme="minorHAnsi"/>
              </w:rPr>
              <w:t xml:space="preserve">Permanent withdrawal from labour force following </w:t>
            </w:r>
            <w:r w:rsidR="00A713D2">
              <w:rPr>
                <w:rFonts w:asciiTheme="minorHAnsi" w:hAnsiTheme="minorHAnsi"/>
              </w:rPr>
              <w:br/>
            </w:r>
            <w:r w:rsidRPr="000F1DE6">
              <w:rPr>
                <w:rFonts w:asciiTheme="minorHAnsi" w:hAnsiTheme="minorHAnsi"/>
              </w:rPr>
              <w:t>work-related injury or illness</w:t>
            </w:r>
          </w:p>
        </w:tc>
        <w:tc>
          <w:tcPr>
            <w:tcW w:w="1112" w:type="pct"/>
          </w:tcPr>
          <w:p w14:paraId="51EC9BE2" w14:textId="77777777" w:rsidR="00DA7D6B" w:rsidRPr="000F1DE6" w:rsidRDefault="00DA7D6B">
            <w:pPr>
              <w:jc w:val="right"/>
              <w:rPr>
                <w:rFonts w:asciiTheme="minorHAnsi" w:hAnsiTheme="minorHAnsi"/>
              </w:rPr>
            </w:pPr>
            <w:r w:rsidRPr="000F1DE6">
              <w:rPr>
                <w:rFonts w:asciiTheme="minorHAnsi" w:hAnsiTheme="minorHAnsi"/>
              </w:rPr>
              <w:t>605,789 FTE*</w:t>
            </w:r>
          </w:p>
        </w:tc>
      </w:tr>
      <w:tr w:rsidR="00DA7D6B" w:rsidRPr="000F1DE6" w14:paraId="147B6F53" w14:textId="77777777" w:rsidTr="0016789A">
        <w:trPr>
          <w:trHeight w:val="626"/>
        </w:trPr>
        <w:tc>
          <w:tcPr>
            <w:tcW w:w="919" w:type="pct"/>
          </w:tcPr>
          <w:p w14:paraId="131D3F7B" w14:textId="77777777" w:rsidR="00DA7D6B" w:rsidRPr="000F1DE6" w:rsidRDefault="00DA7D6B">
            <w:pPr>
              <w:rPr>
                <w:rFonts w:asciiTheme="minorHAnsi" w:hAnsiTheme="minorHAnsi"/>
                <w:b/>
                <w:bCs/>
              </w:rPr>
            </w:pPr>
            <w:r w:rsidRPr="000F1DE6">
              <w:rPr>
                <w:rFonts w:asciiTheme="minorHAnsi" w:hAnsiTheme="minorHAnsi"/>
              </w:rPr>
              <w:t>Premature mortality</w:t>
            </w:r>
          </w:p>
        </w:tc>
        <w:tc>
          <w:tcPr>
            <w:tcW w:w="2969" w:type="pct"/>
          </w:tcPr>
          <w:p w14:paraId="64190FF2" w14:textId="77777777" w:rsidR="00DA7D6B" w:rsidRPr="000F1DE6" w:rsidRDefault="00DA7D6B">
            <w:pPr>
              <w:rPr>
                <w:rFonts w:asciiTheme="minorHAnsi" w:hAnsiTheme="minorHAnsi"/>
              </w:rPr>
            </w:pPr>
            <w:r w:rsidRPr="000F1DE6">
              <w:rPr>
                <w:rFonts w:asciiTheme="minorHAnsi" w:hAnsiTheme="minorHAnsi"/>
              </w:rPr>
              <w:t>Loss of labour due to work-related injury or illness resulting in death</w:t>
            </w:r>
          </w:p>
        </w:tc>
        <w:tc>
          <w:tcPr>
            <w:tcW w:w="1112" w:type="pct"/>
          </w:tcPr>
          <w:p w14:paraId="3085B4F2" w14:textId="77777777" w:rsidR="00DA7D6B" w:rsidRPr="000F1DE6" w:rsidRDefault="00DA7D6B">
            <w:pPr>
              <w:jc w:val="right"/>
              <w:rPr>
                <w:rFonts w:asciiTheme="minorHAnsi" w:hAnsiTheme="minorHAnsi"/>
              </w:rPr>
            </w:pPr>
            <w:r w:rsidRPr="000F1DE6">
              <w:rPr>
                <w:rFonts w:asciiTheme="minorHAnsi" w:hAnsiTheme="minorHAnsi"/>
              </w:rPr>
              <w:t>63,568 FTE*</w:t>
            </w:r>
          </w:p>
        </w:tc>
      </w:tr>
      <w:tr w:rsidR="00DA7D6B" w:rsidRPr="000F1DE6" w14:paraId="5C6EEF7D" w14:textId="77777777" w:rsidTr="0016789A">
        <w:trPr>
          <w:trHeight w:val="934"/>
        </w:trPr>
        <w:tc>
          <w:tcPr>
            <w:tcW w:w="919" w:type="pct"/>
          </w:tcPr>
          <w:p w14:paraId="5E6A7A99" w14:textId="77777777" w:rsidR="00DA7D6B" w:rsidRPr="000F1DE6" w:rsidRDefault="00DA7D6B">
            <w:pPr>
              <w:rPr>
                <w:rFonts w:asciiTheme="minorHAnsi" w:hAnsiTheme="minorHAnsi"/>
                <w:b/>
                <w:bCs/>
              </w:rPr>
            </w:pPr>
            <w:r w:rsidRPr="000F1DE6">
              <w:rPr>
                <w:rFonts w:asciiTheme="minorHAnsi" w:hAnsiTheme="minorHAnsi"/>
              </w:rPr>
              <w:t>Informal care</w:t>
            </w:r>
          </w:p>
        </w:tc>
        <w:tc>
          <w:tcPr>
            <w:tcW w:w="2969" w:type="pct"/>
          </w:tcPr>
          <w:p w14:paraId="35EE294F" w14:textId="77777777" w:rsidR="00DA7D6B" w:rsidRPr="000F1DE6" w:rsidRDefault="00DA7D6B">
            <w:pPr>
              <w:rPr>
                <w:rFonts w:asciiTheme="minorHAnsi" w:hAnsiTheme="minorHAnsi"/>
              </w:rPr>
            </w:pPr>
            <w:r w:rsidRPr="000F1DE6">
              <w:rPr>
                <w:rFonts w:asciiTheme="minorHAnsi" w:hAnsiTheme="minorHAnsi"/>
              </w:rPr>
              <w:t>Productivity losses from informal carers taking additional time off of work to care for a person with work-related injury or illness</w:t>
            </w:r>
          </w:p>
        </w:tc>
        <w:tc>
          <w:tcPr>
            <w:tcW w:w="1112" w:type="pct"/>
          </w:tcPr>
          <w:p w14:paraId="0CB37A7E" w14:textId="77777777" w:rsidR="00DA7D6B" w:rsidRPr="000F1DE6" w:rsidRDefault="00DA7D6B">
            <w:pPr>
              <w:jc w:val="right"/>
              <w:rPr>
                <w:rFonts w:asciiTheme="minorHAnsi" w:hAnsiTheme="minorHAnsi"/>
              </w:rPr>
            </w:pPr>
            <w:r w:rsidRPr="000F1DE6">
              <w:rPr>
                <w:rFonts w:asciiTheme="minorHAnsi" w:hAnsiTheme="minorHAnsi"/>
              </w:rPr>
              <w:t>408,061 FTE*</w:t>
            </w:r>
          </w:p>
        </w:tc>
      </w:tr>
      <w:tr w:rsidR="00DA7D6B" w:rsidRPr="000F1DE6" w14:paraId="170664B1" w14:textId="77777777" w:rsidTr="0016789A">
        <w:trPr>
          <w:trHeight w:val="626"/>
        </w:trPr>
        <w:tc>
          <w:tcPr>
            <w:tcW w:w="919" w:type="pct"/>
          </w:tcPr>
          <w:p w14:paraId="26E685B3" w14:textId="77777777" w:rsidR="00DA7D6B" w:rsidRPr="000F1DE6" w:rsidRDefault="00DA7D6B">
            <w:pPr>
              <w:rPr>
                <w:rFonts w:asciiTheme="minorHAnsi" w:hAnsiTheme="minorHAnsi"/>
                <w:b/>
                <w:bCs/>
              </w:rPr>
            </w:pPr>
            <w:r w:rsidRPr="000F1DE6">
              <w:rPr>
                <w:rFonts w:asciiTheme="minorHAnsi" w:hAnsiTheme="minorHAnsi"/>
              </w:rPr>
              <w:t>Health system costs</w:t>
            </w:r>
          </w:p>
        </w:tc>
        <w:tc>
          <w:tcPr>
            <w:tcW w:w="2969" w:type="pct"/>
          </w:tcPr>
          <w:p w14:paraId="74A3DE18" w14:textId="05A43F84" w:rsidR="00DA7D6B" w:rsidRPr="000F1DE6" w:rsidRDefault="00DA7D6B">
            <w:pPr>
              <w:rPr>
                <w:rFonts w:asciiTheme="minorHAnsi" w:hAnsiTheme="minorHAnsi"/>
              </w:rPr>
            </w:pPr>
            <w:r w:rsidRPr="000F1DE6">
              <w:rPr>
                <w:rFonts w:asciiTheme="minorHAnsi" w:hAnsiTheme="minorHAnsi"/>
              </w:rPr>
              <w:t xml:space="preserve">Costs incurred by the health system following </w:t>
            </w:r>
            <w:r w:rsidR="00A713D2">
              <w:rPr>
                <w:rFonts w:asciiTheme="minorHAnsi" w:hAnsiTheme="minorHAnsi"/>
              </w:rPr>
              <w:br/>
            </w:r>
            <w:r w:rsidRPr="000F1DE6">
              <w:rPr>
                <w:rFonts w:asciiTheme="minorHAnsi" w:hAnsiTheme="minorHAnsi"/>
              </w:rPr>
              <w:t>work-related injury or illness</w:t>
            </w:r>
          </w:p>
        </w:tc>
        <w:tc>
          <w:tcPr>
            <w:tcW w:w="1112" w:type="pct"/>
          </w:tcPr>
          <w:p w14:paraId="4D8C3627" w14:textId="77777777" w:rsidR="00DA7D6B" w:rsidRPr="000F1DE6" w:rsidRDefault="00DA7D6B">
            <w:pPr>
              <w:jc w:val="right"/>
              <w:rPr>
                <w:rFonts w:asciiTheme="minorHAnsi" w:hAnsiTheme="minorHAnsi"/>
              </w:rPr>
            </w:pPr>
            <w:r w:rsidRPr="000F1DE6">
              <w:rPr>
                <w:rFonts w:asciiTheme="minorHAnsi" w:hAnsiTheme="minorHAnsi"/>
              </w:rPr>
              <w:t>$37.6 billion</w:t>
            </w:r>
          </w:p>
        </w:tc>
      </w:tr>
      <w:tr w:rsidR="00DA7D6B" w:rsidRPr="000F1DE6" w14:paraId="4D57800B" w14:textId="77777777" w:rsidTr="0016789A">
        <w:trPr>
          <w:trHeight w:val="626"/>
        </w:trPr>
        <w:tc>
          <w:tcPr>
            <w:tcW w:w="919" w:type="pct"/>
          </w:tcPr>
          <w:p w14:paraId="6B518AB4" w14:textId="77777777" w:rsidR="00DA7D6B" w:rsidRPr="000F1DE6" w:rsidRDefault="00DA7D6B">
            <w:pPr>
              <w:rPr>
                <w:rFonts w:asciiTheme="minorHAnsi" w:hAnsiTheme="minorHAnsi"/>
                <w:b/>
                <w:bCs/>
              </w:rPr>
            </w:pPr>
            <w:r w:rsidRPr="000F1DE6">
              <w:rPr>
                <w:rFonts w:asciiTheme="minorHAnsi" w:hAnsiTheme="minorHAnsi"/>
              </w:rPr>
              <w:t>Efficiency costs</w:t>
            </w:r>
          </w:p>
        </w:tc>
        <w:tc>
          <w:tcPr>
            <w:tcW w:w="2969" w:type="pct"/>
          </w:tcPr>
          <w:p w14:paraId="32430245" w14:textId="77777777" w:rsidR="00DA7D6B" w:rsidRPr="000F1DE6" w:rsidRDefault="00DA7D6B">
            <w:pPr>
              <w:rPr>
                <w:rFonts w:asciiTheme="minorHAnsi" w:hAnsiTheme="minorHAnsi"/>
              </w:rPr>
            </w:pPr>
            <w:r w:rsidRPr="000F1DE6">
              <w:rPr>
                <w:rFonts w:asciiTheme="minorHAnsi" w:hAnsiTheme="minorHAnsi"/>
              </w:rPr>
              <w:t>Costs incurred by the employer following work-related injury or illness</w:t>
            </w:r>
          </w:p>
        </w:tc>
        <w:tc>
          <w:tcPr>
            <w:tcW w:w="1112" w:type="pct"/>
          </w:tcPr>
          <w:p w14:paraId="4FBAD3AD" w14:textId="77777777" w:rsidR="00DA7D6B" w:rsidRPr="000F1DE6" w:rsidRDefault="00DA7D6B">
            <w:pPr>
              <w:jc w:val="right"/>
              <w:rPr>
                <w:rFonts w:asciiTheme="minorHAnsi" w:hAnsiTheme="minorHAnsi"/>
              </w:rPr>
            </w:pPr>
            <w:r w:rsidRPr="000F1DE6">
              <w:rPr>
                <w:rFonts w:asciiTheme="minorHAnsi" w:hAnsiTheme="minorHAnsi"/>
              </w:rPr>
              <w:t>$49.5 billion</w:t>
            </w:r>
            <w:r w:rsidRPr="000F1DE6">
              <w:rPr>
                <w:rStyle w:val="FootnoteReference"/>
                <w:rFonts w:asciiTheme="minorHAnsi" w:hAnsiTheme="minorHAnsi"/>
              </w:rPr>
              <w:footnoteReference w:id="770"/>
            </w:r>
          </w:p>
        </w:tc>
      </w:tr>
    </w:tbl>
    <w:p w14:paraId="6B27F346" w14:textId="7CBEA0FE" w:rsidR="00DA7D6B" w:rsidRPr="0016789A" w:rsidRDefault="00DA7D6B" w:rsidP="0016789A">
      <w:pPr>
        <w:rPr>
          <w:rFonts w:asciiTheme="minorHAnsi" w:hAnsiTheme="minorHAnsi"/>
          <w:i/>
          <w:sz w:val="20"/>
          <w:szCs w:val="20"/>
        </w:rPr>
      </w:pPr>
      <w:r w:rsidRPr="000F1DE6">
        <w:rPr>
          <w:rFonts w:asciiTheme="minorHAnsi" w:hAnsiTheme="minorHAnsi"/>
          <w:i/>
          <w:sz w:val="20"/>
          <w:szCs w:val="20"/>
        </w:rPr>
        <w:t>*Note: Total impact is measured from 2008</w:t>
      </w:r>
      <w:r>
        <w:rPr>
          <w:rFonts w:asciiTheme="minorHAnsi" w:hAnsiTheme="minorHAnsi"/>
          <w:i/>
          <w:sz w:val="20"/>
          <w:szCs w:val="20"/>
        </w:rPr>
        <w:t xml:space="preserve"> to </w:t>
      </w:r>
      <w:r w:rsidRPr="000F1DE6">
        <w:rPr>
          <w:rFonts w:asciiTheme="minorHAnsi" w:hAnsiTheme="minorHAnsi"/>
          <w:i/>
          <w:sz w:val="20"/>
          <w:szCs w:val="20"/>
        </w:rPr>
        <w:t>2065.</w:t>
      </w:r>
    </w:p>
    <w:p w14:paraId="4EB7FD01" w14:textId="77777777" w:rsidR="00F21CE3" w:rsidRDefault="00DA7D6B" w:rsidP="005C6B35">
      <w:pPr>
        <w:pStyle w:val="Paragraph"/>
      </w:pPr>
      <w:r w:rsidRPr="000F1DE6">
        <w:rPr>
          <w:b/>
        </w:rPr>
        <w:t>Data table 3</w:t>
      </w:r>
      <w:r w:rsidRPr="000F1DE6">
        <w:t xml:space="preserve"> summarises some of the key costs of work-related harms in Australia, as published in</w:t>
      </w:r>
      <w:r w:rsidRPr="000F1DE6">
        <w:rPr>
          <w:rFonts w:cs="Aptos"/>
        </w:rPr>
        <w:t> </w:t>
      </w:r>
      <w:r w:rsidRPr="000F1DE6">
        <w:rPr>
          <w:i/>
        </w:rPr>
        <w:t>Safer, healthier, wealthier</w:t>
      </w:r>
      <w:r w:rsidRPr="000F1DE6">
        <w:t>.</w:t>
      </w:r>
    </w:p>
    <w:p w14:paraId="335AA8F8" w14:textId="063C3488" w:rsidR="00DA7D6B" w:rsidRPr="000F1DE6" w:rsidRDefault="00DA7D6B" w:rsidP="001F0884">
      <w:pPr>
        <w:pStyle w:val="SWAHeading3"/>
      </w:pPr>
      <w:r w:rsidRPr="000F1DE6">
        <w:t xml:space="preserve">Estimate drawing on </w:t>
      </w:r>
      <w:r w:rsidRPr="006A66C9">
        <w:rPr>
          <w:i/>
          <w:iCs/>
        </w:rPr>
        <w:t>Australian burden of disease study</w:t>
      </w:r>
    </w:p>
    <w:p w14:paraId="441546A5" w14:textId="77777777" w:rsidR="00F21CE3" w:rsidRDefault="00DA7D6B" w:rsidP="00DA7D6B">
      <w:pPr>
        <w:pStyle w:val="Paragraph"/>
      </w:pPr>
      <w:r w:rsidRPr="000F1DE6">
        <w:t xml:space="preserve">According to the 2024 </w:t>
      </w:r>
      <w:r w:rsidRPr="000F1DE6">
        <w:rPr>
          <w:i/>
        </w:rPr>
        <w:t>Australian burden of disease study</w:t>
      </w:r>
      <w:r w:rsidRPr="000F1DE6">
        <w:t>, the average number of years of healthy life lost due to occupational exposures and hazards is 3.2 years per 1,000 people.</w:t>
      </w:r>
      <w:r w:rsidRPr="000F1DE6">
        <w:rPr>
          <w:rStyle w:val="FootnoteReference"/>
        </w:rPr>
        <w:footnoteReference w:id="771"/>
      </w:r>
      <w:r w:rsidRPr="000F1DE6">
        <w:t> This estimate reflects the amount that could have been avoided if all people in Australia were not exposed to occupational exposures and hazards including injuries, loud noise, carcinogens, particulate matter, gas and fumes, asthmagens and ergonomic factors.</w:t>
      </w:r>
    </w:p>
    <w:p w14:paraId="6EB4AAF2" w14:textId="77777777" w:rsidR="00F21CE3" w:rsidRDefault="00DA7D6B" w:rsidP="00DA7D6B">
      <w:pPr>
        <w:pStyle w:val="Paragraph"/>
      </w:pPr>
      <w:r w:rsidRPr="000F1DE6">
        <w:t>Given the value of a statistical life year, which is an estimate of the value society places on a year of life, is $253,000 in 2025 dollars,</w:t>
      </w:r>
      <w:r w:rsidRPr="000F1DE6">
        <w:rPr>
          <w:rStyle w:val="FootnoteReference"/>
        </w:rPr>
        <w:footnoteReference w:id="772"/>
      </w:r>
      <w:r w:rsidRPr="000F1DE6">
        <w:t xml:space="preserve"> then taken together, occupational exposures and hazards cost the economy $809,600 per 1,000 people. Across the labour force, as at March 2026, this equates to $12.0 billion per year,</w:t>
      </w:r>
      <w:r w:rsidRPr="000F1DE6">
        <w:rPr>
          <w:b/>
        </w:rPr>
        <w:t> </w:t>
      </w:r>
      <w:r w:rsidRPr="000F1DE6">
        <w:t>since there are roughly 14,762,800 employed people in Australia.</w:t>
      </w:r>
    </w:p>
    <w:p w14:paraId="1DA16EBF" w14:textId="7F43FFAE" w:rsidR="000D26F7" w:rsidRDefault="000D26F7">
      <w:pPr>
        <w:spacing w:after="200" w:line="276" w:lineRule="auto"/>
        <w:contextualSpacing w:val="0"/>
        <w:rPr>
          <w:rFonts w:asciiTheme="minorHAnsi" w:eastAsia="Times New Roman" w:hAnsiTheme="minorHAnsi"/>
          <w:lang w:eastAsia="en-AU"/>
        </w:rPr>
      </w:pPr>
      <w:r>
        <w:br w:type="page"/>
      </w:r>
    </w:p>
    <w:p w14:paraId="23985427" w14:textId="6DB2800C" w:rsidR="00DA7D6B" w:rsidRPr="000F1DE6" w:rsidRDefault="00DA7D6B" w:rsidP="00DA7D6B">
      <w:pPr>
        <w:pStyle w:val="Paragraph"/>
      </w:pPr>
      <w:r w:rsidRPr="000F1DE6">
        <w:lastRenderedPageBreak/>
        <w:t>This estimate differs from the economic benefits established in the </w:t>
      </w:r>
      <w:r w:rsidRPr="000F1DE6">
        <w:rPr>
          <w:i/>
        </w:rPr>
        <w:t>Safer, healthier, wealthier </w:t>
      </w:r>
      <w:r w:rsidRPr="000F1DE6">
        <w:t xml:space="preserve">study because each approach measures different concepts associated with WHS and its impact on population health and economic costs. </w:t>
      </w:r>
      <w:r w:rsidRPr="000F1DE6">
        <w:rPr>
          <w:i/>
        </w:rPr>
        <w:t xml:space="preserve">Safer, healthier, wealthier </w:t>
      </w:r>
      <w:r w:rsidRPr="000F1DE6">
        <w:t>uses observed outcomes from WHS incidents to estimate the economic growth that was foregone as a result from work-related injuries and illnesses. The estimate drawing on the</w:t>
      </w:r>
      <w:r>
        <w:rPr>
          <w:i/>
        </w:rPr>
        <w:t xml:space="preserve"> Australian</w:t>
      </w:r>
      <w:r w:rsidRPr="000F1DE6">
        <w:t xml:space="preserve"> </w:t>
      </w:r>
      <w:r w:rsidR="005D0E57">
        <w:rPr>
          <w:i/>
        </w:rPr>
        <w:t>b</w:t>
      </w:r>
      <w:r w:rsidRPr="00BC3D03">
        <w:rPr>
          <w:i/>
        </w:rPr>
        <w:t>urden of disease study</w:t>
      </w:r>
      <w:r w:rsidRPr="000F1DE6">
        <w:t xml:space="preserve"> estimates the impacts from exposures and hazards associated with working life.</w:t>
      </w:r>
    </w:p>
    <w:p w14:paraId="6F6A7EA5" w14:textId="579D3146" w:rsidR="00F21CE3" w:rsidRDefault="00DA7D6B" w:rsidP="00DA7D6B">
      <w:pPr>
        <w:pStyle w:val="Paragraph"/>
      </w:pPr>
      <w:r w:rsidRPr="000F1DE6">
        <w:t>Both of these figures should be interpreted with caution</w:t>
      </w:r>
      <w:r>
        <w:t>,</w:t>
      </w:r>
      <w:r w:rsidRPr="000F1DE6">
        <w:t xml:space="preserve"> as they are statistical models based on incomplete datasets and are likely to underestimate the costs of WHS impacts.</w:t>
      </w:r>
    </w:p>
    <w:p w14:paraId="2840343A" w14:textId="77777777" w:rsidR="00F21CE3" w:rsidRDefault="00DA7D6B" w:rsidP="00DA7D6B">
      <w:pPr>
        <w:pStyle w:val="Paragraph"/>
      </w:pPr>
      <w:r w:rsidRPr="000F1DE6">
        <w:t>However, they illustrate clearly that:</w:t>
      </w:r>
    </w:p>
    <w:p w14:paraId="715451ED" w14:textId="49FDFDD5" w:rsidR="00F21CE3" w:rsidRDefault="00DA7D6B" w:rsidP="00447786">
      <w:pPr>
        <w:pStyle w:val="Paragraph"/>
        <w:widowControl/>
        <w:numPr>
          <w:ilvl w:val="0"/>
          <w:numId w:val="24"/>
        </w:numPr>
        <w:spacing w:before="0"/>
      </w:pPr>
      <w:r w:rsidRPr="000F1DE6">
        <w:t>the costs of WHS risks go beyond straightforward business impacts</w:t>
      </w:r>
    </w:p>
    <w:p w14:paraId="57655EC2" w14:textId="77777777" w:rsidR="00F21CE3" w:rsidRDefault="00DA7D6B" w:rsidP="00447786">
      <w:pPr>
        <w:pStyle w:val="Paragraph"/>
        <w:widowControl/>
        <w:numPr>
          <w:ilvl w:val="0"/>
          <w:numId w:val="24"/>
        </w:numPr>
        <w:spacing w:before="0"/>
      </w:pPr>
      <w:r w:rsidRPr="000F1DE6">
        <w:t>the cost of regulating WHS represents a fraction of the broader costs to society of work</w:t>
      </w:r>
      <w:r w:rsidRPr="000F1DE6">
        <w:noBreakHyphen/>
        <w:t>related fatalities, injuries and illnesses.</w:t>
      </w:r>
    </w:p>
    <w:p w14:paraId="4B66876E" w14:textId="77777777" w:rsidR="00F21CE3" w:rsidRPr="007E465D" w:rsidRDefault="00DA7D6B" w:rsidP="00A36AA7">
      <w:pPr>
        <w:pStyle w:val="SWAHeading4"/>
      </w:pPr>
      <w:r w:rsidRPr="00A36AA7">
        <w:t>Who bears these costs?</w:t>
      </w:r>
      <w:r w:rsidRPr="007E465D">
        <w:rPr>
          <w:rFonts w:ascii="Arial" w:hAnsi="Arial"/>
        </w:rPr>
        <w:t> </w:t>
      </w:r>
    </w:p>
    <w:p w14:paraId="6F823449" w14:textId="77777777" w:rsidR="00F21CE3" w:rsidRDefault="00DA7D6B" w:rsidP="00DA7D6B">
      <w:pPr>
        <w:pStyle w:val="Paragraph"/>
      </w:pPr>
      <w:r w:rsidRPr="000F1DE6">
        <w:t>According to previous cost-of-injury analysis published by Safe Work Australia, employers bear just 5</w:t>
      </w:r>
      <w:r>
        <w:t xml:space="preserve">% to </w:t>
      </w:r>
      <w:r w:rsidRPr="000F1DE6">
        <w:t>10% of the costs of work-related injuries and illnesses, with injured workers bearing up to 74%.</w:t>
      </w:r>
      <w:r w:rsidRPr="000F1DE6">
        <w:rPr>
          <w:rStyle w:val="FootnoteReference"/>
        </w:rPr>
        <w:footnoteReference w:id="773"/>
      </w:r>
      <w:r w:rsidRPr="000F1DE6">
        <w:rPr>
          <w:rFonts w:ascii="Arial" w:hAnsi="Arial" w:cs="Arial"/>
        </w:rPr>
        <w:t> </w:t>
      </w:r>
    </w:p>
    <w:p w14:paraId="6DA1DEFE" w14:textId="37666D77" w:rsidR="00DA7D6B" w:rsidRPr="005A5D3A" w:rsidRDefault="00DA7D6B" w:rsidP="005A5D3A">
      <w:pPr>
        <w:pStyle w:val="SWAHeading3"/>
        <w:rPr>
          <w:b/>
          <w:bCs/>
        </w:rPr>
      </w:pPr>
      <w:r w:rsidRPr="005A5D3A">
        <w:rPr>
          <w:b/>
          <w:bCs/>
        </w:rPr>
        <w:t>Compliance and enforcement actions</w:t>
      </w:r>
    </w:p>
    <w:p w14:paraId="79253A05" w14:textId="77777777" w:rsidR="00F21CE3" w:rsidRDefault="00DA7D6B" w:rsidP="00DA7D6B">
      <w:pPr>
        <w:pStyle w:val="Paragraph"/>
      </w:pPr>
      <w:r w:rsidRPr="000F1DE6">
        <w:t xml:space="preserve">This section provides analysis of jurisdictional compliance and enforcement data across </w:t>
      </w:r>
      <w:r>
        <w:t xml:space="preserve">3 </w:t>
      </w:r>
      <w:r w:rsidRPr="000F1DE6">
        <w:t>areas:</w:t>
      </w:r>
    </w:p>
    <w:p w14:paraId="46A7A7E6" w14:textId="711CCE5A" w:rsidR="00DA7D6B" w:rsidRPr="000F1DE6" w:rsidRDefault="00DA7D6B" w:rsidP="002D0868">
      <w:pPr>
        <w:pStyle w:val="ListBullet"/>
      </w:pPr>
      <w:r w:rsidRPr="000F1DE6">
        <w:t>sanctions</w:t>
      </w:r>
    </w:p>
    <w:p w14:paraId="28E10430" w14:textId="77777777" w:rsidR="00DA7D6B" w:rsidRPr="000F1DE6" w:rsidRDefault="00DA7D6B" w:rsidP="002D0868">
      <w:pPr>
        <w:pStyle w:val="ListBullet"/>
      </w:pPr>
      <w:r w:rsidRPr="000F1DE6">
        <w:t>directing compliance</w:t>
      </w:r>
    </w:p>
    <w:p w14:paraId="56A1FDB4" w14:textId="77777777" w:rsidR="00F21CE3" w:rsidRDefault="00DA7D6B" w:rsidP="002D0868">
      <w:pPr>
        <w:pStyle w:val="ListBullet"/>
      </w:pPr>
      <w:r w:rsidRPr="000F1DE6">
        <w:t>encouraging and assisting compliance.</w:t>
      </w:r>
    </w:p>
    <w:p w14:paraId="44E2F20F" w14:textId="77777777" w:rsidR="00F21CE3" w:rsidRDefault="00DA7D6B" w:rsidP="00DA7D6B">
      <w:pPr>
        <w:pStyle w:val="Paragraph"/>
      </w:pPr>
      <w:r w:rsidRPr="000F1DE6">
        <w:t>To explore the data further, please visit Safe Work Australia’s interactive data website.</w:t>
      </w:r>
      <w:r w:rsidRPr="000F1DE6">
        <w:rPr>
          <w:rStyle w:val="FootnoteReference"/>
        </w:rPr>
        <w:footnoteReference w:id="774"/>
      </w:r>
    </w:p>
    <w:p w14:paraId="5D6EE7B3" w14:textId="77777777" w:rsidR="00F21CE3" w:rsidRDefault="00DA7D6B" w:rsidP="001F0884">
      <w:pPr>
        <w:pStyle w:val="SWAHeading3"/>
      </w:pPr>
      <w:r w:rsidRPr="000F1DE6">
        <w:t>Sanctions</w:t>
      </w:r>
    </w:p>
    <w:p w14:paraId="42C4904E" w14:textId="77777777" w:rsidR="00F21CE3" w:rsidRDefault="00DA7D6B" w:rsidP="00DA7D6B">
      <w:pPr>
        <w:pStyle w:val="Paragraph"/>
      </w:pPr>
      <w:r w:rsidRPr="000F1DE6">
        <w:t>Sanctions represent the most serious compliance and enforcement response available to WHS regulators and are generally used where there is serious non</w:t>
      </w:r>
      <w:r w:rsidRPr="000F1DE6">
        <w:noBreakHyphen/>
        <w:t>compliance or where other compliance and enforcement tools have not been effective.</w:t>
      </w:r>
    </w:p>
    <w:p w14:paraId="02D3F87D" w14:textId="0371E0AA" w:rsidR="00F21CE3" w:rsidRDefault="00DA7D6B" w:rsidP="00DA7D6B">
      <w:pPr>
        <w:pStyle w:val="Paragraph"/>
      </w:pPr>
      <w:r w:rsidRPr="000F1DE6">
        <w:t>Sanctions include infringement notices, legal proceedings and EUs, with additional context provided by data on WHS prosecutions.</w:t>
      </w:r>
    </w:p>
    <w:p w14:paraId="5EC120A5" w14:textId="4971038B" w:rsidR="00F21CE3" w:rsidRDefault="00DA7D6B" w:rsidP="00DA7D6B">
      <w:pPr>
        <w:pStyle w:val="Paragraph"/>
      </w:pPr>
      <w:r w:rsidRPr="000F1DE6">
        <w:t xml:space="preserve">Nationally, the number of infringement notices issued increased by 55% over the </w:t>
      </w:r>
      <w:r>
        <w:t xml:space="preserve">4 </w:t>
      </w:r>
      <w:r w:rsidRPr="000F1DE6">
        <w:t>years from 2019–20 to 2023–24, rising from 1,797 to 2,777. Five of </w:t>
      </w:r>
      <w:r>
        <w:t xml:space="preserve">7 </w:t>
      </w:r>
      <w:r w:rsidRPr="000F1DE6">
        <w:t xml:space="preserve">jurisdictions recorded increases, with NSW recording the largest increase (+1,029). Changes varied substantially across jurisdictions, with the next largest increase recorded in the ACT (+88). However, in most jurisdictions the number of notices issued remained low, with </w:t>
      </w:r>
      <w:r w:rsidR="005D0E57">
        <w:t xml:space="preserve">fewer </w:t>
      </w:r>
      <w:r w:rsidRPr="000F1DE6">
        <w:t>than 50 notices overall.</w:t>
      </w:r>
    </w:p>
    <w:p w14:paraId="69D923CE" w14:textId="77777777" w:rsidR="00F21CE3" w:rsidRDefault="00DA7D6B" w:rsidP="00DA7D6B">
      <w:pPr>
        <w:pStyle w:val="Paragraph"/>
      </w:pPr>
      <w:r w:rsidRPr="000F1DE6">
        <w:t>By contrast, the use of EUs remained low and relatively stable over the period, with 24 undertakings accepted nationally in 2023–24. These were largely concentrated in a small number of jurisdictions.</w:t>
      </w:r>
    </w:p>
    <w:p w14:paraId="4A47CE4F" w14:textId="5D703195" w:rsidR="000D26F7" w:rsidRPr="000F1DE6" w:rsidRDefault="000D26F7" w:rsidP="000D26F7">
      <w:pPr>
        <w:pStyle w:val="Caption"/>
      </w:pPr>
      <w:r w:rsidRPr="000F1DE6">
        <w:lastRenderedPageBreak/>
        <w:t xml:space="preserve">Data table 4 Infringement notices and enforceable </w:t>
      </w:r>
      <w:r w:rsidRPr="00D3503C">
        <w:t xml:space="preserve">undertakings </w:t>
      </w:r>
      <w:r w:rsidR="005D0E57" w:rsidRPr="00D3503C">
        <w:rPr>
          <w:rFonts w:ascii="Symbol" w:eastAsia="Symbol" w:hAnsi="Symbol" w:cs="Symbol"/>
        </w:rPr>
        <w:t>-</w:t>
      </w:r>
      <w:r w:rsidRPr="00D3503C">
        <w:t xml:space="preserve"> 2023</w:t>
      </w:r>
      <w:r w:rsidR="005D0E57" w:rsidRPr="00D3503C">
        <w:rPr>
          <w:rFonts w:ascii="Symbol" w:eastAsia="Symbol" w:hAnsi="Symbol" w:cs="Symbol"/>
        </w:rPr>
        <w:t>-</w:t>
      </w:r>
      <w:r w:rsidRPr="00D3503C">
        <w:t>24</w:t>
      </w:r>
      <w:r w:rsidRPr="000F1DE6">
        <w:rPr>
          <w:i/>
        </w:rPr>
        <w:br/>
      </w:r>
      <w:r w:rsidRPr="000F1DE6">
        <w:rPr>
          <w:rStyle w:val="Emphasis"/>
          <w:b w:val="0"/>
          <w:szCs w:val="22"/>
        </w:rPr>
        <w:t>N/A – not available.</w:t>
      </w:r>
    </w:p>
    <w:tbl>
      <w:tblPr>
        <w:tblStyle w:val="Style9"/>
        <w:tblpPr w:leftFromText="180" w:rightFromText="180" w:vertAnchor="text" w:horzAnchor="margin" w:tblpY="149"/>
        <w:tblW w:w="4977" w:type="pct"/>
        <w:tblLayout w:type="fixed"/>
        <w:tblCellMar>
          <w:top w:w="57" w:type="dxa"/>
          <w:bottom w:w="57" w:type="dxa"/>
        </w:tblCellMar>
        <w:tblLook w:val="04A0" w:firstRow="1" w:lastRow="0" w:firstColumn="1" w:lastColumn="0" w:noHBand="0" w:noVBand="1"/>
        <w:tblCaption w:val="Data table 4 Infringement notices and enforceable undertakings - 2023-24"/>
        <w:tblDescription w:val="Table outlining how many infringement notices and enforceable undertakings were issued in each jurisdiction in 2023-24. Notices are disaggregated per 1000 employees to more easily compare between jurisdictions of different sizes (amounts to 0.2 notices per 1,000 employees across all jurisdictions). Enforceable undertakings are disaggregated per 100,00 employees (amounts to 0.2 undertakings per 100,000 employees across all jurisdictions). "/>
      </w:tblPr>
      <w:tblGrid>
        <w:gridCol w:w="1989"/>
        <w:gridCol w:w="1938"/>
        <w:gridCol w:w="1884"/>
        <w:gridCol w:w="1940"/>
        <w:gridCol w:w="1938"/>
        <w:gridCol w:w="12"/>
      </w:tblGrid>
      <w:tr w:rsidR="00DA7D6B" w:rsidRPr="0016789A" w14:paraId="4DAB5235" w14:textId="77777777" w:rsidTr="009E58DF">
        <w:trPr>
          <w:trHeight w:val="360"/>
        </w:trPr>
        <w:tc>
          <w:tcPr>
            <w:tcW w:w="1025" w:type="pct"/>
            <w:tcBorders>
              <w:top w:val="nil"/>
              <w:bottom w:val="nil"/>
            </w:tcBorders>
            <w:shd w:val="clear" w:color="auto" w:fill="F2F2F2" w:themeFill="background1" w:themeFillShade="F2"/>
            <w:noWrap/>
            <w:hideMark/>
          </w:tcPr>
          <w:p w14:paraId="25D5F58E" w14:textId="77777777" w:rsidR="00DA7D6B" w:rsidRPr="0016789A" w:rsidRDefault="00DA7D6B">
            <w:pPr>
              <w:spacing w:after="0" w:line="240" w:lineRule="auto"/>
              <w:rPr>
                <w:rFonts w:asciiTheme="minorHAnsi" w:eastAsia="Times New Roman" w:hAnsiTheme="minorHAnsi" w:cs="Times New Roman"/>
                <w:szCs w:val="22"/>
                <w:lang w:eastAsia="en-AU"/>
              </w:rPr>
            </w:pPr>
          </w:p>
        </w:tc>
        <w:tc>
          <w:tcPr>
            <w:tcW w:w="1970" w:type="pct"/>
            <w:gridSpan w:val="2"/>
            <w:tcBorders>
              <w:right w:val="single" w:sz="8" w:space="0" w:color="D9D9D9" w:themeColor="background1" w:themeShade="D9"/>
            </w:tcBorders>
            <w:shd w:val="clear" w:color="auto" w:fill="F2F2F2" w:themeFill="background1" w:themeFillShade="F2"/>
            <w:hideMark/>
          </w:tcPr>
          <w:p w14:paraId="1C3A0521" w14:textId="77777777" w:rsidR="00DA7D6B" w:rsidRPr="0016789A" w:rsidRDefault="00DA7D6B">
            <w:pPr>
              <w:spacing w:after="0" w:line="240" w:lineRule="auto"/>
              <w:jc w:val="center"/>
              <w:rPr>
                <w:rFonts w:asciiTheme="minorHAnsi" w:eastAsia="Times New Roman" w:hAnsiTheme="minorHAnsi" w:cs="Times New Roman"/>
                <w:b/>
                <w:color w:val="000000"/>
                <w:szCs w:val="22"/>
                <w:lang w:eastAsia="en-AU"/>
              </w:rPr>
            </w:pPr>
            <w:r w:rsidRPr="0016789A">
              <w:rPr>
                <w:rFonts w:asciiTheme="minorHAnsi" w:eastAsia="Times New Roman" w:hAnsiTheme="minorHAnsi" w:cs="Times New Roman"/>
                <w:b/>
                <w:color w:val="000000"/>
                <w:szCs w:val="22"/>
                <w:lang w:eastAsia="en-AU"/>
              </w:rPr>
              <w:t>Infringement notices</w:t>
            </w:r>
          </w:p>
        </w:tc>
        <w:tc>
          <w:tcPr>
            <w:tcW w:w="2005" w:type="pct"/>
            <w:gridSpan w:val="3"/>
            <w:tcBorders>
              <w:top w:val="nil"/>
              <w:left w:val="single" w:sz="8" w:space="0" w:color="D9D9D9" w:themeColor="background1" w:themeShade="D9"/>
              <w:bottom w:val="single" w:sz="4" w:space="0" w:color="D9D9D9" w:themeColor="background1" w:themeShade="D9"/>
            </w:tcBorders>
            <w:shd w:val="clear" w:color="auto" w:fill="F2F2F2" w:themeFill="background1" w:themeFillShade="F2"/>
            <w:hideMark/>
          </w:tcPr>
          <w:p w14:paraId="78E393D5" w14:textId="77777777" w:rsidR="00DA7D6B" w:rsidRPr="0016789A" w:rsidRDefault="00DA7D6B">
            <w:pPr>
              <w:spacing w:after="0" w:line="240" w:lineRule="auto"/>
              <w:jc w:val="center"/>
              <w:rPr>
                <w:rFonts w:asciiTheme="minorHAnsi" w:eastAsia="Times New Roman" w:hAnsiTheme="minorHAnsi" w:cs="Times New Roman"/>
                <w:b/>
                <w:color w:val="000000"/>
                <w:szCs w:val="22"/>
                <w:lang w:eastAsia="en-AU"/>
              </w:rPr>
            </w:pPr>
            <w:r w:rsidRPr="0016789A">
              <w:rPr>
                <w:rFonts w:asciiTheme="minorHAnsi" w:eastAsia="Times New Roman" w:hAnsiTheme="minorHAnsi" w:cs="Times New Roman"/>
                <w:b/>
                <w:color w:val="000000"/>
                <w:szCs w:val="22"/>
                <w:lang w:eastAsia="en-AU"/>
              </w:rPr>
              <w:t>Enforceable undertakings</w:t>
            </w:r>
          </w:p>
        </w:tc>
      </w:tr>
      <w:tr w:rsidR="00DA7D6B" w:rsidRPr="0016789A" w14:paraId="4174EDE9" w14:textId="77777777" w:rsidTr="009E58DF">
        <w:trPr>
          <w:gridAfter w:val="1"/>
          <w:wAfter w:w="6" w:type="pct"/>
          <w:trHeight w:val="330"/>
        </w:trPr>
        <w:tc>
          <w:tcPr>
            <w:tcW w:w="1025" w:type="pct"/>
            <w:tcBorders>
              <w:top w:val="nil"/>
              <w:bottom w:val="single" w:sz="4" w:space="0" w:color="D9D9D9" w:themeColor="background1" w:themeShade="D9"/>
            </w:tcBorders>
            <w:shd w:val="clear" w:color="auto" w:fill="F2F2F2" w:themeFill="background1" w:themeFillShade="F2"/>
            <w:noWrap/>
            <w:vAlign w:val="bottom"/>
            <w:hideMark/>
          </w:tcPr>
          <w:p w14:paraId="407D9099" w14:textId="6C53DF97" w:rsidR="00DA7D6B" w:rsidRPr="0016789A" w:rsidRDefault="000D26F7" w:rsidP="000D26F7">
            <w:pPr>
              <w:spacing w:after="0" w:line="240" w:lineRule="auto"/>
              <w:rPr>
                <w:rFonts w:asciiTheme="minorHAnsi" w:eastAsia="Times New Roman" w:hAnsiTheme="minorHAnsi" w:cs="Times New Roman"/>
                <w:b/>
                <w:color w:val="000000"/>
                <w:szCs w:val="22"/>
                <w:lang w:eastAsia="en-AU"/>
              </w:rPr>
            </w:pPr>
            <w:r w:rsidRPr="0016789A">
              <w:rPr>
                <w:rFonts w:asciiTheme="minorHAnsi" w:eastAsia="Times New Roman" w:hAnsiTheme="minorHAnsi" w:cs="Times New Roman"/>
                <w:b/>
                <w:color w:val="000000"/>
                <w:szCs w:val="22"/>
                <w:lang w:eastAsia="en-AU"/>
              </w:rPr>
              <w:t>Jurisdiction</w:t>
            </w:r>
          </w:p>
        </w:tc>
        <w:tc>
          <w:tcPr>
            <w:tcW w:w="999" w:type="pct"/>
            <w:shd w:val="clear" w:color="auto" w:fill="F2F2F2" w:themeFill="background1" w:themeFillShade="F2"/>
            <w:noWrap/>
            <w:vAlign w:val="bottom"/>
            <w:hideMark/>
          </w:tcPr>
          <w:p w14:paraId="2C211327" w14:textId="77777777" w:rsidR="00DA7D6B" w:rsidRPr="0016789A" w:rsidRDefault="00DA7D6B" w:rsidP="000D26F7">
            <w:pPr>
              <w:spacing w:after="0" w:line="240" w:lineRule="auto"/>
              <w:jc w:val="right"/>
              <w:rPr>
                <w:rFonts w:asciiTheme="minorHAnsi" w:eastAsia="Times New Roman" w:hAnsiTheme="minorHAnsi" w:cs="Times New Roman"/>
                <w:b/>
                <w:color w:val="000000"/>
                <w:szCs w:val="22"/>
                <w:lang w:eastAsia="en-AU"/>
              </w:rPr>
            </w:pPr>
            <w:r w:rsidRPr="0016789A">
              <w:rPr>
                <w:rFonts w:asciiTheme="minorHAnsi" w:eastAsia="Times New Roman" w:hAnsiTheme="minorHAnsi" w:cs="Times New Roman"/>
                <w:b/>
                <w:color w:val="000000"/>
                <w:szCs w:val="22"/>
                <w:lang w:eastAsia="en-AU"/>
              </w:rPr>
              <w:t>Number</w:t>
            </w:r>
          </w:p>
        </w:tc>
        <w:tc>
          <w:tcPr>
            <w:tcW w:w="971" w:type="pct"/>
            <w:tcBorders>
              <w:right w:val="single" w:sz="8" w:space="0" w:color="D9D9D9" w:themeColor="background1" w:themeShade="D9"/>
            </w:tcBorders>
            <w:shd w:val="clear" w:color="auto" w:fill="F2F2F2" w:themeFill="background1" w:themeFillShade="F2"/>
            <w:noWrap/>
            <w:vAlign w:val="bottom"/>
            <w:hideMark/>
          </w:tcPr>
          <w:p w14:paraId="0BE88348" w14:textId="6AAD4AFB" w:rsidR="00DA7D6B" w:rsidRPr="0016789A" w:rsidRDefault="00DA7D6B" w:rsidP="000D26F7">
            <w:pPr>
              <w:spacing w:after="0" w:line="240" w:lineRule="auto"/>
              <w:jc w:val="right"/>
              <w:rPr>
                <w:rFonts w:asciiTheme="minorHAnsi" w:eastAsia="Times New Roman" w:hAnsiTheme="minorHAnsi" w:cs="Times New Roman"/>
                <w:b/>
                <w:color w:val="000000"/>
                <w:szCs w:val="22"/>
                <w:lang w:eastAsia="en-AU"/>
              </w:rPr>
            </w:pPr>
            <w:r w:rsidRPr="0016789A">
              <w:rPr>
                <w:rFonts w:asciiTheme="minorHAnsi" w:eastAsia="Times New Roman" w:hAnsiTheme="minorHAnsi" w:cs="Times New Roman"/>
                <w:b/>
                <w:color w:val="000000"/>
                <w:szCs w:val="22"/>
                <w:lang w:eastAsia="en-AU"/>
              </w:rPr>
              <w:t xml:space="preserve">Notices </w:t>
            </w:r>
            <w:r w:rsidR="000D26F7" w:rsidRPr="0016789A">
              <w:rPr>
                <w:rFonts w:asciiTheme="minorHAnsi" w:eastAsia="Times New Roman" w:hAnsiTheme="minorHAnsi" w:cs="Times New Roman"/>
                <w:b/>
                <w:color w:val="000000"/>
                <w:szCs w:val="22"/>
                <w:lang w:eastAsia="en-AU"/>
              </w:rPr>
              <w:br/>
            </w:r>
            <w:r w:rsidRPr="0016789A">
              <w:rPr>
                <w:rFonts w:asciiTheme="minorHAnsi" w:eastAsia="Times New Roman" w:hAnsiTheme="minorHAnsi" w:cs="Times New Roman"/>
                <w:b/>
                <w:color w:val="000000"/>
                <w:szCs w:val="22"/>
                <w:lang w:eastAsia="en-AU"/>
              </w:rPr>
              <w:t>per 1,000 employees</w:t>
            </w:r>
          </w:p>
        </w:tc>
        <w:tc>
          <w:tcPr>
            <w:tcW w:w="1000" w:type="pct"/>
            <w:tcBorders>
              <w:top w:val="single" w:sz="4" w:space="0" w:color="D9D9D9" w:themeColor="background1" w:themeShade="D9"/>
              <w:left w:val="single" w:sz="8" w:space="0" w:color="D9D9D9" w:themeColor="background1" w:themeShade="D9"/>
              <w:bottom w:val="single" w:sz="4" w:space="0" w:color="D9D9D9" w:themeColor="background1" w:themeShade="D9"/>
            </w:tcBorders>
            <w:shd w:val="clear" w:color="auto" w:fill="F2F2F2" w:themeFill="background1" w:themeFillShade="F2"/>
            <w:noWrap/>
            <w:vAlign w:val="bottom"/>
            <w:hideMark/>
          </w:tcPr>
          <w:p w14:paraId="720118E6" w14:textId="77777777" w:rsidR="00DA7D6B" w:rsidRPr="0016789A" w:rsidRDefault="00DA7D6B" w:rsidP="000D26F7">
            <w:pPr>
              <w:spacing w:after="0" w:line="240" w:lineRule="auto"/>
              <w:jc w:val="right"/>
              <w:rPr>
                <w:rFonts w:asciiTheme="minorHAnsi" w:eastAsia="Times New Roman" w:hAnsiTheme="minorHAnsi" w:cs="Times New Roman"/>
                <w:b/>
                <w:color w:val="000000"/>
                <w:szCs w:val="22"/>
                <w:lang w:eastAsia="en-AU"/>
              </w:rPr>
            </w:pPr>
            <w:r w:rsidRPr="0016789A">
              <w:rPr>
                <w:rFonts w:asciiTheme="minorHAnsi" w:eastAsia="Times New Roman" w:hAnsiTheme="minorHAnsi" w:cs="Times New Roman"/>
                <w:b/>
                <w:color w:val="000000"/>
                <w:szCs w:val="22"/>
                <w:lang w:eastAsia="en-AU"/>
              </w:rPr>
              <w:t>Number</w:t>
            </w:r>
          </w:p>
        </w:tc>
        <w:tc>
          <w:tcPr>
            <w:tcW w:w="999" w:type="pct"/>
            <w:shd w:val="clear" w:color="auto" w:fill="F2F2F2" w:themeFill="background1" w:themeFillShade="F2"/>
            <w:noWrap/>
            <w:vAlign w:val="bottom"/>
            <w:hideMark/>
          </w:tcPr>
          <w:p w14:paraId="2F253527" w14:textId="77777777" w:rsidR="00DA7D6B" w:rsidRPr="0016789A" w:rsidRDefault="00DA7D6B" w:rsidP="000D26F7">
            <w:pPr>
              <w:spacing w:after="0" w:line="240" w:lineRule="auto"/>
              <w:jc w:val="right"/>
              <w:rPr>
                <w:rFonts w:asciiTheme="minorHAnsi" w:eastAsia="Times New Roman" w:hAnsiTheme="minorHAnsi" w:cs="Times New Roman"/>
                <w:b/>
                <w:color w:val="000000"/>
                <w:szCs w:val="22"/>
                <w:lang w:eastAsia="en-AU"/>
              </w:rPr>
            </w:pPr>
            <w:r w:rsidRPr="0016789A">
              <w:rPr>
                <w:rFonts w:asciiTheme="minorHAnsi" w:eastAsia="Times New Roman" w:hAnsiTheme="minorHAnsi" w:cs="Times New Roman"/>
                <w:b/>
                <w:color w:val="000000"/>
                <w:szCs w:val="22"/>
                <w:lang w:eastAsia="en-AU"/>
              </w:rPr>
              <w:t>Undertakings per 100,000 employees</w:t>
            </w:r>
          </w:p>
        </w:tc>
      </w:tr>
      <w:tr w:rsidR="00DA7D6B" w:rsidRPr="0016789A" w14:paraId="3C3A38E2" w14:textId="77777777" w:rsidTr="009E58DF">
        <w:trPr>
          <w:gridAfter w:val="1"/>
          <w:wAfter w:w="6" w:type="pct"/>
          <w:trHeight w:val="27"/>
        </w:trPr>
        <w:tc>
          <w:tcPr>
            <w:tcW w:w="1025" w:type="pct"/>
            <w:tcBorders>
              <w:top w:val="single" w:sz="4" w:space="0" w:color="D9D9D9" w:themeColor="background1" w:themeShade="D9"/>
            </w:tcBorders>
            <w:noWrap/>
            <w:hideMark/>
          </w:tcPr>
          <w:p w14:paraId="3DD7EE31" w14:textId="77777777" w:rsidR="00DA7D6B" w:rsidRPr="0016789A" w:rsidRDefault="00DA7D6B">
            <w:pPr>
              <w:spacing w:after="0" w:line="240" w:lineRule="auto"/>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NSW</w:t>
            </w:r>
          </w:p>
        </w:tc>
        <w:tc>
          <w:tcPr>
            <w:tcW w:w="999" w:type="pct"/>
            <w:noWrap/>
            <w:hideMark/>
          </w:tcPr>
          <w:p w14:paraId="1FD9B2E2"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1,590</w:t>
            </w:r>
          </w:p>
        </w:tc>
        <w:tc>
          <w:tcPr>
            <w:tcW w:w="971" w:type="pct"/>
            <w:tcBorders>
              <w:right w:val="single" w:sz="8" w:space="0" w:color="D9D9D9" w:themeColor="background1" w:themeShade="D9"/>
            </w:tcBorders>
            <w:hideMark/>
          </w:tcPr>
          <w:p w14:paraId="7DB03CD9"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0.4</w:t>
            </w:r>
          </w:p>
        </w:tc>
        <w:tc>
          <w:tcPr>
            <w:tcW w:w="1000" w:type="pct"/>
            <w:tcBorders>
              <w:top w:val="single" w:sz="4" w:space="0" w:color="D9D9D9" w:themeColor="background1" w:themeShade="D9"/>
              <w:left w:val="single" w:sz="8" w:space="0" w:color="D9D9D9" w:themeColor="background1" w:themeShade="D9"/>
              <w:bottom w:val="single" w:sz="4" w:space="0" w:color="D9D9D9" w:themeColor="background1" w:themeShade="D9"/>
            </w:tcBorders>
            <w:noWrap/>
            <w:hideMark/>
          </w:tcPr>
          <w:p w14:paraId="6D1B4C3D"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8</w:t>
            </w:r>
          </w:p>
        </w:tc>
        <w:tc>
          <w:tcPr>
            <w:tcW w:w="999" w:type="pct"/>
            <w:hideMark/>
          </w:tcPr>
          <w:p w14:paraId="4B48A04B"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0.2</w:t>
            </w:r>
          </w:p>
        </w:tc>
      </w:tr>
      <w:tr w:rsidR="00DA7D6B" w:rsidRPr="0016789A" w14:paraId="0AA44D1B" w14:textId="77777777" w:rsidTr="0016789A">
        <w:trPr>
          <w:gridAfter w:val="1"/>
          <w:wAfter w:w="6" w:type="pct"/>
          <w:trHeight w:val="17"/>
        </w:trPr>
        <w:tc>
          <w:tcPr>
            <w:tcW w:w="1025" w:type="pct"/>
            <w:noWrap/>
          </w:tcPr>
          <w:p w14:paraId="20A51590" w14:textId="77777777" w:rsidR="00DA7D6B" w:rsidRPr="00D3503C" w:rsidRDefault="00DA7D6B">
            <w:pPr>
              <w:spacing w:after="0" w:line="240" w:lineRule="auto"/>
              <w:rPr>
                <w:rFonts w:asciiTheme="minorHAnsi" w:eastAsia="Times New Roman" w:hAnsiTheme="minorHAnsi" w:cs="Times New Roman"/>
                <w:color w:val="000000"/>
                <w:szCs w:val="22"/>
                <w:lang w:eastAsia="en-AU"/>
              </w:rPr>
            </w:pPr>
            <w:r w:rsidRPr="00D3503C">
              <w:rPr>
                <w:rFonts w:asciiTheme="minorHAnsi" w:eastAsia="Times New Roman" w:hAnsiTheme="minorHAnsi" w:cs="Times New Roman"/>
                <w:color w:val="000000"/>
                <w:szCs w:val="22"/>
                <w:lang w:eastAsia="en-AU"/>
              </w:rPr>
              <w:t>Queensland</w:t>
            </w:r>
          </w:p>
        </w:tc>
        <w:tc>
          <w:tcPr>
            <w:tcW w:w="999" w:type="pct"/>
            <w:noWrap/>
          </w:tcPr>
          <w:p w14:paraId="7838F885"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899</w:t>
            </w:r>
          </w:p>
        </w:tc>
        <w:tc>
          <w:tcPr>
            <w:tcW w:w="971" w:type="pct"/>
            <w:tcBorders>
              <w:right w:val="single" w:sz="8" w:space="0" w:color="D9D9D9" w:themeColor="background1" w:themeShade="D9"/>
            </w:tcBorders>
          </w:tcPr>
          <w:p w14:paraId="3CA303E6"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0.3</w:t>
            </w:r>
          </w:p>
        </w:tc>
        <w:tc>
          <w:tcPr>
            <w:tcW w:w="1000" w:type="pct"/>
            <w:tcBorders>
              <w:top w:val="single" w:sz="4" w:space="0" w:color="D9D9D9" w:themeColor="background1" w:themeShade="D9"/>
              <w:left w:val="single" w:sz="8" w:space="0" w:color="D9D9D9" w:themeColor="background1" w:themeShade="D9"/>
              <w:bottom w:val="single" w:sz="4" w:space="0" w:color="D9D9D9" w:themeColor="background1" w:themeShade="D9"/>
            </w:tcBorders>
            <w:noWrap/>
          </w:tcPr>
          <w:p w14:paraId="54D95284"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4</w:t>
            </w:r>
          </w:p>
        </w:tc>
        <w:tc>
          <w:tcPr>
            <w:tcW w:w="999" w:type="pct"/>
          </w:tcPr>
          <w:p w14:paraId="303F6221"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0.2</w:t>
            </w:r>
          </w:p>
        </w:tc>
      </w:tr>
      <w:tr w:rsidR="00DA7D6B" w:rsidRPr="0016789A" w14:paraId="770186FA" w14:textId="77777777" w:rsidTr="0016789A">
        <w:trPr>
          <w:gridAfter w:val="1"/>
          <w:wAfter w:w="6" w:type="pct"/>
          <w:trHeight w:val="17"/>
        </w:trPr>
        <w:tc>
          <w:tcPr>
            <w:tcW w:w="1025" w:type="pct"/>
            <w:noWrap/>
          </w:tcPr>
          <w:p w14:paraId="5C2EB25D" w14:textId="77777777" w:rsidR="00DA7D6B" w:rsidRPr="00D3503C" w:rsidRDefault="00DA7D6B">
            <w:pPr>
              <w:spacing w:after="0" w:line="240" w:lineRule="auto"/>
              <w:rPr>
                <w:rFonts w:asciiTheme="minorHAnsi" w:eastAsia="Times New Roman" w:hAnsiTheme="minorHAnsi" w:cs="Times New Roman"/>
                <w:color w:val="000000"/>
                <w:szCs w:val="22"/>
                <w:lang w:eastAsia="en-AU"/>
              </w:rPr>
            </w:pPr>
            <w:r w:rsidRPr="00D3503C">
              <w:rPr>
                <w:rFonts w:asciiTheme="minorHAnsi" w:eastAsia="Times New Roman" w:hAnsiTheme="minorHAnsi" w:cs="Times New Roman"/>
                <w:color w:val="000000"/>
                <w:szCs w:val="22"/>
                <w:lang w:eastAsia="en-AU"/>
              </w:rPr>
              <w:t>ACT</w:t>
            </w:r>
          </w:p>
        </w:tc>
        <w:tc>
          <w:tcPr>
            <w:tcW w:w="999" w:type="pct"/>
            <w:noWrap/>
          </w:tcPr>
          <w:p w14:paraId="067D8469"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164</w:t>
            </w:r>
          </w:p>
        </w:tc>
        <w:tc>
          <w:tcPr>
            <w:tcW w:w="971" w:type="pct"/>
            <w:tcBorders>
              <w:right w:val="single" w:sz="8" w:space="0" w:color="D9D9D9" w:themeColor="background1" w:themeShade="D9"/>
            </w:tcBorders>
          </w:tcPr>
          <w:p w14:paraId="184D75D5"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0.9</w:t>
            </w:r>
          </w:p>
        </w:tc>
        <w:tc>
          <w:tcPr>
            <w:tcW w:w="1000" w:type="pct"/>
            <w:tcBorders>
              <w:top w:val="single" w:sz="4" w:space="0" w:color="D9D9D9" w:themeColor="background1" w:themeShade="D9"/>
              <w:left w:val="single" w:sz="8" w:space="0" w:color="D9D9D9" w:themeColor="background1" w:themeShade="D9"/>
              <w:bottom w:val="single" w:sz="4" w:space="0" w:color="D9D9D9" w:themeColor="background1" w:themeShade="D9"/>
            </w:tcBorders>
            <w:noWrap/>
          </w:tcPr>
          <w:p w14:paraId="6EAE1D01"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0</w:t>
            </w:r>
          </w:p>
        </w:tc>
        <w:tc>
          <w:tcPr>
            <w:tcW w:w="999" w:type="pct"/>
          </w:tcPr>
          <w:p w14:paraId="289BAB26"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0.0</w:t>
            </w:r>
          </w:p>
        </w:tc>
      </w:tr>
      <w:tr w:rsidR="00DA7D6B" w:rsidRPr="0016789A" w14:paraId="7E300EBE" w14:textId="77777777" w:rsidTr="0016789A">
        <w:trPr>
          <w:gridAfter w:val="1"/>
          <w:wAfter w:w="6" w:type="pct"/>
          <w:trHeight w:val="17"/>
        </w:trPr>
        <w:tc>
          <w:tcPr>
            <w:tcW w:w="1025" w:type="pct"/>
            <w:noWrap/>
            <w:hideMark/>
          </w:tcPr>
          <w:p w14:paraId="10A40B2D" w14:textId="77777777" w:rsidR="00DA7D6B" w:rsidRPr="00D3503C" w:rsidRDefault="00DA7D6B">
            <w:pPr>
              <w:spacing w:after="0" w:line="240" w:lineRule="auto"/>
              <w:rPr>
                <w:rFonts w:asciiTheme="minorHAnsi" w:eastAsia="Times New Roman" w:hAnsiTheme="minorHAnsi" w:cs="Times New Roman"/>
                <w:color w:val="000000"/>
                <w:szCs w:val="22"/>
                <w:lang w:eastAsia="en-AU"/>
              </w:rPr>
            </w:pPr>
            <w:r w:rsidRPr="00D3503C">
              <w:rPr>
                <w:rFonts w:asciiTheme="minorHAnsi" w:eastAsia="Times New Roman" w:hAnsiTheme="minorHAnsi" w:cs="Times New Roman"/>
                <w:color w:val="000000"/>
                <w:szCs w:val="22"/>
                <w:lang w:eastAsia="en-AU"/>
              </w:rPr>
              <w:t>Victoria</w:t>
            </w:r>
          </w:p>
        </w:tc>
        <w:tc>
          <w:tcPr>
            <w:tcW w:w="999" w:type="pct"/>
            <w:noWrap/>
            <w:hideMark/>
          </w:tcPr>
          <w:p w14:paraId="004D759F"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41</w:t>
            </w:r>
          </w:p>
        </w:tc>
        <w:tc>
          <w:tcPr>
            <w:tcW w:w="971" w:type="pct"/>
            <w:tcBorders>
              <w:right w:val="single" w:sz="8" w:space="0" w:color="D9D9D9" w:themeColor="background1" w:themeShade="D9"/>
            </w:tcBorders>
            <w:hideMark/>
          </w:tcPr>
          <w:p w14:paraId="36A6180C"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&lt;0.1</w:t>
            </w:r>
          </w:p>
        </w:tc>
        <w:tc>
          <w:tcPr>
            <w:tcW w:w="1000" w:type="pct"/>
            <w:tcBorders>
              <w:top w:val="single" w:sz="4" w:space="0" w:color="D9D9D9" w:themeColor="background1" w:themeShade="D9"/>
              <w:left w:val="single" w:sz="8" w:space="0" w:color="D9D9D9" w:themeColor="background1" w:themeShade="D9"/>
              <w:bottom w:val="single" w:sz="4" w:space="0" w:color="D9D9D9" w:themeColor="background1" w:themeShade="D9"/>
            </w:tcBorders>
            <w:noWrap/>
            <w:hideMark/>
          </w:tcPr>
          <w:p w14:paraId="1CF5628C"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7</w:t>
            </w:r>
          </w:p>
        </w:tc>
        <w:tc>
          <w:tcPr>
            <w:tcW w:w="999" w:type="pct"/>
            <w:hideMark/>
          </w:tcPr>
          <w:p w14:paraId="0CD26317"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0.2</w:t>
            </w:r>
          </w:p>
        </w:tc>
      </w:tr>
      <w:tr w:rsidR="00DA7D6B" w:rsidRPr="0016789A" w14:paraId="76A07ABE" w14:textId="77777777" w:rsidTr="0016789A">
        <w:trPr>
          <w:gridAfter w:val="1"/>
          <w:wAfter w:w="6" w:type="pct"/>
          <w:trHeight w:val="17"/>
        </w:trPr>
        <w:tc>
          <w:tcPr>
            <w:tcW w:w="1025" w:type="pct"/>
            <w:noWrap/>
            <w:hideMark/>
          </w:tcPr>
          <w:p w14:paraId="14B2815E" w14:textId="77777777" w:rsidR="00DA7D6B" w:rsidRPr="00D3503C" w:rsidRDefault="00DA7D6B">
            <w:pPr>
              <w:spacing w:after="0" w:line="240" w:lineRule="auto"/>
              <w:rPr>
                <w:rFonts w:asciiTheme="minorHAnsi" w:eastAsia="Times New Roman" w:hAnsiTheme="minorHAnsi" w:cs="Times New Roman"/>
                <w:color w:val="000000"/>
                <w:szCs w:val="22"/>
                <w:lang w:eastAsia="en-AU"/>
              </w:rPr>
            </w:pPr>
            <w:r w:rsidRPr="00D3503C">
              <w:rPr>
                <w:rFonts w:asciiTheme="minorHAnsi" w:eastAsia="Times New Roman" w:hAnsiTheme="minorHAnsi" w:cs="Times New Roman"/>
                <w:color w:val="000000"/>
                <w:szCs w:val="22"/>
                <w:lang w:eastAsia="en-AU"/>
              </w:rPr>
              <w:t>SA</w:t>
            </w:r>
          </w:p>
        </w:tc>
        <w:tc>
          <w:tcPr>
            <w:tcW w:w="999" w:type="pct"/>
            <w:noWrap/>
            <w:hideMark/>
          </w:tcPr>
          <w:p w14:paraId="1F19ADD2"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41</w:t>
            </w:r>
          </w:p>
        </w:tc>
        <w:tc>
          <w:tcPr>
            <w:tcW w:w="971" w:type="pct"/>
            <w:tcBorders>
              <w:right w:val="single" w:sz="8" w:space="0" w:color="D9D9D9" w:themeColor="background1" w:themeShade="D9"/>
            </w:tcBorders>
            <w:hideMark/>
          </w:tcPr>
          <w:p w14:paraId="372E0D62"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&lt;0.1</w:t>
            </w:r>
          </w:p>
        </w:tc>
        <w:tc>
          <w:tcPr>
            <w:tcW w:w="1000" w:type="pct"/>
            <w:tcBorders>
              <w:top w:val="single" w:sz="4" w:space="0" w:color="D9D9D9" w:themeColor="background1" w:themeShade="D9"/>
              <w:left w:val="single" w:sz="8" w:space="0" w:color="D9D9D9" w:themeColor="background1" w:themeShade="D9"/>
              <w:bottom w:val="single" w:sz="4" w:space="0" w:color="D9D9D9" w:themeColor="background1" w:themeShade="D9"/>
            </w:tcBorders>
            <w:noWrap/>
            <w:hideMark/>
          </w:tcPr>
          <w:p w14:paraId="7CC43600"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3</w:t>
            </w:r>
          </w:p>
        </w:tc>
        <w:tc>
          <w:tcPr>
            <w:tcW w:w="999" w:type="pct"/>
            <w:hideMark/>
          </w:tcPr>
          <w:p w14:paraId="0E589032"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0.4</w:t>
            </w:r>
          </w:p>
        </w:tc>
      </w:tr>
      <w:tr w:rsidR="00DA7D6B" w:rsidRPr="0016789A" w14:paraId="06D591CB" w14:textId="77777777" w:rsidTr="0016789A">
        <w:trPr>
          <w:gridAfter w:val="1"/>
          <w:wAfter w:w="6" w:type="pct"/>
          <w:trHeight w:val="17"/>
        </w:trPr>
        <w:tc>
          <w:tcPr>
            <w:tcW w:w="1025" w:type="pct"/>
            <w:noWrap/>
          </w:tcPr>
          <w:p w14:paraId="0591CE27" w14:textId="77777777" w:rsidR="00DA7D6B" w:rsidRPr="00D3503C" w:rsidRDefault="00DA7D6B">
            <w:pPr>
              <w:spacing w:after="0" w:line="240" w:lineRule="auto"/>
              <w:rPr>
                <w:rFonts w:asciiTheme="minorHAnsi" w:eastAsia="Times New Roman" w:hAnsiTheme="minorHAnsi" w:cs="Times New Roman"/>
                <w:color w:val="000000"/>
                <w:szCs w:val="22"/>
                <w:lang w:eastAsia="en-AU"/>
              </w:rPr>
            </w:pPr>
            <w:r w:rsidRPr="00D3503C">
              <w:rPr>
                <w:rFonts w:asciiTheme="minorHAnsi" w:eastAsia="Times New Roman" w:hAnsiTheme="minorHAnsi" w:cs="Times New Roman"/>
                <w:color w:val="000000"/>
                <w:szCs w:val="22"/>
                <w:lang w:eastAsia="en-AU"/>
              </w:rPr>
              <w:t>NT</w:t>
            </w:r>
          </w:p>
        </w:tc>
        <w:tc>
          <w:tcPr>
            <w:tcW w:w="999" w:type="pct"/>
            <w:noWrap/>
          </w:tcPr>
          <w:p w14:paraId="459E5CD9"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31</w:t>
            </w:r>
          </w:p>
        </w:tc>
        <w:tc>
          <w:tcPr>
            <w:tcW w:w="971" w:type="pct"/>
            <w:tcBorders>
              <w:right w:val="single" w:sz="8" w:space="0" w:color="D9D9D9" w:themeColor="background1" w:themeShade="D9"/>
            </w:tcBorders>
          </w:tcPr>
          <w:p w14:paraId="675CD0E3"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0.2</w:t>
            </w:r>
          </w:p>
        </w:tc>
        <w:tc>
          <w:tcPr>
            <w:tcW w:w="1000" w:type="pct"/>
            <w:tcBorders>
              <w:top w:val="single" w:sz="4" w:space="0" w:color="D9D9D9" w:themeColor="background1" w:themeShade="D9"/>
              <w:left w:val="single" w:sz="8" w:space="0" w:color="D9D9D9" w:themeColor="background1" w:themeShade="D9"/>
              <w:bottom w:val="single" w:sz="4" w:space="0" w:color="D9D9D9" w:themeColor="background1" w:themeShade="D9"/>
            </w:tcBorders>
            <w:noWrap/>
          </w:tcPr>
          <w:p w14:paraId="6EC68F6B"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1</w:t>
            </w:r>
          </w:p>
        </w:tc>
        <w:tc>
          <w:tcPr>
            <w:tcW w:w="999" w:type="pct"/>
          </w:tcPr>
          <w:p w14:paraId="5278FED8"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0.8</w:t>
            </w:r>
          </w:p>
        </w:tc>
      </w:tr>
      <w:tr w:rsidR="00DA7D6B" w:rsidRPr="0016789A" w14:paraId="616D95FD" w14:textId="77777777" w:rsidTr="0016789A">
        <w:trPr>
          <w:gridAfter w:val="1"/>
          <w:wAfter w:w="6" w:type="pct"/>
          <w:trHeight w:val="17"/>
        </w:trPr>
        <w:tc>
          <w:tcPr>
            <w:tcW w:w="1025" w:type="pct"/>
            <w:noWrap/>
          </w:tcPr>
          <w:p w14:paraId="4A46CCBF" w14:textId="77777777" w:rsidR="00DA7D6B" w:rsidRPr="00D3503C" w:rsidRDefault="00DA7D6B">
            <w:pPr>
              <w:spacing w:after="0" w:line="240" w:lineRule="auto"/>
              <w:rPr>
                <w:rFonts w:asciiTheme="minorHAnsi" w:eastAsia="Times New Roman" w:hAnsiTheme="minorHAnsi" w:cs="Times New Roman"/>
                <w:color w:val="000000"/>
                <w:szCs w:val="22"/>
                <w:lang w:eastAsia="en-AU"/>
              </w:rPr>
            </w:pPr>
            <w:r w:rsidRPr="00D3503C">
              <w:rPr>
                <w:rFonts w:asciiTheme="minorHAnsi" w:eastAsia="Times New Roman" w:hAnsiTheme="minorHAnsi" w:cs="Times New Roman"/>
                <w:color w:val="000000"/>
                <w:szCs w:val="22"/>
                <w:lang w:eastAsia="en-AU"/>
              </w:rPr>
              <w:t>Tasmania</w:t>
            </w:r>
          </w:p>
        </w:tc>
        <w:tc>
          <w:tcPr>
            <w:tcW w:w="999" w:type="pct"/>
            <w:noWrap/>
          </w:tcPr>
          <w:p w14:paraId="1929977A"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11</w:t>
            </w:r>
          </w:p>
        </w:tc>
        <w:tc>
          <w:tcPr>
            <w:tcW w:w="971" w:type="pct"/>
            <w:tcBorders>
              <w:right w:val="single" w:sz="8" w:space="0" w:color="D9D9D9" w:themeColor="background1" w:themeShade="D9"/>
            </w:tcBorders>
          </w:tcPr>
          <w:p w14:paraId="6BA4DFDC"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&lt;0.1</w:t>
            </w:r>
          </w:p>
        </w:tc>
        <w:tc>
          <w:tcPr>
            <w:tcW w:w="1000" w:type="pct"/>
            <w:tcBorders>
              <w:top w:val="single" w:sz="4" w:space="0" w:color="D9D9D9" w:themeColor="background1" w:themeShade="D9"/>
              <w:left w:val="single" w:sz="8" w:space="0" w:color="D9D9D9" w:themeColor="background1" w:themeShade="D9"/>
              <w:bottom w:val="single" w:sz="4" w:space="0" w:color="D9D9D9" w:themeColor="background1" w:themeShade="D9"/>
            </w:tcBorders>
            <w:noWrap/>
          </w:tcPr>
          <w:p w14:paraId="2F2CF222"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0</w:t>
            </w:r>
          </w:p>
        </w:tc>
        <w:tc>
          <w:tcPr>
            <w:tcW w:w="999" w:type="pct"/>
          </w:tcPr>
          <w:p w14:paraId="6A51DBE3"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0.0</w:t>
            </w:r>
          </w:p>
        </w:tc>
      </w:tr>
      <w:tr w:rsidR="00DA7D6B" w:rsidRPr="0016789A" w14:paraId="1AE1687A" w14:textId="77777777" w:rsidTr="0016789A">
        <w:trPr>
          <w:gridAfter w:val="1"/>
          <w:wAfter w:w="6" w:type="pct"/>
          <w:trHeight w:val="17"/>
        </w:trPr>
        <w:tc>
          <w:tcPr>
            <w:tcW w:w="1025" w:type="pct"/>
            <w:noWrap/>
            <w:hideMark/>
          </w:tcPr>
          <w:p w14:paraId="441FF4C9" w14:textId="77777777" w:rsidR="00DA7D6B" w:rsidRPr="00D3503C" w:rsidRDefault="00DA7D6B">
            <w:pPr>
              <w:spacing w:after="0" w:line="240" w:lineRule="auto"/>
              <w:rPr>
                <w:rFonts w:asciiTheme="minorHAnsi" w:eastAsia="Times New Roman" w:hAnsiTheme="minorHAnsi" w:cs="Times New Roman"/>
                <w:color w:val="000000"/>
                <w:szCs w:val="22"/>
                <w:lang w:eastAsia="en-AU"/>
              </w:rPr>
            </w:pPr>
            <w:r w:rsidRPr="00D3503C">
              <w:rPr>
                <w:rFonts w:asciiTheme="minorHAnsi" w:eastAsia="Times New Roman" w:hAnsiTheme="minorHAnsi" w:cs="Times New Roman"/>
                <w:color w:val="000000"/>
                <w:szCs w:val="22"/>
                <w:lang w:eastAsia="en-AU"/>
              </w:rPr>
              <w:t>WA</w:t>
            </w:r>
          </w:p>
        </w:tc>
        <w:tc>
          <w:tcPr>
            <w:tcW w:w="999" w:type="pct"/>
            <w:noWrap/>
            <w:hideMark/>
          </w:tcPr>
          <w:p w14:paraId="18FE8FC0"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themeColor="text1"/>
                <w:szCs w:val="22"/>
                <w:lang w:eastAsia="en-AU"/>
              </w:rPr>
              <w:t>N/A</w:t>
            </w:r>
            <w:r w:rsidRPr="0016789A">
              <w:rPr>
                <w:rStyle w:val="FootnoteReference"/>
                <w:rFonts w:asciiTheme="minorHAnsi" w:eastAsia="Times New Roman" w:hAnsiTheme="minorHAnsi" w:cs="Times New Roman"/>
                <w:color w:val="000000"/>
                <w:szCs w:val="22"/>
                <w:lang w:eastAsia="en-AU"/>
              </w:rPr>
              <w:footnoteReference w:id="775"/>
            </w:r>
          </w:p>
        </w:tc>
        <w:tc>
          <w:tcPr>
            <w:tcW w:w="971" w:type="pct"/>
            <w:tcBorders>
              <w:right w:val="single" w:sz="8" w:space="0" w:color="D9D9D9" w:themeColor="background1" w:themeShade="D9"/>
            </w:tcBorders>
            <w:hideMark/>
          </w:tcPr>
          <w:p w14:paraId="78DD6C39"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N/A</w:t>
            </w:r>
          </w:p>
        </w:tc>
        <w:tc>
          <w:tcPr>
            <w:tcW w:w="1000" w:type="pct"/>
            <w:tcBorders>
              <w:top w:val="single" w:sz="4" w:space="0" w:color="D9D9D9" w:themeColor="background1" w:themeShade="D9"/>
              <w:left w:val="single" w:sz="8" w:space="0" w:color="D9D9D9" w:themeColor="background1" w:themeShade="D9"/>
              <w:bottom w:val="single" w:sz="4" w:space="0" w:color="D9D9D9" w:themeColor="background1" w:themeShade="D9"/>
            </w:tcBorders>
            <w:noWrap/>
            <w:hideMark/>
          </w:tcPr>
          <w:p w14:paraId="618DBEBE"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1</w:t>
            </w:r>
          </w:p>
        </w:tc>
        <w:tc>
          <w:tcPr>
            <w:tcW w:w="999" w:type="pct"/>
            <w:hideMark/>
          </w:tcPr>
          <w:p w14:paraId="15DB5891"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0.1</w:t>
            </w:r>
          </w:p>
        </w:tc>
      </w:tr>
      <w:tr w:rsidR="00DA7D6B" w:rsidRPr="0016789A" w14:paraId="7C9BF6D7" w14:textId="77777777" w:rsidTr="0016789A">
        <w:trPr>
          <w:gridAfter w:val="1"/>
          <w:wAfter w:w="6" w:type="pct"/>
          <w:trHeight w:val="17"/>
        </w:trPr>
        <w:tc>
          <w:tcPr>
            <w:tcW w:w="1025" w:type="pct"/>
            <w:noWrap/>
          </w:tcPr>
          <w:p w14:paraId="5471D3D4" w14:textId="77777777" w:rsidR="00DA7D6B" w:rsidRPr="0016789A" w:rsidRDefault="00DA7D6B">
            <w:pPr>
              <w:spacing w:after="0" w:line="240" w:lineRule="auto"/>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Commonwealth</w:t>
            </w:r>
          </w:p>
        </w:tc>
        <w:tc>
          <w:tcPr>
            <w:tcW w:w="999" w:type="pct"/>
            <w:noWrap/>
          </w:tcPr>
          <w:p w14:paraId="2DD85F1B"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N/A</w:t>
            </w:r>
          </w:p>
        </w:tc>
        <w:tc>
          <w:tcPr>
            <w:tcW w:w="971" w:type="pct"/>
            <w:tcBorders>
              <w:right w:val="single" w:sz="8" w:space="0" w:color="D9D9D9" w:themeColor="background1" w:themeShade="D9"/>
            </w:tcBorders>
          </w:tcPr>
          <w:p w14:paraId="60C568A5"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N/A</w:t>
            </w:r>
          </w:p>
        </w:tc>
        <w:tc>
          <w:tcPr>
            <w:tcW w:w="1000" w:type="pct"/>
            <w:tcBorders>
              <w:top w:val="single" w:sz="4" w:space="0" w:color="D9D9D9" w:themeColor="background1" w:themeShade="D9"/>
              <w:left w:val="single" w:sz="8" w:space="0" w:color="D9D9D9" w:themeColor="background1" w:themeShade="D9"/>
              <w:bottom w:val="single" w:sz="4" w:space="0" w:color="D9D9D9" w:themeColor="background1" w:themeShade="D9"/>
            </w:tcBorders>
            <w:noWrap/>
          </w:tcPr>
          <w:p w14:paraId="104C79FB"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0</w:t>
            </w:r>
          </w:p>
        </w:tc>
        <w:tc>
          <w:tcPr>
            <w:tcW w:w="999" w:type="pct"/>
          </w:tcPr>
          <w:p w14:paraId="60F04535"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0.0</w:t>
            </w:r>
          </w:p>
        </w:tc>
      </w:tr>
      <w:tr w:rsidR="00DA7D6B" w:rsidRPr="0016789A" w14:paraId="1CE7D51A" w14:textId="77777777" w:rsidTr="0016789A">
        <w:trPr>
          <w:gridAfter w:val="1"/>
          <w:wAfter w:w="6" w:type="pct"/>
          <w:trHeight w:val="17"/>
        </w:trPr>
        <w:tc>
          <w:tcPr>
            <w:tcW w:w="1025" w:type="pct"/>
            <w:noWrap/>
          </w:tcPr>
          <w:p w14:paraId="0659883A" w14:textId="77777777" w:rsidR="00DA7D6B" w:rsidRPr="0016789A" w:rsidRDefault="00DA7D6B">
            <w:pPr>
              <w:spacing w:after="0" w:line="240" w:lineRule="auto"/>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Seacare</w:t>
            </w:r>
          </w:p>
        </w:tc>
        <w:tc>
          <w:tcPr>
            <w:tcW w:w="999" w:type="pct"/>
            <w:noWrap/>
          </w:tcPr>
          <w:p w14:paraId="33CBBEC3"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N/A</w:t>
            </w:r>
          </w:p>
        </w:tc>
        <w:tc>
          <w:tcPr>
            <w:tcW w:w="971" w:type="pct"/>
            <w:tcBorders>
              <w:right w:val="single" w:sz="8" w:space="0" w:color="D9D9D9" w:themeColor="background1" w:themeShade="D9"/>
            </w:tcBorders>
          </w:tcPr>
          <w:p w14:paraId="2A620054"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N/A</w:t>
            </w:r>
          </w:p>
        </w:tc>
        <w:tc>
          <w:tcPr>
            <w:tcW w:w="1000" w:type="pct"/>
            <w:tcBorders>
              <w:top w:val="single" w:sz="4" w:space="0" w:color="D9D9D9" w:themeColor="background1" w:themeShade="D9"/>
              <w:left w:val="single" w:sz="8" w:space="0" w:color="D9D9D9" w:themeColor="background1" w:themeShade="D9"/>
              <w:bottom w:val="single" w:sz="4" w:space="0" w:color="D9D9D9" w:themeColor="background1" w:themeShade="D9"/>
            </w:tcBorders>
            <w:noWrap/>
          </w:tcPr>
          <w:p w14:paraId="0CB366EB"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0</w:t>
            </w:r>
          </w:p>
        </w:tc>
        <w:tc>
          <w:tcPr>
            <w:tcW w:w="999" w:type="pct"/>
          </w:tcPr>
          <w:p w14:paraId="597FF506"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0.0</w:t>
            </w:r>
          </w:p>
        </w:tc>
      </w:tr>
      <w:tr w:rsidR="00DA7D6B" w:rsidRPr="0016789A" w14:paraId="689B1B20" w14:textId="77777777" w:rsidTr="0016789A">
        <w:trPr>
          <w:gridAfter w:val="1"/>
          <w:wAfter w:w="6" w:type="pct"/>
          <w:trHeight w:val="315"/>
        </w:trPr>
        <w:tc>
          <w:tcPr>
            <w:tcW w:w="1025" w:type="pct"/>
            <w:shd w:val="clear" w:color="auto" w:fill="F2F2F2" w:themeFill="background1" w:themeFillShade="F2"/>
            <w:noWrap/>
            <w:hideMark/>
          </w:tcPr>
          <w:p w14:paraId="04E70BD5" w14:textId="77777777" w:rsidR="00DA7D6B" w:rsidRPr="0016789A" w:rsidRDefault="00DA7D6B" w:rsidP="000D26F7">
            <w:pPr>
              <w:spacing w:after="0" w:line="240" w:lineRule="auto"/>
              <w:rPr>
                <w:rFonts w:asciiTheme="minorHAnsi" w:eastAsia="Times New Roman" w:hAnsiTheme="minorHAnsi" w:cs="Times New Roman"/>
                <w:b/>
                <w:color w:val="000000"/>
                <w:szCs w:val="22"/>
                <w:lang w:eastAsia="en-AU"/>
              </w:rPr>
            </w:pPr>
            <w:r w:rsidRPr="0016789A">
              <w:rPr>
                <w:rFonts w:asciiTheme="minorHAnsi" w:eastAsia="Times New Roman" w:hAnsiTheme="minorHAnsi" w:cs="Times New Roman"/>
                <w:b/>
                <w:color w:val="000000"/>
                <w:szCs w:val="22"/>
                <w:lang w:eastAsia="en-AU"/>
              </w:rPr>
              <w:t>All jurisdictions</w:t>
            </w:r>
          </w:p>
        </w:tc>
        <w:tc>
          <w:tcPr>
            <w:tcW w:w="999" w:type="pct"/>
            <w:shd w:val="clear" w:color="auto" w:fill="F2F2F2" w:themeFill="background1" w:themeFillShade="F2"/>
            <w:noWrap/>
            <w:hideMark/>
          </w:tcPr>
          <w:p w14:paraId="2EBDA580" w14:textId="77777777" w:rsidR="00DA7D6B" w:rsidRPr="0016789A" w:rsidRDefault="00DA7D6B">
            <w:pPr>
              <w:spacing w:after="0" w:line="240" w:lineRule="auto"/>
              <w:jc w:val="right"/>
              <w:rPr>
                <w:rFonts w:asciiTheme="minorHAnsi" w:eastAsia="Times New Roman" w:hAnsiTheme="minorHAnsi" w:cs="Times New Roman"/>
                <w:b/>
                <w:szCs w:val="22"/>
                <w:lang w:eastAsia="en-AU"/>
              </w:rPr>
            </w:pPr>
            <w:r w:rsidRPr="0016789A">
              <w:rPr>
                <w:rFonts w:asciiTheme="minorHAnsi" w:eastAsia="Times New Roman" w:hAnsiTheme="minorHAnsi" w:cs="Times New Roman"/>
                <w:b/>
                <w:szCs w:val="22"/>
                <w:lang w:eastAsia="en-AU"/>
              </w:rPr>
              <w:t>2,777</w:t>
            </w:r>
          </w:p>
        </w:tc>
        <w:tc>
          <w:tcPr>
            <w:tcW w:w="971" w:type="pct"/>
            <w:tcBorders>
              <w:right w:val="single" w:sz="8" w:space="0" w:color="D9D9D9" w:themeColor="background1" w:themeShade="D9"/>
            </w:tcBorders>
            <w:shd w:val="clear" w:color="auto" w:fill="F2F2F2" w:themeFill="background1" w:themeFillShade="F2"/>
            <w:hideMark/>
          </w:tcPr>
          <w:p w14:paraId="3C82DF0A" w14:textId="77777777" w:rsidR="00DA7D6B" w:rsidRPr="0016789A" w:rsidRDefault="00DA7D6B">
            <w:pPr>
              <w:spacing w:after="0" w:line="240" w:lineRule="auto"/>
              <w:jc w:val="right"/>
              <w:rPr>
                <w:rFonts w:asciiTheme="minorHAnsi" w:eastAsia="Times New Roman" w:hAnsiTheme="minorHAnsi" w:cs="Times New Roman"/>
                <w:b/>
                <w:szCs w:val="22"/>
                <w:lang w:eastAsia="en-AU"/>
              </w:rPr>
            </w:pPr>
            <w:r w:rsidRPr="0016789A">
              <w:rPr>
                <w:rFonts w:asciiTheme="minorHAnsi" w:eastAsia="Times New Roman" w:hAnsiTheme="minorHAnsi" w:cs="Times New Roman"/>
                <w:b/>
                <w:szCs w:val="22"/>
                <w:lang w:eastAsia="en-AU"/>
              </w:rPr>
              <w:t>0.2</w:t>
            </w:r>
          </w:p>
        </w:tc>
        <w:tc>
          <w:tcPr>
            <w:tcW w:w="1000" w:type="pct"/>
            <w:tcBorders>
              <w:top w:val="single" w:sz="4" w:space="0" w:color="D9D9D9" w:themeColor="background1" w:themeShade="D9"/>
              <w:left w:val="single" w:sz="8" w:space="0" w:color="D9D9D9" w:themeColor="background1" w:themeShade="D9"/>
              <w:bottom w:val="nil"/>
            </w:tcBorders>
            <w:shd w:val="clear" w:color="auto" w:fill="F2F2F2" w:themeFill="background1" w:themeFillShade="F2"/>
            <w:noWrap/>
            <w:hideMark/>
          </w:tcPr>
          <w:p w14:paraId="03B35DAD" w14:textId="77777777" w:rsidR="00DA7D6B" w:rsidRPr="0016789A" w:rsidRDefault="00DA7D6B">
            <w:pPr>
              <w:spacing w:after="0" w:line="240" w:lineRule="auto"/>
              <w:jc w:val="right"/>
              <w:rPr>
                <w:rFonts w:asciiTheme="minorHAnsi" w:eastAsia="Times New Roman" w:hAnsiTheme="minorHAnsi" w:cs="Times New Roman"/>
                <w:b/>
                <w:color w:val="000000"/>
                <w:szCs w:val="22"/>
                <w:lang w:eastAsia="en-AU"/>
              </w:rPr>
            </w:pPr>
            <w:r w:rsidRPr="0016789A">
              <w:rPr>
                <w:rFonts w:asciiTheme="minorHAnsi" w:eastAsia="Times New Roman" w:hAnsiTheme="minorHAnsi" w:cs="Times New Roman"/>
                <w:b/>
                <w:color w:val="000000"/>
                <w:szCs w:val="22"/>
                <w:lang w:eastAsia="en-AU"/>
              </w:rPr>
              <w:t>24</w:t>
            </w:r>
          </w:p>
        </w:tc>
        <w:tc>
          <w:tcPr>
            <w:tcW w:w="999" w:type="pct"/>
            <w:shd w:val="clear" w:color="auto" w:fill="F2F2F2" w:themeFill="background1" w:themeFillShade="F2"/>
            <w:hideMark/>
          </w:tcPr>
          <w:p w14:paraId="131D5D90" w14:textId="77777777" w:rsidR="00DA7D6B" w:rsidRPr="0016789A" w:rsidRDefault="00DA7D6B">
            <w:pPr>
              <w:spacing w:after="0" w:line="240" w:lineRule="auto"/>
              <w:jc w:val="right"/>
              <w:rPr>
                <w:rFonts w:asciiTheme="minorHAnsi" w:eastAsia="Times New Roman" w:hAnsiTheme="minorHAnsi" w:cs="Times New Roman"/>
                <w:b/>
                <w:szCs w:val="22"/>
                <w:lang w:eastAsia="en-AU"/>
              </w:rPr>
            </w:pPr>
            <w:r w:rsidRPr="0016789A">
              <w:rPr>
                <w:rFonts w:asciiTheme="minorHAnsi" w:eastAsia="Times New Roman" w:hAnsiTheme="minorHAnsi" w:cs="Times New Roman"/>
                <w:b/>
                <w:szCs w:val="22"/>
                <w:lang w:eastAsia="en-AU"/>
              </w:rPr>
              <w:t>0.2</w:t>
            </w:r>
          </w:p>
        </w:tc>
      </w:tr>
    </w:tbl>
    <w:p w14:paraId="1377B281" w14:textId="37D136BB" w:rsidR="00F21CE3" w:rsidRDefault="00DA7D6B" w:rsidP="0016789A">
      <w:pPr>
        <w:pStyle w:val="Paragraph"/>
        <w:spacing w:before="240"/>
      </w:pPr>
      <w:r w:rsidRPr="000F1DE6">
        <w:t>For sanctions imposed through the courts, the number of legal proceedings finalised also increased over the same period, increasing by 51% between 2019</w:t>
      </w:r>
      <w:r w:rsidR="005D0E57">
        <w:rPr>
          <w:rFonts w:ascii="Symbol" w:eastAsia="Symbol" w:hAnsi="Symbol" w:cs="Symbol"/>
        </w:rPr>
        <w:t>-</w:t>
      </w:r>
      <w:r w:rsidRPr="000F1DE6">
        <w:t>20 and 2023</w:t>
      </w:r>
      <w:r w:rsidR="005D0E57">
        <w:rPr>
          <w:rFonts w:ascii="Symbol" w:eastAsia="Symbol" w:hAnsi="Symbol" w:cs="Symbol"/>
        </w:rPr>
        <w:t>-</w:t>
      </w:r>
      <w:r w:rsidRPr="000F1DE6">
        <w:t>24. Six of </w:t>
      </w:r>
      <w:r>
        <w:t xml:space="preserve">9 </w:t>
      </w:r>
      <w:r w:rsidRPr="000F1DE6">
        <w:t>jurisdictions recorded increases, with most recording increases of 40% or more. In 2023</w:t>
      </w:r>
      <w:r w:rsidR="005D0E57">
        <w:rPr>
          <w:rFonts w:ascii="Symbol" w:eastAsia="Symbol" w:hAnsi="Symbol" w:cs="Symbol"/>
        </w:rPr>
        <w:t>-</w:t>
      </w:r>
      <w:r w:rsidRPr="000F1DE6">
        <w:t>24, 348 legal proceedings resulted in a conviction, order or agreement</w:t>
      </w:r>
      <w:r>
        <w:t xml:space="preserve"> </w:t>
      </w:r>
      <w:r w:rsidR="005D0E57">
        <w:rPr>
          <w:rFonts w:ascii="Symbol" w:eastAsia="Symbol" w:hAnsi="Symbol" w:cs="Symbol"/>
        </w:rPr>
        <w:t>-</w:t>
      </w:r>
      <w:r>
        <w:t xml:space="preserve"> </w:t>
      </w:r>
      <w:r w:rsidRPr="000F1DE6">
        <w:t>an increase of 14% compared with 2019</w:t>
      </w:r>
      <w:r w:rsidR="005D0E57">
        <w:rPr>
          <w:rFonts w:ascii="Symbol" w:eastAsia="Symbol" w:hAnsi="Symbol" w:cs="Symbol"/>
        </w:rPr>
        <w:t>-</w:t>
      </w:r>
      <w:r w:rsidRPr="000F1DE6">
        <w:t>20.</w:t>
      </w:r>
    </w:p>
    <w:p w14:paraId="2914C44E" w14:textId="0BD01F33" w:rsidR="00F21CE3" w:rsidRDefault="00DA7D6B" w:rsidP="00DA7D6B">
      <w:pPr>
        <w:pStyle w:val="Paragraph"/>
      </w:pPr>
      <w:r w:rsidRPr="000F1DE6">
        <w:t>WHS prosecutions provide additional insight into the use of sanctions for serious breaches of WHS</w:t>
      </w:r>
      <w:r w:rsidR="005D0E57">
        <w:t> </w:t>
      </w:r>
      <w:r w:rsidRPr="000F1DE6">
        <w:t xml:space="preserve">laws. Safe Work Australia’s WHS </w:t>
      </w:r>
      <w:r w:rsidRPr="00D3503C">
        <w:t>prosecutions dataset, which</w:t>
      </w:r>
      <w:r w:rsidRPr="000F1DE6">
        <w:t xml:space="preserve"> captures information on criminal prosecutions since 1 January 2020, shows that prosecutions have increased over time. In 2024, there were 317 WHS prosecutions</w:t>
      </w:r>
      <w:r>
        <w:t xml:space="preserve"> </w:t>
      </w:r>
      <w:r w:rsidR="005D0E57">
        <w:rPr>
          <w:rFonts w:ascii="Symbol" w:eastAsia="Symbol" w:hAnsi="Symbol" w:cs="Symbol"/>
        </w:rPr>
        <w:t>-</w:t>
      </w:r>
      <w:r>
        <w:t xml:space="preserve"> </w:t>
      </w:r>
      <w:r w:rsidRPr="000F1DE6">
        <w:t>an increase of 55% compared with 2020. An increase in prosecutions was recorded in most jurisdictions, with Victoria and Queensland recording the most prosecutions in 2024 (107 and 106 respectively). Where information was available, 67% of prosecutions in 2024 involved incidents where a person had a serious or fatal injury or disease.</w:t>
      </w:r>
    </w:p>
    <w:p w14:paraId="0FD07F7E" w14:textId="6EEA2EDD" w:rsidR="000D26F7" w:rsidRDefault="000D26F7">
      <w:pPr>
        <w:spacing w:after="200" w:line="276" w:lineRule="auto"/>
        <w:contextualSpacing w:val="0"/>
        <w:rPr>
          <w:rFonts w:asciiTheme="minorHAnsi" w:eastAsia="Times New Roman" w:hAnsiTheme="minorHAnsi"/>
          <w:lang w:eastAsia="en-AU"/>
        </w:rPr>
      </w:pPr>
      <w:r>
        <w:br w:type="page"/>
      </w:r>
    </w:p>
    <w:p w14:paraId="06222CE8" w14:textId="23B285EC" w:rsidR="00DA7D6B" w:rsidRPr="000D26F7" w:rsidRDefault="000D26F7" w:rsidP="000D26F7">
      <w:pPr>
        <w:pStyle w:val="Caption"/>
        <w:rPr>
          <w:rFonts w:eastAsia="Times New Roman"/>
          <w:lang w:eastAsia="en-AU"/>
        </w:rPr>
      </w:pPr>
      <w:r w:rsidRPr="000F1DE6">
        <w:lastRenderedPageBreak/>
        <w:t xml:space="preserve">Data table 5 Legal proceedings and WHS prosecutions </w:t>
      </w:r>
      <w:r w:rsidR="005D0E57">
        <w:rPr>
          <w:rFonts w:ascii="Symbol" w:eastAsia="Symbol" w:hAnsi="Symbol" w:cs="Symbol"/>
        </w:rPr>
        <w:t>-</w:t>
      </w:r>
      <w:r>
        <w:t xml:space="preserve"> </w:t>
      </w:r>
      <w:r w:rsidRPr="000F1DE6">
        <w:t>2023</w:t>
      </w:r>
      <w:r w:rsidR="005D0E57">
        <w:rPr>
          <w:rFonts w:ascii="Symbol" w:eastAsia="Symbol" w:hAnsi="Symbol" w:cs="Symbol"/>
        </w:rPr>
        <w:t>-</w:t>
      </w:r>
      <w:r w:rsidRPr="000F1DE6">
        <w:t>24 </w:t>
      </w:r>
    </w:p>
    <w:tbl>
      <w:tblPr>
        <w:tblStyle w:val="Style9"/>
        <w:tblpPr w:leftFromText="180" w:rightFromText="180" w:vertAnchor="text" w:horzAnchor="margin" w:tblpY="91"/>
        <w:tblW w:w="5008" w:type="pct"/>
        <w:tblLayout w:type="fixed"/>
        <w:tblCellMar>
          <w:top w:w="57" w:type="dxa"/>
          <w:bottom w:w="57" w:type="dxa"/>
        </w:tblCellMar>
        <w:tblLook w:val="04A0" w:firstRow="1" w:lastRow="0" w:firstColumn="1" w:lastColumn="0" w:noHBand="0" w:noVBand="1"/>
        <w:tblCaption w:val="Data table 5 Legal proceedings and WHS prosecutions - 2023-24 "/>
        <w:tblDescription w:val="Table outlining how many legal proceedings and WHS prosecutions were commenced in each jurisdiction in 2023-24. Proceedings and prosecutions are disaggregated by number of prosecutions or proceedings per 10,000 employees to more easily compare between jurisdictions of different sizes. Amounts to 0.3 proceedings and 0.2 prosecutions per 10,000 employees across all jurisdictions. "/>
      </w:tblPr>
      <w:tblGrid>
        <w:gridCol w:w="1994"/>
        <w:gridCol w:w="1687"/>
        <w:gridCol w:w="1993"/>
        <w:gridCol w:w="1991"/>
        <w:gridCol w:w="2097"/>
      </w:tblGrid>
      <w:tr w:rsidR="00DA7D6B" w:rsidRPr="0016789A" w14:paraId="15443E2B" w14:textId="77777777" w:rsidTr="0016789A">
        <w:trPr>
          <w:trHeight w:val="300"/>
        </w:trPr>
        <w:tc>
          <w:tcPr>
            <w:tcW w:w="1021" w:type="pct"/>
            <w:tcBorders>
              <w:top w:val="nil"/>
              <w:bottom w:val="nil"/>
            </w:tcBorders>
            <w:shd w:val="clear" w:color="auto" w:fill="F2F2F2" w:themeFill="background1" w:themeFillShade="F2"/>
            <w:noWrap/>
            <w:hideMark/>
          </w:tcPr>
          <w:p w14:paraId="7C08A38F" w14:textId="77777777" w:rsidR="00DA7D6B" w:rsidRPr="0016789A" w:rsidRDefault="00DA7D6B">
            <w:pPr>
              <w:spacing w:after="0" w:line="240" w:lineRule="auto"/>
              <w:rPr>
                <w:rFonts w:asciiTheme="minorHAnsi" w:eastAsia="Times New Roman" w:hAnsiTheme="minorHAnsi" w:cs="Times New Roman"/>
                <w:szCs w:val="22"/>
                <w:lang w:eastAsia="en-AU"/>
              </w:rPr>
            </w:pPr>
          </w:p>
        </w:tc>
        <w:tc>
          <w:tcPr>
            <w:tcW w:w="1885" w:type="pct"/>
            <w:gridSpan w:val="2"/>
            <w:tcBorders>
              <w:right w:val="single" w:sz="8" w:space="0" w:color="D9D9D9" w:themeColor="background1" w:themeShade="D9"/>
            </w:tcBorders>
            <w:shd w:val="clear" w:color="auto" w:fill="F2F2F2" w:themeFill="background1" w:themeFillShade="F2"/>
            <w:hideMark/>
          </w:tcPr>
          <w:p w14:paraId="7277B0FD" w14:textId="77777777" w:rsidR="00DA7D6B" w:rsidRPr="0016789A" w:rsidRDefault="00DA7D6B">
            <w:pPr>
              <w:spacing w:after="0" w:line="240" w:lineRule="auto"/>
              <w:jc w:val="center"/>
              <w:rPr>
                <w:rFonts w:asciiTheme="minorHAnsi" w:eastAsia="Times New Roman" w:hAnsiTheme="minorHAnsi" w:cs="Times New Roman"/>
                <w:b/>
                <w:color w:val="000000"/>
                <w:szCs w:val="22"/>
                <w:lang w:eastAsia="en-AU"/>
              </w:rPr>
            </w:pPr>
            <w:r w:rsidRPr="0016789A">
              <w:rPr>
                <w:rFonts w:asciiTheme="minorHAnsi" w:eastAsia="Times New Roman" w:hAnsiTheme="minorHAnsi" w:cs="Times New Roman"/>
                <w:b/>
                <w:color w:val="000000"/>
                <w:szCs w:val="22"/>
                <w:lang w:eastAsia="en-AU"/>
              </w:rPr>
              <w:t>Legal proceedings</w:t>
            </w:r>
          </w:p>
        </w:tc>
        <w:tc>
          <w:tcPr>
            <w:tcW w:w="2094" w:type="pct"/>
            <w:gridSpan w:val="2"/>
            <w:tcBorders>
              <w:top w:val="nil"/>
              <w:left w:val="single" w:sz="8" w:space="0" w:color="D9D9D9" w:themeColor="background1" w:themeShade="D9"/>
              <w:bottom w:val="single" w:sz="4" w:space="0" w:color="D9D9D9" w:themeColor="background1" w:themeShade="D9"/>
            </w:tcBorders>
            <w:shd w:val="clear" w:color="auto" w:fill="F2F2F2" w:themeFill="background1" w:themeFillShade="F2"/>
            <w:hideMark/>
          </w:tcPr>
          <w:p w14:paraId="74CDC67A" w14:textId="77777777" w:rsidR="00DA7D6B" w:rsidRPr="0016789A" w:rsidRDefault="00DA7D6B">
            <w:pPr>
              <w:spacing w:after="0" w:line="240" w:lineRule="auto"/>
              <w:jc w:val="center"/>
              <w:rPr>
                <w:rFonts w:asciiTheme="minorHAnsi" w:eastAsia="Times New Roman" w:hAnsiTheme="minorHAnsi" w:cs="Times New Roman"/>
                <w:b/>
                <w:color w:val="000000"/>
                <w:szCs w:val="22"/>
                <w:lang w:eastAsia="en-AU"/>
              </w:rPr>
            </w:pPr>
            <w:r w:rsidRPr="0016789A">
              <w:rPr>
                <w:rFonts w:asciiTheme="minorHAnsi" w:eastAsia="Times New Roman" w:hAnsiTheme="minorHAnsi" w:cs="Times New Roman"/>
                <w:b/>
                <w:color w:val="000000"/>
                <w:szCs w:val="22"/>
                <w:lang w:eastAsia="en-AU"/>
              </w:rPr>
              <w:t>WHS prosecutions</w:t>
            </w:r>
          </w:p>
        </w:tc>
      </w:tr>
      <w:tr w:rsidR="00DA7D6B" w:rsidRPr="0016789A" w14:paraId="1A122500" w14:textId="77777777" w:rsidTr="0016789A">
        <w:trPr>
          <w:trHeight w:val="315"/>
        </w:trPr>
        <w:tc>
          <w:tcPr>
            <w:tcW w:w="1021" w:type="pct"/>
            <w:tcBorders>
              <w:top w:val="nil"/>
              <w:bottom w:val="single" w:sz="4" w:space="0" w:color="D9D9D9" w:themeColor="background1" w:themeShade="D9"/>
            </w:tcBorders>
            <w:shd w:val="clear" w:color="auto" w:fill="F2F2F2" w:themeFill="background1" w:themeFillShade="F2"/>
            <w:noWrap/>
            <w:vAlign w:val="bottom"/>
            <w:hideMark/>
          </w:tcPr>
          <w:p w14:paraId="7611B73B" w14:textId="333CB881" w:rsidR="00DA7D6B" w:rsidRPr="0016789A" w:rsidRDefault="000D26F7" w:rsidP="000D26F7">
            <w:pPr>
              <w:spacing w:after="0" w:line="240" w:lineRule="auto"/>
              <w:rPr>
                <w:rFonts w:asciiTheme="minorHAnsi" w:eastAsia="Times New Roman" w:hAnsiTheme="minorHAnsi" w:cs="Times New Roman"/>
                <w:b/>
                <w:color w:val="000000"/>
                <w:szCs w:val="22"/>
                <w:lang w:eastAsia="en-AU"/>
              </w:rPr>
            </w:pPr>
            <w:r w:rsidRPr="0016789A">
              <w:rPr>
                <w:rFonts w:asciiTheme="minorHAnsi" w:eastAsia="Times New Roman" w:hAnsiTheme="minorHAnsi" w:cs="Times New Roman"/>
                <w:b/>
                <w:color w:val="000000"/>
                <w:szCs w:val="22"/>
                <w:lang w:eastAsia="en-AU"/>
              </w:rPr>
              <w:t>Jurisdiction</w:t>
            </w:r>
          </w:p>
        </w:tc>
        <w:tc>
          <w:tcPr>
            <w:tcW w:w="864" w:type="pct"/>
            <w:shd w:val="clear" w:color="auto" w:fill="F2F2F2" w:themeFill="background1" w:themeFillShade="F2"/>
            <w:noWrap/>
            <w:vAlign w:val="bottom"/>
            <w:hideMark/>
          </w:tcPr>
          <w:p w14:paraId="20AF5ACE" w14:textId="77777777" w:rsidR="00DA7D6B" w:rsidRPr="0016789A" w:rsidRDefault="00DA7D6B" w:rsidP="000D26F7">
            <w:pPr>
              <w:spacing w:after="0" w:line="240" w:lineRule="auto"/>
              <w:jc w:val="right"/>
              <w:rPr>
                <w:rFonts w:asciiTheme="minorHAnsi" w:eastAsia="Times New Roman" w:hAnsiTheme="minorHAnsi" w:cs="Times New Roman"/>
                <w:b/>
                <w:color w:val="000000"/>
                <w:szCs w:val="22"/>
                <w:lang w:eastAsia="en-AU"/>
              </w:rPr>
            </w:pPr>
            <w:r w:rsidRPr="0016789A">
              <w:rPr>
                <w:rFonts w:asciiTheme="minorHAnsi" w:eastAsia="Times New Roman" w:hAnsiTheme="minorHAnsi" w:cs="Times New Roman"/>
                <w:b/>
                <w:color w:val="000000"/>
                <w:szCs w:val="22"/>
                <w:lang w:eastAsia="en-AU"/>
              </w:rPr>
              <w:t>Number</w:t>
            </w:r>
          </w:p>
        </w:tc>
        <w:tc>
          <w:tcPr>
            <w:tcW w:w="1021" w:type="pct"/>
            <w:tcBorders>
              <w:right w:val="single" w:sz="8" w:space="0" w:color="D9D9D9" w:themeColor="background1" w:themeShade="D9"/>
            </w:tcBorders>
            <w:shd w:val="clear" w:color="auto" w:fill="F2F2F2" w:themeFill="background1" w:themeFillShade="F2"/>
            <w:noWrap/>
            <w:vAlign w:val="bottom"/>
            <w:hideMark/>
          </w:tcPr>
          <w:p w14:paraId="023B5ACB" w14:textId="4BAD70D0" w:rsidR="00DA7D6B" w:rsidRPr="0016789A" w:rsidRDefault="00DA7D6B" w:rsidP="000D26F7">
            <w:pPr>
              <w:spacing w:after="0" w:line="240" w:lineRule="auto"/>
              <w:jc w:val="right"/>
              <w:rPr>
                <w:rFonts w:asciiTheme="minorHAnsi" w:eastAsia="Times New Roman" w:hAnsiTheme="minorHAnsi" w:cs="Times New Roman"/>
                <w:b/>
                <w:color w:val="000000"/>
                <w:szCs w:val="22"/>
                <w:lang w:eastAsia="en-AU"/>
              </w:rPr>
            </w:pPr>
            <w:r w:rsidRPr="0016789A">
              <w:rPr>
                <w:rFonts w:asciiTheme="minorHAnsi" w:eastAsia="Times New Roman" w:hAnsiTheme="minorHAnsi" w:cs="Times New Roman"/>
                <w:b/>
                <w:color w:val="000000"/>
                <w:szCs w:val="22"/>
                <w:lang w:eastAsia="en-AU"/>
              </w:rPr>
              <w:t xml:space="preserve">Proceedings </w:t>
            </w:r>
            <w:r w:rsidR="000D26F7" w:rsidRPr="0016789A">
              <w:rPr>
                <w:rFonts w:asciiTheme="minorHAnsi" w:eastAsia="Times New Roman" w:hAnsiTheme="minorHAnsi" w:cs="Times New Roman"/>
                <w:b/>
                <w:color w:val="000000"/>
                <w:szCs w:val="22"/>
                <w:lang w:eastAsia="en-AU"/>
              </w:rPr>
              <w:br/>
            </w:r>
            <w:r w:rsidRPr="0016789A">
              <w:rPr>
                <w:rFonts w:asciiTheme="minorHAnsi" w:eastAsia="Times New Roman" w:hAnsiTheme="minorHAnsi" w:cs="Times New Roman"/>
                <w:b/>
                <w:color w:val="000000"/>
                <w:szCs w:val="22"/>
                <w:lang w:eastAsia="en-AU"/>
              </w:rPr>
              <w:t>per 10,000 employees</w:t>
            </w:r>
          </w:p>
        </w:tc>
        <w:tc>
          <w:tcPr>
            <w:tcW w:w="1020" w:type="pct"/>
            <w:tcBorders>
              <w:top w:val="single" w:sz="4" w:space="0" w:color="D9D9D9" w:themeColor="background1" w:themeShade="D9"/>
              <w:left w:val="single" w:sz="8" w:space="0" w:color="D9D9D9" w:themeColor="background1" w:themeShade="D9"/>
              <w:bottom w:val="single" w:sz="4" w:space="0" w:color="D9D9D9" w:themeColor="background1" w:themeShade="D9"/>
            </w:tcBorders>
            <w:shd w:val="clear" w:color="auto" w:fill="F2F2F2" w:themeFill="background1" w:themeFillShade="F2"/>
            <w:noWrap/>
            <w:vAlign w:val="bottom"/>
            <w:hideMark/>
          </w:tcPr>
          <w:p w14:paraId="3A16DBF0" w14:textId="77777777" w:rsidR="00DA7D6B" w:rsidRPr="0016789A" w:rsidRDefault="00DA7D6B" w:rsidP="000D26F7">
            <w:pPr>
              <w:spacing w:after="0" w:line="240" w:lineRule="auto"/>
              <w:jc w:val="right"/>
              <w:rPr>
                <w:rFonts w:asciiTheme="minorHAnsi" w:eastAsia="Times New Roman" w:hAnsiTheme="minorHAnsi" w:cs="Times New Roman"/>
                <w:b/>
                <w:color w:val="000000"/>
                <w:szCs w:val="22"/>
                <w:lang w:eastAsia="en-AU"/>
              </w:rPr>
            </w:pPr>
            <w:r w:rsidRPr="0016789A">
              <w:rPr>
                <w:rFonts w:asciiTheme="minorHAnsi" w:eastAsia="Times New Roman" w:hAnsiTheme="minorHAnsi" w:cs="Times New Roman"/>
                <w:b/>
                <w:color w:val="000000"/>
                <w:szCs w:val="22"/>
                <w:lang w:eastAsia="en-AU"/>
              </w:rPr>
              <w:t>Number</w:t>
            </w:r>
          </w:p>
        </w:tc>
        <w:tc>
          <w:tcPr>
            <w:tcW w:w="1074" w:type="pct"/>
            <w:shd w:val="clear" w:color="auto" w:fill="F2F2F2" w:themeFill="background1" w:themeFillShade="F2"/>
            <w:noWrap/>
            <w:vAlign w:val="bottom"/>
            <w:hideMark/>
          </w:tcPr>
          <w:p w14:paraId="1A0056E4" w14:textId="77777777" w:rsidR="00DA7D6B" w:rsidRPr="0016789A" w:rsidRDefault="00DA7D6B" w:rsidP="000D26F7">
            <w:pPr>
              <w:spacing w:after="0" w:line="240" w:lineRule="auto"/>
              <w:jc w:val="right"/>
              <w:rPr>
                <w:rFonts w:asciiTheme="minorHAnsi" w:eastAsia="Times New Roman" w:hAnsiTheme="minorHAnsi" w:cs="Times New Roman"/>
                <w:b/>
                <w:color w:val="000000"/>
                <w:szCs w:val="22"/>
                <w:lang w:eastAsia="en-AU"/>
              </w:rPr>
            </w:pPr>
            <w:r w:rsidRPr="0016789A">
              <w:rPr>
                <w:rFonts w:asciiTheme="minorHAnsi" w:eastAsia="Times New Roman" w:hAnsiTheme="minorHAnsi" w:cs="Times New Roman"/>
                <w:b/>
                <w:color w:val="000000"/>
                <w:szCs w:val="22"/>
                <w:lang w:eastAsia="en-AU"/>
              </w:rPr>
              <w:t>Prosecutions per 10,000 employees</w:t>
            </w:r>
          </w:p>
        </w:tc>
      </w:tr>
      <w:tr w:rsidR="00DA7D6B" w:rsidRPr="0016789A" w14:paraId="10871DA7" w14:textId="77777777" w:rsidTr="0016789A">
        <w:trPr>
          <w:trHeight w:val="17"/>
        </w:trPr>
        <w:tc>
          <w:tcPr>
            <w:tcW w:w="1021" w:type="pct"/>
            <w:tcBorders>
              <w:top w:val="single" w:sz="4" w:space="0" w:color="D9D9D9" w:themeColor="background1" w:themeShade="D9"/>
            </w:tcBorders>
            <w:noWrap/>
          </w:tcPr>
          <w:p w14:paraId="45221F02" w14:textId="77777777" w:rsidR="00DA7D6B" w:rsidRPr="0016789A" w:rsidRDefault="00DA7D6B">
            <w:pPr>
              <w:spacing w:after="0" w:line="240" w:lineRule="auto"/>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Victoria</w:t>
            </w:r>
          </w:p>
        </w:tc>
        <w:tc>
          <w:tcPr>
            <w:tcW w:w="864" w:type="pct"/>
            <w:noWrap/>
          </w:tcPr>
          <w:p w14:paraId="490C576F"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165</w:t>
            </w:r>
          </w:p>
        </w:tc>
        <w:tc>
          <w:tcPr>
            <w:tcW w:w="1021" w:type="pct"/>
            <w:tcBorders>
              <w:right w:val="single" w:sz="8" w:space="0" w:color="D9D9D9" w:themeColor="background1" w:themeShade="D9"/>
            </w:tcBorders>
          </w:tcPr>
          <w:p w14:paraId="798310A4"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0.5</w:t>
            </w:r>
          </w:p>
        </w:tc>
        <w:tc>
          <w:tcPr>
            <w:tcW w:w="1020" w:type="pct"/>
            <w:tcBorders>
              <w:top w:val="single" w:sz="4" w:space="0" w:color="D9D9D9" w:themeColor="background1" w:themeShade="D9"/>
              <w:left w:val="single" w:sz="8" w:space="0" w:color="D9D9D9" w:themeColor="background1" w:themeShade="D9"/>
              <w:bottom w:val="single" w:sz="4" w:space="0" w:color="D9D9D9" w:themeColor="background1" w:themeShade="D9"/>
            </w:tcBorders>
            <w:noWrap/>
          </w:tcPr>
          <w:p w14:paraId="3422632F"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107</w:t>
            </w:r>
          </w:p>
        </w:tc>
        <w:tc>
          <w:tcPr>
            <w:tcW w:w="1074" w:type="pct"/>
          </w:tcPr>
          <w:p w14:paraId="2643C271"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0.3</w:t>
            </w:r>
          </w:p>
        </w:tc>
      </w:tr>
      <w:tr w:rsidR="00DA7D6B" w:rsidRPr="0016789A" w14:paraId="1AD32DA4" w14:textId="77777777" w:rsidTr="0016789A">
        <w:trPr>
          <w:trHeight w:val="17"/>
        </w:trPr>
        <w:tc>
          <w:tcPr>
            <w:tcW w:w="1021" w:type="pct"/>
            <w:noWrap/>
            <w:hideMark/>
          </w:tcPr>
          <w:p w14:paraId="2A8956C7" w14:textId="77777777" w:rsidR="00DA7D6B" w:rsidRPr="0016789A" w:rsidRDefault="00DA7D6B">
            <w:pPr>
              <w:spacing w:after="0" w:line="240" w:lineRule="auto"/>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NSW</w:t>
            </w:r>
          </w:p>
        </w:tc>
        <w:tc>
          <w:tcPr>
            <w:tcW w:w="864" w:type="pct"/>
            <w:noWrap/>
            <w:hideMark/>
          </w:tcPr>
          <w:p w14:paraId="71D2D23A"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136</w:t>
            </w:r>
          </w:p>
        </w:tc>
        <w:tc>
          <w:tcPr>
            <w:tcW w:w="1021" w:type="pct"/>
            <w:tcBorders>
              <w:right w:val="single" w:sz="8" w:space="0" w:color="D9D9D9" w:themeColor="background1" w:themeShade="D9"/>
            </w:tcBorders>
            <w:hideMark/>
          </w:tcPr>
          <w:p w14:paraId="3FD7F547"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0.4</w:t>
            </w:r>
          </w:p>
        </w:tc>
        <w:tc>
          <w:tcPr>
            <w:tcW w:w="1020" w:type="pct"/>
            <w:tcBorders>
              <w:top w:val="single" w:sz="4" w:space="0" w:color="D9D9D9" w:themeColor="background1" w:themeShade="D9"/>
              <w:left w:val="single" w:sz="8" w:space="0" w:color="D9D9D9" w:themeColor="background1" w:themeShade="D9"/>
              <w:bottom w:val="single" w:sz="4" w:space="0" w:color="D9D9D9" w:themeColor="background1" w:themeShade="D9"/>
            </w:tcBorders>
            <w:noWrap/>
            <w:hideMark/>
          </w:tcPr>
          <w:p w14:paraId="5AE98885"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61</w:t>
            </w:r>
          </w:p>
        </w:tc>
        <w:tc>
          <w:tcPr>
            <w:tcW w:w="1074" w:type="pct"/>
            <w:hideMark/>
          </w:tcPr>
          <w:p w14:paraId="4C274D74"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0.2</w:t>
            </w:r>
          </w:p>
        </w:tc>
      </w:tr>
      <w:tr w:rsidR="00DA7D6B" w:rsidRPr="0016789A" w14:paraId="51F4959F" w14:textId="77777777" w:rsidTr="0016789A">
        <w:trPr>
          <w:trHeight w:val="17"/>
        </w:trPr>
        <w:tc>
          <w:tcPr>
            <w:tcW w:w="1021" w:type="pct"/>
            <w:noWrap/>
            <w:hideMark/>
          </w:tcPr>
          <w:p w14:paraId="328A9F88" w14:textId="77777777" w:rsidR="00DA7D6B" w:rsidRPr="0016789A" w:rsidRDefault="00DA7D6B">
            <w:pPr>
              <w:spacing w:after="0" w:line="240" w:lineRule="auto"/>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Queensland</w:t>
            </w:r>
          </w:p>
        </w:tc>
        <w:tc>
          <w:tcPr>
            <w:tcW w:w="864" w:type="pct"/>
            <w:noWrap/>
            <w:hideMark/>
          </w:tcPr>
          <w:p w14:paraId="0B16EBAB"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85</w:t>
            </w:r>
          </w:p>
        </w:tc>
        <w:tc>
          <w:tcPr>
            <w:tcW w:w="1021" w:type="pct"/>
            <w:tcBorders>
              <w:right w:val="single" w:sz="8" w:space="0" w:color="D9D9D9" w:themeColor="background1" w:themeShade="D9"/>
            </w:tcBorders>
            <w:hideMark/>
          </w:tcPr>
          <w:p w14:paraId="095BA8A3"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0.3</w:t>
            </w:r>
          </w:p>
        </w:tc>
        <w:tc>
          <w:tcPr>
            <w:tcW w:w="1020" w:type="pct"/>
            <w:tcBorders>
              <w:top w:val="single" w:sz="4" w:space="0" w:color="D9D9D9" w:themeColor="background1" w:themeShade="D9"/>
              <w:left w:val="single" w:sz="8" w:space="0" w:color="D9D9D9" w:themeColor="background1" w:themeShade="D9"/>
              <w:bottom w:val="single" w:sz="4" w:space="0" w:color="D9D9D9" w:themeColor="background1" w:themeShade="D9"/>
            </w:tcBorders>
            <w:noWrap/>
            <w:hideMark/>
          </w:tcPr>
          <w:p w14:paraId="1C611A75"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106</w:t>
            </w:r>
          </w:p>
        </w:tc>
        <w:tc>
          <w:tcPr>
            <w:tcW w:w="1074" w:type="pct"/>
            <w:hideMark/>
          </w:tcPr>
          <w:p w14:paraId="5440B88B"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0.4</w:t>
            </w:r>
          </w:p>
        </w:tc>
      </w:tr>
      <w:tr w:rsidR="00DA7D6B" w:rsidRPr="0016789A" w14:paraId="41112627" w14:textId="77777777" w:rsidTr="0016789A">
        <w:trPr>
          <w:trHeight w:val="17"/>
        </w:trPr>
        <w:tc>
          <w:tcPr>
            <w:tcW w:w="1021" w:type="pct"/>
            <w:noWrap/>
            <w:hideMark/>
          </w:tcPr>
          <w:p w14:paraId="2F1CC888" w14:textId="77777777" w:rsidR="00DA7D6B" w:rsidRPr="0016789A" w:rsidRDefault="00DA7D6B">
            <w:pPr>
              <w:spacing w:after="0" w:line="240" w:lineRule="auto"/>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SA</w:t>
            </w:r>
          </w:p>
        </w:tc>
        <w:tc>
          <w:tcPr>
            <w:tcW w:w="864" w:type="pct"/>
            <w:noWrap/>
            <w:hideMark/>
          </w:tcPr>
          <w:p w14:paraId="7E45E617"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11</w:t>
            </w:r>
          </w:p>
        </w:tc>
        <w:tc>
          <w:tcPr>
            <w:tcW w:w="1021" w:type="pct"/>
            <w:tcBorders>
              <w:right w:val="single" w:sz="8" w:space="0" w:color="D9D9D9" w:themeColor="background1" w:themeShade="D9"/>
            </w:tcBorders>
            <w:hideMark/>
          </w:tcPr>
          <w:p w14:paraId="5A98F4A5"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0.1</w:t>
            </w:r>
          </w:p>
        </w:tc>
        <w:tc>
          <w:tcPr>
            <w:tcW w:w="1020" w:type="pct"/>
            <w:tcBorders>
              <w:top w:val="single" w:sz="4" w:space="0" w:color="D9D9D9" w:themeColor="background1" w:themeShade="D9"/>
              <w:left w:val="single" w:sz="8" w:space="0" w:color="D9D9D9" w:themeColor="background1" w:themeShade="D9"/>
              <w:bottom w:val="single" w:sz="4" w:space="0" w:color="D9D9D9" w:themeColor="background1" w:themeShade="D9"/>
            </w:tcBorders>
            <w:noWrap/>
            <w:hideMark/>
          </w:tcPr>
          <w:p w14:paraId="38EE342F"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13</w:t>
            </w:r>
          </w:p>
        </w:tc>
        <w:tc>
          <w:tcPr>
            <w:tcW w:w="1074" w:type="pct"/>
            <w:hideMark/>
          </w:tcPr>
          <w:p w14:paraId="2554CB8A"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0.2</w:t>
            </w:r>
          </w:p>
        </w:tc>
      </w:tr>
      <w:tr w:rsidR="00DA7D6B" w:rsidRPr="0016789A" w14:paraId="460982E9" w14:textId="77777777" w:rsidTr="0016789A">
        <w:trPr>
          <w:trHeight w:val="17"/>
        </w:trPr>
        <w:tc>
          <w:tcPr>
            <w:tcW w:w="1021" w:type="pct"/>
            <w:noWrap/>
            <w:hideMark/>
          </w:tcPr>
          <w:p w14:paraId="49F188C6" w14:textId="77777777" w:rsidR="00DA7D6B" w:rsidRPr="0016789A" w:rsidRDefault="00DA7D6B">
            <w:pPr>
              <w:spacing w:after="0" w:line="240" w:lineRule="auto"/>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WA</w:t>
            </w:r>
          </w:p>
        </w:tc>
        <w:tc>
          <w:tcPr>
            <w:tcW w:w="864" w:type="pct"/>
            <w:noWrap/>
            <w:hideMark/>
          </w:tcPr>
          <w:p w14:paraId="5218EF44"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9</w:t>
            </w:r>
          </w:p>
        </w:tc>
        <w:tc>
          <w:tcPr>
            <w:tcW w:w="1021" w:type="pct"/>
            <w:tcBorders>
              <w:right w:val="single" w:sz="8" w:space="0" w:color="D9D9D9" w:themeColor="background1" w:themeShade="D9"/>
            </w:tcBorders>
            <w:hideMark/>
          </w:tcPr>
          <w:p w14:paraId="219FEDA7"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0.1</w:t>
            </w:r>
          </w:p>
        </w:tc>
        <w:tc>
          <w:tcPr>
            <w:tcW w:w="1020" w:type="pct"/>
            <w:tcBorders>
              <w:top w:val="single" w:sz="4" w:space="0" w:color="D9D9D9" w:themeColor="background1" w:themeShade="D9"/>
              <w:left w:val="single" w:sz="8" w:space="0" w:color="D9D9D9" w:themeColor="background1" w:themeShade="D9"/>
              <w:bottom w:val="single" w:sz="4" w:space="0" w:color="D9D9D9" w:themeColor="background1" w:themeShade="D9"/>
            </w:tcBorders>
            <w:noWrap/>
            <w:hideMark/>
          </w:tcPr>
          <w:p w14:paraId="0F6CF35E"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12</w:t>
            </w:r>
          </w:p>
        </w:tc>
        <w:tc>
          <w:tcPr>
            <w:tcW w:w="1074" w:type="pct"/>
            <w:hideMark/>
          </w:tcPr>
          <w:p w14:paraId="61C10C80"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0.1</w:t>
            </w:r>
          </w:p>
        </w:tc>
      </w:tr>
      <w:tr w:rsidR="00DA7D6B" w:rsidRPr="0016789A" w14:paraId="45D613F6" w14:textId="77777777" w:rsidTr="0016789A">
        <w:trPr>
          <w:trHeight w:val="17"/>
        </w:trPr>
        <w:tc>
          <w:tcPr>
            <w:tcW w:w="1021" w:type="pct"/>
            <w:noWrap/>
          </w:tcPr>
          <w:p w14:paraId="75EFFA82" w14:textId="77777777" w:rsidR="00DA7D6B" w:rsidRPr="0016789A" w:rsidRDefault="00DA7D6B">
            <w:pPr>
              <w:spacing w:after="0" w:line="240" w:lineRule="auto"/>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NT</w:t>
            </w:r>
          </w:p>
        </w:tc>
        <w:tc>
          <w:tcPr>
            <w:tcW w:w="864" w:type="pct"/>
            <w:noWrap/>
          </w:tcPr>
          <w:p w14:paraId="126A5393"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7</w:t>
            </w:r>
          </w:p>
        </w:tc>
        <w:tc>
          <w:tcPr>
            <w:tcW w:w="1021" w:type="pct"/>
            <w:tcBorders>
              <w:right w:val="single" w:sz="8" w:space="0" w:color="D9D9D9" w:themeColor="background1" w:themeShade="D9"/>
            </w:tcBorders>
          </w:tcPr>
          <w:p w14:paraId="1414FC1B"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0.5</w:t>
            </w:r>
          </w:p>
        </w:tc>
        <w:tc>
          <w:tcPr>
            <w:tcW w:w="1020" w:type="pct"/>
            <w:tcBorders>
              <w:top w:val="single" w:sz="4" w:space="0" w:color="D9D9D9" w:themeColor="background1" w:themeShade="D9"/>
              <w:left w:val="single" w:sz="8" w:space="0" w:color="D9D9D9" w:themeColor="background1" w:themeShade="D9"/>
              <w:bottom w:val="single" w:sz="4" w:space="0" w:color="D9D9D9" w:themeColor="background1" w:themeShade="D9"/>
            </w:tcBorders>
            <w:noWrap/>
          </w:tcPr>
          <w:p w14:paraId="04185926"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9</w:t>
            </w:r>
          </w:p>
        </w:tc>
        <w:tc>
          <w:tcPr>
            <w:tcW w:w="1074" w:type="pct"/>
          </w:tcPr>
          <w:p w14:paraId="3520C944"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0.7</w:t>
            </w:r>
          </w:p>
        </w:tc>
      </w:tr>
      <w:tr w:rsidR="00DA7D6B" w:rsidRPr="0016789A" w14:paraId="0DA12FD4" w14:textId="77777777" w:rsidTr="0016789A">
        <w:trPr>
          <w:trHeight w:val="17"/>
        </w:trPr>
        <w:tc>
          <w:tcPr>
            <w:tcW w:w="1021" w:type="pct"/>
            <w:noWrap/>
            <w:hideMark/>
          </w:tcPr>
          <w:p w14:paraId="40C8B18A" w14:textId="77777777" w:rsidR="00DA7D6B" w:rsidRPr="0016789A" w:rsidRDefault="00DA7D6B">
            <w:pPr>
              <w:spacing w:after="0" w:line="240" w:lineRule="auto"/>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Tasmania</w:t>
            </w:r>
          </w:p>
        </w:tc>
        <w:tc>
          <w:tcPr>
            <w:tcW w:w="864" w:type="pct"/>
            <w:noWrap/>
            <w:hideMark/>
          </w:tcPr>
          <w:p w14:paraId="6E4FC78F"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4</w:t>
            </w:r>
          </w:p>
        </w:tc>
        <w:tc>
          <w:tcPr>
            <w:tcW w:w="1021" w:type="pct"/>
            <w:tcBorders>
              <w:right w:val="single" w:sz="8" w:space="0" w:color="D9D9D9" w:themeColor="background1" w:themeShade="D9"/>
            </w:tcBorders>
            <w:hideMark/>
          </w:tcPr>
          <w:p w14:paraId="05A79D48"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0.2</w:t>
            </w:r>
          </w:p>
        </w:tc>
        <w:tc>
          <w:tcPr>
            <w:tcW w:w="1020" w:type="pct"/>
            <w:tcBorders>
              <w:top w:val="single" w:sz="4" w:space="0" w:color="D9D9D9" w:themeColor="background1" w:themeShade="D9"/>
              <w:left w:val="single" w:sz="8" w:space="0" w:color="D9D9D9" w:themeColor="background1" w:themeShade="D9"/>
              <w:bottom w:val="single" w:sz="4" w:space="0" w:color="D9D9D9" w:themeColor="background1" w:themeShade="D9"/>
            </w:tcBorders>
            <w:noWrap/>
            <w:hideMark/>
          </w:tcPr>
          <w:p w14:paraId="0A498F07"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6</w:t>
            </w:r>
          </w:p>
        </w:tc>
        <w:tc>
          <w:tcPr>
            <w:tcW w:w="1074" w:type="pct"/>
            <w:hideMark/>
          </w:tcPr>
          <w:p w14:paraId="4300B80A"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0.2</w:t>
            </w:r>
          </w:p>
        </w:tc>
      </w:tr>
      <w:tr w:rsidR="00DA7D6B" w:rsidRPr="0016789A" w14:paraId="0823F9DF" w14:textId="77777777" w:rsidTr="0016789A">
        <w:trPr>
          <w:trHeight w:val="17"/>
        </w:trPr>
        <w:tc>
          <w:tcPr>
            <w:tcW w:w="1021" w:type="pct"/>
            <w:noWrap/>
            <w:hideMark/>
          </w:tcPr>
          <w:p w14:paraId="7BB48379" w14:textId="77777777" w:rsidR="00DA7D6B" w:rsidRPr="0016789A" w:rsidRDefault="00DA7D6B">
            <w:pPr>
              <w:spacing w:after="0" w:line="240" w:lineRule="auto"/>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ACT</w:t>
            </w:r>
          </w:p>
        </w:tc>
        <w:tc>
          <w:tcPr>
            <w:tcW w:w="864" w:type="pct"/>
            <w:noWrap/>
            <w:hideMark/>
          </w:tcPr>
          <w:p w14:paraId="5724A048"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3</w:t>
            </w:r>
          </w:p>
        </w:tc>
        <w:tc>
          <w:tcPr>
            <w:tcW w:w="1021" w:type="pct"/>
            <w:tcBorders>
              <w:right w:val="single" w:sz="8" w:space="0" w:color="D9D9D9" w:themeColor="background1" w:themeShade="D9"/>
            </w:tcBorders>
            <w:hideMark/>
          </w:tcPr>
          <w:p w14:paraId="3325D694"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0.2</w:t>
            </w:r>
          </w:p>
        </w:tc>
        <w:tc>
          <w:tcPr>
            <w:tcW w:w="1020" w:type="pct"/>
            <w:tcBorders>
              <w:top w:val="single" w:sz="4" w:space="0" w:color="D9D9D9" w:themeColor="background1" w:themeShade="D9"/>
              <w:left w:val="single" w:sz="8" w:space="0" w:color="D9D9D9" w:themeColor="background1" w:themeShade="D9"/>
              <w:bottom w:val="single" w:sz="4" w:space="0" w:color="D9D9D9" w:themeColor="background1" w:themeShade="D9"/>
            </w:tcBorders>
            <w:noWrap/>
            <w:hideMark/>
          </w:tcPr>
          <w:p w14:paraId="4DA5BF3C"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3</w:t>
            </w:r>
          </w:p>
        </w:tc>
        <w:tc>
          <w:tcPr>
            <w:tcW w:w="1074" w:type="pct"/>
            <w:hideMark/>
          </w:tcPr>
          <w:p w14:paraId="6AA647F9"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0.2</w:t>
            </w:r>
          </w:p>
        </w:tc>
      </w:tr>
      <w:tr w:rsidR="00DA7D6B" w:rsidRPr="0016789A" w14:paraId="03118618" w14:textId="77777777" w:rsidTr="0016789A">
        <w:trPr>
          <w:trHeight w:val="17"/>
        </w:trPr>
        <w:tc>
          <w:tcPr>
            <w:tcW w:w="1021" w:type="pct"/>
            <w:noWrap/>
            <w:hideMark/>
          </w:tcPr>
          <w:p w14:paraId="67358E64" w14:textId="77777777" w:rsidR="00DA7D6B" w:rsidRPr="0016789A" w:rsidRDefault="00DA7D6B">
            <w:pPr>
              <w:spacing w:after="0" w:line="240" w:lineRule="auto"/>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Commonwealth</w:t>
            </w:r>
          </w:p>
        </w:tc>
        <w:tc>
          <w:tcPr>
            <w:tcW w:w="864" w:type="pct"/>
            <w:noWrap/>
            <w:hideMark/>
          </w:tcPr>
          <w:p w14:paraId="0CA47CE1"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1</w:t>
            </w:r>
          </w:p>
        </w:tc>
        <w:tc>
          <w:tcPr>
            <w:tcW w:w="1021" w:type="pct"/>
            <w:tcBorders>
              <w:right w:val="single" w:sz="8" w:space="0" w:color="D9D9D9" w:themeColor="background1" w:themeShade="D9"/>
            </w:tcBorders>
            <w:hideMark/>
          </w:tcPr>
          <w:p w14:paraId="1D578275"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0.0</w:t>
            </w:r>
          </w:p>
        </w:tc>
        <w:tc>
          <w:tcPr>
            <w:tcW w:w="1020" w:type="pct"/>
            <w:tcBorders>
              <w:top w:val="single" w:sz="4" w:space="0" w:color="D9D9D9" w:themeColor="background1" w:themeShade="D9"/>
              <w:left w:val="single" w:sz="8" w:space="0" w:color="D9D9D9" w:themeColor="background1" w:themeShade="D9"/>
              <w:bottom w:val="single" w:sz="4" w:space="0" w:color="D9D9D9" w:themeColor="background1" w:themeShade="D9"/>
            </w:tcBorders>
            <w:noWrap/>
            <w:hideMark/>
          </w:tcPr>
          <w:p w14:paraId="41347741"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0</w:t>
            </w:r>
          </w:p>
        </w:tc>
        <w:tc>
          <w:tcPr>
            <w:tcW w:w="1074" w:type="pct"/>
            <w:hideMark/>
          </w:tcPr>
          <w:p w14:paraId="14CFCDA9"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0.0</w:t>
            </w:r>
          </w:p>
        </w:tc>
      </w:tr>
      <w:tr w:rsidR="00DA7D6B" w:rsidRPr="0016789A" w14:paraId="2F8A0FF7" w14:textId="77777777" w:rsidTr="0016789A">
        <w:trPr>
          <w:trHeight w:val="17"/>
        </w:trPr>
        <w:tc>
          <w:tcPr>
            <w:tcW w:w="1021" w:type="pct"/>
            <w:noWrap/>
          </w:tcPr>
          <w:p w14:paraId="5251F4F3" w14:textId="77777777" w:rsidR="00DA7D6B" w:rsidRPr="0016789A" w:rsidRDefault="00DA7D6B">
            <w:pPr>
              <w:spacing w:after="0" w:line="240" w:lineRule="auto"/>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Seacare</w:t>
            </w:r>
          </w:p>
        </w:tc>
        <w:tc>
          <w:tcPr>
            <w:tcW w:w="864" w:type="pct"/>
            <w:noWrap/>
          </w:tcPr>
          <w:p w14:paraId="2D2EEAE4"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0</w:t>
            </w:r>
          </w:p>
        </w:tc>
        <w:tc>
          <w:tcPr>
            <w:tcW w:w="1021" w:type="pct"/>
            <w:tcBorders>
              <w:right w:val="single" w:sz="8" w:space="0" w:color="D9D9D9" w:themeColor="background1" w:themeShade="D9"/>
            </w:tcBorders>
          </w:tcPr>
          <w:p w14:paraId="7BF60AC9"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0.0</w:t>
            </w:r>
          </w:p>
        </w:tc>
        <w:tc>
          <w:tcPr>
            <w:tcW w:w="1020" w:type="pct"/>
            <w:tcBorders>
              <w:top w:val="single" w:sz="4" w:space="0" w:color="D9D9D9" w:themeColor="background1" w:themeShade="D9"/>
              <w:left w:val="single" w:sz="8" w:space="0" w:color="D9D9D9" w:themeColor="background1" w:themeShade="D9"/>
              <w:bottom w:val="single" w:sz="4" w:space="0" w:color="D9D9D9" w:themeColor="background1" w:themeShade="D9"/>
            </w:tcBorders>
            <w:noWrap/>
          </w:tcPr>
          <w:p w14:paraId="2908B8AF"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0</w:t>
            </w:r>
          </w:p>
        </w:tc>
        <w:tc>
          <w:tcPr>
            <w:tcW w:w="1074" w:type="pct"/>
          </w:tcPr>
          <w:p w14:paraId="4EA1C832"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0.0</w:t>
            </w:r>
          </w:p>
        </w:tc>
      </w:tr>
      <w:tr w:rsidR="00DA7D6B" w:rsidRPr="0016789A" w14:paraId="2516B93F" w14:textId="77777777" w:rsidTr="0016789A">
        <w:trPr>
          <w:trHeight w:val="17"/>
        </w:trPr>
        <w:tc>
          <w:tcPr>
            <w:tcW w:w="1021" w:type="pct"/>
            <w:shd w:val="clear" w:color="auto" w:fill="F2F2F2" w:themeFill="background1" w:themeFillShade="F2"/>
            <w:noWrap/>
            <w:hideMark/>
          </w:tcPr>
          <w:p w14:paraId="5E933C7D" w14:textId="77777777" w:rsidR="00DA7D6B" w:rsidRPr="0016789A" w:rsidRDefault="00DA7D6B">
            <w:pPr>
              <w:spacing w:after="0" w:line="240" w:lineRule="auto"/>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b/>
                <w:color w:val="000000"/>
                <w:szCs w:val="22"/>
                <w:lang w:eastAsia="en-AU"/>
              </w:rPr>
              <w:t>All jurisdictions</w:t>
            </w:r>
          </w:p>
        </w:tc>
        <w:tc>
          <w:tcPr>
            <w:tcW w:w="864" w:type="pct"/>
            <w:shd w:val="clear" w:color="auto" w:fill="F2F2F2" w:themeFill="background1" w:themeFillShade="F2"/>
            <w:noWrap/>
            <w:hideMark/>
          </w:tcPr>
          <w:p w14:paraId="5184655F" w14:textId="77777777" w:rsidR="00DA7D6B" w:rsidRPr="0016789A" w:rsidRDefault="00DA7D6B">
            <w:pPr>
              <w:spacing w:after="0" w:line="240" w:lineRule="auto"/>
              <w:jc w:val="right"/>
              <w:rPr>
                <w:rFonts w:asciiTheme="minorHAnsi" w:eastAsia="Times New Roman" w:hAnsiTheme="minorHAnsi" w:cs="Times New Roman"/>
                <w:b/>
                <w:color w:val="000000"/>
                <w:szCs w:val="22"/>
                <w:lang w:eastAsia="en-AU"/>
              </w:rPr>
            </w:pPr>
            <w:r w:rsidRPr="0016789A">
              <w:rPr>
                <w:rFonts w:asciiTheme="minorHAnsi" w:eastAsia="Times New Roman" w:hAnsiTheme="minorHAnsi" w:cs="Times New Roman"/>
                <w:b/>
                <w:color w:val="000000"/>
                <w:szCs w:val="22"/>
                <w:lang w:eastAsia="en-AU"/>
              </w:rPr>
              <w:t>421</w:t>
            </w:r>
          </w:p>
        </w:tc>
        <w:tc>
          <w:tcPr>
            <w:tcW w:w="1021" w:type="pct"/>
            <w:tcBorders>
              <w:right w:val="single" w:sz="8" w:space="0" w:color="D9D9D9" w:themeColor="background1" w:themeShade="D9"/>
            </w:tcBorders>
            <w:shd w:val="clear" w:color="auto" w:fill="F2F2F2" w:themeFill="background1" w:themeFillShade="F2"/>
            <w:hideMark/>
          </w:tcPr>
          <w:p w14:paraId="5F31BECF" w14:textId="77777777" w:rsidR="00DA7D6B" w:rsidRPr="0016789A" w:rsidRDefault="00DA7D6B">
            <w:pPr>
              <w:spacing w:after="0" w:line="240" w:lineRule="auto"/>
              <w:jc w:val="right"/>
              <w:rPr>
                <w:rFonts w:asciiTheme="minorHAnsi" w:eastAsia="Times New Roman" w:hAnsiTheme="minorHAnsi" w:cs="Times New Roman"/>
                <w:b/>
                <w:szCs w:val="22"/>
                <w:lang w:eastAsia="en-AU"/>
              </w:rPr>
            </w:pPr>
            <w:r w:rsidRPr="0016789A">
              <w:rPr>
                <w:rFonts w:asciiTheme="minorHAnsi" w:eastAsia="Times New Roman" w:hAnsiTheme="minorHAnsi" w:cs="Times New Roman"/>
                <w:b/>
                <w:szCs w:val="22"/>
                <w:lang w:eastAsia="en-AU"/>
              </w:rPr>
              <w:t>0.3</w:t>
            </w:r>
          </w:p>
        </w:tc>
        <w:tc>
          <w:tcPr>
            <w:tcW w:w="1020" w:type="pct"/>
            <w:tcBorders>
              <w:top w:val="single" w:sz="4" w:space="0" w:color="D9D9D9" w:themeColor="background1" w:themeShade="D9"/>
              <w:left w:val="single" w:sz="8" w:space="0" w:color="D9D9D9" w:themeColor="background1" w:themeShade="D9"/>
              <w:bottom w:val="nil"/>
            </w:tcBorders>
            <w:shd w:val="clear" w:color="auto" w:fill="F2F2F2" w:themeFill="background1" w:themeFillShade="F2"/>
            <w:noWrap/>
            <w:hideMark/>
          </w:tcPr>
          <w:p w14:paraId="1271E81D" w14:textId="77777777" w:rsidR="00DA7D6B" w:rsidRPr="0016789A" w:rsidRDefault="00DA7D6B">
            <w:pPr>
              <w:spacing w:after="0" w:line="240" w:lineRule="auto"/>
              <w:jc w:val="right"/>
              <w:rPr>
                <w:rFonts w:asciiTheme="minorHAnsi" w:eastAsia="Times New Roman" w:hAnsiTheme="minorHAnsi" w:cs="Times New Roman"/>
                <w:b/>
                <w:color w:val="000000"/>
                <w:szCs w:val="22"/>
                <w:lang w:eastAsia="en-AU"/>
              </w:rPr>
            </w:pPr>
            <w:r w:rsidRPr="0016789A">
              <w:rPr>
                <w:rFonts w:asciiTheme="minorHAnsi" w:eastAsia="Times New Roman" w:hAnsiTheme="minorHAnsi" w:cs="Times New Roman"/>
                <w:b/>
                <w:color w:val="000000"/>
                <w:szCs w:val="22"/>
                <w:lang w:eastAsia="en-AU"/>
              </w:rPr>
              <w:t>317</w:t>
            </w:r>
          </w:p>
        </w:tc>
        <w:tc>
          <w:tcPr>
            <w:tcW w:w="1074" w:type="pct"/>
            <w:shd w:val="clear" w:color="auto" w:fill="F2F2F2" w:themeFill="background1" w:themeFillShade="F2"/>
            <w:hideMark/>
          </w:tcPr>
          <w:p w14:paraId="36E25D01" w14:textId="77777777" w:rsidR="00DA7D6B" w:rsidRPr="0016789A" w:rsidRDefault="00DA7D6B">
            <w:pPr>
              <w:spacing w:after="0" w:line="240" w:lineRule="auto"/>
              <w:jc w:val="right"/>
              <w:rPr>
                <w:rFonts w:asciiTheme="minorHAnsi" w:eastAsia="Times New Roman" w:hAnsiTheme="minorHAnsi" w:cs="Times New Roman"/>
                <w:b/>
                <w:szCs w:val="22"/>
                <w:lang w:eastAsia="en-AU"/>
              </w:rPr>
            </w:pPr>
            <w:r w:rsidRPr="0016789A">
              <w:rPr>
                <w:rFonts w:asciiTheme="minorHAnsi" w:eastAsia="Times New Roman" w:hAnsiTheme="minorHAnsi" w:cs="Times New Roman"/>
                <w:b/>
                <w:szCs w:val="22"/>
                <w:lang w:eastAsia="en-AU"/>
              </w:rPr>
              <w:t>0.2</w:t>
            </w:r>
          </w:p>
        </w:tc>
      </w:tr>
    </w:tbl>
    <w:p w14:paraId="66EC3381" w14:textId="77777777" w:rsidR="00F21CE3" w:rsidRDefault="00DA7D6B" w:rsidP="0016789A">
      <w:pPr>
        <w:pStyle w:val="Paragraph"/>
        <w:spacing w:before="240"/>
      </w:pPr>
      <w:r w:rsidRPr="000F1DE6">
        <w:t>Taken together, these data suggest an increase in the overall use of sanctions in recent years</w:t>
      </w:r>
      <w:r>
        <w:t>,</w:t>
      </w:r>
      <w:r w:rsidRPr="000F1DE6">
        <w:t xml:space="preserve"> but from a low base in many jurisdictions.</w:t>
      </w:r>
    </w:p>
    <w:p w14:paraId="7D8AAC3F" w14:textId="77777777" w:rsidR="00F21CE3" w:rsidRDefault="00DA7D6B" w:rsidP="001F0884">
      <w:pPr>
        <w:pStyle w:val="SWAHeading3"/>
      </w:pPr>
      <w:r w:rsidRPr="000F1DE6">
        <w:t>Direct compliance</w:t>
      </w:r>
    </w:p>
    <w:p w14:paraId="2CE13ED0" w14:textId="77777777" w:rsidR="00F21CE3" w:rsidRDefault="00DA7D6B" w:rsidP="00DA7D6B">
      <w:pPr>
        <w:pStyle w:val="Paragraph"/>
      </w:pPr>
      <w:r w:rsidRPr="000F1DE6">
        <w:t>Direct compliance activities are reflected in the use of statutory notices that compel duty holders to remedy identified breaches of WHS laws.</w:t>
      </w:r>
    </w:p>
    <w:p w14:paraId="04D71186" w14:textId="4B71008B" w:rsidR="00F21CE3" w:rsidRDefault="00DA7D6B" w:rsidP="00DA7D6B">
      <w:pPr>
        <w:pStyle w:val="Paragraph"/>
      </w:pPr>
      <w:r w:rsidRPr="000F1DE6">
        <w:t xml:space="preserve">Nationally, the number of improvement notices issued increased by 9% over the </w:t>
      </w:r>
      <w:r>
        <w:t xml:space="preserve">4 </w:t>
      </w:r>
      <w:r w:rsidRPr="000F1DE6">
        <w:t xml:space="preserve">years from 2019–20 to 2023–24, rising to 51,916. Trends varied across jurisdictions, with </w:t>
      </w:r>
      <w:r>
        <w:t xml:space="preserve">6 </w:t>
      </w:r>
      <w:r w:rsidRPr="000F1DE6">
        <w:t xml:space="preserve">recording increases, </w:t>
      </w:r>
      <w:r>
        <w:t>2</w:t>
      </w:r>
      <w:r w:rsidR="005D0E57">
        <w:t> </w:t>
      </w:r>
      <w:r w:rsidRPr="000F1DE6">
        <w:t xml:space="preserve">remaining relatively stable and </w:t>
      </w:r>
      <w:r>
        <w:t xml:space="preserve">2 </w:t>
      </w:r>
      <w:r w:rsidRPr="000F1DE6">
        <w:t>recording decreases. In 2023–24, Victoria (13,390) and NSW (13,362) issued the highest number of improvement notices, with the largest increases over the period recorded in NSW (+4,059 notices) and SA (+2,049).</w:t>
      </w:r>
    </w:p>
    <w:p w14:paraId="1842A3A0" w14:textId="77777777" w:rsidR="00F21CE3" w:rsidRDefault="00DA7D6B" w:rsidP="0016789A">
      <w:pPr>
        <w:pStyle w:val="Paragraph"/>
      </w:pPr>
      <w:r w:rsidRPr="000F1DE6">
        <w:t xml:space="preserve">The number of prohibition notices issued increased by 26% over the same period, to 7,720 in 2023–24. Consistent with improvement notices, </w:t>
      </w:r>
      <w:r>
        <w:t xml:space="preserve">6 </w:t>
      </w:r>
      <w:r w:rsidRPr="000F1DE6">
        <w:t>jurisdictions recorded increases, </w:t>
      </w:r>
      <w:r>
        <w:t xml:space="preserve">2 </w:t>
      </w:r>
      <w:r w:rsidRPr="000F1DE6">
        <w:t xml:space="preserve">remained relatively stable and </w:t>
      </w:r>
      <w:r>
        <w:t xml:space="preserve">2 </w:t>
      </w:r>
      <w:r w:rsidRPr="000F1DE6">
        <w:t>recorded decreases. NSW (3,454) and Queensland (1,636) issued the highest number of prohibition notices, with NSW recording the largest increase over the period (+1,300 notices), followed by SA (+411).</w:t>
      </w:r>
    </w:p>
    <w:p w14:paraId="48E12AAC" w14:textId="77777777" w:rsidR="00F21CE3" w:rsidRDefault="00DA7D6B" w:rsidP="001F0884">
      <w:pPr>
        <w:pStyle w:val="Paragraph"/>
      </w:pPr>
      <w:r w:rsidRPr="000F1DE6">
        <w:t>When adjusted for workforce size, the ACT recorded the highest rates of compliance notice activities, issuing 8.7 improvement notices per 1,000 employees and 3.6 prohibition notices per 1,000 employees, compared with the national averages of 3.9 and 0.6 respectively.</w:t>
      </w:r>
    </w:p>
    <w:p w14:paraId="31034818" w14:textId="4F8BFFCD" w:rsidR="0016789A" w:rsidRDefault="0016789A">
      <w:pPr>
        <w:spacing w:after="200" w:line="276" w:lineRule="auto"/>
        <w:contextualSpacing w:val="0"/>
        <w:rPr>
          <w:rFonts w:asciiTheme="minorHAnsi" w:eastAsia="Times New Roman" w:hAnsiTheme="minorHAnsi"/>
          <w:lang w:eastAsia="en-AU"/>
        </w:rPr>
      </w:pPr>
      <w:r>
        <w:br w:type="page"/>
      </w:r>
    </w:p>
    <w:p w14:paraId="7AD85E61" w14:textId="5B1B2463" w:rsidR="000D26F7" w:rsidRDefault="000D26F7" w:rsidP="000D26F7">
      <w:pPr>
        <w:pStyle w:val="Caption"/>
      </w:pPr>
      <w:r w:rsidRPr="000F1DE6">
        <w:lastRenderedPageBreak/>
        <w:t xml:space="preserve">Data table 6 </w:t>
      </w:r>
      <w:r>
        <w:t>D</w:t>
      </w:r>
      <w:r w:rsidRPr="000F1DE6">
        <w:t>irect compliance notices – 2023</w:t>
      </w:r>
      <w:r w:rsidR="005D0E57" w:rsidRPr="007A2A8D">
        <w:rPr>
          <w:rFonts w:ascii="Symbol" w:eastAsia="Symbol" w:hAnsi="Symbol" w:cs="Symbol"/>
        </w:rPr>
        <w:t>-</w:t>
      </w:r>
      <w:r w:rsidRPr="000F1DE6">
        <w:t>24 </w:t>
      </w:r>
    </w:p>
    <w:tbl>
      <w:tblPr>
        <w:tblStyle w:val="Style9"/>
        <w:tblW w:w="5010" w:type="pct"/>
        <w:tblLayout w:type="fixed"/>
        <w:tblCellMar>
          <w:top w:w="57" w:type="dxa"/>
          <w:bottom w:w="57" w:type="dxa"/>
        </w:tblCellMar>
        <w:tblLook w:val="04A0" w:firstRow="1" w:lastRow="0" w:firstColumn="1" w:lastColumn="0" w:noHBand="0" w:noVBand="1"/>
        <w:tblCaption w:val="Data table 6 Direct compliance notices – 2023-24 "/>
        <w:tblDescription w:val="Table outlining how many impovement notices and prohibition notices were issued over 2023-24. This data is disaggregated by jurisdiction, and by notices per 1000 employees in each jurisdiction. Amounts to 3.9 improvement notices and 0.6 prohibition notices per 1000 employees across all jurisdictions. "/>
      </w:tblPr>
      <w:tblGrid>
        <w:gridCol w:w="1994"/>
        <w:gridCol w:w="1226"/>
        <w:gridCol w:w="2191"/>
        <w:gridCol w:w="2256"/>
        <w:gridCol w:w="2098"/>
      </w:tblGrid>
      <w:tr w:rsidR="00DA7D6B" w:rsidRPr="0016789A" w14:paraId="3A81D499" w14:textId="77777777" w:rsidTr="0016789A">
        <w:trPr>
          <w:trHeight w:val="300"/>
        </w:trPr>
        <w:tc>
          <w:tcPr>
            <w:tcW w:w="1021" w:type="pct"/>
            <w:shd w:val="clear" w:color="auto" w:fill="F2F2F2" w:themeFill="background1" w:themeFillShade="F2"/>
            <w:noWrap/>
            <w:hideMark/>
          </w:tcPr>
          <w:p w14:paraId="79F27B28" w14:textId="77777777" w:rsidR="00DA7D6B" w:rsidRPr="0016789A" w:rsidRDefault="00DA7D6B">
            <w:pPr>
              <w:spacing w:after="0" w:line="240" w:lineRule="auto"/>
              <w:rPr>
                <w:rFonts w:asciiTheme="minorHAnsi" w:eastAsia="Times New Roman" w:hAnsiTheme="minorHAnsi" w:cs="Times New Roman"/>
                <w:szCs w:val="22"/>
                <w:lang w:eastAsia="en-AU"/>
              </w:rPr>
            </w:pPr>
          </w:p>
        </w:tc>
        <w:tc>
          <w:tcPr>
            <w:tcW w:w="1750" w:type="pct"/>
            <w:gridSpan w:val="2"/>
            <w:tcBorders>
              <w:right w:val="single" w:sz="8" w:space="0" w:color="D9D9D9" w:themeColor="background1" w:themeShade="D9"/>
            </w:tcBorders>
            <w:shd w:val="clear" w:color="auto" w:fill="F2F2F2" w:themeFill="background1" w:themeFillShade="F2"/>
            <w:hideMark/>
          </w:tcPr>
          <w:p w14:paraId="666BA08B" w14:textId="77777777" w:rsidR="00DA7D6B" w:rsidRPr="0016789A" w:rsidRDefault="00DA7D6B">
            <w:pPr>
              <w:spacing w:after="0" w:line="240" w:lineRule="auto"/>
              <w:jc w:val="center"/>
              <w:rPr>
                <w:rFonts w:asciiTheme="minorHAnsi" w:eastAsia="Times New Roman" w:hAnsiTheme="minorHAnsi" w:cs="Times New Roman"/>
                <w:b/>
                <w:color w:val="000000"/>
                <w:szCs w:val="22"/>
                <w:lang w:eastAsia="en-AU"/>
              </w:rPr>
            </w:pPr>
            <w:r w:rsidRPr="0016789A">
              <w:rPr>
                <w:rFonts w:asciiTheme="minorHAnsi" w:eastAsia="Times New Roman" w:hAnsiTheme="minorHAnsi" w:cs="Times New Roman"/>
                <w:b/>
                <w:color w:val="000000"/>
                <w:szCs w:val="22"/>
                <w:lang w:eastAsia="en-AU"/>
              </w:rPr>
              <w:t>Improvement notices</w:t>
            </w:r>
          </w:p>
        </w:tc>
        <w:tc>
          <w:tcPr>
            <w:tcW w:w="2229" w:type="pct"/>
            <w:gridSpan w:val="2"/>
            <w:tcBorders>
              <w:top w:val="nil"/>
              <w:left w:val="single" w:sz="8" w:space="0" w:color="D9D9D9" w:themeColor="background1" w:themeShade="D9"/>
              <w:bottom w:val="single" w:sz="4" w:space="0" w:color="D9D9D9" w:themeColor="background1" w:themeShade="D9"/>
            </w:tcBorders>
            <w:shd w:val="clear" w:color="auto" w:fill="F2F2F2" w:themeFill="background1" w:themeFillShade="F2"/>
            <w:hideMark/>
          </w:tcPr>
          <w:p w14:paraId="49FAEDCE" w14:textId="77777777" w:rsidR="00DA7D6B" w:rsidRPr="0016789A" w:rsidRDefault="00DA7D6B">
            <w:pPr>
              <w:spacing w:after="0" w:line="240" w:lineRule="auto"/>
              <w:jc w:val="center"/>
              <w:rPr>
                <w:rFonts w:asciiTheme="minorHAnsi" w:eastAsia="Times New Roman" w:hAnsiTheme="minorHAnsi" w:cs="Times New Roman"/>
                <w:b/>
                <w:color w:val="000000"/>
                <w:szCs w:val="22"/>
                <w:lang w:eastAsia="en-AU"/>
              </w:rPr>
            </w:pPr>
            <w:r w:rsidRPr="0016789A">
              <w:rPr>
                <w:rFonts w:asciiTheme="minorHAnsi" w:eastAsia="Times New Roman" w:hAnsiTheme="minorHAnsi" w:cs="Times New Roman"/>
                <w:b/>
                <w:color w:val="000000"/>
                <w:szCs w:val="22"/>
                <w:lang w:eastAsia="en-AU"/>
              </w:rPr>
              <w:t>Prohibition notices</w:t>
            </w:r>
          </w:p>
        </w:tc>
      </w:tr>
      <w:tr w:rsidR="00DA7D6B" w:rsidRPr="0016789A" w14:paraId="67E75829" w14:textId="77777777" w:rsidTr="0016789A">
        <w:trPr>
          <w:trHeight w:val="315"/>
        </w:trPr>
        <w:tc>
          <w:tcPr>
            <w:tcW w:w="1021" w:type="pct"/>
            <w:shd w:val="clear" w:color="auto" w:fill="F2F2F2" w:themeFill="background1" w:themeFillShade="F2"/>
            <w:noWrap/>
            <w:vAlign w:val="bottom"/>
            <w:hideMark/>
          </w:tcPr>
          <w:p w14:paraId="21C5C67A" w14:textId="375FB5E2" w:rsidR="00DA7D6B" w:rsidRPr="0016789A" w:rsidRDefault="000D26F7" w:rsidP="000D26F7">
            <w:pPr>
              <w:spacing w:after="0" w:line="240" w:lineRule="auto"/>
              <w:rPr>
                <w:rFonts w:asciiTheme="minorHAnsi" w:eastAsia="Times New Roman" w:hAnsiTheme="minorHAnsi" w:cs="Times New Roman"/>
                <w:b/>
                <w:color w:val="000000"/>
                <w:szCs w:val="22"/>
                <w:lang w:eastAsia="en-AU"/>
              </w:rPr>
            </w:pPr>
            <w:r w:rsidRPr="0016789A">
              <w:rPr>
                <w:rFonts w:asciiTheme="minorHAnsi" w:eastAsia="Times New Roman" w:hAnsiTheme="minorHAnsi" w:cs="Times New Roman"/>
                <w:b/>
                <w:color w:val="000000"/>
                <w:szCs w:val="22"/>
                <w:lang w:eastAsia="en-AU"/>
              </w:rPr>
              <w:t>Jurisdiction</w:t>
            </w:r>
          </w:p>
        </w:tc>
        <w:tc>
          <w:tcPr>
            <w:tcW w:w="628" w:type="pct"/>
            <w:shd w:val="clear" w:color="auto" w:fill="F2F2F2" w:themeFill="background1" w:themeFillShade="F2"/>
            <w:noWrap/>
            <w:vAlign w:val="bottom"/>
            <w:hideMark/>
          </w:tcPr>
          <w:p w14:paraId="3B5C0871" w14:textId="77777777" w:rsidR="00DA7D6B" w:rsidRPr="0016789A" w:rsidRDefault="00DA7D6B" w:rsidP="000D26F7">
            <w:pPr>
              <w:spacing w:after="0" w:line="240" w:lineRule="auto"/>
              <w:jc w:val="right"/>
              <w:rPr>
                <w:rFonts w:asciiTheme="minorHAnsi" w:eastAsia="Times New Roman" w:hAnsiTheme="minorHAnsi" w:cs="Times New Roman"/>
                <w:b/>
                <w:color w:val="000000"/>
                <w:szCs w:val="22"/>
                <w:lang w:eastAsia="en-AU"/>
              </w:rPr>
            </w:pPr>
            <w:r w:rsidRPr="0016789A">
              <w:rPr>
                <w:rFonts w:asciiTheme="minorHAnsi" w:eastAsia="Times New Roman" w:hAnsiTheme="minorHAnsi" w:cs="Times New Roman"/>
                <w:b/>
                <w:color w:val="000000"/>
                <w:szCs w:val="22"/>
                <w:lang w:eastAsia="en-AU"/>
              </w:rPr>
              <w:t>Number</w:t>
            </w:r>
          </w:p>
        </w:tc>
        <w:tc>
          <w:tcPr>
            <w:tcW w:w="1122" w:type="pct"/>
            <w:tcBorders>
              <w:right w:val="single" w:sz="8" w:space="0" w:color="D9D9D9" w:themeColor="background1" w:themeShade="D9"/>
            </w:tcBorders>
            <w:shd w:val="clear" w:color="auto" w:fill="F2F2F2" w:themeFill="background1" w:themeFillShade="F2"/>
            <w:noWrap/>
            <w:vAlign w:val="bottom"/>
            <w:hideMark/>
          </w:tcPr>
          <w:p w14:paraId="54BCB3E3" w14:textId="77777777" w:rsidR="00DA7D6B" w:rsidRPr="0016789A" w:rsidRDefault="00DA7D6B" w:rsidP="000D26F7">
            <w:pPr>
              <w:spacing w:after="0" w:line="240" w:lineRule="auto"/>
              <w:jc w:val="right"/>
              <w:rPr>
                <w:rFonts w:asciiTheme="minorHAnsi" w:eastAsia="Times New Roman" w:hAnsiTheme="minorHAnsi" w:cs="Times New Roman"/>
                <w:b/>
                <w:color w:val="000000"/>
                <w:szCs w:val="22"/>
                <w:lang w:eastAsia="en-AU"/>
              </w:rPr>
            </w:pPr>
            <w:r w:rsidRPr="0016789A">
              <w:rPr>
                <w:rFonts w:asciiTheme="minorHAnsi" w:eastAsia="Times New Roman" w:hAnsiTheme="minorHAnsi" w:cs="Times New Roman"/>
                <w:b/>
                <w:color w:val="000000"/>
                <w:szCs w:val="22"/>
                <w:lang w:eastAsia="en-AU"/>
              </w:rPr>
              <w:t>Notices per 1,000 employees</w:t>
            </w:r>
          </w:p>
        </w:tc>
        <w:tc>
          <w:tcPr>
            <w:tcW w:w="1155" w:type="pct"/>
            <w:tcBorders>
              <w:top w:val="single" w:sz="4" w:space="0" w:color="D9D9D9" w:themeColor="background1" w:themeShade="D9"/>
              <w:left w:val="single" w:sz="8" w:space="0" w:color="D9D9D9" w:themeColor="background1" w:themeShade="D9"/>
              <w:bottom w:val="single" w:sz="4" w:space="0" w:color="D9D9D9" w:themeColor="background1" w:themeShade="D9"/>
            </w:tcBorders>
            <w:shd w:val="clear" w:color="auto" w:fill="F2F2F2" w:themeFill="background1" w:themeFillShade="F2"/>
            <w:noWrap/>
            <w:vAlign w:val="bottom"/>
            <w:hideMark/>
          </w:tcPr>
          <w:p w14:paraId="664DE753" w14:textId="77777777" w:rsidR="00DA7D6B" w:rsidRPr="0016789A" w:rsidRDefault="00DA7D6B" w:rsidP="000D26F7">
            <w:pPr>
              <w:spacing w:after="0" w:line="240" w:lineRule="auto"/>
              <w:jc w:val="right"/>
              <w:rPr>
                <w:rFonts w:asciiTheme="minorHAnsi" w:eastAsia="Times New Roman" w:hAnsiTheme="minorHAnsi" w:cs="Times New Roman"/>
                <w:b/>
                <w:color w:val="000000"/>
                <w:szCs w:val="22"/>
                <w:lang w:eastAsia="en-AU"/>
              </w:rPr>
            </w:pPr>
            <w:r w:rsidRPr="0016789A">
              <w:rPr>
                <w:rFonts w:asciiTheme="minorHAnsi" w:eastAsia="Times New Roman" w:hAnsiTheme="minorHAnsi" w:cs="Times New Roman"/>
                <w:b/>
                <w:color w:val="000000"/>
                <w:szCs w:val="22"/>
                <w:lang w:eastAsia="en-AU"/>
              </w:rPr>
              <w:t>Number</w:t>
            </w:r>
          </w:p>
        </w:tc>
        <w:tc>
          <w:tcPr>
            <w:tcW w:w="1074" w:type="pct"/>
            <w:shd w:val="clear" w:color="auto" w:fill="F2F2F2" w:themeFill="background1" w:themeFillShade="F2"/>
            <w:noWrap/>
            <w:vAlign w:val="bottom"/>
            <w:hideMark/>
          </w:tcPr>
          <w:p w14:paraId="55B04F84" w14:textId="77777777" w:rsidR="00DA7D6B" w:rsidRPr="0016789A" w:rsidRDefault="00DA7D6B" w:rsidP="000D26F7">
            <w:pPr>
              <w:spacing w:after="0" w:line="240" w:lineRule="auto"/>
              <w:jc w:val="right"/>
              <w:rPr>
                <w:rFonts w:asciiTheme="minorHAnsi" w:eastAsia="Times New Roman" w:hAnsiTheme="minorHAnsi" w:cs="Times New Roman"/>
                <w:b/>
                <w:color w:val="000000"/>
                <w:szCs w:val="22"/>
                <w:lang w:eastAsia="en-AU"/>
              </w:rPr>
            </w:pPr>
            <w:r w:rsidRPr="0016789A">
              <w:rPr>
                <w:rFonts w:asciiTheme="minorHAnsi" w:eastAsia="Times New Roman" w:hAnsiTheme="minorHAnsi" w:cs="Times New Roman"/>
                <w:b/>
                <w:color w:val="000000"/>
                <w:szCs w:val="22"/>
                <w:lang w:eastAsia="en-AU"/>
              </w:rPr>
              <w:t>Notices per 1,000 employees</w:t>
            </w:r>
          </w:p>
        </w:tc>
      </w:tr>
      <w:tr w:rsidR="00DA7D6B" w:rsidRPr="0016789A" w14:paraId="3A6C0705" w14:textId="77777777" w:rsidTr="0016789A">
        <w:trPr>
          <w:trHeight w:val="17"/>
        </w:trPr>
        <w:tc>
          <w:tcPr>
            <w:tcW w:w="1021" w:type="pct"/>
            <w:noWrap/>
          </w:tcPr>
          <w:p w14:paraId="312E1B99" w14:textId="77777777" w:rsidR="00DA7D6B" w:rsidRPr="0016789A" w:rsidRDefault="00DA7D6B">
            <w:pPr>
              <w:spacing w:after="0" w:line="240" w:lineRule="auto"/>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Victoria</w:t>
            </w:r>
          </w:p>
        </w:tc>
        <w:tc>
          <w:tcPr>
            <w:tcW w:w="628" w:type="pct"/>
            <w:noWrap/>
          </w:tcPr>
          <w:p w14:paraId="50E59C57"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13,390</w:t>
            </w:r>
          </w:p>
        </w:tc>
        <w:tc>
          <w:tcPr>
            <w:tcW w:w="1122" w:type="pct"/>
            <w:tcBorders>
              <w:right w:val="single" w:sz="8" w:space="0" w:color="D9D9D9" w:themeColor="background1" w:themeShade="D9"/>
            </w:tcBorders>
          </w:tcPr>
          <w:p w14:paraId="13AB94B1"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3.9</w:t>
            </w:r>
          </w:p>
        </w:tc>
        <w:tc>
          <w:tcPr>
            <w:tcW w:w="1155" w:type="pct"/>
            <w:tcBorders>
              <w:top w:val="single" w:sz="4" w:space="0" w:color="D9D9D9" w:themeColor="background1" w:themeShade="D9"/>
              <w:left w:val="single" w:sz="8" w:space="0" w:color="D9D9D9" w:themeColor="background1" w:themeShade="D9"/>
              <w:bottom w:val="single" w:sz="4" w:space="0" w:color="D9D9D9" w:themeColor="background1" w:themeShade="D9"/>
            </w:tcBorders>
            <w:noWrap/>
          </w:tcPr>
          <w:p w14:paraId="38741109"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515</w:t>
            </w:r>
          </w:p>
        </w:tc>
        <w:tc>
          <w:tcPr>
            <w:tcW w:w="1074" w:type="pct"/>
          </w:tcPr>
          <w:p w14:paraId="57BE4BBA"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0.1</w:t>
            </w:r>
          </w:p>
        </w:tc>
      </w:tr>
      <w:tr w:rsidR="00DA7D6B" w:rsidRPr="0016789A" w14:paraId="158F0FA0" w14:textId="77777777" w:rsidTr="0016789A">
        <w:trPr>
          <w:trHeight w:val="17"/>
        </w:trPr>
        <w:tc>
          <w:tcPr>
            <w:tcW w:w="1021" w:type="pct"/>
            <w:noWrap/>
            <w:hideMark/>
          </w:tcPr>
          <w:p w14:paraId="5D562C99" w14:textId="77777777" w:rsidR="00DA7D6B" w:rsidRPr="0016789A" w:rsidRDefault="00DA7D6B">
            <w:pPr>
              <w:spacing w:after="0" w:line="240" w:lineRule="auto"/>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NSW</w:t>
            </w:r>
          </w:p>
        </w:tc>
        <w:tc>
          <w:tcPr>
            <w:tcW w:w="628" w:type="pct"/>
            <w:noWrap/>
            <w:hideMark/>
          </w:tcPr>
          <w:p w14:paraId="4DF9C4FE"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13,362</w:t>
            </w:r>
          </w:p>
        </w:tc>
        <w:tc>
          <w:tcPr>
            <w:tcW w:w="1122" w:type="pct"/>
            <w:tcBorders>
              <w:right w:val="single" w:sz="8" w:space="0" w:color="D9D9D9" w:themeColor="background1" w:themeShade="D9"/>
            </w:tcBorders>
            <w:hideMark/>
          </w:tcPr>
          <w:p w14:paraId="02073532"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3.5</w:t>
            </w:r>
          </w:p>
        </w:tc>
        <w:tc>
          <w:tcPr>
            <w:tcW w:w="1155" w:type="pct"/>
            <w:tcBorders>
              <w:top w:val="single" w:sz="4" w:space="0" w:color="D9D9D9" w:themeColor="background1" w:themeShade="D9"/>
              <w:left w:val="single" w:sz="8" w:space="0" w:color="D9D9D9" w:themeColor="background1" w:themeShade="D9"/>
              <w:bottom w:val="single" w:sz="4" w:space="0" w:color="D9D9D9" w:themeColor="background1" w:themeShade="D9"/>
            </w:tcBorders>
            <w:noWrap/>
            <w:hideMark/>
          </w:tcPr>
          <w:p w14:paraId="6990685F"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3,454</w:t>
            </w:r>
          </w:p>
        </w:tc>
        <w:tc>
          <w:tcPr>
            <w:tcW w:w="1074" w:type="pct"/>
            <w:hideMark/>
          </w:tcPr>
          <w:p w14:paraId="640100F8"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0.9</w:t>
            </w:r>
          </w:p>
        </w:tc>
      </w:tr>
      <w:tr w:rsidR="00DA7D6B" w:rsidRPr="0016789A" w14:paraId="79CF928C" w14:textId="77777777" w:rsidTr="0016789A">
        <w:trPr>
          <w:trHeight w:val="17"/>
        </w:trPr>
        <w:tc>
          <w:tcPr>
            <w:tcW w:w="1021" w:type="pct"/>
            <w:noWrap/>
            <w:hideMark/>
          </w:tcPr>
          <w:p w14:paraId="2C572553" w14:textId="77777777" w:rsidR="00DA7D6B" w:rsidRPr="0016789A" w:rsidRDefault="00DA7D6B">
            <w:pPr>
              <w:spacing w:after="0" w:line="240" w:lineRule="auto"/>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Queensland</w:t>
            </w:r>
          </w:p>
        </w:tc>
        <w:tc>
          <w:tcPr>
            <w:tcW w:w="628" w:type="pct"/>
            <w:noWrap/>
            <w:hideMark/>
          </w:tcPr>
          <w:p w14:paraId="263F9D79"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11,708</w:t>
            </w:r>
          </w:p>
        </w:tc>
        <w:tc>
          <w:tcPr>
            <w:tcW w:w="1122" w:type="pct"/>
            <w:tcBorders>
              <w:right w:val="single" w:sz="8" w:space="0" w:color="D9D9D9" w:themeColor="background1" w:themeShade="D9"/>
            </w:tcBorders>
            <w:hideMark/>
          </w:tcPr>
          <w:p w14:paraId="7188E6E6"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4.5</w:t>
            </w:r>
          </w:p>
        </w:tc>
        <w:tc>
          <w:tcPr>
            <w:tcW w:w="1155" w:type="pct"/>
            <w:tcBorders>
              <w:top w:val="single" w:sz="4" w:space="0" w:color="D9D9D9" w:themeColor="background1" w:themeShade="D9"/>
              <w:left w:val="single" w:sz="8" w:space="0" w:color="D9D9D9" w:themeColor="background1" w:themeShade="D9"/>
              <w:bottom w:val="single" w:sz="4" w:space="0" w:color="D9D9D9" w:themeColor="background1" w:themeShade="D9"/>
            </w:tcBorders>
            <w:noWrap/>
            <w:hideMark/>
          </w:tcPr>
          <w:p w14:paraId="2C0EEB62"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1,636</w:t>
            </w:r>
          </w:p>
        </w:tc>
        <w:tc>
          <w:tcPr>
            <w:tcW w:w="1074" w:type="pct"/>
            <w:hideMark/>
          </w:tcPr>
          <w:p w14:paraId="5368E2BF"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0.6</w:t>
            </w:r>
          </w:p>
        </w:tc>
      </w:tr>
      <w:tr w:rsidR="00DA7D6B" w:rsidRPr="0016789A" w14:paraId="20BF9EE4" w14:textId="77777777" w:rsidTr="0016789A">
        <w:trPr>
          <w:trHeight w:val="17"/>
        </w:trPr>
        <w:tc>
          <w:tcPr>
            <w:tcW w:w="1021" w:type="pct"/>
            <w:noWrap/>
          </w:tcPr>
          <w:p w14:paraId="2B360AE8" w14:textId="77777777" w:rsidR="00DA7D6B" w:rsidRPr="0016789A" w:rsidRDefault="00DA7D6B">
            <w:pPr>
              <w:spacing w:after="0" w:line="240" w:lineRule="auto"/>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WA</w:t>
            </w:r>
          </w:p>
        </w:tc>
        <w:tc>
          <w:tcPr>
            <w:tcW w:w="628" w:type="pct"/>
            <w:noWrap/>
          </w:tcPr>
          <w:p w14:paraId="534D3E79"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6,229</w:t>
            </w:r>
          </w:p>
        </w:tc>
        <w:tc>
          <w:tcPr>
            <w:tcW w:w="1122" w:type="pct"/>
            <w:tcBorders>
              <w:right w:val="single" w:sz="8" w:space="0" w:color="D9D9D9" w:themeColor="background1" w:themeShade="D9"/>
            </w:tcBorders>
          </w:tcPr>
          <w:p w14:paraId="556279C7"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4.8</w:t>
            </w:r>
          </w:p>
        </w:tc>
        <w:tc>
          <w:tcPr>
            <w:tcW w:w="1155" w:type="pct"/>
            <w:tcBorders>
              <w:top w:val="single" w:sz="4" w:space="0" w:color="D9D9D9" w:themeColor="background1" w:themeShade="D9"/>
              <w:left w:val="single" w:sz="8" w:space="0" w:color="D9D9D9" w:themeColor="background1" w:themeShade="D9"/>
              <w:bottom w:val="single" w:sz="4" w:space="0" w:color="D9D9D9" w:themeColor="background1" w:themeShade="D9"/>
            </w:tcBorders>
            <w:noWrap/>
          </w:tcPr>
          <w:p w14:paraId="3DE6AE9F"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148</w:t>
            </w:r>
          </w:p>
        </w:tc>
        <w:tc>
          <w:tcPr>
            <w:tcW w:w="1074" w:type="pct"/>
          </w:tcPr>
          <w:p w14:paraId="55C5CFBE"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0.1</w:t>
            </w:r>
          </w:p>
        </w:tc>
      </w:tr>
      <w:tr w:rsidR="00DA7D6B" w:rsidRPr="0016789A" w14:paraId="3EED26EB" w14:textId="77777777" w:rsidTr="0016789A">
        <w:trPr>
          <w:trHeight w:val="17"/>
        </w:trPr>
        <w:tc>
          <w:tcPr>
            <w:tcW w:w="1021" w:type="pct"/>
            <w:noWrap/>
            <w:hideMark/>
          </w:tcPr>
          <w:p w14:paraId="723F55C2" w14:textId="77777777" w:rsidR="00DA7D6B" w:rsidRPr="0016789A" w:rsidRDefault="00DA7D6B">
            <w:pPr>
              <w:spacing w:after="0" w:line="240" w:lineRule="auto"/>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SA</w:t>
            </w:r>
          </w:p>
        </w:tc>
        <w:tc>
          <w:tcPr>
            <w:tcW w:w="628" w:type="pct"/>
            <w:noWrap/>
            <w:hideMark/>
          </w:tcPr>
          <w:p w14:paraId="02C9F7E1"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4,455</w:t>
            </w:r>
          </w:p>
        </w:tc>
        <w:tc>
          <w:tcPr>
            <w:tcW w:w="1122" w:type="pct"/>
            <w:tcBorders>
              <w:right w:val="single" w:sz="8" w:space="0" w:color="D9D9D9" w:themeColor="background1" w:themeShade="D9"/>
            </w:tcBorders>
            <w:hideMark/>
          </w:tcPr>
          <w:p w14:paraId="193724B8"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5.4</w:t>
            </w:r>
          </w:p>
        </w:tc>
        <w:tc>
          <w:tcPr>
            <w:tcW w:w="1155" w:type="pct"/>
            <w:tcBorders>
              <w:top w:val="single" w:sz="4" w:space="0" w:color="D9D9D9" w:themeColor="background1" w:themeShade="D9"/>
              <w:left w:val="single" w:sz="8" w:space="0" w:color="D9D9D9" w:themeColor="background1" w:themeShade="D9"/>
              <w:bottom w:val="single" w:sz="4" w:space="0" w:color="D9D9D9" w:themeColor="background1" w:themeShade="D9"/>
            </w:tcBorders>
            <w:noWrap/>
            <w:hideMark/>
          </w:tcPr>
          <w:p w14:paraId="7388603D"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995</w:t>
            </w:r>
          </w:p>
        </w:tc>
        <w:tc>
          <w:tcPr>
            <w:tcW w:w="1074" w:type="pct"/>
            <w:hideMark/>
          </w:tcPr>
          <w:p w14:paraId="51E0FA3F"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1.2</w:t>
            </w:r>
          </w:p>
        </w:tc>
      </w:tr>
      <w:tr w:rsidR="00DA7D6B" w:rsidRPr="0016789A" w14:paraId="7FFCEB48" w14:textId="77777777" w:rsidTr="0016789A">
        <w:trPr>
          <w:trHeight w:val="17"/>
        </w:trPr>
        <w:tc>
          <w:tcPr>
            <w:tcW w:w="1021" w:type="pct"/>
            <w:noWrap/>
          </w:tcPr>
          <w:p w14:paraId="2AFACBA8" w14:textId="77777777" w:rsidR="00DA7D6B" w:rsidRPr="0016789A" w:rsidRDefault="00DA7D6B">
            <w:pPr>
              <w:spacing w:after="0" w:line="240" w:lineRule="auto"/>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ACT</w:t>
            </w:r>
          </w:p>
        </w:tc>
        <w:tc>
          <w:tcPr>
            <w:tcW w:w="628" w:type="pct"/>
            <w:noWrap/>
          </w:tcPr>
          <w:p w14:paraId="7263AE0A"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1,620</w:t>
            </w:r>
          </w:p>
        </w:tc>
        <w:tc>
          <w:tcPr>
            <w:tcW w:w="1122" w:type="pct"/>
            <w:tcBorders>
              <w:right w:val="single" w:sz="8" w:space="0" w:color="D9D9D9" w:themeColor="background1" w:themeShade="D9"/>
            </w:tcBorders>
          </w:tcPr>
          <w:p w14:paraId="7518B6CE"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8.7</w:t>
            </w:r>
          </w:p>
        </w:tc>
        <w:tc>
          <w:tcPr>
            <w:tcW w:w="1155" w:type="pct"/>
            <w:tcBorders>
              <w:top w:val="single" w:sz="4" w:space="0" w:color="D9D9D9" w:themeColor="background1" w:themeShade="D9"/>
              <w:left w:val="single" w:sz="8" w:space="0" w:color="D9D9D9" w:themeColor="background1" w:themeShade="D9"/>
              <w:bottom w:val="single" w:sz="4" w:space="0" w:color="D9D9D9" w:themeColor="background1" w:themeShade="D9"/>
            </w:tcBorders>
            <w:noWrap/>
          </w:tcPr>
          <w:p w14:paraId="502A02BB"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665</w:t>
            </w:r>
          </w:p>
        </w:tc>
        <w:tc>
          <w:tcPr>
            <w:tcW w:w="1074" w:type="pct"/>
          </w:tcPr>
          <w:p w14:paraId="76B7B08C"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3.6</w:t>
            </w:r>
          </w:p>
        </w:tc>
      </w:tr>
      <w:tr w:rsidR="00DA7D6B" w:rsidRPr="0016789A" w14:paraId="127E9A75" w14:textId="77777777" w:rsidTr="0016789A">
        <w:trPr>
          <w:trHeight w:val="17"/>
        </w:trPr>
        <w:tc>
          <w:tcPr>
            <w:tcW w:w="1021" w:type="pct"/>
            <w:noWrap/>
            <w:hideMark/>
          </w:tcPr>
          <w:p w14:paraId="24DB3640" w14:textId="77777777" w:rsidR="00DA7D6B" w:rsidRPr="0016789A" w:rsidRDefault="00DA7D6B">
            <w:pPr>
              <w:spacing w:after="0" w:line="240" w:lineRule="auto"/>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Tasmania</w:t>
            </w:r>
          </w:p>
        </w:tc>
        <w:tc>
          <w:tcPr>
            <w:tcW w:w="628" w:type="pct"/>
            <w:noWrap/>
            <w:hideMark/>
          </w:tcPr>
          <w:p w14:paraId="08BCE9EE"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741</w:t>
            </w:r>
          </w:p>
        </w:tc>
        <w:tc>
          <w:tcPr>
            <w:tcW w:w="1122" w:type="pct"/>
            <w:tcBorders>
              <w:right w:val="single" w:sz="8" w:space="0" w:color="D9D9D9" w:themeColor="background1" w:themeShade="D9"/>
            </w:tcBorders>
            <w:hideMark/>
          </w:tcPr>
          <w:p w14:paraId="5266F72C"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3.0</w:t>
            </w:r>
          </w:p>
        </w:tc>
        <w:tc>
          <w:tcPr>
            <w:tcW w:w="1155" w:type="pct"/>
            <w:tcBorders>
              <w:top w:val="single" w:sz="4" w:space="0" w:color="D9D9D9" w:themeColor="background1" w:themeShade="D9"/>
              <w:left w:val="single" w:sz="8" w:space="0" w:color="D9D9D9" w:themeColor="background1" w:themeShade="D9"/>
              <w:bottom w:val="single" w:sz="4" w:space="0" w:color="D9D9D9" w:themeColor="background1" w:themeShade="D9"/>
            </w:tcBorders>
            <w:noWrap/>
            <w:hideMark/>
          </w:tcPr>
          <w:p w14:paraId="5325372A"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185</w:t>
            </w:r>
          </w:p>
        </w:tc>
        <w:tc>
          <w:tcPr>
            <w:tcW w:w="1074" w:type="pct"/>
            <w:hideMark/>
          </w:tcPr>
          <w:p w14:paraId="55C21A7A"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0.7</w:t>
            </w:r>
          </w:p>
        </w:tc>
      </w:tr>
      <w:tr w:rsidR="00DA7D6B" w:rsidRPr="0016789A" w14:paraId="5AACDD39" w14:textId="77777777" w:rsidTr="0016789A">
        <w:trPr>
          <w:trHeight w:val="17"/>
        </w:trPr>
        <w:tc>
          <w:tcPr>
            <w:tcW w:w="1021" w:type="pct"/>
            <w:noWrap/>
            <w:hideMark/>
          </w:tcPr>
          <w:p w14:paraId="1DF82FB5" w14:textId="77777777" w:rsidR="00DA7D6B" w:rsidRPr="0016789A" w:rsidRDefault="00DA7D6B">
            <w:pPr>
              <w:spacing w:after="0" w:line="240" w:lineRule="auto"/>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NT</w:t>
            </w:r>
          </w:p>
        </w:tc>
        <w:tc>
          <w:tcPr>
            <w:tcW w:w="628" w:type="pct"/>
            <w:noWrap/>
            <w:hideMark/>
          </w:tcPr>
          <w:p w14:paraId="554AE4E1"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396</w:t>
            </w:r>
          </w:p>
        </w:tc>
        <w:tc>
          <w:tcPr>
            <w:tcW w:w="1122" w:type="pct"/>
            <w:tcBorders>
              <w:right w:val="single" w:sz="8" w:space="0" w:color="D9D9D9" w:themeColor="background1" w:themeShade="D9"/>
            </w:tcBorders>
            <w:hideMark/>
          </w:tcPr>
          <w:p w14:paraId="353B796F"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3.0</w:t>
            </w:r>
          </w:p>
        </w:tc>
        <w:tc>
          <w:tcPr>
            <w:tcW w:w="1155" w:type="pct"/>
            <w:tcBorders>
              <w:top w:val="single" w:sz="4" w:space="0" w:color="D9D9D9" w:themeColor="background1" w:themeShade="D9"/>
              <w:left w:val="single" w:sz="8" w:space="0" w:color="D9D9D9" w:themeColor="background1" w:themeShade="D9"/>
              <w:bottom w:val="single" w:sz="4" w:space="0" w:color="D9D9D9" w:themeColor="background1" w:themeShade="D9"/>
            </w:tcBorders>
            <w:noWrap/>
            <w:hideMark/>
          </w:tcPr>
          <w:p w14:paraId="45AE6E2B"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118</w:t>
            </w:r>
          </w:p>
        </w:tc>
        <w:tc>
          <w:tcPr>
            <w:tcW w:w="1074" w:type="pct"/>
            <w:hideMark/>
          </w:tcPr>
          <w:p w14:paraId="4FC52F1A"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0.9</w:t>
            </w:r>
          </w:p>
        </w:tc>
      </w:tr>
      <w:tr w:rsidR="00DA7D6B" w:rsidRPr="0016789A" w14:paraId="0F5177EE" w14:textId="77777777" w:rsidTr="0016789A">
        <w:trPr>
          <w:trHeight w:val="17"/>
        </w:trPr>
        <w:tc>
          <w:tcPr>
            <w:tcW w:w="1021" w:type="pct"/>
            <w:noWrap/>
            <w:hideMark/>
          </w:tcPr>
          <w:p w14:paraId="34AFB950" w14:textId="77777777" w:rsidR="00DA7D6B" w:rsidRPr="0016789A" w:rsidRDefault="00DA7D6B">
            <w:pPr>
              <w:spacing w:after="0" w:line="240" w:lineRule="auto"/>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Commonwealth</w:t>
            </w:r>
          </w:p>
        </w:tc>
        <w:tc>
          <w:tcPr>
            <w:tcW w:w="628" w:type="pct"/>
            <w:noWrap/>
            <w:hideMark/>
          </w:tcPr>
          <w:p w14:paraId="5464F13A"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14</w:t>
            </w:r>
          </w:p>
        </w:tc>
        <w:tc>
          <w:tcPr>
            <w:tcW w:w="1122" w:type="pct"/>
            <w:tcBorders>
              <w:right w:val="single" w:sz="8" w:space="0" w:color="D9D9D9" w:themeColor="background1" w:themeShade="D9"/>
            </w:tcBorders>
            <w:hideMark/>
          </w:tcPr>
          <w:p w14:paraId="3F871CA1"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0.0</w:t>
            </w:r>
          </w:p>
        </w:tc>
        <w:tc>
          <w:tcPr>
            <w:tcW w:w="1155" w:type="pct"/>
            <w:tcBorders>
              <w:top w:val="single" w:sz="4" w:space="0" w:color="D9D9D9" w:themeColor="background1" w:themeShade="D9"/>
              <w:left w:val="single" w:sz="8" w:space="0" w:color="D9D9D9" w:themeColor="background1" w:themeShade="D9"/>
              <w:bottom w:val="single" w:sz="4" w:space="0" w:color="D9D9D9" w:themeColor="background1" w:themeShade="D9"/>
            </w:tcBorders>
            <w:noWrap/>
            <w:hideMark/>
          </w:tcPr>
          <w:p w14:paraId="3D622F2B"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4</w:t>
            </w:r>
          </w:p>
        </w:tc>
        <w:tc>
          <w:tcPr>
            <w:tcW w:w="1074" w:type="pct"/>
            <w:hideMark/>
          </w:tcPr>
          <w:p w14:paraId="7AB866EC"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0.0</w:t>
            </w:r>
          </w:p>
        </w:tc>
      </w:tr>
      <w:tr w:rsidR="00DA7D6B" w:rsidRPr="0016789A" w14:paraId="5B87EE4E" w14:textId="77777777" w:rsidTr="0016789A">
        <w:trPr>
          <w:trHeight w:val="17"/>
        </w:trPr>
        <w:tc>
          <w:tcPr>
            <w:tcW w:w="1021" w:type="pct"/>
            <w:noWrap/>
            <w:hideMark/>
          </w:tcPr>
          <w:p w14:paraId="4372933E" w14:textId="77777777" w:rsidR="00DA7D6B" w:rsidRPr="0016789A" w:rsidRDefault="00DA7D6B">
            <w:pPr>
              <w:spacing w:after="0" w:line="240" w:lineRule="auto"/>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Seacare</w:t>
            </w:r>
          </w:p>
        </w:tc>
        <w:tc>
          <w:tcPr>
            <w:tcW w:w="628" w:type="pct"/>
            <w:noWrap/>
            <w:hideMark/>
          </w:tcPr>
          <w:p w14:paraId="1D878AB1"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1</w:t>
            </w:r>
          </w:p>
        </w:tc>
        <w:tc>
          <w:tcPr>
            <w:tcW w:w="1122" w:type="pct"/>
            <w:tcBorders>
              <w:right w:val="single" w:sz="8" w:space="0" w:color="D9D9D9" w:themeColor="background1" w:themeShade="D9"/>
            </w:tcBorders>
            <w:hideMark/>
          </w:tcPr>
          <w:p w14:paraId="73E0619E"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N/A</w:t>
            </w:r>
          </w:p>
        </w:tc>
        <w:tc>
          <w:tcPr>
            <w:tcW w:w="1155" w:type="pct"/>
            <w:tcBorders>
              <w:top w:val="single" w:sz="4" w:space="0" w:color="D9D9D9" w:themeColor="background1" w:themeShade="D9"/>
              <w:left w:val="single" w:sz="8" w:space="0" w:color="D9D9D9" w:themeColor="background1" w:themeShade="D9"/>
              <w:bottom w:val="single" w:sz="4" w:space="0" w:color="D9D9D9" w:themeColor="background1" w:themeShade="D9"/>
            </w:tcBorders>
            <w:noWrap/>
            <w:hideMark/>
          </w:tcPr>
          <w:p w14:paraId="020DE8E2"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0</w:t>
            </w:r>
          </w:p>
        </w:tc>
        <w:tc>
          <w:tcPr>
            <w:tcW w:w="1074" w:type="pct"/>
            <w:hideMark/>
          </w:tcPr>
          <w:p w14:paraId="6AABCA97"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N/A</w:t>
            </w:r>
          </w:p>
        </w:tc>
      </w:tr>
      <w:tr w:rsidR="00DA7D6B" w:rsidRPr="0016789A" w14:paraId="4E90D634" w14:textId="77777777" w:rsidTr="0016789A">
        <w:trPr>
          <w:trHeight w:val="315"/>
        </w:trPr>
        <w:tc>
          <w:tcPr>
            <w:tcW w:w="1021" w:type="pct"/>
            <w:shd w:val="clear" w:color="auto" w:fill="F2F2F2" w:themeFill="background1" w:themeFillShade="F2"/>
            <w:noWrap/>
            <w:hideMark/>
          </w:tcPr>
          <w:p w14:paraId="08CE02F3" w14:textId="77777777" w:rsidR="00DA7D6B" w:rsidRPr="0016789A" w:rsidRDefault="00DA7D6B" w:rsidP="000D26F7">
            <w:pPr>
              <w:spacing w:after="0" w:line="240" w:lineRule="auto"/>
              <w:rPr>
                <w:rFonts w:asciiTheme="minorHAnsi" w:eastAsia="Times New Roman" w:hAnsiTheme="minorHAnsi" w:cs="Times New Roman"/>
                <w:b/>
                <w:color w:val="000000"/>
                <w:szCs w:val="22"/>
                <w:lang w:eastAsia="en-AU"/>
              </w:rPr>
            </w:pPr>
            <w:r w:rsidRPr="0016789A">
              <w:rPr>
                <w:rFonts w:asciiTheme="minorHAnsi" w:eastAsia="Times New Roman" w:hAnsiTheme="minorHAnsi" w:cs="Times New Roman"/>
                <w:b/>
                <w:color w:val="000000"/>
                <w:szCs w:val="22"/>
                <w:lang w:eastAsia="en-AU"/>
              </w:rPr>
              <w:t>All jurisdictions</w:t>
            </w:r>
          </w:p>
        </w:tc>
        <w:tc>
          <w:tcPr>
            <w:tcW w:w="628" w:type="pct"/>
            <w:shd w:val="clear" w:color="auto" w:fill="F2F2F2" w:themeFill="background1" w:themeFillShade="F2"/>
            <w:noWrap/>
            <w:hideMark/>
          </w:tcPr>
          <w:p w14:paraId="6253EB3C" w14:textId="77777777" w:rsidR="00DA7D6B" w:rsidRPr="0016789A" w:rsidRDefault="00DA7D6B">
            <w:pPr>
              <w:spacing w:after="0" w:line="240" w:lineRule="auto"/>
              <w:jc w:val="right"/>
              <w:rPr>
                <w:rFonts w:asciiTheme="minorHAnsi" w:eastAsia="Times New Roman" w:hAnsiTheme="minorHAnsi" w:cs="Times New Roman"/>
                <w:b/>
                <w:color w:val="000000"/>
                <w:szCs w:val="22"/>
                <w:lang w:eastAsia="en-AU"/>
              </w:rPr>
            </w:pPr>
            <w:r w:rsidRPr="0016789A">
              <w:rPr>
                <w:rFonts w:asciiTheme="minorHAnsi" w:eastAsia="Times New Roman" w:hAnsiTheme="minorHAnsi" w:cs="Times New Roman"/>
                <w:b/>
                <w:color w:val="000000"/>
                <w:szCs w:val="22"/>
                <w:lang w:eastAsia="en-AU"/>
              </w:rPr>
              <w:t>51,916</w:t>
            </w:r>
          </w:p>
        </w:tc>
        <w:tc>
          <w:tcPr>
            <w:tcW w:w="1122" w:type="pct"/>
            <w:tcBorders>
              <w:right w:val="single" w:sz="8" w:space="0" w:color="D9D9D9" w:themeColor="background1" w:themeShade="D9"/>
            </w:tcBorders>
            <w:shd w:val="clear" w:color="auto" w:fill="F2F2F2" w:themeFill="background1" w:themeFillShade="F2"/>
            <w:hideMark/>
          </w:tcPr>
          <w:p w14:paraId="48743729" w14:textId="77777777" w:rsidR="00DA7D6B" w:rsidRPr="0016789A" w:rsidRDefault="00DA7D6B">
            <w:pPr>
              <w:spacing w:after="0" w:line="240" w:lineRule="auto"/>
              <w:jc w:val="right"/>
              <w:rPr>
                <w:rFonts w:asciiTheme="minorHAnsi" w:eastAsia="Times New Roman" w:hAnsiTheme="minorHAnsi" w:cs="Times New Roman"/>
                <w:b/>
                <w:szCs w:val="22"/>
                <w:lang w:eastAsia="en-AU"/>
              </w:rPr>
            </w:pPr>
            <w:r w:rsidRPr="0016789A">
              <w:rPr>
                <w:rFonts w:asciiTheme="minorHAnsi" w:eastAsia="Times New Roman" w:hAnsiTheme="minorHAnsi" w:cs="Times New Roman"/>
                <w:b/>
                <w:szCs w:val="22"/>
                <w:lang w:eastAsia="en-AU"/>
              </w:rPr>
              <w:t>3.9</w:t>
            </w:r>
          </w:p>
        </w:tc>
        <w:tc>
          <w:tcPr>
            <w:tcW w:w="1155" w:type="pct"/>
            <w:tcBorders>
              <w:top w:val="single" w:sz="4" w:space="0" w:color="D9D9D9" w:themeColor="background1" w:themeShade="D9"/>
              <w:left w:val="single" w:sz="8" w:space="0" w:color="D9D9D9" w:themeColor="background1" w:themeShade="D9"/>
              <w:bottom w:val="nil"/>
            </w:tcBorders>
            <w:shd w:val="clear" w:color="auto" w:fill="F2F2F2" w:themeFill="background1" w:themeFillShade="F2"/>
            <w:noWrap/>
            <w:hideMark/>
          </w:tcPr>
          <w:p w14:paraId="2D74FBFC" w14:textId="77777777" w:rsidR="00DA7D6B" w:rsidRPr="0016789A" w:rsidRDefault="00DA7D6B">
            <w:pPr>
              <w:spacing w:after="0" w:line="240" w:lineRule="auto"/>
              <w:jc w:val="right"/>
              <w:rPr>
                <w:rFonts w:asciiTheme="minorHAnsi" w:eastAsia="Times New Roman" w:hAnsiTheme="minorHAnsi" w:cs="Times New Roman"/>
                <w:b/>
                <w:szCs w:val="22"/>
                <w:lang w:eastAsia="en-AU"/>
              </w:rPr>
            </w:pPr>
            <w:r w:rsidRPr="0016789A">
              <w:rPr>
                <w:rFonts w:asciiTheme="minorHAnsi" w:eastAsia="Times New Roman" w:hAnsiTheme="minorHAnsi" w:cs="Times New Roman"/>
                <w:b/>
                <w:szCs w:val="22"/>
                <w:lang w:eastAsia="en-AU"/>
              </w:rPr>
              <w:t>7,720</w:t>
            </w:r>
          </w:p>
        </w:tc>
        <w:tc>
          <w:tcPr>
            <w:tcW w:w="1074" w:type="pct"/>
            <w:shd w:val="clear" w:color="auto" w:fill="F2F2F2" w:themeFill="background1" w:themeFillShade="F2"/>
            <w:hideMark/>
          </w:tcPr>
          <w:p w14:paraId="7BF3AF16" w14:textId="77777777" w:rsidR="00DA7D6B" w:rsidRPr="0016789A" w:rsidRDefault="00DA7D6B">
            <w:pPr>
              <w:spacing w:after="0" w:line="240" w:lineRule="auto"/>
              <w:jc w:val="right"/>
              <w:rPr>
                <w:rFonts w:asciiTheme="minorHAnsi" w:eastAsia="Times New Roman" w:hAnsiTheme="minorHAnsi" w:cs="Times New Roman"/>
                <w:b/>
                <w:szCs w:val="22"/>
                <w:lang w:eastAsia="en-AU"/>
              </w:rPr>
            </w:pPr>
            <w:r w:rsidRPr="0016789A">
              <w:rPr>
                <w:rFonts w:asciiTheme="minorHAnsi" w:eastAsia="Times New Roman" w:hAnsiTheme="minorHAnsi" w:cs="Times New Roman"/>
                <w:b/>
                <w:szCs w:val="22"/>
                <w:lang w:eastAsia="en-AU"/>
              </w:rPr>
              <w:t>0.6</w:t>
            </w:r>
          </w:p>
        </w:tc>
      </w:tr>
    </w:tbl>
    <w:p w14:paraId="7EA4BC35" w14:textId="77777777" w:rsidR="00F21CE3" w:rsidRDefault="00DA7D6B" w:rsidP="001F0884">
      <w:pPr>
        <w:pStyle w:val="SWAHeading3"/>
      </w:pPr>
      <w:r w:rsidRPr="000F1DE6">
        <w:t>Encouraging and assisting compliance</w:t>
      </w:r>
    </w:p>
    <w:p w14:paraId="7881EBF0" w14:textId="03BD9C41" w:rsidR="00FD2C78" w:rsidRDefault="00DA7D6B" w:rsidP="00DA7D6B">
      <w:pPr>
        <w:pStyle w:val="Paragraph"/>
      </w:pPr>
      <w:r w:rsidRPr="000F1DE6">
        <w:t xml:space="preserve">Nationally, proactive compliance and enforcement activities declined over the </w:t>
      </w:r>
      <w:r>
        <w:t xml:space="preserve">4 </w:t>
      </w:r>
      <w:r w:rsidRPr="000F1DE6">
        <w:t>years from 2019</w:t>
      </w:r>
      <w:r w:rsidR="005D0E57">
        <w:rPr>
          <w:rFonts w:ascii="Symbol" w:eastAsia="Symbol" w:hAnsi="Symbol" w:cs="Symbol"/>
        </w:rPr>
        <w:t>-</w:t>
      </w:r>
      <w:r w:rsidRPr="000F1DE6">
        <w:t>20 to 2023</w:t>
      </w:r>
      <w:r w:rsidR="005D0E57">
        <w:rPr>
          <w:rFonts w:ascii="Symbol" w:eastAsia="Symbol" w:hAnsi="Symbol" w:cs="Symbol"/>
        </w:rPr>
        <w:t>-</w:t>
      </w:r>
      <w:r w:rsidRPr="000F1DE6">
        <w:t>24.</w:t>
      </w:r>
      <w:r w:rsidR="00FD2C78">
        <w:rPr>
          <w:rStyle w:val="FootnoteReference"/>
        </w:rPr>
        <w:footnoteReference w:id="776"/>
      </w:r>
    </w:p>
    <w:p w14:paraId="616C9A26" w14:textId="77777777" w:rsidR="00F21CE3" w:rsidRDefault="00DA7D6B" w:rsidP="00DA7D6B">
      <w:pPr>
        <w:pStyle w:val="Paragraph"/>
      </w:pPr>
      <w:r w:rsidRPr="000F1DE6">
        <w:t>Over this period, the number of workshops, presentations and seminars delivering educational advice or information declined by 45%, to 2,841. Activity levels varied substantially across jurisdictions, with NSW maintaining the highest number of proactive visits (23,366 visits, a 3% increase), while Queensland and WA recorded sustained reductions since 2019</w:t>
      </w:r>
      <w:r w:rsidRPr="000F1DE6">
        <w:noBreakHyphen/>
        <w:t>20 (53% and 50%, respectively).</w:t>
      </w:r>
    </w:p>
    <w:p w14:paraId="488B5A49" w14:textId="77777777" w:rsidR="00F21CE3" w:rsidRDefault="00DA7D6B" w:rsidP="00DA7D6B">
      <w:pPr>
        <w:pStyle w:val="Paragraph"/>
      </w:pPr>
      <w:r w:rsidRPr="000F1DE6">
        <w:t>By contrast, reactive workplace visits (those undertaken in response to a workplace incident or complaint) increased by 20% to 74,726, while the number of other reactive interventions (such as desk</w:t>
      </w:r>
      <w:r w:rsidRPr="000F1DE6">
        <w:noBreakHyphen/>
        <w:t>based audits, meetings, advice or correspondence directly related to incident or complaint resolution) increased by 73% to 156,669. Growth in these activities was most pronounced between 2021</w:t>
      </w:r>
      <w:r w:rsidRPr="000F1DE6">
        <w:noBreakHyphen/>
        <w:t>22 and 2022</w:t>
      </w:r>
      <w:r w:rsidRPr="000F1DE6">
        <w:noBreakHyphen/>
        <w:t xml:space="preserve">23, driven primarily by increases in </w:t>
      </w:r>
      <w:r w:rsidR="000F402B">
        <w:t xml:space="preserve">the </w:t>
      </w:r>
      <w:r w:rsidRPr="000F1DE6">
        <w:t>Commonwealth, NSW and Queensland, and may in part reflect responses to COVID</w:t>
      </w:r>
      <w:r w:rsidRPr="000F1DE6">
        <w:noBreakHyphen/>
        <w:t>19 restrictions.</w:t>
      </w:r>
    </w:p>
    <w:p w14:paraId="676E9C0A" w14:textId="1E629F70" w:rsidR="00DA7D6B" w:rsidRPr="000F1DE6" w:rsidRDefault="00DA7D6B" w:rsidP="00DA7D6B">
      <w:pPr>
        <w:pStyle w:val="Paragraph"/>
      </w:pPr>
      <w:r w:rsidRPr="000F1DE6">
        <w:t>For proactive activities, NSW recorded the highest number of proactive workplace visits (23,366) and proactive workshops, presentations and seminars (781); however</w:t>
      </w:r>
      <w:r>
        <w:t>,</w:t>
      </w:r>
      <w:r w:rsidRPr="000F1DE6">
        <w:t xml:space="preserve"> on a rate basis, NSW was broadly in line with national averages (around 5.1 proactive visits per 1,000 employees and 0.2 proactive workshops per 1,000 employees).</w:t>
      </w:r>
    </w:p>
    <w:p w14:paraId="196507DF" w14:textId="3A7FE4FE" w:rsidR="0016789A" w:rsidRDefault="00DA7D6B" w:rsidP="00DA7D6B">
      <w:pPr>
        <w:pStyle w:val="Paragraph"/>
      </w:pPr>
      <w:r w:rsidRPr="004E7884">
        <w:t>Victoria also recorded higher volumes of proactive and reactive workplace visits; however, direct comparability is limited, as Victoria reports interventions differently and does not provide data for some sub-categories (including proactive workshops/presentations/seminars and other reactive interventions).</w:t>
      </w:r>
    </w:p>
    <w:p w14:paraId="5780AE00" w14:textId="77777777" w:rsidR="0016789A" w:rsidRDefault="0016789A">
      <w:pPr>
        <w:spacing w:after="200" w:line="276" w:lineRule="auto"/>
        <w:contextualSpacing w:val="0"/>
        <w:rPr>
          <w:rFonts w:asciiTheme="minorHAnsi" w:eastAsia="Times New Roman" w:hAnsiTheme="minorHAnsi"/>
          <w:lang w:eastAsia="en-AU"/>
        </w:rPr>
      </w:pPr>
      <w:r>
        <w:br w:type="page"/>
      </w:r>
    </w:p>
    <w:p w14:paraId="53EBC07D" w14:textId="77777777" w:rsidR="00DA7D6B" w:rsidRPr="000F1DE6" w:rsidRDefault="00DA7D6B" w:rsidP="00DA7D6B">
      <w:pPr>
        <w:pStyle w:val="Paragraph"/>
      </w:pPr>
      <w:r w:rsidRPr="000F1DE6">
        <w:lastRenderedPageBreak/>
        <w:t xml:space="preserve">By contrast, Queensland recorded the highest levels of reactive activity, with 15,242 reactive workplace visits and 87,404 other reactive interventions in 2023–24. This was substantially higher than other jurisdictions (with WA next highest at 26,736). When adjusted for workforce size, Queensland recorded 33.6 other reactive interventions per 1,000 employees, almost </w:t>
      </w:r>
      <w:r>
        <w:t xml:space="preserve">3 </w:t>
      </w:r>
      <w:r w:rsidRPr="000F1DE6">
        <w:t>times the Australian average of 11.9; this category may include activities such as desk</w:t>
      </w:r>
      <w:r>
        <w:t>-</w:t>
      </w:r>
      <w:r w:rsidRPr="000F1DE6">
        <w:t>based audits, meetings, telephone advice or correspondence, and variation in systems and scope across jurisdictions may contribute to these differences.</w:t>
      </w:r>
    </w:p>
    <w:p w14:paraId="16446A62" w14:textId="5351FA38" w:rsidR="00DA7D6B" w:rsidRPr="000F1DE6" w:rsidRDefault="00DA7D6B" w:rsidP="00DA7D6B">
      <w:pPr>
        <w:pStyle w:val="Paragraph"/>
      </w:pPr>
      <w:r w:rsidRPr="000F1DE6">
        <w:t>The NT recorded the highest rates of workplace visits when accounting for workforce size, with 16.3</w:t>
      </w:r>
      <w:r w:rsidR="000F402B">
        <w:t> </w:t>
      </w:r>
      <w:r w:rsidRPr="000F1DE6">
        <w:t>proactive workplace visits per 1,000 employees and 25.2 reactive workplace visits per 1,000</w:t>
      </w:r>
      <w:r w:rsidR="000F402B">
        <w:t> </w:t>
      </w:r>
      <w:r w:rsidRPr="000F1DE6">
        <w:t xml:space="preserve">employees, alongside a </w:t>
      </w:r>
      <w:r w:rsidRPr="000F402B">
        <w:t>comparatively high inspector rate.</w:t>
      </w:r>
    </w:p>
    <w:p w14:paraId="59B1E573" w14:textId="77777777" w:rsidR="00DA7D6B" w:rsidRDefault="00DA7D6B" w:rsidP="00DA7D6B">
      <w:pPr>
        <w:pStyle w:val="Paragraph"/>
      </w:pPr>
      <w:r w:rsidRPr="000F1DE6">
        <w:t>The Commonwealth recorded the highest rate of proactive workshops, presentations and seminars, at 1.3 interventions per 1,000 employees, compared with a national average of 0.2.</w:t>
      </w:r>
    </w:p>
    <w:p w14:paraId="74C43B5F" w14:textId="7752AB9E" w:rsidR="000D26F7" w:rsidRPr="000F1DE6" w:rsidRDefault="000D26F7" w:rsidP="000D26F7">
      <w:pPr>
        <w:pStyle w:val="Caption"/>
      </w:pPr>
      <w:r w:rsidRPr="000F1DE6">
        <w:t xml:space="preserve">Data table 7 </w:t>
      </w:r>
      <w:r>
        <w:t>I</w:t>
      </w:r>
      <w:r w:rsidRPr="000F1DE6">
        <w:t>nterventions (combined) – 2023</w:t>
      </w:r>
      <w:r w:rsidR="000F402B">
        <w:rPr>
          <w:rFonts w:ascii="Symbol" w:eastAsia="Symbol" w:hAnsi="Symbol" w:cs="Symbol"/>
        </w:rPr>
        <w:t>-</w:t>
      </w:r>
      <w:r w:rsidRPr="000F1DE6">
        <w:t>24 </w:t>
      </w:r>
    </w:p>
    <w:tbl>
      <w:tblPr>
        <w:tblStyle w:val="Style9"/>
        <w:tblW w:w="5010" w:type="pct"/>
        <w:tblLayout w:type="fixed"/>
        <w:tblCellMar>
          <w:top w:w="57" w:type="dxa"/>
          <w:bottom w:w="57" w:type="dxa"/>
        </w:tblCellMar>
        <w:tblLook w:val="04A0" w:firstRow="1" w:lastRow="0" w:firstColumn="1" w:lastColumn="0" w:noHBand="0" w:noVBand="1"/>
        <w:tblCaption w:val="Data table 7 Interventions (combined) – 2023-24 "/>
        <w:tblDescription w:val="Table outlines number of interventions by jurisdiction and number of activities by inspector, per 1000 employees, and by what percentage are proactive interventions. The data shows that in most jurisdictions interventions are reactive. The number of interventions and activities per inspector vary between jurisdictions. "/>
      </w:tblPr>
      <w:tblGrid>
        <w:gridCol w:w="2763"/>
        <w:gridCol w:w="1539"/>
        <w:gridCol w:w="1689"/>
        <w:gridCol w:w="2223"/>
        <w:gridCol w:w="1551"/>
      </w:tblGrid>
      <w:tr w:rsidR="00DA7D6B" w:rsidRPr="0016789A" w14:paraId="67C56106" w14:textId="77777777" w:rsidTr="0016789A">
        <w:trPr>
          <w:trHeight w:val="300"/>
        </w:trPr>
        <w:tc>
          <w:tcPr>
            <w:tcW w:w="1415" w:type="pct"/>
            <w:tcBorders>
              <w:top w:val="nil"/>
              <w:bottom w:val="nil"/>
            </w:tcBorders>
            <w:shd w:val="clear" w:color="auto" w:fill="F2F2F2" w:themeFill="background1" w:themeFillShade="F2"/>
            <w:noWrap/>
            <w:hideMark/>
          </w:tcPr>
          <w:p w14:paraId="16ECF926" w14:textId="77777777" w:rsidR="00DA7D6B" w:rsidRPr="0016789A" w:rsidRDefault="00DA7D6B">
            <w:pPr>
              <w:spacing w:after="0" w:line="240" w:lineRule="auto"/>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 </w:t>
            </w:r>
          </w:p>
        </w:tc>
        <w:tc>
          <w:tcPr>
            <w:tcW w:w="3585" w:type="pct"/>
            <w:gridSpan w:val="4"/>
            <w:shd w:val="clear" w:color="auto" w:fill="F2F2F2" w:themeFill="background1" w:themeFillShade="F2"/>
            <w:noWrap/>
            <w:vAlign w:val="bottom"/>
            <w:hideMark/>
          </w:tcPr>
          <w:p w14:paraId="1C1EE1B3" w14:textId="77777777" w:rsidR="00DA7D6B" w:rsidRPr="0016789A" w:rsidRDefault="00DA7D6B" w:rsidP="000D26F7">
            <w:pPr>
              <w:spacing w:after="0" w:line="240" w:lineRule="auto"/>
              <w:jc w:val="center"/>
              <w:rPr>
                <w:rFonts w:asciiTheme="minorHAnsi" w:eastAsia="Times New Roman" w:hAnsiTheme="minorHAnsi" w:cs="Times New Roman"/>
                <w:b/>
                <w:color w:val="000000"/>
                <w:szCs w:val="22"/>
                <w:lang w:eastAsia="en-AU"/>
              </w:rPr>
            </w:pPr>
            <w:r w:rsidRPr="0016789A">
              <w:rPr>
                <w:rFonts w:asciiTheme="minorHAnsi" w:eastAsia="Times New Roman" w:hAnsiTheme="minorHAnsi" w:cs="Times New Roman"/>
                <w:b/>
                <w:color w:val="000000"/>
                <w:szCs w:val="22"/>
                <w:lang w:eastAsia="en-AU"/>
              </w:rPr>
              <w:t>Activities (all)</w:t>
            </w:r>
          </w:p>
        </w:tc>
      </w:tr>
      <w:tr w:rsidR="00DA7D6B" w:rsidRPr="0016789A" w14:paraId="60E42CB3" w14:textId="77777777" w:rsidTr="0016789A">
        <w:trPr>
          <w:trHeight w:val="300"/>
        </w:trPr>
        <w:tc>
          <w:tcPr>
            <w:tcW w:w="1415" w:type="pct"/>
            <w:tcBorders>
              <w:top w:val="nil"/>
              <w:bottom w:val="single" w:sz="4" w:space="0" w:color="D9D9D9" w:themeColor="background1" w:themeShade="D9"/>
            </w:tcBorders>
            <w:shd w:val="clear" w:color="auto" w:fill="F2F2F2" w:themeFill="background1" w:themeFillShade="F2"/>
            <w:noWrap/>
            <w:vAlign w:val="bottom"/>
            <w:hideMark/>
          </w:tcPr>
          <w:p w14:paraId="1A280A95" w14:textId="429AB5A4" w:rsidR="00DA7D6B" w:rsidRPr="0016789A" w:rsidRDefault="00DA7D6B" w:rsidP="000D26F7">
            <w:pPr>
              <w:spacing w:after="0" w:line="240" w:lineRule="auto"/>
              <w:rPr>
                <w:rFonts w:asciiTheme="minorHAnsi" w:eastAsia="Times New Roman" w:hAnsiTheme="minorHAnsi" w:cs="Times New Roman"/>
                <w:b/>
                <w:bCs/>
                <w:color w:val="000000"/>
                <w:szCs w:val="22"/>
                <w:lang w:eastAsia="en-AU"/>
              </w:rPr>
            </w:pPr>
            <w:r w:rsidRPr="0016789A">
              <w:rPr>
                <w:rFonts w:asciiTheme="minorHAnsi" w:eastAsia="Times New Roman" w:hAnsiTheme="minorHAnsi" w:cs="Times New Roman"/>
                <w:b/>
                <w:bCs/>
                <w:color w:val="000000"/>
                <w:szCs w:val="22"/>
                <w:lang w:eastAsia="en-AU"/>
              </w:rPr>
              <w:t> </w:t>
            </w:r>
            <w:r w:rsidR="000D26F7" w:rsidRPr="0016789A">
              <w:rPr>
                <w:rFonts w:asciiTheme="minorHAnsi" w:eastAsia="Times New Roman" w:hAnsiTheme="minorHAnsi" w:cs="Times New Roman"/>
                <w:b/>
                <w:bCs/>
                <w:color w:val="000000"/>
                <w:szCs w:val="22"/>
                <w:lang w:eastAsia="en-AU"/>
              </w:rPr>
              <w:t>Jurisdiction</w:t>
            </w:r>
          </w:p>
        </w:tc>
        <w:tc>
          <w:tcPr>
            <w:tcW w:w="788" w:type="pct"/>
            <w:shd w:val="clear" w:color="auto" w:fill="F2F2F2" w:themeFill="background1" w:themeFillShade="F2"/>
            <w:noWrap/>
            <w:vAlign w:val="bottom"/>
            <w:hideMark/>
          </w:tcPr>
          <w:p w14:paraId="0D2AC315" w14:textId="77777777" w:rsidR="00DA7D6B" w:rsidRPr="0016789A" w:rsidRDefault="00DA7D6B" w:rsidP="000D26F7">
            <w:pPr>
              <w:spacing w:after="0" w:line="240" w:lineRule="auto"/>
              <w:jc w:val="right"/>
              <w:rPr>
                <w:rFonts w:asciiTheme="minorHAnsi" w:eastAsia="Times New Roman" w:hAnsiTheme="minorHAnsi" w:cs="Times New Roman"/>
                <w:b/>
                <w:color w:val="000000"/>
                <w:szCs w:val="22"/>
                <w:lang w:eastAsia="en-AU"/>
              </w:rPr>
            </w:pPr>
            <w:r w:rsidRPr="0016789A">
              <w:rPr>
                <w:rFonts w:asciiTheme="minorHAnsi" w:eastAsia="Times New Roman" w:hAnsiTheme="minorHAnsi" w:cs="Times New Roman"/>
                <w:b/>
                <w:color w:val="000000"/>
                <w:szCs w:val="22"/>
                <w:lang w:eastAsia="en-AU"/>
              </w:rPr>
              <w:t>Number</w:t>
            </w:r>
          </w:p>
        </w:tc>
        <w:tc>
          <w:tcPr>
            <w:tcW w:w="865" w:type="pct"/>
            <w:shd w:val="clear" w:color="auto" w:fill="F2F2F2" w:themeFill="background1" w:themeFillShade="F2"/>
            <w:noWrap/>
            <w:vAlign w:val="bottom"/>
            <w:hideMark/>
          </w:tcPr>
          <w:p w14:paraId="3C8AC503" w14:textId="61AD265D" w:rsidR="00DA7D6B" w:rsidRPr="0016789A" w:rsidRDefault="00DA7D6B" w:rsidP="000D26F7">
            <w:pPr>
              <w:spacing w:after="0" w:line="240" w:lineRule="auto"/>
              <w:jc w:val="right"/>
              <w:rPr>
                <w:rFonts w:asciiTheme="minorHAnsi" w:eastAsia="Times New Roman" w:hAnsiTheme="minorHAnsi" w:cs="Times New Roman"/>
                <w:b/>
                <w:color w:val="000000"/>
                <w:szCs w:val="22"/>
                <w:lang w:eastAsia="en-AU"/>
              </w:rPr>
            </w:pPr>
            <w:r w:rsidRPr="0016789A">
              <w:rPr>
                <w:rFonts w:asciiTheme="minorHAnsi" w:eastAsia="Times New Roman" w:hAnsiTheme="minorHAnsi" w:cs="Times New Roman"/>
                <w:b/>
                <w:color w:val="000000"/>
                <w:szCs w:val="22"/>
                <w:lang w:eastAsia="en-AU"/>
              </w:rPr>
              <w:t xml:space="preserve">Activities </w:t>
            </w:r>
            <w:r w:rsidR="000D26F7" w:rsidRPr="0016789A">
              <w:rPr>
                <w:rFonts w:asciiTheme="minorHAnsi" w:eastAsia="Times New Roman" w:hAnsiTheme="minorHAnsi" w:cs="Times New Roman"/>
                <w:b/>
                <w:color w:val="000000"/>
                <w:szCs w:val="22"/>
                <w:lang w:eastAsia="en-AU"/>
              </w:rPr>
              <w:br/>
            </w:r>
            <w:r w:rsidRPr="0016789A">
              <w:rPr>
                <w:rFonts w:asciiTheme="minorHAnsi" w:eastAsia="Times New Roman" w:hAnsiTheme="minorHAnsi" w:cs="Times New Roman"/>
                <w:b/>
                <w:color w:val="000000"/>
                <w:szCs w:val="22"/>
                <w:lang w:eastAsia="en-AU"/>
              </w:rPr>
              <w:t>per inspector</w:t>
            </w:r>
          </w:p>
        </w:tc>
        <w:tc>
          <w:tcPr>
            <w:tcW w:w="1138" w:type="pct"/>
            <w:shd w:val="clear" w:color="auto" w:fill="F2F2F2" w:themeFill="background1" w:themeFillShade="F2"/>
            <w:noWrap/>
            <w:vAlign w:val="bottom"/>
            <w:hideMark/>
          </w:tcPr>
          <w:p w14:paraId="32B4C966" w14:textId="36FC8A4C" w:rsidR="00DA7D6B" w:rsidRPr="0016789A" w:rsidRDefault="00DA7D6B" w:rsidP="000D26F7">
            <w:pPr>
              <w:spacing w:after="0" w:line="240" w:lineRule="auto"/>
              <w:jc w:val="right"/>
              <w:rPr>
                <w:rFonts w:asciiTheme="minorHAnsi" w:eastAsia="Times New Roman" w:hAnsiTheme="minorHAnsi" w:cs="Times New Roman"/>
                <w:b/>
                <w:color w:val="000000"/>
                <w:szCs w:val="22"/>
                <w:lang w:eastAsia="en-AU"/>
              </w:rPr>
            </w:pPr>
            <w:r w:rsidRPr="0016789A">
              <w:rPr>
                <w:rFonts w:asciiTheme="minorHAnsi" w:eastAsia="Times New Roman" w:hAnsiTheme="minorHAnsi" w:cs="Times New Roman"/>
                <w:b/>
                <w:color w:val="000000"/>
                <w:szCs w:val="22"/>
                <w:lang w:eastAsia="en-AU"/>
              </w:rPr>
              <w:t>Activities per</w:t>
            </w:r>
            <w:r w:rsidR="000D26F7" w:rsidRPr="0016789A">
              <w:rPr>
                <w:rFonts w:asciiTheme="minorHAnsi" w:eastAsia="Times New Roman" w:hAnsiTheme="minorHAnsi" w:cs="Times New Roman"/>
                <w:b/>
                <w:color w:val="000000"/>
                <w:szCs w:val="22"/>
                <w:lang w:eastAsia="en-AU"/>
              </w:rPr>
              <w:br/>
            </w:r>
            <w:r w:rsidRPr="0016789A">
              <w:rPr>
                <w:rFonts w:asciiTheme="minorHAnsi" w:eastAsia="Times New Roman" w:hAnsiTheme="minorHAnsi" w:cs="Times New Roman"/>
                <w:b/>
                <w:color w:val="000000"/>
                <w:szCs w:val="22"/>
                <w:lang w:eastAsia="en-AU"/>
              </w:rPr>
              <w:t xml:space="preserve"> 1,000 employees</w:t>
            </w:r>
          </w:p>
        </w:tc>
        <w:tc>
          <w:tcPr>
            <w:tcW w:w="794" w:type="pct"/>
            <w:shd w:val="clear" w:color="auto" w:fill="F2F2F2" w:themeFill="background1" w:themeFillShade="F2"/>
            <w:noWrap/>
            <w:vAlign w:val="bottom"/>
            <w:hideMark/>
          </w:tcPr>
          <w:p w14:paraId="5C9F2891" w14:textId="77777777" w:rsidR="00DA7D6B" w:rsidRPr="0016789A" w:rsidRDefault="00DA7D6B" w:rsidP="000D26F7">
            <w:pPr>
              <w:spacing w:after="0" w:line="240" w:lineRule="auto"/>
              <w:jc w:val="right"/>
              <w:rPr>
                <w:rFonts w:asciiTheme="minorHAnsi" w:eastAsia="Times New Roman" w:hAnsiTheme="minorHAnsi" w:cs="Times New Roman"/>
                <w:b/>
                <w:color w:val="000000"/>
                <w:szCs w:val="22"/>
                <w:lang w:eastAsia="en-AU"/>
              </w:rPr>
            </w:pPr>
            <w:r w:rsidRPr="0016789A">
              <w:rPr>
                <w:rFonts w:asciiTheme="minorHAnsi" w:eastAsia="Times New Roman" w:hAnsiTheme="minorHAnsi" w:cs="Times New Roman"/>
                <w:b/>
                <w:color w:val="000000"/>
                <w:szCs w:val="22"/>
                <w:lang w:eastAsia="en-AU"/>
              </w:rPr>
              <w:t>% proactive</w:t>
            </w:r>
          </w:p>
        </w:tc>
      </w:tr>
      <w:tr w:rsidR="00DA7D6B" w:rsidRPr="0016789A" w14:paraId="535B3280" w14:textId="77777777" w:rsidTr="0016789A">
        <w:trPr>
          <w:trHeight w:val="17"/>
        </w:trPr>
        <w:tc>
          <w:tcPr>
            <w:tcW w:w="1415" w:type="pct"/>
            <w:tcBorders>
              <w:top w:val="single" w:sz="4" w:space="0" w:color="D9D9D9" w:themeColor="background1" w:themeShade="D9"/>
            </w:tcBorders>
            <w:noWrap/>
          </w:tcPr>
          <w:p w14:paraId="2C93A9B1" w14:textId="77777777" w:rsidR="00DA7D6B" w:rsidRPr="0016789A" w:rsidRDefault="00DA7D6B">
            <w:pPr>
              <w:spacing w:after="0" w:line="240" w:lineRule="auto"/>
              <w:rPr>
                <w:rFonts w:asciiTheme="minorHAnsi" w:hAnsiTheme="minorHAnsi"/>
                <w:color w:val="000000"/>
                <w:szCs w:val="22"/>
              </w:rPr>
            </w:pPr>
            <w:r w:rsidRPr="0016789A">
              <w:rPr>
                <w:rFonts w:asciiTheme="minorHAnsi" w:hAnsiTheme="minorHAnsi"/>
                <w:color w:val="000000"/>
                <w:szCs w:val="22"/>
              </w:rPr>
              <w:t>Queensland</w:t>
            </w:r>
          </w:p>
        </w:tc>
        <w:tc>
          <w:tcPr>
            <w:tcW w:w="788" w:type="pct"/>
          </w:tcPr>
          <w:p w14:paraId="37E1BCE6"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114,694</w:t>
            </w:r>
          </w:p>
        </w:tc>
        <w:tc>
          <w:tcPr>
            <w:tcW w:w="865" w:type="pct"/>
          </w:tcPr>
          <w:p w14:paraId="6A1895F9"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425</w:t>
            </w:r>
          </w:p>
        </w:tc>
        <w:tc>
          <w:tcPr>
            <w:tcW w:w="1138" w:type="pct"/>
          </w:tcPr>
          <w:p w14:paraId="4C3E6A2B"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44.1</w:t>
            </w:r>
          </w:p>
        </w:tc>
        <w:tc>
          <w:tcPr>
            <w:tcW w:w="794" w:type="pct"/>
            <w:noWrap/>
          </w:tcPr>
          <w:p w14:paraId="117BBF01"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11%</w:t>
            </w:r>
          </w:p>
        </w:tc>
      </w:tr>
      <w:tr w:rsidR="00DA7D6B" w:rsidRPr="0016789A" w14:paraId="0AFA6435" w14:textId="77777777" w:rsidTr="0016789A">
        <w:trPr>
          <w:trHeight w:val="17"/>
        </w:trPr>
        <w:tc>
          <w:tcPr>
            <w:tcW w:w="1415" w:type="pct"/>
            <w:noWrap/>
            <w:hideMark/>
          </w:tcPr>
          <w:p w14:paraId="6CAD279F" w14:textId="77777777" w:rsidR="00DA7D6B" w:rsidRPr="0016789A" w:rsidRDefault="00DA7D6B">
            <w:pPr>
              <w:spacing w:after="0" w:line="240" w:lineRule="auto"/>
              <w:rPr>
                <w:rFonts w:asciiTheme="minorHAnsi" w:eastAsia="Times New Roman" w:hAnsiTheme="minorHAnsi" w:cs="Times New Roman"/>
                <w:color w:val="000000"/>
                <w:szCs w:val="22"/>
                <w:lang w:eastAsia="en-AU"/>
              </w:rPr>
            </w:pPr>
            <w:r w:rsidRPr="0016789A">
              <w:rPr>
                <w:rFonts w:asciiTheme="minorHAnsi" w:hAnsiTheme="minorHAnsi"/>
                <w:color w:val="000000"/>
                <w:szCs w:val="22"/>
              </w:rPr>
              <w:t>NSW</w:t>
            </w:r>
          </w:p>
        </w:tc>
        <w:tc>
          <w:tcPr>
            <w:tcW w:w="788" w:type="pct"/>
            <w:hideMark/>
          </w:tcPr>
          <w:p w14:paraId="49D5F7C5"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57,792</w:t>
            </w:r>
          </w:p>
        </w:tc>
        <w:tc>
          <w:tcPr>
            <w:tcW w:w="865" w:type="pct"/>
            <w:hideMark/>
          </w:tcPr>
          <w:p w14:paraId="308F27E5"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156</w:t>
            </w:r>
          </w:p>
        </w:tc>
        <w:tc>
          <w:tcPr>
            <w:tcW w:w="1138" w:type="pct"/>
            <w:hideMark/>
          </w:tcPr>
          <w:p w14:paraId="7EFA422C"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14.9</w:t>
            </w:r>
          </w:p>
        </w:tc>
        <w:tc>
          <w:tcPr>
            <w:tcW w:w="794" w:type="pct"/>
            <w:noWrap/>
            <w:hideMark/>
          </w:tcPr>
          <w:p w14:paraId="61C984D9"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42%</w:t>
            </w:r>
          </w:p>
        </w:tc>
      </w:tr>
      <w:tr w:rsidR="00DA7D6B" w:rsidRPr="0016789A" w14:paraId="25C47F30" w14:textId="77777777" w:rsidTr="0016789A">
        <w:trPr>
          <w:trHeight w:val="17"/>
        </w:trPr>
        <w:tc>
          <w:tcPr>
            <w:tcW w:w="1415" w:type="pct"/>
            <w:noWrap/>
          </w:tcPr>
          <w:p w14:paraId="42E303E5" w14:textId="77777777" w:rsidR="00DA7D6B" w:rsidRPr="0016789A" w:rsidRDefault="00DA7D6B">
            <w:pPr>
              <w:spacing w:after="0" w:line="240" w:lineRule="auto"/>
              <w:rPr>
                <w:rFonts w:asciiTheme="minorHAnsi" w:hAnsiTheme="minorHAnsi"/>
                <w:color w:val="000000"/>
                <w:szCs w:val="22"/>
              </w:rPr>
            </w:pPr>
            <w:r w:rsidRPr="0016789A">
              <w:rPr>
                <w:rFonts w:asciiTheme="minorHAnsi" w:hAnsiTheme="minorHAnsi"/>
                <w:color w:val="000000"/>
                <w:szCs w:val="22"/>
              </w:rPr>
              <w:t>WA</w:t>
            </w:r>
          </w:p>
        </w:tc>
        <w:tc>
          <w:tcPr>
            <w:tcW w:w="788" w:type="pct"/>
          </w:tcPr>
          <w:p w14:paraId="1A193C57"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31,865</w:t>
            </w:r>
          </w:p>
        </w:tc>
        <w:tc>
          <w:tcPr>
            <w:tcW w:w="865" w:type="pct"/>
          </w:tcPr>
          <w:p w14:paraId="552C8868"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245</w:t>
            </w:r>
          </w:p>
        </w:tc>
        <w:tc>
          <w:tcPr>
            <w:tcW w:w="1138" w:type="pct"/>
          </w:tcPr>
          <w:p w14:paraId="2879DD77"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24.4</w:t>
            </w:r>
          </w:p>
        </w:tc>
        <w:tc>
          <w:tcPr>
            <w:tcW w:w="794" w:type="pct"/>
            <w:noWrap/>
          </w:tcPr>
          <w:p w14:paraId="6631F658"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7%</w:t>
            </w:r>
          </w:p>
        </w:tc>
      </w:tr>
      <w:tr w:rsidR="00DA7D6B" w:rsidRPr="0016789A" w14:paraId="577ADBDA" w14:textId="77777777" w:rsidTr="0016789A">
        <w:trPr>
          <w:trHeight w:val="17"/>
        </w:trPr>
        <w:tc>
          <w:tcPr>
            <w:tcW w:w="1415" w:type="pct"/>
            <w:noWrap/>
          </w:tcPr>
          <w:p w14:paraId="7E501985" w14:textId="77777777" w:rsidR="00DA7D6B" w:rsidRPr="0016789A" w:rsidRDefault="00DA7D6B">
            <w:pPr>
              <w:spacing w:after="0" w:line="240" w:lineRule="auto"/>
              <w:rPr>
                <w:rFonts w:asciiTheme="minorHAnsi" w:hAnsiTheme="minorHAnsi"/>
                <w:color w:val="000000"/>
                <w:szCs w:val="22"/>
              </w:rPr>
            </w:pPr>
            <w:r w:rsidRPr="0016789A">
              <w:rPr>
                <w:rFonts w:asciiTheme="minorHAnsi" w:hAnsiTheme="minorHAnsi"/>
                <w:color w:val="000000"/>
                <w:szCs w:val="22"/>
              </w:rPr>
              <w:t>Commonwealth</w:t>
            </w:r>
          </w:p>
        </w:tc>
        <w:tc>
          <w:tcPr>
            <w:tcW w:w="788" w:type="pct"/>
          </w:tcPr>
          <w:p w14:paraId="61EFEF49"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19,435</w:t>
            </w:r>
          </w:p>
        </w:tc>
        <w:tc>
          <w:tcPr>
            <w:tcW w:w="865" w:type="pct"/>
          </w:tcPr>
          <w:p w14:paraId="4CBBB9FB"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259</w:t>
            </w:r>
          </w:p>
        </w:tc>
        <w:tc>
          <w:tcPr>
            <w:tcW w:w="1138" w:type="pct"/>
          </w:tcPr>
          <w:p w14:paraId="58DAB2B1"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33.6</w:t>
            </w:r>
          </w:p>
        </w:tc>
        <w:tc>
          <w:tcPr>
            <w:tcW w:w="794" w:type="pct"/>
            <w:noWrap/>
          </w:tcPr>
          <w:p w14:paraId="59060857"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11%</w:t>
            </w:r>
          </w:p>
        </w:tc>
      </w:tr>
      <w:tr w:rsidR="00DA7D6B" w:rsidRPr="0016789A" w14:paraId="5117E847" w14:textId="77777777" w:rsidTr="0016789A">
        <w:trPr>
          <w:trHeight w:val="17"/>
        </w:trPr>
        <w:tc>
          <w:tcPr>
            <w:tcW w:w="1415" w:type="pct"/>
            <w:noWrap/>
          </w:tcPr>
          <w:p w14:paraId="1F5129C4" w14:textId="77777777" w:rsidR="00DA7D6B" w:rsidRPr="0016789A" w:rsidRDefault="00DA7D6B">
            <w:pPr>
              <w:spacing w:after="0" w:line="240" w:lineRule="auto"/>
              <w:rPr>
                <w:rFonts w:asciiTheme="minorHAnsi" w:hAnsiTheme="minorHAnsi"/>
                <w:color w:val="000000"/>
                <w:szCs w:val="22"/>
              </w:rPr>
            </w:pPr>
            <w:r w:rsidRPr="0016789A">
              <w:rPr>
                <w:rFonts w:asciiTheme="minorHAnsi" w:hAnsiTheme="minorHAnsi"/>
                <w:color w:val="000000"/>
                <w:szCs w:val="22"/>
              </w:rPr>
              <w:t>SA</w:t>
            </w:r>
          </w:p>
        </w:tc>
        <w:tc>
          <w:tcPr>
            <w:tcW w:w="788" w:type="pct"/>
          </w:tcPr>
          <w:p w14:paraId="07BC0971"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13,032</w:t>
            </w:r>
          </w:p>
        </w:tc>
        <w:tc>
          <w:tcPr>
            <w:tcW w:w="865" w:type="pct"/>
          </w:tcPr>
          <w:p w14:paraId="53C2E13B"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134</w:t>
            </w:r>
          </w:p>
        </w:tc>
        <w:tc>
          <w:tcPr>
            <w:tcW w:w="1138" w:type="pct"/>
          </w:tcPr>
          <w:p w14:paraId="76478293"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15.8</w:t>
            </w:r>
          </w:p>
        </w:tc>
        <w:tc>
          <w:tcPr>
            <w:tcW w:w="794" w:type="pct"/>
            <w:noWrap/>
          </w:tcPr>
          <w:p w14:paraId="3069420E"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24%</w:t>
            </w:r>
          </w:p>
        </w:tc>
      </w:tr>
      <w:tr w:rsidR="00DA7D6B" w:rsidRPr="0016789A" w14:paraId="2BC431D1" w14:textId="77777777" w:rsidTr="0016789A">
        <w:trPr>
          <w:trHeight w:val="17"/>
        </w:trPr>
        <w:tc>
          <w:tcPr>
            <w:tcW w:w="1415" w:type="pct"/>
            <w:noWrap/>
          </w:tcPr>
          <w:p w14:paraId="1D36D9CA" w14:textId="77777777" w:rsidR="00DA7D6B" w:rsidRPr="0016789A" w:rsidRDefault="00DA7D6B">
            <w:pPr>
              <w:spacing w:after="0" w:line="240" w:lineRule="auto"/>
              <w:rPr>
                <w:rFonts w:asciiTheme="minorHAnsi" w:hAnsiTheme="minorHAnsi"/>
                <w:color w:val="000000"/>
                <w:szCs w:val="22"/>
              </w:rPr>
            </w:pPr>
            <w:r w:rsidRPr="0016789A">
              <w:rPr>
                <w:rFonts w:asciiTheme="minorHAnsi" w:hAnsiTheme="minorHAnsi"/>
                <w:color w:val="000000"/>
                <w:szCs w:val="22"/>
              </w:rPr>
              <w:t>NT</w:t>
            </w:r>
          </w:p>
        </w:tc>
        <w:tc>
          <w:tcPr>
            <w:tcW w:w="788" w:type="pct"/>
          </w:tcPr>
          <w:p w14:paraId="5C4DE6BC"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5,506</w:t>
            </w:r>
          </w:p>
        </w:tc>
        <w:tc>
          <w:tcPr>
            <w:tcW w:w="865" w:type="pct"/>
          </w:tcPr>
          <w:p w14:paraId="339997A9"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167</w:t>
            </w:r>
          </w:p>
        </w:tc>
        <w:tc>
          <w:tcPr>
            <w:tcW w:w="1138" w:type="pct"/>
          </w:tcPr>
          <w:p w14:paraId="265BEE4F"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42.3</w:t>
            </w:r>
          </w:p>
        </w:tc>
        <w:tc>
          <w:tcPr>
            <w:tcW w:w="794" w:type="pct"/>
            <w:noWrap/>
          </w:tcPr>
          <w:p w14:paraId="2FD22437"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40%</w:t>
            </w:r>
          </w:p>
        </w:tc>
      </w:tr>
      <w:tr w:rsidR="00DA7D6B" w:rsidRPr="0016789A" w14:paraId="682EDC0E" w14:textId="77777777" w:rsidTr="0016789A">
        <w:trPr>
          <w:trHeight w:val="17"/>
        </w:trPr>
        <w:tc>
          <w:tcPr>
            <w:tcW w:w="1415" w:type="pct"/>
            <w:noWrap/>
          </w:tcPr>
          <w:p w14:paraId="20B7DE9E" w14:textId="77777777" w:rsidR="00DA7D6B" w:rsidRPr="0016789A" w:rsidRDefault="00DA7D6B">
            <w:pPr>
              <w:spacing w:after="0" w:line="240" w:lineRule="auto"/>
              <w:rPr>
                <w:rFonts w:asciiTheme="minorHAnsi" w:eastAsia="Times New Roman" w:hAnsiTheme="minorHAnsi" w:cs="Times New Roman"/>
                <w:color w:val="000000"/>
                <w:szCs w:val="22"/>
                <w:lang w:eastAsia="en-AU"/>
              </w:rPr>
            </w:pPr>
            <w:r w:rsidRPr="0016789A">
              <w:rPr>
                <w:rFonts w:asciiTheme="minorHAnsi" w:hAnsiTheme="minorHAnsi"/>
                <w:color w:val="000000"/>
                <w:szCs w:val="22"/>
              </w:rPr>
              <w:t>Tasmania</w:t>
            </w:r>
          </w:p>
        </w:tc>
        <w:tc>
          <w:tcPr>
            <w:tcW w:w="788" w:type="pct"/>
          </w:tcPr>
          <w:p w14:paraId="48E41602"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4,009</w:t>
            </w:r>
          </w:p>
        </w:tc>
        <w:tc>
          <w:tcPr>
            <w:tcW w:w="865" w:type="pct"/>
          </w:tcPr>
          <w:p w14:paraId="712D36EC"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84</w:t>
            </w:r>
          </w:p>
        </w:tc>
        <w:tc>
          <w:tcPr>
            <w:tcW w:w="1138" w:type="pct"/>
          </w:tcPr>
          <w:p w14:paraId="6EA0E0A9"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16.2</w:t>
            </w:r>
          </w:p>
        </w:tc>
        <w:tc>
          <w:tcPr>
            <w:tcW w:w="794" w:type="pct"/>
            <w:noWrap/>
          </w:tcPr>
          <w:p w14:paraId="2CD7A703"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51%</w:t>
            </w:r>
          </w:p>
        </w:tc>
      </w:tr>
      <w:tr w:rsidR="00DA7D6B" w:rsidRPr="0016789A" w14:paraId="1E596508" w14:textId="77777777" w:rsidTr="0016789A">
        <w:trPr>
          <w:trHeight w:val="17"/>
        </w:trPr>
        <w:tc>
          <w:tcPr>
            <w:tcW w:w="1415" w:type="pct"/>
            <w:noWrap/>
          </w:tcPr>
          <w:p w14:paraId="68BCE73D" w14:textId="77777777" w:rsidR="00DA7D6B" w:rsidRPr="0016789A" w:rsidRDefault="00DA7D6B">
            <w:pPr>
              <w:spacing w:after="0" w:line="240" w:lineRule="auto"/>
              <w:rPr>
                <w:rFonts w:asciiTheme="minorHAnsi" w:eastAsia="Times New Roman" w:hAnsiTheme="minorHAnsi" w:cs="Times New Roman"/>
                <w:color w:val="000000"/>
                <w:szCs w:val="22"/>
                <w:lang w:eastAsia="en-AU"/>
              </w:rPr>
            </w:pPr>
            <w:r w:rsidRPr="0016789A">
              <w:rPr>
                <w:rFonts w:asciiTheme="minorHAnsi" w:hAnsiTheme="minorHAnsi"/>
                <w:color w:val="000000"/>
                <w:szCs w:val="22"/>
              </w:rPr>
              <w:t>ACT</w:t>
            </w:r>
          </w:p>
        </w:tc>
        <w:tc>
          <w:tcPr>
            <w:tcW w:w="788" w:type="pct"/>
          </w:tcPr>
          <w:p w14:paraId="32000D6A"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3,177</w:t>
            </w:r>
          </w:p>
        </w:tc>
        <w:tc>
          <w:tcPr>
            <w:tcW w:w="865" w:type="pct"/>
          </w:tcPr>
          <w:p w14:paraId="470F77D2"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65</w:t>
            </w:r>
          </w:p>
        </w:tc>
        <w:tc>
          <w:tcPr>
            <w:tcW w:w="1138" w:type="pct"/>
          </w:tcPr>
          <w:p w14:paraId="377484BD"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17.2</w:t>
            </w:r>
          </w:p>
        </w:tc>
        <w:tc>
          <w:tcPr>
            <w:tcW w:w="794" w:type="pct"/>
            <w:noWrap/>
          </w:tcPr>
          <w:p w14:paraId="0C150B26"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63%</w:t>
            </w:r>
          </w:p>
        </w:tc>
      </w:tr>
      <w:tr w:rsidR="00DA7D6B" w:rsidRPr="0016789A" w14:paraId="0C42B4B2" w14:textId="77777777" w:rsidTr="0016789A">
        <w:trPr>
          <w:trHeight w:val="17"/>
        </w:trPr>
        <w:tc>
          <w:tcPr>
            <w:tcW w:w="1415" w:type="pct"/>
            <w:noWrap/>
          </w:tcPr>
          <w:p w14:paraId="6685AE88" w14:textId="77777777" w:rsidR="00DA7D6B" w:rsidRPr="0016789A" w:rsidRDefault="00DA7D6B">
            <w:pPr>
              <w:spacing w:after="0" w:line="240" w:lineRule="auto"/>
              <w:rPr>
                <w:rFonts w:asciiTheme="minorHAnsi" w:eastAsia="Times New Roman" w:hAnsiTheme="minorHAnsi" w:cs="Times New Roman"/>
                <w:color w:val="000000"/>
                <w:szCs w:val="22"/>
                <w:lang w:eastAsia="en-AU"/>
              </w:rPr>
            </w:pPr>
            <w:r w:rsidRPr="0016789A">
              <w:rPr>
                <w:rFonts w:asciiTheme="minorHAnsi" w:hAnsiTheme="minorHAnsi"/>
                <w:color w:val="000000"/>
                <w:szCs w:val="22"/>
              </w:rPr>
              <w:t>Seacare</w:t>
            </w:r>
          </w:p>
        </w:tc>
        <w:tc>
          <w:tcPr>
            <w:tcW w:w="788" w:type="pct"/>
          </w:tcPr>
          <w:p w14:paraId="31859450"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92</w:t>
            </w:r>
          </w:p>
        </w:tc>
        <w:tc>
          <w:tcPr>
            <w:tcW w:w="865" w:type="pct"/>
          </w:tcPr>
          <w:p w14:paraId="6C979308"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46</w:t>
            </w:r>
          </w:p>
        </w:tc>
        <w:tc>
          <w:tcPr>
            <w:tcW w:w="1138" w:type="pct"/>
          </w:tcPr>
          <w:p w14:paraId="0DF08F2C"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N/A</w:t>
            </w:r>
          </w:p>
        </w:tc>
        <w:tc>
          <w:tcPr>
            <w:tcW w:w="794" w:type="pct"/>
            <w:noWrap/>
          </w:tcPr>
          <w:p w14:paraId="60B148CC"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100%</w:t>
            </w:r>
          </w:p>
        </w:tc>
      </w:tr>
      <w:tr w:rsidR="00DA7D6B" w:rsidRPr="0016789A" w14:paraId="0712F8EC" w14:textId="77777777" w:rsidTr="0016789A">
        <w:trPr>
          <w:trHeight w:val="17"/>
        </w:trPr>
        <w:tc>
          <w:tcPr>
            <w:tcW w:w="1415" w:type="pct"/>
            <w:noWrap/>
          </w:tcPr>
          <w:p w14:paraId="761ACA6E" w14:textId="77777777" w:rsidR="00DA7D6B" w:rsidRPr="0016789A" w:rsidRDefault="00DA7D6B">
            <w:pPr>
              <w:spacing w:after="0" w:line="240" w:lineRule="auto"/>
              <w:rPr>
                <w:rFonts w:asciiTheme="minorHAnsi" w:eastAsia="Times New Roman" w:hAnsiTheme="minorHAnsi" w:cs="Times New Roman"/>
                <w:color w:val="000000"/>
                <w:szCs w:val="22"/>
                <w:lang w:eastAsia="en-AU"/>
              </w:rPr>
            </w:pPr>
            <w:r w:rsidRPr="0016789A">
              <w:rPr>
                <w:rFonts w:asciiTheme="minorHAnsi" w:hAnsiTheme="minorHAnsi"/>
                <w:color w:val="000000"/>
                <w:szCs w:val="22"/>
              </w:rPr>
              <w:t>Victoria</w:t>
            </w:r>
          </w:p>
        </w:tc>
        <w:tc>
          <w:tcPr>
            <w:tcW w:w="788" w:type="pct"/>
          </w:tcPr>
          <w:p w14:paraId="7CD4DFE2"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N/A</w:t>
            </w:r>
          </w:p>
        </w:tc>
        <w:tc>
          <w:tcPr>
            <w:tcW w:w="865" w:type="pct"/>
          </w:tcPr>
          <w:p w14:paraId="0D9DE01C"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N/A</w:t>
            </w:r>
          </w:p>
        </w:tc>
        <w:tc>
          <w:tcPr>
            <w:tcW w:w="1138" w:type="pct"/>
          </w:tcPr>
          <w:p w14:paraId="7CAB4126"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N/A</w:t>
            </w:r>
          </w:p>
        </w:tc>
        <w:tc>
          <w:tcPr>
            <w:tcW w:w="794" w:type="pct"/>
            <w:noWrap/>
          </w:tcPr>
          <w:p w14:paraId="50EF4ABC" w14:textId="77777777" w:rsidR="00DA7D6B" w:rsidRPr="0016789A" w:rsidRDefault="00DA7D6B">
            <w:pPr>
              <w:spacing w:after="0" w:line="240" w:lineRule="auto"/>
              <w:jc w:val="right"/>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N/A</w:t>
            </w:r>
          </w:p>
        </w:tc>
      </w:tr>
      <w:tr w:rsidR="00DA7D6B" w:rsidRPr="0016789A" w14:paraId="6CEB9676" w14:textId="77777777" w:rsidTr="0016789A">
        <w:trPr>
          <w:trHeight w:val="13"/>
        </w:trPr>
        <w:tc>
          <w:tcPr>
            <w:tcW w:w="1415" w:type="pct"/>
            <w:shd w:val="clear" w:color="auto" w:fill="F2F2F2" w:themeFill="background1" w:themeFillShade="F2"/>
            <w:noWrap/>
            <w:hideMark/>
          </w:tcPr>
          <w:p w14:paraId="7DE43B6A" w14:textId="77777777" w:rsidR="00DA7D6B" w:rsidRPr="0016789A" w:rsidRDefault="00DA7D6B" w:rsidP="000D26F7">
            <w:pPr>
              <w:spacing w:after="0" w:line="240" w:lineRule="auto"/>
              <w:rPr>
                <w:rFonts w:asciiTheme="minorHAnsi" w:eastAsia="Times New Roman" w:hAnsiTheme="minorHAnsi" w:cs="Times New Roman"/>
                <w:b/>
                <w:color w:val="000000"/>
                <w:szCs w:val="22"/>
                <w:lang w:eastAsia="en-AU"/>
              </w:rPr>
            </w:pPr>
            <w:r w:rsidRPr="0016789A">
              <w:rPr>
                <w:rFonts w:asciiTheme="minorHAnsi" w:hAnsiTheme="minorHAnsi"/>
                <w:b/>
                <w:color w:val="000000"/>
                <w:szCs w:val="22"/>
              </w:rPr>
              <w:t>All jurisdictions</w:t>
            </w:r>
          </w:p>
        </w:tc>
        <w:tc>
          <w:tcPr>
            <w:tcW w:w="788" w:type="pct"/>
            <w:shd w:val="clear" w:color="auto" w:fill="F2F2F2" w:themeFill="background1" w:themeFillShade="F2"/>
            <w:hideMark/>
          </w:tcPr>
          <w:p w14:paraId="37C84EDD" w14:textId="77777777" w:rsidR="00DA7D6B" w:rsidRPr="0016789A" w:rsidRDefault="00DA7D6B">
            <w:pPr>
              <w:spacing w:after="0" w:line="240" w:lineRule="auto"/>
              <w:jc w:val="right"/>
              <w:rPr>
                <w:rFonts w:asciiTheme="minorHAnsi" w:eastAsia="Times New Roman" w:hAnsiTheme="minorHAnsi" w:cs="Times New Roman"/>
                <w:b/>
                <w:szCs w:val="22"/>
                <w:lang w:eastAsia="en-AU"/>
              </w:rPr>
            </w:pPr>
            <w:r w:rsidRPr="0016789A">
              <w:rPr>
                <w:rFonts w:asciiTheme="minorHAnsi" w:eastAsia="Times New Roman" w:hAnsiTheme="minorHAnsi" w:cs="Times New Roman"/>
                <w:b/>
                <w:szCs w:val="22"/>
                <w:lang w:eastAsia="en-AU"/>
              </w:rPr>
              <w:t>301,040</w:t>
            </w:r>
          </w:p>
        </w:tc>
        <w:tc>
          <w:tcPr>
            <w:tcW w:w="865" w:type="pct"/>
            <w:shd w:val="clear" w:color="auto" w:fill="F2F2F2" w:themeFill="background1" w:themeFillShade="F2"/>
            <w:hideMark/>
          </w:tcPr>
          <w:p w14:paraId="1A8649C8" w14:textId="77777777" w:rsidR="00DA7D6B" w:rsidRPr="0016789A" w:rsidRDefault="00DA7D6B">
            <w:pPr>
              <w:spacing w:after="0" w:line="240" w:lineRule="auto"/>
              <w:jc w:val="right"/>
              <w:rPr>
                <w:rFonts w:asciiTheme="minorHAnsi" w:eastAsia="Times New Roman" w:hAnsiTheme="minorHAnsi" w:cs="Times New Roman"/>
                <w:b/>
                <w:szCs w:val="22"/>
                <w:lang w:eastAsia="en-AU"/>
              </w:rPr>
            </w:pPr>
            <w:r w:rsidRPr="0016789A">
              <w:rPr>
                <w:rFonts w:asciiTheme="minorHAnsi" w:eastAsia="Times New Roman" w:hAnsiTheme="minorHAnsi" w:cs="Times New Roman"/>
                <w:b/>
                <w:szCs w:val="22"/>
                <w:lang w:eastAsia="en-AU"/>
              </w:rPr>
              <w:t>208 (average)</w:t>
            </w:r>
          </w:p>
        </w:tc>
        <w:tc>
          <w:tcPr>
            <w:tcW w:w="1138" w:type="pct"/>
            <w:shd w:val="clear" w:color="auto" w:fill="F2F2F2" w:themeFill="background1" w:themeFillShade="F2"/>
            <w:hideMark/>
          </w:tcPr>
          <w:p w14:paraId="2CC93ACD" w14:textId="77777777" w:rsidR="00DA7D6B" w:rsidRPr="0016789A" w:rsidRDefault="00DA7D6B">
            <w:pPr>
              <w:spacing w:after="0" w:line="240" w:lineRule="auto"/>
              <w:jc w:val="right"/>
              <w:rPr>
                <w:rFonts w:asciiTheme="minorHAnsi" w:eastAsia="Times New Roman" w:hAnsiTheme="minorHAnsi" w:cs="Times New Roman"/>
                <w:b/>
                <w:szCs w:val="22"/>
                <w:lang w:eastAsia="en-AU"/>
              </w:rPr>
            </w:pPr>
            <w:r w:rsidRPr="0016789A">
              <w:rPr>
                <w:rFonts w:asciiTheme="minorHAnsi" w:eastAsia="Times New Roman" w:hAnsiTheme="minorHAnsi" w:cs="Times New Roman"/>
                <w:b/>
                <w:szCs w:val="22"/>
                <w:lang w:eastAsia="en-AU"/>
              </w:rPr>
              <w:t>22.8 (average)</w:t>
            </w:r>
          </w:p>
        </w:tc>
        <w:tc>
          <w:tcPr>
            <w:tcW w:w="794" w:type="pct"/>
            <w:shd w:val="clear" w:color="auto" w:fill="F2F2F2" w:themeFill="background1" w:themeFillShade="F2"/>
            <w:noWrap/>
            <w:hideMark/>
          </w:tcPr>
          <w:p w14:paraId="3EE18657" w14:textId="77777777" w:rsidR="00DA7D6B" w:rsidRPr="0016789A" w:rsidRDefault="00DA7D6B">
            <w:pPr>
              <w:spacing w:after="0" w:line="240" w:lineRule="auto"/>
              <w:jc w:val="right"/>
              <w:rPr>
                <w:rFonts w:asciiTheme="minorHAnsi" w:eastAsia="Times New Roman" w:hAnsiTheme="minorHAnsi" w:cs="Times New Roman"/>
                <w:b/>
                <w:color w:val="000000"/>
                <w:szCs w:val="22"/>
                <w:lang w:eastAsia="en-AU"/>
              </w:rPr>
            </w:pPr>
            <w:r w:rsidRPr="0016789A">
              <w:rPr>
                <w:rFonts w:asciiTheme="minorHAnsi" w:eastAsia="Times New Roman" w:hAnsiTheme="minorHAnsi" w:cs="Times New Roman"/>
                <w:b/>
                <w:color w:val="000000"/>
                <w:szCs w:val="22"/>
                <w:lang w:eastAsia="en-AU"/>
              </w:rPr>
              <w:t>23%</w:t>
            </w:r>
          </w:p>
        </w:tc>
      </w:tr>
    </w:tbl>
    <w:p w14:paraId="24F82B6C" w14:textId="77777777" w:rsidR="00DA7D6B" w:rsidRPr="000F1DE6" w:rsidRDefault="00DA7D6B" w:rsidP="00DA7D6B">
      <w:pPr>
        <w:spacing w:after="0" w:line="240" w:lineRule="auto"/>
        <w:rPr>
          <w:rFonts w:asciiTheme="minorHAnsi" w:hAnsiTheme="minorHAnsi"/>
          <w:szCs w:val="22"/>
        </w:rPr>
      </w:pPr>
    </w:p>
    <w:p w14:paraId="7E731BB1" w14:textId="77777777" w:rsidR="000D26F7" w:rsidRDefault="000D26F7">
      <w:pPr>
        <w:spacing w:after="200" w:line="276" w:lineRule="auto"/>
        <w:contextualSpacing w:val="0"/>
        <w:rPr>
          <w:rFonts w:asciiTheme="minorHAnsi" w:eastAsia="Times New Roman" w:hAnsiTheme="minorHAnsi"/>
          <w:lang w:eastAsia="en-AU"/>
        </w:rPr>
      </w:pPr>
      <w:r>
        <w:br w:type="page"/>
      </w:r>
    </w:p>
    <w:p w14:paraId="7AB2E344" w14:textId="77777777" w:rsidR="00F21CE3" w:rsidRDefault="00DA7D6B" w:rsidP="00DA7D6B">
      <w:pPr>
        <w:pStyle w:val="Paragraph"/>
      </w:pPr>
      <w:r w:rsidRPr="000F1DE6">
        <w:lastRenderedPageBreak/>
        <w:t>Together, these trends suggest a shift in how regulators deliver encouraging and assisting compliance activities, with greater emphasis on advisory, desk</w:t>
      </w:r>
      <w:r w:rsidRPr="000F1DE6">
        <w:noBreakHyphen/>
        <w:t>based and incident</w:t>
      </w:r>
      <w:r w:rsidRPr="000F1DE6">
        <w:noBreakHyphen/>
        <w:t>driven responses linked to complaint and incident resolution, rather than routine preventative engagement at workplaces.</w:t>
      </w:r>
    </w:p>
    <w:p w14:paraId="2A1D51B7" w14:textId="77777777" w:rsidR="00F21CE3" w:rsidRDefault="00DA7D6B" w:rsidP="00DA7D6B">
      <w:pPr>
        <w:pStyle w:val="Paragraph"/>
      </w:pPr>
      <w:r w:rsidRPr="000F1DE6">
        <w:t>These changes occurred alongside an increase of 19% in the number of field active inspectors, to 1,447 nationally (1.1 inspectors per 10,000 employers). The increase in inspector numbers alongside declining proactive activity suggest that changes in compliance and enforcement approach, rather than resourcing constraints alone, may be influencing how encouraging and assisting compliance activities are undertaken.</w:t>
      </w:r>
    </w:p>
    <w:p w14:paraId="15C9B262" w14:textId="3BC5B0D3" w:rsidR="00DA7D6B" w:rsidRPr="000F1DE6" w:rsidRDefault="00DA7D6B" w:rsidP="00DA7D6B">
      <w:pPr>
        <w:pStyle w:val="Paragraph"/>
        <w:rPr>
          <w:rFonts w:cs="Times New Roman"/>
          <w:color w:val="000000"/>
        </w:rPr>
      </w:pPr>
      <w:r w:rsidRPr="000F1DE6">
        <w:rPr>
          <w:rFonts w:cs="Times New Roman"/>
          <w:color w:val="000000"/>
        </w:rPr>
        <w:t>Victoria and NSW recorded the highest numbers of field active inspectors in 2023–24 (around 373 and 370 respectively); when adjusted for workforce size, both were broadly in line with the national average (around 1.1 inspectors per 10,000 employees).</w:t>
      </w:r>
    </w:p>
    <w:p w14:paraId="1574DF0B" w14:textId="77777777" w:rsidR="00F21CE3" w:rsidRDefault="00DA7D6B" w:rsidP="00DA7D6B">
      <w:pPr>
        <w:pStyle w:val="Paragraph"/>
      </w:pPr>
      <w:r w:rsidRPr="000F1DE6">
        <w:t>The NT and ACT recorded higher numbers of inspectors when adjusted for workforce size, at 2.5 and 2.6 inspectors per 10,000 employees (respectively), and also recorded the highest number of proactive workplace visits per 1,000 employers. These jurisdictional differences indicate variation in the emphasis placed on proactive, preventative engagement as part of encouraging compliance.</w:t>
      </w:r>
    </w:p>
    <w:p w14:paraId="08B7E4C9" w14:textId="11A46DEF" w:rsidR="000D26F7" w:rsidRDefault="000D26F7" w:rsidP="000D26F7">
      <w:pPr>
        <w:pStyle w:val="Caption"/>
      </w:pPr>
      <w:r w:rsidRPr="000F1DE6">
        <w:t xml:space="preserve">Data table 8 </w:t>
      </w:r>
      <w:r>
        <w:t>I</w:t>
      </w:r>
      <w:r w:rsidRPr="000F1DE6">
        <w:t>nspectors – 2023</w:t>
      </w:r>
      <w:r w:rsidR="000F402B">
        <w:rPr>
          <w:rFonts w:ascii="Symbol" w:eastAsia="Symbol" w:hAnsi="Symbol" w:cs="Symbol"/>
        </w:rPr>
        <w:t>-</w:t>
      </w:r>
      <w:r w:rsidRPr="000F1DE6">
        <w:t>24 </w:t>
      </w:r>
    </w:p>
    <w:tbl>
      <w:tblPr>
        <w:tblStyle w:val="Style9"/>
        <w:tblW w:w="5000" w:type="pct"/>
        <w:tblCellMar>
          <w:top w:w="57" w:type="dxa"/>
          <w:bottom w:w="57" w:type="dxa"/>
        </w:tblCellMar>
        <w:tblLook w:val="04A0" w:firstRow="1" w:lastRow="0" w:firstColumn="1" w:lastColumn="0" w:noHBand="0" w:noVBand="1"/>
        <w:tblCaption w:val="Data table 8 Inspectors – 2023-24 "/>
        <w:tblDescription w:val="Table outlining inspector numbers by jurisdiction, and by total number of employees in that jurisdiction. In 2023-24, Victoria and NSW each had 373 and 370 inspectors respectively, with about 1 inspector per 10,000 workers. NT and ACT had 33 and 49 inspectors respectively, with about 2.5 inspectors per 10,000 workers.   "/>
      </w:tblPr>
      <w:tblGrid>
        <w:gridCol w:w="2478"/>
        <w:gridCol w:w="2832"/>
        <w:gridCol w:w="4436"/>
      </w:tblGrid>
      <w:tr w:rsidR="00DA7D6B" w:rsidRPr="0016789A" w14:paraId="253A15C7" w14:textId="77777777" w:rsidTr="0016789A">
        <w:trPr>
          <w:trHeight w:val="300"/>
        </w:trPr>
        <w:tc>
          <w:tcPr>
            <w:tcW w:w="1271" w:type="pct"/>
            <w:tcBorders>
              <w:top w:val="nil"/>
              <w:bottom w:val="nil"/>
            </w:tcBorders>
            <w:shd w:val="clear" w:color="auto" w:fill="F2F2F2" w:themeFill="background1" w:themeFillShade="F2"/>
            <w:noWrap/>
            <w:hideMark/>
          </w:tcPr>
          <w:p w14:paraId="5C1AAA14" w14:textId="77777777" w:rsidR="00DA7D6B" w:rsidRPr="0016789A" w:rsidRDefault="00DA7D6B">
            <w:pPr>
              <w:spacing w:after="0" w:line="240" w:lineRule="auto"/>
              <w:jc w:val="center"/>
              <w:rPr>
                <w:rFonts w:asciiTheme="minorHAnsi" w:eastAsia="Times New Roman" w:hAnsiTheme="minorHAnsi" w:cs="Times New Roman"/>
                <w:color w:val="000000"/>
                <w:szCs w:val="22"/>
                <w:lang w:eastAsia="en-AU"/>
              </w:rPr>
            </w:pPr>
          </w:p>
        </w:tc>
        <w:tc>
          <w:tcPr>
            <w:tcW w:w="3729" w:type="pct"/>
            <w:gridSpan w:val="2"/>
            <w:shd w:val="clear" w:color="auto" w:fill="F2F2F2" w:themeFill="background1" w:themeFillShade="F2"/>
            <w:hideMark/>
          </w:tcPr>
          <w:p w14:paraId="05FBBACE" w14:textId="77777777" w:rsidR="00DA7D6B" w:rsidRPr="0016789A" w:rsidRDefault="00DA7D6B">
            <w:pPr>
              <w:spacing w:after="0" w:line="240" w:lineRule="auto"/>
              <w:jc w:val="center"/>
              <w:rPr>
                <w:rFonts w:asciiTheme="minorHAnsi" w:eastAsia="Times New Roman" w:hAnsiTheme="minorHAnsi" w:cs="Times New Roman"/>
                <w:b/>
                <w:color w:val="000000"/>
                <w:szCs w:val="22"/>
                <w:lang w:eastAsia="en-AU"/>
              </w:rPr>
            </w:pPr>
            <w:r w:rsidRPr="0016789A">
              <w:rPr>
                <w:rFonts w:asciiTheme="minorHAnsi" w:eastAsia="Times New Roman" w:hAnsiTheme="minorHAnsi" w:cs="Times New Roman"/>
                <w:b/>
                <w:color w:val="000000"/>
                <w:szCs w:val="22"/>
                <w:lang w:eastAsia="en-AU"/>
              </w:rPr>
              <w:t>Field inspectors</w:t>
            </w:r>
          </w:p>
        </w:tc>
      </w:tr>
      <w:tr w:rsidR="00DA7D6B" w:rsidRPr="0016789A" w14:paraId="1584EE6E" w14:textId="77777777" w:rsidTr="0016789A">
        <w:trPr>
          <w:trHeight w:val="300"/>
        </w:trPr>
        <w:tc>
          <w:tcPr>
            <w:tcW w:w="1271" w:type="pct"/>
            <w:tcBorders>
              <w:top w:val="nil"/>
              <w:bottom w:val="single" w:sz="4" w:space="0" w:color="D9D9D9" w:themeColor="background1" w:themeShade="D9"/>
            </w:tcBorders>
            <w:shd w:val="clear" w:color="auto" w:fill="F2F2F2" w:themeFill="background1" w:themeFillShade="F2"/>
            <w:noWrap/>
            <w:hideMark/>
          </w:tcPr>
          <w:p w14:paraId="40623BD3" w14:textId="3B5884ED" w:rsidR="00DA7D6B" w:rsidRPr="0016789A" w:rsidRDefault="00DA7D6B">
            <w:pPr>
              <w:spacing w:after="0" w:line="240" w:lineRule="auto"/>
              <w:rPr>
                <w:rFonts w:asciiTheme="minorHAnsi" w:eastAsia="Times New Roman" w:hAnsiTheme="minorHAnsi" w:cs="Times New Roman"/>
                <w:b/>
                <w:bCs/>
                <w:color w:val="000000"/>
                <w:szCs w:val="22"/>
                <w:lang w:eastAsia="en-AU"/>
              </w:rPr>
            </w:pPr>
            <w:r w:rsidRPr="0016789A">
              <w:rPr>
                <w:rFonts w:asciiTheme="minorHAnsi" w:eastAsia="Times New Roman" w:hAnsiTheme="minorHAnsi" w:cs="Times New Roman"/>
                <w:color w:val="000000"/>
                <w:szCs w:val="22"/>
                <w:lang w:eastAsia="en-AU"/>
              </w:rPr>
              <w:t> </w:t>
            </w:r>
            <w:r w:rsidR="000D26F7" w:rsidRPr="0016789A">
              <w:rPr>
                <w:rFonts w:asciiTheme="minorHAnsi" w:eastAsia="Times New Roman" w:hAnsiTheme="minorHAnsi" w:cs="Times New Roman"/>
                <w:b/>
                <w:bCs/>
                <w:color w:val="000000"/>
                <w:szCs w:val="22"/>
                <w:lang w:eastAsia="en-AU"/>
              </w:rPr>
              <w:t>Jurisdiction</w:t>
            </w:r>
          </w:p>
        </w:tc>
        <w:tc>
          <w:tcPr>
            <w:tcW w:w="1453" w:type="pct"/>
            <w:shd w:val="clear" w:color="auto" w:fill="F2F2F2" w:themeFill="background1" w:themeFillShade="F2"/>
            <w:noWrap/>
            <w:hideMark/>
          </w:tcPr>
          <w:p w14:paraId="139DE0E7" w14:textId="77777777" w:rsidR="00DA7D6B" w:rsidRPr="0016789A" w:rsidRDefault="00DA7D6B">
            <w:pPr>
              <w:spacing w:after="0" w:line="240" w:lineRule="auto"/>
              <w:jc w:val="right"/>
              <w:rPr>
                <w:rFonts w:asciiTheme="minorHAnsi" w:eastAsia="Times New Roman" w:hAnsiTheme="minorHAnsi" w:cs="Times New Roman"/>
                <w:b/>
                <w:color w:val="000000"/>
                <w:szCs w:val="22"/>
                <w:lang w:eastAsia="en-AU"/>
              </w:rPr>
            </w:pPr>
            <w:r w:rsidRPr="0016789A">
              <w:rPr>
                <w:rFonts w:asciiTheme="minorHAnsi" w:eastAsia="Times New Roman" w:hAnsiTheme="minorHAnsi" w:cs="Times New Roman"/>
                <w:b/>
                <w:color w:val="000000"/>
                <w:szCs w:val="22"/>
                <w:lang w:eastAsia="en-AU"/>
              </w:rPr>
              <w:t>Number</w:t>
            </w:r>
          </w:p>
        </w:tc>
        <w:tc>
          <w:tcPr>
            <w:tcW w:w="2276" w:type="pct"/>
            <w:shd w:val="clear" w:color="auto" w:fill="F2F2F2" w:themeFill="background1" w:themeFillShade="F2"/>
            <w:noWrap/>
            <w:hideMark/>
          </w:tcPr>
          <w:p w14:paraId="2AC9A9D4" w14:textId="77777777" w:rsidR="00DA7D6B" w:rsidRPr="0016789A" w:rsidRDefault="00DA7D6B">
            <w:pPr>
              <w:spacing w:after="0" w:line="240" w:lineRule="auto"/>
              <w:jc w:val="right"/>
              <w:rPr>
                <w:rFonts w:asciiTheme="minorHAnsi" w:eastAsia="Times New Roman" w:hAnsiTheme="minorHAnsi" w:cs="Times New Roman"/>
                <w:b/>
                <w:color w:val="000000"/>
                <w:szCs w:val="22"/>
                <w:lang w:eastAsia="en-AU"/>
              </w:rPr>
            </w:pPr>
            <w:r w:rsidRPr="0016789A">
              <w:rPr>
                <w:rFonts w:asciiTheme="minorHAnsi" w:eastAsia="Times New Roman" w:hAnsiTheme="minorHAnsi" w:cs="Times New Roman"/>
                <w:b/>
                <w:color w:val="000000"/>
                <w:szCs w:val="22"/>
                <w:lang w:eastAsia="en-AU"/>
              </w:rPr>
              <w:t>Inspectors per 10,000 employees</w:t>
            </w:r>
          </w:p>
        </w:tc>
      </w:tr>
      <w:tr w:rsidR="00DA7D6B" w:rsidRPr="0016789A" w14:paraId="3FA8F5F5" w14:textId="77777777" w:rsidTr="0016789A">
        <w:trPr>
          <w:trHeight w:val="17"/>
        </w:trPr>
        <w:tc>
          <w:tcPr>
            <w:tcW w:w="1271" w:type="pct"/>
            <w:tcBorders>
              <w:top w:val="single" w:sz="4" w:space="0" w:color="D9D9D9" w:themeColor="background1" w:themeShade="D9"/>
            </w:tcBorders>
            <w:noWrap/>
          </w:tcPr>
          <w:p w14:paraId="27BB9F38" w14:textId="77777777" w:rsidR="00DA7D6B" w:rsidRPr="0016789A" w:rsidRDefault="00DA7D6B">
            <w:pPr>
              <w:spacing w:after="0" w:line="240" w:lineRule="auto"/>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Victoria</w:t>
            </w:r>
          </w:p>
        </w:tc>
        <w:tc>
          <w:tcPr>
            <w:tcW w:w="1453" w:type="pct"/>
          </w:tcPr>
          <w:p w14:paraId="63D7F617"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373</w:t>
            </w:r>
          </w:p>
        </w:tc>
        <w:tc>
          <w:tcPr>
            <w:tcW w:w="2276" w:type="pct"/>
          </w:tcPr>
          <w:p w14:paraId="6F08CCE2"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1.1</w:t>
            </w:r>
          </w:p>
        </w:tc>
      </w:tr>
      <w:tr w:rsidR="00DA7D6B" w:rsidRPr="0016789A" w14:paraId="59998F2D" w14:textId="77777777" w:rsidTr="0016789A">
        <w:trPr>
          <w:trHeight w:val="17"/>
        </w:trPr>
        <w:tc>
          <w:tcPr>
            <w:tcW w:w="1271" w:type="pct"/>
            <w:noWrap/>
            <w:hideMark/>
          </w:tcPr>
          <w:p w14:paraId="4FF09B95" w14:textId="77777777" w:rsidR="00DA7D6B" w:rsidRPr="0016789A" w:rsidRDefault="00DA7D6B">
            <w:pPr>
              <w:spacing w:after="0" w:line="240" w:lineRule="auto"/>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NSW</w:t>
            </w:r>
          </w:p>
        </w:tc>
        <w:tc>
          <w:tcPr>
            <w:tcW w:w="1453" w:type="pct"/>
            <w:hideMark/>
          </w:tcPr>
          <w:p w14:paraId="5C8D8C54"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370</w:t>
            </w:r>
          </w:p>
        </w:tc>
        <w:tc>
          <w:tcPr>
            <w:tcW w:w="2276" w:type="pct"/>
            <w:hideMark/>
          </w:tcPr>
          <w:p w14:paraId="3D4D4D41"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1.0</w:t>
            </w:r>
          </w:p>
        </w:tc>
      </w:tr>
      <w:tr w:rsidR="00DA7D6B" w:rsidRPr="0016789A" w14:paraId="47A39C21" w14:textId="77777777" w:rsidTr="0016789A">
        <w:trPr>
          <w:trHeight w:val="17"/>
        </w:trPr>
        <w:tc>
          <w:tcPr>
            <w:tcW w:w="1271" w:type="pct"/>
            <w:noWrap/>
            <w:hideMark/>
          </w:tcPr>
          <w:p w14:paraId="7316A602" w14:textId="77777777" w:rsidR="00DA7D6B" w:rsidRPr="0016789A" w:rsidRDefault="00DA7D6B">
            <w:pPr>
              <w:spacing w:after="0" w:line="240" w:lineRule="auto"/>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Queensland</w:t>
            </w:r>
          </w:p>
        </w:tc>
        <w:tc>
          <w:tcPr>
            <w:tcW w:w="1453" w:type="pct"/>
            <w:hideMark/>
          </w:tcPr>
          <w:p w14:paraId="46EB93D0"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270</w:t>
            </w:r>
          </w:p>
        </w:tc>
        <w:tc>
          <w:tcPr>
            <w:tcW w:w="2276" w:type="pct"/>
            <w:hideMark/>
          </w:tcPr>
          <w:p w14:paraId="56925A6B"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1.0</w:t>
            </w:r>
          </w:p>
        </w:tc>
      </w:tr>
      <w:tr w:rsidR="00DA7D6B" w:rsidRPr="0016789A" w14:paraId="7FA93AD0" w14:textId="77777777" w:rsidTr="0016789A">
        <w:trPr>
          <w:trHeight w:val="17"/>
        </w:trPr>
        <w:tc>
          <w:tcPr>
            <w:tcW w:w="1271" w:type="pct"/>
            <w:noWrap/>
          </w:tcPr>
          <w:p w14:paraId="6AA96EFC" w14:textId="77777777" w:rsidR="00DA7D6B" w:rsidRPr="0016789A" w:rsidRDefault="00DA7D6B">
            <w:pPr>
              <w:spacing w:after="0" w:line="240" w:lineRule="auto"/>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WA</w:t>
            </w:r>
          </w:p>
        </w:tc>
        <w:tc>
          <w:tcPr>
            <w:tcW w:w="1453" w:type="pct"/>
          </w:tcPr>
          <w:p w14:paraId="0113A0F4"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130</w:t>
            </w:r>
          </w:p>
        </w:tc>
        <w:tc>
          <w:tcPr>
            <w:tcW w:w="2276" w:type="pct"/>
          </w:tcPr>
          <w:p w14:paraId="6912573A"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1.0</w:t>
            </w:r>
          </w:p>
        </w:tc>
      </w:tr>
      <w:tr w:rsidR="00DA7D6B" w:rsidRPr="0016789A" w14:paraId="7FC07BD2" w14:textId="77777777" w:rsidTr="0016789A">
        <w:trPr>
          <w:trHeight w:val="17"/>
        </w:trPr>
        <w:tc>
          <w:tcPr>
            <w:tcW w:w="1271" w:type="pct"/>
            <w:noWrap/>
            <w:hideMark/>
          </w:tcPr>
          <w:p w14:paraId="1A4234B3" w14:textId="77777777" w:rsidR="00DA7D6B" w:rsidRPr="0016789A" w:rsidRDefault="00DA7D6B">
            <w:pPr>
              <w:spacing w:after="0" w:line="240" w:lineRule="auto"/>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SA</w:t>
            </w:r>
          </w:p>
        </w:tc>
        <w:tc>
          <w:tcPr>
            <w:tcW w:w="1453" w:type="pct"/>
            <w:hideMark/>
          </w:tcPr>
          <w:p w14:paraId="78EC89AC"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97</w:t>
            </w:r>
          </w:p>
        </w:tc>
        <w:tc>
          <w:tcPr>
            <w:tcW w:w="2276" w:type="pct"/>
            <w:hideMark/>
          </w:tcPr>
          <w:p w14:paraId="256A72BD"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1.2</w:t>
            </w:r>
          </w:p>
        </w:tc>
      </w:tr>
      <w:tr w:rsidR="00DA7D6B" w:rsidRPr="0016789A" w14:paraId="1DFE019E" w14:textId="77777777" w:rsidTr="0016789A">
        <w:trPr>
          <w:trHeight w:val="17"/>
        </w:trPr>
        <w:tc>
          <w:tcPr>
            <w:tcW w:w="1271" w:type="pct"/>
            <w:noWrap/>
          </w:tcPr>
          <w:p w14:paraId="165B2C37" w14:textId="77777777" w:rsidR="00DA7D6B" w:rsidRPr="0016789A" w:rsidRDefault="00DA7D6B">
            <w:pPr>
              <w:spacing w:after="0" w:line="240" w:lineRule="auto"/>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Commonwealth</w:t>
            </w:r>
          </w:p>
        </w:tc>
        <w:tc>
          <w:tcPr>
            <w:tcW w:w="1453" w:type="pct"/>
          </w:tcPr>
          <w:p w14:paraId="42BBF673"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75</w:t>
            </w:r>
          </w:p>
        </w:tc>
        <w:tc>
          <w:tcPr>
            <w:tcW w:w="2276" w:type="pct"/>
          </w:tcPr>
          <w:p w14:paraId="3FEA63A8"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1.3</w:t>
            </w:r>
          </w:p>
        </w:tc>
      </w:tr>
      <w:tr w:rsidR="00DA7D6B" w:rsidRPr="0016789A" w14:paraId="2C9F5B35" w14:textId="77777777" w:rsidTr="0016789A">
        <w:trPr>
          <w:trHeight w:val="17"/>
        </w:trPr>
        <w:tc>
          <w:tcPr>
            <w:tcW w:w="1271" w:type="pct"/>
            <w:noWrap/>
          </w:tcPr>
          <w:p w14:paraId="3490DF38" w14:textId="77777777" w:rsidR="00DA7D6B" w:rsidRPr="0016789A" w:rsidRDefault="00DA7D6B">
            <w:pPr>
              <w:spacing w:after="0" w:line="240" w:lineRule="auto"/>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ACT</w:t>
            </w:r>
          </w:p>
        </w:tc>
        <w:tc>
          <w:tcPr>
            <w:tcW w:w="1453" w:type="pct"/>
          </w:tcPr>
          <w:p w14:paraId="34D0327F"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49</w:t>
            </w:r>
          </w:p>
        </w:tc>
        <w:tc>
          <w:tcPr>
            <w:tcW w:w="2276" w:type="pct"/>
          </w:tcPr>
          <w:p w14:paraId="322E1318"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2.6</w:t>
            </w:r>
          </w:p>
        </w:tc>
      </w:tr>
      <w:tr w:rsidR="00DA7D6B" w:rsidRPr="0016789A" w14:paraId="1EAA576F" w14:textId="77777777" w:rsidTr="0016789A">
        <w:trPr>
          <w:trHeight w:val="17"/>
        </w:trPr>
        <w:tc>
          <w:tcPr>
            <w:tcW w:w="1271" w:type="pct"/>
            <w:noWrap/>
            <w:hideMark/>
          </w:tcPr>
          <w:p w14:paraId="787AD1C6" w14:textId="77777777" w:rsidR="00DA7D6B" w:rsidRPr="0016789A" w:rsidRDefault="00DA7D6B">
            <w:pPr>
              <w:spacing w:after="0" w:line="240" w:lineRule="auto"/>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Tasmania</w:t>
            </w:r>
          </w:p>
        </w:tc>
        <w:tc>
          <w:tcPr>
            <w:tcW w:w="1453" w:type="pct"/>
            <w:hideMark/>
          </w:tcPr>
          <w:p w14:paraId="1ACE8AC0"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48</w:t>
            </w:r>
          </w:p>
        </w:tc>
        <w:tc>
          <w:tcPr>
            <w:tcW w:w="2276" w:type="pct"/>
            <w:hideMark/>
          </w:tcPr>
          <w:p w14:paraId="00AD97EF"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1.9</w:t>
            </w:r>
          </w:p>
        </w:tc>
      </w:tr>
      <w:tr w:rsidR="00DA7D6B" w:rsidRPr="0016789A" w14:paraId="65244008" w14:textId="77777777" w:rsidTr="0016789A">
        <w:trPr>
          <w:trHeight w:val="300"/>
        </w:trPr>
        <w:tc>
          <w:tcPr>
            <w:tcW w:w="1271" w:type="pct"/>
            <w:noWrap/>
            <w:hideMark/>
          </w:tcPr>
          <w:p w14:paraId="07E90C3B" w14:textId="77777777" w:rsidR="00DA7D6B" w:rsidRPr="0016789A" w:rsidRDefault="00DA7D6B">
            <w:pPr>
              <w:spacing w:after="0" w:line="240" w:lineRule="auto"/>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NT</w:t>
            </w:r>
          </w:p>
        </w:tc>
        <w:tc>
          <w:tcPr>
            <w:tcW w:w="1453" w:type="pct"/>
            <w:hideMark/>
          </w:tcPr>
          <w:p w14:paraId="1286D651"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33</w:t>
            </w:r>
          </w:p>
        </w:tc>
        <w:tc>
          <w:tcPr>
            <w:tcW w:w="2276" w:type="pct"/>
            <w:hideMark/>
          </w:tcPr>
          <w:p w14:paraId="59D896F6"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2.5</w:t>
            </w:r>
          </w:p>
        </w:tc>
      </w:tr>
      <w:tr w:rsidR="00DA7D6B" w:rsidRPr="0016789A" w14:paraId="798F7AD5" w14:textId="77777777" w:rsidTr="0016789A">
        <w:trPr>
          <w:trHeight w:val="17"/>
        </w:trPr>
        <w:tc>
          <w:tcPr>
            <w:tcW w:w="1271" w:type="pct"/>
            <w:noWrap/>
            <w:hideMark/>
          </w:tcPr>
          <w:p w14:paraId="3AB96134" w14:textId="77777777" w:rsidR="00DA7D6B" w:rsidRPr="0016789A" w:rsidRDefault="00DA7D6B">
            <w:pPr>
              <w:spacing w:after="0" w:line="240" w:lineRule="auto"/>
              <w:rPr>
                <w:rFonts w:asciiTheme="minorHAnsi" w:eastAsia="Times New Roman" w:hAnsiTheme="minorHAnsi" w:cs="Times New Roman"/>
                <w:color w:val="000000"/>
                <w:szCs w:val="22"/>
                <w:lang w:eastAsia="en-AU"/>
              </w:rPr>
            </w:pPr>
            <w:r w:rsidRPr="0016789A">
              <w:rPr>
                <w:rFonts w:asciiTheme="minorHAnsi" w:eastAsia="Times New Roman" w:hAnsiTheme="minorHAnsi" w:cs="Times New Roman"/>
                <w:color w:val="000000"/>
                <w:szCs w:val="22"/>
                <w:lang w:eastAsia="en-AU"/>
              </w:rPr>
              <w:t>Seacare</w:t>
            </w:r>
          </w:p>
        </w:tc>
        <w:tc>
          <w:tcPr>
            <w:tcW w:w="1453" w:type="pct"/>
            <w:hideMark/>
          </w:tcPr>
          <w:p w14:paraId="74D2C9C0"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2</w:t>
            </w:r>
          </w:p>
        </w:tc>
        <w:tc>
          <w:tcPr>
            <w:tcW w:w="2276" w:type="pct"/>
            <w:hideMark/>
          </w:tcPr>
          <w:p w14:paraId="5592BDFD" w14:textId="77777777" w:rsidR="00DA7D6B" w:rsidRPr="0016789A" w:rsidRDefault="00DA7D6B">
            <w:pPr>
              <w:spacing w:after="0" w:line="240" w:lineRule="auto"/>
              <w:jc w:val="right"/>
              <w:rPr>
                <w:rFonts w:asciiTheme="minorHAnsi" w:eastAsia="Times New Roman" w:hAnsiTheme="minorHAnsi" w:cs="Times New Roman"/>
                <w:szCs w:val="22"/>
                <w:lang w:eastAsia="en-AU"/>
              </w:rPr>
            </w:pPr>
            <w:r w:rsidRPr="0016789A">
              <w:rPr>
                <w:rFonts w:asciiTheme="minorHAnsi" w:eastAsia="Times New Roman" w:hAnsiTheme="minorHAnsi" w:cs="Times New Roman"/>
                <w:szCs w:val="22"/>
                <w:lang w:eastAsia="en-AU"/>
              </w:rPr>
              <w:t>N/A</w:t>
            </w:r>
          </w:p>
        </w:tc>
      </w:tr>
      <w:tr w:rsidR="00DA7D6B" w:rsidRPr="0016789A" w14:paraId="45D8549A" w14:textId="77777777" w:rsidTr="0016789A">
        <w:trPr>
          <w:trHeight w:val="315"/>
        </w:trPr>
        <w:tc>
          <w:tcPr>
            <w:tcW w:w="1271" w:type="pct"/>
            <w:shd w:val="clear" w:color="auto" w:fill="F2F2F2" w:themeFill="background1" w:themeFillShade="F2"/>
            <w:noWrap/>
            <w:hideMark/>
          </w:tcPr>
          <w:p w14:paraId="10683B1D" w14:textId="77777777" w:rsidR="00DA7D6B" w:rsidRPr="0016789A" w:rsidRDefault="00DA7D6B">
            <w:pPr>
              <w:spacing w:after="0" w:line="240" w:lineRule="auto"/>
              <w:rPr>
                <w:rFonts w:asciiTheme="minorHAnsi" w:eastAsia="Times New Roman" w:hAnsiTheme="minorHAnsi" w:cs="Times New Roman"/>
                <w:b/>
                <w:color w:val="000000"/>
                <w:szCs w:val="22"/>
                <w:lang w:eastAsia="en-AU"/>
              </w:rPr>
            </w:pPr>
            <w:r w:rsidRPr="0016789A">
              <w:rPr>
                <w:rFonts w:asciiTheme="minorHAnsi" w:eastAsia="Times New Roman" w:hAnsiTheme="minorHAnsi" w:cs="Times New Roman"/>
                <w:b/>
                <w:color w:val="000000"/>
                <w:szCs w:val="22"/>
                <w:lang w:eastAsia="en-AU"/>
              </w:rPr>
              <w:t>All jurisdictions</w:t>
            </w:r>
          </w:p>
        </w:tc>
        <w:tc>
          <w:tcPr>
            <w:tcW w:w="1453" w:type="pct"/>
            <w:shd w:val="clear" w:color="auto" w:fill="F2F2F2" w:themeFill="background1" w:themeFillShade="F2"/>
            <w:hideMark/>
          </w:tcPr>
          <w:p w14:paraId="09B07339" w14:textId="77777777" w:rsidR="00DA7D6B" w:rsidRPr="0016789A" w:rsidRDefault="00DA7D6B">
            <w:pPr>
              <w:spacing w:after="0" w:line="240" w:lineRule="auto"/>
              <w:jc w:val="right"/>
              <w:rPr>
                <w:rFonts w:asciiTheme="minorHAnsi" w:eastAsia="Times New Roman" w:hAnsiTheme="minorHAnsi" w:cs="Times New Roman"/>
                <w:b/>
                <w:szCs w:val="22"/>
                <w:lang w:eastAsia="en-AU"/>
              </w:rPr>
            </w:pPr>
            <w:r w:rsidRPr="0016789A">
              <w:rPr>
                <w:rFonts w:asciiTheme="minorHAnsi" w:eastAsia="Times New Roman" w:hAnsiTheme="minorHAnsi" w:cs="Times New Roman"/>
                <w:b/>
                <w:szCs w:val="22"/>
                <w:lang w:eastAsia="en-AU"/>
              </w:rPr>
              <w:t>1,447</w:t>
            </w:r>
          </w:p>
        </w:tc>
        <w:tc>
          <w:tcPr>
            <w:tcW w:w="2276" w:type="pct"/>
            <w:shd w:val="clear" w:color="auto" w:fill="F2F2F2" w:themeFill="background1" w:themeFillShade="F2"/>
            <w:hideMark/>
          </w:tcPr>
          <w:p w14:paraId="51410136" w14:textId="77777777" w:rsidR="00DA7D6B" w:rsidRPr="0016789A" w:rsidRDefault="00DA7D6B">
            <w:pPr>
              <w:spacing w:after="0" w:line="240" w:lineRule="auto"/>
              <w:jc w:val="right"/>
              <w:rPr>
                <w:rFonts w:asciiTheme="minorHAnsi" w:eastAsia="Times New Roman" w:hAnsiTheme="minorHAnsi" w:cs="Times New Roman"/>
                <w:b/>
                <w:szCs w:val="22"/>
                <w:lang w:eastAsia="en-AU"/>
              </w:rPr>
            </w:pPr>
            <w:r w:rsidRPr="0016789A">
              <w:rPr>
                <w:rFonts w:asciiTheme="minorHAnsi" w:eastAsia="Times New Roman" w:hAnsiTheme="minorHAnsi" w:cs="Times New Roman"/>
                <w:b/>
                <w:szCs w:val="22"/>
                <w:lang w:eastAsia="en-AU"/>
              </w:rPr>
              <w:t>1.1</w:t>
            </w:r>
          </w:p>
        </w:tc>
      </w:tr>
    </w:tbl>
    <w:p w14:paraId="71E59913" w14:textId="183EEA34" w:rsidR="008132E8" w:rsidRDefault="008132E8" w:rsidP="000D26F7">
      <w:pPr>
        <w:pStyle w:val="Paragraph"/>
      </w:pPr>
    </w:p>
    <w:p w14:paraId="40AB877C" w14:textId="244CD4CD" w:rsidR="008132E8" w:rsidRDefault="008132E8" w:rsidP="000D26F7">
      <w:pPr>
        <w:pStyle w:val="Paragraph"/>
      </w:pPr>
    </w:p>
    <w:p w14:paraId="4351127C" w14:textId="77777777" w:rsidR="00280AF8" w:rsidRDefault="00280AF8" w:rsidP="000D26F7">
      <w:pPr>
        <w:pStyle w:val="Paragraph"/>
        <w:sectPr w:rsidR="00280AF8" w:rsidSect="00DF1707">
          <w:headerReference w:type="default" r:id="rId123"/>
          <w:pgSz w:w="11906" w:h="16838" w:code="9"/>
          <w:pgMar w:top="1440" w:right="1080" w:bottom="1440" w:left="1080" w:header="709" w:footer="709" w:gutter="0"/>
          <w:cols w:space="708"/>
          <w:titlePg/>
          <w:docGrid w:linePitch="360"/>
        </w:sectPr>
      </w:pPr>
    </w:p>
    <w:p w14:paraId="2B99CF5C" w14:textId="14531C38" w:rsidR="00280AF8" w:rsidRDefault="007E7387" w:rsidP="000D26F7">
      <w:pPr>
        <w:pStyle w:val="SWAHeading1"/>
        <w:numPr>
          <w:ilvl w:val="0"/>
          <w:numId w:val="0"/>
        </w:numPr>
      </w:pPr>
      <w:bookmarkStart w:id="154" w:name="_Toc239845181"/>
      <w:r>
        <w:lastRenderedPageBreak/>
        <w:t xml:space="preserve">Appendix </w:t>
      </w:r>
      <w:r w:rsidR="008476BB">
        <w:t>J</w:t>
      </w:r>
      <w:r>
        <w:t xml:space="preserve">: </w:t>
      </w:r>
      <w:r w:rsidR="008476BB">
        <w:t>Best Practice Review survey responses</w:t>
      </w:r>
      <w:bookmarkEnd w:id="154"/>
    </w:p>
    <w:p w14:paraId="204728A7" w14:textId="0EAA054B" w:rsidR="008E5293" w:rsidRPr="00E56436" w:rsidRDefault="00912145" w:rsidP="00E56436">
      <w:pPr>
        <w:pStyle w:val="SWAHeading3"/>
        <w:rPr>
          <w:b/>
          <w:bCs/>
        </w:rPr>
      </w:pPr>
      <w:r w:rsidRPr="00E56436">
        <w:rPr>
          <w:b/>
          <w:bCs/>
        </w:rPr>
        <w:t>Worker and HSR survey</w:t>
      </w:r>
    </w:p>
    <w:p w14:paraId="17218F65" w14:textId="77777777" w:rsidR="00F21CE3" w:rsidRDefault="00936905" w:rsidP="00936905">
      <w:pPr>
        <w:pStyle w:val="SWAHeading3"/>
      </w:pPr>
      <w:bookmarkStart w:id="155" w:name="_Toc228256148"/>
      <w:r w:rsidRPr="00936905">
        <w:t>Methodology</w:t>
      </w:r>
      <w:bookmarkEnd w:id="155"/>
    </w:p>
    <w:p w14:paraId="366A6D99" w14:textId="69E34098" w:rsidR="00F21CE3" w:rsidRDefault="00936905" w:rsidP="00936905">
      <w:pPr>
        <w:pStyle w:val="Paragraph"/>
        <w:rPr>
          <w:rFonts w:eastAsia="Aptos" w:cs="Arial"/>
          <w:kern w:val="2"/>
          <w14:ligatures w14:val="standardContextual"/>
        </w:rPr>
      </w:pPr>
      <w:r w:rsidRPr="000F1DE6">
        <w:rPr>
          <w:rFonts w:eastAsia="Aptos"/>
        </w:rPr>
        <w:t>Safe Work Australia circulated a survey to gather input from workers and HSRs. The survey was published on the Safe Work Australia Consultation Hub as part of the consultation period for th</w:t>
      </w:r>
      <w:r w:rsidRPr="000F1DE6">
        <w:rPr>
          <w:rFonts w:eastAsia="Aptos" w:cs="Arial"/>
          <w:kern w:val="2"/>
          <w14:ligatures w14:val="standardContextual"/>
        </w:rPr>
        <w:t xml:space="preserve">is Review and to inform the </w:t>
      </w:r>
      <w:r>
        <w:rPr>
          <w:rFonts w:eastAsia="Aptos"/>
        </w:rPr>
        <w:t>f</w:t>
      </w:r>
      <w:r w:rsidRPr="000F1DE6">
        <w:rPr>
          <w:rFonts w:eastAsia="Aptos"/>
        </w:rPr>
        <w:t xml:space="preserve">inal </w:t>
      </w:r>
      <w:r>
        <w:rPr>
          <w:rFonts w:eastAsia="Aptos"/>
        </w:rPr>
        <w:t>r</w:t>
      </w:r>
      <w:r w:rsidRPr="000F1DE6">
        <w:rPr>
          <w:rFonts w:eastAsia="Aptos"/>
        </w:rPr>
        <w:t>eport. The survey was promoted through social media with support from the ACTU to ensure broad awareness. The questions were developed in consultation with the relevant Safe Work Australia Members. The survey received 778 responses between 1 September and 30</w:t>
      </w:r>
      <w:r w:rsidR="000F402B">
        <w:rPr>
          <w:rFonts w:eastAsia="Aptos"/>
        </w:rPr>
        <w:t> </w:t>
      </w:r>
      <w:r w:rsidRPr="000F1DE6">
        <w:rPr>
          <w:rFonts w:eastAsia="Aptos"/>
        </w:rPr>
        <w:t>November 2025. It included multiple choice and free-text questions, with responses analysed to identify emerging issues. Free-text responses were grouped into similar themes</w:t>
      </w:r>
      <w:r w:rsidRPr="000F1DE6">
        <w:rPr>
          <w:rFonts w:eastAsia="Aptos" w:cs="Arial"/>
          <w:kern w:val="2"/>
          <w14:ligatures w14:val="standardContextual"/>
        </w:rPr>
        <w:t>.</w:t>
      </w:r>
    </w:p>
    <w:p w14:paraId="73F24B96" w14:textId="7D86C617" w:rsidR="00936905" w:rsidRPr="000F1DE6" w:rsidRDefault="00936905" w:rsidP="0016789A">
      <w:pPr>
        <w:pStyle w:val="SWAHeading3"/>
        <w:spacing w:after="0"/>
        <w:rPr>
          <w:color w:val="2B0A99"/>
        </w:rPr>
      </w:pPr>
      <w:bookmarkStart w:id="156" w:name="_Toc228256149"/>
      <w:r w:rsidRPr="00666C25">
        <w:rPr>
          <w:color w:val="2B0A99"/>
        </w:rPr>
        <w:t xml:space="preserve">Snapshot of </w:t>
      </w:r>
      <w:bookmarkEnd w:id="156"/>
      <w:r w:rsidRPr="00666C25">
        <w:rPr>
          <w:color w:val="2B0A99"/>
        </w:rPr>
        <w:t>survey respondents</w:t>
      </w:r>
    </w:p>
    <w:p w14:paraId="314AA0BF" w14:textId="77777777" w:rsidR="00936905" w:rsidRPr="007E465D" w:rsidRDefault="00936905" w:rsidP="005B5774">
      <w:pPr>
        <w:pStyle w:val="SWAHeading4"/>
      </w:pPr>
      <w:r w:rsidRPr="007E465D">
        <w:t>Industry</w:t>
      </w:r>
    </w:p>
    <w:p w14:paraId="17057E8E" w14:textId="236BE79F" w:rsidR="00936905" w:rsidRPr="000F1DE6" w:rsidRDefault="00936905" w:rsidP="00936905">
      <w:pPr>
        <w:pStyle w:val="Paragraph"/>
        <w:rPr>
          <w:rFonts w:eastAsia="Aptos"/>
          <w:i/>
          <w:kern w:val="2"/>
          <w:szCs w:val="22"/>
          <w14:ligatures w14:val="standardContextual"/>
        </w:rPr>
      </w:pPr>
      <w:r w:rsidRPr="000F1DE6">
        <w:rPr>
          <w:rFonts w:eastAsia="Aptos"/>
        </w:rPr>
        <w:t xml:space="preserve">Most survey respondents worked in Education and Training (22.9%), Public Administration and Safety (18.2%) </w:t>
      </w:r>
      <w:r w:rsidRPr="004E7884">
        <w:rPr>
          <w:rFonts w:eastAsia="Aptos"/>
        </w:rPr>
        <w:t>and</w:t>
      </w:r>
      <w:r w:rsidRPr="004E7884">
        <w:rPr>
          <w:rFonts w:eastAsia="Aptos"/>
          <w:b/>
          <w:color w:val="000000" w:themeColor="text1"/>
          <w:kern w:val="2"/>
          <w:szCs w:val="22"/>
          <w14:ligatures w14:val="standardContextual"/>
        </w:rPr>
        <w:t xml:space="preserve"> </w:t>
      </w:r>
      <w:r w:rsidRPr="004E7884">
        <w:rPr>
          <w:rFonts w:eastAsia="Aptos"/>
          <w:color w:val="000000" w:themeColor="text1"/>
          <w:kern w:val="2"/>
          <w:szCs w:val="22"/>
          <w14:ligatures w14:val="standardContextual"/>
        </w:rPr>
        <w:t>Health Care and Social</w:t>
      </w:r>
      <w:r w:rsidRPr="000F1DE6">
        <w:rPr>
          <w:rFonts w:eastAsia="Aptos"/>
          <w:color w:val="000000" w:themeColor="text1"/>
          <w:kern w:val="2"/>
          <w:szCs w:val="22"/>
          <w14:ligatures w14:val="standardContextual"/>
        </w:rPr>
        <w:t xml:space="preserve"> Assistance (17.3%). The lowest number of responses came from the Rental, Hiring and Real Estate Services sector (0.7%).</w:t>
      </w:r>
      <w:r w:rsidRPr="000F1DE6">
        <w:rPr>
          <w:rStyle w:val="FootnoteReference"/>
          <w:rFonts w:eastAsia="Aptos"/>
          <w:color w:val="000000" w:themeColor="text1"/>
          <w:kern w:val="2"/>
          <w:szCs w:val="22"/>
          <w14:ligatures w14:val="standardContextual"/>
        </w:rPr>
        <w:footnoteReference w:id="777"/>
      </w:r>
    </w:p>
    <w:p w14:paraId="48D4C5C8" w14:textId="5F1477BC" w:rsidR="00936905" w:rsidRPr="000D26F7" w:rsidRDefault="00936905" w:rsidP="0016789A">
      <w:pPr>
        <w:pStyle w:val="SWAHeading5"/>
        <w:spacing w:after="120"/>
        <w:rPr>
          <w:szCs w:val="28"/>
        </w:rPr>
      </w:pPr>
      <w:r w:rsidRPr="00123ECC">
        <w:t>Jurisdiction</w:t>
      </w:r>
    </w:p>
    <w:p w14:paraId="15AD018D" w14:textId="4205888F" w:rsidR="00936905" w:rsidRDefault="00936905" w:rsidP="0016789A">
      <w:pPr>
        <w:pStyle w:val="Caption"/>
        <w:spacing w:before="0"/>
      </w:pPr>
      <w:r w:rsidRPr="000F1DE6">
        <w:t>Figure 2 Proportion of responses by jurisdiction</w:t>
      </w:r>
    </w:p>
    <w:p w14:paraId="4C4E6CBA" w14:textId="6E4EE7CD" w:rsidR="00BC0B4B" w:rsidRPr="00BC0B4B" w:rsidRDefault="00BC0B4B" w:rsidP="0016789A">
      <w:pPr>
        <w:spacing w:after="0"/>
        <w:rPr>
          <w:rStyle w:val="ParagraphChar"/>
          <w:rFonts w:eastAsiaTheme="minorHAnsi"/>
        </w:rPr>
      </w:pPr>
      <w:r>
        <w:rPr>
          <w:noProof/>
        </w:rPr>
        <w:drawing>
          <wp:inline distT="0" distB="0" distL="0" distR="0" wp14:anchorId="641F86D3" wp14:editId="0368F607">
            <wp:extent cx="6238875" cy="2447925"/>
            <wp:effectExtent l="0" t="0" r="0" b="0"/>
            <wp:docPr id="330173120" name="Chart 1" descr="Figure 2 Proportion of responses by jurisdiction.&#10;&#10;A graph outlining responses by jurisdiction. Refer to description below.&#10;">
              <a:extLst xmlns:a="http://schemas.openxmlformats.org/drawingml/2006/main">
                <a:ext uri="{FF2B5EF4-FFF2-40B4-BE49-F238E27FC236}">
                  <a16:creationId xmlns:a16="http://schemas.microsoft.com/office/drawing/2014/main" id="{3E6E62D1-1985-34C8-658E-971DDB02FE5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inline>
        </w:drawing>
      </w:r>
    </w:p>
    <w:p w14:paraId="7B485D01" w14:textId="77777777" w:rsidR="00936905" w:rsidRPr="00BC0B4B" w:rsidRDefault="00936905" w:rsidP="00BC0B4B">
      <w:pPr>
        <w:pStyle w:val="Paragraph"/>
        <w:spacing w:before="0"/>
        <w:rPr>
          <w:rFonts w:eastAsia="Aptos"/>
          <w:i/>
          <w:iCs/>
          <w:sz w:val="20"/>
          <w:szCs w:val="22"/>
        </w:rPr>
      </w:pPr>
      <w:r w:rsidRPr="00BC0B4B">
        <w:rPr>
          <w:rFonts w:eastAsia="Aptos"/>
          <w:i/>
          <w:iCs/>
          <w:sz w:val="20"/>
          <w:szCs w:val="22"/>
        </w:rPr>
        <w:lastRenderedPageBreak/>
        <w:t>* Note: Respondents were able to select more than one option; percentages therefore do not sum to 100%.</w:t>
      </w:r>
    </w:p>
    <w:p w14:paraId="24A28C32" w14:textId="77777777" w:rsidR="00F21CE3" w:rsidRDefault="00936905" w:rsidP="00936905">
      <w:pPr>
        <w:spacing w:after="160" w:line="240" w:lineRule="auto"/>
        <w:rPr>
          <w:rFonts w:asciiTheme="minorHAnsi" w:eastAsia="Aptos" w:hAnsiTheme="minorHAnsi" w:cs="Arial"/>
          <w:kern w:val="2"/>
          <w:szCs w:val="22"/>
          <w14:ligatures w14:val="standardContextual"/>
        </w:rPr>
      </w:pPr>
      <w:r w:rsidRPr="004E7884">
        <w:rPr>
          <w:rFonts w:asciiTheme="minorHAnsi" w:eastAsia="Aptos" w:hAnsiTheme="minorHAnsi" w:cs="Arial"/>
          <w:kern w:val="2"/>
          <w:szCs w:val="22"/>
          <w14:ligatures w14:val="standardContextual"/>
        </w:rPr>
        <w:t>Figure 2: Responses fro</w:t>
      </w:r>
      <w:r w:rsidRPr="000F1DE6">
        <w:rPr>
          <w:rFonts w:asciiTheme="minorHAnsi" w:eastAsia="Aptos" w:hAnsiTheme="minorHAnsi" w:cs="Arial"/>
          <w:kern w:val="2"/>
          <w:szCs w:val="22"/>
          <w14:ligatures w14:val="standardContextual"/>
        </w:rPr>
        <w:t>m Queensland and NSW together accounted for just over half of all responses. Victoria and national respondents contributed a moderate share, while all other jurisdictions accounted for relatively small proportions.</w:t>
      </w:r>
    </w:p>
    <w:p w14:paraId="0BD661BF" w14:textId="4BEED65D" w:rsidR="00936905" w:rsidRPr="007E465D" w:rsidRDefault="00936905" w:rsidP="005B5774">
      <w:pPr>
        <w:pStyle w:val="SWAHeading4"/>
      </w:pPr>
      <w:r w:rsidRPr="007E465D">
        <w:t>Business size</w:t>
      </w:r>
    </w:p>
    <w:p w14:paraId="3A70A6A4" w14:textId="77777777" w:rsidR="00F546AE" w:rsidRDefault="00936905" w:rsidP="00F546AE">
      <w:pPr>
        <w:keepNext/>
        <w:spacing w:after="160" w:line="240" w:lineRule="auto"/>
        <w:rPr>
          <w:rFonts w:asciiTheme="minorHAnsi" w:eastAsia="Aptos" w:hAnsiTheme="minorHAnsi" w:cs="Arial"/>
          <w:kern w:val="2"/>
          <w:szCs w:val="22"/>
          <w14:ligatures w14:val="standardContextual"/>
        </w:rPr>
      </w:pPr>
      <w:r w:rsidRPr="000F1DE6">
        <w:rPr>
          <w:rFonts w:asciiTheme="minorHAnsi" w:eastAsia="Aptos" w:hAnsiTheme="minorHAnsi" w:cs="Arial"/>
          <w:kern w:val="2"/>
          <w:szCs w:val="22"/>
          <w14:ligatures w14:val="standardContextual"/>
        </w:rPr>
        <w:t>Most responses were from large businesses, which accounted for almost two</w:t>
      </w:r>
      <w:r w:rsidRPr="000F1DE6">
        <w:rPr>
          <w:rFonts w:asciiTheme="minorHAnsi" w:eastAsia="Aptos" w:hAnsiTheme="minorHAnsi" w:cs="Arial"/>
          <w:kern w:val="2"/>
          <w:szCs w:val="22"/>
          <w14:ligatures w14:val="standardContextual"/>
        </w:rPr>
        <w:noBreakHyphen/>
        <w:t>thirds of the total (64.3%), followed by medium-sized businesses (29.0%), and small businesses (6.7%).</w:t>
      </w:r>
      <w:bookmarkStart w:id="157" w:name="_Toc228256150"/>
      <w:bookmarkStart w:id="158" w:name="_Toc234853714"/>
      <w:bookmarkStart w:id="159" w:name="_Toc235103734"/>
    </w:p>
    <w:p w14:paraId="16799279" w14:textId="2084768D" w:rsidR="00F546AE" w:rsidRPr="00E56436" w:rsidRDefault="00F546AE" w:rsidP="00E56436">
      <w:pPr>
        <w:pStyle w:val="SWAHeading3"/>
        <w:rPr>
          <w:rFonts w:eastAsia="Yu Gothic Light" w:cs="Times New Roman"/>
          <w:b/>
          <w:bCs/>
          <w:kern w:val="2"/>
          <w14:ligatures w14:val="standardContextual"/>
        </w:rPr>
      </w:pPr>
      <w:r w:rsidRPr="00E56436">
        <w:rPr>
          <w:b/>
          <w:bCs/>
        </w:rPr>
        <w:t>Survey results</w:t>
      </w:r>
      <w:bookmarkEnd w:id="157"/>
      <w:bookmarkEnd w:id="158"/>
      <w:bookmarkEnd w:id="159"/>
    </w:p>
    <w:p w14:paraId="50F4F9CF" w14:textId="77777777" w:rsidR="00F546AE" w:rsidRPr="00F546AE" w:rsidRDefault="00F546AE" w:rsidP="00F546AE">
      <w:pPr>
        <w:pStyle w:val="SWAHeading3"/>
      </w:pPr>
      <w:bookmarkStart w:id="160" w:name="_Toc228256151"/>
      <w:r w:rsidRPr="00F546AE">
        <w:t>Free-text feedback</w:t>
      </w:r>
      <w:bookmarkEnd w:id="160"/>
    </w:p>
    <w:p w14:paraId="2EB964D5" w14:textId="77777777" w:rsidR="00F21CE3" w:rsidRDefault="00F546AE" w:rsidP="00F546AE">
      <w:pPr>
        <w:pStyle w:val="Paragraph"/>
        <w:rPr>
          <w:rFonts w:eastAsia="Aptos" w:cs="Arial"/>
          <w:kern w:val="2"/>
          <w:szCs w:val="22"/>
          <w14:ligatures w14:val="standardContextual"/>
        </w:rPr>
      </w:pPr>
      <w:r w:rsidRPr="000F1DE6">
        <w:rPr>
          <w:rFonts w:eastAsia="Aptos"/>
        </w:rPr>
        <w:t>Workers and HSRs were asked</w:t>
      </w:r>
      <w:r>
        <w:rPr>
          <w:rFonts w:eastAsia="Aptos"/>
        </w:rPr>
        <w:t>,</w:t>
      </w:r>
      <w:r w:rsidRPr="000F1DE6">
        <w:rPr>
          <w:rFonts w:eastAsia="Aptos"/>
        </w:rPr>
        <w:t xml:space="preserve"> ‘Do you have any additional comments about being an HSR or WHS laws? What is working well? What needs improvement?’ The responses</w:t>
      </w:r>
      <w:r w:rsidRPr="000F1DE6">
        <w:rPr>
          <w:rFonts w:eastAsia="Aptos" w:cs="Arial"/>
          <w:kern w:val="2"/>
          <w:szCs w:val="22"/>
          <w14:ligatures w14:val="standardContextual"/>
        </w:rPr>
        <w:t xml:space="preserve"> below reflect a cross-section of the feedback received.</w:t>
      </w:r>
    </w:p>
    <w:p w14:paraId="2EAF878A" w14:textId="0AE92EE9" w:rsidR="00F546AE" w:rsidRPr="000F1DE6" w:rsidRDefault="00F546AE" w:rsidP="005B5774">
      <w:pPr>
        <w:pStyle w:val="SWAHeading4"/>
      </w:pPr>
      <w:r w:rsidRPr="000F1DE6">
        <w:t>Duty to consult with workers</w:t>
      </w:r>
    </w:p>
    <w:p w14:paraId="1EEF9825" w14:textId="07822FB5" w:rsidR="00F546AE" w:rsidRPr="000F1DE6" w:rsidRDefault="00F546AE" w:rsidP="00D14253">
      <w:pPr>
        <w:pStyle w:val="ListBullet"/>
      </w:pPr>
      <w:r w:rsidRPr="000F1DE6">
        <w:t>‘Employers are already required to consult HSRs at the start of decision making but it is not happening, so we need accountability and consequences when they ignore it’</w:t>
      </w:r>
      <w:r w:rsidR="00552DA7">
        <w:t>.</w:t>
      </w:r>
    </w:p>
    <w:p w14:paraId="68AC8334" w14:textId="3DA19841" w:rsidR="00F546AE" w:rsidRPr="000F1DE6" w:rsidRDefault="00F546AE" w:rsidP="00D14253">
      <w:pPr>
        <w:pStyle w:val="ListBullet"/>
      </w:pPr>
      <w:r w:rsidRPr="000F1DE6">
        <w:t>‘</w:t>
      </w:r>
      <w:r w:rsidRPr="000F1DE6">
        <w:rPr>
          <w:color w:val="000000" w:themeColor="text1"/>
        </w:rPr>
        <w:t>Management does not always share the information as required by legislation despite being requested to’</w:t>
      </w:r>
      <w:r w:rsidR="00552DA7">
        <w:rPr>
          <w:color w:val="000000" w:themeColor="text1"/>
        </w:rPr>
        <w:t>.</w:t>
      </w:r>
    </w:p>
    <w:p w14:paraId="3D3251D6" w14:textId="55165423" w:rsidR="00F546AE" w:rsidRPr="000F1DE6" w:rsidRDefault="00F546AE" w:rsidP="00D14253">
      <w:pPr>
        <w:pStyle w:val="ListBullet"/>
        <w:rPr>
          <w:color w:val="000000" w:themeColor="text1"/>
        </w:rPr>
      </w:pPr>
      <w:r w:rsidRPr="000F1DE6">
        <w:t>‘It doesn</w:t>
      </w:r>
      <w:r w:rsidR="000F402B">
        <w:t>’</w:t>
      </w:r>
      <w:r w:rsidRPr="000F1DE6">
        <w:t>t help when WorkSafe comes out to the workplace and doesn</w:t>
      </w:r>
      <w:r w:rsidR="000F402B">
        <w:t>’</w:t>
      </w:r>
      <w:r w:rsidRPr="000F1DE6">
        <w:t>t involve the HSRs in the process’</w:t>
      </w:r>
      <w:r w:rsidR="00552DA7">
        <w:t>.</w:t>
      </w:r>
    </w:p>
    <w:p w14:paraId="4E7A4074" w14:textId="60EC47E1" w:rsidR="00F546AE" w:rsidRPr="000F1DE6" w:rsidRDefault="00F546AE" w:rsidP="00D14253">
      <w:pPr>
        <w:pStyle w:val="ListBullet"/>
        <w:rPr>
          <w:color w:val="000000" w:themeColor="text1"/>
        </w:rPr>
      </w:pPr>
      <w:r w:rsidRPr="000F1DE6">
        <w:t>‘HSRs are not employed by the PCBU, they have another job. PCBU officers do not understand their responsibilities’</w:t>
      </w:r>
      <w:r w:rsidR="00552DA7">
        <w:t>.</w:t>
      </w:r>
    </w:p>
    <w:p w14:paraId="45E9B9D5" w14:textId="2E92EA3A" w:rsidR="00F21CE3" w:rsidRDefault="00F546AE" w:rsidP="00D14253">
      <w:pPr>
        <w:pStyle w:val="ListBullet"/>
      </w:pPr>
      <w:r w:rsidRPr="000F1DE6">
        <w:t>‘The way consultation is conducted needs to be improved. There is always confusion between consultation and communication and degree to how much, and what information needs to be shared’</w:t>
      </w:r>
      <w:r w:rsidR="00552DA7">
        <w:t>.</w:t>
      </w:r>
    </w:p>
    <w:p w14:paraId="12E3EA12" w14:textId="017D284F" w:rsidR="00F546AE" w:rsidRPr="000F1DE6" w:rsidRDefault="00F546AE" w:rsidP="00D14253">
      <w:pPr>
        <w:pStyle w:val="ListBullet"/>
        <w:rPr>
          <w:rFonts w:eastAsia="Aptos" w:cs="Arial"/>
          <w:color w:val="000000" w:themeColor="text1"/>
          <w:kern w:val="2"/>
          <w:szCs w:val="22"/>
          <w14:ligatures w14:val="standardContextual"/>
        </w:rPr>
      </w:pPr>
      <w:r w:rsidRPr="000F1DE6">
        <w:t>‘While I am regularly consulted about changes that affect me, I don</w:t>
      </w:r>
      <w:r w:rsidR="000F402B">
        <w:t>’</w:t>
      </w:r>
      <w:r w:rsidRPr="000F1DE6">
        <w:t>t always see evidence that the consultation has any impact on departmental policies’</w:t>
      </w:r>
      <w:r w:rsidR="00552DA7">
        <w:t>.</w:t>
      </w:r>
    </w:p>
    <w:p w14:paraId="17F6104C" w14:textId="77777777" w:rsidR="00F21CE3" w:rsidRDefault="00F546AE" w:rsidP="00624388">
      <w:pPr>
        <w:pStyle w:val="SWAHeading4"/>
      </w:pPr>
      <w:r w:rsidRPr="000F1DE6">
        <w:t>HSR elections, work groups and HSCs</w:t>
      </w:r>
    </w:p>
    <w:p w14:paraId="6AABAE86" w14:textId="33C3F3BA" w:rsidR="00F546AE" w:rsidRPr="000F1DE6" w:rsidRDefault="00F546AE" w:rsidP="00D14253">
      <w:pPr>
        <w:pStyle w:val="ListBullet"/>
      </w:pPr>
      <w:r w:rsidRPr="000F1DE6">
        <w:t>‘I applied to be a HSR and it took 5 months for the organisation to acknowledge my application. There was no election or discussion, my application was accepted and now I’m to do training but I’m not sure where to start as I work part time and I’m not allowed to attend the training on work days’</w:t>
      </w:r>
      <w:r w:rsidR="00552DA7">
        <w:t>.</w:t>
      </w:r>
    </w:p>
    <w:p w14:paraId="57533B12" w14:textId="40649B17" w:rsidR="00F546AE" w:rsidRPr="000F1DE6" w:rsidRDefault="00F546AE" w:rsidP="00D14253">
      <w:pPr>
        <w:pStyle w:val="ListBullet"/>
      </w:pPr>
      <w:r w:rsidRPr="000F1DE6">
        <w:t>‘We have an issue getting people to nominate as HSR</w:t>
      </w:r>
      <w:r>
        <w:t>’</w:t>
      </w:r>
      <w:r w:rsidRPr="000F1DE6">
        <w:t>s or Deputy HSR</w:t>
      </w:r>
      <w:r>
        <w:t>’</w:t>
      </w:r>
      <w:r w:rsidRPr="000F1DE6">
        <w:t>s, meaning some areas do not have a HSR and a Deputy HSR. Some crews are happy to be represented by other crew members’</w:t>
      </w:r>
      <w:r w:rsidR="00552DA7">
        <w:t>.</w:t>
      </w:r>
    </w:p>
    <w:p w14:paraId="2F0E0D10" w14:textId="2AA41015" w:rsidR="00F546AE" w:rsidRPr="000F1DE6" w:rsidRDefault="00F546AE" w:rsidP="00D14253">
      <w:pPr>
        <w:pStyle w:val="ListBullet"/>
      </w:pPr>
      <w:r w:rsidRPr="000F1DE6">
        <w:t>‘It should be even easier/more clearly defined in the WHS Act for a HSR to be able to help out another workgroup, when they don’t have a HSR themselves’</w:t>
      </w:r>
      <w:r w:rsidR="00552DA7">
        <w:t>.</w:t>
      </w:r>
    </w:p>
    <w:p w14:paraId="6F73D1B7" w14:textId="77777777" w:rsidR="00F21CE3" w:rsidRDefault="00F546AE" w:rsidP="00624388">
      <w:pPr>
        <w:pStyle w:val="SWAHeading4"/>
      </w:pPr>
      <w:r w:rsidRPr="000F1DE6">
        <w:t>HSR powers and functions</w:t>
      </w:r>
    </w:p>
    <w:p w14:paraId="684600E9" w14:textId="487DCD7D" w:rsidR="00F21CE3" w:rsidRDefault="00F546AE" w:rsidP="00D14253">
      <w:pPr>
        <w:pStyle w:val="ListBullet"/>
      </w:pPr>
      <w:r w:rsidRPr="000F1DE6">
        <w:t>‘Need a hub for HSRs with clear, concise guidance about our powers and how to handle situations, developed in consultation with Australian Unions’</w:t>
      </w:r>
      <w:r w:rsidR="00552DA7">
        <w:t>.</w:t>
      </w:r>
    </w:p>
    <w:p w14:paraId="7523DC58" w14:textId="578AAFC3" w:rsidR="00F546AE" w:rsidRPr="000F1DE6" w:rsidRDefault="00F546AE" w:rsidP="00D14253">
      <w:pPr>
        <w:pStyle w:val="ListBullet"/>
      </w:pPr>
      <w:r w:rsidRPr="000F1DE6">
        <w:lastRenderedPageBreak/>
        <w:t>‘Need faster regulator support when HSRs escalate issues and consequences when PCBUs ignore PINs’</w:t>
      </w:r>
      <w:r w:rsidR="00552DA7">
        <w:t>.</w:t>
      </w:r>
    </w:p>
    <w:p w14:paraId="7BC91AF8" w14:textId="77777777" w:rsidR="00F546AE" w:rsidRPr="000F1DE6" w:rsidRDefault="00F546AE" w:rsidP="00624388">
      <w:pPr>
        <w:pStyle w:val="SWAHeading4"/>
        <w:rPr>
          <w:color w:val="000000" w:themeColor="text1"/>
        </w:rPr>
      </w:pPr>
      <w:r w:rsidRPr="000F1DE6">
        <w:t>Supporting and facilitating the role of HSRs</w:t>
      </w:r>
    </w:p>
    <w:p w14:paraId="6D1C97CC" w14:textId="37D1EB96" w:rsidR="00F546AE" w:rsidRPr="000F1DE6" w:rsidRDefault="00F546AE" w:rsidP="00D14253">
      <w:pPr>
        <w:pStyle w:val="ListBullet"/>
      </w:pPr>
      <w:r w:rsidRPr="000F1DE6">
        <w:t>‘Acquiring time off to focus on WHS is difficult, as many tasks require person to person contact to follow up with issues. Still need to perform work tasks</w:t>
      </w:r>
      <w:r w:rsidR="00552DA7">
        <w:t>.</w:t>
      </w:r>
      <w:r w:rsidRPr="000F1DE6">
        <w:t>’</w:t>
      </w:r>
    </w:p>
    <w:p w14:paraId="7CF8691D" w14:textId="7BAE5C03" w:rsidR="00F546AE" w:rsidRPr="000F1DE6" w:rsidRDefault="00F546AE" w:rsidP="00D14253">
      <w:pPr>
        <w:pStyle w:val="ListBullet"/>
      </w:pPr>
      <w:r w:rsidRPr="000F1DE6">
        <w:t>‘What needs to be improved is gaining company support to give time off for training in my role</w:t>
      </w:r>
      <w:r w:rsidR="00552DA7">
        <w:t>.</w:t>
      </w:r>
      <w:r w:rsidRPr="000F1DE6">
        <w:t>’</w:t>
      </w:r>
    </w:p>
    <w:p w14:paraId="60E56F0D" w14:textId="3088A42B" w:rsidR="00F546AE" w:rsidRPr="000F1DE6" w:rsidRDefault="00F546AE" w:rsidP="00D14253">
      <w:pPr>
        <w:pStyle w:val="ListBullet"/>
      </w:pPr>
      <w:r w:rsidRPr="000F1DE6">
        <w:t>‘I have resigned as HSR as I had no support from any leadership groups, even excluded from workshops and information sessions’</w:t>
      </w:r>
      <w:r w:rsidR="00552DA7">
        <w:t>.</w:t>
      </w:r>
    </w:p>
    <w:p w14:paraId="5CE226C1" w14:textId="4F65C568" w:rsidR="00F546AE" w:rsidRPr="000F1DE6" w:rsidRDefault="00F546AE" w:rsidP="00D14253">
      <w:pPr>
        <w:pStyle w:val="ListBullet"/>
      </w:pPr>
      <w:r w:rsidRPr="000F1DE6">
        <w:t>‘Mandatory training for PCBUs and managers when an HSR is elected, so they actually understand the role and do not undermine it through ignorance or hostility’</w:t>
      </w:r>
      <w:r w:rsidR="008F76B1">
        <w:t>.</w:t>
      </w:r>
    </w:p>
    <w:p w14:paraId="20E92AD0" w14:textId="07BAAF10" w:rsidR="00F21CE3" w:rsidRDefault="00F546AE" w:rsidP="00D14253">
      <w:pPr>
        <w:pStyle w:val="ListBullet"/>
      </w:pPr>
      <w:r w:rsidRPr="000F1DE6">
        <w:t>‘Genuine action is only taken when the Regulator steps-in; however, this is a rarity’</w:t>
      </w:r>
      <w:r w:rsidR="008F76B1">
        <w:t>.</w:t>
      </w:r>
    </w:p>
    <w:p w14:paraId="637EB1A1" w14:textId="32A698E8" w:rsidR="00DE3FD5" w:rsidRPr="000F1DE6" w:rsidRDefault="00F546AE" w:rsidP="00D14253">
      <w:pPr>
        <w:pStyle w:val="ListBullet"/>
      </w:pPr>
      <w:r w:rsidRPr="000F1DE6">
        <w:t>‘Not enough management training on the role of HSR</w:t>
      </w:r>
      <w:r>
        <w:t>’</w:t>
      </w:r>
      <w:r w:rsidRPr="000F1DE6">
        <w:t>s and how to properly consult. Feels like we constantly have to fight for information’</w:t>
      </w:r>
      <w:r w:rsidR="008F76B1">
        <w:t>.</w:t>
      </w:r>
    </w:p>
    <w:p w14:paraId="0E71545E" w14:textId="77777777" w:rsidR="00DE3FD5" w:rsidRPr="000F1DE6" w:rsidRDefault="00DE3FD5" w:rsidP="00624388">
      <w:pPr>
        <w:pStyle w:val="SWAHeading4"/>
      </w:pPr>
      <w:r w:rsidRPr="000F1DE6">
        <w:t>HSR training</w:t>
      </w:r>
    </w:p>
    <w:p w14:paraId="2CBE5CB0" w14:textId="57582D4F" w:rsidR="00DE3FD5" w:rsidRPr="000F1DE6" w:rsidRDefault="00DE3FD5" w:rsidP="00D14253">
      <w:pPr>
        <w:pStyle w:val="ListBullet"/>
      </w:pPr>
      <w:r w:rsidRPr="000F1DE6">
        <w:t>‘Guaranteed training rights beyond the 5 day and refresher, and training that works for low literacy and CALD workers’</w:t>
      </w:r>
      <w:r w:rsidR="0023181C">
        <w:t>.</w:t>
      </w:r>
    </w:p>
    <w:p w14:paraId="52A17AF6" w14:textId="5B7EF4B5" w:rsidR="00F21CE3" w:rsidRDefault="00DE3FD5" w:rsidP="00D14253">
      <w:pPr>
        <w:pStyle w:val="ListBullet"/>
      </w:pPr>
      <w:r w:rsidRPr="000F1DE6">
        <w:t>‘The course itself provides no training on what is required of a HSR or powers a HSR has, what we can do and hard to understand the laws</w:t>
      </w:r>
      <w:r>
        <w:t>’</w:t>
      </w:r>
      <w:r w:rsidR="0023181C">
        <w:t>.</w:t>
      </w:r>
    </w:p>
    <w:p w14:paraId="1637C386" w14:textId="2C1C3EC9" w:rsidR="00DE3FD5" w:rsidRPr="007E465D" w:rsidRDefault="00DE3FD5" w:rsidP="00624388">
      <w:pPr>
        <w:pStyle w:val="SWAHeading4"/>
      </w:pPr>
      <w:r w:rsidRPr="007E465D">
        <w:t>Role of unions</w:t>
      </w:r>
    </w:p>
    <w:p w14:paraId="7454B87A" w14:textId="7D051636" w:rsidR="00DE3FD5" w:rsidRPr="000F1DE6" w:rsidRDefault="00DE3FD5" w:rsidP="00447786">
      <w:pPr>
        <w:pStyle w:val="Paragraph"/>
        <w:widowControl/>
        <w:numPr>
          <w:ilvl w:val="0"/>
          <w:numId w:val="23"/>
        </w:numPr>
        <w:spacing w:before="0"/>
        <w:rPr>
          <w:rFonts w:eastAsia="Aptos" w:cs="Arial"/>
          <w:color w:val="000000" w:themeColor="text1"/>
          <w:kern w:val="2"/>
          <w:szCs w:val="22"/>
          <w14:ligatures w14:val="standardContextual"/>
        </w:rPr>
      </w:pPr>
      <w:r w:rsidRPr="000F1DE6">
        <w:rPr>
          <w:rFonts w:eastAsia="Aptos" w:cs="Arial"/>
          <w:color w:val="000000" w:themeColor="text1"/>
          <w:kern w:val="2"/>
          <w:szCs w:val="22"/>
          <w14:ligatures w14:val="standardContextual"/>
        </w:rPr>
        <w:t>‘Workers feel safer when they have union support in WHS’</w:t>
      </w:r>
      <w:r w:rsidR="0023181C">
        <w:rPr>
          <w:rFonts w:eastAsia="Aptos" w:cs="Arial"/>
          <w:color w:val="000000" w:themeColor="text1"/>
          <w:kern w:val="2"/>
          <w:szCs w:val="22"/>
          <w14:ligatures w14:val="standardContextual"/>
        </w:rPr>
        <w:t>.</w:t>
      </w:r>
    </w:p>
    <w:p w14:paraId="7136277D" w14:textId="77777777" w:rsidR="00DE3FD5" w:rsidRPr="007E465D" w:rsidRDefault="00DE3FD5" w:rsidP="00624388">
      <w:pPr>
        <w:pStyle w:val="SWAHeading4"/>
      </w:pPr>
      <w:r w:rsidRPr="007E465D">
        <w:t>Discriminatory conduct</w:t>
      </w:r>
    </w:p>
    <w:p w14:paraId="7D20114A" w14:textId="499EE179" w:rsidR="00F21CE3" w:rsidRDefault="00DE3FD5" w:rsidP="00D14253">
      <w:pPr>
        <w:pStyle w:val="ListBullet"/>
      </w:pPr>
      <w:r w:rsidRPr="000F1DE6">
        <w:t>‘Anti-victimisation rules exist but no one is being prosecuted. We need real enforcement so HSRs are not punished or frozen out’</w:t>
      </w:r>
      <w:r w:rsidR="0023181C">
        <w:t>.</w:t>
      </w:r>
    </w:p>
    <w:p w14:paraId="6B845A70" w14:textId="4700F30E" w:rsidR="00D14253" w:rsidRDefault="00DE3FD5" w:rsidP="00D14253">
      <w:pPr>
        <w:pStyle w:val="ListBullet"/>
      </w:pPr>
      <w:r w:rsidRPr="000F1DE6">
        <w:t>‘As a HSR, I did not expect this level of resistance from the PCBU</w:t>
      </w:r>
      <w:r w:rsidR="00F546AE" w:rsidRPr="000F1DE6">
        <w:t>’</w:t>
      </w:r>
      <w:r w:rsidR="0023181C">
        <w:t>.</w:t>
      </w:r>
    </w:p>
    <w:p w14:paraId="0FB23277" w14:textId="0B287FD7" w:rsidR="00F546AE" w:rsidRPr="00624388" w:rsidRDefault="00F546AE" w:rsidP="00624388">
      <w:pPr>
        <w:pStyle w:val="SWAHeading4"/>
      </w:pPr>
      <w:bookmarkStart w:id="161" w:name="_Toc228256152"/>
      <w:r w:rsidRPr="007E465D">
        <w:t>HSC and HSR presence</w:t>
      </w:r>
      <w:bookmarkEnd w:id="161"/>
    </w:p>
    <w:p w14:paraId="4246BBB3" w14:textId="77777777" w:rsidR="00F546AE" w:rsidRPr="000F1DE6" w:rsidRDefault="00F546AE" w:rsidP="000D26F7">
      <w:pPr>
        <w:pStyle w:val="Caption"/>
      </w:pPr>
      <w:r w:rsidRPr="000F1DE6">
        <w:t>Figure 3 Distribution of respondents reporting no HSC and no HSR, by business size</w:t>
      </w:r>
    </w:p>
    <w:p w14:paraId="2E9B8BE8" w14:textId="57F48E8E" w:rsidR="00F546AE" w:rsidRPr="00BC0B4B" w:rsidRDefault="00BC0B4B" w:rsidP="00BC0B4B">
      <w:pPr>
        <w:spacing w:after="0" w:line="240" w:lineRule="auto"/>
        <w:jc w:val="center"/>
        <w:rPr>
          <w:rStyle w:val="ParagraphChar"/>
          <w:rFonts w:eastAsiaTheme="minorHAnsi"/>
        </w:rPr>
      </w:pPr>
      <w:r>
        <w:rPr>
          <w:noProof/>
        </w:rPr>
        <w:drawing>
          <wp:inline distT="0" distB="0" distL="0" distR="0" wp14:anchorId="5C0DD28C" wp14:editId="73DB7317">
            <wp:extent cx="6172835" cy="2571750"/>
            <wp:effectExtent l="0" t="0" r="0" b="0"/>
            <wp:docPr id="1477270938" name="Chart 1" descr="Figure 3 Distribution of respondents reporting no HSC and no HSR, by business size.&#10; &#10;Table outlining that smaller and medium-sized businesses were less likely to have an HSR and HSC. Refer to description below.&#10;">
              <a:extLst xmlns:a="http://schemas.openxmlformats.org/drawingml/2006/main">
                <a:ext uri="{FF2B5EF4-FFF2-40B4-BE49-F238E27FC236}">
                  <a16:creationId xmlns:a16="http://schemas.microsoft.com/office/drawing/2014/main" id="{A513790F-EFCF-4D23-8CA1-667FF9C285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inline>
        </w:drawing>
      </w:r>
    </w:p>
    <w:p w14:paraId="210BA51F" w14:textId="77777777" w:rsidR="00F21CE3" w:rsidRDefault="00F546AE" w:rsidP="00BC0B4B">
      <w:pPr>
        <w:pStyle w:val="Paragraph"/>
        <w:rPr>
          <w:rFonts w:eastAsia="Aptos"/>
        </w:rPr>
      </w:pPr>
      <w:r w:rsidRPr="000F1DE6">
        <w:rPr>
          <w:rFonts w:eastAsia="Aptos"/>
        </w:rPr>
        <w:lastRenderedPageBreak/>
        <w:t>Figure 3: Respondents indicated that smaller and medium-sized businesses were less likely to have an HSR and HSC.</w:t>
      </w:r>
    </w:p>
    <w:p w14:paraId="7277FBBE" w14:textId="52444B5A" w:rsidR="00F546AE" w:rsidRPr="000F1DE6" w:rsidRDefault="00F546AE" w:rsidP="000D26F7">
      <w:pPr>
        <w:pStyle w:val="Caption"/>
      </w:pPr>
      <w:r w:rsidRPr="000F1DE6">
        <w:t xml:space="preserve">Figure 4 Distribution of </w:t>
      </w:r>
      <w:r w:rsidRPr="004E7884">
        <w:t>HSR presence by industry</w:t>
      </w:r>
    </w:p>
    <w:p w14:paraId="0001AF59" w14:textId="5449C0C8" w:rsidR="00F546AE" w:rsidRPr="000F1DE6" w:rsidRDefault="00BC0B4B" w:rsidP="00BC0B4B">
      <w:pPr>
        <w:pStyle w:val="Paragraph"/>
        <w:rPr>
          <w:rFonts w:eastAsia="Aptos"/>
        </w:rPr>
      </w:pPr>
      <w:r>
        <w:rPr>
          <w:noProof/>
        </w:rPr>
        <w:drawing>
          <wp:inline distT="0" distB="0" distL="0" distR="0" wp14:anchorId="2C759CB0" wp14:editId="3374152C">
            <wp:extent cx="6192520" cy="4286250"/>
            <wp:effectExtent l="0" t="0" r="0" b="0"/>
            <wp:docPr id="1934811335" name="Chart 1" descr="Figure 4 Distribution of HSR presence by industry.&#10;&#10;Graph outlining survey responses across industries. Refer to description below.&#10;&#10;">
              <a:extLst xmlns:a="http://schemas.openxmlformats.org/drawingml/2006/main">
                <a:ext uri="{FF2B5EF4-FFF2-40B4-BE49-F238E27FC236}">
                  <a16:creationId xmlns:a16="http://schemas.microsoft.com/office/drawing/2014/main" id="{C972D525-1645-4C26-B1AC-F98CD22D80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inline>
        </w:drawing>
      </w:r>
    </w:p>
    <w:p w14:paraId="5BB09E9B" w14:textId="77777777" w:rsidR="00F546AE" w:rsidRPr="000F1DE6" w:rsidRDefault="00F546AE" w:rsidP="00BC0B4B">
      <w:pPr>
        <w:pStyle w:val="Paragraph"/>
        <w:rPr>
          <w:rFonts w:eastAsia="Aptos"/>
          <w:i/>
          <w:iCs/>
          <w:sz w:val="20"/>
          <w:szCs w:val="20"/>
        </w:rPr>
      </w:pPr>
      <w:r w:rsidRPr="000F1DE6">
        <w:rPr>
          <w:rFonts w:eastAsia="Aptos"/>
          <w:i/>
          <w:iCs/>
          <w:sz w:val="20"/>
          <w:szCs w:val="20"/>
        </w:rPr>
        <w:t xml:space="preserve">* Note: Free-text responses were recategorised into existing industry categories. </w:t>
      </w:r>
      <w:r w:rsidRPr="000F1DE6">
        <w:rPr>
          <w:rFonts w:eastAsia="Aptos"/>
          <w:i/>
          <w:sz w:val="20"/>
          <w:szCs w:val="20"/>
        </w:rPr>
        <w:t>Figure 4 uses data from industries with 30 responses or more.</w:t>
      </w:r>
      <w:r w:rsidRPr="000F1DE6">
        <w:rPr>
          <w:rFonts w:eastAsia="Aptos"/>
          <w:i/>
          <w:iCs/>
          <w:sz w:val="20"/>
          <w:szCs w:val="20"/>
        </w:rPr>
        <w:t xml:space="preserve"> Respondents were able to select more than one industry if applicable.</w:t>
      </w:r>
    </w:p>
    <w:p w14:paraId="2CC023B3" w14:textId="660E87C7" w:rsidR="00F21CE3" w:rsidRDefault="00F546AE" w:rsidP="005C6B35">
      <w:pPr>
        <w:pStyle w:val="Paragraph"/>
        <w:rPr>
          <w:rFonts w:eastAsia="Aptos"/>
        </w:rPr>
      </w:pPr>
      <w:r w:rsidRPr="000F1DE6">
        <w:rPr>
          <w:rFonts w:eastAsia="Aptos"/>
        </w:rPr>
        <w:t>Figure 4: Across industries, ‘Yes’ responses accounted for the largest proportion of responses regarding the presence of an HSR, although the distribution varied by industry. Education and Training, Public Administration and Safety, and Electricity, Gas, Water and Waste Services had the highest numbers. Fewer respondents said ‘No’ or were unsure, though these responses were more common in industries like Construction and Professional, Scientific and Technical Services. Results should be interpreted in the context of the respondent profile, noting that respondents were predominantly from medium and large organisations.</w:t>
      </w:r>
    </w:p>
    <w:p w14:paraId="5EFA5095" w14:textId="56CA5F8A" w:rsidR="00F546AE" w:rsidRPr="00687683" w:rsidRDefault="00F546AE" w:rsidP="00687683">
      <w:pPr>
        <w:pStyle w:val="SWAHeading3"/>
      </w:pPr>
      <w:bookmarkStart w:id="162" w:name="_Toc228256153"/>
      <w:r w:rsidRPr="00687683">
        <w:t>Psychological safety</w:t>
      </w:r>
      <w:bookmarkEnd w:id="162"/>
    </w:p>
    <w:p w14:paraId="43F25353" w14:textId="77777777" w:rsidR="00F546AE" w:rsidRPr="000F1DE6" w:rsidRDefault="00F546AE" w:rsidP="000D26F7">
      <w:pPr>
        <w:pStyle w:val="Caption"/>
      </w:pPr>
      <w:r w:rsidRPr="000F1DE6">
        <w:t>Data Table 9 Worker responses on the importance of psychological health and safety</w:t>
      </w:r>
    </w:p>
    <w:p w14:paraId="42735FE8" w14:textId="26973510" w:rsidR="00F546AE" w:rsidRPr="000F1DE6" w:rsidRDefault="00F546AE" w:rsidP="00BC0B4B">
      <w:pPr>
        <w:pStyle w:val="Paragraph"/>
        <w:spacing w:after="240"/>
        <w:rPr>
          <w:rFonts w:eastAsia="Aptos" w:cs="Arial"/>
          <w:kern w:val="2"/>
          <w:szCs w:val="22"/>
          <w14:ligatures w14:val="standardContextual"/>
        </w:rPr>
      </w:pPr>
      <w:r w:rsidRPr="000F1DE6">
        <w:rPr>
          <w:rFonts w:eastAsia="Aptos" w:cs="Arial"/>
          <w:kern w:val="2"/>
          <w:szCs w:val="22"/>
          <w14:ligatures w14:val="standardContextual"/>
        </w:rPr>
        <w:t>Workers were asked whether they agreed, disagreed, or were unsure about the statement: ‘My workplace views psychological health and safety as being as important as physical health and safety’</w:t>
      </w:r>
      <w:bookmarkStart w:id="163" w:name="_1839393424"/>
      <w:bookmarkEnd w:id="163"/>
      <w:r w:rsidR="000641ED">
        <w:rPr>
          <w:rFonts w:eastAsia="Aptos" w:cs="Arial"/>
          <w:kern w:val="2"/>
          <w:szCs w:val="22"/>
          <w14:ligatures w14:val="standardContextual"/>
        </w:rPr>
        <w:t>.</w:t>
      </w:r>
    </w:p>
    <w:tbl>
      <w:tblPr>
        <w:tblStyle w:val="Style9"/>
        <w:tblW w:w="5000" w:type="pct"/>
        <w:tblCellMar>
          <w:top w:w="57" w:type="dxa"/>
          <w:bottom w:w="57" w:type="dxa"/>
        </w:tblCellMar>
        <w:tblLook w:val="04A0" w:firstRow="1" w:lastRow="0" w:firstColumn="1" w:lastColumn="0" w:noHBand="0" w:noVBand="1"/>
        <w:tblCaption w:val="Data Table 9 Worker responses on the importance of psychological health and safety"/>
        <w:tblDescription w:val="Table outlining worker responses to the statement: ‘My workplace views psychological health and safety as being as important as physical health and safety.’ 46.3% responses 'yes'. 40% responded 'no'. &#10;"/>
      </w:tblPr>
      <w:tblGrid>
        <w:gridCol w:w="3322"/>
        <w:gridCol w:w="6430"/>
      </w:tblGrid>
      <w:tr w:rsidR="00F546AE" w:rsidRPr="0016789A" w14:paraId="6C177254" w14:textId="77777777" w:rsidTr="0016789A">
        <w:trPr>
          <w:trHeight w:val="27"/>
        </w:trPr>
        <w:tc>
          <w:tcPr>
            <w:tcW w:w="1703" w:type="pct"/>
            <w:shd w:val="clear" w:color="auto" w:fill="F2F2F2" w:themeFill="background1" w:themeFillShade="F2"/>
            <w:noWrap/>
            <w:hideMark/>
          </w:tcPr>
          <w:p w14:paraId="5F332F6E" w14:textId="77777777" w:rsidR="00F546AE" w:rsidRPr="0016789A" w:rsidRDefault="00F546AE">
            <w:pPr>
              <w:spacing w:after="0" w:line="240" w:lineRule="auto"/>
              <w:rPr>
                <w:rFonts w:asciiTheme="minorHAnsi" w:eastAsia="Aptos" w:hAnsiTheme="minorHAnsi" w:cs="Arial"/>
                <w:b/>
                <w:szCs w:val="22"/>
              </w:rPr>
            </w:pPr>
            <w:r w:rsidRPr="0016789A">
              <w:rPr>
                <w:rFonts w:asciiTheme="minorHAnsi" w:eastAsia="Aptos" w:hAnsiTheme="minorHAnsi" w:cs="Arial"/>
                <w:b/>
                <w:szCs w:val="22"/>
              </w:rPr>
              <w:t>Response</w:t>
            </w:r>
          </w:p>
        </w:tc>
        <w:tc>
          <w:tcPr>
            <w:tcW w:w="3297" w:type="pct"/>
            <w:shd w:val="clear" w:color="auto" w:fill="F2F2F2" w:themeFill="background1" w:themeFillShade="F2"/>
            <w:noWrap/>
            <w:hideMark/>
          </w:tcPr>
          <w:p w14:paraId="49AF7B3B" w14:textId="77777777" w:rsidR="00F546AE" w:rsidRPr="0016789A" w:rsidRDefault="00F546AE">
            <w:pPr>
              <w:spacing w:after="0" w:line="240" w:lineRule="auto"/>
              <w:jc w:val="right"/>
              <w:rPr>
                <w:rFonts w:asciiTheme="minorHAnsi" w:eastAsia="Aptos" w:hAnsiTheme="minorHAnsi" w:cs="Arial"/>
                <w:b/>
                <w:szCs w:val="22"/>
              </w:rPr>
            </w:pPr>
            <w:r w:rsidRPr="0016789A">
              <w:rPr>
                <w:rFonts w:asciiTheme="minorHAnsi" w:eastAsia="Aptos" w:hAnsiTheme="minorHAnsi" w:cs="Arial"/>
                <w:b/>
                <w:szCs w:val="22"/>
              </w:rPr>
              <w:t>Percentage of worker responses (%)</w:t>
            </w:r>
          </w:p>
        </w:tc>
      </w:tr>
      <w:tr w:rsidR="00F546AE" w:rsidRPr="0016789A" w14:paraId="72652DB4" w14:textId="77777777" w:rsidTr="0016789A">
        <w:trPr>
          <w:trHeight w:val="17"/>
        </w:trPr>
        <w:tc>
          <w:tcPr>
            <w:tcW w:w="1703" w:type="pct"/>
            <w:noWrap/>
            <w:hideMark/>
          </w:tcPr>
          <w:p w14:paraId="5A89EFEF" w14:textId="77777777" w:rsidR="00F546AE" w:rsidRPr="0016789A" w:rsidRDefault="00F546AE">
            <w:pPr>
              <w:spacing w:after="0" w:line="240" w:lineRule="auto"/>
              <w:rPr>
                <w:rFonts w:asciiTheme="minorHAnsi" w:eastAsia="Aptos" w:hAnsiTheme="minorHAnsi" w:cs="Arial"/>
                <w:szCs w:val="22"/>
              </w:rPr>
            </w:pPr>
            <w:r w:rsidRPr="0016789A">
              <w:rPr>
                <w:rFonts w:asciiTheme="minorHAnsi" w:eastAsia="Aptos" w:hAnsiTheme="minorHAnsi" w:cs="Arial"/>
                <w:szCs w:val="22"/>
              </w:rPr>
              <w:t>No</w:t>
            </w:r>
          </w:p>
        </w:tc>
        <w:tc>
          <w:tcPr>
            <w:tcW w:w="3297" w:type="pct"/>
            <w:noWrap/>
            <w:hideMark/>
          </w:tcPr>
          <w:p w14:paraId="78C6818E" w14:textId="77777777" w:rsidR="00F546AE" w:rsidRPr="0016789A" w:rsidRDefault="00F546AE">
            <w:pPr>
              <w:spacing w:after="0" w:line="240" w:lineRule="auto"/>
              <w:jc w:val="right"/>
              <w:rPr>
                <w:rFonts w:asciiTheme="minorHAnsi" w:eastAsia="Aptos" w:hAnsiTheme="minorHAnsi" w:cs="Arial"/>
                <w:szCs w:val="22"/>
              </w:rPr>
            </w:pPr>
            <w:r w:rsidRPr="0016789A">
              <w:rPr>
                <w:rFonts w:asciiTheme="minorHAnsi" w:eastAsia="Aptos" w:hAnsiTheme="minorHAnsi" w:cs="Arial"/>
                <w:szCs w:val="22"/>
              </w:rPr>
              <w:t>46.3%</w:t>
            </w:r>
          </w:p>
        </w:tc>
      </w:tr>
      <w:tr w:rsidR="00F546AE" w:rsidRPr="0016789A" w14:paraId="466BBF54" w14:textId="77777777" w:rsidTr="0016789A">
        <w:trPr>
          <w:trHeight w:val="17"/>
        </w:trPr>
        <w:tc>
          <w:tcPr>
            <w:tcW w:w="1703" w:type="pct"/>
            <w:noWrap/>
            <w:hideMark/>
          </w:tcPr>
          <w:p w14:paraId="2E973BD1" w14:textId="77777777" w:rsidR="00F546AE" w:rsidRPr="0016789A" w:rsidRDefault="00F546AE">
            <w:pPr>
              <w:spacing w:after="0" w:line="240" w:lineRule="auto"/>
              <w:rPr>
                <w:rFonts w:asciiTheme="minorHAnsi" w:eastAsia="Aptos" w:hAnsiTheme="minorHAnsi" w:cs="Arial"/>
                <w:szCs w:val="22"/>
              </w:rPr>
            </w:pPr>
            <w:r w:rsidRPr="0016789A">
              <w:rPr>
                <w:rFonts w:asciiTheme="minorHAnsi" w:eastAsia="Aptos" w:hAnsiTheme="minorHAnsi" w:cs="Arial"/>
                <w:szCs w:val="22"/>
              </w:rPr>
              <w:t>Unsure</w:t>
            </w:r>
          </w:p>
        </w:tc>
        <w:tc>
          <w:tcPr>
            <w:tcW w:w="3297" w:type="pct"/>
            <w:noWrap/>
            <w:hideMark/>
          </w:tcPr>
          <w:p w14:paraId="7ADE8A47" w14:textId="77777777" w:rsidR="00F546AE" w:rsidRPr="0016789A" w:rsidRDefault="00F546AE">
            <w:pPr>
              <w:spacing w:after="0" w:line="240" w:lineRule="auto"/>
              <w:jc w:val="right"/>
              <w:rPr>
                <w:rFonts w:asciiTheme="minorHAnsi" w:eastAsia="Aptos" w:hAnsiTheme="minorHAnsi" w:cs="Arial"/>
                <w:szCs w:val="22"/>
              </w:rPr>
            </w:pPr>
            <w:r w:rsidRPr="0016789A">
              <w:rPr>
                <w:rFonts w:asciiTheme="minorHAnsi" w:eastAsia="Aptos" w:hAnsiTheme="minorHAnsi" w:cs="Arial"/>
                <w:szCs w:val="22"/>
              </w:rPr>
              <w:t>13.8%</w:t>
            </w:r>
          </w:p>
        </w:tc>
      </w:tr>
      <w:tr w:rsidR="00F546AE" w:rsidRPr="0016789A" w14:paraId="45294351" w14:textId="77777777" w:rsidTr="0016789A">
        <w:trPr>
          <w:trHeight w:val="17"/>
        </w:trPr>
        <w:tc>
          <w:tcPr>
            <w:tcW w:w="1703" w:type="pct"/>
            <w:noWrap/>
            <w:hideMark/>
          </w:tcPr>
          <w:p w14:paraId="2E97C4F8" w14:textId="77777777" w:rsidR="00F546AE" w:rsidRPr="0016789A" w:rsidRDefault="00F546AE">
            <w:pPr>
              <w:spacing w:after="0" w:line="240" w:lineRule="auto"/>
              <w:rPr>
                <w:rFonts w:asciiTheme="minorHAnsi" w:eastAsia="Aptos" w:hAnsiTheme="minorHAnsi" w:cs="Arial"/>
                <w:szCs w:val="22"/>
              </w:rPr>
            </w:pPr>
            <w:r w:rsidRPr="0016789A">
              <w:rPr>
                <w:rFonts w:asciiTheme="minorHAnsi" w:eastAsia="Aptos" w:hAnsiTheme="minorHAnsi" w:cs="Arial"/>
                <w:szCs w:val="22"/>
              </w:rPr>
              <w:lastRenderedPageBreak/>
              <w:t>Yes</w:t>
            </w:r>
          </w:p>
        </w:tc>
        <w:tc>
          <w:tcPr>
            <w:tcW w:w="3297" w:type="pct"/>
            <w:noWrap/>
            <w:hideMark/>
          </w:tcPr>
          <w:p w14:paraId="0F6C3490" w14:textId="77777777" w:rsidR="00F546AE" w:rsidRPr="0016789A" w:rsidRDefault="00F546AE">
            <w:pPr>
              <w:spacing w:after="0" w:line="240" w:lineRule="auto"/>
              <w:jc w:val="right"/>
              <w:rPr>
                <w:rFonts w:asciiTheme="minorHAnsi" w:eastAsia="Aptos" w:hAnsiTheme="minorHAnsi" w:cs="Arial"/>
                <w:szCs w:val="22"/>
              </w:rPr>
            </w:pPr>
            <w:r w:rsidRPr="0016789A">
              <w:rPr>
                <w:rFonts w:asciiTheme="minorHAnsi" w:eastAsia="Aptos" w:hAnsiTheme="minorHAnsi" w:cs="Arial"/>
                <w:szCs w:val="22"/>
              </w:rPr>
              <w:t>40.0%</w:t>
            </w:r>
          </w:p>
        </w:tc>
      </w:tr>
      <w:tr w:rsidR="00F546AE" w:rsidRPr="0016789A" w14:paraId="75494636" w14:textId="77777777" w:rsidTr="0016789A">
        <w:trPr>
          <w:trHeight w:val="17"/>
        </w:trPr>
        <w:tc>
          <w:tcPr>
            <w:tcW w:w="1703" w:type="pct"/>
            <w:shd w:val="clear" w:color="auto" w:fill="F2F2F2" w:themeFill="background1" w:themeFillShade="F2"/>
            <w:noWrap/>
            <w:hideMark/>
          </w:tcPr>
          <w:p w14:paraId="5B084D72" w14:textId="77777777" w:rsidR="00F546AE" w:rsidRPr="0016789A" w:rsidRDefault="00F546AE">
            <w:pPr>
              <w:spacing w:after="0" w:line="240" w:lineRule="auto"/>
              <w:rPr>
                <w:rFonts w:asciiTheme="minorHAnsi" w:eastAsia="Aptos" w:hAnsiTheme="minorHAnsi" w:cs="Arial"/>
                <w:b/>
                <w:szCs w:val="22"/>
              </w:rPr>
            </w:pPr>
            <w:r w:rsidRPr="0016789A">
              <w:rPr>
                <w:rFonts w:asciiTheme="minorHAnsi" w:eastAsia="Aptos" w:hAnsiTheme="minorHAnsi" w:cs="Arial"/>
                <w:b/>
                <w:szCs w:val="22"/>
              </w:rPr>
              <w:t>Total</w:t>
            </w:r>
          </w:p>
        </w:tc>
        <w:tc>
          <w:tcPr>
            <w:tcW w:w="3297" w:type="pct"/>
            <w:shd w:val="clear" w:color="auto" w:fill="F2F2F2" w:themeFill="background1" w:themeFillShade="F2"/>
            <w:noWrap/>
            <w:hideMark/>
          </w:tcPr>
          <w:p w14:paraId="688FF224" w14:textId="77777777" w:rsidR="00F546AE" w:rsidRPr="0016789A" w:rsidRDefault="00F546AE">
            <w:pPr>
              <w:spacing w:after="0" w:line="240" w:lineRule="auto"/>
              <w:jc w:val="right"/>
              <w:rPr>
                <w:rFonts w:asciiTheme="minorHAnsi" w:eastAsia="Aptos" w:hAnsiTheme="minorHAnsi" w:cs="Arial"/>
                <w:b/>
                <w:szCs w:val="22"/>
              </w:rPr>
            </w:pPr>
            <w:r w:rsidRPr="0016789A">
              <w:rPr>
                <w:rFonts w:asciiTheme="minorHAnsi" w:eastAsia="Aptos" w:hAnsiTheme="minorHAnsi" w:cs="Arial"/>
                <w:b/>
                <w:szCs w:val="22"/>
              </w:rPr>
              <w:t>100.0%</w:t>
            </w:r>
          </w:p>
        </w:tc>
      </w:tr>
    </w:tbl>
    <w:p w14:paraId="0FD4FF58" w14:textId="3B37DC41" w:rsidR="00F546AE" w:rsidRPr="00D3701D" w:rsidRDefault="00F546AE" w:rsidP="00687683">
      <w:pPr>
        <w:pStyle w:val="SWAHeading3"/>
        <w:rPr>
          <w:b/>
        </w:rPr>
      </w:pPr>
      <w:bookmarkStart w:id="164" w:name="_Toc228256154"/>
      <w:r w:rsidRPr="00687683">
        <w:t>HSR elections</w:t>
      </w:r>
      <w:bookmarkEnd w:id="164"/>
    </w:p>
    <w:p w14:paraId="79549EB8" w14:textId="77777777" w:rsidR="00F546AE" w:rsidRPr="000F1DE6" w:rsidRDefault="00F546AE" w:rsidP="000D26F7">
      <w:pPr>
        <w:pStyle w:val="Caption"/>
      </w:pPr>
      <w:r w:rsidRPr="000F1DE6">
        <w:t>Data Table 10 Worker responses on how HSR was appointed</w:t>
      </w:r>
    </w:p>
    <w:p w14:paraId="3E59EB2F" w14:textId="77777777" w:rsidR="00F546AE" w:rsidRPr="000F1DE6" w:rsidRDefault="00F546AE" w:rsidP="00BC0B4B">
      <w:pPr>
        <w:pStyle w:val="Paragraph"/>
        <w:spacing w:after="240"/>
        <w:rPr>
          <w:rFonts w:eastAsia="Aptos" w:cs="Arial"/>
          <w:kern w:val="2"/>
          <w:szCs w:val="22"/>
          <w14:ligatures w14:val="standardContextual"/>
        </w:rPr>
      </w:pPr>
      <w:r w:rsidRPr="000F1DE6">
        <w:rPr>
          <w:rFonts w:eastAsia="Aptos" w:cs="Arial"/>
          <w:kern w:val="2"/>
          <w:szCs w:val="22"/>
          <w14:ligatures w14:val="standardContextual"/>
        </w:rPr>
        <w:t>Workers were asked to indicate how their HSR was appointed, using the prompt: ‘My HSR is someone who was</w:t>
      </w:r>
      <w:r>
        <w:rPr>
          <w:rFonts w:eastAsia="Aptos" w:cs="Arial"/>
          <w:kern w:val="2"/>
          <w:szCs w:val="22"/>
          <w14:ligatures w14:val="standardContextual"/>
        </w:rPr>
        <w:t xml:space="preserve"> </w:t>
      </w:r>
      <w:r w:rsidRPr="000F1DE6">
        <w:rPr>
          <w:rFonts w:eastAsia="Aptos" w:cs="Arial"/>
          <w:kern w:val="2"/>
          <w:szCs w:val="22"/>
          <w14:ligatures w14:val="standardContextual"/>
        </w:rPr>
        <w:t>…’</w:t>
      </w:r>
    </w:p>
    <w:tbl>
      <w:tblPr>
        <w:tblStyle w:val="Style9"/>
        <w:tblW w:w="5000" w:type="pct"/>
        <w:tblCellMar>
          <w:top w:w="57" w:type="dxa"/>
          <w:bottom w:w="57" w:type="dxa"/>
        </w:tblCellMar>
        <w:tblLook w:val="04A0" w:firstRow="1" w:lastRow="0" w:firstColumn="1" w:lastColumn="0" w:noHBand="0" w:noVBand="1"/>
        <w:tblCaption w:val="Data Table 10 Worker responses on how HSR was appointed"/>
        <w:tblDescription w:val="A table outlining worker responses about how their HSR was appointed, using the prompt: ‘My HSR is someone who was …’ 46.8% responded their HSR was elected by workers. 36.4% did not know. 16.8% responded the HSR was asked to do the role by a manager. &#10;"/>
      </w:tblPr>
      <w:tblGrid>
        <w:gridCol w:w="4964"/>
        <w:gridCol w:w="4788"/>
      </w:tblGrid>
      <w:tr w:rsidR="00F546AE" w:rsidRPr="0016789A" w14:paraId="27CB571B" w14:textId="77777777" w:rsidTr="0016789A">
        <w:trPr>
          <w:trHeight w:val="27"/>
        </w:trPr>
        <w:tc>
          <w:tcPr>
            <w:tcW w:w="2545" w:type="pct"/>
            <w:shd w:val="clear" w:color="auto" w:fill="F2F2F2" w:themeFill="background1" w:themeFillShade="F2"/>
            <w:noWrap/>
            <w:hideMark/>
          </w:tcPr>
          <w:p w14:paraId="1AA04B1C" w14:textId="77777777" w:rsidR="00F546AE" w:rsidRPr="0016789A" w:rsidRDefault="00F546AE">
            <w:pPr>
              <w:spacing w:after="0" w:line="240" w:lineRule="auto"/>
              <w:rPr>
                <w:rFonts w:asciiTheme="minorHAnsi" w:eastAsia="Aptos" w:hAnsiTheme="minorHAnsi" w:cs="Arial"/>
                <w:b/>
                <w:szCs w:val="22"/>
              </w:rPr>
            </w:pPr>
            <w:r w:rsidRPr="0016789A">
              <w:rPr>
                <w:rFonts w:asciiTheme="minorHAnsi" w:eastAsia="Aptos" w:hAnsiTheme="minorHAnsi" w:cs="Arial"/>
                <w:b/>
                <w:szCs w:val="22"/>
              </w:rPr>
              <w:t>Response</w:t>
            </w:r>
          </w:p>
        </w:tc>
        <w:tc>
          <w:tcPr>
            <w:tcW w:w="2455" w:type="pct"/>
            <w:shd w:val="clear" w:color="auto" w:fill="F2F2F2" w:themeFill="background1" w:themeFillShade="F2"/>
            <w:noWrap/>
            <w:hideMark/>
          </w:tcPr>
          <w:p w14:paraId="126E2D44" w14:textId="77777777" w:rsidR="00F546AE" w:rsidRPr="0016789A" w:rsidRDefault="00F546AE">
            <w:pPr>
              <w:spacing w:after="0" w:line="240" w:lineRule="auto"/>
              <w:jc w:val="right"/>
              <w:rPr>
                <w:rFonts w:asciiTheme="minorHAnsi" w:eastAsia="Aptos" w:hAnsiTheme="minorHAnsi" w:cs="Arial"/>
                <w:b/>
                <w:szCs w:val="22"/>
              </w:rPr>
            </w:pPr>
            <w:r w:rsidRPr="0016789A">
              <w:rPr>
                <w:rFonts w:asciiTheme="minorHAnsi" w:eastAsia="Aptos" w:hAnsiTheme="minorHAnsi" w:cs="Arial"/>
                <w:b/>
                <w:szCs w:val="22"/>
              </w:rPr>
              <w:t>Percentage of worker responses (%)</w:t>
            </w:r>
          </w:p>
        </w:tc>
      </w:tr>
      <w:tr w:rsidR="00F546AE" w:rsidRPr="0016789A" w14:paraId="6EFFC3A7" w14:textId="77777777" w:rsidTr="0016789A">
        <w:trPr>
          <w:trHeight w:val="17"/>
        </w:trPr>
        <w:tc>
          <w:tcPr>
            <w:tcW w:w="2545" w:type="pct"/>
            <w:noWrap/>
            <w:hideMark/>
          </w:tcPr>
          <w:p w14:paraId="3ED972A3" w14:textId="77777777" w:rsidR="00F546AE" w:rsidRPr="0016789A" w:rsidRDefault="00F546AE">
            <w:pPr>
              <w:spacing w:after="0" w:line="240" w:lineRule="auto"/>
              <w:rPr>
                <w:rFonts w:asciiTheme="minorHAnsi" w:eastAsia="Aptos" w:hAnsiTheme="minorHAnsi" w:cs="Arial"/>
                <w:szCs w:val="22"/>
              </w:rPr>
            </w:pPr>
            <w:r w:rsidRPr="0016789A">
              <w:rPr>
                <w:rFonts w:asciiTheme="minorHAnsi" w:eastAsia="Aptos" w:hAnsiTheme="minorHAnsi" w:cs="Arial"/>
                <w:szCs w:val="22"/>
              </w:rPr>
              <w:t>Elected by workers</w:t>
            </w:r>
          </w:p>
        </w:tc>
        <w:tc>
          <w:tcPr>
            <w:tcW w:w="2455" w:type="pct"/>
            <w:noWrap/>
            <w:hideMark/>
          </w:tcPr>
          <w:p w14:paraId="370FAA29" w14:textId="77777777" w:rsidR="00F546AE" w:rsidRPr="0016789A" w:rsidRDefault="00F546AE">
            <w:pPr>
              <w:spacing w:after="0" w:line="240" w:lineRule="auto"/>
              <w:jc w:val="right"/>
              <w:rPr>
                <w:rFonts w:asciiTheme="minorHAnsi" w:eastAsia="Aptos" w:hAnsiTheme="minorHAnsi" w:cs="Arial"/>
                <w:szCs w:val="22"/>
              </w:rPr>
            </w:pPr>
            <w:r w:rsidRPr="0016789A">
              <w:rPr>
                <w:rFonts w:asciiTheme="minorHAnsi" w:eastAsia="Aptos" w:hAnsiTheme="minorHAnsi" w:cs="Arial"/>
                <w:szCs w:val="22"/>
              </w:rPr>
              <w:t>46.8%</w:t>
            </w:r>
          </w:p>
        </w:tc>
      </w:tr>
      <w:tr w:rsidR="00F546AE" w:rsidRPr="0016789A" w14:paraId="7B55F70C" w14:textId="77777777" w:rsidTr="0016789A">
        <w:trPr>
          <w:trHeight w:val="17"/>
        </w:trPr>
        <w:tc>
          <w:tcPr>
            <w:tcW w:w="2545" w:type="pct"/>
            <w:noWrap/>
            <w:hideMark/>
          </w:tcPr>
          <w:p w14:paraId="6501D8EC" w14:textId="77777777" w:rsidR="00F546AE" w:rsidRPr="0016789A" w:rsidRDefault="00F546AE">
            <w:pPr>
              <w:spacing w:after="0" w:line="240" w:lineRule="auto"/>
              <w:rPr>
                <w:rFonts w:asciiTheme="minorHAnsi" w:eastAsia="Aptos" w:hAnsiTheme="minorHAnsi" w:cs="Arial"/>
                <w:szCs w:val="22"/>
              </w:rPr>
            </w:pPr>
            <w:r w:rsidRPr="0016789A">
              <w:rPr>
                <w:rFonts w:asciiTheme="minorHAnsi" w:eastAsia="Aptos" w:hAnsiTheme="minorHAnsi" w:cs="Arial"/>
                <w:szCs w:val="22"/>
              </w:rPr>
              <w:t>I do not know</w:t>
            </w:r>
          </w:p>
        </w:tc>
        <w:tc>
          <w:tcPr>
            <w:tcW w:w="2455" w:type="pct"/>
            <w:noWrap/>
            <w:hideMark/>
          </w:tcPr>
          <w:p w14:paraId="12EBCE4C" w14:textId="77777777" w:rsidR="00F546AE" w:rsidRPr="0016789A" w:rsidRDefault="00F546AE">
            <w:pPr>
              <w:spacing w:after="0" w:line="240" w:lineRule="auto"/>
              <w:jc w:val="right"/>
              <w:rPr>
                <w:rFonts w:asciiTheme="minorHAnsi" w:eastAsia="Aptos" w:hAnsiTheme="minorHAnsi" w:cs="Arial"/>
                <w:szCs w:val="22"/>
              </w:rPr>
            </w:pPr>
            <w:r w:rsidRPr="0016789A">
              <w:rPr>
                <w:rFonts w:asciiTheme="minorHAnsi" w:eastAsia="Aptos" w:hAnsiTheme="minorHAnsi" w:cs="Arial"/>
                <w:szCs w:val="22"/>
              </w:rPr>
              <w:t>36.4%</w:t>
            </w:r>
          </w:p>
        </w:tc>
      </w:tr>
      <w:tr w:rsidR="00F546AE" w:rsidRPr="0016789A" w14:paraId="07DE97DF" w14:textId="77777777" w:rsidTr="0016789A">
        <w:trPr>
          <w:trHeight w:val="17"/>
        </w:trPr>
        <w:tc>
          <w:tcPr>
            <w:tcW w:w="2545" w:type="pct"/>
            <w:noWrap/>
          </w:tcPr>
          <w:p w14:paraId="2BF38577" w14:textId="77777777" w:rsidR="00F546AE" w:rsidRPr="0016789A" w:rsidRDefault="00F546AE">
            <w:pPr>
              <w:spacing w:after="0" w:line="240" w:lineRule="auto"/>
              <w:rPr>
                <w:rFonts w:asciiTheme="minorHAnsi" w:eastAsia="Aptos" w:hAnsiTheme="minorHAnsi" w:cs="Arial"/>
                <w:szCs w:val="22"/>
              </w:rPr>
            </w:pPr>
            <w:r w:rsidRPr="0016789A">
              <w:rPr>
                <w:rFonts w:asciiTheme="minorHAnsi" w:eastAsia="Aptos" w:hAnsiTheme="minorHAnsi" w:cs="Arial"/>
                <w:szCs w:val="22"/>
              </w:rPr>
              <w:t>Asked to do the role by a manager</w:t>
            </w:r>
          </w:p>
        </w:tc>
        <w:tc>
          <w:tcPr>
            <w:tcW w:w="2455" w:type="pct"/>
            <w:noWrap/>
          </w:tcPr>
          <w:p w14:paraId="3853F4AE" w14:textId="77777777" w:rsidR="00F546AE" w:rsidRPr="0016789A" w:rsidRDefault="00F546AE">
            <w:pPr>
              <w:spacing w:after="0" w:line="240" w:lineRule="auto"/>
              <w:jc w:val="right"/>
              <w:rPr>
                <w:rFonts w:asciiTheme="minorHAnsi" w:eastAsia="Aptos" w:hAnsiTheme="minorHAnsi" w:cs="Arial"/>
                <w:szCs w:val="22"/>
              </w:rPr>
            </w:pPr>
            <w:r w:rsidRPr="0016789A">
              <w:rPr>
                <w:rFonts w:asciiTheme="minorHAnsi" w:eastAsia="Aptos" w:hAnsiTheme="minorHAnsi" w:cs="Arial"/>
                <w:szCs w:val="22"/>
              </w:rPr>
              <w:t>16.8%</w:t>
            </w:r>
          </w:p>
        </w:tc>
      </w:tr>
      <w:tr w:rsidR="00F546AE" w:rsidRPr="0016789A" w14:paraId="34AFBB4F" w14:textId="77777777" w:rsidTr="0016789A">
        <w:trPr>
          <w:trHeight w:val="310"/>
        </w:trPr>
        <w:tc>
          <w:tcPr>
            <w:tcW w:w="2545" w:type="pct"/>
            <w:shd w:val="clear" w:color="auto" w:fill="F2F2F2" w:themeFill="background1" w:themeFillShade="F2"/>
            <w:noWrap/>
            <w:hideMark/>
          </w:tcPr>
          <w:p w14:paraId="017505A1" w14:textId="77777777" w:rsidR="00F546AE" w:rsidRPr="0016789A" w:rsidRDefault="00F546AE">
            <w:pPr>
              <w:spacing w:after="0" w:line="240" w:lineRule="auto"/>
              <w:rPr>
                <w:rFonts w:asciiTheme="minorHAnsi" w:eastAsia="Aptos" w:hAnsiTheme="minorHAnsi" w:cs="Arial"/>
                <w:b/>
                <w:szCs w:val="22"/>
              </w:rPr>
            </w:pPr>
            <w:r w:rsidRPr="0016789A">
              <w:rPr>
                <w:rFonts w:asciiTheme="minorHAnsi" w:eastAsia="Aptos" w:hAnsiTheme="minorHAnsi" w:cs="Arial"/>
                <w:b/>
                <w:szCs w:val="22"/>
              </w:rPr>
              <w:t>Total</w:t>
            </w:r>
          </w:p>
        </w:tc>
        <w:tc>
          <w:tcPr>
            <w:tcW w:w="2455" w:type="pct"/>
            <w:shd w:val="clear" w:color="auto" w:fill="F2F2F2" w:themeFill="background1" w:themeFillShade="F2"/>
            <w:noWrap/>
            <w:hideMark/>
          </w:tcPr>
          <w:p w14:paraId="0165AD23" w14:textId="77777777" w:rsidR="00F546AE" w:rsidRPr="0016789A" w:rsidRDefault="00F546AE">
            <w:pPr>
              <w:spacing w:after="0" w:line="240" w:lineRule="auto"/>
              <w:jc w:val="right"/>
              <w:rPr>
                <w:rFonts w:asciiTheme="minorHAnsi" w:eastAsia="Aptos" w:hAnsiTheme="minorHAnsi" w:cs="Arial"/>
                <w:b/>
                <w:szCs w:val="22"/>
              </w:rPr>
            </w:pPr>
            <w:r w:rsidRPr="0016789A">
              <w:rPr>
                <w:rFonts w:asciiTheme="minorHAnsi" w:eastAsia="Aptos" w:hAnsiTheme="minorHAnsi" w:cs="Arial"/>
                <w:b/>
                <w:szCs w:val="22"/>
              </w:rPr>
              <w:t>100.0%</w:t>
            </w:r>
          </w:p>
        </w:tc>
      </w:tr>
    </w:tbl>
    <w:p w14:paraId="0D11EBC9" w14:textId="77777777" w:rsidR="00F21CE3" w:rsidRDefault="00F546AE" w:rsidP="00687683">
      <w:pPr>
        <w:pStyle w:val="SWAHeading3"/>
      </w:pPr>
      <w:bookmarkStart w:id="165" w:name="_Toc228256155"/>
      <w:r w:rsidRPr="00687683">
        <w:t>Establishing an HSC</w:t>
      </w:r>
      <w:bookmarkEnd w:id="165"/>
    </w:p>
    <w:p w14:paraId="5A511674" w14:textId="0FD58311" w:rsidR="00F546AE" w:rsidRPr="000F1DE6" w:rsidRDefault="00F546AE" w:rsidP="000D26F7">
      <w:pPr>
        <w:pStyle w:val="Caption"/>
      </w:pPr>
      <w:r w:rsidRPr="000F1DE6">
        <w:t>Data Table 11 Worker responses on establishing an HSC</w:t>
      </w:r>
    </w:p>
    <w:p w14:paraId="73D7393A" w14:textId="0459D010" w:rsidR="00F546AE" w:rsidRPr="000F1DE6" w:rsidRDefault="00F546AE" w:rsidP="00BC0B4B">
      <w:pPr>
        <w:pStyle w:val="Paragraph"/>
        <w:spacing w:after="240"/>
        <w:rPr>
          <w:rFonts w:eastAsia="Aptos" w:cs="Arial"/>
          <w:kern w:val="2"/>
          <w:szCs w:val="22"/>
          <w14:ligatures w14:val="standardContextual"/>
        </w:rPr>
      </w:pPr>
      <w:r w:rsidRPr="000F1DE6">
        <w:rPr>
          <w:rFonts w:eastAsia="Aptos" w:cs="Arial"/>
          <w:kern w:val="2"/>
          <w:szCs w:val="22"/>
          <w14:ligatures w14:val="standardContextual"/>
        </w:rPr>
        <w:t>Workers were asked whether they agreed, disagreed, or were unsure about the statement:</w:t>
      </w:r>
      <w:r w:rsidRPr="000F1DE6">
        <w:rPr>
          <w:rFonts w:eastAsia="Aptos" w:cs="Arial"/>
          <w:iCs/>
          <w:kern w:val="2"/>
          <w:szCs w:val="22"/>
          <w14:ligatures w14:val="standardContextual"/>
        </w:rPr>
        <w:t xml:space="preserve"> ‘My workplace has an HSC with elected members and members of the committee’</w:t>
      </w:r>
      <w:r w:rsidR="000641ED">
        <w:rPr>
          <w:rFonts w:eastAsia="Aptos" w:cs="Arial"/>
          <w:iCs/>
          <w:kern w:val="2"/>
          <w:szCs w:val="22"/>
          <w14:ligatures w14:val="standardContextual"/>
        </w:rPr>
        <w:t>.</w:t>
      </w:r>
    </w:p>
    <w:tbl>
      <w:tblPr>
        <w:tblStyle w:val="Style9"/>
        <w:tblW w:w="5000" w:type="pct"/>
        <w:tblCellMar>
          <w:top w:w="57" w:type="dxa"/>
          <w:bottom w:w="57" w:type="dxa"/>
        </w:tblCellMar>
        <w:tblLook w:val="04A0" w:firstRow="1" w:lastRow="0" w:firstColumn="1" w:lastColumn="0" w:noHBand="0" w:noVBand="1"/>
        <w:tblCaption w:val="Data Table 11 Worker responses on establishing an HSC"/>
        <w:tblDescription w:val="Table outlinig survey responses from workers about the statement: ‘My workplace has an HSC with elected members and members of the committee.’ About half responded yes, about a quarter each responded 'no' or 'unsure'. &#10;"/>
      </w:tblPr>
      <w:tblGrid>
        <w:gridCol w:w="2257"/>
        <w:gridCol w:w="7495"/>
      </w:tblGrid>
      <w:tr w:rsidR="00F546AE" w:rsidRPr="0016789A" w14:paraId="2B93537A" w14:textId="77777777" w:rsidTr="0016789A">
        <w:trPr>
          <w:trHeight w:val="27"/>
        </w:trPr>
        <w:tc>
          <w:tcPr>
            <w:tcW w:w="1157" w:type="pct"/>
            <w:shd w:val="clear" w:color="auto" w:fill="F2F2F2" w:themeFill="background1" w:themeFillShade="F2"/>
            <w:noWrap/>
            <w:hideMark/>
          </w:tcPr>
          <w:p w14:paraId="22BB6527" w14:textId="77777777" w:rsidR="00F546AE" w:rsidRPr="0016789A" w:rsidRDefault="00F546AE">
            <w:pPr>
              <w:spacing w:after="0" w:line="240" w:lineRule="auto"/>
              <w:rPr>
                <w:rFonts w:asciiTheme="minorHAnsi" w:eastAsia="Aptos" w:hAnsiTheme="minorHAnsi" w:cs="Arial"/>
                <w:b/>
                <w:szCs w:val="22"/>
              </w:rPr>
            </w:pPr>
            <w:r w:rsidRPr="0016789A">
              <w:rPr>
                <w:rFonts w:asciiTheme="minorHAnsi" w:eastAsia="Aptos" w:hAnsiTheme="minorHAnsi" w:cs="Arial"/>
                <w:b/>
                <w:szCs w:val="22"/>
              </w:rPr>
              <w:t>Response</w:t>
            </w:r>
          </w:p>
        </w:tc>
        <w:tc>
          <w:tcPr>
            <w:tcW w:w="3843" w:type="pct"/>
            <w:shd w:val="clear" w:color="auto" w:fill="F2F2F2" w:themeFill="background1" w:themeFillShade="F2"/>
            <w:noWrap/>
            <w:hideMark/>
          </w:tcPr>
          <w:p w14:paraId="0A243F0C" w14:textId="77777777" w:rsidR="00F546AE" w:rsidRPr="0016789A" w:rsidRDefault="00F546AE">
            <w:pPr>
              <w:spacing w:after="0" w:line="240" w:lineRule="auto"/>
              <w:jc w:val="right"/>
              <w:rPr>
                <w:rFonts w:asciiTheme="minorHAnsi" w:eastAsia="Aptos" w:hAnsiTheme="minorHAnsi" w:cs="Arial"/>
                <w:b/>
                <w:szCs w:val="22"/>
              </w:rPr>
            </w:pPr>
            <w:r w:rsidRPr="0016789A">
              <w:rPr>
                <w:rFonts w:asciiTheme="minorHAnsi" w:eastAsia="Aptos" w:hAnsiTheme="minorHAnsi" w:cs="Arial"/>
                <w:b/>
                <w:szCs w:val="22"/>
              </w:rPr>
              <w:t>Percentage of worker responses (%)</w:t>
            </w:r>
          </w:p>
        </w:tc>
      </w:tr>
      <w:tr w:rsidR="00F546AE" w:rsidRPr="0016789A" w14:paraId="2F8B2037" w14:textId="77777777" w:rsidTr="0016789A">
        <w:trPr>
          <w:trHeight w:val="17"/>
        </w:trPr>
        <w:tc>
          <w:tcPr>
            <w:tcW w:w="1157" w:type="pct"/>
            <w:noWrap/>
            <w:hideMark/>
          </w:tcPr>
          <w:p w14:paraId="4DF637ED" w14:textId="77777777" w:rsidR="00F546AE" w:rsidRPr="0016789A" w:rsidRDefault="00F546AE">
            <w:pPr>
              <w:spacing w:after="0" w:line="240" w:lineRule="auto"/>
              <w:rPr>
                <w:rFonts w:asciiTheme="minorHAnsi" w:eastAsia="Aptos" w:hAnsiTheme="minorHAnsi" w:cs="Arial"/>
                <w:szCs w:val="22"/>
              </w:rPr>
            </w:pPr>
            <w:r w:rsidRPr="0016789A">
              <w:rPr>
                <w:rFonts w:asciiTheme="minorHAnsi" w:eastAsia="Aptos" w:hAnsiTheme="minorHAnsi" w:cs="Arial"/>
                <w:szCs w:val="22"/>
              </w:rPr>
              <w:t>No</w:t>
            </w:r>
          </w:p>
        </w:tc>
        <w:tc>
          <w:tcPr>
            <w:tcW w:w="3843" w:type="pct"/>
            <w:noWrap/>
            <w:hideMark/>
          </w:tcPr>
          <w:p w14:paraId="79CC594F" w14:textId="77777777" w:rsidR="00F546AE" w:rsidRPr="0016789A" w:rsidRDefault="00F546AE">
            <w:pPr>
              <w:spacing w:after="0" w:line="240" w:lineRule="auto"/>
              <w:jc w:val="right"/>
              <w:rPr>
                <w:rFonts w:asciiTheme="minorHAnsi" w:eastAsia="Aptos" w:hAnsiTheme="minorHAnsi" w:cs="Arial"/>
                <w:szCs w:val="22"/>
              </w:rPr>
            </w:pPr>
            <w:r w:rsidRPr="0016789A">
              <w:rPr>
                <w:rFonts w:asciiTheme="minorHAnsi" w:eastAsia="Aptos" w:hAnsiTheme="minorHAnsi" w:cs="Arial"/>
                <w:szCs w:val="22"/>
              </w:rPr>
              <w:t>27.0%</w:t>
            </w:r>
          </w:p>
        </w:tc>
      </w:tr>
      <w:tr w:rsidR="00F546AE" w:rsidRPr="0016789A" w14:paraId="6D5C195E" w14:textId="77777777" w:rsidTr="0016789A">
        <w:trPr>
          <w:trHeight w:val="17"/>
        </w:trPr>
        <w:tc>
          <w:tcPr>
            <w:tcW w:w="1157" w:type="pct"/>
            <w:noWrap/>
            <w:hideMark/>
          </w:tcPr>
          <w:p w14:paraId="075FA2D8" w14:textId="77777777" w:rsidR="00F546AE" w:rsidRPr="0016789A" w:rsidRDefault="00F546AE">
            <w:pPr>
              <w:spacing w:after="0" w:line="240" w:lineRule="auto"/>
              <w:rPr>
                <w:rFonts w:asciiTheme="minorHAnsi" w:eastAsia="Aptos" w:hAnsiTheme="minorHAnsi" w:cs="Arial"/>
                <w:szCs w:val="22"/>
              </w:rPr>
            </w:pPr>
            <w:r w:rsidRPr="0016789A">
              <w:rPr>
                <w:rFonts w:asciiTheme="minorHAnsi" w:eastAsia="Aptos" w:hAnsiTheme="minorHAnsi" w:cs="Arial"/>
                <w:szCs w:val="22"/>
              </w:rPr>
              <w:t>Unsure</w:t>
            </w:r>
          </w:p>
        </w:tc>
        <w:tc>
          <w:tcPr>
            <w:tcW w:w="3843" w:type="pct"/>
            <w:noWrap/>
            <w:hideMark/>
          </w:tcPr>
          <w:p w14:paraId="7AF6E92B" w14:textId="77777777" w:rsidR="00F546AE" w:rsidRPr="0016789A" w:rsidRDefault="00F546AE">
            <w:pPr>
              <w:spacing w:after="0" w:line="240" w:lineRule="auto"/>
              <w:jc w:val="right"/>
              <w:rPr>
                <w:rFonts w:asciiTheme="minorHAnsi" w:eastAsia="Aptos" w:hAnsiTheme="minorHAnsi" w:cs="Arial"/>
                <w:szCs w:val="22"/>
              </w:rPr>
            </w:pPr>
            <w:r w:rsidRPr="0016789A">
              <w:rPr>
                <w:rFonts w:asciiTheme="minorHAnsi" w:eastAsia="Aptos" w:hAnsiTheme="minorHAnsi" w:cs="Arial"/>
                <w:szCs w:val="22"/>
              </w:rPr>
              <w:t>24.4%</w:t>
            </w:r>
          </w:p>
        </w:tc>
      </w:tr>
      <w:tr w:rsidR="00F546AE" w:rsidRPr="0016789A" w14:paraId="7D237660" w14:textId="77777777" w:rsidTr="0016789A">
        <w:trPr>
          <w:trHeight w:val="17"/>
        </w:trPr>
        <w:tc>
          <w:tcPr>
            <w:tcW w:w="1157" w:type="pct"/>
            <w:noWrap/>
            <w:hideMark/>
          </w:tcPr>
          <w:p w14:paraId="01462A02" w14:textId="77777777" w:rsidR="00F546AE" w:rsidRPr="0016789A" w:rsidRDefault="00F546AE">
            <w:pPr>
              <w:spacing w:after="0" w:line="240" w:lineRule="auto"/>
              <w:rPr>
                <w:rFonts w:asciiTheme="minorHAnsi" w:eastAsia="Aptos" w:hAnsiTheme="minorHAnsi" w:cs="Arial"/>
                <w:szCs w:val="22"/>
              </w:rPr>
            </w:pPr>
            <w:r w:rsidRPr="0016789A">
              <w:rPr>
                <w:rFonts w:asciiTheme="minorHAnsi" w:eastAsia="Aptos" w:hAnsiTheme="minorHAnsi" w:cs="Arial"/>
                <w:szCs w:val="22"/>
              </w:rPr>
              <w:t>Yes</w:t>
            </w:r>
          </w:p>
        </w:tc>
        <w:tc>
          <w:tcPr>
            <w:tcW w:w="3843" w:type="pct"/>
            <w:noWrap/>
            <w:hideMark/>
          </w:tcPr>
          <w:p w14:paraId="7BC62FC4" w14:textId="77777777" w:rsidR="00F546AE" w:rsidRPr="0016789A" w:rsidRDefault="00F546AE">
            <w:pPr>
              <w:spacing w:after="0" w:line="240" w:lineRule="auto"/>
              <w:jc w:val="right"/>
              <w:rPr>
                <w:rFonts w:asciiTheme="minorHAnsi" w:eastAsia="Aptos" w:hAnsiTheme="minorHAnsi" w:cs="Arial"/>
                <w:szCs w:val="22"/>
              </w:rPr>
            </w:pPr>
            <w:r w:rsidRPr="0016789A">
              <w:rPr>
                <w:rFonts w:asciiTheme="minorHAnsi" w:eastAsia="Aptos" w:hAnsiTheme="minorHAnsi" w:cs="Arial"/>
                <w:szCs w:val="22"/>
              </w:rPr>
              <w:t>49.2%</w:t>
            </w:r>
          </w:p>
        </w:tc>
      </w:tr>
      <w:tr w:rsidR="00F546AE" w:rsidRPr="0016789A" w14:paraId="2A22E56A" w14:textId="77777777" w:rsidTr="0016789A">
        <w:trPr>
          <w:trHeight w:val="17"/>
        </w:trPr>
        <w:tc>
          <w:tcPr>
            <w:tcW w:w="1157" w:type="pct"/>
            <w:shd w:val="clear" w:color="auto" w:fill="F2F2F2" w:themeFill="background1" w:themeFillShade="F2"/>
            <w:noWrap/>
            <w:hideMark/>
          </w:tcPr>
          <w:p w14:paraId="54813623" w14:textId="77777777" w:rsidR="00F546AE" w:rsidRPr="0016789A" w:rsidRDefault="00F546AE">
            <w:pPr>
              <w:spacing w:after="0" w:line="240" w:lineRule="auto"/>
              <w:rPr>
                <w:rFonts w:asciiTheme="minorHAnsi" w:eastAsia="Aptos" w:hAnsiTheme="minorHAnsi" w:cs="Arial"/>
                <w:b/>
                <w:szCs w:val="22"/>
              </w:rPr>
            </w:pPr>
            <w:r w:rsidRPr="0016789A">
              <w:rPr>
                <w:rFonts w:asciiTheme="minorHAnsi" w:eastAsia="Aptos" w:hAnsiTheme="minorHAnsi" w:cs="Arial"/>
                <w:b/>
                <w:szCs w:val="22"/>
              </w:rPr>
              <w:t>Total</w:t>
            </w:r>
          </w:p>
        </w:tc>
        <w:tc>
          <w:tcPr>
            <w:tcW w:w="3843" w:type="pct"/>
            <w:shd w:val="clear" w:color="auto" w:fill="F2F2F2" w:themeFill="background1" w:themeFillShade="F2"/>
            <w:noWrap/>
            <w:hideMark/>
          </w:tcPr>
          <w:p w14:paraId="7C06C0E4" w14:textId="77777777" w:rsidR="00F546AE" w:rsidRPr="0016789A" w:rsidRDefault="00F546AE">
            <w:pPr>
              <w:spacing w:after="0" w:line="240" w:lineRule="auto"/>
              <w:jc w:val="right"/>
              <w:rPr>
                <w:rFonts w:asciiTheme="minorHAnsi" w:eastAsia="Aptos" w:hAnsiTheme="minorHAnsi" w:cs="Arial"/>
                <w:b/>
                <w:szCs w:val="22"/>
              </w:rPr>
            </w:pPr>
            <w:r w:rsidRPr="0016789A">
              <w:rPr>
                <w:rFonts w:asciiTheme="minorHAnsi" w:eastAsia="Aptos" w:hAnsiTheme="minorHAnsi" w:cs="Arial"/>
                <w:b/>
                <w:szCs w:val="22"/>
              </w:rPr>
              <w:t>100.0%</w:t>
            </w:r>
          </w:p>
        </w:tc>
      </w:tr>
    </w:tbl>
    <w:p w14:paraId="338BA818" w14:textId="77777777" w:rsidR="000D26F7" w:rsidRDefault="000D26F7" w:rsidP="000D26F7">
      <w:pPr>
        <w:pStyle w:val="Paragraph"/>
      </w:pPr>
      <w:bookmarkStart w:id="166" w:name="_Toc228256156"/>
      <w:r>
        <w:br w:type="page"/>
      </w:r>
    </w:p>
    <w:p w14:paraId="671AF85A" w14:textId="4C38A12A" w:rsidR="00F546AE" w:rsidRPr="000F1DE6" w:rsidRDefault="00F546AE" w:rsidP="00F546AE">
      <w:pPr>
        <w:pStyle w:val="SWAHeading3"/>
        <w:rPr>
          <w:color w:val="2B0A99"/>
        </w:rPr>
      </w:pPr>
      <w:r w:rsidRPr="000F1DE6">
        <w:rPr>
          <w:color w:val="2B0A99"/>
        </w:rPr>
        <w:lastRenderedPageBreak/>
        <w:t>Consultation</w:t>
      </w:r>
      <w:bookmarkEnd w:id="166"/>
    </w:p>
    <w:p w14:paraId="2779062A" w14:textId="77777777" w:rsidR="00F21CE3" w:rsidRDefault="00F546AE" w:rsidP="00F546AE">
      <w:pPr>
        <w:pStyle w:val="Paragraph"/>
        <w:rPr>
          <w:rFonts w:eastAsia="Aptos" w:cs="Arial"/>
          <w:iCs/>
          <w:kern w:val="2"/>
          <w:szCs w:val="22"/>
          <w14:ligatures w14:val="standardContextual"/>
        </w:rPr>
      </w:pPr>
      <w:r w:rsidRPr="000F1DE6">
        <w:rPr>
          <w:rFonts w:eastAsia="Aptos" w:cs="Arial"/>
          <w:kern w:val="2"/>
          <w:szCs w:val="22"/>
          <w14:ligatures w14:val="standardContextual"/>
        </w:rPr>
        <w:t xml:space="preserve">Workers were asked to respond to the statement: ‘I am always consulted on WHS matters that are likely to directly affect </w:t>
      </w:r>
      <w:r w:rsidRPr="000F1DE6">
        <w:rPr>
          <w:rFonts w:eastAsia="Aptos" w:cs="Arial"/>
          <w:iCs/>
          <w:kern w:val="2"/>
          <w:szCs w:val="22"/>
          <w14:ligatures w14:val="standardContextual"/>
        </w:rPr>
        <w:t>me’, with results disaggregated by business size.</w:t>
      </w:r>
    </w:p>
    <w:p w14:paraId="16CEFC19" w14:textId="77777777" w:rsidR="00F21CE3" w:rsidRDefault="00F546AE" w:rsidP="000D26F7">
      <w:pPr>
        <w:pStyle w:val="Paragraph"/>
        <w:rPr>
          <w:rFonts w:eastAsia="Aptos" w:cs="Arial"/>
          <w:kern w:val="2"/>
          <w:szCs w:val="22"/>
          <w14:ligatures w14:val="standardContextual"/>
        </w:rPr>
      </w:pPr>
      <w:r w:rsidRPr="000F1DE6">
        <w:rPr>
          <w:rFonts w:eastAsia="Aptos" w:cs="Arial"/>
          <w:kern w:val="2"/>
          <w:szCs w:val="22"/>
          <w14:ligatures w14:val="standardContextual"/>
        </w:rPr>
        <w:t>Consultation on WHS matters was most commonly reported by workers in medium-sized businesses (41.7%), followed by small businesses (38.8%) and large businesses (26.3%). In contrast, workers in large businesses most frequently reported that they are not always consulted (66.5%).</w:t>
      </w:r>
    </w:p>
    <w:p w14:paraId="15C3D16E" w14:textId="68EE3E0A" w:rsidR="00F546AE" w:rsidRPr="000F1DE6" w:rsidRDefault="00F546AE" w:rsidP="000D26F7">
      <w:pPr>
        <w:pStyle w:val="Caption"/>
      </w:pPr>
      <w:r w:rsidRPr="000F1DE6">
        <w:t>Figure 5 Worker responses to raising WHS issues, by business size</w:t>
      </w:r>
    </w:p>
    <w:p w14:paraId="14463072" w14:textId="762AFB6D" w:rsidR="00F546AE" w:rsidRPr="000F1DE6" w:rsidRDefault="00F546AE" w:rsidP="00BC0B4B">
      <w:pPr>
        <w:pStyle w:val="Paragraph"/>
        <w:rPr>
          <w:rFonts w:eastAsia="Aptos"/>
        </w:rPr>
      </w:pPr>
      <w:r w:rsidRPr="000F1DE6">
        <w:rPr>
          <w:rFonts w:eastAsia="Aptos"/>
        </w:rPr>
        <w:t xml:space="preserve">Workers were asked to select the statements that apply to them, in response to the prompt (with responses disaggregated by business size): </w:t>
      </w:r>
      <w:r w:rsidRPr="000F1DE6">
        <w:rPr>
          <w:rFonts w:eastAsia="Aptos"/>
          <w:iCs/>
        </w:rPr>
        <w:t>‘If I have a concern o</w:t>
      </w:r>
      <w:r w:rsidR="00FE455E">
        <w:rPr>
          <w:rFonts w:eastAsia="Aptos"/>
          <w:iCs/>
        </w:rPr>
        <w:t>r</w:t>
      </w:r>
      <w:r w:rsidRPr="000F1DE6">
        <w:rPr>
          <w:rFonts w:eastAsia="Aptos"/>
          <w:iCs/>
        </w:rPr>
        <w:t xml:space="preserve"> issue about WHS in my workplace, I feel</w:t>
      </w:r>
      <w:r>
        <w:rPr>
          <w:rFonts w:eastAsia="Aptos"/>
          <w:iCs/>
        </w:rPr>
        <w:t xml:space="preserve"> </w:t>
      </w:r>
      <w:r w:rsidRPr="000F1DE6">
        <w:rPr>
          <w:rFonts w:eastAsia="Aptos"/>
          <w:iCs/>
        </w:rPr>
        <w:t>…’</w:t>
      </w:r>
    </w:p>
    <w:p w14:paraId="63BD43D4" w14:textId="1B5417C7" w:rsidR="00F546AE" w:rsidRPr="000F1DE6" w:rsidRDefault="00BC0B4B" w:rsidP="00BC0B4B">
      <w:pPr>
        <w:pStyle w:val="Paragraph"/>
        <w:rPr>
          <w:rFonts w:eastAsia="Aptos"/>
          <w:sz w:val="24"/>
        </w:rPr>
      </w:pPr>
      <w:r>
        <w:rPr>
          <w:noProof/>
        </w:rPr>
        <w:drawing>
          <wp:inline distT="0" distB="0" distL="0" distR="0" wp14:anchorId="0420F4A1" wp14:editId="0EFFBB5A">
            <wp:extent cx="5979160" cy="3486150"/>
            <wp:effectExtent l="0" t="0" r="2540" b="0"/>
            <wp:docPr id="1068874335" name="Chart 1" descr="Figure 5 Worker responses to raising WHS issues, by business size. &#10;&#10;Graph outlining workers responses to the statements that apply to them, in response to the prompt (with responses disaggregated by business size): ‘If I have a concern or issue about WHS in my workplace, I feel …’. Refer to description below.&#10;">
              <a:extLst xmlns:a="http://schemas.openxmlformats.org/drawingml/2006/main">
                <a:ext uri="{FF2B5EF4-FFF2-40B4-BE49-F238E27FC236}">
                  <a16:creationId xmlns:a16="http://schemas.microsoft.com/office/drawing/2014/main" id="{571681C9-CB73-4B98-B6B7-E81AE1ABEBB7}"/>
                </a:ext>
                <a:ext uri="{147F2762-F138-4A5C-976F-8EAC2B608ADB}">
                  <a16:predDERef xmlns:a16="http://schemas.microsoft.com/office/drawing/2014/main" pred="{C8F7EB3B-BC3B-D489-61B8-286C5CFAA87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inline>
        </w:drawing>
      </w:r>
    </w:p>
    <w:p w14:paraId="6EE0019E" w14:textId="77777777" w:rsidR="00F546AE" w:rsidRPr="00BC0B4B" w:rsidRDefault="00F546AE" w:rsidP="00BC0B4B">
      <w:pPr>
        <w:pStyle w:val="Paragraph"/>
        <w:rPr>
          <w:rFonts w:eastAsia="Aptos"/>
          <w:i/>
          <w:sz w:val="24"/>
        </w:rPr>
      </w:pPr>
      <w:r w:rsidRPr="00BC0B4B">
        <w:rPr>
          <w:rFonts w:eastAsia="Aptos"/>
          <w:i/>
          <w:sz w:val="20"/>
          <w:szCs w:val="20"/>
        </w:rPr>
        <w:t>*Note: Respondents were able to select more than one response.</w:t>
      </w:r>
    </w:p>
    <w:p w14:paraId="4A445970" w14:textId="77777777" w:rsidR="00F21CE3" w:rsidRDefault="00F546AE" w:rsidP="005C6B35">
      <w:pPr>
        <w:pStyle w:val="Paragraph"/>
        <w:rPr>
          <w:rFonts w:eastAsia="Aptos"/>
        </w:rPr>
      </w:pPr>
      <w:r w:rsidRPr="000F1DE6">
        <w:rPr>
          <w:rFonts w:eastAsia="Aptos"/>
        </w:rPr>
        <w:t>Figure 5: Workers in small businesses are most confident that their employer will listen and take action on safety issues (55.1%). Workers in large businesses are more likely to say they can contact an HSR (45.7%). Workers in medium and large businesses more commonly report access to an HSC (32.2% and 33.5% respectively). Across all business sizes, there is a substantial proportion of workers that still say they do not know what to do or who to talk to about safety concerns.</w:t>
      </w:r>
    </w:p>
    <w:p w14:paraId="2B47F82D" w14:textId="58337CB7" w:rsidR="00181B1E" w:rsidRDefault="00181B1E">
      <w:pPr>
        <w:spacing w:after="200" w:line="276" w:lineRule="auto"/>
        <w:contextualSpacing w:val="0"/>
        <w:rPr>
          <w:rFonts w:asciiTheme="minorHAnsi" w:eastAsia="Aptos" w:hAnsiTheme="minorHAnsi" w:cs="Arial"/>
          <w:kern w:val="2"/>
          <w14:ligatures w14:val="standardContextual"/>
        </w:rPr>
      </w:pPr>
      <w:r>
        <w:rPr>
          <w:rFonts w:asciiTheme="minorHAnsi" w:eastAsia="Aptos" w:hAnsiTheme="minorHAnsi" w:cs="Arial"/>
          <w:kern w:val="2"/>
          <w14:ligatures w14:val="standardContextual"/>
        </w:rPr>
        <w:br w:type="page"/>
      </w:r>
    </w:p>
    <w:p w14:paraId="65F13095" w14:textId="77777777" w:rsidR="00F546AE" w:rsidRPr="000F1DE6" w:rsidRDefault="00F546AE" w:rsidP="000D26F7">
      <w:pPr>
        <w:pStyle w:val="Caption"/>
        <w:rPr>
          <w:i/>
        </w:rPr>
      </w:pPr>
      <w:r w:rsidRPr="000F1DE6">
        <w:lastRenderedPageBreak/>
        <w:t>Figure 6 Distribution of worker responses by HSR presence to managerial WHS awareness</w:t>
      </w:r>
    </w:p>
    <w:p w14:paraId="70E1A250" w14:textId="75B6153A" w:rsidR="00F546AE" w:rsidRPr="000F1DE6" w:rsidRDefault="00F546AE" w:rsidP="00F546AE">
      <w:pPr>
        <w:pStyle w:val="Paragraph"/>
        <w:rPr>
          <w:rFonts w:eastAsia="Aptos" w:cs="Arial"/>
          <w:kern w:val="2"/>
          <w:szCs w:val="22"/>
          <w14:ligatures w14:val="standardContextual"/>
        </w:rPr>
      </w:pPr>
      <w:r w:rsidRPr="000F1DE6">
        <w:rPr>
          <w:rFonts w:eastAsia="Aptos" w:cs="Arial"/>
          <w:kern w:val="2"/>
          <w:szCs w:val="22"/>
          <w14:ligatures w14:val="standardContextual"/>
        </w:rPr>
        <w:t>Workers were asked to indicate their level of agreement with the statement, with responses disaggregated by presence of an HSR: ‘I feel that my manager is aware of their WHS responsibilities, and the necessary actions required to maintain WHS’</w:t>
      </w:r>
      <w:r w:rsidR="000641ED">
        <w:rPr>
          <w:rFonts w:eastAsia="Aptos" w:cs="Arial"/>
          <w:kern w:val="2"/>
          <w:szCs w:val="22"/>
          <w14:ligatures w14:val="standardContextual"/>
        </w:rPr>
        <w:t>.</w:t>
      </w:r>
    </w:p>
    <w:p w14:paraId="3895AA40" w14:textId="6ADCD58D" w:rsidR="00F546AE" w:rsidRPr="000F1DE6" w:rsidRDefault="00BC0B4B" w:rsidP="00BC0B4B">
      <w:pPr>
        <w:pStyle w:val="Paragraph"/>
        <w:rPr>
          <w:rFonts w:eastAsia="Aptos"/>
        </w:rPr>
      </w:pPr>
      <w:r>
        <w:rPr>
          <w:noProof/>
        </w:rPr>
        <w:drawing>
          <wp:inline distT="0" distB="0" distL="0" distR="0" wp14:anchorId="34F96B0C" wp14:editId="23B87C8C">
            <wp:extent cx="6099810" cy="2819400"/>
            <wp:effectExtent l="0" t="0" r="0" b="0"/>
            <wp:docPr id="1128028431" name="Chart 1" descr="Figure 6 Distribution of worker responses by HSR presence to managerial WHS awareness. &#10;&#10;Graph outlining workers' level of agreement with the statement, with responses disaggregated by presence of an HSR: ‘I feel that my manager is aware of their WHS responsibilities, and the necessary actions required to maintain WHS.' Refer to description below.&#10;">
              <a:extLst xmlns:a="http://schemas.openxmlformats.org/drawingml/2006/main">
                <a:ext uri="{FF2B5EF4-FFF2-40B4-BE49-F238E27FC236}">
                  <a16:creationId xmlns:a16="http://schemas.microsoft.com/office/drawing/2014/main" id="{D69DE584-05EC-475D-BD07-927B94504E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8"/>
              </a:graphicData>
            </a:graphic>
          </wp:inline>
        </w:drawing>
      </w:r>
    </w:p>
    <w:p w14:paraId="0A85D992" w14:textId="19B75C27" w:rsidR="00F546AE" w:rsidRPr="000D26F7" w:rsidRDefault="00F546AE" w:rsidP="000D26F7">
      <w:pPr>
        <w:pStyle w:val="Paragraph"/>
        <w:rPr>
          <w:rFonts w:eastAsia="Aptos"/>
        </w:rPr>
      </w:pPr>
      <w:r w:rsidRPr="000F1DE6">
        <w:rPr>
          <w:rFonts w:eastAsia="Aptos"/>
        </w:rPr>
        <w:t>Figure 6: Workers who reported having an HSR showed the highest level of agreement that their manager is aware of WHS responsibilities, with 58.3% responding ‘Yes’. This compares with 46.1% of workers who said they do not have an HSR, and 33.3% of workers who were unsure if they have an HSR. Workers who were unsure whether an HSR was present reported poorer perceptions of managerial WHS awareness, with nearly half (47.5%) indicating that their manager is not aware of WHS responsibilities and 19.4% reporting they were unsure.</w:t>
      </w:r>
    </w:p>
    <w:p w14:paraId="4BF87C2C" w14:textId="77777777" w:rsidR="00F546AE" w:rsidRPr="000F1DE6" w:rsidRDefault="00F546AE" w:rsidP="000D26F7">
      <w:pPr>
        <w:pStyle w:val="Caption"/>
      </w:pPr>
      <w:r w:rsidRPr="000F1DE6">
        <w:t>Figure 7 Worker responses to consultation, by manager awareness of WHS responsibilities</w:t>
      </w:r>
    </w:p>
    <w:p w14:paraId="16C07E6D" w14:textId="27EFFCE5" w:rsidR="00F546AE" w:rsidRPr="000F1DE6" w:rsidRDefault="00BC0B4B" w:rsidP="00BC0B4B">
      <w:pPr>
        <w:pStyle w:val="Paragraph"/>
        <w:rPr>
          <w:rFonts w:eastAsia="Aptos"/>
        </w:rPr>
      </w:pPr>
      <w:r>
        <w:rPr>
          <w:noProof/>
        </w:rPr>
        <w:drawing>
          <wp:inline distT="0" distB="0" distL="0" distR="0" wp14:anchorId="3CC5A44D" wp14:editId="152E450A">
            <wp:extent cx="6192520" cy="2828925"/>
            <wp:effectExtent l="0" t="0" r="0" b="0"/>
            <wp:docPr id="1036731422" name="Chart 1" descr="Figure 7 Worker responses to consultation, by manager awareness of WHS responsibilities. &#10;&#10;Graph outlining worker views on whether their manager is unaware of WHS responsibilities. Refer to description below.">
              <a:extLst xmlns:a="http://schemas.openxmlformats.org/drawingml/2006/main">
                <a:ext uri="{FF2B5EF4-FFF2-40B4-BE49-F238E27FC236}">
                  <a16:creationId xmlns:a16="http://schemas.microsoft.com/office/drawing/2014/main" id="{6AF4B29D-133B-9951-AFBD-1D10227FC7B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9"/>
              </a:graphicData>
            </a:graphic>
          </wp:inline>
        </w:drawing>
      </w:r>
    </w:p>
    <w:p w14:paraId="417C6DAB" w14:textId="77777777" w:rsidR="00F546AE" w:rsidRPr="000F1DE6" w:rsidRDefault="00F546AE" w:rsidP="00BC0B4B">
      <w:pPr>
        <w:pStyle w:val="Paragraph"/>
        <w:rPr>
          <w:rFonts w:eastAsia="Aptos"/>
        </w:rPr>
      </w:pPr>
      <w:r w:rsidRPr="000F1DE6">
        <w:rPr>
          <w:rFonts w:eastAsia="Aptos"/>
        </w:rPr>
        <w:t>Figure 7:</w:t>
      </w:r>
      <w:r w:rsidRPr="000F1DE6">
        <w:rPr>
          <w:rFonts w:eastAsia="Aptos"/>
          <w:b/>
        </w:rPr>
        <w:t xml:space="preserve"> </w:t>
      </w:r>
      <w:r w:rsidRPr="000F1DE6">
        <w:rPr>
          <w:rFonts w:eastAsia="Aptos"/>
        </w:rPr>
        <w:t>Among workers who felt their manager is unaware of WHS responsibilities, 91.7% reported not always being consulted. Where workers were unsure about manager awareness, 71.6% reported not always being consulted. Among workers who said their manager is aware, 52.5% reported always being consulted, while 39.7% reported not always being consulted.</w:t>
      </w:r>
    </w:p>
    <w:p w14:paraId="5D880A6B" w14:textId="77777777" w:rsidR="00F546AE" w:rsidRPr="000F1DE6" w:rsidRDefault="00F546AE" w:rsidP="00132A82">
      <w:pPr>
        <w:pStyle w:val="SWAHeading4"/>
        <w:spacing w:after="120"/>
      </w:pPr>
      <w:r w:rsidRPr="000F1DE6">
        <w:lastRenderedPageBreak/>
        <w:t>Jurisdictional variations</w:t>
      </w:r>
    </w:p>
    <w:p w14:paraId="470487C8" w14:textId="1529B857" w:rsidR="00F546AE" w:rsidRPr="000F1DE6" w:rsidRDefault="00F546AE" w:rsidP="00F546AE">
      <w:pPr>
        <w:pStyle w:val="Paragraph"/>
        <w:rPr>
          <w:rFonts w:eastAsia="Aptos" w:cs="Arial"/>
          <w:i/>
          <w:kern w:val="2"/>
          <w:szCs w:val="22"/>
          <w14:ligatures w14:val="standardContextual"/>
        </w:rPr>
      </w:pPr>
      <w:r w:rsidRPr="000F1DE6">
        <w:rPr>
          <w:rFonts w:eastAsia="Aptos" w:cs="Arial"/>
          <w:kern w:val="2"/>
          <w:szCs w:val="22"/>
          <w14:ligatures w14:val="standardContextual"/>
        </w:rPr>
        <w:t>Workers were asked to select responses that applied to them in relation to the statement: ‘There are slightly different WHS laws in each state and territory across Australia’</w:t>
      </w:r>
      <w:r w:rsidR="00A53E87">
        <w:rPr>
          <w:rFonts w:eastAsia="Aptos" w:cs="Arial"/>
          <w:kern w:val="2"/>
          <w:szCs w:val="22"/>
          <w14:ligatures w14:val="standardContextual"/>
        </w:rPr>
        <w:t>.</w:t>
      </w:r>
      <w:r w:rsidRPr="000F1DE6">
        <w:rPr>
          <w:rFonts w:eastAsia="Aptos" w:cs="Arial"/>
          <w:kern w:val="2"/>
          <w:szCs w:val="22"/>
          <w14:ligatures w14:val="standardContextual"/>
        </w:rPr>
        <w:t xml:space="preserve"> Note: respondents could select more than one answer.</w:t>
      </w:r>
    </w:p>
    <w:p w14:paraId="13D9E67D" w14:textId="77777777" w:rsidR="00F546AE" w:rsidRPr="000F1DE6" w:rsidRDefault="00F546AE" w:rsidP="00F546AE">
      <w:pPr>
        <w:pStyle w:val="Paragraph"/>
        <w:rPr>
          <w:rFonts w:eastAsia="Aptos" w:cs="Arial"/>
          <w:kern w:val="2"/>
          <w:szCs w:val="22"/>
          <w14:ligatures w14:val="standardContextual"/>
        </w:rPr>
      </w:pPr>
      <w:r>
        <w:rPr>
          <w:rFonts w:eastAsia="Aptos" w:cs="Arial"/>
          <w:kern w:val="2"/>
          <w:szCs w:val="22"/>
          <w14:ligatures w14:val="standardContextual"/>
        </w:rPr>
        <w:t xml:space="preserve">A total of </w:t>
      </w:r>
      <w:r w:rsidRPr="000F1DE6">
        <w:rPr>
          <w:rFonts w:eastAsia="Aptos" w:cs="Arial"/>
          <w:kern w:val="2"/>
          <w:szCs w:val="22"/>
          <w14:ligatures w14:val="standardContextual"/>
        </w:rPr>
        <w:t>38.0% of respondents indicated that they were aware of the differences and can navigate them, while 28.4% did not know there were different laws. A further 25.3% find the differences difficult to navigate, and 17.0% said the differences do not impact them.</w:t>
      </w:r>
    </w:p>
    <w:p w14:paraId="296C134B" w14:textId="77777777" w:rsidR="00F546AE" w:rsidRPr="000F1DE6" w:rsidRDefault="00F546AE" w:rsidP="00F546AE">
      <w:pPr>
        <w:pStyle w:val="SWAHeading3"/>
        <w:rPr>
          <w:color w:val="2B0A99"/>
        </w:rPr>
      </w:pPr>
      <w:bookmarkStart w:id="167" w:name="_Toc228256157"/>
      <w:r w:rsidRPr="000F1DE6">
        <w:rPr>
          <w:color w:val="2B0A99"/>
        </w:rPr>
        <w:t>Feedback from HSRs</w:t>
      </w:r>
      <w:bookmarkEnd w:id="167"/>
    </w:p>
    <w:p w14:paraId="322CDB78" w14:textId="77777777" w:rsidR="00F546AE" w:rsidRPr="000F1DE6" w:rsidRDefault="00F546AE" w:rsidP="00132A82">
      <w:pPr>
        <w:pStyle w:val="Caption"/>
        <w:spacing w:before="120"/>
      </w:pPr>
      <w:r w:rsidRPr="000F1DE6">
        <w:t xml:space="preserve">Data Table 12 HSR </w:t>
      </w:r>
      <w:r w:rsidRPr="00D3503C">
        <w:t>responses: unde</w:t>
      </w:r>
      <w:r w:rsidRPr="000F1DE6">
        <w:t>rstanding HSR role and functions</w:t>
      </w:r>
    </w:p>
    <w:p w14:paraId="7DEC5F69" w14:textId="2AB68EA2" w:rsidR="00F546AE" w:rsidRPr="000F1DE6" w:rsidRDefault="00F546AE" w:rsidP="00F546AE">
      <w:pPr>
        <w:pStyle w:val="Paragraph"/>
        <w:rPr>
          <w:rFonts w:eastAsia="Aptos" w:cs="Arial"/>
          <w:kern w:val="2"/>
          <w:szCs w:val="22"/>
          <w14:ligatures w14:val="standardContextual"/>
        </w:rPr>
      </w:pPr>
      <w:r w:rsidRPr="000F1DE6">
        <w:rPr>
          <w:rFonts w:eastAsia="Aptos" w:cs="Arial"/>
          <w:kern w:val="2"/>
          <w:szCs w:val="22"/>
          <w14:ligatures w14:val="standardContextual"/>
        </w:rPr>
        <w:t>HSRs were asked to indicate their level of agreement with the statement ‘My role and functions as an HSR are clear and easy to understand’</w:t>
      </w:r>
      <w:r w:rsidR="00A53E87">
        <w:rPr>
          <w:rFonts w:eastAsia="Aptos" w:cs="Arial"/>
          <w:kern w:val="2"/>
          <w:szCs w:val="22"/>
          <w14:ligatures w14:val="standardContextual"/>
        </w:rPr>
        <w:t>.</w:t>
      </w:r>
    </w:p>
    <w:tbl>
      <w:tblPr>
        <w:tblStyle w:val="Style9"/>
        <w:tblW w:w="5000" w:type="pct"/>
        <w:tblCellMar>
          <w:top w:w="57" w:type="dxa"/>
          <w:bottom w:w="57" w:type="dxa"/>
        </w:tblCellMar>
        <w:tblLook w:val="04A0" w:firstRow="1" w:lastRow="0" w:firstColumn="1" w:lastColumn="0" w:noHBand="0" w:noVBand="1"/>
        <w:tblCaption w:val="Data Table 12 HSR responses: understanding HSR role and functions"/>
        <w:tblDescription w:val="Table outlining respnses from HSRs who were asked to indicate their level of agreement with the statement ‘My role and functions as an HSR are clear and easy to understand.’ 77.9% agreed with the statement. &#10;"/>
      </w:tblPr>
      <w:tblGrid>
        <w:gridCol w:w="2415"/>
        <w:gridCol w:w="7337"/>
      </w:tblGrid>
      <w:tr w:rsidR="00F546AE" w:rsidRPr="0016789A" w14:paraId="18C8CC22" w14:textId="77777777" w:rsidTr="0016789A">
        <w:trPr>
          <w:trHeight w:val="27"/>
        </w:trPr>
        <w:tc>
          <w:tcPr>
            <w:tcW w:w="1238" w:type="pct"/>
            <w:shd w:val="clear" w:color="auto" w:fill="F2F2F2" w:themeFill="background1" w:themeFillShade="F2"/>
            <w:noWrap/>
            <w:hideMark/>
          </w:tcPr>
          <w:p w14:paraId="701530A9" w14:textId="77777777" w:rsidR="00F546AE" w:rsidRPr="0016789A" w:rsidRDefault="00F546AE">
            <w:pPr>
              <w:spacing w:after="0" w:line="240" w:lineRule="auto"/>
              <w:rPr>
                <w:rFonts w:asciiTheme="minorHAnsi" w:eastAsia="Aptos" w:hAnsiTheme="minorHAnsi" w:cs="Arial"/>
                <w:b/>
                <w:szCs w:val="22"/>
              </w:rPr>
            </w:pPr>
            <w:r w:rsidRPr="0016789A">
              <w:rPr>
                <w:rFonts w:asciiTheme="minorHAnsi" w:eastAsia="Aptos" w:hAnsiTheme="minorHAnsi" w:cs="Arial"/>
                <w:b/>
                <w:szCs w:val="22"/>
              </w:rPr>
              <w:t>Response</w:t>
            </w:r>
          </w:p>
        </w:tc>
        <w:tc>
          <w:tcPr>
            <w:tcW w:w="3762" w:type="pct"/>
            <w:shd w:val="clear" w:color="auto" w:fill="F2F2F2" w:themeFill="background1" w:themeFillShade="F2"/>
            <w:noWrap/>
            <w:hideMark/>
          </w:tcPr>
          <w:p w14:paraId="77F8A46C" w14:textId="77777777" w:rsidR="00F546AE" w:rsidRPr="0016789A" w:rsidRDefault="00F546AE">
            <w:pPr>
              <w:spacing w:after="0" w:line="240" w:lineRule="auto"/>
              <w:jc w:val="right"/>
              <w:rPr>
                <w:rFonts w:asciiTheme="minorHAnsi" w:eastAsia="Aptos" w:hAnsiTheme="minorHAnsi" w:cs="Arial"/>
                <w:b/>
                <w:szCs w:val="22"/>
              </w:rPr>
            </w:pPr>
            <w:r w:rsidRPr="0016789A">
              <w:rPr>
                <w:rFonts w:asciiTheme="minorHAnsi" w:eastAsia="Aptos" w:hAnsiTheme="minorHAnsi" w:cs="Arial"/>
                <w:b/>
                <w:szCs w:val="22"/>
              </w:rPr>
              <w:t>Percentage of HSR responses (%)</w:t>
            </w:r>
          </w:p>
        </w:tc>
      </w:tr>
      <w:tr w:rsidR="00F546AE" w:rsidRPr="0016789A" w14:paraId="6CF34E32" w14:textId="77777777" w:rsidTr="0016789A">
        <w:trPr>
          <w:trHeight w:val="17"/>
        </w:trPr>
        <w:tc>
          <w:tcPr>
            <w:tcW w:w="1238" w:type="pct"/>
            <w:noWrap/>
            <w:hideMark/>
          </w:tcPr>
          <w:p w14:paraId="6A4BE26E" w14:textId="77777777" w:rsidR="00F546AE" w:rsidRPr="0016789A" w:rsidRDefault="00F546AE">
            <w:pPr>
              <w:spacing w:after="0" w:line="240" w:lineRule="auto"/>
              <w:rPr>
                <w:rFonts w:asciiTheme="minorHAnsi" w:eastAsia="Aptos" w:hAnsiTheme="minorHAnsi" w:cs="Arial"/>
                <w:szCs w:val="22"/>
              </w:rPr>
            </w:pPr>
            <w:r w:rsidRPr="0016789A">
              <w:rPr>
                <w:rFonts w:asciiTheme="minorHAnsi" w:eastAsia="Aptos" w:hAnsiTheme="minorHAnsi" w:cs="Arial"/>
                <w:szCs w:val="22"/>
              </w:rPr>
              <w:t>Disagree</w:t>
            </w:r>
          </w:p>
        </w:tc>
        <w:tc>
          <w:tcPr>
            <w:tcW w:w="3762" w:type="pct"/>
            <w:noWrap/>
            <w:hideMark/>
          </w:tcPr>
          <w:p w14:paraId="7C3A8AFF" w14:textId="77777777" w:rsidR="00F546AE" w:rsidRPr="0016789A" w:rsidRDefault="00F546AE">
            <w:pPr>
              <w:spacing w:after="0" w:line="240" w:lineRule="auto"/>
              <w:jc w:val="right"/>
              <w:rPr>
                <w:rFonts w:asciiTheme="minorHAnsi" w:eastAsia="Aptos" w:hAnsiTheme="minorHAnsi" w:cs="Arial"/>
                <w:szCs w:val="22"/>
              </w:rPr>
            </w:pPr>
            <w:r w:rsidRPr="0016789A">
              <w:rPr>
                <w:rFonts w:asciiTheme="minorHAnsi" w:eastAsia="Aptos" w:hAnsiTheme="minorHAnsi" w:cs="Arial"/>
                <w:szCs w:val="22"/>
              </w:rPr>
              <w:t>6.1%</w:t>
            </w:r>
          </w:p>
        </w:tc>
      </w:tr>
      <w:tr w:rsidR="00F546AE" w:rsidRPr="0016789A" w14:paraId="7B7FBCC4" w14:textId="77777777" w:rsidTr="0016789A">
        <w:trPr>
          <w:trHeight w:val="17"/>
        </w:trPr>
        <w:tc>
          <w:tcPr>
            <w:tcW w:w="1238" w:type="pct"/>
            <w:noWrap/>
            <w:hideMark/>
          </w:tcPr>
          <w:p w14:paraId="4D0BD437" w14:textId="77777777" w:rsidR="00F546AE" w:rsidRPr="0016789A" w:rsidRDefault="00F546AE">
            <w:pPr>
              <w:spacing w:after="0" w:line="240" w:lineRule="auto"/>
              <w:rPr>
                <w:rFonts w:asciiTheme="minorHAnsi" w:eastAsia="Aptos" w:hAnsiTheme="minorHAnsi" w:cs="Arial"/>
                <w:szCs w:val="22"/>
              </w:rPr>
            </w:pPr>
            <w:r w:rsidRPr="0016789A">
              <w:rPr>
                <w:rFonts w:asciiTheme="minorHAnsi" w:eastAsia="Aptos" w:hAnsiTheme="minorHAnsi" w:cs="Arial"/>
                <w:szCs w:val="22"/>
              </w:rPr>
              <w:t>Neutral</w:t>
            </w:r>
          </w:p>
        </w:tc>
        <w:tc>
          <w:tcPr>
            <w:tcW w:w="3762" w:type="pct"/>
            <w:noWrap/>
            <w:hideMark/>
          </w:tcPr>
          <w:p w14:paraId="59D92C27" w14:textId="77777777" w:rsidR="00F546AE" w:rsidRPr="0016789A" w:rsidRDefault="00F546AE">
            <w:pPr>
              <w:spacing w:after="0" w:line="240" w:lineRule="auto"/>
              <w:jc w:val="right"/>
              <w:rPr>
                <w:rFonts w:asciiTheme="minorHAnsi" w:eastAsia="Aptos" w:hAnsiTheme="minorHAnsi" w:cs="Arial"/>
                <w:szCs w:val="22"/>
              </w:rPr>
            </w:pPr>
            <w:r w:rsidRPr="0016789A">
              <w:rPr>
                <w:rFonts w:asciiTheme="minorHAnsi" w:eastAsia="Aptos" w:hAnsiTheme="minorHAnsi" w:cs="Arial"/>
                <w:szCs w:val="22"/>
              </w:rPr>
              <w:t>16.0%</w:t>
            </w:r>
          </w:p>
        </w:tc>
      </w:tr>
      <w:tr w:rsidR="00F546AE" w:rsidRPr="0016789A" w14:paraId="0CFFC989" w14:textId="77777777" w:rsidTr="0016789A">
        <w:trPr>
          <w:trHeight w:val="17"/>
        </w:trPr>
        <w:tc>
          <w:tcPr>
            <w:tcW w:w="1238" w:type="pct"/>
            <w:noWrap/>
            <w:hideMark/>
          </w:tcPr>
          <w:p w14:paraId="6E799AEB" w14:textId="77777777" w:rsidR="00F546AE" w:rsidRPr="0016789A" w:rsidRDefault="00F546AE">
            <w:pPr>
              <w:spacing w:after="0" w:line="240" w:lineRule="auto"/>
              <w:rPr>
                <w:rFonts w:asciiTheme="minorHAnsi" w:eastAsia="Aptos" w:hAnsiTheme="minorHAnsi" w:cs="Arial"/>
                <w:szCs w:val="22"/>
              </w:rPr>
            </w:pPr>
            <w:r w:rsidRPr="0016789A">
              <w:rPr>
                <w:rFonts w:asciiTheme="minorHAnsi" w:eastAsia="Aptos" w:hAnsiTheme="minorHAnsi" w:cs="Arial"/>
                <w:szCs w:val="22"/>
              </w:rPr>
              <w:t>Agree</w:t>
            </w:r>
          </w:p>
        </w:tc>
        <w:tc>
          <w:tcPr>
            <w:tcW w:w="3762" w:type="pct"/>
            <w:noWrap/>
            <w:hideMark/>
          </w:tcPr>
          <w:p w14:paraId="4A3922FB" w14:textId="77777777" w:rsidR="00F546AE" w:rsidRPr="0016789A" w:rsidRDefault="00F546AE">
            <w:pPr>
              <w:spacing w:after="0" w:line="240" w:lineRule="auto"/>
              <w:jc w:val="right"/>
              <w:rPr>
                <w:rFonts w:asciiTheme="minorHAnsi" w:eastAsia="Aptos" w:hAnsiTheme="minorHAnsi" w:cs="Arial"/>
                <w:szCs w:val="22"/>
              </w:rPr>
            </w:pPr>
            <w:r w:rsidRPr="0016789A">
              <w:rPr>
                <w:rFonts w:asciiTheme="minorHAnsi" w:eastAsia="Aptos" w:hAnsiTheme="minorHAnsi" w:cs="Arial"/>
                <w:szCs w:val="22"/>
              </w:rPr>
              <w:t>77.9%</w:t>
            </w:r>
          </w:p>
        </w:tc>
      </w:tr>
      <w:tr w:rsidR="00F546AE" w:rsidRPr="0016789A" w14:paraId="389BAC71" w14:textId="77777777" w:rsidTr="0016789A">
        <w:trPr>
          <w:trHeight w:val="17"/>
        </w:trPr>
        <w:tc>
          <w:tcPr>
            <w:tcW w:w="1238" w:type="pct"/>
            <w:shd w:val="clear" w:color="auto" w:fill="F2F2F2" w:themeFill="background1" w:themeFillShade="F2"/>
            <w:noWrap/>
            <w:hideMark/>
          </w:tcPr>
          <w:p w14:paraId="4BE331C9" w14:textId="77777777" w:rsidR="00F546AE" w:rsidRPr="0016789A" w:rsidRDefault="00F546AE">
            <w:pPr>
              <w:spacing w:line="240" w:lineRule="auto"/>
              <w:rPr>
                <w:rFonts w:asciiTheme="minorHAnsi" w:eastAsia="Aptos" w:hAnsiTheme="minorHAnsi" w:cs="Arial"/>
                <w:b/>
                <w:szCs w:val="22"/>
              </w:rPr>
            </w:pPr>
            <w:r w:rsidRPr="0016789A">
              <w:rPr>
                <w:rFonts w:asciiTheme="minorHAnsi" w:eastAsia="Aptos" w:hAnsiTheme="minorHAnsi" w:cs="Arial"/>
                <w:b/>
                <w:szCs w:val="22"/>
              </w:rPr>
              <w:t>Total</w:t>
            </w:r>
          </w:p>
        </w:tc>
        <w:tc>
          <w:tcPr>
            <w:tcW w:w="3762" w:type="pct"/>
            <w:shd w:val="clear" w:color="auto" w:fill="F2F2F2" w:themeFill="background1" w:themeFillShade="F2"/>
            <w:noWrap/>
            <w:hideMark/>
          </w:tcPr>
          <w:p w14:paraId="65F9BB84" w14:textId="77777777" w:rsidR="00F546AE" w:rsidRPr="0016789A" w:rsidRDefault="00F546AE">
            <w:pPr>
              <w:spacing w:line="240" w:lineRule="auto"/>
              <w:jc w:val="right"/>
              <w:rPr>
                <w:rFonts w:asciiTheme="minorHAnsi" w:eastAsia="Aptos" w:hAnsiTheme="minorHAnsi" w:cs="Arial"/>
                <w:b/>
                <w:szCs w:val="22"/>
              </w:rPr>
            </w:pPr>
            <w:r w:rsidRPr="0016789A">
              <w:rPr>
                <w:rFonts w:asciiTheme="minorHAnsi" w:eastAsia="Aptos" w:hAnsiTheme="minorHAnsi" w:cs="Arial"/>
                <w:b/>
                <w:szCs w:val="22"/>
              </w:rPr>
              <w:t>100.0%</w:t>
            </w:r>
          </w:p>
        </w:tc>
      </w:tr>
    </w:tbl>
    <w:p w14:paraId="16A64263" w14:textId="77777777" w:rsidR="00F546AE" w:rsidRPr="000F1DE6" w:rsidRDefault="00F546AE" w:rsidP="000D26F7">
      <w:pPr>
        <w:pStyle w:val="Caption"/>
      </w:pPr>
      <w:r w:rsidRPr="000F1DE6">
        <w:t>Data Table 13 HSR responses: encouraging HSR elections</w:t>
      </w:r>
    </w:p>
    <w:p w14:paraId="034DA097" w14:textId="4FC7D651" w:rsidR="00F546AE" w:rsidRPr="000F1DE6" w:rsidRDefault="00F546AE" w:rsidP="00F546AE">
      <w:pPr>
        <w:pStyle w:val="Paragraph"/>
        <w:rPr>
          <w:rFonts w:eastAsia="Aptos" w:cs="Arial"/>
          <w:kern w:val="2"/>
          <w:szCs w:val="22"/>
          <w14:ligatures w14:val="standardContextual"/>
        </w:rPr>
      </w:pPr>
      <w:r w:rsidRPr="000F1DE6">
        <w:rPr>
          <w:rFonts w:eastAsia="Aptos" w:cs="Arial"/>
          <w:kern w:val="2"/>
          <w:szCs w:val="22"/>
          <w14:ligatures w14:val="standardContextual"/>
        </w:rPr>
        <w:t>HSRs were asked whether they agree, disagree or are unsure in response to the statement: ‘My workplace encourages the election of HSRs’</w:t>
      </w:r>
      <w:r w:rsidR="00A53E87">
        <w:rPr>
          <w:rFonts w:eastAsia="Aptos" w:cs="Arial"/>
          <w:kern w:val="2"/>
          <w:szCs w:val="22"/>
          <w14:ligatures w14:val="standardContextual"/>
        </w:rPr>
        <w:t>.</w:t>
      </w:r>
    </w:p>
    <w:tbl>
      <w:tblPr>
        <w:tblStyle w:val="Style9"/>
        <w:tblW w:w="5000" w:type="pct"/>
        <w:tblCellMar>
          <w:top w:w="57" w:type="dxa"/>
          <w:bottom w:w="57" w:type="dxa"/>
        </w:tblCellMar>
        <w:tblLook w:val="04A0" w:firstRow="1" w:lastRow="0" w:firstColumn="1" w:lastColumn="0" w:noHBand="0" w:noVBand="1"/>
        <w:tblCaption w:val="Data Table 13 HSR responses: encouraging HSR elections"/>
        <w:tblDescription w:val="Table outlining respones from HSRs on whether they agree, disagree or are unsure in response to the statement: ‘My workplace encourages the election of HSRs.’ 66.2% responded 'yes', 25.1% responded 'no'. &#10;"/>
      </w:tblPr>
      <w:tblGrid>
        <w:gridCol w:w="2237"/>
        <w:gridCol w:w="7515"/>
      </w:tblGrid>
      <w:tr w:rsidR="00F546AE" w:rsidRPr="0016789A" w14:paraId="1A7A0AB0" w14:textId="77777777" w:rsidTr="0016789A">
        <w:trPr>
          <w:trHeight w:val="27"/>
        </w:trPr>
        <w:tc>
          <w:tcPr>
            <w:tcW w:w="1147" w:type="pct"/>
            <w:shd w:val="clear" w:color="auto" w:fill="F2F2F2" w:themeFill="background1" w:themeFillShade="F2"/>
            <w:noWrap/>
            <w:hideMark/>
          </w:tcPr>
          <w:p w14:paraId="5416856A" w14:textId="77777777" w:rsidR="00F546AE" w:rsidRPr="0016789A" w:rsidRDefault="00F546AE">
            <w:pPr>
              <w:spacing w:after="0" w:line="240" w:lineRule="auto"/>
              <w:rPr>
                <w:rFonts w:asciiTheme="minorHAnsi" w:eastAsia="Aptos" w:hAnsiTheme="minorHAnsi" w:cs="Arial"/>
                <w:b/>
                <w:szCs w:val="22"/>
              </w:rPr>
            </w:pPr>
            <w:r w:rsidRPr="0016789A">
              <w:rPr>
                <w:rFonts w:asciiTheme="minorHAnsi" w:eastAsia="Aptos" w:hAnsiTheme="minorHAnsi" w:cs="Arial"/>
                <w:b/>
                <w:szCs w:val="22"/>
              </w:rPr>
              <w:t>Response</w:t>
            </w:r>
          </w:p>
        </w:tc>
        <w:tc>
          <w:tcPr>
            <w:tcW w:w="3853" w:type="pct"/>
            <w:shd w:val="clear" w:color="auto" w:fill="F2F2F2" w:themeFill="background1" w:themeFillShade="F2"/>
            <w:noWrap/>
            <w:hideMark/>
          </w:tcPr>
          <w:p w14:paraId="7F091510" w14:textId="77777777" w:rsidR="00F546AE" w:rsidRPr="0016789A" w:rsidRDefault="00F546AE" w:rsidP="00BC0B4B">
            <w:pPr>
              <w:spacing w:after="0" w:line="240" w:lineRule="auto"/>
              <w:jc w:val="right"/>
              <w:rPr>
                <w:rFonts w:asciiTheme="minorHAnsi" w:eastAsia="Aptos" w:hAnsiTheme="minorHAnsi" w:cs="Arial"/>
                <w:szCs w:val="22"/>
              </w:rPr>
            </w:pPr>
            <w:r w:rsidRPr="0016789A">
              <w:rPr>
                <w:rFonts w:asciiTheme="minorHAnsi" w:eastAsia="Aptos" w:hAnsiTheme="minorHAnsi" w:cs="Arial"/>
                <w:b/>
                <w:szCs w:val="22"/>
              </w:rPr>
              <w:t>Percentage of HSR responses (%)</w:t>
            </w:r>
          </w:p>
        </w:tc>
      </w:tr>
      <w:tr w:rsidR="00F546AE" w:rsidRPr="0016789A" w14:paraId="49F1D89D" w14:textId="77777777" w:rsidTr="0016789A">
        <w:trPr>
          <w:trHeight w:val="17"/>
        </w:trPr>
        <w:tc>
          <w:tcPr>
            <w:tcW w:w="1147" w:type="pct"/>
            <w:noWrap/>
            <w:hideMark/>
          </w:tcPr>
          <w:p w14:paraId="56F8CFC9" w14:textId="77777777" w:rsidR="00F546AE" w:rsidRPr="0016789A" w:rsidRDefault="00F546AE">
            <w:pPr>
              <w:spacing w:after="0" w:line="240" w:lineRule="auto"/>
              <w:rPr>
                <w:rFonts w:asciiTheme="minorHAnsi" w:eastAsia="Aptos" w:hAnsiTheme="minorHAnsi" w:cs="Arial"/>
                <w:szCs w:val="22"/>
              </w:rPr>
            </w:pPr>
            <w:r w:rsidRPr="0016789A">
              <w:rPr>
                <w:rFonts w:asciiTheme="minorHAnsi" w:eastAsia="Aptos" w:hAnsiTheme="minorHAnsi" w:cs="Arial"/>
                <w:szCs w:val="22"/>
              </w:rPr>
              <w:t>No</w:t>
            </w:r>
          </w:p>
        </w:tc>
        <w:tc>
          <w:tcPr>
            <w:tcW w:w="3853" w:type="pct"/>
            <w:noWrap/>
            <w:hideMark/>
          </w:tcPr>
          <w:p w14:paraId="224847A9" w14:textId="77777777" w:rsidR="00F546AE" w:rsidRPr="0016789A" w:rsidRDefault="00F546AE">
            <w:pPr>
              <w:spacing w:after="0" w:line="240" w:lineRule="auto"/>
              <w:jc w:val="right"/>
              <w:rPr>
                <w:rFonts w:asciiTheme="minorHAnsi" w:eastAsia="Aptos" w:hAnsiTheme="minorHAnsi" w:cs="Arial"/>
                <w:szCs w:val="22"/>
              </w:rPr>
            </w:pPr>
            <w:r w:rsidRPr="0016789A">
              <w:rPr>
                <w:rFonts w:asciiTheme="minorHAnsi" w:eastAsia="Aptos" w:hAnsiTheme="minorHAnsi" w:cs="Arial"/>
                <w:szCs w:val="22"/>
              </w:rPr>
              <w:t>25.1%</w:t>
            </w:r>
          </w:p>
        </w:tc>
      </w:tr>
      <w:tr w:rsidR="00F546AE" w:rsidRPr="0016789A" w14:paraId="4B7DBF34" w14:textId="77777777" w:rsidTr="0016789A">
        <w:trPr>
          <w:trHeight w:val="17"/>
        </w:trPr>
        <w:tc>
          <w:tcPr>
            <w:tcW w:w="1147" w:type="pct"/>
            <w:noWrap/>
            <w:hideMark/>
          </w:tcPr>
          <w:p w14:paraId="5E0FDE0B" w14:textId="77777777" w:rsidR="00F546AE" w:rsidRPr="0016789A" w:rsidRDefault="00F546AE">
            <w:pPr>
              <w:spacing w:after="0" w:line="240" w:lineRule="auto"/>
              <w:rPr>
                <w:rFonts w:asciiTheme="minorHAnsi" w:eastAsia="Aptos" w:hAnsiTheme="minorHAnsi" w:cs="Arial"/>
                <w:szCs w:val="22"/>
              </w:rPr>
            </w:pPr>
            <w:r w:rsidRPr="0016789A">
              <w:rPr>
                <w:rFonts w:asciiTheme="minorHAnsi" w:eastAsia="Aptos" w:hAnsiTheme="minorHAnsi" w:cs="Arial"/>
                <w:szCs w:val="22"/>
              </w:rPr>
              <w:t>Unsure</w:t>
            </w:r>
          </w:p>
        </w:tc>
        <w:tc>
          <w:tcPr>
            <w:tcW w:w="3853" w:type="pct"/>
            <w:noWrap/>
            <w:hideMark/>
          </w:tcPr>
          <w:p w14:paraId="21C63220" w14:textId="77777777" w:rsidR="00F546AE" w:rsidRPr="0016789A" w:rsidRDefault="00F546AE">
            <w:pPr>
              <w:spacing w:after="0" w:line="240" w:lineRule="auto"/>
              <w:jc w:val="right"/>
              <w:rPr>
                <w:rFonts w:asciiTheme="minorHAnsi" w:eastAsia="Aptos" w:hAnsiTheme="minorHAnsi" w:cs="Arial"/>
                <w:szCs w:val="22"/>
              </w:rPr>
            </w:pPr>
            <w:r w:rsidRPr="0016789A">
              <w:rPr>
                <w:rFonts w:asciiTheme="minorHAnsi" w:eastAsia="Aptos" w:hAnsiTheme="minorHAnsi" w:cs="Arial"/>
                <w:szCs w:val="22"/>
              </w:rPr>
              <w:t>8.7%</w:t>
            </w:r>
          </w:p>
        </w:tc>
      </w:tr>
      <w:tr w:rsidR="00F546AE" w:rsidRPr="0016789A" w14:paraId="611C44EC" w14:textId="77777777" w:rsidTr="0016789A">
        <w:trPr>
          <w:trHeight w:val="17"/>
        </w:trPr>
        <w:tc>
          <w:tcPr>
            <w:tcW w:w="1147" w:type="pct"/>
            <w:noWrap/>
            <w:hideMark/>
          </w:tcPr>
          <w:p w14:paraId="321D15F8" w14:textId="77777777" w:rsidR="00F546AE" w:rsidRPr="0016789A" w:rsidRDefault="00F546AE">
            <w:pPr>
              <w:spacing w:after="0" w:line="240" w:lineRule="auto"/>
              <w:rPr>
                <w:rFonts w:asciiTheme="minorHAnsi" w:eastAsia="Aptos" w:hAnsiTheme="minorHAnsi" w:cs="Arial"/>
                <w:szCs w:val="22"/>
              </w:rPr>
            </w:pPr>
            <w:r w:rsidRPr="0016789A">
              <w:rPr>
                <w:rFonts w:asciiTheme="minorHAnsi" w:eastAsia="Aptos" w:hAnsiTheme="minorHAnsi" w:cs="Arial"/>
                <w:szCs w:val="22"/>
              </w:rPr>
              <w:t>Yes</w:t>
            </w:r>
          </w:p>
        </w:tc>
        <w:tc>
          <w:tcPr>
            <w:tcW w:w="3853" w:type="pct"/>
            <w:noWrap/>
            <w:hideMark/>
          </w:tcPr>
          <w:p w14:paraId="20E08A09" w14:textId="77777777" w:rsidR="00F546AE" w:rsidRPr="0016789A" w:rsidRDefault="00F546AE">
            <w:pPr>
              <w:spacing w:after="0" w:line="240" w:lineRule="auto"/>
              <w:jc w:val="right"/>
              <w:rPr>
                <w:rFonts w:asciiTheme="minorHAnsi" w:eastAsia="Aptos" w:hAnsiTheme="minorHAnsi" w:cs="Arial"/>
                <w:szCs w:val="22"/>
              </w:rPr>
            </w:pPr>
            <w:r w:rsidRPr="0016789A">
              <w:rPr>
                <w:rFonts w:asciiTheme="minorHAnsi" w:eastAsia="Aptos" w:hAnsiTheme="minorHAnsi" w:cs="Arial"/>
                <w:szCs w:val="22"/>
              </w:rPr>
              <w:t>66.2%</w:t>
            </w:r>
          </w:p>
        </w:tc>
      </w:tr>
      <w:tr w:rsidR="00F546AE" w:rsidRPr="0016789A" w14:paraId="0BE9195A" w14:textId="77777777" w:rsidTr="0016789A">
        <w:trPr>
          <w:trHeight w:val="17"/>
        </w:trPr>
        <w:tc>
          <w:tcPr>
            <w:tcW w:w="1147" w:type="pct"/>
            <w:shd w:val="clear" w:color="auto" w:fill="F2F2F2" w:themeFill="background1" w:themeFillShade="F2"/>
            <w:noWrap/>
            <w:hideMark/>
          </w:tcPr>
          <w:p w14:paraId="148D00C8" w14:textId="77777777" w:rsidR="00F546AE" w:rsidRPr="0016789A" w:rsidRDefault="00F546AE">
            <w:pPr>
              <w:spacing w:after="0" w:line="240" w:lineRule="auto"/>
              <w:rPr>
                <w:rFonts w:asciiTheme="minorHAnsi" w:eastAsia="Aptos" w:hAnsiTheme="minorHAnsi" w:cs="Arial"/>
                <w:b/>
                <w:szCs w:val="22"/>
              </w:rPr>
            </w:pPr>
            <w:r w:rsidRPr="0016789A">
              <w:rPr>
                <w:rFonts w:asciiTheme="minorHAnsi" w:eastAsia="Aptos" w:hAnsiTheme="minorHAnsi" w:cs="Arial"/>
                <w:b/>
                <w:szCs w:val="22"/>
              </w:rPr>
              <w:t>Total</w:t>
            </w:r>
          </w:p>
        </w:tc>
        <w:tc>
          <w:tcPr>
            <w:tcW w:w="3853" w:type="pct"/>
            <w:shd w:val="clear" w:color="auto" w:fill="F2F2F2" w:themeFill="background1" w:themeFillShade="F2"/>
            <w:noWrap/>
            <w:hideMark/>
          </w:tcPr>
          <w:p w14:paraId="0063B37B" w14:textId="77777777" w:rsidR="00F546AE" w:rsidRPr="0016789A" w:rsidRDefault="00F546AE">
            <w:pPr>
              <w:spacing w:after="0" w:line="240" w:lineRule="auto"/>
              <w:jc w:val="right"/>
              <w:rPr>
                <w:rFonts w:asciiTheme="minorHAnsi" w:eastAsia="Aptos" w:hAnsiTheme="minorHAnsi" w:cs="Arial"/>
                <w:b/>
                <w:szCs w:val="22"/>
              </w:rPr>
            </w:pPr>
            <w:r w:rsidRPr="0016789A">
              <w:rPr>
                <w:rFonts w:asciiTheme="minorHAnsi" w:eastAsia="Aptos" w:hAnsiTheme="minorHAnsi" w:cs="Arial"/>
                <w:b/>
                <w:szCs w:val="22"/>
              </w:rPr>
              <w:t>100.0%</w:t>
            </w:r>
          </w:p>
        </w:tc>
      </w:tr>
    </w:tbl>
    <w:p w14:paraId="71D6EA82" w14:textId="77777777" w:rsidR="00F546AE" w:rsidRPr="000F1DE6" w:rsidRDefault="00F546AE" w:rsidP="000D26F7">
      <w:pPr>
        <w:pStyle w:val="Caption"/>
      </w:pPr>
      <w:r w:rsidRPr="000F1DE6">
        <w:t>Data Table 14 HSR responses: reminders for HSR elections</w:t>
      </w:r>
    </w:p>
    <w:p w14:paraId="5CEF81CD" w14:textId="34887A10" w:rsidR="00F546AE" w:rsidRPr="000F1DE6" w:rsidRDefault="00F546AE" w:rsidP="00F546AE">
      <w:pPr>
        <w:pStyle w:val="Paragraph"/>
        <w:rPr>
          <w:rFonts w:eastAsia="Aptos" w:cs="Arial"/>
          <w:kern w:val="2"/>
          <w:szCs w:val="22"/>
          <w14:ligatures w14:val="standardContextual"/>
        </w:rPr>
      </w:pPr>
      <w:r w:rsidRPr="000F1DE6">
        <w:rPr>
          <w:rFonts w:eastAsia="Aptos" w:cs="Arial"/>
          <w:kern w:val="2"/>
          <w:szCs w:val="22"/>
          <w14:ligatures w14:val="standardContextual"/>
        </w:rPr>
        <w:t>HSRs were asked whether they agree, disagree or are unsure in response to the statement: ‘My workplace regularly reminds workers that an HSR can be elected’</w:t>
      </w:r>
      <w:r w:rsidR="00A53E87">
        <w:rPr>
          <w:rFonts w:eastAsia="Aptos" w:cs="Arial"/>
          <w:kern w:val="2"/>
          <w:szCs w:val="22"/>
          <w14:ligatures w14:val="standardContextual"/>
        </w:rPr>
        <w:t>.</w:t>
      </w:r>
    </w:p>
    <w:tbl>
      <w:tblPr>
        <w:tblStyle w:val="Style9"/>
        <w:tblW w:w="5000" w:type="pct"/>
        <w:tblCellMar>
          <w:top w:w="57" w:type="dxa"/>
          <w:bottom w:w="57" w:type="dxa"/>
        </w:tblCellMar>
        <w:tblLook w:val="04A0" w:firstRow="1" w:lastRow="0" w:firstColumn="1" w:lastColumn="0" w:noHBand="0" w:noVBand="1"/>
        <w:tblCaption w:val="Data Table 14 HSR responses: reminders for HSR elections"/>
        <w:tblDescription w:val="Table outlining HSRs responses to whether they agree, disagree or are unsure in response to the statement: ‘My workplace regularly reminds workers that an HSR can be elected.’ Almost 45% each responded either 'yes' or 'no'.&#10;"/>
      </w:tblPr>
      <w:tblGrid>
        <w:gridCol w:w="2350"/>
        <w:gridCol w:w="7402"/>
      </w:tblGrid>
      <w:tr w:rsidR="00F546AE" w:rsidRPr="0016789A" w14:paraId="08D235FA" w14:textId="77777777" w:rsidTr="0016789A">
        <w:trPr>
          <w:trHeight w:val="27"/>
        </w:trPr>
        <w:tc>
          <w:tcPr>
            <w:tcW w:w="1205" w:type="pct"/>
            <w:shd w:val="clear" w:color="auto" w:fill="F2F2F2" w:themeFill="background1" w:themeFillShade="F2"/>
            <w:noWrap/>
            <w:hideMark/>
          </w:tcPr>
          <w:p w14:paraId="6B538317" w14:textId="77777777" w:rsidR="00F546AE" w:rsidRPr="0016789A" w:rsidRDefault="00F546AE">
            <w:pPr>
              <w:spacing w:after="0" w:line="240" w:lineRule="auto"/>
              <w:rPr>
                <w:rFonts w:asciiTheme="minorHAnsi" w:eastAsia="Aptos" w:hAnsiTheme="minorHAnsi" w:cs="Arial"/>
                <w:b/>
                <w:szCs w:val="22"/>
              </w:rPr>
            </w:pPr>
            <w:r w:rsidRPr="0016789A">
              <w:rPr>
                <w:rFonts w:asciiTheme="minorHAnsi" w:eastAsia="Aptos" w:hAnsiTheme="minorHAnsi" w:cs="Arial"/>
                <w:b/>
                <w:szCs w:val="22"/>
              </w:rPr>
              <w:t>Response</w:t>
            </w:r>
          </w:p>
        </w:tc>
        <w:tc>
          <w:tcPr>
            <w:tcW w:w="3795" w:type="pct"/>
            <w:shd w:val="clear" w:color="auto" w:fill="F2F2F2" w:themeFill="background1" w:themeFillShade="F2"/>
            <w:noWrap/>
            <w:hideMark/>
          </w:tcPr>
          <w:p w14:paraId="7DD8FF97" w14:textId="77777777" w:rsidR="00F546AE" w:rsidRPr="0016789A" w:rsidRDefault="00F546AE">
            <w:pPr>
              <w:spacing w:after="0" w:line="240" w:lineRule="auto"/>
              <w:jc w:val="right"/>
              <w:rPr>
                <w:rFonts w:asciiTheme="minorHAnsi" w:eastAsia="Aptos" w:hAnsiTheme="minorHAnsi" w:cs="Arial"/>
                <w:szCs w:val="22"/>
              </w:rPr>
            </w:pPr>
            <w:r w:rsidRPr="0016789A">
              <w:rPr>
                <w:rFonts w:asciiTheme="minorHAnsi" w:eastAsia="Aptos" w:hAnsiTheme="minorHAnsi" w:cs="Arial"/>
                <w:b/>
                <w:szCs w:val="22"/>
              </w:rPr>
              <w:t>Percentage of HSR responses (%)</w:t>
            </w:r>
          </w:p>
        </w:tc>
      </w:tr>
      <w:tr w:rsidR="00F546AE" w:rsidRPr="0016789A" w14:paraId="160CCBAB" w14:textId="77777777" w:rsidTr="0016789A">
        <w:trPr>
          <w:trHeight w:val="17"/>
        </w:trPr>
        <w:tc>
          <w:tcPr>
            <w:tcW w:w="1205" w:type="pct"/>
            <w:noWrap/>
            <w:hideMark/>
          </w:tcPr>
          <w:p w14:paraId="036D5D83" w14:textId="77777777" w:rsidR="00F546AE" w:rsidRPr="0016789A" w:rsidRDefault="00F546AE">
            <w:pPr>
              <w:spacing w:after="0" w:line="240" w:lineRule="auto"/>
              <w:rPr>
                <w:rFonts w:asciiTheme="minorHAnsi" w:eastAsia="Aptos" w:hAnsiTheme="minorHAnsi" w:cs="Arial"/>
                <w:szCs w:val="22"/>
              </w:rPr>
            </w:pPr>
            <w:r w:rsidRPr="0016789A">
              <w:rPr>
                <w:rFonts w:asciiTheme="minorHAnsi" w:eastAsia="Aptos" w:hAnsiTheme="minorHAnsi" w:cs="Arial"/>
                <w:szCs w:val="22"/>
              </w:rPr>
              <w:t>No</w:t>
            </w:r>
          </w:p>
        </w:tc>
        <w:tc>
          <w:tcPr>
            <w:tcW w:w="3795" w:type="pct"/>
            <w:noWrap/>
            <w:hideMark/>
          </w:tcPr>
          <w:p w14:paraId="15A92C15" w14:textId="77777777" w:rsidR="00F546AE" w:rsidRPr="0016789A" w:rsidRDefault="00F546AE">
            <w:pPr>
              <w:spacing w:after="0" w:line="240" w:lineRule="auto"/>
              <w:jc w:val="right"/>
              <w:rPr>
                <w:rFonts w:asciiTheme="minorHAnsi" w:eastAsia="Aptos" w:hAnsiTheme="minorHAnsi" w:cs="Arial"/>
                <w:szCs w:val="22"/>
              </w:rPr>
            </w:pPr>
            <w:r w:rsidRPr="0016789A">
              <w:rPr>
                <w:rFonts w:asciiTheme="minorHAnsi" w:eastAsia="Aptos" w:hAnsiTheme="minorHAnsi" w:cs="Arial"/>
                <w:szCs w:val="22"/>
              </w:rPr>
              <w:t>44.6%</w:t>
            </w:r>
          </w:p>
        </w:tc>
      </w:tr>
      <w:tr w:rsidR="00F546AE" w:rsidRPr="0016789A" w14:paraId="149C0395" w14:textId="77777777" w:rsidTr="0016789A">
        <w:trPr>
          <w:trHeight w:val="17"/>
        </w:trPr>
        <w:tc>
          <w:tcPr>
            <w:tcW w:w="1205" w:type="pct"/>
            <w:noWrap/>
            <w:hideMark/>
          </w:tcPr>
          <w:p w14:paraId="03EE0EC8" w14:textId="77777777" w:rsidR="00F546AE" w:rsidRPr="0016789A" w:rsidRDefault="00F546AE">
            <w:pPr>
              <w:spacing w:after="0" w:line="240" w:lineRule="auto"/>
              <w:rPr>
                <w:rFonts w:asciiTheme="minorHAnsi" w:eastAsia="Aptos" w:hAnsiTheme="minorHAnsi" w:cs="Arial"/>
                <w:szCs w:val="22"/>
              </w:rPr>
            </w:pPr>
            <w:r w:rsidRPr="0016789A">
              <w:rPr>
                <w:rFonts w:asciiTheme="minorHAnsi" w:eastAsia="Aptos" w:hAnsiTheme="minorHAnsi" w:cs="Arial"/>
                <w:szCs w:val="22"/>
              </w:rPr>
              <w:t>Unsure</w:t>
            </w:r>
          </w:p>
        </w:tc>
        <w:tc>
          <w:tcPr>
            <w:tcW w:w="3795" w:type="pct"/>
            <w:noWrap/>
            <w:hideMark/>
          </w:tcPr>
          <w:p w14:paraId="5EB9AFD9" w14:textId="77777777" w:rsidR="00F546AE" w:rsidRPr="0016789A" w:rsidRDefault="00F546AE">
            <w:pPr>
              <w:spacing w:after="0" w:line="240" w:lineRule="auto"/>
              <w:jc w:val="right"/>
              <w:rPr>
                <w:rFonts w:asciiTheme="minorHAnsi" w:eastAsia="Aptos" w:hAnsiTheme="minorHAnsi" w:cs="Arial"/>
                <w:szCs w:val="22"/>
              </w:rPr>
            </w:pPr>
            <w:r w:rsidRPr="0016789A">
              <w:rPr>
                <w:rFonts w:asciiTheme="minorHAnsi" w:eastAsia="Aptos" w:hAnsiTheme="minorHAnsi" w:cs="Arial"/>
                <w:szCs w:val="22"/>
              </w:rPr>
              <w:t>10.8%</w:t>
            </w:r>
          </w:p>
        </w:tc>
      </w:tr>
      <w:tr w:rsidR="00F546AE" w:rsidRPr="0016789A" w14:paraId="670A346B" w14:textId="77777777" w:rsidTr="0016789A">
        <w:trPr>
          <w:trHeight w:val="17"/>
        </w:trPr>
        <w:tc>
          <w:tcPr>
            <w:tcW w:w="1205" w:type="pct"/>
            <w:noWrap/>
            <w:hideMark/>
          </w:tcPr>
          <w:p w14:paraId="4042263F" w14:textId="77777777" w:rsidR="00F546AE" w:rsidRPr="0016789A" w:rsidRDefault="00F546AE">
            <w:pPr>
              <w:spacing w:after="0" w:line="240" w:lineRule="auto"/>
              <w:rPr>
                <w:rFonts w:asciiTheme="minorHAnsi" w:eastAsia="Aptos" w:hAnsiTheme="minorHAnsi" w:cs="Arial"/>
                <w:szCs w:val="22"/>
              </w:rPr>
            </w:pPr>
            <w:r w:rsidRPr="0016789A">
              <w:rPr>
                <w:rFonts w:asciiTheme="minorHAnsi" w:eastAsia="Aptos" w:hAnsiTheme="minorHAnsi" w:cs="Arial"/>
                <w:szCs w:val="22"/>
              </w:rPr>
              <w:t>Yes</w:t>
            </w:r>
          </w:p>
        </w:tc>
        <w:tc>
          <w:tcPr>
            <w:tcW w:w="3795" w:type="pct"/>
            <w:noWrap/>
            <w:hideMark/>
          </w:tcPr>
          <w:p w14:paraId="44C224CA" w14:textId="77777777" w:rsidR="00F546AE" w:rsidRPr="0016789A" w:rsidRDefault="00F546AE">
            <w:pPr>
              <w:spacing w:after="0" w:line="240" w:lineRule="auto"/>
              <w:jc w:val="right"/>
              <w:rPr>
                <w:rFonts w:asciiTheme="minorHAnsi" w:eastAsia="Aptos" w:hAnsiTheme="minorHAnsi" w:cs="Arial"/>
                <w:szCs w:val="22"/>
              </w:rPr>
            </w:pPr>
            <w:r w:rsidRPr="0016789A">
              <w:rPr>
                <w:rFonts w:asciiTheme="minorHAnsi" w:eastAsia="Aptos" w:hAnsiTheme="minorHAnsi" w:cs="Arial"/>
                <w:szCs w:val="22"/>
              </w:rPr>
              <w:t>44.6%</w:t>
            </w:r>
          </w:p>
        </w:tc>
      </w:tr>
      <w:tr w:rsidR="00F546AE" w:rsidRPr="0016789A" w14:paraId="6A24C6F5" w14:textId="77777777" w:rsidTr="0016789A">
        <w:trPr>
          <w:trHeight w:val="17"/>
        </w:trPr>
        <w:tc>
          <w:tcPr>
            <w:tcW w:w="1205" w:type="pct"/>
            <w:shd w:val="clear" w:color="auto" w:fill="F2F2F2" w:themeFill="background1" w:themeFillShade="F2"/>
            <w:noWrap/>
            <w:hideMark/>
          </w:tcPr>
          <w:p w14:paraId="0D89E150" w14:textId="77777777" w:rsidR="00F546AE" w:rsidRPr="0016789A" w:rsidRDefault="00F546AE">
            <w:pPr>
              <w:spacing w:after="0" w:line="240" w:lineRule="auto"/>
              <w:rPr>
                <w:rFonts w:asciiTheme="minorHAnsi" w:eastAsia="Aptos" w:hAnsiTheme="minorHAnsi" w:cs="Arial"/>
                <w:b/>
                <w:szCs w:val="22"/>
              </w:rPr>
            </w:pPr>
            <w:r w:rsidRPr="0016789A">
              <w:rPr>
                <w:rFonts w:asciiTheme="minorHAnsi" w:eastAsia="Aptos" w:hAnsiTheme="minorHAnsi" w:cs="Arial"/>
                <w:b/>
                <w:szCs w:val="22"/>
              </w:rPr>
              <w:t>Total</w:t>
            </w:r>
          </w:p>
        </w:tc>
        <w:tc>
          <w:tcPr>
            <w:tcW w:w="3795" w:type="pct"/>
            <w:shd w:val="clear" w:color="auto" w:fill="F2F2F2" w:themeFill="background1" w:themeFillShade="F2"/>
            <w:noWrap/>
            <w:hideMark/>
          </w:tcPr>
          <w:p w14:paraId="7D9577E0" w14:textId="77777777" w:rsidR="00F546AE" w:rsidRPr="0016789A" w:rsidRDefault="00F546AE">
            <w:pPr>
              <w:spacing w:after="0" w:line="240" w:lineRule="auto"/>
              <w:jc w:val="right"/>
              <w:rPr>
                <w:rFonts w:asciiTheme="minorHAnsi" w:eastAsia="Aptos" w:hAnsiTheme="minorHAnsi" w:cs="Arial"/>
                <w:b/>
                <w:szCs w:val="22"/>
              </w:rPr>
            </w:pPr>
            <w:r w:rsidRPr="0016789A">
              <w:rPr>
                <w:rFonts w:asciiTheme="minorHAnsi" w:eastAsia="Aptos" w:hAnsiTheme="minorHAnsi" w:cs="Arial"/>
                <w:b/>
                <w:szCs w:val="22"/>
              </w:rPr>
              <w:t>100.0%</w:t>
            </w:r>
          </w:p>
        </w:tc>
      </w:tr>
    </w:tbl>
    <w:p w14:paraId="5D8C1F9E" w14:textId="77777777" w:rsidR="0016789A" w:rsidRDefault="0016789A">
      <w:pPr>
        <w:spacing w:after="200" w:line="276" w:lineRule="auto"/>
        <w:contextualSpacing w:val="0"/>
        <w:rPr>
          <w:rFonts w:asciiTheme="minorHAnsi" w:hAnsiTheme="minorHAnsi"/>
          <w:b/>
          <w:bCs/>
        </w:rPr>
      </w:pPr>
      <w:r>
        <w:br w:type="page"/>
      </w:r>
    </w:p>
    <w:p w14:paraId="0F8D6B48" w14:textId="047026C6" w:rsidR="00F546AE" w:rsidRPr="000F1DE6" w:rsidRDefault="00F546AE" w:rsidP="000D26F7">
      <w:pPr>
        <w:pStyle w:val="Caption"/>
      </w:pPr>
      <w:r w:rsidRPr="000F1DE6">
        <w:lastRenderedPageBreak/>
        <w:t>Data Table 15 HSR responses: PCBU awareness, by business size</w:t>
      </w:r>
    </w:p>
    <w:p w14:paraId="3F595B49" w14:textId="58AAFCB8" w:rsidR="00F546AE" w:rsidRPr="000F1DE6" w:rsidRDefault="00F546AE" w:rsidP="00F546AE">
      <w:pPr>
        <w:pStyle w:val="Paragraph"/>
        <w:rPr>
          <w:rFonts w:eastAsia="Aptos" w:cs="Arial"/>
          <w:kern w:val="2"/>
          <w:szCs w:val="22"/>
          <w14:ligatures w14:val="standardContextual"/>
        </w:rPr>
      </w:pPr>
      <w:r w:rsidRPr="000F1DE6">
        <w:rPr>
          <w:rFonts w:eastAsia="Aptos" w:cs="Arial"/>
          <w:kern w:val="2"/>
          <w:szCs w:val="22"/>
          <w14:ligatures w14:val="standardContextual"/>
        </w:rPr>
        <w:t>HSRs were asked whether they agree, disagree or are unsure in response to the statement (with results disaggregated to business size): ‘My manager and employer/PCBU understand the powers and functions of an HSR and their obligations to HSRs (such as to consult, allow access to information, provide resources, facilities and assistance to the HSR)’</w:t>
      </w:r>
      <w:r w:rsidR="00A53E87">
        <w:rPr>
          <w:rFonts w:eastAsia="Aptos" w:cs="Arial"/>
          <w:kern w:val="2"/>
          <w:szCs w:val="22"/>
          <w14:ligatures w14:val="standardContextual"/>
        </w:rPr>
        <w:t>.</w:t>
      </w:r>
    </w:p>
    <w:tbl>
      <w:tblPr>
        <w:tblStyle w:val="Style9"/>
        <w:tblW w:w="5000" w:type="pct"/>
        <w:tblCellMar>
          <w:top w:w="57" w:type="dxa"/>
          <w:bottom w:w="57" w:type="dxa"/>
        </w:tblCellMar>
        <w:tblLook w:val="04A0" w:firstRow="1" w:lastRow="0" w:firstColumn="1" w:lastColumn="0" w:noHBand="0" w:noVBand="1"/>
        <w:tblCaption w:val="Data Table 15 HSR responses: PCBU awareness, by business size"/>
        <w:tblDescription w:val="Table of HSR responses to the following statement (with results disaggregated to business size): ‘My manager and employer/PCBU understand the powers and functions of an HSR and their obligations to HSRs (such as to consult, allow access to information, provide resources, facilities and assistance to the HSR).' Refer to description below."/>
      </w:tblPr>
      <w:tblGrid>
        <w:gridCol w:w="2928"/>
        <w:gridCol w:w="1459"/>
        <w:gridCol w:w="1726"/>
        <w:gridCol w:w="2079"/>
        <w:gridCol w:w="1560"/>
      </w:tblGrid>
      <w:tr w:rsidR="00F546AE" w:rsidRPr="0016789A" w14:paraId="6A7EF850" w14:textId="77777777" w:rsidTr="0016789A">
        <w:trPr>
          <w:trHeight w:val="20"/>
        </w:trPr>
        <w:tc>
          <w:tcPr>
            <w:tcW w:w="1501" w:type="pct"/>
            <w:vMerge w:val="restart"/>
            <w:shd w:val="clear" w:color="auto" w:fill="F2F2F2" w:themeFill="background1" w:themeFillShade="F2"/>
            <w:noWrap/>
            <w:vAlign w:val="bottom"/>
            <w:hideMark/>
          </w:tcPr>
          <w:p w14:paraId="620FC6D9" w14:textId="77777777" w:rsidR="00F546AE" w:rsidRPr="0016789A" w:rsidRDefault="00F546AE" w:rsidP="00132A82">
            <w:pPr>
              <w:spacing w:after="0" w:line="240" w:lineRule="auto"/>
              <w:rPr>
                <w:rFonts w:asciiTheme="minorHAnsi" w:eastAsia="Aptos" w:hAnsiTheme="minorHAnsi" w:cs="Arial"/>
                <w:b/>
                <w:szCs w:val="22"/>
              </w:rPr>
            </w:pPr>
            <w:r w:rsidRPr="0016789A">
              <w:rPr>
                <w:rFonts w:asciiTheme="minorHAnsi" w:eastAsia="Aptos" w:hAnsiTheme="minorHAnsi" w:cs="Arial"/>
                <w:b/>
                <w:szCs w:val="22"/>
              </w:rPr>
              <w:t>Business size</w:t>
            </w:r>
          </w:p>
        </w:tc>
        <w:tc>
          <w:tcPr>
            <w:tcW w:w="2699" w:type="pct"/>
            <w:gridSpan w:val="3"/>
            <w:shd w:val="clear" w:color="auto" w:fill="F2F2F2" w:themeFill="background1" w:themeFillShade="F2"/>
            <w:noWrap/>
            <w:vAlign w:val="bottom"/>
            <w:hideMark/>
          </w:tcPr>
          <w:p w14:paraId="124C700A" w14:textId="77777777" w:rsidR="00F546AE" w:rsidRPr="0016789A" w:rsidRDefault="00F546AE" w:rsidP="00132A82">
            <w:pPr>
              <w:spacing w:after="0" w:line="240" w:lineRule="auto"/>
              <w:jc w:val="center"/>
              <w:rPr>
                <w:rFonts w:asciiTheme="minorHAnsi" w:eastAsia="Aptos" w:hAnsiTheme="minorHAnsi" w:cs="Arial"/>
                <w:b/>
                <w:szCs w:val="22"/>
              </w:rPr>
            </w:pPr>
            <w:r w:rsidRPr="0016789A">
              <w:rPr>
                <w:rFonts w:asciiTheme="minorHAnsi" w:eastAsia="Aptos" w:hAnsiTheme="minorHAnsi" w:cs="Arial"/>
                <w:b/>
                <w:szCs w:val="22"/>
              </w:rPr>
              <w:t>Percentage of HSR responses (%)</w:t>
            </w:r>
          </w:p>
        </w:tc>
        <w:tc>
          <w:tcPr>
            <w:tcW w:w="801" w:type="pct"/>
            <w:vMerge w:val="restart"/>
            <w:shd w:val="clear" w:color="auto" w:fill="F2F2F2" w:themeFill="background1" w:themeFillShade="F2"/>
            <w:noWrap/>
            <w:vAlign w:val="bottom"/>
            <w:hideMark/>
          </w:tcPr>
          <w:p w14:paraId="1972F71E" w14:textId="77777777" w:rsidR="00F546AE" w:rsidRPr="0016789A" w:rsidRDefault="00F546AE" w:rsidP="00132A82">
            <w:pPr>
              <w:spacing w:after="0" w:line="240" w:lineRule="auto"/>
              <w:jc w:val="right"/>
              <w:rPr>
                <w:rFonts w:asciiTheme="minorHAnsi" w:eastAsia="Aptos" w:hAnsiTheme="minorHAnsi" w:cs="Arial"/>
                <w:b/>
                <w:szCs w:val="22"/>
              </w:rPr>
            </w:pPr>
            <w:r w:rsidRPr="0016789A">
              <w:rPr>
                <w:rFonts w:asciiTheme="minorHAnsi" w:eastAsia="Aptos" w:hAnsiTheme="minorHAnsi" w:cs="Arial"/>
                <w:b/>
                <w:szCs w:val="22"/>
              </w:rPr>
              <w:t>Total</w:t>
            </w:r>
          </w:p>
        </w:tc>
      </w:tr>
      <w:tr w:rsidR="00F546AE" w:rsidRPr="0016789A" w14:paraId="37CBCD2C" w14:textId="77777777" w:rsidTr="00E73993">
        <w:trPr>
          <w:trHeight w:val="20"/>
        </w:trPr>
        <w:tc>
          <w:tcPr>
            <w:tcW w:w="1501" w:type="pct"/>
            <w:vMerge/>
            <w:noWrap/>
            <w:hideMark/>
          </w:tcPr>
          <w:p w14:paraId="2408FAAB" w14:textId="77777777" w:rsidR="00F546AE" w:rsidRPr="0016789A" w:rsidRDefault="00F546AE">
            <w:pPr>
              <w:spacing w:after="0" w:line="240" w:lineRule="auto"/>
              <w:rPr>
                <w:rFonts w:asciiTheme="minorHAnsi" w:eastAsia="Aptos" w:hAnsiTheme="minorHAnsi" w:cs="Arial"/>
                <w:szCs w:val="22"/>
              </w:rPr>
            </w:pPr>
          </w:p>
        </w:tc>
        <w:tc>
          <w:tcPr>
            <w:tcW w:w="748" w:type="pct"/>
            <w:shd w:val="clear" w:color="auto" w:fill="F2F2F2" w:themeFill="background1" w:themeFillShade="F2"/>
            <w:noWrap/>
            <w:hideMark/>
          </w:tcPr>
          <w:p w14:paraId="0785314A" w14:textId="77777777" w:rsidR="00F546AE" w:rsidRPr="0016789A" w:rsidRDefault="00F546AE">
            <w:pPr>
              <w:spacing w:after="0" w:line="240" w:lineRule="auto"/>
              <w:jc w:val="right"/>
              <w:rPr>
                <w:rFonts w:asciiTheme="minorHAnsi" w:eastAsia="Aptos" w:hAnsiTheme="minorHAnsi" w:cs="Arial"/>
                <w:szCs w:val="22"/>
              </w:rPr>
            </w:pPr>
            <w:r w:rsidRPr="0016789A">
              <w:rPr>
                <w:rFonts w:asciiTheme="minorHAnsi" w:eastAsia="Aptos" w:hAnsiTheme="minorHAnsi" w:cs="Arial"/>
                <w:szCs w:val="22"/>
              </w:rPr>
              <w:t>No</w:t>
            </w:r>
          </w:p>
        </w:tc>
        <w:tc>
          <w:tcPr>
            <w:tcW w:w="885" w:type="pct"/>
            <w:shd w:val="clear" w:color="auto" w:fill="F2F2F2" w:themeFill="background1" w:themeFillShade="F2"/>
            <w:noWrap/>
          </w:tcPr>
          <w:p w14:paraId="1BC09C15" w14:textId="77777777" w:rsidR="00F546AE" w:rsidRPr="0016789A" w:rsidRDefault="00F546AE">
            <w:pPr>
              <w:spacing w:after="0" w:line="240" w:lineRule="auto"/>
              <w:jc w:val="right"/>
              <w:rPr>
                <w:rFonts w:asciiTheme="minorHAnsi" w:eastAsia="Aptos" w:hAnsiTheme="minorHAnsi" w:cs="Arial"/>
                <w:szCs w:val="22"/>
              </w:rPr>
            </w:pPr>
            <w:r w:rsidRPr="0016789A">
              <w:rPr>
                <w:rFonts w:asciiTheme="minorHAnsi" w:eastAsia="Aptos" w:hAnsiTheme="minorHAnsi" w:cs="Arial"/>
                <w:szCs w:val="22"/>
              </w:rPr>
              <w:t>Unsure</w:t>
            </w:r>
          </w:p>
        </w:tc>
        <w:tc>
          <w:tcPr>
            <w:tcW w:w="1066" w:type="pct"/>
            <w:shd w:val="clear" w:color="auto" w:fill="F2F2F2" w:themeFill="background1" w:themeFillShade="F2"/>
            <w:noWrap/>
          </w:tcPr>
          <w:p w14:paraId="47308DF2" w14:textId="77777777" w:rsidR="00F546AE" w:rsidRPr="0016789A" w:rsidRDefault="00F546AE">
            <w:pPr>
              <w:spacing w:after="0" w:line="240" w:lineRule="auto"/>
              <w:jc w:val="right"/>
              <w:rPr>
                <w:rFonts w:asciiTheme="minorHAnsi" w:eastAsia="Aptos" w:hAnsiTheme="minorHAnsi" w:cs="Arial"/>
                <w:szCs w:val="22"/>
              </w:rPr>
            </w:pPr>
            <w:r w:rsidRPr="0016789A">
              <w:rPr>
                <w:rFonts w:asciiTheme="minorHAnsi" w:eastAsia="Aptos" w:hAnsiTheme="minorHAnsi" w:cs="Arial"/>
                <w:szCs w:val="22"/>
              </w:rPr>
              <w:t>Yes</w:t>
            </w:r>
          </w:p>
        </w:tc>
        <w:tc>
          <w:tcPr>
            <w:tcW w:w="801" w:type="pct"/>
            <w:vMerge/>
            <w:noWrap/>
            <w:hideMark/>
          </w:tcPr>
          <w:p w14:paraId="2CC25F39" w14:textId="77777777" w:rsidR="00F546AE" w:rsidRPr="0016789A" w:rsidRDefault="00F546AE">
            <w:pPr>
              <w:spacing w:after="0" w:line="240" w:lineRule="auto"/>
              <w:jc w:val="right"/>
              <w:rPr>
                <w:rFonts w:asciiTheme="minorHAnsi" w:eastAsia="Aptos" w:hAnsiTheme="minorHAnsi" w:cs="Arial"/>
                <w:b/>
                <w:szCs w:val="22"/>
              </w:rPr>
            </w:pPr>
          </w:p>
        </w:tc>
      </w:tr>
      <w:tr w:rsidR="00F546AE" w:rsidRPr="0016789A" w14:paraId="6A122EB2" w14:textId="77777777" w:rsidTr="0016789A">
        <w:trPr>
          <w:trHeight w:val="17"/>
        </w:trPr>
        <w:tc>
          <w:tcPr>
            <w:tcW w:w="1501" w:type="pct"/>
            <w:noWrap/>
            <w:hideMark/>
          </w:tcPr>
          <w:p w14:paraId="208AE50E" w14:textId="0D8C7346" w:rsidR="00F546AE" w:rsidRPr="0016789A" w:rsidRDefault="00F546AE">
            <w:pPr>
              <w:spacing w:after="0" w:line="240" w:lineRule="auto"/>
              <w:rPr>
                <w:rFonts w:asciiTheme="minorHAnsi" w:eastAsia="Aptos" w:hAnsiTheme="minorHAnsi" w:cs="Arial"/>
                <w:szCs w:val="22"/>
              </w:rPr>
            </w:pPr>
            <w:r w:rsidRPr="0016789A">
              <w:rPr>
                <w:rFonts w:asciiTheme="minorHAnsi" w:eastAsia="Aptos" w:hAnsiTheme="minorHAnsi" w:cs="Arial"/>
                <w:szCs w:val="22"/>
              </w:rPr>
              <w:t>1</w:t>
            </w:r>
            <w:r w:rsidR="000F402B">
              <w:rPr>
                <w:rFonts w:asciiTheme="minorHAnsi" w:eastAsia="Symbol" w:hAnsiTheme="minorHAnsi" w:cs="Symbol"/>
                <w:szCs w:val="22"/>
              </w:rPr>
              <w:t>-</w:t>
            </w:r>
            <w:r w:rsidRPr="0016789A">
              <w:rPr>
                <w:rFonts w:asciiTheme="minorHAnsi" w:eastAsia="Aptos" w:hAnsiTheme="minorHAnsi" w:cs="Arial"/>
                <w:szCs w:val="22"/>
              </w:rPr>
              <w:t>20 (small)</w:t>
            </w:r>
          </w:p>
        </w:tc>
        <w:tc>
          <w:tcPr>
            <w:tcW w:w="748" w:type="pct"/>
            <w:noWrap/>
            <w:hideMark/>
          </w:tcPr>
          <w:p w14:paraId="0B821C49" w14:textId="77777777" w:rsidR="00F546AE" w:rsidRPr="0016789A" w:rsidRDefault="00F546AE">
            <w:pPr>
              <w:spacing w:after="0" w:line="240" w:lineRule="auto"/>
              <w:jc w:val="right"/>
              <w:rPr>
                <w:rFonts w:asciiTheme="minorHAnsi" w:eastAsia="Aptos" w:hAnsiTheme="minorHAnsi" w:cs="Arial"/>
                <w:szCs w:val="22"/>
              </w:rPr>
            </w:pPr>
            <w:r w:rsidRPr="0016789A">
              <w:rPr>
                <w:rFonts w:asciiTheme="minorHAnsi" w:eastAsia="Aptos" w:hAnsiTheme="minorHAnsi" w:cs="Arial"/>
                <w:szCs w:val="22"/>
              </w:rPr>
              <w:t>15.4%</w:t>
            </w:r>
          </w:p>
        </w:tc>
        <w:tc>
          <w:tcPr>
            <w:tcW w:w="885" w:type="pct"/>
            <w:noWrap/>
          </w:tcPr>
          <w:p w14:paraId="1983D9F7" w14:textId="77777777" w:rsidR="00F546AE" w:rsidRPr="0016789A" w:rsidRDefault="00F546AE">
            <w:pPr>
              <w:spacing w:after="0" w:line="240" w:lineRule="auto"/>
              <w:jc w:val="right"/>
              <w:rPr>
                <w:rFonts w:asciiTheme="minorHAnsi" w:eastAsia="Aptos" w:hAnsiTheme="minorHAnsi" w:cs="Arial"/>
                <w:szCs w:val="22"/>
              </w:rPr>
            </w:pPr>
            <w:r w:rsidRPr="0016789A">
              <w:rPr>
                <w:rFonts w:asciiTheme="minorHAnsi" w:eastAsia="Aptos" w:hAnsiTheme="minorHAnsi" w:cs="Arial"/>
                <w:szCs w:val="22"/>
              </w:rPr>
              <w:t>7.7%</w:t>
            </w:r>
          </w:p>
        </w:tc>
        <w:tc>
          <w:tcPr>
            <w:tcW w:w="1066" w:type="pct"/>
            <w:noWrap/>
          </w:tcPr>
          <w:p w14:paraId="724D8A1B" w14:textId="77777777" w:rsidR="00F546AE" w:rsidRPr="0016789A" w:rsidRDefault="00F546AE">
            <w:pPr>
              <w:spacing w:after="0" w:line="240" w:lineRule="auto"/>
              <w:jc w:val="right"/>
              <w:rPr>
                <w:rFonts w:asciiTheme="minorHAnsi" w:eastAsia="Aptos" w:hAnsiTheme="minorHAnsi" w:cs="Arial"/>
                <w:szCs w:val="22"/>
              </w:rPr>
            </w:pPr>
            <w:r w:rsidRPr="0016789A">
              <w:rPr>
                <w:rFonts w:asciiTheme="minorHAnsi" w:eastAsia="Aptos" w:hAnsiTheme="minorHAnsi" w:cs="Arial"/>
                <w:szCs w:val="22"/>
              </w:rPr>
              <w:t>76.9%</w:t>
            </w:r>
          </w:p>
        </w:tc>
        <w:tc>
          <w:tcPr>
            <w:tcW w:w="801" w:type="pct"/>
            <w:shd w:val="clear" w:color="auto" w:fill="F2F2F2" w:themeFill="background1" w:themeFillShade="F2"/>
            <w:noWrap/>
            <w:hideMark/>
          </w:tcPr>
          <w:p w14:paraId="23B8228D" w14:textId="77777777" w:rsidR="00F546AE" w:rsidRPr="0016789A" w:rsidRDefault="00F546AE">
            <w:pPr>
              <w:spacing w:after="0" w:line="240" w:lineRule="auto"/>
              <w:jc w:val="right"/>
              <w:rPr>
                <w:rFonts w:asciiTheme="minorHAnsi" w:eastAsia="Aptos" w:hAnsiTheme="minorHAnsi" w:cs="Arial"/>
                <w:b/>
                <w:szCs w:val="22"/>
              </w:rPr>
            </w:pPr>
            <w:r w:rsidRPr="0016789A">
              <w:rPr>
                <w:rFonts w:asciiTheme="minorHAnsi" w:eastAsia="Aptos" w:hAnsiTheme="minorHAnsi" w:cs="Arial"/>
                <w:b/>
                <w:szCs w:val="22"/>
              </w:rPr>
              <w:t>100.0%</w:t>
            </w:r>
          </w:p>
        </w:tc>
      </w:tr>
      <w:tr w:rsidR="00F546AE" w:rsidRPr="0016789A" w14:paraId="348CE79A" w14:textId="77777777" w:rsidTr="0016789A">
        <w:trPr>
          <w:trHeight w:val="17"/>
        </w:trPr>
        <w:tc>
          <w:tcPr>
            <w:tcW w:w="1501" w:type="pct"/>
            <w:noWrap/>
            <w:hideMark/>
          </w:tcPr>
          <w:p w14:paraId="56965AB3" w14:textId="259136BB" w:rsidR="00F546AE" w:rsidRPr="0016789A" w:rsidRDefault="00F546AE">
            <w:pPr>
              <w:spacing w:after="0" w:line="240" w:lineRule="auto"/>
              <w:rPr>
                <w:rFonts w:asciiTheme="minorHAnsi" w:eastAsia="Aptos" w:hAnsiTheme="minorHAnsi" w:cs="Arial"/>
                <w:szCs w:val="22"/>
              </w:rPr>
            </w:pPr>
            <w:r w:rsidRPr="0016789A">
              <w:rPr>
                <w:rFonts w:asciiTheme="minorHAnsi" w:eastAsia="Aptos" w:hAnsiTheme="minorHAnsi" w:cs="Arial"/>
                <w:szCs w:val="22"/>
              </w:rPr>
              <w:t>21</w:t>
            </w:r>
            <w:r w:rsidR="000F402B">
              <w:rPr>
                <w:rFonts w:asciiTheme="minorHAnsi" w:eastAsia="Symbol" w:hAnsiTheme="minorHAnsi" w:cs="Symbol"/>
                <w:szCs w:val="22"/>
              </w:rPr>
              <w:t>-</w:t>
            </w:r>
            <w:r w:rsidRPr="0016789A">
              <w:rPr>
                <w:rFonts w:asciiTheme="minorHAnsi" w:eastAsia="Aptos" w:hAnsiTheme="minorHAnsi" w:cs="Arial"/>
                <w:szCs w:val="22"/>
              </w:rPr>
              <w:t>200 (medium)</w:t>
            </w:r>
          </w:p>
        </w:tc>
        <w:tc>
          <w:tcPr>
            <w:tcW w:w="748" w:type="pct"/>
            <w:noWrap/>
            <w:hideMark/>
          </w:tcPr>
          <w:p w14:paraId="61225E6A" w14:textId="77777777" w:rsidR="00F546AE" w:rsidRPr="0016789A" w:rsidRDefault="00F546AE">
            <w:pPr>
              <w:spacing w:after="0" w:line="240" w:lineRule="auto"/>
              <w:jc w:val="right"/>
              <w:rPr>
                <w:rFonts w:asciiTheme="minorHAnsi" w:eastAsia="Aptos" w:hAnsiTheme="minorHAnsi" w:cs="Arial"/>
                <w:szCs w:val="22"/>
              </w:rPr>
            </w:pPr>
            <w:r w:rsidRPr="0016789A">
              <w:rPr>
                <w:rFonts w:asciiTheme="minorHAnsi" w:eastAsia="Aptos" w:hAnsiTheme="minorHAnsi" w:cs="Arial"/>
                <w:szCs w:val="22"/>
              </w:rPr>
              <w:t>27.7%</w:t>
            </w:r>
          </w:p>
        </w:tc>
        <w:tc>
          <w:tcPr>
            <w:tcW w:w="885" w:type="pct"/>
            <w:noWrap/>
          </w:tcPr>
          <w:p w14:paraId="7E8CFD18" w14:textId="77777777" w:rsidR="00F546AE" w:rsidRPr="0016789A" w:rsidRDefault="00F546AE">
            <w:pPr>
              <w:spacing w:after="0" w:line="240" w:lineRule="auto"/>
              <w:jc w:val="right"/>
              <w:rPr>
                <w:rFonts w:asciiTheme="minorHAnsi" w:eastAsia="Aptos" w:hAnsiTheme="minorHAnsi" w:cs="Arial"/>
                <w:szCs w:val="22"/>
              </w:rPr>
            </w:pPr>
            <w:r w:rsidRPr="0016789A">
              <w:rPr>
                <w:rFonts w:asciiTheme="minorHAnsi" w:eastAsia="Aptos" w:hAnsiTheme="minorHAnsi" w:cs="Arial"/>
                <w:szCs w:val="22"/>
              </w:rPr>
              <w:t>13.8%</w:t>
            </w:r>
          </w:p>
        </w:tc>
        <w:tc>
          <w:tcPr>
            <w:tcW w:w="1066" w:type="pct"/>
            <w:noWrap/>
          </w:tcPr>
          <w:p w14:paraId="01D673D7" w14:textId="77777777" w:rsidR="00F546AE" w:rsidRPr="0016789A" w:rsidRDefault="00F546AE">
            <w:pPr>
              <w:spacing w:after="0" w:line="240" w:lineRule="auto"/>
              <w:jc w:val="right"/>
              <w:rPr>
                <w:rFonts w:asciiTheme="minorHAnsi" w:eastAsia="Aptos" w:hAnsiTheme="minorHAnsi" w:cs="Arial"/>
                <w:szCs w:val="22"/>
              </w:rPr>
            </w:pPr>
            <w:r w:rsidRPr="0016789A">
              <w:rPr>
                <w:rFonts w:asciiTheme="minorHAnsi" w:eastAsia="Aptos" w:hAnsiTheme="minorHAnsi" w:cs="Arial"/>
                <w:szCs w:val="22"/>
              </w:rPr>
              <w:t>58.5%</w:t>
            </w:r>
          </w:p>
        </w:tc>
        <w:tc>
          <w:tcPr>
            <w:tcW w:w="801" w:type="pct"/>
            <w:shd w:val="clear" w:color="auto" w:fill="F2F2F2" w:themeFill="background1" w:themeFillShade="F2"/>
            <w:noWrap/>
            <w:hideMark/>
          </w:tcPr>
          <w:p w14:paraId="1B26A4CC" w14:textId="77777777" w:rsidR="00F546AE" w:rsidRPr="0016789A" w:rsidRDefault="00F546AE">
            <w:pPr>
              <w:spacing w:after="0" w:line="240" w:lineRule="auto"/>
              <w:jc w:val="right"/>
              <w:rPr>
                <w:rFonts w:asciiTheme="minorHAnsi" w:eastAsia="Aptos" w:hAnsiTheme="minorHAnsi" w:cs="Arial"/>
                <w:b/>
                <w:szCs w:val="22"/>
              </w:rPr>
            </w:pPr>
            <w:r w:rsidRPr="0016789A">
              <w:rPr>
                <w:rFonts w:asciiTheme="minorHAnsi" w:eastAsia="Aptos" w:hAnsiTheme="minorHAnsi" w:cs="Arial"/>
                <w:b/>
                <w:szCs w:val="22"/>
              </w:rPr>
              <w:t>100.0%</w:t>
            </w:r>
          </w:p>
        </w:tc>
      </w:tr>
      <w:tr w:rsidR="00F546AE" w:rsidRPr="0016789A" w14:paraId="68A674B4" w14:textId="77777777" w:rsidTr="0016789A">
        <w:trPr>
          <w:trHeight w:val="17"/>
        </w:trPr>
        <w:tc>
          <w:tcPr>
            <w:tcW w:w="1501" w:type="pct"/>
            <w:noWrap/>
            <w:hideMark/>
          </w:tcPr>
          <w:p w14:paraId="1C9DBFFC" w14:textId="77777777" w:rsidR="00F546AE" w:rsidRPr="0016789A" w:rsidRDefault="00F546AE">
            <w:pPr>
              <w:spacing w:after="0" w:line="240" w:lineRule="auto"/>
              <w:rPr>
                <w:rFonts w:asciiTheme="minorHAnsi" w:eastAsia="Aptos" w:hAnsiTheme="minorHAnsi" w:cs="Arial"/>
                <w:szCs w:val="22"/>
              </w:rPr>
            </w:pPr>
            <w:r w:rsidRPr="0016789A">
              <w:rPr>
                <w:rFonts w:asciiTheme="minorHAnsi" w:eastAsia="Aptos" w:hAnsiTheme="minorHAnsi" w:cs="Arial"/>
                <w:szCs w:val="22"/>
              </w:rPr>
              <w:t>200+ (large)</w:t>
            </w:r>
          </w:p>
        </w:tc>
        <w:tc>
          <w:tcPr>
            <w:tcW w:w="748" w:type="pct"/>
            <w:noWrap/>
            <w:hideMark/>
          </w:tcPr>
          <w:p w14:paraId="6ADAF37F" w14:textId="77777777" w:rsidR="00F546AE" w:rsidRPr="0016789A" w:rsidRDefault="00F546AE">
            <w:pPr>
              <w:spacing w:after="0" w:line="240" w:lineRule="auto"/>
              <w:jc w:val="right"/>
              <w:rPr>
                <w:rFonts w:asciiTheme="minorHAnsi" w:eastAsia="Aptos" w:hAnsiTheme="minorHAnsi" w:cs="Arial"/>
                <w:szCs w:val="22"/>
              </w:rPr>
            </w:pPr>
            <w:r w:rsidRPr="0016789A">
              <w:rPr>
                <w:rFonts w:asciiTheme="minorHAnsi" w:eastAsia="Aptos" w:hAnsiTheme="minorHAnsi" w:cs="Arial"/>
                <w:szCs w:val="22"/>
              </w:rPr>
              <w:t>39.9%</w:t>
            </w:r>
          </w:p>
        </w:tc>
        <w:tc>
          <w:tcPr>
            <w:tcW w:w="885" w:type="pct"/>
            <w:noWrap/>
          </w:tcPr>
          <w:p w14:paraId="6CBC3DE1" w14:textId="77777777" w:rsidR="00F546AE" w:rsidRPr="0016789A" w:rsidRDefault="00F546AE">
            <w:pPr>
              <w:spacing w:after="0" w:line="240" w:lineRule="auto"/>
              <w:jc w:val="right"/>
              <w:rPr>
                <w:rFonts w:asciiTheme="minorHAnsi" w:eastAsia="Aptos" w:hAnsiTheme="minorHAnsi" w:cs="Arial"/>
                <w:szCs w:val="22"/>
              </w:rPr>
            </w:pPr>
            <w:r w:rsidRPr="0016789A">
              <w:rPr>
                <w:rFonts w:asciiTheme="minorHAnsi" w:eastAsia="Aptos" w:hAnsiTheme="minorHAnsi" w:cs="Arial"/>
                <w:szCs w:val="22"/>
              </w:rPr>
              <w:t>12.8%</w:t>
            </w:r>
          </w:p>
        </w:tc>
        <w:tc>
          <w:tcPr>
            <w:tcW w:w="1066" w:type="pct"/>
            <w:noWrap/>
          </w:tcPr>
          <w:p w14:paraId="0C9ECC90" w14:textId="77777777" w:rsidR="00F546AE" w:rsidRPr="0016789A" w:rsidRDefault="00F546AE">
            <w:pPr>
              <w:spacing w:after="0" w:line="240" w:lineRule="auto"/>
              <w:jc w:val="right"/>
              <w:rPr>
                <w:rFonts w:asciiTheme="minorHAnsi" w:eastAsia="Aptos" w:hAnsiTheme="minorHAnsi" w:cs="Arial"/>
                <w:szCs w:val="22"/>
              </w:rPr>
            </w:pPr>
            <w:r w:rsidRPr="0016789A">
              <w:rPr>
                <w:rFonts w:asciiTheme="minorHAnsi" w:eastAsia="Aptos" w:hAnsiTheme="minorHAnsi" w:cs="Arial"/>
                <w:szCs w:val="22"/>
              </w:rPr>
              <w:t>47.3%</w:t>
            </w:r>
          </w:p>
        </w:tc>
        <w:tc>
          <w:tcPr>
            <w:tcW w:w="801" w:type="pct"/>
            <w:shd w:val="clear" w:color="auto" w:fill="F2F2F2" w:themeFill="background1" w:themeFillShade="F2"/>
            <w:noWrap/>
            <w:hideMark/>
          </w:tcPr>
          <w:p w14:paraId="431A7279" w14:textId="77777777" w:rsidR="00F546AE" w:rsidRPr="0016789A" w:rsidRDefault="00F546AE">
            <w:pPr>
              <w:spacing w:after="0" w:line="240" w:lineRule="auto"/>
              <w:jc w:val="right"/>
              <w:rPr>
                <w:rFonts w:asciiTheme="minorHAnsi" w:eastAsia="Aptos" w:hAnsiTheme="minorHAnsi" w:cs="Arial"/>
                <w:b/>
                <w:szCs w:val="22"/>
              </w:rPr>
            </w:pPr>
            <w:r w:rsidRPr="0016789A">
              <w:rPr>
                <w:rFonts w:asciiTheme="minorHAnsi" w:eastAsia="Aptos" w:hAnsiTheme="minorHAnsi" w:cs="Arial"/>
                <w:b/>
                <w:szCs w:val="22"/>
              </w:rPr>
              <w:t>100.0%</w:t>
            </w:r>
          </w:p>
        </w:tc>
      </w:tr>
    </w:tbl>
    <w:p w14:paraId="0192664B" w14:textId="77777777" w:rsidR="00F546AE" w:rsidRPr="000F1DE6" w:rsidRDefault="00F546AE" w:rsidP="00132A82">
      <w:pPr>
        <w:pStyle w:val="Paragraph"/>
        <w:spacing w:before="240"/>
        <w:rPr>
          <w:rFonts w:eastAsia="Aptos" w:cs="Arial"/>
          <w:kern w:val="2"/>
          <w:szCs w:val="22"/>
          <w14:ligatures w14:val="standardContextual"/>
        </w:rPr>
      </w:pPr>
      <w:r w:rsidRPr="000F1DE6">
        <w:rPr>
          <w:rFonts w:eastAsia="Aptos" w:cs="Arial"/>
          <w:kern w:val="2"/>
          <w:szCs w:val="22"/>
          <w14:ligatures w14:val="standardContextual"/>
        </w:rPr>
        <w:t>Table 15: Most respondents from small business answered ‘Yes’ (76.9%), compared with 58.5% in medium-sized businesses and 47.3% in large businesses. ‘No’ responses increased as business size increased, from 15.4% in small organisations to 27.7% in medium and 39.9% in large organisations. ‘Unsure’ responses remain low across all business sizes.</w:t>
      </w:r>
    </w:p>
    <w:p w14:paraId="686AF0EF" w14:textId="77777777" w:rsidR="00F546AE" w:rsidRPr="000F1DE6" w:rsidRDefault="00F546AE" w:rsidP="000D26F7">
      <w:pPr>
        <w:pStyle w:val="Caption"/>
      </w:pPr>
      <w:r w:rsidRPr="000F1DE6">
        <w:t>Data Table 16 HSR responses: resourcing</w:t>
      </w:r>
    </w:p>
    <w:p w14:paraId="69A9E8AC" w14:textId="77777777" w:rsidR="00F546AE" w:rsidRPr="000F1DE6" w:rsidRDefault="00F546AE" w:rsidP="00132A82">
      <w:pPr>
        <w:pStyle w:val="Paragraph"/>
        <w:spacing w:after="240"/>
        <w:rPr>
          <w:rFonts w:eastAsia="Aptos" w:cs="Arial"/>
          <w:kern w:val="2"/>
          <w:szCs w:val="22"/>
          <w14:ligatures w14:val="standardContextual"/>
        </w:rPr>
      </w:pPr>
      <w:r w:rsidRPr="000F1DE6">
        <w:rPr>
          <w:rFonts w:eastAsia="Aptos" w:cs="Arial"/>
          <w:kern w:val="2"/>
          <w:szCs w:val="22"/>
          <w14:ligatures w14:val="standardContextual"/>
        </w:rPr>
        <w:t xml:space="preserve">HSRs were asked whether they agree, disagree or were unsure in response to the statement (with results disaggregated by business size): ‘I and other HSRs are given adequate paid time and resources to fulfil our roles to represent workers and improve safety’. </w:t>
      </w:r>
    </w:p>
    <w:tbl>
      <w:tblPr>
        <w:tblStyle w:val="Style9"/>
        <w:tblW w:w="5000" w:type="pct"/>
        <w:tblCellMar>
          <w:top w:w="57" w:type="dxa"/>
          <w:bottom w:w="57" w:type="dxa"/>
        </w:tblCellMar>
        <w:tblLook w:val="04A0" w:firstRow="1" w:lastRow="0" w:firstColumn="1" w:lastColumn="0" w:noHBand="0" w:noVBand="1"/>
        <w:tblCaption w:val="Data Table 16 HSR responses: resourcing"/>
        <w:tblDescription w:val="Table outling responses from HSRs on whether they agree, disagree or were unsure in response to the statement (with results disaggregated by business size): ‘I and other HSRs are given adequate paid time and resources to fulfil our roles to represent workers and improve safety’.  Around half across all bsuinesses sizes responded 'yes'. Between 38% and 41.2% across all business sizes responded 'no'. &#10;"/>
      </w:tblPr>
      <w:tblGrid>
        <w:gridCol w:w="2436"/>
        <w:gridCol w:w="2266"/>
        <w:gridCol w:w="1568"/>
        <w:gridCol w:w="1506"/>
        <w:gridCol w:w="1976"/>
      </w:tblGrid>
      <w:tr w:rsidR="00F546AE" w:rsidRPr="0016789A" w14:paraId="25537A84" w14:textId="77777777" w:rsidTr="0016789A">
        <w:trPr>
          <w:trHeight w:val="20"/>
        </w:trPr>
        <w:tc>
          <w:tcPr>
            <w:tcW w:w="1249" w:type="pct"/>
            <w:vMerge w:val="restart"/>
            <w:shd w:val="clear" w:color="auto" w:fill="F2F2F2" w:themeFill="background1" w:themeFillShade="F2"/>
            <w:noWrap/>
            <w:vAlign w:val="bottom"/>
            <w:hideMark/>
          </w:tcPr>
          <w:p w14:paraId="365010B6" w14:textId="77777777" w:rsidR="00F546AE" w:rsidRPr="0016789A" w:rsidRDefault="00F546AE" w:rsidP="00132A82">
            <w:pPr>
              <w:spacing w:after="0" w:line="240" w:lineRule="auto"/>
              <w:rPr>
                <w:rFonts w:asciiTheme="minorHAnsi" w:eastAsia="Aptos" w:hAnsiTheme="minorHAnsi" w:cs="Arial"/>
                <w:b/>
                <w:szCs w:val="22"/>
              </w:rPr>
            </w:pPr>
            <w:r w:rsidRPr="0016789A">
              <w:rPr>
                <w:rFonts w:asciiTheme="minorHAnsi" w:eastAsia="Aptos" w:hAnsiTheme="minorHAnsi" w:cs="Arial"/>
                <w:b/>
                <w:szCs w:val="22"/>
              </w:rPr>
              <w:t>Business size</w:t>
            </w:r>
          </w:p>
        </w:tc>
        <w:tc>
          <w:tcPr>
            <w:tcW w:w="2737" w:type="pct"/>
            <w:gridSpan w:val="3"/>
            <w:shd w:val="clear" w:color="auto" w:fill="F2F2F2" w:themeFill="background1" w:themeFillShade="F2"/>
            <w:noWrap/>
            <w:vAlign w:val="bottom"/>
            <w:hideMark/>
          </w:tcPr>
          <w:p w14:paraId="389DE41E" w14:textId="77777777" w:rsidR="00F546AE" w:rsidRPr="0016789A" w:rsidRDefault="00F546AE" w:rsidP="00132A82">
            <w:pPr>
              <w:spacing w:after="0" w:line="240" w:lineRule="auto"/>
              <w:jc w:val="center"/>
              <w:rPr>
                <w:rFonts w:asciiTheme="minorHAnsi" w:eastAsia="Aptos" w:hAnsiTheme="minorHAnsi" w:cs="Arial"/>
                <w:szCs w:val="22"/>
              </w:rPr>
            </w:pPr>
            <w:r w:rsidRPr="0016789A">
              <w:rPr>
                <w:rFonts w:asciiTheme="minorHAnsi" w:eastAsia="Aptos" w:hAnsiTheme="minorHAnsi" w:cs="Arial"/>
                <w:b/>
                <w:szCs w:val="22"/>
              </w:rPr>
              <w:t>Percentage of HSR responses (%)</w:t>
            </w:r>
          </w:p>
        </w:tc>
        <w:tc>
          <w:tcPr>
            <w:tcW w:w="1013" w:type="pct"/>
            <w:vMerge w:val="restart"/>
            <w:shd w:val="clear" w:color="auto" w:fill="F2F2F2" w:themeFill="background1" w:themeFillShade="F2"/>
            <w:noWrap/>
            <w:vAlign w:val="bottom"/>
            <w:hideMark/>
          </w:tcPr>
          <w:p w14:paraId="1C45301D" w14:textId="77777777" w:rsidR="00F546AE" w:rsidRPr="0016789A" w:rsidRDefault="00F546AE" w:rsidP="00132A82">
            <w:pPr>
              <w:spacing w:after="0" w:line="240" w:lineRule="auto"/>
              <w:jc w:val="right"/>
              <w:rPr>
                <w:rFonts w:asciiTheme="minorHAnsi" w:eastAsia="Aptos" w:hAnsiTheme="minorHAnsi" w:cs="Arial"/>
                <w:b/>
                <w:szCs w:val="22"/>
              </w:rPr>
            </w:pPr>
            <w:r w:rsidRPr="0016789A">
              <w:rPr>
                <w:rFonts w:asciiTheme="minorHAnsi" w:eastAsia="Aptos" w:hAnsiTheme="minorHAnsi" w:cs="Arial"/>
                <w:b/>
                <w:szCs w:val="22"/>
              </w:rPr>
              <w:t>Total</w:t>
            </w:r>
          </w:p>
        </w:tc>
      </w:tr>
      <w:tr w:rsidR="00F546AE" w:rsidRPr="0016789A" w14:paraId="59AC9199" w14:textId="77777777" w:rsidTr="00E73993">
        <w:trPr>
          <w:trHeight w:val="20"/>
        </w:trPr>
        <w:tc>
          <w:tcPr>
            <w:tcW w:w="1249" w:type="pct"/>
            <w:vMerge/>
            <w:noWrap/>
            <w:hideMark/>
          </w:tcPr>
          <w:p w14:paraId="0E8FD35A" w14:textId="77777777" w:rsidR="00F546AE" w:rsidRPr="0016789A" w:rsidRDefault="00F546AE">
            <w:pPr>
              <w:spacing w:after="0" w:line="240" w:lineRule="auto"/>
              <w:rPr>
                <w:rFonts w:asciiTheme="minorHAnsi" w:eastAsia="Aptos" w:hAnsiTheme="minorHAnsi" w:cs="Arial"/>
                <w:szCs w:val="22"/>
              </w:rPr>
            </w:pPr>
          </w:p>
        </w:tc>
        <w:tc>
          <w:tcPr>
            <w:tcW w:w="1162" w:type="pct"/>
            <w:shd w:val="clear" w:color="auto" w:fill="F2F2F2" w:themeFill="background1" w:themeFillShade="F2"/>
            <w:noWrap/>
            <w:hideMark/>
          </w:tcPr>
          <w:p w14:paraId="3EABDC6B" w14:textId="77777777" w:rsidR="00F546AE" w:rsidRPr="0016789A" w:rsidRDefault="00F546AE">
            <w:pPr>
              <w:spacing w:after="0" w:line="240" w:lineRule="auto"/>
              <w:jc w:val="right"/>
              <w:rPr>
                <w:rFonts w:asciiTheme="minorHAnsi" w:eastAsia="Aptos" w:hAnsiTheme="minorHAnsi" w:cs="Arial"/>
                <w:szCs w:val="22"/>
              </w:rPr>
            </w:pPr>
            <w:r w:rsidRPr="0016789A">
              <w:rPr>
                <w:rFonts w:asciiTheme="minorHAnsi" w:eastAsia="Aptos" w:hAnsiTheme="minorHAnsi" w:cs="Arial"/>
                <w:szCs w:val="22"/>
              </w:rPr>
              <w:t>No</w:t>
            </w:r>
          </w:p>
        </w:tc>
        <w:tc>
          <w:tcPr>
            <w:tcW w:w="804" w:type="pct"/>
            <w:shd w:val="clear" w:color="auto" w:fill="F2F2F2" w:themeFill="background1" w:themeFillShade="F2"/>
            <w:noWrap/>
            <w:hideMark/>
          </w:tcPr>
          <w:p w14:paraId="6233BB9A" w14:textId="77777777" w:rsidR="00F546AE" w:rsidRPr="0016789A" w:rsidRDefault="00F546AE">
            <w:pPr>
              <w:spacing w:after="0" w:line="240" w:lineRule="auto"/>
              <w:jc w:val="right"/>
              <w:rPr>
                <w:rFonts w:asciiTheme="minorHAnsi" w:eastAsia="Aptos" w:hAnsiTheme="minorHAnsi" w:cs="Arial"/>
                <w:szCs w:val="22"/>
              </w:rPr>
            </w:pPr>
            <w:r w:rsidRPr="0016789A">
              <w:rPr>
                <w:rFonts w:asciiTheme="minorHAnsi" w:eastAsia="Aptos" w:hAnsiTheme="minorHAnsi" w:cs="Arial"/>
                <w:szCs w:val="22"/>
              </w:rPr>
              <w:t>Unsure</w:t>
            </w:r>
          </w:p>
        </w:tc>
        <w:tc>
          <w:tcPr>
            <w:tcW w:w="772" w:type="pct"/>
            <w:shd w:val="clear" w:color="auto" w:fill="F2F2F2" w:themeFill="background1" w:themeFillShade="F2"/>
            <w:noWrap/>
            <w:hideMark/>
          </w:tcPr>
          <w:p w14:paraId="75B0EEC4" w14:textId="77777777" w:rsidR="00F546AE" w:rsidRPr="0016789A" w:rsidRDefault="00F546AE">
            <w:pPr>
              <w:spacing w:after="0" w:line="240" w:lineRule="auto"/>
              <w:jc w:val="right"/>
              <w:rPr>
                <w:rFonts w:asciiTheme="minorHAnsi" w:eastAsia="Aptos" w:hAnsiTheme="minorHAnsi" w:cs="Arial"/>
                <w:szCs w:val="22"/>
              </w:rPr>
            </w:pPr>
            <w:r w:rsidRPr="0016789A">
              <w:rPr>
                <w:rFonts w:asciiTheme="minorHAnsi" w:eastAsia="Aptos" w:hAnsiTheme="minorHAnsi" w:cs="Arial"/>
                <w:szCs w:val="22"/>
              </w:rPr>
              <w:t>Yes</w:t>
            </w:r>
          </w:p>
        </w:tc>
        <w:tc>
          <w:tcPr>
            <w:tcW w:w="1013" w:type="pct"/>
            <w:vMerge/>
            <w:noWrap/>
            <w:hideMark/>
          </w:tcPr>
          <w:p w14:paraId="1FC4BDA8" w14:textId="77777777" w:rsidR="00F546AE" w:rsidRPr="0016789A" w:rsidRDefault="00F546AE">
            <w:pPr>
              <w:spacing w:after="0" w:line="240" w:lineRule="auto"/>
              <w:jc w:val="right"/>
              <w:rPr>
                <w:rFonts w:asciiTheme="minorHAnsi" w:eastAsia="Aptos" w:hAnsiTheme="minorHAnsi" w:cs="Arial"/>
                <w:szCs w:val="22"/>
              </w:rPr>
            </w:pPr>
          </w:p>
        </w:tc>
      </w:tr>
      <w:tr w:rsidR="00F546AE" w:rsidRPr="0016789A" w14:paraId="12B126A0" w14:textId="77777777" w:rsidTr="0016789A">
        <w:trPr>
          <w:trHeight w:val="17"/>
        </w:trPr>
        <w:tc>
          <w:tcPr>
            <w:tcW w:w="1249" w:type="pct"/>
            <w:noWrap/>
            <w:hideMark/>
          </w:tcPr>
          <w:p w14:paraId="4C5A83EE" w14:textId="55730A66" w:rsidR="00F546AE" w:rsidRPr="0016789A" w:rsidRDefault="00F546AE">
            <w:pPr>
              <w:spacing w:after="0" w:line="240" w:lineRule="auto"/>
              <w:rPr>
                <w:rFonts w:asciiTheme="minorHAnsi" w:eastAsia="Aptos" w:hAnsiTheme="minorHAnsi" w:cs="Arial"/>
                <w:szCs w:val="22"/>
              </w:rPr>
            </w:pPr>
            <w:r w:rsidRPr="0016789A">
              <w:rPr>
                <w:rFonts w:asciiTheme="minorHAnsi" w:eastAsia="Aptos" w:hAnsiTheme="minorHAnsi" w:cs="Arial"/>
                <w:szCs w:val="22"/>
              </w:rPr>
              <w:t>1</w:t>
            </w:r>
            <w:r w:rsidR="000F402B">
              <w:rPr>
                <w:rFonts w:asciiTheme="minorHAnsi" w:eastAsia="Symbol" w:hAnsiTheme="minorHAnsi" w:cs="Symbol"/>
                <w:szCs w:val="22"/>
              </w:rPr>
              <w:t>-</w:t>
            </w:r>
            <w:r w:rsidRPr="0016789A">
              <w:rPr>
                <w:rFonts w:asciiTheme="minorHAnsi" w:eastAsia="Aptos" w:hAnsiTheme="minorHAnsi" w:cs="Arial"/>
                <w:szCs w:val="22"/>
              </w:rPr>
              <w:t>20 (small)</w:t>
            </w:r>
          </w:p>
        </w:tc>
        <w:tc>
          <w:tcPr>
            <w:tcW w:w="1162" w:type="pct"/>
            <w:noWrap/>
            <w:hideMark/>
          </w:tcPr>
          <w:p w14:paraId="47842A23" w14:textId="77777777" w:rsidR="00F546AE" w:rsidRPr="0016789A" w:rsidRDefault="00F546AE">
            <w:pPr>
              <w:spacing w:after="0" w:line="240" w:lineRule="auto"/>
              <w:jc w:val="right"/>
              <w:rPr>
                <w:rFonts w:asciiTheme="minorHAnsi" w:eastAsia="Aptos" w:hAnsiTheme="minorHAnsi" w:cs="Arial"/>
                <w:szCs w:val="22"/>
              </w:rPr>
            </w:pPr>
            <w:r w:rsidRPr="0016789A">
              <w:rPr>
                <w:rFonts w:asciiTheme="minorHAnsi" w:eastAsia="Aptos" w:hAnsiTheme="minorHAnsi" w:cs="Arial"/>
                <w:szCs w:val="22"/>
              </w:rPr>
              <w:t>38.5%</w:t>
            </w:r>
          </w:p>
        </w:tc>
        <w:tc>
          <w:tcPr>
            <w:tcW w:w="804" w:type="pct"/>
            <w:noWrap/>
            <w:hideMark/>
          </w:tcPr>
          <w:p w14:paraId="3451510A" w14:textId="77777777" w:rsidR="00F546AE" w:rsidRPr="0016789A" w:rsidRDefault="00F546AE">
            <w:pPr>
              <w:spacing w:after="0" w:line="240" w:lineRule="auto"/>
              <w:jc w:val="right"/>
              <w:rPr>
                <w:rFonts w:asciiTheme="minorHAnsi" w:eastAsia="Aptos" w:hAnsiTheme="minorHAnsi" w:cs="Arial"/>
                <w:szCs w:val="22"/>
              </w:rPr>
            </w:pPr>
            <w:r w:rsidRPr="0016789A">
              <w:rPr>
                <w:rFonts w:asciiTheme="minorHAnsi" w:eastAsia="Aptos" w:hAnsiTheme="minorHAnsi" w:cs="Arial"/>
                <w:szCs w:val="22"/>
              </w:rPr>
              <w:t>15.4%</w:t>
            </w:r>
          </w:p>
        </w:tc>
        <w:tc>
          <w:tcPr>
            <w:tcW w:w="772" w:type="pct"/>
            <w:noWrap/>
            <w:hideMark/>
          </w:tcPr>
          <w:p w14:paraId="2E9EBBAF" w14:textId="77777777" w:rsidR="00F546AE" w:rsidRPr="0016789A" w:rsidRDefault="00F546AE">
            <w:pPr>
              <w:spacing w:after="0" w:line="240" w:lineRule="auto"/>
              <w:jc w:val="right"/>
              <w:rPr>
                <w:rFonts w:asciiTheme="minorHAnsi" w:eastAsia="Aptos" w:hAnsiTheme="minorHAnsi" w:cs="Arial"/>
                <w:szCs w:val="22"/>
              </w:rPr>
            </w:pPr>
            <w:r w:rsidRPr="0016789A">
              <w:rPr>
                <w:rFonts w:asciiTheme="minorHAnsi" w:eastAsia="Aptos" w:hAnsiTheme="minorHAnsi" w:cs="Arial"/>
                <w:szCs w:val="22"/>
              </w:rPr>
              <w:t>46.2%</w:t>
            </w:r>
          </w:p>
        </w:tc>
        <w:tc>
          <w:tcPr>
            <w:tcW w:w="1013" w:type="pct"/>
            <w:shd w:val="clear" w:color="auto" w:fill="F2F2F2" w:themeFill="background1" w:themeFillShade="F2"/>
            <w:noWrap/>
            <w:hideMark/>
          </w:tcPr>
          <w:p w14:paraId="1A92F441" w14:textId="77777777" w:rsidR="00F546AE" w:rsidRPr="0016789A" w:rsidRDefault="00F546AE">
            <w:pPr>
              <w:spacing w:after="0" w:line="240" w:lineRule="auto"/>
              <w:jc w:val="right"/>
              <w:rPr>
                <w:rFonts w:asciiTheme="minorHAnsi" w:eastAsia="Aptos" w:hAnsiTheme="minorHAnsi" w:cs="Arial"/>
                <w:b/>
                <w:szCs w:val="22"/>
              </w:rPr>
            </w:pPr>
            <w:r w:rsidRPr="0016789A">
              <w:rPr>
                <w:rFonts w:asciiTheme="minorHAnsi" w:eastAsia="Aptos" w:hAnsiTheme="minorHAnsi" w:cs="Arial"/>
                <w:b/>
                <w:szCs w:val="22"/>
              </w:rPr>
              <w:t>100.0%</w:t>
            </w:r>
          </w:p>
        </w:tc>
      </w:tr>
      <w:tr w:rsidR="00F546AE" w:rsidRPr="0016789A" w14:paraId="2A2B6BA3" w14:textId="77777777" w:rsidTr="0016789A">
        <w:trPr>
          <w:trHeight w:val="17"/>
        </w:trPr>
        <w:tc>
          <w:tcPr>
            <w:tcW w:w="1249" w:type="pct"/>
            <w:noWrap/>
            <w:hideMark/>
          </w:tcPr>
          <w:p w14:paraId="312386C4" w14:textId="62E21AA0" w:rsidR="00F546AE" w:rsidRPr="0016789A" w:rsidRDefault="00F546AE">
            <w:pPr>
              <w:spacing w:after="0" w:line="240" w:lineRule="auto"/>
              <w:rPr>
                <w:rFonts w:asciiTheme="minorHAnsi" w:eastAsia="Aptos" w:hAnsiTheme="minorHAnsi" w:cs="Arial"/>
                <w:szCs w:val="22"/>
              </w:rPr>
            </w:pPr>
            <w:r w:rsidRPr="0016789A">
              <w:rPr>
                <w:rFonts w:asciiTheme="minorHAnsi" w:eastAsia="Aptos" w:hAnsiTheme="minorHAnsi" w:cs="Arial"/>
                <w:szCs w:val="22"/>
              </w:rPr>
              <w:t>21</w:t>
            </w:r>
            <w:r w:rsidR="000F402B">
              <w:rPr>
                <w:rFonts w:asciiTheme="minorHAnsi" w:eastAsia="Symbol" w:hAnsiTheme="minorHAnsi" w:cs="Symbol"/>
                <w:szCs w:val="22"/>
              </w:rPr>
              <w:t>-</w:t>
            </w:r>
            <w:r w:rsidRPr="0016789A">
              <w:rPr>
                <w:rFonts w:asciiTheme="minorHAnsi" w:eastAsia="Aptos" w:hAnsiTheme="minorHAnsi" w:cs="Arial"/>
                <w:szCs w:val="22"/>
              </w:rPr>
              <w:t>200 (medium)</w:t>
            </w:r>
          </w:p>
        </w:tc>
        <w:tc>
          <w:tcPr>
            <w:tcW w:w="1162" w:type="pct"/>
            <w:noWrap/>
            <w:hideMark/>
          </w:tcPr>
          <w:p w14:paraId="3AF5E159" w14:textId="77777777" w:rsidR="00F546AE" w:rsidRPr="0016789A" w:rsidRDefault="00F546AE">
            <w:pPr>
              <w:spacing w:after="0" w:line="240" w:lineRule="auto"/>
              <w:jc w:val="right"/>
              <w:rPr>
                <w:rFonts w:asciiTheme="minorHAnsi" w:eastAsia="Aptos" w:hAnsiTheme="minorHAnsi" w:cs="Arial"/>
                <w:szCs w:val="22"/>
              </w:rPr>
            </w:pPr>
            <w:r w:rsidRPr="0016789A">
              <w:rPr>
                <w:rFonts w:asciiTheme="minorHAnsi" w:eastAsia="Aptos" w:hAnsiTheme="minorHAnsi" w:cs="Arial"/>
                <w:szCs w:val="22"/>
              </w:rPr>
              <w:t>44.6%</w:t>
            </w:r>
          </w:p>
        </w:tc>
        <w:tc>
          <w:tcPr>
            <w:tcW w:w="804" w:type="pct"/>
            <w:noWrap/>
            <w:hideMark/>
          </w:tcPr>
          <w:p w14:paraId="05D2EC80" w14:textId="77777777" w:rsidR="00F546AE" w:rsidRPr="0016789A" w:rsidRDefault="00F546AE">
            <w:pPr>
              <w:spacing w:after="0" w:line="240" w:lineRule="auto"/>
              <w:jc w:val="right"/>
              <w:rPr>
                <w:rFonts w:asciiTheme="minorHAnsi" w:eastAsia="Aptos" w:hAnsiTheme="minorHAnsi" w:cs="Arial"/>
                <w:szCs w:val="22"/>
              </w:rPr>
            </w:pPr>
            <w:r w:rsidRPr="0016789A">
              <w:rPr>
                <w:rFonts w:asciiTheme="minorHAnsi" w:eastAsia="Aptos" w:hAnsiTheme="minorHAnsi" w:cs="Arial"/>
                <w:szCs w:val="22"/>
              </w:rPr>
              <w:t>3.1%</w:t>
            </w:r>
          </w:p>
        </w:tc>
        <w:tc>
          <w:tcPr>
            <w:tcW w:w="772" w:type="pct"/>
            <w:noWrap/>
            <w:hideMark/>
          </w:tcPr>
          <w:p w14:paraId="07C7A3D3" w14:textId="77777777" w:rsidR="00F546AE" w:rsidRPr="0016789A" w:rsidRDefault="00F546AE">
            <w:pPr>
              <w:spacing w:after="0" w:line="240" w:lineRule="auto"/>
              <w:jc w:val="right"/>
              <w:rPr>
                <w:rFonts w:asciiTheme="minorHAnsi" w:eastAsia="Aptos" w:hAnsiTheme="minorHAnsi" w:cs="Arial"/>
                <w:szCs w:val="22"/>
              </w:rPr>
            </w:pPr>
            <w:r w:rsidRPr="0016789A">
              <w:rPr>
                <w:rFonts w:asciiTheme="minorHAnsi" w:eastAsia="Aptos" w:hAnsiTheme="minorHAnsi" w:cs="Arial"/>
                <w:szCs w:val="22"/>
              </w:rPr>
              <w:t>52.3%</w:t>
            </w:r>
          </w:p>
        </w:tc>
        <w:tc>
          <w:tcPr>
            <w:tcW w:w="1013" w:type="pct"/>
            <w:shd w:val="clear" w:color="auto" w:fill="F2F2F2" w:themeFill="background1" w:themeFillShade="F2"/>
            <w:noWrap/>
            <w:hideMark/>
          </w:tcPr>
          <w:p w14:paraId="10E48768" w14:textId="77777777" w:rsidR="00F546AE" w:rsidRPr="0016789A" w:rsidRDefault="00F546AE">
            <w:pPr>
              <w:spacing w:after="0" w:line="240" w:lineRule="auto"/>
              <w:jc w:val="right"/>
              <w:rPr>
                <w:rFonts w:asciiTheme="minorHAnsi" w:eastAsia="Aptos" w:hAnsiTheme="minorHAnsi" w:cs="Arial"/>
                <w:b/>
                <w:szCs w:val="22"/>
              </w:rPr>
            </w:pPr>
            <w:r w:rsidRPr="0016789A">
              <w:rPr>
                <w:rFonts w:asciiTheme="minorHAnsi" w:eastAsia="Aptos" w:hAnsiTheme="minorHAnsi" w:cs="Arial"/>
                <w:b/>
                <w:szCs w:val="22"/>
              </w:rPr>
              <w:t>100.0%</w:t>
            </w:r>
          </w:p>
        </w:tc>
      </w:tr>
      <w:tr w:rsidR="00F546AE" w:rsidRPr="0016789A" w14:paraId="5E1812E1" w14:textId="77777777" w:rsidTr="0016789A">
        <w:trPr>
          <w:trHeight w:val="17"/>
        </w:trPr>
        <w:tc>
          <w:tcPr>
            <w:tcW w:w="1249" w:type="pct"/>
            <w:noWrap/>
            <w:hideMark/>
          </w:tcPr>
          <w:p w14:paraId="5ECD114C" w14:textId="77777777" w:rsidR="00F546AE" w:rsidRPr="0016789A" w:rsidRDefault="00F546AE">
            <w:pPr>
              <w:spacing w:after="0" w:line="240" w:lineRule="auto"/>
              <w:rPr>
                <w:rFonts w:asciiTheme="minorHAnsi" w:eastAsia="Aptos" w:hAnsiTheme="minorHAnsi" w:cs="Arial"/>
                <w:szCs w:val="22"/>
              </w:rPr>
            </w:pPr>
            <w:r w:rsidRPr="0016789A">
              <w:rPr>
                <w:rFonts w:asciiTheme="minorHAnsi" w:eastAsia="Aptos" w:hAnsiTheme="minorHAnsi" w:cs="Arial"/>
                <w:szCs w:val="22"/>
              </w:rPr>
              <w:t>200+ (large)</w:t>
            </w:r>
          </w:p>
        </w:tc>
        <w:tc>
          <w:tcPr>
            <w:tcW w:w="1162" w:type="pct"/>
            <w:noWrap/>
            <w:hideMark/>
          </w:tcPr>
          <w:p w14:paraId="7C1D7C94" w14:textId="77777777" w:rsidR="00F546AE" w:rsidRPr="0016789A" w:rsidRDefault="00F546AE">
            <w:pPr>
              <w:spacing w:after="0" w:line="240" w:lineRule="auto"/>
              <w:jc w:val="right"/>
              <w:rPr>
                <w:rFonts w:asciiTheme="minorHAnsi" w:eastAsia="Aptos" w:hAnsiTheme="minorHAnsi" w:cs="Arial"/>
                <w:szCs w:val="22"/>
              </w:rPr>
            </w:pPr>
            <w:r w:rsidRPr="0016789A">
              <w:rPr>
                <w:rFonts w:asciiTheme="minorHAnsi" w:eastAsia="Aptos" w:hAnsiTheme="minorHAnsi" w:cs="Arial"/>
                <w:szCs w:val="22"/>
              </w:rPr>
              <w:t>41.2%</w:t>
            </w:r>
          </w:p>
        </w:tc>
        <w:tc>
          <w:tcPr>
            <w:tcW w:w="804" w:type="pct"/>
            <w:noWrap/>
            <w:hideMark/>
          </w:tcPr>
          <w:p w14:paraId="12413028" w14:textId="77777777" w:rsidR="00F546AE" w:rsidRPr="0016789A" w:rsidRDefault="00F546AE">
            <w:pPr>
              <w:spacing w:after="0" w:line="240" w:lineRule="auto"/>
              <w:jc w:val="right"/>
              <w:rPr>
                <w:rFonts w:asciiTheme="minorHAnsi" w:eastAsia="Aptos" w:hAnsiTheme="minorHAnsi" w:cs="Arial"/>
                <w:szCs w:val="22"/>
              </w:rPr>
            </w:pPr>
            <w:r w:rsidRPr="0016789A">
              <w:rPr>
                <w:rFonts w:asciiTheme="minorHAnsi" w:eastAsia="Aptos" w:hAnsiTheme="minorHAnsi" w:cs="Arial"/>
                <w:szCs w:val="22"/>
              </w:rPr>
              <w:t>12.8%</w:t>
            </w:r>
          </w:p>
        </w:tc>
        <w:tc>
          <w:tcPr>
            <w:tcW w:w="772" w:type="pct"/>
            <w:noWrap/>
            <w:hideMark/>
          </w:tcPr>
          <w:p w14:paraId="69E121B4" w14:textId="77777777" w:rsidR="00F546AE" w:rsidRPr="0016789A" w:rsidRDefault="00F546AE">
            <w:pPr>
              <w:spacing w:after="0" w:line="240" w:lineRule="auto"/>
              <w:jc w:val="right"/>
              <w:rPr>
                <w:rFonts w:asciiTheme="minorHAnsi" w:eastAsia="Aptos" w:hAnsiTheme="minorHAnsi" w:cs="Arial"/>
                <w:szCs w:val="22"/>
              </w:rPr>
            </w:pPr>
            <w:r w:rsidRPr="0016789A">
              <w:rPr>
                <w:rFonts w:asciiTheme="minorHAnsi" w:eastAsia="Aptos" w:hAnsiTheme="minorHAnsi" w:cs="Arial"/>
                <w:szCs w:val="22"/>
              </w:rPr>
              <w:t>45.9%</w:t>
            </w:r>
          </w:p>
        </w:tc>
        <w:tc>
          <w:tcPr>
            <w:tcW w:w="1013" w:type="pct"/>
            <w:shd w:val="clear" w:color="auto" w:fill="F2F2F2" w:themeFill="background1" w:themeFillShade="F2"/>
            <w:noWrap/>
            <w:hideMark/>
          </w:tcPr>
          <w:p w14:paraId="7CD6F8EA" w14:textId="77777777" w:rsidR="00F546AE" w:rsidRPr="0016789A" w:rsidRDefault="00F546AE">
            <w:pPr>
              <w:spacing w:after="0" w:line="240" w:lineRule="auto"/>
              <w:jc w:val="right"/>
              <w:rPr>
                <w:rFonts w:asciiTheme="minorHAnsi" w:eastAsia="Aptos" w:hAnsiTheme="minorHAnsi" w:cs="Arial"/>
                <w:b/>
                <w:szCs w:val="22"/>
              </w:rPr>
            </w:pPr>
            <w:r w:rsidRPr="0016789A">
              <w:rPr>
                <w:rFonts w:asciiTheme="minorHAnsi" w:eastAsia="Aptos" w:hAnsiTheme="minorHAnsi" w:cs="Arial"/>
                <w:b/>
                <w:szCs w:val="22"/>
              </w:rPr>
              <w:t>100.0%</w:t>
            </w:r>
          </w:p>
        </w:tc>
      </w:tr>
    </w:tbl>
    <w:p w14:paraId="5C9934E7" w14:textId="77777777" w:rsidR="00F546AE" w:rsidRPr="000F1DE6" w:rsidRDefault="00F546AE" w:rsidP="00F546AE">
      <w:pPr>
        <w:spacing w:after="160" w:line="240" w:lineRule="auto"/>
        <w:rPr>
          <w:rFonts w:asciiTheme="minorHAnsi" w:eastAsia="Aptos" w:hAnsiTheme="minorHAnsi" w:cs="Arial"/>
          <w:kern w:val="2"/>
          <w:szCs w:val="22"/>
          <w14:ligatures w14:val="standardContextual"/>
        </w:rPr>
      </w:pPr>
    </w:p>
    <w:p w14:paraId="04A40DBC" w14:textId="77777777" w:rsidR="00181B1E" w:rsidRDefault="00181B1E">
      <w:pPr>
        <w:spacing w:after="200" w:line="276" w:lineRule="auto"/>
        <w:contextualSpacing w:val="0"/>
        <w:rPr>
          <w:rFonts w:asciiTheme="minorHAnsi" w:eastAsia="Aptos" w:hAnsiTheme="minorHAnsi" w:cs="Arial"/>
          <w:b/>
          <w:color w:val="7030A0"/>
          <w:kern w:val="2"/>
          <w:szCs w:val="22"/>
          <w14:ligatures w14:val="standardContextual"/>
        </w:rPr>
      </w:pPr>
      <w:r>
        <w:rPr>
          <w:rFonts w:asciiTheme="minorHAnsi" w:eastAsia="Aptos" w:hAnsiTheme="minorHAnsi" w:cs="Arial"/>
          <w:b/>
          <w:color w:val="7030A0"/>
          <w:kern w:val="2"/>
          <w:szCs w:val="22"/>
          <w14:ligatures w14:val="standardContextual"/>
        </w:rPr>
        <w:br w:type="page"/>
      </w:r>
    </w:p>
    <w:p w14:paraId="7C8F62B9" w14:textId="6B8912D3" w:rsidR="00F546AE" w:rsidRPr="000F1DE6" w:rsidRDefault="00F546AE" w:rsidP="000D26F7">
      <w:pPr>
        <w:pStyle w:val="Caption"/>
      </w:pPr>
      <w:r w:rsidRPr="000F1DE6">
        <w:lastRenderedPageBreak/>
        <w:t>Figure 8 HSR responses: nature of disagreements</w:t>
      </w:r>
    </w:p>
    <w:p w14:paraId="23CB4720" w14:textId="031CFCFE" w:rsidR="00F546AE" w:rsidRPr="000F1DE6" w:rsidRDefault="00F546AE" w:rsidP="00F546AE">
      <w:pPr>
        <w:pStyle w:val="Paragraph"/>
        <w:rPr>
          <w:rFonts w:eastAsia="Aptos" w:cs="Arial"/>
          <w:i/>
          <w:kern w:val="2"/>
          <w:szCs w:val="22"/>
          <w14:ligatures w14:val="standardContextual"/>
        </w:rPr>
      </w:pPr>
      <w:r w:rsidRPr="000F1DE6">
        <w:rPr>
          <w:rFonts w:eastAsia="Aptos" w:cs="Arial"/>
          <w:kern w:val="2"/>
          <w:szCs w:val="22"/>
          <w14:ligatures w14:val="standardContextual"/>
        </w:rPr>
        <w:t>HSRs were asked to respond to the prompt ‘As an HSR, I have experienced disagreements within my workplace about</w:t>
      </w:r>
      <w:r>
        <w:rPr>
          <w:rFonts w:eastAsia="Aptos" w:cs="Arial"/>
          <w:kern w:val="2"/>
          <w:szCs w:val="22"/>
          <w14:ligatures w14:val="standardContextual"/>
        </w:rPr>
        <w:t xml:space="preserve"> </w:t>
      </w:r>
      <w:r w:rsidRPr="000F1DE6">
        <w:rPr>
          <w:rFonts w:eastAsia="Aptos" w:cs="Arial"/>
          <w:kern w:val="2"/>
          <w:szCs w:val="22"/>
          <w14:ligatures w14:val="standardContextual"/>
        </w:rPr>
        <w:t>…’</w:t>
      </w:r>
    </w:p>
    <w:p w14:paraId="48744A1A" w14:textId="31C3CEA0" w:rsidR="00F546AE" w:rsidRPr="000F1DE6" w:rsidRDefault="00132A82" w:rsidP="00132A82">
      <w:pPr>
        <w:pStyle w:val="Paragraph"/>
        <w:rPr>
          <w:rFonts w:eastAsia="Aptos"/>
        </w:rPr>
      </w:pPr>
      <w:r>
        <w:rPr>
          <w:noProof/>
        </w:rPr>
        <w:drawing>
          <wp:inline distT="0" distB="0" distL="0" distR="0" wp14:anchorId="3FDA8E51" wp14:editId="7CF514AD">
            <wp:extent cx="6143625" cy="3495675"/>
            <wp:effectExtent l="0" t="0" r="0" b="0"/>
            <wp:docPr id="430353212" name="Chart 1" descr="Figure 8 HSR responses: nature of disagreements.&#10;&#10;HSRs were asked to respond to the prompt ‘As an HSR, I have experienced disagreements within my workplace about …’&#10; &#10;Refer to description below.&#10;">
              <a:extLst xmlns:a="http://schemas.openxmlformats.org/drawingml/2006/main">
                <a:ext uri="{FF2B5EF4-FFF2-40B4-BE49-F238E27FC236}">
                  <a16:creationId xmlns:a16="http://schemas.microsoft.com/office/drawing/2014/main" id="{C123F63D-CAD7-4DC7-A635-746AA44089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0"/>
              </a:graphicData>
            </a:graphic>
          </wp:inline>
        </w:drawing>
      </w:r>
    </w:p>
    <w:p w14:paraId="304B991E" w14:textId="77777777" w:rsidR="00F546AE" w:rsidRPr="0016789A" w:rsidRDefault="00F546AE" w:rsidP="00132A82">
      <w:pPr>
        <w:pStyle w:val="Paragraph"/>
        <w:rPr>
          <w:rFonts w:eastAsia="Aptos"/>
          <w:i/>
          <w:iCs/>
          <w:sz w:val="20"/>
          <w:szCs w:val="20"/>
        </w:rPr>
      </w:pPr>
      <w:r w:rsidRPr="0016789A">
        <w:rPr>
          <w:rFonts w:eastAsia="Aptos"/>
          <w:i/>
          <w:iCs/>
          <w:sz w:val="20"/>
          <w:szCs w:val="20"/>
        </w:rPr>
        <w:t>* Note: free-text responses were recategorised into existing/new categories.</w:t>
      </w:r>
    </w:p>
    <w:p w14:paraId="62C3CE70" w14:textId="77777777" w:rsidR="00F21CE3" w:rsidRDefault="00F546AE" w:rsidP="00F546AE">
      <w:pPr>
        <w:pStyle w:val="Paragraph"/>
        <w:rPr>
          <w:rFonts w:eastAsia="Aptos" w:cs="Arial"/>
          <w:kern w:val="2"/>
          <w:szCs w:val="22"/>
          <w14:ligatures w14:val="standardContextual"/>
        </w:rPr>
      </w:pPr>
      <w:r w:rsidRPr="000F1DE6">
        <w:rPr>
          <w:rFonts w:eastAsia="Aptos" w:cs="Arial"/>
          <w:kern w:val="2"/>
          <w:szCs w:val="22"/>
          <w14:ligatures w14:val="standardContextual"/>
        </w:rPr>
        <w:t>Figure 8: HSRs most often had experienced disagreements with their workplace about the functions of their role and access to WHS information. Around a third reported disagreements about the time needed to do HSR duties and about training. Fewer disagreements were reported about training providers, training costs, or involvement in PCBU duties.</w:t>
      </w:r>
    </w:p>
    <w:p w14:paraId="603E8A83" w14:textId="2F68CE6C" w:rsidR="00912145" w:rsidRPr="00E56436" w:rsidRDefault="0002200F" w:rsidP="00E56436">
      <w:pPr>
        <w:pStyle w:val="SWAHeading3"/>
        <w:rPr>
          <w:b/>
          <w:bCs/>
        </w:rPr>
      </w:pPr>
      <w:r w:rsidRPr="00E56436">
        <w:rPr>
          <w:b/>
          <w:bCs/>
        </w:rPr>
        <w:t>Employer survey</w:t>
      </w:r>
    </w:p>
    <w:p w14:paraId="2A6CE611" w14:textId="77777777" w:rsidR="00F21CE3" w:rsidRDefault="00CF0950" w:rsidP="00CF0950">
      <w:pPr>
        <w:pStyle w:val="SWAHeading3"/>
        <w:rPr>
          <w:color w:val="2B0A99"/>
        </w:rPr>
      </w:pPr>
      <w:r w:rsidRPr="000F1DE6">
        <w:rPr>
          <w:color w:val="2B0A99"/>
        </w:rPr>
        <w:t>Methodology</w:t>
      </w:r>
    </w:p>
    <w:p w14:paraId="05634E4C" w14:textId="77777777" w:rsidR="00F21CE3" w:rsidRDefault="00CF0950" w:rsidP="00CF0950">
      <w:pPr>
        <w:pStyle w:val="Paragraph"/>
      </w:pPr>
      <w:r w:rsidRPr="000F1DE6">
        <w:rPr>
          <w:rFonts w:eastAsia="Aptos"/>
        </w:rPr>
        <w:t>Safe Work Australia</w:t>
      </w:r>
      <w:r w:rsidRPr="000F1DE6">
        <w:t xml:space="preserve"> circulated a survey through to gather input from employers. The survey was published on the </w:t>
      </w:r>
      <w:r w:rsidRPr="000F1DE6">
        <w:rPr>
          <w:rFonts w:eastAsia="Aptos"/>
        </w:rPr>
        <w:t>Safe Work Australia</w:t>
      </w:r>
      <w:r w:rsidRPr="000F1DE6">
        <w:t xml:space="preserve"> Consultation Hub as part of the consultation period for this Review and to inform the </w:t>
      </w:r>
      <w:r>
        <w:t>f</w:t>
      </w:r>
      <w:r w:rsidRPr="000F1DE6">
        <w:t xml:space="preserve">inal </w:t>
      </w:r>
      <w:r>
        <w:t>r</w:t>
      </w:r>
      <w:r w:rsidRPr="000F1DE6">
        <w:t xml:space="preserve">eport. It was promoted on social media, with support from Australian Industry Group and ACCI to increase participation. The survey questions were developed in consultation with the relevant </w:t>
      </w:r>
      <w:r w:rsidRPr="000F1DE6">
        <w:rPr>
          <w:rFonts w:eastAsia="Aptos"/>
        </w:rPr>
        <w:t>Safe Work Australia</w:t>
      </w:r>
      <w:r w:rsidRPr="000F1DE6">
        <w:t xml:space="preserve"> Members. The survey received 87 responses between 1 September </w:t>
      </w:r>
      <w:r>
        <w:t xml:space="preserve">and </w:t>
      </w:r>
      <w:r w:rsidRPr="000F1DE6">
        <w:t>30 November 2025. It included multiple choice and free-text questions, with responses analysed to identify emerging issues. Free-text responses were grouped into similar themes.</w:t>
      </w:r>
    </w:p>
    <w:p w14:paraId="43139ED0" w14:textId="77777777" w:rsidR="00F21CE3" w:rsidRDefault="00CF0950" w:rsidP="00CF0950">
      <w:pPr>
        <w:pStyle w:val="SWAHeading3"/>
        <w:rPr>
          <w:color w:val="2B0A99"/>
        </w:rPr>
      </w:pPr>
      <w:r w:rsidRPr="000F1DE6">
        <w:rPr>
          <w:color w:val="2B0A99"/>
        </w:rPr>
        <w:t>Snapshot of survey respondents</w:t>
      </w:r>
    </w:p>
    <w:p w14:paraId="187731C5" w14:textId="4DBF685D" w:rsidR="00CF0950" w:rsidRPr="000E3A00" w:rsidRDefault="00CF0950" w:rsidP="008459B6">
      <w:pPr>
        <w:pStyle w:val="SWAHeading4"/>
      </w:pPr>
      <w:r w:rsidRPr="000E3A00">
        <w:t>Industry</w:t>
      </w:r>
    </w:p>
    <w:p w14:paraId="2FBD1315" w14:textId="51A15860" w:rsidR="00CF0950" w:rsidRPr="000F1DE6" w:rsidRDefault="00CF0950" w:rsidP="00CF0950">
      <w:pPr>
        <w:pStyle w:val="Paragraph"/>
      </w:pPr>
      <w:r w:rsidRPr="000F1DE6">
        <w:t xml:space="preserve">Most survey respondents reported their company operated in the Construction (27.9%), </w:t>
      </w:r>
      <w:r w:rsidRPr="000F1DE6">
        <w:br/>
        <w:t>Manufacturing (18.6%), Professional, Scientific and Technical Services (12.8%) and/or the Transport, Postal and Warehousing (12.8%) industries.</w:t>
      </w:r>
    </w:p>
    <w:p w14:paraId="2E867519" w14:textId="5B45DDBF" w:rsidR="00CF0950" w:rsidRPr="000D26F7" w:rsidRDefault="00CF0950" w:rsidP="00132A82">
      <w:pPr>
        <w:pStyle w:val="Caption"/>
        <w:rPr>
          <w:rFonts w:ascii="Arial" w:hAnsi="Arial"/>
        </w:rPr>
      </w:pPr>
      <w:r w:rsidRPr="000F1DE6">
        <w:lastRenderedPageBreak/>
        <w:t>Figure 9 Proportion of respondents by industry</w:t>
      </w:r>
    </w:p>
    <w:p w14:paraId="77470CE1" w14:textId="7D1A6A16" w:rsidR="00CF0950" w:rsidRPr="000F1DE6" w:rsidRDefault="00132A82" w:rsidP="00132A82">
      <w:pPr>
        <w:pStyle w:val="Paragraph"/>
      </w:pPr>
      <w:r>
        <w:rPr>
          <w:noProof/>
        </w:rPr>
        <w:drawing>
          <wp:inline distT="0" distB="0" distL="0" distR="0" wp14:anchorId="7964C80C" wp14:editId="09894FAF">
            <wp:extent cx="6172200" cy="3752850"/>
            <wp:effectExtent l="0" t="0" r="0" b="0"/>
            <wp:docPr id="602581229" name="Chart 1" descr="Figure 9 Proportion of respondents by industry.&#10;&#10;Graph outlines which industries respondents to the survey work in. 27.9% are in construction, 18.6% are in manufacturing. 'Mining', 'public administration and safety', 'health care and social assistance', 'transport, postal and warehousing', and 'professional, scientific and technical services' each had between 10.5% and 12.8% of respondents. ">
              <a:extLst xmlns:a="http://schemas.openxmlformats.org/drawingml/2006/main">
                <a:ext uri="{FF2B5EF4-FFF2-40B4-BE49-F238E27FC236}">
                  <a16:creationId xmlns:a16="http://schemas.microsoft.com/office/drawing/2014/main" id="{681924CB-A3DC-4793-87AE-C19CE92154C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1"/>
              </a:graphicData>
            </a:graphic>
          </wp:inline>
        </w:drawing>
      </w:r>
    </w:p>
    <w:p w14:paraId="7BC61AE8" w14:textId="77777777" w:rsidR="00CF0950" w:rsidRPr="000F1DE6" w:rsidRDefault="00CF0950" w:rsidP="00132A82">
      <w:pPr>
        <w:pStyle w:val="Paragraph"/>
        <w:rPr>
          <w:i/>
          <w:sz w:val="20"/>
          <w:szCs w:val="20"/>
        </w:rPr>
      </w:pPr>
      <w:r w:rsidRPr="000F1DE6">
        <w:rPr>
          <w:i/>
          <w:sz w:val="20"/>
          <w:szCs w:val="20"/>
        </w:rPr>
        <w:t>* Note: Respondents were able to select more than one option; percentages therefore do not sum to 100%.</w:t>
      </w:r>
    </w:p>
    <w:p w14:paraId="66769A00" w14:textId="77777777" w:rsidR="00CF0950" w:rsidRPr="000E3A00" w:rsidRDefault="00CF0950" w:rsidP="008459B6">
      <w:pPr>
        <w:pStyle w:val="SWAHeading4"/>
      </w:pPr>
      <w:r w:rsidRPr="000E3A00">
        <w:t>Jurisdiction</w:t>
      </w:r>
    </w:p>
    <w:p w14:paraId="44681488" w14:textId="7BEB3CBE" w:rsidR="00CF0950" w:rsidRPr="000D26F7" w:rsidRDefault="00CF0950" w:rsidP="0016789A">
      <w:pPr>
        <w:pStyle w:val="Caption"/>
        <w:spacing w:before="120"/>
      </w:pPr>
      <w:r w:rsidRPr="000F1DE6">
        <w:t>Figure 10 Proportion of respondents by jurisdiction(s) of operation</w:t>
      </w:r>
    </w:p>
    <w:p w14:paraId="67E86FA8" w14:textId="7F69D687" w:rsidR="00CF0950" w:rsidRPr="000F1DE6" w:rsidRDefault="00132A82" w:rsidP="00132A82">
      <w:pPr>
        <w:pStyle w:val="Paragraph"/>
      </w:pPr>
      <w:r>
        <w:rPr>
          <w:noProof/>
        </w:rPr>
        <w:drawing>
          <wp:inline distT="0" distB="0" distL="0" distR="0" wp14:anchorId="1A5804A3" wp14:editId="12748D12">
            <wp:extent cx="6192520" cy="3238500"/>
            <wp:effectExtent l="0" t="0" r="0" b="0"/>
            <wp:docPr id="1412267530" name="Chart 1" descr="Figure 10 Proportion of respondents by jurisdiction(s) of operation.&#10;&#10;Graph outlining respondents by jurisdiction. Refer to description below.&#10;">
              <a:extLst xmlns:a="http://schemas.openxmlformats.org/drawingml/2006/main">
                <a:ext uri="{FF2B5EF4-FFF2-40B4-BE49-F238E27FC236}">
                  <a16:creationId xmlns:a16="http://schemas.microsoft.com/office/drawing/2014/main" id="{1819593B-57F5-4195-8778-85C4FA17B8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2"/>
              </a:graphicData>
            </a:graphic>
          </wp:inline>
        </w:drawing>
      </w:r>
    </w:p>
    <w:p w14:paraId="5B108075" w14:textId="77777777" w:rsidR="00CF0950" w:rsidRPr="000F1DE6" w:rsidRDefault="00CF0950" w:rsidP="00132A82">
      <w:pPr>
        <w:pStyle w:val="Paragraph"/>
        <w:rPr>
          <w:i/>
          <w:sz w:val="20"/>
          <w:szCs w:val="20"/>
        </w:rPr>
      </w:pPr>
      <w:r w:rsidRPr="000F1DE6">
        <w:rPr>
          <w:i/>
          <w:iCs/>
          <w:sz w:val="20"/>
          <w:szCs w:val="20"/>
        </w:rPr>
        <w:t>* Note: Respondents were able to select more than one option; percentages therefore do not sum to 100%.</w:t>
      </w:r>
    </w:p>
    <w:p w14:paraId="280CC5A8" w14:textId="61C04998" w:rsidR="00CF0950" w:rsidRPr="000F1DE6" w:rsidRDefault="00CF0950" w:rsidP="00132A82">
      <w:pPr>
        <w:pStyle w:val="Paragraph"/>
        <w:rPr>
          <w:b/>
          <w:color w:val="000000" w:themeColor="text1"/>
          <w:szCs w:val="22"/>
        </w:rPr>
      </w:pPr>
      <w:r w:rsidRPr="000F1DE6">
        <w:rPr>
          <w:bCs/>
        </w:rPr>
        <w:t>Figure 10:</w:t>
      </w:r>
      <w:r w:rsidRPr="000F1DE6">
        <w:t xml:space="preserve"> NSW had the highest proportion of responses (44.7%), followed by Queensland (31.8%) and </w:t>
      </w:r>
      <w:r w:rsidRPr="000F1DE6">
        <w:lastRenderedPageBreak/>
        <w:t>WA (27.1%). Tasmania and NT have the lowest response levels, both at 9.4%.</w:t>
      </w:r>
    </w:p>
    <w:p w14:paraId="0D078D62" w14:textId="77777777" w:rsidR="00CF0950" w:rsidRPr="000E3A00" w:rsidRDefault="00CF0950" w:rsidP="008459B6">
      <w:pPr>
        <w:pStyle w:val="SWAHeading4"/>
      </w:pPr>
      <w:r w:rsidRPr="000E3A00">
        <w:t>Business size</w:t>
      </w:r>
    </w:p>
    <w:p w14:paraId="097DD042" w14:textId="77777777" w:rsidR="00F21CE3" w:rsidRDefault="00CF0950" w:rsidP="00CF0950">
      <w:pPr>
        <w:pStyle w:val="Paragraph"/>
      </w:pPr>
      <w:r w:rsidRPr="000F1DE6">
        <w:t>Most respondents were from medium-sized businesses (44.0%), followed by large businesses (41.7%). Only 14.3% of respondents were from small businesses.</w:t>
      </w:r>
    </w:p>
    <w:p w14:paraId="590A8EA4" w14:textId="62C06209" w:rsidR="00CF0950" w:rsidRPr="00132A82" w:rsidRDefault="00CF0950" w:rsidP="00132A82">
      <w:pPr>
        <w:pStyle w:val="Caption"/>
      </w:pPr>
      <w:r w:rsidRPr="000F1DE6">
        <w:t>Data Table 17 Respondents by business size</w:t>
      </w:r>
    </w:p>
    <w:tbl>
      <w:tblPr>
        <w:tblStyle w:val="Style9"/>
        <w:tblW w:w="5000" w:type="pct"/>
        <w:tblCellMar>
          <w:top w:w="57" w:type="dxa"/>
          <w:bottom w:w="57" w:type="dxa"/>
        </w:tblCellMar>
        <w:tblLook w:val="04A0" w:firstRow="1" w:lastRow="0" w:firstColumn="1" w:lastColumn="0" w:noHBand="0" w:noVBand="1"/>
        <w:tblCaption w:val="Data Table 17 Respondents by business size"/>
        <w:tblDescription w:val="Table outlining survey respondents by business size. Refer to description above."/>
      </w:tblPr>
      <w:tblGrid>
        <w:gridCol w:w="4039"/>
        <w:gridCol w:w="5713"/>
      </w:tblGrid>
      <w:tr w:rsidR="009F07A7" w:rsidRPr="00132A82" w14:paraId="6BC44799" w14:textId="77777777" w:rsidTr="00132A82">
        <w:trPr>
          <w:trHeight w:val="27"/>
        </w:trPr>
        <w:tc>
          <w:tcPr>
            <w:tcW w:w="2071" w:type="pct"/>
            <w:shd w:val="clear" w:color="auto" w:fill="F2F2F2" w:themeFill="background1" w:themeFillShade="F2"/>
            <w:noWrap/>
            <w:hideMark/>
          </w:tcPr>
          <w:p w14:paraId="050F1CF9" w14:textId="77777777" w:rsidR="009F07A7" w:rsidRPr="00132A82" w:rsidRDefault="009F07A7" w:rsidP="009F07A7">
            <w:pPr>
              <w:spacing w:line="240" w:lineRule="auto"/>
              <w:rPr>
                <w:rFonts w:ascii="Aptos" w:eastAsia="Aptos" w:hAnsi="Aptos" w:cs="Arial"/>
                <w:b/>
                <w:szCs w:val="22"/>
              </w:rPr>
            </w:pPr>
            <w:r w:rsidRPr="00132A82">
              <w:rPr>
                <w:rFonts w:ascii="Aptos" w:eastAsia="Aptos" w:hAnsi="Aptos" w:cs="Arial"/>
                <w:b/>
                <w:szCs w:val="22"/>
              </w:rPr>
              <w:t>Response</w:t>
            </w:r>
          </w:p>
        </w:tc>
        <w:tc>
          <w:tcPr>
            <w:tcW w:w="2929" w:type="pct"/>
            <w:shd w:val="clear" w:color="auto" w:fill="F2F2F2" w:themeFill="background1" w:themeFillShade="F2"/>
            <w:noWrap/>
            <w:hideMark/>
          </w:tcPr>
          <w:p w14:paraId="2FD72572" w14:textId="77777777" w:rsidR="009F07A7" w:rsidRPr="00132A82" w:rsidRDefault="009F07A7" w:rsidP="009F07A7">
            <w:pPr>
              <w:spacing w:line="240" w:lineRule="auto"/>
              <w:jc w:val="right"/>
              <w:rPr>
                <w:rFonts w:ascii="Aptos" w:eastAsia="Aptos" w:hAnsi="Aptos" w:cs="Arial"/>
                <w:b/>
                <w:szCs w:val="22"/>
              </w:rPr>
            </w:pPr>
            <w:r w:rsidRPr="00132A82">
              <w:rPr>
                <w:rFonts w:ascii="Aptos" w:eastAsia="Aptos" w:hAnsi="Aptos" w:cs="Arial"/>
                <w:b/>
                <w:szCs w:val="22"/>
              </w:rPr>
              <w:t>Percentage of responses (%)</w:t>
            </w:r>
          </w:p>
        </w:tc>
      </w:tr>
      <w:tr w:rsidR="009F07A7" w:rsidRPr="00132A82" w14:paraId="00B8B209" w14:textId="77777777" w:rsidTr="00132A82">
        <w:trPr>
          <w:trHeight w:val="17"/>
        </w:trPr>
        <w:tc>
          <w:tcPr>
            <w:tcW w:w="2071" w:type="pct"/>
            <w:noWrap/>
            <w:hideMark/>
          </w:tcPr>
          <w:p w14:paraId="63FBB9D5" w14:textId="01DEC3D2" w:rsidR="009F07A7" w:rsidRPr="00132A82" w:rsidRDefault="009F07A7" w:rsidP="009F07A7">
            <w:pPr>
              <w:spacing w:line="240" w:lineRule="auto"/>
              <w:rPr>
                <w:rFonts w:ascii="Aptos" w:eastAsia="Aptos" w:hAnsi="Aptos" w:cs="Arial"/>
                <w:szCs w:val="22"/>
              </w:rPr>
            </w:pPr>
            <w:r w:rsidRPr="00132A82">
              <w:rPr>
                <w:rFonts w:ascii="Aptos" w:eastAsia="Aptos" w:hAnsi="Aptos" w:cs="Arial"/>
                <w:szCs w:val="22"/>
              </w:rPr>
              <w:t>1</w:t>
            </w:r>
            <w:r w:rsidR="000F402B">
              <w:rPr>
                <w:rFonts w:ascii="Symbol" w:eastAsia="Symbol" w:hAnsi="Symbol" w:cs="Symbol"/>
                <w:szCs w:val="22"/>
              </w:rPr>
              <w:t>-</w:t>
            </w:r>
            <w:r w:rsidRPr="00132A82">
              <w:rPr>
                <w:rFonts w:ascii="Aptos" w:eastAsia="Aptos" w:hAnsi="Aptos" w:cs="Arial"/>
                <w:szCs w:val="22"/>
              </w:rPr>
              <w:t>20 (small)</w:t>
            </w:r>
          </w:p>
        </w:tc>
        <w:tc>
          <w:tcPr>
            <w:tcW w:w="2929" w:type="pct"/>
            <w:noWrap/>
            <w:hideMark/>
          </w:tcPr>
          <w:p w14:paraId="4B1506F5" w14:textId="77777777" w:rsidR="009F07A7" w:rsidRPr="00132A82" w:rsidRDefault="009F07A7" w:rsidP="009F07A7">
            <w:pPr>
              <w:spacing w:line="240" w:lineRule="auto"/>
              <w:jc w:val="right"/>
              <w:rPr>
                <w:rFonts w:ascii="Aptos" w:eastAsia="Aptos" w:hAnsi="Aptos" w:cs="Arial"/>
                <w:szCs w:val="22"/>
              </w:rPr>
            </w:pPr>
            <w:r w:rsidRPr="00132A82">
              <w:rPr>
                <w:rFonts w:ascii="Aptos" w:eastAsia="Aptos" w:hAnsi="Aptos" w:cs="Arial"/>
                <w:szCs w:val="22"/>
              </w:rPr>
              <w:t>14.3%</w:t>
            </w:r>
          </w:p>
        </w:tc>
      </w:tr>
      <w:tr w:rsidR="009F07A7" w:rsidRPr="00132A82" w14:paraId="66F02E9C" w14:textId="77777777" w:rsidTr="00132A82">
        <w:trPr>
          <w:trHeight w:val="17"/>
        </w:trPr>
        <w:tc>
          <w:tcPr>
            <w:tcW w:w="2071" w:type="pct"/>
            <w:noWrap/>
            <w:hideMark/>
          </w:tcPr>
          <w:p w14:paraId="4892AC41" w14:textId="3DA36DD8" w:rsidR="009F07A7" w:rsidRPr="00132A82" w:rsidRDefault="009F07A7" w:rsidP="009F07A7">
            <w:pPr>
              <w:spacing w:line="240" w:lineRule="auto"/>
              <w:rPr>
                <w:rFonts w:ascii="Aptos" w:eastAsia="Aptos" w:hAnsi="Aptos" w:cs="Arial"/>
                <w:szCs w:val="22"/>
              </w:rPr>
            </w:pPr>
            <w:r w:rsidRPr="00132A82">
              <w:rPr>
                <w:rFonts w:ascii="Aptos" w:eastAsia="Aptos" w:hAnsi="Aptos" w:cs="Arial"/>
                <w:szCs w:val="22"/>
              </w:rPr>
              <w:t>21</w:t>
            </w:r>
            <w:r w:rsidR="000F402B">
              <w:rPr>
                <w:rFonts w:ascii="Symbol" w:eastAsia="Symbol" w:hAnsi="Symbol" w:cs="Symbol"/>
                <w:szCs w:val="22"/>
              </w:rPr>
              <w:t>-</w:t>
            </w:r>
            <w:r w:rsidRPr="00132A82">
              <w:rPr>
                <w:rFonts w:ascii="Aptos" w:eastAsia="Aptos" w:hAnsi="Aptos" w:cs="Arial"/>
                <w:szCs w:val="22"/>
              </w:rPr>
              <w:t>200 (medium)</w:t>
            </w:r>
          </w:p>
        </w:tc>
        <w:tc>
          <w:tcPr>
            <w:tcW w:w="2929" w:type="pct"/>
            <w:noWrap/>
            <w:hideMark/>
          </w:tcPr>
          <w:p w14:paraId="3DE7212A" w14:textId="77777777" w:rsidR="009F07A7" w:rsidRPr="00132A82" w:rsidRDefault="009F07A7" w:rsidP="009F07A7">
            <w:pPr>
              <w:spacing w:line="240" w:lineRule="auto"/>
              <w:jc w:val="right"/>
              <w:rPr>
                <w:rFonts w:ascii="Aptos" w:eastAsia="Aptos" w:hAnsi="Aptos" w:cs="Arial"/>
                <w:szCs w:val="22"/>
              </w:rPr>
            </w:pPr>
            <w:r w:rsidRPr="00132A82">
              <w:rPr>
                <w:rFonts w:ascii="Aptos" w:eastAsia="Aptos" w:hAnsi="Aptos" w:cs="Arial"/>
                <w:szCs w:val="22"/>
              </w:rPr>
              <w:t>44.0%</w:t>
            </w:r>
          </w:p>
        </w:tc>
      </w:tr>
      <w:tr w:rsidR="009F07A7" w:rsidRPr="00132A82" w14:paraId="60E4BFF3" w14:textId="77777777" w:rsidTr="00132A82">
        <w:trPr>
          <w:trHeight w:val="17"/>
        </w:trPr>
        <w:tc>
          <w:tcPr>
            <w:tcW w:w="2071" w:type="pct"/>
            <w:noWrap/>
            <w:hideMark/>
          </w:tcPr>
          <w:p w14:paraId="2738F529" w14:textId="77777777" w:rsidR="009F07A7" w:rsidRPr="00132A82" w:rsidRDefault="009F07A7" w:rsidP="009F07A7">
            <w:pPr>
              <w:spacing w:line="240" w:lineRule="auto"/>
              <w:rPr>
                <w:rFonts w:ascii="Aptos" w:eastAsia="Aptos" w:hAnsi="Aptos" w:cs="Arial"/>
                <w:szCs w:val="22"/>
              </w:rPr>
            </w:pPr>
            <w:r w:rsidRPr="00132A82">
              <w:rPr>
                <w:rFonts w:ascii="Aptos" w:eastAsia="Aptos" w:hAnsi="Aptos" w:cs="Arial"/>
                <w:szCs w:val="22"/>
              </w:rPr>
              <w:t>200+ (large)</w:t>
            </w:r>
          </w:p>
        </w:tc>
        <w:tc>
          <w:tcPr>
            <w:tcW w:w="2929" w:type="pct"/>
            <w:noWrap/>
            <w:hideMark/>
          </w:tcPr>
          <w:p w14:paraId="4F21DB3E" w14:textId="77777777" w:rsidR="009F07A7" w:rsidRPr="00132A82" w:rsidRDefault="009F07A7" w:rsidP="009F07A7">
            <w:pPr>
              <w:spacing w:line="240" w:lineRule="auto"/>
              <w:jc w:val="right"/>
              <w:rPr>
                <w:rFonts w:ascii="Aptos" w:eastAsia="Aptos" w:hAnsi="Aptos" w:cs="Arial"/>
                <w:szCs w:val="22"/>
              </w:rPr>
            </w:pPr>
            <w:r w:rsidRPr="00132A82">
              <w:rPr>
                <w:rFonts w:ascii="Aptos" w:eastAsia="Aptos" w:hAnsi="Aptos" w:cs="Arial"/>
                <w:szCs w:val="22"/>
              </w:rPr>
              <w:t>41.7%</w:t>
            </w:r>
          </w:p>
        </w:tc>
      </w:tr>
      <w:tr w:rsidR="009F07A7" w:rsidRPr="00132A82" w14:paraId="4281067B" w14:textId="77777777" w:rsidTr="00132A82">
        <w:trPr>
          <w:trHeight w:val="17"/>
        </w:trPr>
        <w:tc>
          <w:tcPr>
            <w:tcW w:w="2071" w:type="pct"/>
            <w:shd w:val="clear" w:color="auto" w:fill="F2F2F2" w:themeFill="background1" w:themeFillShade="F2"/>
            <w:noWrap/>
            <w:hideMark/>
          </w:tcPr>
          <w:p w14:paraId="42A4B2BB" w14:textId="77777777" w:rsidR="009F07A7" w:rsidRPr="00132A82" w:rsidRDefault="009F07A7" w:rsidP="009F07A7">
            <w:pPr>
              <w:spacing w:line="240" w:lineRule="auto"/>
              <w:rPr>
                <w:rFonts w:ascii="Aptos" w:eastAsia="Aptos" w:hAnsi="Aptos" w:cs="Arial"/>
                <w:b/>
                <w:szCs w:val="22"/>
              </w:rPr>
            </w:pPr>
            <w:r w:rsidRPr="00132A82">
              <w:rPr>
                <w:rFonts w:ascii="Aptos" w:eastAsia="Aptos" w:hAnsi="Aptos" w:cs="Arial"/>
                <w:b/>
                <w:szCs w:val="22"/>
              </w:rPr>
              <w:t>Total</w:t>
            </w:r>
          </w:p>
        </w:tc>
        <w:tc>
          <w:tcPr>
            <w:tcW w:w="2929" w:type="pct"/>
            <w:shd w:val="clear" w:color="auto" w:fill="F2F2F2" w:themeFill="background1" w:themeFillShade="F2"/>
            <w:noWrap/>
            <w:hideMark/>
          </w:tcPr>
          <w:p w14:paraId="43698786" w14:textId="77777777" w:rsidR="009F07A7" w:rsidRPr="00132A82" w:rsidRDefault="009F07A7" w:rsidP="009F07A7">
            <w:pPr>
              <w:spacing w:line="240" w:lineRule="auto"/>
              <w:jc w:val="right"/>
              <w:rPr>
                <w:rFonts w:ascii="Aptos" w:eastAsia="Aptos" w:hAnsi="Aptos" w:cs="Arial"/>
                <w:b/>
                <w:szCs w:val="22"/>
              </w:rPr>
            </w:pPr>
            <w:r w:rsidRPr="00132A82">
              <w:rPr>
                <w:rFonts w:ascii="Aptos" w:eastAsia="Aptos" w:hAnsi="Aptos" w:cs="Arial"/>
                <w:b/>
                <w:szCs w:val="22"/>
              </w:rPr>
              <w:t>100.0%</w:t>
            </w:r>
          </w:p>
        </w:tc>
      </w:tr>
    </w:tbl>
    <w:p w14:paraId="44B442A4" w14:textId="2652B224" w:rsidR="0002200F" w:rsidRPr="00E56436" w:rsidRDefault="0002200F" w:rsidP="00E56436">
      <w:pPr>
        <w:pStyle w:val="SWAHeading3"/>
        <w:rPr>
          <w:b/>
          <w:bCs/>
        </w:rPr>
      </w:pPr>
      <w:r w:rsidRPr="00E56436">
        <w:rPr>
          <w:b/>
          <w:bCs/>
        </w:rPr>
        <w:t>Survey results</w:t>
      </w:r>
    </w:p>
    <w:p w14:paraId="7E046A9B" w14:textId="77777777" w:rsidR="003C6C48" w:rsidRPr="003C6C48" w:rsidRDefault="003C6C48" w:rsidP="003C6C48">
      <w:pPr>
        <w:pStyle w:val="SWAHeading3"/>
      </w:pPr>
      <w:r w:rsidRPr="003C6C48">
        <w:t>Free-text feedback</w:t>
      </w:r>
    </w:p>
    <w:p w14:paraId="5579A344" w14:textId="77777777" w:rsidR="00F21CE3" w:rsidRDefault="003C6C48" w:rsidP="003C6C48">
      <w:pPr>
        <w:pStyle w:val="Paragraph"/>
      </w:pPr>
      <w:r w:rsidRPr="000F1DE6">
        <w:t>Employers were asked, ‘Do you have any additional comments about WHS as an employer?’ The responses below reflect a cross-section of the feedback received.</w:t>
      </w:r>
    </w:p>
    <w:p w14:paraId="238A54B0" w14:textId="3AAB376A" w:rsidR="003C6C48" w:rsidRPr="000F1DE6" w:rsidRDefault="003C6C48" w:rsidP="008459B6">
      <w:pPr>
        <w:pStyle w:val="SWAHeading4"/>
      </w:pPr>
      <w:r w:rsidRPr="000F1DE6">
        <w:t>Complexities in complying with WHS laws</w:t>
      </w:r>
    </w:p>
    <w:p w14:paraId="0CDFAE1F" w14:textId="3B26F2AE" w:rsidR="003C6C48" w:rsidRPr="000F1DE6" w:rsidRDefault="003C6C48" w:rsidP="00181B1E">
      <w:pPr>
        <w:pStyle w:val="ListBullet"/>
        <w:rPr>
          <w:b/>
        </w:rPr>
      </w:pPr>
      <w:r w:rsidRPr="000F1DE6">
        <w:t xml:space="preserve">‘As an employer, I find WHS laws to be grey, interpretive, and inconsistently applied. While the goal of safety is universally shared, the language used </w:t>
      </w:r>
      <w:r w:rsidR="000F402B">
        <w:rPr>
          <w:rFonts w:ascii="Symbol" w:eastAsia="Symbol" w:hAnsi="Symbol" w:cs="Symbol"/>
        </w:rPr>
        <w:t>-</w:t>
      </w:r>
      <w:r w:rsidRPr="000F1DE6">
        <w:t xml:space="preserve"> such as “so far as is reasonably practicable”</w:t>
      </w:r>
      <w:r>
        <w:t xml:space="preserve"> </w:t>
      </w:r>
      <w:r w:rsidR="000F402B">
        <w:rPr>
          <w:rFonts w:ascii="Symbol" w:eastAsia="Symbol" w:hAnsi="Symbol" w:cs="Symbol"/>
        </w:rPr>
        <w:t>-</w:t>
      </w:r>
      <w:r w:rsidRPr="000F1DE6">
        <w:t xml:space="preserve"> creates uncertainty rather than clarity. Two auditors or inspectors can interpret the same scenario differently, which erodes confidence and drives up compliance costs without improving safety outcomes’</w:t>
      </w:r>
      <w:r w:rsidR="00FF0F26">
        <w:t>.</w:t>
      </w:r>
    </w:p>
    <w:p w14:paraId="7C2787FE" w14:textId="77777777" w:rsidR="003C6C48" w:rsidRPr="000F1DE6" w:rsidRDefault="003C6C48" w:rsidP="00181B1E">
      <w:pPr>
        <w:pStyle w:val="ListBullet"/>
      </w:pPr>
      <w:r w:rsidRPr="000F1DE6">
        <w:t>‘Businesses genuinely wanting to do the right thing are forced to second-guess whether their systems are “enough”</w:t>
      </w:r>
      <w:r>
        <w:t>,</w:t>
      </w:r>
      <w:r w:rsidRPr="000F1DE6">
        <w:t xml:space="preserve"> not because they’re unsafe, but because the rules are written in a way that invites subjective judgment.’</w:t>
      </w:r>
    </w:p>
    <w:p w14:paraId="139905F9" w14:textId="22ADE6FB" w:rsidR="003C6C48" w:rsidRPr="000F1DE6" w:rsidRDefault="003C6C48" w:rsidP="00181B1E">
      <w:pPr>
        <w:pStyle w:val="ListBullet"/>
      </w:pPr>
      <w:r w:rsidRPr="000F1DE6">
        <w:t>‘It can be hard to protect against worker negligence or what can appear to be “arrive at work; turn off my brain; let the system take care of me”’</w:t>
      </w:r>
      <w:r w:rsidR="00FF0F26">
        <w:t>.</w:t>
      </w:r>
    </w:p>
    <w:p w14:paraId="7086EE1B" w14:textId="526D5BF1" w:rsidR="003C6C48" w:rsidRPr="000F1DE6" w:rsidRDefault="003C6C48" w:rsidP="00181B1E">
      <w:pPr>
        <w:pStyle w:val="ListBullet"/>
      </w:pPr>
      <w:r w:rsidRPr="000F1DE6">
        <w:t>‘Too much focus on punishing companies and people rather than making sure we have the help needed to get it right’</w:t>
      </w:r>
      <w:r w:rsidR="00FF0F26">
        <w:t>.</w:t>
      </w:r>
    </w:p>
    <w:p w14:paraId="03697B0C" w14:textId="0F89D96A" w:rsidR="003C6C48" w:rsidRPr="000F1DE6" w:rsidRDefault="003C6C48" w:rsidP="00181B1E">
      <w:pPr>
        <w:pStyle w:val="ListBullet"/>
      </w:pPr>
      <w:r w:rsidRPr="000F1DE6">
        <w:t>‘I wish all the WHS government teams had better resources to visit and assist high-risk operations, guiding them in the right direction’</w:t>
      </w:r>
      <w:r w:rsidR="00FF0F26">
        <w:t>.</w:t>
      </w:r>
    </w:p>
    <w:p w14:paraId="00A22AF1" w14:textId="7437433E" w:rsidR="003C6C48" w:rsidRPr="000F1DE6" w:rsidRDefault="003C6C48" w:rsidP="00181B1E">
      <w:pPr>
        <w:pStyle w:val="ListBullet"/>
      </w:pPr>
      <w:r w:rsidRPr="000F1DE6">
        <w:t>‘The compliance costs can be reduced by providing appropriate access to the industry guidance material in plain English and the use of fact sheets for specific topics either provided by Safe Work Australia or through relevant regulators’</w:t>
      </w:r>
      <w:r w:rsidR="00FF0F26">
        <w:t>.</w:t>
      </w:r>
    </w:p>
    <w:p w14:paraId="68562023" w14:textId="22CBC1BA" w:rsidR="00132A82" w:rsidRDefault="003C6C48" w:rsidP="00181B1E">
      <w:pPr>
        <w:pStyle w:val="ListBullet"/>
      </w:pPr>
      <w:r w:rsidRPr="000F1DE6">
        <w:t>‘Current additional expenses is becoming prohibitive for small businesses to be compliant’</w:t>
      </w:r>
      <w:r w:rsidR="00FF0F26">
        <w:t>.</w:t>
      </w:r>
    </w:p>
    <w:p w14:paraId="0BA9402F" w14:textId="77777777" w:rsidR="00132A82" w:rsidRDefault="00132A82">
      <w:pPr>
        <w:spacing w:after="200" w:line="276" w:lineRule="auto"/>
        <w:contextualSpacing w:val="0"/>
        <w:rPr>
          <w:rFonts w:asciiTheme="minorHAnsi" w:eastAsia="Arial" w:hAnsiTheme="minorHAnsi"/>
        </w:rPr>
      </w:pPr>
      <w:r>
        <w:br w:type="page"/>
      </w:r>
    </w:p>
    <w:p w14:paraId="4B1BCE95" w14:textId="77777777" w:rsidR="003C6C48" w:rsidRPr="000F1DE6" w:rsidRDefault="003C6C48" w:rsidP="00BC08F5">
      <w:pPr>
        <w:pStyle w:val="SWAHeading4"/>
      </w:pPr>
      <w:r w:rsidRPr="000F1DE6">
        <w:lastRenderedPageBreak/>
        <w:t>Harmonisation</w:t>
      </w:r>
    </w:p>
    <w:p w14:paraId="04D116B4" w14:textId="2097A0BA" w:rsidR="003C6C48" w:rsidRPr="000F1DE6" w:rsidRDefault="003C6C48" w:rsidP="00181B1E">
      <w:pPr>
        <w:pStyle w:val="ListBullet"/>
      </w:pPr>
      <w:r w:rsidRPr="000F1DE6">
        <w:t>‘Simplification and unification reduces the complexity of establishing and communicating requirements across multiple jurisdictions’</w:t>
      </w:r>
      <w:r w:rsidR="00687819">
        <w:t>.</w:t>
      </w:r>
    </w:p>
    <w:p w14:paraId="6460B26F" w14:textId="35127C32" w:rsidR="003C6C48" w:rsidRPr="000F1DE6" w:rsidRDefault="003C6C48" w:rsidP="00181B1E">
      <w:pPr>
        <w:pStyle w:val="ListBullet"/>
      </w:pPr>
      <w:r w:rsidRPr="000F1DE6">
        <w:t>‘Working across multiple jurisdictions</w:t>
      </w:r>
      <w:r>
        <w:t xml:space="preserve"> </w:t>
      </w:r>
      <w:r w:rsidRPr="000F1DE6">
        <w:t>…</w:t>
      </w:r>
      <w:r>
        <w:t xml:space="preserve"> </w:t>
      </w:r>
      <w:r w:rsidRPr="000F1DE6">
        <w:t>that do not abide by the harmonised WHS laws makes it very challenging to create a unified approach to documentation for our business’</w:t>
      </w:r>
      <w:r w:rsidR="00687819">
        <w:t>.</w:t>
      </w:r>
    </w:p>
    <w:p w14:paraId="6CAA2B42" w14:textId="49F10007" w:rsidR="003C6C48" w:rsidRPr="000F1DE6" w:rsidRDefault="003C6C48" w:rsidP="00181B1E">
      <w:pPr>
        <w:pStyle w:val="ListBullet"/>
      </w:pPr>
      <w:r w:rsidRPr="000F1DE6">
        <w:t>‘Ensuring the WHS legislation is regularly reviewed to ensure it remains current and effective in the face of rapid change is super important’</w:t>
      </w:r>
      <w:r w:rsidR="00687819">
        <w:t>.</w:t>
      </w:r>
    </w:p>
    <w:p w14:paraId="574A6222" w14:textId="0721D2C1" w:rsidR="00290497" w:rsidRDefault="003C6C48" w:rsidP="00181B1E">
      <w:pPr>
        <w:pStyle w:val="ListBullet"/>
      </w:pPr>
      <w:r w:rsidRPr="000F1DE6">
        <w:t>‘Having one website for all states would make our responsibilities so much better’</w:t>
      </w:r>
      <w:r w:rsidR="00687819">
        <w:t>.</w:t>
      </w:r>
    </w:p>
    <w:p w14:paraId="5BA3A690" w14:textId="77777777" w:rsidR="003C6C48" w:rsidRPr="000F1DE6" w:rsidRDefault="003C6C48" w:rsidP="00305061">
      <w:pPr>
        <w:pStyle w:val="SWAHeading4"/>
      </w:pPr>
      <w:r w:rsidRPr="000F1DE6">
        <w:t>Other safety schemes</w:t>
      </w:r>
    </w:p>
    <w:p w14:paraId="3039D7F4" w14:textId="3935170C" w:rsidR="003C6C48" w:rsidRPr="000F1DE6" w:rsidRDefault="003C6C48" w:rsidP="00181B1E">
      <w:pPr>
        <w:pStyle w:val="ListBullet"/>
      </w:pPr>
      <w:r w:rsidRPr="000F1DE6">
        <w:t>‘Seeking to harmonise or at least streamline WHS requirements from other legislation would be beneficial (petroleum and gas, mining, electrical safety)’</w:t>
      </w:r>
      <w:r w:rsidR="00687819">
        <w:t>,</w:t>
      </w:r>
    </w:p>
    <w:p w14:paraId="361E65DC" w14:textId="77777777" w:rsidR="003C6C48" w:rsidRPr="000F1DE6" w:rsidRDefault="003C6C48" w:rsidP="007A7E2C">
      <w:pPr>
        <w:pStyle w:val="SWAHeading4"/>
      </w:pPr>
      <w:r w:rsidRPr="000F1DE6">
        <w:t>Industry focus</w:t>
      </w:r>
    </w:p>
    <w:p w14:paraId="473687EE" w14:textId="77777777" w:rsidR="003C6C48" w:rsidRPr="000F1DE6" w:rsidRDefault="003C6C48" w:rsidP="00181B1E">
      <w:pPr>
        <w:pStyle w:val="ListBullet"/>
      </w:pPr>
      <w:r w:rsidRPr="000F1DE6">
        <w:t>‘Aged care is a massive gap. It differs to health care yet is lumped under the same banner.’</w:t>
      </w:r>
    </w:p>
    <w:p w14:paraId="12099B97" w14:textId="2EABDBF2" w:rsidR="003C6C48" w:rsidRPr="000F1DE6" w:rsidRDefault="003C6C48" w:rsidP="00181B1E">
      <w:pPr>
        <w:pStyle w:val="ListBullet"/>
      </w:pPr>
      <w:r w:rsidRPr="000F1DE6">
        <w:t>‘The building industry needs a lot of work’</w:t>
      </w:r>
      <w:r w:rsidR="00713963">
        <w:t>.</w:t>
      </w:r>
    </w:p>
    <w:p w14:paraId="15A2B970" w14:textId="77777777" w:rsidR="003C6C48" w:rsidRPr="000F1DE6" w:rsidRDefault="003C6C48" w:rsidP="007A7E2C">
      <w:pPr>
        <w:pStyle w:val="SWAHeading4"/>
      </w:pPr>
      <w:r w:rsidRPr="000F1DE6">
        <w:t>Psychosocial risks</w:t>
      </w:r>
    </w:p>
    <w:p w14:paraId="1EB0BF67" w14:textId="51908820" w:rsidR="003C6C48" w:rsidRPr="000F1DE6" w:rsidRDefault="003C6C48" w:rsidP="00181B1E">
      <w:pPr>
        <w:pStyle w:val="ListBullet"/>
      </w:pPr>
      <w:r w:rsidRPr="000F1DE6">
        <w:t>‘The expansion of psychosocial risk factors beyond that of the ILO is overcomplicating risk management planning. The current state of play is putting both employers and employees at privacy risks around medical conditions (especially mental health ailments and diagnoses). Employees are forced to disclose private mental health information to prevent claims for psychological harm’</w:t>
      </w:r>
      <w:r w:rsidR="00713963">
        <w:t>.</w:t>
      </w:r>
    </w:p>
    <w:p w14:paraId="7DAB915B" w14:textId="77777777" w:rsidR="003C6C48" w:rsidRPr="000F1DE6" w:rsidRDefault="003C6C48" w:rsidP="003C6C48">
      <w:pPr>
        <w:pStyle w:val="SWAHeading3"/>
        <w:rPr>
          <w:color w:val="2B0A99"/>
        </w:rPr>
      </w:pPr>
      <w:r w:rsidRPr="000F1DE6">
        <w:rPr>
          <w:color w:val="2B0A99"/>
        </w:rPr>
        <w:t>Employer understanding of WHS</w:t>
      </w:r>
    </w:p>
    <w:p w14:paraId="65725C0E" w14:textId="77777777" w:rsidR="00F21CE3" w:rsidRDefault="003C6C48" w:rsidP="000D26F7">
      <w:pPr>
        <w:pStyle w:val="Caption"/>
      </w:pPr>
      <w:r w:rsidRPr="000F1DE6">
        <w:t>Data Table 18 Employer responses on understanding WHS</w:t>
      </w:r>
    </w:p>
    <w:p w14:paraId="6A4B0805" w14:textId="47C5FB28" w:rsidR="003C6C48" w:rsidRPr="000F1DE6" w:rsidRDefault="003C6C48" w:rsidP="003C6C48">
      <w:pPr>
        <w:pStyle w:val="Paragraph"/>
      </w:pPr>
      <w:r w:rsidRPr="000F1DE6">
        <w:t>Employers were asked to indicate their level of agreement with the statement: ‘I understand my WHS obligations and responsibilities’</w:t>
      </w:r>
      <w:r w:rsidR="00713963">
        <w:t>.</w:t>
      </w:r>
    </w:p>
    <w:tbl>
      <w:tblPr>
        <w:tblStyle w:val="Style9"/>
        <w:tblW w:w="5000" w:type="pct"/>
        <w:tblCellMar>
          <w:top w:w="57" w:type="dxa"/>
          <w:bottom w:w="57" w:type="dxa"/>
        </w:tblCellMar>
        <w:tblLook w:val="04A0" w:firstRow="1" w:lastRow="0" w:firstColumn="1" w:lastColumn="0" w:noHBand="0" w:noVBand="1"/>
        <w:tblCaption w:val="Data Table 18 Employer responses on understanding WHS "/>
        <w:tblDescription w:val="Employers were asked to indicate their level of agreement with the statement: ‘I understand my WHS obligations and responsibilities.’ Over 90% agreed or strongly agreed with the statement. &#10;"/>
      </w:tblPr>
      <w:tblGrid>
        <w:gridCol w:w="3907"/>
        <w:gridCol w:w="5845"/>
      </w:tblGrid>
      <w:tr w:rsidR="00FD55B9" w:rsidRPr="00132A82" w14:paraId="1A8B62E6" w14:textId="77777777" w:rsidTr="00132A82">
        <w:trPr>
          <w:trHeight w:val="27"/>
        </w:trPr>
        <w:tc>
          <w:tcPr>
            <w:tcW w:w="2003" w:type="pct"/>
            <w:shd w:val="clear" w:color="auto" w:fill="F2F2F2" w:themeFill="background1" w:themeFillShade="F2"/>
            <w:noWrap/>
            <w:hideMark/>
          </w:tcPr>
          <w:p w14:paraId="5B7F8FF7" w14:textId="77777777" w:rsidR="00FD55B9" w:rsidRPr="00132A82" w:rsidRDefault="00FD55B9" w:rsidP="00FD55B9">
            <w:pPr>
              <w:spacing w:line="240" w:lineRule="auto"/>
              <w:rPr>
                <w:rFonts w:ascii="Aptos" w:eastAsia="Aptos" w:hAnsi="Aptos" w:cs="Arial"/>
                <w:b/>
                <w:szCs w:val="22"/>
              </w:rPr>
            </w:pPr>
            <w:r w:rsidRPr="00132A82">
              <w:rPr>
                <w:rFonts w:ascii="Aptos" w:eastAsia="Aptos" w:hAnsi="Aptos" w:cs="Arial"/>
                <w:b/>
                <w:szCs w:val="22"/>
              </w:rPr>
              <w:t>Responses</w:t>
            </w:r>
          </w:p>
        </w:tc>
        <w:tc>
          <w:tcPr>
            <w:tcW w:w="2997" w:type="pct"/>
            <w:shd w:val="clear" w:color="auto" w:fill="F2F2F2" w:themeFill="background1" w:themeFillShade="F2"/>
            <w:noWrap/>
            <w:hideMark/>
          </w:tcPr>
          <w:p w14:paraId="47C2E300" w14:textId="77777777" w:rsidR="00FD55B9" w:rsidRPr="00132A82" w:rsidRDefault="00FD55B9" w:rsidP="00FD55B9">
            <w:pPr>
              <w:spacing w:line="240" w:lineRule="auto"/>
              <w:jc w:val="right"/>
              <w:rPr>
                <w:rFonts w:ascii="Aptos" w:eastAsia="Aptos" w:hAnsi="Aptos" w:cs="Arial"/>
                <w:b/>
                <w:szCs w:val="22"/>
              </w:rPr>
            </w:pPr>
            <w:r w:rsidRPr="00132A82">
              <w:rPr>
                <w:rFonts w:ascii="Aptos" w:eastAsia="Aptos" w:hAnsi="Aptos" w:cs="Arial"/>
                <w:b/>
                <w:szCs w:val="22"/>
              </w:rPr>
              <w:t>Percentage of responses (%)</w:t>
            </w:r>
          </w:p>
        </w:tc>
      </w:tr>
      <w:tr w:rsidR="00FD55B9" w:rsidRPr="00132A82" w14:paraId="021A48D2" w14:textId="77777777" w:rsidTr="00132A82">
        <w:trPr>
          <w:trHeight w:val="17"/>
        </w:trPr>
        <w:tc>
          <w:tcPr>
            <w:tcW w:w="2003" w:type="pct"/>
            <w:noWrap/>
          </w:tcPr>
          <w:p w14:paraId="705DDA9B" w14:textId="77777777" w:rsidR="00FD55B9" w:rsidRPr="00132A82" w:rsidRDefault="00FD55B9" w:rsidP="00FD55B9">
            <w:pPr>
              <w:spacing w:line="240" w:lineRule="auto"/>
              <w:rPr>
                <w:rFonts w:ascii="Aptos" w:eastAsia="Aptos" w:hAnsi="Aptos" w:cs="Arial"/>
                <w:szCs w:val="22"/>
              </w:rPr>
            </w:pPr>
            <w:r w:rsidRPr="00132A82">
              <w:rPr>
                <w:rFonts w:ascii="Aptos" w:eastAsia="Aptos" w:hAnsi="Aptos" w:cs="Arial"/>
                <w:szCs w:val="22"/>
              </w:rPr>
              <w:t>Strongly disagree</w:t>
            </w:r>
          </w:p>
        </w:tc>
        <w:tc>
          <w:tcPr>
            <w:tcW w:w="2997" w:type="pct"/>
            <w:noWrap/>
          </w:tcPr>
          <w:p w14:paraId="5B987055" w14:textId="77777777" w:rsidR="00FD55B9" w:rsidRPr="00132A82" w:rsidRDefault="00FD55B9" w:rsidP="00FD55B9">
            <w:pPr>
              <w:spacing w:line="240" w:lineRule="auto"/>
              <w:jc w:val="right"/>
              <w:rPr>
                <w:rFonts w:ascii="Aptos" w:eastAsia="Aptos" w:hAnsi="Aptos" w:cs="Arial"/>
                <w:szCs w:val="22"/>
              </w:rPr>
            </w:pPr>
            <w:r w:rsidRPr="00132A82">
              <w:rPr>
                <w:rFonts w:ascii="Aptos" w:eastAsia="Aptos" w:hAnsi="Aptos" w:cs="Arial"/>
                <w:szCs w:val="22"/>
              </w:rPr>
              <w:t>0%</w:t>
            </w:r>
          </w:p>
        </w:tc>
      </w:tr>
      <w:tr w:rsidR="00FD55B9" w:rsidRPr="00132A82" w14:paraId="2DF139E0" w14:textId="77777777" w:rsidTr="00132A82">
        <w:trPr>
          <w:trHeight w:val="17"/>
        </w:trPr>
        <w:tc>
          <w:tcPr>
            <w:tcW w:w="2003" w:type="pct"/>
            <w:noWrap/>
          </w:tcPr>
          <w:p w14:paraId="45684EE5" w14:textId="77777777" w:rsidR="00FD55B9" w:rsidRPr="00132A82" w:rsidRDefault="00FD55B9" w:rsidP="00FD55B9">
            <w:pPr>
              <w:spacing w:line="240" w:lineRule="auto"/>
              <w:rPr>
                <w:rFonts w:ascii="Aptos" w:eastAsia="Aptos" w:hAnsi="Aptos" w:cs="Arial"/>
                <w:szCs w:val="22"/>
              </w:rPr>
            </w:pPr>
            <w:r w:rsidRPr="00132A82">
              <w:rPr>
                <w:rFonts w:ascii="Aptos" w:eastAsia="Aptos" w:hAnsi="Aptos" w:cs="Arial"/>
                <w:szCs w:val="22"/>
              </w:rPr>
              <w:t>Disagree</w:t>
            </w:r>
          </w:p>
        </w:tc>
        <w:tc>
          <w:tcPr>
            <w:tcW w:w="2997" w:type="pct"/>
            <w:noWrap/>
          </w:tcPr>
          <w:p w14:paraId="4DA78048" w14:textId="77777777" w:rsidR="00FD55B9" w:rsidRPr="00132A82" w:rsidRDefault="00FD55B9" w:rsidP="00FD55B9">
            <w:pPr>
              <w:spacing w:line="240" w:lineRule="auto"/>
              <w:jc w:val="right"/>
              <w:rPr>
                <w:rFonts w:ascii="Aptos" w:eastAsia="Aptos" w:hAnsi="Aptos" w:cs="Arial"/>
                <w:szCs w:val="22"/>
              </w:rPr>
            </w:pPr>
            <w:r w:rsidRPr="00132A82">
              <w:rPr>
                <w:rFonts w:ascii="Aptos" w:eastAsia="Aptos" w:hAnsi="Aptos" w:cs="Arial"/>
                <w:szCs w:val="22"/>
              </w:rPr>
              <w:t>0%</w:t>
            </w:r>
          </w:p>
        </w:tc>
      </w:tr>
      <w:tr w:rsidR="00FD55B9" w:rsidRPr="00132A82" w14:paraId="023AA2CB" w14:textId="77777777" w:rsidTr="00132A82">
        <w:trPr>
          <w:trHeight w:val="17"/>
        </w:trPr>
        <w:tc>
          <w:tcPr>
            <w:tcW w:w="2003" w:type="pct"/>
            <w:noWrap/>
            <w:hideMark/>
          </w:tcPr>
          <w:p w14:paraId="1A46198C" w14:textId="77777777" w:rsidR="00FD55B9" w:rsidRPr="00132A82" w:rsidRDefault="00FD55B9" w:rsidP="00FD55B9">
            <w:pPr>
              <w:spacing w:line="240" w:lineRule="auto"/>
              <w:rPr>
                <w:rFonts w:ascii="Aptos" w:eastAsia="Aptos" w:hAnsi="Aptos" w:cs="Arial"/>
                <w:szCs w:val="22"/>
              </w:rPr>
            </w:pPr>
            <w:r w:rsidRPr="00132A82">
              <w:rPr>
                <w:rFonts w:ascii="Aptos" w:eastAsia="Aptos" w:hAnsi="Aptos" w:cs="Arial"/>
                <w:szCs w:val="22"/>
              </w:rPr>
              <w:t>Neutral</w:t>
            </w:r>
          </w:p>
        </w:tc>
        <w:tc>
          <w:tcPr>
            <w:tcW w:w="2997" w:type="pct"/>
            <w:noWrap/>
            <w:hideMark/>
          </w:tcPr>
          <w:p w14:paraId="0E4EDB2A" w14:textId="77777777" w:rsidR="00FD55B9" w:rsidRPr="00132A82" w:rsidRDefault="00FD55B9" w:rsidP="00FD55B9">
            <w:pPr>
              <w:spacing w:line="240" w:lineRule="auto"/>
              <w:jc w:val="right"/>
              <w:rPr>
                <w:rFonts w:ascii="Aptos" w:eastAsia="Aptos" w:hAnsi="Aptos" w:cs="Arial"/>
                <w:szCs w:val="22"/>
              </w:rPr>
            </w:pPr>
            <w:r w:rsidRPr="00132A82">
              <w:rPr>
                <w:rFonts w:ascii="Aptos" w:eastAsia="Aptos" w:hAnsi="Aptos" w:cs="Arial"/>
                <w:szCs w:val="22"/>
              </w:rPr>
              <w:t>6.9%</w:t>
            </w:r>
          </w:p>
        </w:tc>
      </w:tr>
      <w:tr w:rsidR="00FD55B9" w:rsidRPr="00132A82" w14:paraId="60C50040" w14:textId="77777777" w:rsidTr="00132A82">
        <w:trPr>
          <w:trHeight w:val="17"/>
        </w:trPr>
        <w:tc>
          <w:tcPr>
            <w:tcW w:w="2003" w:type="pct"/>
            <w:noWrap/>
            <w:hideMark/>
          </w:tcPr>
          <w:p w14:paraId="1E83F2A1" w14:textId="77777777" w:rsidR="00FD55B9" w:rsidRPr="00132A82" w:rsidRDefault="00FD55B9" w:rsidP="00FD55B9">
            <w:pPr>
              <w:spacing w:line="240" w:lineRule="auto"/>
              <w:rPr>
                <w:rFonts w:ascii="Aptos" w:eastAsia="Aptos" w:hAnsi="Aptos" w:cs="Arial"/>
                <w:szCs w:val="22"/>
              </w:rPr>
            </w:pPr>
            <w:r w:rsidRPr="00132A82">
              <w:rPr>
                <w:rFonts w:ascii="Aptos" w:eastAsia="Aptos" w:hAnsi="Aptos" w:cs="Arial"/>
                <w:szCs w:val="22"/>
              </w:rPr>
              <w:t>Agree</w:t>
            </w:r>
          </w:p>
        </w:tc>
        <w:tc>
          <w:tcPr>
            <w:tcW w:w="2997" w:type="pct"/>
            <w:noWrap/>
            <w:hideMark/>
          </w:tcPr>
          <w:p w14:paraId="46FFDCC3" w14:textId="77777777" w:rsidR="00FD55B9" w:rsidRPr="00132A82" w:rsidRDefault="00FD55B9" w:rsidP="00FD55B9">
            <w:pPr>
              <w:spacing w:line="240" w:lineRule="auto"/>
              <w:jc w:val="right"/>
              <w:rPr>
                <w:rFonts w:ascii="Aptos" w:eastAsia="Aptos" w:hAnsi="Aptos" w:cs="Arial"/>
                <w:szCs w:val="22"/>
              </w:rPr>
            </w:pPr>
            <w:r w:rsidRPr="00132A82">
              <w:rPr>
                <w:rFonts w:ascii="Aptos" w:eastAsia="Aptos" w:hAnsi="Aptos" w:cs="Arial"/>
                <w:szCs w:val="22"/>
              </w:rPr>
              <w:t>19.5%</w:t>
            </w:r>
          </w:p>
        </w:tc>
      </w:tr>
      <w:tr w:rsidR="00FD55B9" w:rsidRPr="00132A82" w14:paraId="77AAB941" w14:textId="77777777" w:rsidTr="00132A82">
        <w:trPr>
          <w:trHeight w:val="17"/>
        </w:trPr>
        <w:tc>
          <w:tcPr>
            <w:tcW w:w="2003" w:type="pct"/>
            <w:noWrap/>
            <w:hideMark/>
          </w:tcPr>
          <w:p w14:paraId="00A7882C" w14:textId="77777777" w:rsidR="00FD55B9" w:rsidRPr="00132A82" w:rsidRDefault="00FD55B9" w:rsidP="00FD55B9">
            <w:pPr>
              <w:spacing w:line="240" w:lineRule="auto"/>
              <w:rPr>
                <w:rFonts w:ascii="Aptos" w:eastAsia="Aptos" w:hAnsi="Aptos" w:cs="Arial"/>
                <w:szCs w:val="22"/>
              </w:rPr>
            </w:pPr>
            <w:r w:rsidRPr="00132A82">
              <w:rPr>
                <w:rFonts w:ascii="Aptos" w:eastAsia="Aptos" w:hAnsi="Aptos" w:cs="Arial"/>
                <w:szCs w:val="22"/>
              </w:rPr>
              <w:t>Strongly agree</w:t>
            </w:r>
          </w:p>
        </w:tc>
        <w:tc>
          <w:tcPr>
            <w:tcW w:w="2997" w:type="pct"/>
            <w:noWrap/>
            <w:hideMark/>
          </w:tcPr>
          <w:p w14:paraId="361FA932" w14:textId="77777777" w:rsidR="00FD55B9" w:rsidRPr="00132A82" w:rsidRDefault="00FD55B9" w:rsidP="00FD55B9">
            <w:pPr>
              <w:spacing w:line="240" w:lineRule="auto"/>
              <w:jc w:val="right"/>
              <w:rPr>
                <w:rFonts w:ascii="Aptos" w:eastAsia="Aptos" w:hAnsi="Aptos" w:cs="Arial"/>
                <w:szCs w:val="22"/>
              </w:rPr>
            </w:pPr>
            <w:r w:rsidRPr="00132A82">
              <w:rPr>
                <w:rFonts w:ascii="Aptos" w:eastAsia="Aptos" w:hAnsi="Aptos" w:cs="Arial"/>
                <w:szCs w:val="22"/>
              </w:rPr>
              <w:t>73.6%</w:t>
            </w:r>
          </w:p>
        </w:tc>
      </w:tr>
      <w:tr w:rsidR="00FD55B9" w:rsidRPr="00132A82" w14:paraId="272F33B3" w14:textId="77777777" w:rsidTr="00132A82">
        <w:trPr>
          <w:trHeight w:val="17"/>
        </w:trPr>
        <w:tc>
          <w:tcPr>
            <w:tcW w:w="2003" w:type="pct"/>
            <w:shd w:val="clear" w:color="auto" w:fill="F2F2F2" w:themeFill="background1" w:themeFillShade="F2"/>
            <w:noWrap/>
            <w:hideMark/>
          </w:tcPr>
          <w:p w14:paraId="6B91F2F7" w14:textId="77777777" w:rsidR="00FD55B9" w:rsidRPr="00132A82" w:rsidRDefault="00FD55B9" w:rsidP="00FD55B9">
            <w:pPr>
              <w:spacing w:line="240" w:lineRule="auto"/>
              <w:rPr>
                <w:rFonts w:ascii="Aptos" w:eastAsia="Aptos" w:hAnsi="Aptos" w:cs="Arial"/>
                <w:b/>
                <w:szCs w:val="22"/>
              </w:rPr>
            </w:pPr>
            <w:r w:rsidRPr="00132A82">
              <w:rPr>
                <w:rFonts w:ascii="Aptos" w:eastAsia="Aptos" w:hAnsi="Aptos" w:cs="Arial"/>
                <w:b/>
                <w:szCs w:val="22"/>
              </w:rPr>
              <w:t>Total</w:t>
            </w:r>
          </w:p>
        </w:tc>
        <w:tc>
          <w:tcPr>
            <w:tcW w:w="2997" w:type="pct"/>
            <w:shd w:val="clear" w:color="auto" w:fill="F2F2F2" w:themeFill="background1" w:themeFillShade="F2"/>
            <w:noWrap/>
            <w:hideMark/>
          </w:tcPr>
          <w:p w14:paraId="5922CD6A" w14:textId="77777777" w:rsidR="00FD55B9" w:rsidRPr="00132A82" w:rsidRDefault="00FD55B9" w:rsidP="00FD55B9">
            <w:pPr>
              <w:spacing w:line="240" w:lineRule="auto"/>
              <w:jc w:val="right"/>
              <w:rPr>
                <w:rFonts w:ascii="Aptos" w:eastAsia="Aptos" w:hAnsi="Aptos" w:cs="Arial"/>
                <w:b/>
                <w:szCs w:val="22"/>
              </w:rPr>
            </w:pPr>
            <w:r w:rsidRPr="00132A82">
              <w:rPr>
                <w:rFonts w:ascii="Aptos" w:eastAsia="Aptos" w:hAnsi="Aptos" w:cs="Arial"/>
                <w:b/>
                <w:szCs w:val="22"/>
              </w:rPr>
              <w:t>100.0%</w:t>
            </w:r>
          </w:p>
        </w:tc>
      </w:tr>
    </w:tbl>
    <w:p w14:paraId="2CECA289" w14:textId="77777777" w:rsidR="00132A82" w:rsidRDefault="00132A82">
      <w:pPr>
        <w:spacing w:after="200" w:line="276" w:lineRule="auto"/>
        <w:contextualSpacing w:val="0"/>
        <w:rPr>
          <w:rFonts w:asciiTheme="minorHAnsi" w:hAnsiTheme="minorHAnsi"/>
          <w:b/>
          <w:bCs/>
        </w:rPr>
      </w:pPr>
      <w:r>
        <w:br w:type="page"/>
      </w:r>
    </w:p>
    <w:p w14:paraId="04A20B29" w14:textId="602CACC3" w:rsidR="003C6C48" w:rsidRPr="00132A82" w:rsidRDefault="003C6C48" w:rsidP="000D26F7">
      <w:pPr>
        <w:pStyle w:val="Caption"/>
      </w:pPr>
      <w:r w:rsidRPr="000F1DE6">
        <w:lastRenderedPageBreak/>
        <w:t>Data Table 19 Employer responses on WHS information</w:t>
      </w:r>
    </w:p>
    <w:p w14:paraId="5792E9E0" w14:textId="09A43397" w:rsidR="003C6C48" w:rsidRPr="000F1DE6" w:rsidRDefault="003C6C48" w:rsidP="003C6C48">
      <w:pPr>
        <w:pStyle w:val="Paragraph"/>
      </w:pPr>
      <w:r w:rsidRPr="000F1DE6">
        <w:t>Employers were asked to indicate their level of agreement with the statement: ‘I find it easy to find the right information about how to comply with my WHS obligations and responsibilities’</w:t>
      </w:r>
      <w:r w:rsidR="00713963">
        <w:t>.</w:t>
      </w:r>
    </w:p>
    <w:tbl>
      <w:tblPr>
        <w:tblStyle w:val="Style9"/>
        <w:tblW w:w="5000" w:type="pct"/>
        <w:tblCellMar>
          <w:top w:w="57" w:type="dxa"/>
          <w:bottom w:w="57" w:type="dxa"/>
        </w:tblCellMar>
        <w:tblLook w:val="04A0" w:firstRow="1" w:lastRow="0" w:firstColumn="1" w:lastColumn="0" w:noHBand="0" w:noVBand="1"/>
        <w:tblCaption w:val="Data Table 19 Employer responses on WHS information"/>
        <w:tblDescription w:val="Employers were asked to indicate their level of agreement with the statement: ‘I find it easy to find the right information about how to comply with my WHS obligations and responsibilities.’ Over 70% agreed or strongly agreed with the statement. &#10;"/>
      </w:tblPr>
      <w:tblGrid>
        <w:gridCol w:w="3747"/>
        <w:gridCol w:w="6005"/>
      </w:tblGrid>
      <w:tr w:rsidR="00337755" w:rsidRPr="00132A82" w14:paraId="0D68F694" w14:textId="77777777" w:rsidTr="00132A82">
        <w:trPr>
          <w:trHeight w:val="27"/>
        </w:trPr>
        <w:tc>
          <w:tcPr>
            <w:tcW w:w="1921" w:type="pct"/>
            <w:shd w:val="clear" w:color="auto" w:fill="F2F2F2" w:themeFill="background1" w:themeFillShade="F2"/>
            <w:noWrap/>
            <w:hideMark/>
          </w:tcPr>
          <w:p w14:paraId="0B99BAAC" w14:textId="77777777" w:rsidR="00337755" w:rsidRPr="00132A82" w:rsidRDefault="00337755" w:rsidP="00337755">
            <w:pPr>
              <w:spacing w:line="240" w:lineRule="auto"/>
              <w:rPr>
                <w:rFonts w:ascii="Aptos" w:eastAsia="Aptos" w:hAnsi="Aptos" w:cs="Arial"/>
                <w:b/>
                <w:szCs w:val="22"/>
              </w:rPr>
            </w:pPr>
            <w:r w:rsidRPr="00132A82">
              <w:rPr>
                <w:rFonts w:ascii="Aptos" w:eastAsia="Aptos" w:hAnsi="Aptos" w:cs="Arial"/>
                <w:b/>
                <w:szCs w:val="22"/>
              </w:rPr>
              <w:t>Response</w:t>
            </w:r>
          </w:p>
        </w:tc>
        <w:tc>
          <w:tcPr>
            <w:tcW w:w="3079" w:type="pct"/>
            <w:shd w:val="clear" w:color="auto" w:fill="F2F2F2" w:themeFill="background1" w:themeFillShade="F2"/>
            <w:noWrap/>
            <w:hideMark/>
          </w:tcPr>
          <w:p w14:paraId="239B0704" w14:textId="77777777" w:rsidR="00337755" w:rsidRPr="00132A82" w:rsidRDefault="00337755" w:rsidP="00337755">
            <w:pPr>
              <w:spacing w:line="240" w:lineRule="auto"/>
              <w:jc w:val="right"/>
              <w:rPr>
                <w:rFonts w:ascii="Aptos" w:eastAsia="Aptos" w:hAnsi="Aptos" w:cs="Arial"/>
                <w:b/>
                <w:szCs w:val="22"/>
              </w:rPr>
            </w:pPr>
            <w:r w:rsidRPr="00132A82">
              <w:rPr>
                <w:rFonts w:ascii="Aptos" w:eastAsia="Aptos" w:hAnsi="Aptos" w:cs="Arial"/>
                <w:b/>
                <w:szCs w:val="22"/>
              </w:rPr>
              <w:t>Percentage of responses (%)</w:t>
            </w:r>
          </w:p>
        </w:tc>
      </w:tr>
      <w:tr w:rsidR="00337755" w:rsidRPr="00132A82" w14:paraId="6801862E" w14:textId="77777777" w:rsidTr="00132A82">
        <w:trPr>
          <w:trHeight w:val="17"/>
        </w:trPr>
        <w:tc>
          <w:tcPr>
            <w:tcW w:w="1921" w:type="pct"/>
            <w:noWrap/>
            <w:hideMark/>
          </w:tcPr>
          <w:p w14:paraId="0EC8423E" w14:textId="77777777" w:rsidR="00337755" w:rsidRPr="00132A82" w:rsidRDefault="00337755" w:rsidP="00337755">
            <w:pPr>
              <w:spacing w:line="240" w:lineRule="auto"/>
              <w:rPr>
                <w:rFonts w:ascii="Aptos" w:eastAsia="Aptos" w:hAnsi="Aptos" w:cs="Arial"/>
                <w:szCs w:val="22"/>
              </w:rPr>
            </w:pPr>
            <w:r w:rsidRPr="00132A82">
              <w:rPr>
                <w:rFonts w:ascii="Aptos" w:eastAsia="Aptos" w:hAnsi="Aptos" w:cs="Arial"/>
                <w:szCs w:val="22"/>
              </w:rPr>
              <w:t>Strongly disagree</w:t>
            </w:r>
          </w:p>
        </w:tc>
        <w:tc>
          <w:tcPr>
            <w:tcW w:w="3079" w:type="pct"/>
            <w:noWrap/>
            <w:hideMark/>
          </w:tcPr>
          <w:p w14:paraId="33A1FA06" w14:textId="77777777" w:rsidR="00337755" w:rsidRPr="00132A82" w:rsidRDefault="00337755" w:rsidP="00337755">
            <w:pPr>
              <w:spacing w:line="240" w:lineRule="auto"/>
              <w:jc w:val="right"/>
              <w:rPr>
                <w:rFonts w:ascii="Aptos" w:eastAsia="Aptos" w:hAnsi="Aptos" w:cs="Arial"/>
                <w:szCs w:val="22"/>
              </w:rPr>
            </w:pPr>
            <w:r w:rsidRPr="00132A82">
              <w:rPr>
                <w:rFonts w:ascii="Aptos" w:eastAsia="Aptos" w:hAnsi="Aptos" w:cs="Arial"/>
                <w:szCs w:val="22"/>
              </w:rPr>
              <w:t>1.1%</w:t>
            </w:r>
          </w:p>
        </w:tc>
      </w:tr>
      <w:tr w:rsidR="00337755" w:rsidRPr="00132A82" w14:paraId="254E7DAA" w14:textId="77777777" w:rsidTr="00132A82">
        <w:trPr>
          <w:trHeight w:val="17"/>
        </w:trPr>
        <w:tc>
          <w:tcPr>
            <w:tcW w:w="1921" w:type="pct"/>
            <w:noWrap/>
            <w:hideMark/>
          </w:tcPr>
          <w:p w14:paraId="1D856FED" w14:textId="77777777" w:rsidR="00337755" w:rsidRPr="00132A82" w:rsidRDefault="00337755" w:rsidP="00337755">
            <w:pPr>
              <w:spacing w:line="240" w:lineRule="auto"/>
              <w:rPr>
                <w:rFonts w:ascii="Aptos" w:eastAsia="Aptos" w:hAnsi="Aptos" w:cs="Arial"/>
                <w:szCs w:val="22"/>
              </w:rPr>
            </w:pPr>
            <w:r w:rsidRPr="00132A82">
              <w:rPr>
                <w:rFonts w:ascii="Aptos" w:eastAsia="Aptos" w:hAnsi="Aptos" w:cs="Arial"/>
                <w:szCs w:val="22"/>
              </w:rPr>
              <w:t>Disagree</w:t>
            </w:r>
          </w:p>
        </w:tc>
        <w:tc>
          <w:tcPr>
            <w:tcW w:w="3079" w:type="pct"/>
            <w:noWrap/>
            <w:hideMark/>
          </w:tcPr>
          <w:p w14:paraId="23238914" w14:textId="77777777" w:rsidR="00337755" w:rsidRPr="00132A82" w:rsidRDefault="00337755" w:rsidP="00337755">
            <w:pPr>
              <w:spacing w:line="240" w:lineRule="auto"/>
              <w:jc w:val="right"/>
              <w:rPr>
                <w:rFonts w:ascii="Aptos" w:eastAsia="Aptos" w:hAnsi="Aptos" w:cs="Arial"/>
                <w:szCs w:val="22"/>
              </w:rPr>
            </w:pPr>
            <w:r w:rsidRPr="00132A82">
              <w:rPr>
                <w:rFonts w:ascii="Aptos" w:eastAsia="Aptos" w:hAnsi="Aptos" w:cs="Arial"/>
                <w:szCs w:val="22"/>
              </w:rPr>
              <w:t>9.2%</w:t>
            </w:r>
          </w:p>
        </w:tc>
      </w:tr>
      <w:tr w:rsidR="00337755" w:rsidRPr="00132A82" w14:paraId="7C68C254" w14:textId="77777777" w:rsidTr="00132A82">
        <w:trPr>
          <w:trHeight w:val="17"/>
        </w:trPr>
        <w:tc>
          <w:tcPr>
            <w:tcW w:w="1921" w:type="pct"/>
            <w:noWrap/>
            <w:hideMark/>
          </w:tcPr>
          <w:p w14:paraId="4F379B7A" w14:textId="77777777" w:rsidR="00337755" w:rsidRPr="00132A82" w:rsidRDefault="00337755" w:rsidP="00337755">
            <w:pPr>
              <w:spacing w:line="240" w:lineRule="auto"/>
              <w:rPr>
                <w:rFonts w:ascii="Aptos" w:eastAsia="Aptos" w:hAnsi="Aptos" w:cs="Arial"/>
                <w:szCs w:val="22"/>
              </w:rPr>
            </w:pPr>
            <w:r w:rsidRPr="00132A82">
              <w:rPr>
                <w:rFonts w:ascii="Aptos" w:eastAsia="Aptos" w:hAnsi="Aptos" w:cs="Arial"/>
                <w:szCs w:val="22"/>
              </w:rPr>
              <w:t>Neutral</w:t>
            </w:r>
          </w:p>
        </w:tc>
        <w:tc>
          <w:tcPr>
            <w:tcW w:w="3079" w:type="pct"/>
            <w:noWrap/>
            <w:hideMark/>
          </w:tcPr>
          <w:p w14:paraId="2354846B" w14:textId="77777777" w:rsidR="00337755" w:rsidRPr="00132A82" w:rsidRDefault="00337755" w:rsidP="00337755">
            <w:pPr>
              <w:spacing w:line="240" w:lineRule="auto"/>
              <w:jc w:val="right"/>
              <w:rPr>
                <w:rFonts w:ascii="Aptos" w:eastAsia="Aptos" w:hAnsi="Aptos" w:cs="Arial"/>
                <w:szCs w:val="22"/>
              </w:rPr>
            </w:pPr>
            <w:r w:rsidRPr="00132A82">
              <w:rPr>
                <w:rFonts w:ascii="Aptos" w:eastAsia="Aptos" w:hAnsi="Aptos" w:cs="Arial"/>
                <w:szCs w:val="22"/>
              </w:rPr>
              <w:t>19.5%</w:t>
            </w:r>
          </w:p>
        </w:tc>
      </w:tr>
      <w:tr w:rsidR="00337755" w:rsidRPr="00132A82" w14:paraId="2AEA25BF" w14:textId="77777777" w:rsidTr="00132A82">
        <w:trPr>
          <w:trHeight w:val="17"/>
        </w:trPr>
        <w:tc>
          <w:tcPr>
            <w:tcW w:w="1921" w:type="pct"/>
            <w:noWrap/>
            <w:hideMark/>
          </w:tcPr>
          <w:p w14:paraId="59F3F8F7" w14:textId="77777777" w:rsidR="00337755" w:rsidRPr="00132A82" w:rsidRDefault="00337755" w:rsidP="00337755">
            <w:pPr>
              <w:spacing w:line="240" w:lineRule="auto"/>
              <w:rPr>
                <w:rFonts w:ascii="Aptos" w:eastAsia="Aptos" w:hAnsi="Aptos" w:cs="Arial"/>
                <w:szCs w:val="22"/>
              </w:rPr>
            </w:pPr>
            <w:r w:rsidRPr="00132A82">
              <w:rPr>
                <w:rFonts w:ascii="Aptos" w:eastAsia="Aptos" w:hAnsi="Aptos" w:cs="Arial"/>
                <w:szCs w:val="22"/>
              </w:rPr>
              <w:t>Agree</w:t>
            </w:r>
          </w:p>
        </w:tc>
        <w:tc>
          <w:tcPr>
            <w:tcW w:w="3079" w:type="pct"/>
            <w:noWrap/>
            <w:hideMark/>
          </w:tcPr>
          <w:p w14:paraId="7FA2FDA8" w14:textId="77777777" w:rsidR="00337755" w:rsidRPr="00132A82" w:rsidRDefault="00337755" w:rsidP="00337755">
            <w:pPr>
              <w:spacing w:line="240" w:lineRule="auto"/>
              <w:jc w:val="right"/>
              <w:rPr>
                <w:rFonts w:ascii="Aptos" w:eastAsia="Aptos" w:hAnsi="Aptos" w:cs="Arial"/>
                <w:szCs w:val="22"/>
              </w:rPr>
            </w:pPr>
            <w:r w:rsidRPr="00132A82">
              <w:rPr>
                <w:rFonts w:ascii="Aptos" w:eastAsia="Aptos" w:hAnsi="Aptos" w:cs="Arial"/>
                <w:szCs w:val="22"/>
              </w:rPr>
              <w:t>35.6%</w:t>
            </w:r>
          </w:p>
        </w:tc>
      </w:tr>
      <w:tr w:rsidR="00337755" w:rsidRPr="00132A82" w14:paraId="38D438AD" w14:textId="77777777" w:rsidTr="00132A82">
        <w:trPr>
          <w:trHeight w:val="17"/>
        </w:trPr>
        <w:tc>
          <w:tcPr>
            <w:tcW w:w="1921" w:type="pct"/>
            <w:noWrap/>
            <w:hideMark/>
          </w:tcPr>
          <w:p w14:paraId="73B6D2D8" w14:textId="77777777" w:rsidR="00337755" w:rsidRPr="00132A82" w:rsidRDefault="00337755" w:rsidP="00337755">
            <w:pPr>
              <w:spacing w:line="240" w:lineRule="auto"/>
              <w:rPr>
                <w:rFonts w:ascii="Aptos" w:eastAsia="Aptos" w:hAnsi="Aptos" w:cs="Arial"/>
                <w:szCs w:val="22"/>
              </w:rPr>
            </w:pPr>
            <w:r w:rsidRPr="00132A82">
              <w:rPr>
                <w:rFonts w:ascii="Aptos" w:eastAsia="Aptos" w:hAnsi="Aptos" w:cs="Arial"/>
                <w:szCs w:val="22"/>
              </w:rPr>
              <w:t>Strongly agree</w:t>
            </w:r>
          </w:p>
        </w:tc>
        <w:tc>
          <w:tcPr>
            <w:tcW w:w="3079" w:type="pct"/>
            <w:noWrap/>
            <w:hideMark/>
          </w:tcPr>
          <w:p w14:paraId="47C3AD17" w14:textId="77777777" w:rsidR="00337755" w:rsidRPr="00132A82" w:rsidRDefault="00337755" w:rsidP="00337755">
            <w:pPr>
              <w:spacing w:line="240" w:lineRule="auto"/>
              <w:jc w:val="right"/>
              <w:rPr>
                <w:rFonts w:ascii="Aptos" w:eastAsia="Aptos" w:hAnsi="Aptos" w:cs="Arial"/>
                <w:szCs w:val="22"/>
              </w:rPr>
            </w:pPr>
            <w:r w:rsidRPr="00132A82">
              <w:rPr>
                <w:rFonts w:ascii="Aptos" w:eastAsia="Aptos" w:hAnsi="Aptos" w:cs="Arial"/>
                <w:szCs w:val="22"/>
              </w:rPr>
              <w:t>34.5%</w:t>
            </w:r>
          </w:p>
        </w:tc>
      </w:tr>
      <w:tr w:rsidR="00337755" w:rsidRPr="00132A82" w14:paraId="09187A4D" w14:textId="77777777" w:rsidTr="00132A82">
        <w:trPr>
          <w:trHeight w:val="17"/>
        </w:trPr>
        <w:tc>
          <w:tcPr>
            <w:tcW w:w="1921" w:type="pct"/>
            <w:shd w:val="clear" w:color="auto" w:fill="F2F2F2" w:themeFill="background1" w:themeFillShade="F2"/>
            <w:noWrap/>
            <w:hideMark/>
          </w:tcPr>
          <w:p w14:paraId="408F1F36" w14:textId="77777777" w:rsidR="00337755" w:rsidRPr="00132A82" w:rsidRDefault="00337755" w:rsidP="00337755">
            <w:pPr>
              <w:spacing w:line="240" w:lineRule="auto"/>
              <w:rPr>
                <w:rFonts w:ascii="Aptos" w:eastAsia="Aptos" w:hAnsi="Aptos" w:cs="Arial"/>
                <w:b/>
                <w:szCs w:val="22"/>
              </w:rPr>
            </w:pPr>
            <w:r w:rsidRPr="00132A82">
              <w:rPr>
                <w:rFonts w:ascii="Aptos" w:eastAsia="Aptos" w:hAnsi="Aptos" w:cs="Arial"/>
                <w:b/>
                <w:szCs w:val="22"/>
              </w:rPr>
              <w:t>Total</w:t>
            </w:r>
          </w:p>
        </w:tc>
        <w:tc>
          <w:tcPr>
            <w:tcW w:w="3079" w:type="pct"/>
            <w:shd w:val="clear" w:color="auto" w:fill="F2F2F2" w:themeFill="background1" w:themeFillShade="F2"/>
            <w:noWrap/>
            <w:hideMark/>
          </w:tcPr>
          <w:p w14:paraId="4DAD36B4" w14:textId="77777777" w:rsidR="00337755" w:rsidRPr="00132A82" w:rsidRDefault="00337755" w:rsidP="00337755">
            <w:pPr>
              <w:spacing w:line="240" w:lineRule="auto"/>
              <w:jc w:val="right"/>
              <w:rPr>
                <w:rFonts w:ascii="Aptos" w:eastAsia="Aptos" w:hAnsi="Aptos" w:cs="Arial"/>
                <w:b/>
                <w:szCs w:val="22"/>
              </w:rPr>
            </w:pPr>
            <w:r w:rsidRPr="00132A82">
              <w:rPr>
                <w:rFonts w:ascii="Aptos" w:eastAsia="Aptos" w:hAnsi="Aptos" w:cs="Arial"/>
                <w:b/>
                <w:szCs w:val="22"/>
              </w:rPr>
              <w:t>100.0%</w:t>
            </w:r>
          </w:p>
        </w:tc>
      </w:tr>
    </w:tbl>
    <w:p w14:paraId="424030AA" w14:textId="1CFBCD6C" w:rsidR="003C6C48" w:rsidRPr="000F1DE6" w:rsidRDefault="003C6C48" w:rsidP="00132A82">
      <w:pPr>
        <w:pStyle w:val="Caption"/>
      </w:pPr>
      <w:r w:rsidRPr="000F1DE6">
        <w:t>Data Table 20 Employer responses on accessibility of model WHS Regulations</w:t>
      </w:r>
    </w:p>
    <w:p w14:paraId="3397B3A3" w14:textId="6802DF57" w:rsidR="003C6C48" w:rsidRPr="000F1DE6" w:rsidRDefault="003C6C48" w:rsidP="003C6C48">
      <w:pPr>
        <w:pStyle w:val="Paragraph"/>
      </w:pPr>
      <w:r w:rsidRPr="000F1DE6">
        <w:t>Employers were asked to indicate their level of agreement with the statement: ‘The model WHS Regulations are clear and easy to understand’</w:t>
      </w:r>
      <w:r w:rsidR="00713963">
        <w:t>.</w:t>
      </w:r>
    </w:p>
    <w:tbl>
      <w:tblPr>
        <w:tblStyle w:val="Style9"/>
        <w:tblW w:w="5000" w:type="pct"/>
        <w:tblCellMar>
          <w:top w:w="57" w:type="dxa"/>
          <w:bottom w:w="57" w:type="dxa"/>
        </w:tblCellMar>
        <w:tblLook w:val="04A0" w:firstRow="1" w:lastRow="0" w:firstColumn="1" w:lastColumn="0" w:noHBand="0" w:noVBand="1"/>
        <w:tblCaption w:val="Data Table 20 Employer responses on accessibility of model WHS Regulations"/>
        <w:tblDescription w:val="Employers were asked to indicate their level of agreement with the statement: ‘The model WHS Regulations are clear and easy to understand.’ 37.9% responded 'agree', 27.6% responded neutral.  Under 20% either disagreed or strongly disagreed. &#10;"/>
      </w:tblPr>
      <w:tblGrid>
        <w:gridCol w:w="3895"/>
        <w:gridCol w:w="5857"/>
      </w:tblGrid>
      <w:tr w:rsidR="00F82BFB" w:rsidRPr="00132A82" w14:paraId="0D8FDA67" w14:textId="77777777" w:rsidTr="00132A82">
        <w:trPr>
          <w:trHeight w:val="27"/>
        </w:trPr>
        <w:tc>
          <w:tcPr>
            <w:tcW w:w="1997" w:type="pct"/>
            <w:shd w:val="clear" w:color="auto" w:fill="F2F2F2" w:themeFill="background1" w:themeFillShade="F2"/>
            <w:noWrap/>
            <w:hideMark/>
          </w:tcPr>
          <w:p w14:paraId="5DD351CC" w14:textId="77777777" w:rsidR="00F82BFB" w:rsidRPr="00132A82" w:rsidRDefault="00F82BFB" w:rsidP="00F82BFB">
            <w:pPr>
              <w:spacing w:line="240" w:lineRule="auto"/>
              <w:rPr>
                <w:rFonts w:ascii="Aptos" w:eastAsia="Aptos" w:hAnsi="Aptos" w:cs="Arial"/>
                <w:b/>
                <w:szCs w:val="22"/>
              </w:rPr>
            </w:pPr>
            <w:r w:rsidRPr="00132A82">
              <w:rPr>
                <w:rFonts w:ascii="Aptos" w:eastAsia="Aptos" w:hAnsi="Aptos" w:cs="Arial"/>
                <w:b/>
                <w:szCs w:val="22"/>
              </w:rPr>
              <w:t>Response</w:t>
            </w:r>
          </w:p>
        </w:tc>
        <w:tc>
          <w:tcPr>
            <w:tcW w:w="3003" w:type="pct"/>
            <w:shd w:val="clear" w:color="auto" w:fill="F2F2F2" w:themeFill="background1" w:themeFillShade="F2"/>
            <w:noWrap/>
            <w:hideMark/>
          </w:tcPr>
          <w:p w14:paraId="0EF5FA4B" w14:textId="77777777" w:rsidR="00F82BFB" w:rsidRPr="00132A82" w:rsidRDefault="00F82BFB" w:rsidP="00F82BFB">
            <w:pPr>
              <w:spacing w:line="240" w:lineRule="auto"/>
              <w:jc w:val="right"/>
              <w:rPr>
                <w:rFonts w:ascii="Aptos" w:eastAsia="Aptos" w:hAnsi="Aptos" w:cs="Arial"/>
                <w:b/>
                <w:szCs w:val="22"/>
              </w:rPr>
            </w:pPr>
            <w:r w:rsidRPr="00132A82">
              <w:rPr>
                <w:rFonts w:ascii="Aptos" w:eastAsia="Aptos" w:hAnsi="Aptos" w:cs="Arial"/>
                <w:b/>
                <w:szCs w:val="22"/>
              </w:rPr>
              <w:t>Percentage of responses (%)</w:t>
            </w:r>
          </w:p>
        </w:tc>
      </w:tr>
      <w:tr w:rsidR="00F82BFB" w:rsidRPr="00132A82" w14:paraId="26CA914A" w14:textId="77777777" w:rsidTr="00132A82">
        <w:trPr>
          <w:trHeight w:val="17"/>
        </w:trPr>
        <w:tc>
          <w:tcPr>
            <w:tcW w:w="1997" w:type="pct"/>
            <w:noWrap/>
            <w:hideMark/>
          </w:tcPr>
          <w:p w14:paraId="62BA5C03" w14:textId="77777777" w:rsidR="00F82BFB" w:rsidRPr="00132A82" w:rsidRDefault="00F82BFB" w:rsidP="00F82BFB">
            <w:pPr>
              <w:spacing w:line="240" w:lineRule="auto"/>
              <w:rPr>
                <w:rFonts w:ascii="Aptos" w:eastAsia="Aptos" w:hAnsi="Aptos" w:cs="Arial"/>
                <w:szCs w:val="22"/>
              </w:rPr>
            </w:pPr>
            <w:r w:rsidRPr="00132A82">
              <w:rPr>
                <w:rFonts w:ascii="Aptos" w:eastAsia="Aptos" w:hAnsi="Aptos" w:cs="Arial"/>
                <w:szCs w:val="22"/>
              </w:rPr>
              <w:t>Strongly disagree</w:t>
            </w:r>
          </w:p>
        </w:tc>
        <w:tc>
          <w:tcPr>
            <w:tcW w:w="3003" w:type="pct"/>
            <w:noWrap/>
            <w:hideMark/>
          </w:tcPr>
          <w:p w14:paraId="2268BA94" w14:textId="77777777" w:rsidR="00F82BFB" w:rsidRPr="00132A82" w:rsidRDefault="00F82BFB" w:rsidP="00F82BFB">
            <w:pPr>
              <w:spacing w:line="240" w:lineRule="auto"/>
              <w:jc w:val="right"/>
              <w:rPr>
                <w:rFonts w:ascii="Aptos" w:eastAsia="Aptos" w:hAnsi="Aptos" w:cs="Arial"/>
                <w:szCs w:val="22"/>
              </w:rPr>
            </w:pPr>
            <w:r w:rsidRPr="00132A82">
              <w:rPr>
                <w:rFonts w:ascii="Aptos" w:eastAsia="Aptos" w:hAnsi="Aptos" w:cs="Arial"/>
                <w:szCs w:val="22"/>
              </w:rPr>
              <w:t>4.6%</w:t>
            </w:r>
          </w:p>
        </w:tc>
      </w:tr>
      <w:tr w:rsidR="00F82BFB" w:rsidRPr="00132A82" w14:paraId="50CD8D1F" w14:textId="77777777" w:rsidTr="00132A82">
        <w:trPr>
          <w:trHeight w:val="17"/>
        </w:trPr>
        <w:tc>
          <w:tcPr>
            <w:tcW w:w="1997" w:type="pct"/>
            <w:noWrap/>
            <w:hideMark/>
          </w:tcPr>
          <w:p w14:paraId="44348F56" w14:textId="77777777" w:rsidR="00F82BFB" w:rsidRPr="00132A82" w:rsidRDefault="00F82BFB" w:rsidP="00F82BFB">
            <w:pPr>
              <w:spacing w:line="240" w:lineRule="auto"/>
              <w:rPr>
                <w:rFonts w:ascii="Aptos" w:eastAsia="Aptos" w:hAnsi="Aptos" w:cs="Arial"/>
                <w:szCs w:val="22"/>
              </w:rPr>
            </w:pPr>
            <w:r w:rsidRPr="00132A82">
              <w:rPr>
                <w:rFonts w:ascii="Aptos" w:eastAsia="Aptos" w:hAnsi="Aptos" w:cs="Arial"/>
                <w:szCs w:val="22"/>
              </w:rPr>
              <w:t>Disagree</w:t>
            </w:r>
          </w:p>
        </w:tc>
        <w:tc>
          <w:tcPr>
            <w:tcW w:w="3003" w:type="pct"/>
            <w:noWrap/>
            <w:hideMark/>
          </w:tcPr>
          <w:p w14:paraId="2F6BACB6" w14:textId="77777777" w:rsidR="00F82BFB" w:rsidRPr="00132A82" w:rsidRDefault="00F82BFB" w:rsidP="00F82BFB">
            <w:pPr>
              <w:spacing w:line="240" w:lineRule="auto"/>
              <w:jc w:val="right"/>
              <w:rPr>
                <w:rFonts w:ascii="Aptos" w:eastAsia="Aptos" w:hAnsi="Aptos" w:cs="Arial"/>
                <w:szCs w:val="22"/>
              </w:rPr>
            </w:pPr>
            <w:r w:rsidRPr="00132A82">
              <w:rPr>
                <w:rFonts w:ascii="Aptos" w:eastAsia="Aptos" w:hAnsi="Aptos" w:cs="Arial"/>
                <w:szCs w:val="22"/>
              </w:rPr>
              <w:t>14.9%</w:t>
            </w:r>
          </w:p>
        </w:tc>
      </w:tr>
      <w:tr w:rsidR="00F82BFB" w:rsidRPr="00132A82" w14:paraId="05F1A751" w14:textId="77777777" w:rsidTr="00132A82">
        <w:trPr>
          <w:trHeight w:val="17"/>
        </w:trPr>
        <w:tc>
          <w:tcPr>
            <w:tcW w:w="1997" w:type="pct"/>
            <w:noWrap/>
            <w:hideMark/>
          </w:tcPr>
          <w:p w14:paraId="78ABB147" w14:textId="77777777" w:rsidR="00F82BFB" w:rsidRPr="00132A82" w:rsidRDefault="00F82BFB" w:rsidP="00F82BFB">
            <w:pPr>
              <w:spacing w:line="240" w:lineRule="auto"/>
              <w:rPr>
                <w:rFonts w:ascii="Aptos" w:eastAsia="Aptos" w:hAnsi="Aptos" w:cs="Arial"/>
                <w:szCs w:val="22"/>
              </w:rPr>
            </w:pPr>
            <w:r w:rsidRPr="00132A82">
              <w:rPr>
                <w:rFonts w:ascii="Aptos" w:eastAsia="Aptos" w:hAnsi="Aptos" w:cs="Arial"/>
                <w:szCs w:val="22"/>
              </w:rPr>
              <w:t>Neutral</w:t>
            </w:r>
          </w:p>
        </w:tc>
        <w:tc>
          <w:tcPr>
            <w:tcW w:w="3003" w:type="pct"/>
            <w:noWrap/>
            <w:hideMark/>
          </w:tcPr>
          <w:p w14:paraId="6DBCFAE2" w14:textId="77777777" w:rsidR="00F82BFB" w:rsidRPr="00132A82" w:rsidRDefault="00F82BFB" w:rsidP="00F82BFB">
            <w:pPr>
              <w:spacing w:line="240" w:lineRule="auto"/>
              <w:jc w:val="right"/>
              <w:rPr>
                <w:rFonts w:ascii="Aptos" w:eastAsia="Aptos" w:hAnsi="Aptos" w:cs="Arial"/>
                <w:szCs w:val="22"/>
              </w:rPr>
            </w:pPr>
            <w:r w:rsidRPr="00132A82">
              <w:rPr>
                <w:rFonts w:ascii="Aptos" w:eastAsia="Aptos" w:hAnsi="Aptos" w:cs="Arial"/>
                <w:szCs w:val="22"/>
              </w:rPr>
              <w:t>27.6%</w:t>
            </w:r>
          </w:p>
        </w:tc>
      </w:tr>
      <w:tr w:rsidR="00F82BFB" w:rsidRPr="00132A82" w14:paraId="206D6EAF" w14:textId="77777777" w:rsidTr="00132A82">
        <w:trPr>
          <w:trHeight w:val="17"/>
        </w:trPr>
        <w:tc>
          <w:tcPr>
            <w:tcW w:w="1997" w:type="pct"/>
            <w:noWrap/>
            <w:hideMark/>
          </w:tcPr>
          <w:p w14:paraId="22AC819B" w14:textId="77777777" w:rsidR="00F82BFB" w:rsidRPr="00132A82" w:rsidRDefault="00F82BFB" w:rsidP="00F82BFB">
            <w:pPr>
              <w:spacing w:line="240" w:lineRule="auto"/>
              <w:rPr>
                <w:rFonts w:ascii="Aptos" w:eastAsia="Aptos" w:hAnsi="Aptos" w:cs="Arial"/>
                <w:szCs w:val="22"/>
              </w:rPr>
            </w:pPr>
            <w:r w:rsidRPr="00132A82">
              <w:rPr>
                <w:rFonts w:ascii="Aptos" w:eastAsia="Aptos" w:hAnsi="Aptos" w:cs="Arial"/>
                <w:szCs w:val="22"/>
              </w:rPr>
              <w:t>Agree</w:t>
            </w:r>
          </w:p>
        </w:tc>
        <w:tc>
          <w:tcPr>
            <w:tcW w:w="3003" w:type="pct"/>
            <w:noWrap/>
            <w:hideMark/>
          </w:tcPr>
          <w:p w14:paraId="4EF4CD1B" w14:textId="77777777" w:rsidR="00F82BFB" w:rsidRPr="00132A82" w:rsidRDefault="00F82BFB" w:rsidP="00F82BFB">
            <w:pPr>
              <w:spacing w:line="240" w:lineRule="auto"/>
              <w:jc w:val="right"/>
              <w:rPr>
                <w:rFonts w:ascii="Aptos" w:eastAsia="Aptos" w:hAnsi="Aptos" w:cs="Arial"/>
                <w:szCs w:val="22"/>
              </w:rPr>
            </w:pPr>
            <w:r w:rsidRPr="00132A82">
              <w:rPr>
                <w:rFonts w:ascii="Aptos" w:eastAsia="Aptos" w:hAnsi="Aptos" w:cs="Arial"/>
                <w:szCs w:val="22"/>
              </w:rPr>
              <w:t>37.9%</w:t>
            </w:r>
          </w:p>
        </w:tc>
      </w:tr>
      <w:tr w:rsidR="00F82BFB" w:rsidRPr="00132A82" w14:paraId="76DED03B" w14:textId="77777777" w:rsidTr="00132A82">
        <w:trPr>
          <w:trHeight w:val="17"/>
        </w:trPr>
        <w:tc>
          <w:tcPr>
            <w:tcW w:w="1997" w:type="pct"/>
            <w:noWrap/>
            <w:hideMark/>
          </w:tcPr>
          <w:p w14:paraId="213BFC4E" w14:textId="77777777" w:rsidR="00F82BFB" w:rsidRPr="00132A82" w:rsidRDefault="00F82BFB" w:rsidP="00F82BFB">
            <w:pPr>
              <w:spacing w:line="240" w:lineRule="auto"/>
              <w:rPr>
                <w:rFonts w:ascii="Aptos" w:eastAsia="Aptos" w:hAnsi="Aptos" w:cs="Arial"/>
                <w:szCs w:val="22"/>
              </w:rPr>
            </w:pPr>
            <w:r w:rsidRPr="00132A82">
              <w:rPr>
                <w:rFonts w:ascii="Aptos" w:eastAsia="Aptos" w:hAnsi="Aptos" w:cs="Arial"/>
                <w:szCs w:val="22"/>
              </w:rPr>
              <w:t>Strongly agree</w:t>
            </w:r>
          </w:p>
        </w:tc>
        <w:tc>
          <w:tcPr>
            <w:tcW w:w="3003" w:type="pct"/>
            <w:noWrap/>
            <w:hideMark/>
          </w:tcPr>
          <w:p w14:paraId="154AEFD1" w14:textId="77777777" w:rsidR="00F82BFB" w:rsidRPr="00132A82" w:rsidRDefault="00F82BFB" w:rsidP="00F82BFB">
            <w:pPr>
              <w:spacing w:line="240" w:lineRule="auto"/>
              <w:jc w:val="right"/>
              <w:rPr>
                <w:rFonts w:ascii="Aptos" w:eastAsia="Aptos" w:hAnsi="Aptos" w:cs="Arial"/>
                <w:szCs w:val="22"/>
              </w:rPr>
            </w:pPr>
            <w:r w:rsidRPr="00132A82">
              <w:rPr>
                <w:rFonts w:ascii="Aptos" w:eastAsia="Aptos" w:hAnsi="Aptos" w:cs="Arial"/>
                <w:szCs w:val="22"/>
              </w:rPr>
              <w:t>14.9%</w:t>
            </w:r>
          </w:p>
        </w:tc>
      </w:tr>
      <w:tr w:rsidR="00F82BFB" w:rsidRPr="00132A82" w14:paraId="0B01A762" w14:textId="77777777" w:rsidTr="00132A82">
        <w:trPr>
          <w:trHeight w:val="17"/>
        </w:trPr>
        <w:tc>
          <w:tcPr>
            <w:tcW w:w="1997" w:type="pct"/>
            <w:shd w:val="clear" w:color="auto" w:fill="F2F2F2" w:themeFill="background1" w:themeFillShade="F2"/>
            <w:noWrap/>
            <w:hideMark/>
          </w:tcPr>
          <w:p w14:paraId="5CE7672F" w14:textId="77777777" w:rsidR="00F82BFB" w:rsidRPr="00132A82" w:rsidRDefault="00F82BFB" w:rsidP="00F82BFB">
            <w:pPr>
              <w:spacing w:line="240" w:lineRule="auto"/>
              <w:rPr>
                <w:rFonts w:ascii="Aptos" w:eastAsia="Aptos" w:hAnsi="Aptos" w:cs="Arial"/>
                <w:b/>
                <w:szCs w:val="22"/>
              </w:rPr>
            </w:pPr>
            <w:r w:rsidRPr="00132A82">
              <w:rPr>
                <w:rFonts w:ascii="Aptos" w:eastAsia="Aptos" w:hAnsi="Aptos" w:cs="Arial"/>
                <w:b/>
                <w:szCs w:val="22"/>
              </w:rPr>
              <w:t>Total</w:t>
            </w:r>
          </w:p>
        </w:tc>
        <w:tc>
          <w:tcPr>
            <w:tcW w:w="3003" w:type="pct"/>
            <w:shd w:val="clear" w:color="auto" w:fill="F2F2F2" w:themeFill="background1" w:themeFillShade="F2"/>
            <w:noWrap/>
            <w:hideMark/>
          </w:tcPr>
          <w:p w14:paraId="346E6ABD" w14:textId="77777777" w:rsidR="00F82BFB" w:rsidRPr="00132A82" w:rsidRDefault="00F82BFB" w:rsidP="00F82BFB">
            <w:pPr>
              <w:spacing w:line="240" w:lineRule="auto"/>
              <w:jc w:val="right"/>
              <w:rPr>
                <w:rFonts w:ascii="Aptos" w:eastAsia="Aptos" w:hAnsi="Aptos" w:cs="Arial"/>
                <w:b/>
                <w:szCs w:val="22"/>
              </w:rPr>
            </w:pPr>
            <w:r w:rsidRPr="00132A82">
              <w:rPr>
                <w:rFonts w:ascii="Aptos" w:eastAsia="Aptos" w:hAnsi="Aptos" w:cs="Arial"/>
                <w:b/>
                <w:szCs w:val="22"/>
              </w:rPr>
              <w:t>100.0%</w:t>
            </w:r>
          </w:p>
        </w:tc>
      </w:tr>
    </w:tbl>
    <w:p w14:paraId="2DD401DA" w14:textId="77777777" w:rsidR="00132A82" w:rsidRDefault="00132A82" w:rsidP="000D26F7">
      <w:pPr>
        <w:pStyle w:val="Caption"/>
      </w:pPr>
    </w:p>
    <w:p w14:paraId="76A4DD32" w14:textId="77777777" w:rsidR="00132A82" w:rsidRDefault="00132A82">
      <w:pPr>
        <w:spacing w:after="200" w:line="276" w:lineRule="auto"/>
        <w:contextualSpacing w:val="0"/>
        <w:rPr>
          <w:rFonts w:asciiTheme="minorHAnsi" w:hAnsiTheme="minorHAnsi"/>
          <w:b/>
          <w:bCs/>
        </w:rPr>
      </w:pPr>
      <w:r>
        <w:br w:type="page"/>
      </w:r>
    </w:p>
    <w:p w14:paraId="7D59C3C2" w14:textId="3957C171" w:rsidR="003C6C48" w:rsidRPr="000F1DE6" w:rsidRDefault="003C6C48" w:rsidP="000D26F7">
      <w:pPr>
        <w:pStyle w:val="Caption"/>
      </w:pPr>
      <w:r w:rsidRPr="000F1DE6">
        <w:lastRenderedPageBreak/>
        <w:t>Data Table 21 Employer responses on improving understanding of WHS obligations</w:t>
      </w:r>
    </w:p>
    <w:p w14:paraId="77B7E0D6" w14:textId="77777777" w:rsidR="003C6C48" w:rsidRDefault="003C6C48" w:rsidP="003C6C48">
      <w:pPr>
        <w:pStyle w:val="Paragraph"/>
      </w:pPr>
      <w:r w:rsidRPr="000F1DE6">
        <w:t>Employers were asked to respond to the question ‘If there was one thing that could be done to help you understand WHS obligations, what would it be?’</w:t>
      </w:r>
    </w:p>
    <w:tbl>
      <w:tblPr>
        <w:tblStyle w:val="Style9"/>
        <w:tblW w:w="5000" w:type="pct"/>
        <w:tblCellMar>
          <w:top w:w="57" w:type="dxa"/>
          <w:bottom w:w="57" w:type="dxa"/>
        </w:tblCellMar>
        <w:tblLook w:val="04A0" w:firstRow="1" w:lastRow="0" w:firstColumn="1" w:lastColumn="0" w:noHBand="0" w:noVBand="1"/>
        <w:tblCaption w:val="Data Table 21 Employer responses on improving understanding of WHS obligations"/>
        <w:tblDescription w:val="Employers were asked to respond to the question ‘If there was one thing that could be done to help you understand WHS obligations, what would it be?’ 18.4% responded 'make WHS information more accessible', 12.2% responded to each of the following: 'harmonise', 'practical guidance on how to meet WHS obligations' and 'education, training and capability building.'&#10;"/>
      </w:tblPr>
      <w:tblGrid>
        <w:gridCol w:w="6093"/>
        <w:gridCol w:w="3659"/>
      </w:tblGrid>
      <w:tr w:rsidR="00476A0C" w:rsidRPr="00132A82" w14:paraId="1A37E404" w14:textId="77777777" w:rsidTr="00132A82">
        <w:tc>
          <w:tcPr>
            <w:tcW w:w="3124" w:type="pct"/>
            <w:shd w:val="clear" w:color="auto" w:fill="F2F2F2" w:themeFill="background1" w:themeFillShade="F2"/>
            <w:noWrap/>
            <w:hideMark/>
          </w:tcPr>
          <w:p w14:paraId="60F196C2" w14:textId="77777777" w:rsidR="00476A0C" w:rsidRPr="00132A82" w:rsidRDefault="00476A0C">
            <w:pPr>
              <w:spacing w:line="240" w:lineRule="auto"/>
              <w:rPr>
                <w:rFonts w:ascii="Aptos" w:eastAsia="Aptos" w:hAnsi="Aptos" w:cs="Arial"/>
                <w:b/>
                <w:szCs w:val="22"/>
              </w:rPr>
            </w:pPr>
            <w:r w:rsidRPr="00132A82">
              <w:rPr>
                <w:rFonts w:ascii="Aptos" w:eastAsia="Aptos" w:hAnsi="Aptos" w:cs="Arial"/>
                <w:b/>
                <w:szCs w:val="22"/>
              </w:rPr>
              <w:t>Theme</w:t>
            </w:r>
          </w:p>
        </w:tc>
        <w:tc>
          <w:tcPr>
            <w:tcW w:w="1876" w:type="pct"/>
            <w:shd w:val="clear" w:color="auto" w:fill="F2F2F2" w:themeFill="background1" w:themeFillShade="F2"/>
            <w:noWrap/>
            <w:hideMark/>
          </w:tcPr>
          <w:p w14:paraId="2F3187EA" w14:textId="77777777" w:rsidR="00476A0C" w:rsidRPr="00132A82" w:rsidRDefault="00476A0C">
            <w:pPr>
              <w:spacing w:line="240" w:lineRule="auto"/>
              <w:jc w:val="right"/>
              <w:rPr>
                <w:rFonts w:ascii="Aptos" w:eastAsia="Aptos" w:hAnsi="Aptos" w:cs="Arial"/>
                <w:b/>
                <w:szCs w:val="22"/>
              </w:rPr>
            </w:pPr>
            <w:r w:rsidRPr="00132A82">
              <w:rPr>
                <w:rFonts w:ascii="Aptos" w:eastAsia="Aptos" w:hAnsi="Aptos" w:cs="Arial"/>
                <w:b/>
                <w:szCs w:val="22"/>
              </w:rPr>
              <w:t>Percentage of responses (%)</w:t>
            </w:r>
          </w:p>
        </w:tc>
      </w:tr>
      <w:tr w:rsidR="00476A0C" w:rsidRPr="00132A82" w14:paraId="4E3F00A8" w14:textId="77777777" w:rsidTr="00132A82">
        <w:tc>
          <w:tcPr>
            <w:tcW w:w="3124" w:type="pct"/>
            <w:noWrap/>
            <w:hideMark/>
          </w:tcPr>
          <w:p w14:paraId="6D333648" w14:textId="77777777" w:rsidR="00476A0C" w:rsidRPr="00132A82" w:rsidRDefault="00476A0C">
            <w:pPr>
              <w:spacing w:line="240" w:lineRule="auto"/>
              <w:rPr>
                <w:rFonts w:ascii="Aptos" w:eastAsia="Aptos" w:hAnsi="Aptos" w:cs="Arial"/>
                <w:szCs w:val="22"/>
              </w:rPr>
            </w:pPr>
            <w:r w:rsidRPr="00132A82">
              <w:rPr>
                <w:rFonts w:ascii="Aptos" w:eastAsia="Aptos" w:hAnsi="Aptos" w:cs="Arial"/>
                <w:szCs w:val="22"/>
              </w:rPr>
              <w:t>Make WHS information more accessible</w:t>
            </w:r>
          </w:p>
        </w:tc>
        <w:tc>
          <w:tcPr>
            <w:tcW w:w="1876" w:type="pct"/>
            <w:noWrap/>
            <w:hideMark/>
          </w:tcPr>
          <w:p w14:paraId="60B65746" w14:textId="77777777" w:rsidR="00476A0C" w:rsidRPr="00132A82" w:rsidRDefault="00476A0C">
            <w:pPr>
              <w:spacing w:line="240" w:lineRule="auto"/>
              <w:jc w:val="right"/>
              <w:rPr>
                <w:rFonts w:ascii="Aptos" w:eastAsia="Aptos" w:hAnsi="Aptos" w:cs="Arial"/>
                <w:szCs w:val="22"/>
              </w:rPr>
            </w:pPr>
            <w:r w:rsidRPr="00132A82">
              <w:rPr>
                <w:rFonts w:ascii="Aptos" w:eastAsia="Aptos" w:hAnsi="Aptos" w:cs="Arial"/>
                <w:szCs w:val="22"/>
              </w:rPr>
              <w:t>18.4%</w:t>
            </w:r>
          </w:p>
        </w:tc>
      </w:tr>
      <w:tr w:rsidR="00476A0C" w:rsidRPr="00132A82" w14:paraId="6EC905E0" w14:textId="77777777" w:rsidTr="00132A82">
        <w:tc>
          <w:tcPr>
            <w:tcW w:w="3124" w:type="pct"/>
            <w:noWrap/>
            <w:hideMark/>
          </w:tcPr>
          <w:p w14:paraId="6208F9E8" w14:textId="77777777" w:rsidR="00476A0C" w:rsidRPr="00132A82" w:rsidRDefault="00476A0C">
            <w:pPr>
              <w:spacing w:line="240" w:lineRule="auto"/>
              <w:rPr>
                <w:rFonts w:ascii="Aptos" w:eastAsia="Aptos" w:hAnsi="Aptos" w:cs="Arial"/>
                <w:szCs w:val="22"/>
              </w:rPr>
            </w:pPr>
            <w:r w:rsidRPr="00132A82">
              <w:rPr>
                <w:rFonts w:ascii="Aptos" w:eastAsia="Aptos" w:hAnsi="Aptos" w:cs="Arial"/>
                <w:szCs w:val="22"/>
              </w:rPr>
              <w:t>Harmonise</w:t>
            </w:r>
          </w:p>
        </w:tc>
        <w:tc>
          <w:tcPr>
            <w:tcW w:w="1876" w:type="pct"/>
            <w:noWrap/>
            <w:hideMark/>
          </w:tcPr>
          <w:p w14:paraId="0D68210F" w14:textId="77777777" w:rsidR="00476A0C" w:rsidRPr="00132A82" w:rsidRDefault="00476A0C">
            <w:pPr>
              <w:spacing w:line="240" w:lineRule="auto"/>
              <w:jc w:val="right"/>
              <w:rPr>
                <w:rFonts w:ascii="Aptos" w:eastAsia="Aptos" w:hAnsi="Aptos" w:cs="Arial"/>
                <w:szCs w:val="22"/>
              </w:rPr>
            </w:pPr>
            <w:r w:rsidRPr="00132A82">
              <w:rPr>
                <w:rFonts w:ascii="Aptos" w:eastAsia="Aptos" w:hAnsi="Aptos" w:cs="Arial"/>
                <w:szCs w:val="22"/>
              </w:rPr>
              <w:t>12.2%</w:t>
            </w:r>
          </w:p>
        </w:tc>
      </w:tr>
      <w:tr w:rsidR="00476A0C" w:rsidRPr="00132A82" w14:paraId="1E3CBE83" w14:textId="77777777" w:rsidTr="00132A82">
        <w:tc>
          <w:tcPr>
            <w:tcW w:w="3124" w:type="pct"/>
            <w:noWrap/>
            <w:hideMark/>
          </w:tcPr>
          <w:p w14:paraId="30F362E1" w14:textId="77777777" w:rsidR="00476A0C" w:rsidRPr="00132A82" w:rsidRDefault="00476A0C">
            <w:pPr>
              <w:spacing w:line="240" w:lineRule="auto"/>
              <w:rPr>
                <w:rFonts w:ascii="Aptos" w:eastAsia="Aptos" w:hAnsi="Aptos" w:cs="Arial"/>
                <w:szCs w:val="22"/>
              </w:rPr>
            </w:pPr>
            <w:r w:rsidRPr="00132A82">
              <w:rPr>
                <w:rFonts w:ascii="Aptos" w:eastAsia="Aptos" w:hAnsi="Aptos" w:cs="Arial"/>
                <w:szCs w:val="22"/>
              </w:rPr>
              <w:t>Practical guidance on how to meet WHS obligations</w:t>
            </w:r>
          </w:p>
        </w:tc>
        <w:tc>
          <w:tcPr>
            <w:tcW w:w="1876" w:type="pct"/>
            <w:noWrap/>
            <w:hideMark/>
          </w:tcPr>
          <w:p w14:paraId="04251900" w14:textId="77777777" w:rsidR="00476A0C" w:rsidRPr="00132A82" w:rsidRDefault="00476A0C">
            <w:pPr>
              <w:spacing w:line="240" w:lineRule="auto"/>
              <w:jc w:val="right"/>
              <w:rPr>
                <w:rFonts w:ascii="Aptos" w:eastAsia="Aptos" w:hAnsi="Aptos" w:cs="Arial"/>
                <w:szCs w:val="22"/>
              </w:rPr>
            </w:pPr>
            <w:r w:rsidRPr="00132A82">
              <w:rPr>
                <w:rFonts w:ascii="Aptos" w:eastAsia="Aptos" w:hAnsi="Aptos" w:cs="Arial"/>
                <w:szCs w:val="22"/>
              </w:rPr>
              <w:t>12.2%</w:t>
            </w:r>
          </w:p>
        </w:tc>
      </w:tr>
      <w:tr w:rsidR="00476A0C" w:rsidRPr="00132A82" w14:paraId="27E4CB04" w14:textId="77777777" w:rsidTr="00132A82">
        <w:tc>
          <w:tcPr>
            <w:tcW w:w="3124" w:type="pct"/>
            <w:noWrap/>
            <w:hideMark/>
          </w:tcPr>
          <w:p w14:paraId="1B657332" w14:textId="77777777" w:rsidR="00476A0C" w:rsidRPr="00132A82" w:rsidRDefault="00476A0C">
            <w:pPr>
              <w:spacing w:line="240" w:lineRule="auto"/>
              <w:rPr>
                <w:rFonts w:ascii="Aptos" w:eastAsia="Aptos" w:hAnsi="Aptos" w:cs="Arial"/>
                <w:szCs w:val="22"/>
              </w:rPr>
            </w:pPr>
            <w:r w:rsidRPr="00132A82">
              <w:rPr>
                <w:rFonts w:ascii="Aptos" w:eastAsia="Aptos" w:hAnsi="Aptos" w:cs="Arial"/>
                <w:szCs w:val="22"/>
              </w:rPr>
              <w:t>Education, training and capability building</w:t>
            </w:r>
          </w:p>
        </w:tc>
        <w:tc>
          <w:tcPr>
            <w:tcW w:w="1876" w:type="pct"/>
            <w:noWrap/>
            <w:hideMark/>
          </w:tcPr>
          <w:p w14:paraId="1E010335" w14:textId="77777777" w:rsidR="00476A0C" w:rsidRPr="00132A82" w:rsidRDefault="00476A0C">
            <w:pPr>
              <w:spacing w:line="240" w:lineRule="auto"/>
              <w:jc w:val="right"/>
              <w:rPr>
                <w:rFonts w:ascii="Aptos" w:eastAsia="Aptos" w:hAnsi="Aptos" w:cs="Arial"/>
                <w:szCs w:val="22"/>
              </w:rPr>
            </w:pPr>
            <w:r w:rsidRPr="00132A82">
              <w:rPr>
                <w:rFonts w:ascii="Aptos" w:eastAsia="Aptos" w:hAnsi="Aptos" w:cs="Arial"/>
                <w:szCs w:val="22"/>
              </w:rPr>
              <w:t>12.2%</w:t>
            </w:r>
          </w:p>
        </w:tc>
      </w:tr>
      <w:tr w:rsidR="00476A0C" w:rsidRPr="00132A82" w14:paraId="703FE79D" w14:textId="77777777" w:rsidTr="00132A82">
        <w:tc>
          <w:tcPr>
            <w:tcW w:w="3124" w:type="pct"/>
            <w:noWrap/>
            <w:hideMark/>
          </w:tcPr>
          <w:p w14:paraId="0F4D2C3A" w14:textId="77777777" w:rsidR="00476A0C" w:rsidRPr="00132A82" w:rsidRDefault="00476A0C">
            <w:pPr>
              <w:spacing w:line="240" w:lineRule="auto"/>
              <w:rPr>
                <w:rFonts w:ascii="Aptos" w:eastAsia="Aptos" w:hAnsi="Aptos" w:cs="Arial"/>
                <w:szCs w:val="22"/>
              </w:rPr>
            </w:pPr>
            <w:r w:rsidRPr="00132A82">
              <w:rPr>
                <w:rFonts w:ascii="Aptos" w:eastAsia="Aptos" w:hAnsi="Aptos" w:cs="Arial"/>
                <w:szCs w:val="22"/>
              </w:rPr>
              <w:t>Guidance tailored to industry and business size</w:t>
            </w:r>
          </w:p>
        </w:tc>
        <w:tc>
          <w:tcPr>
            <w:tcW w:w="1876" w:type="pct"/>
            <w:noWrap/>
            <w:hideMark/>
          </w:tcPr>
          <w:p w14:paraId="1EA66365" w14:textId="77777777" w:rsidR="00476A0C" w:rsidRPr="00132A82" w:rsidRDefault="00476A0C">
            <w:pPr>
              <w:spacing w:line="240" w:lineRule="auto"/>
              <w:jc w:val="right"/>
              <w:rPr>
                <w:rFonts w:ascii="Aptos" w:eastAsia="Aptos" w:hAnsi="Aptos" w:cs="Arial"/>
                <w:szCs w:val="22"/>
              </w:rPr>
            </w:pPr>
            <w:r w:rsidRPr="00132A82">
              <w:rPr>
                <w:rFonts w:ascii="Aptos" w:eastAsia="Aptos" w:hAnsi="Aptos" w:cs="Arial"/>
                <w:szCs w:val="22"/>
              </w:rPr>
              <w:t>10.2%</w:t>
            </w:r>
          </w:p>
        </w:tc>
      </w:tr>
      <w:tr w:rsidR="00476A0C" w:rsidRPr="00132A82" w14:paraId="0A644CE4" w14:textId="77777777" w:rsidTr="00132A82">
        <w:tc>
          <w:tcPr>
            <w:tcW w:w="3124" w:type="pct"/>
            <w:noWrap/>
            <w:hideMark/>
          </w:tcPr>
          <w:p w14:paraId="5EA56EA4" w14:textId="77777777" w:rsidR="00476A0C" w:rsidRPr="00132A82" w:rsidRDefault="00476A0C">
            <w:pPr>
              <w:spacing w:line="240" w:lineRule="auto"/>
              <w:rPr>
                <w:rFonts w:ascii="Aptos" w:eastAsia="Aptos" w:hAnsi="Aptos" w:cs="Arial"/>
                <w:szCs w:val="22"/>
              </w:rPr>
            </w:pPr>
            <w:r w:rsidRPr="00132A82">
              <w:rPr>
                <w:rFonts w:ascii="Aptos" w:eastAsia="Aptos" w:hAnsi="Aptos" w:cs="Arial"/>
                <w:szCs w:val="22"/>
              </w:rPr>
              <w:t>Digital tools to support WHS compliance</w:t>
            </w:r>
          </w:p>
        </w:tc>
        <w:tc>
          <w:tcPr>
            <w:tcW w:w="1876" w:type="pct"/>
            <w:noWrap/>
            <w:hideMark/>
          </w:tcPr>
          <w:p w14:paraId="0B92661E" w14:textId="77777777" w:rsidR="00476A0C" w:rsidRPr="00132A82" w:rsidRDefault="00476A0C">
            <w:pPr>
              <w:spacing w:line="240" w:lineRule="auto"/>
              <w:jc w:val="right"/>
              <w:rPr>
                <w:rFonts w:ascii="Aptos" w:eastAsia="Aptos" w:hAnsi="Aptos" w:cs="Arial"/>
                <w:szCs w:val="22"/>
              </w:rPr>
            </w:pPr>
            <w:r w:rsidRPr="00132A82">
              <w:rPr>
                <w:rFonts w:ascii="Aptos" w:eastAsia="Aptos" w:hAnsi="Aptos" w:cs="Arial"/>
                <w:szCs w:val="22"/>
              </w:rPr>
              <w:t>8.2%</w:t>
            </w:r>
          </w:p>
        </w:tc>
      </w:tr>
      <w:tr w:rsidR="00476A0C" w:rsidRPr="00132A82" w14:paraId="1255CF57" w14:textId="77777777" w:rsidTr="00132A82">
        <w:tc>
          <w:tcPr>
            <w:tcW w:w="3124" w:type="pct"/>
            <w:noWrap/>
            <w:hideMark/>
          </w:tcPr>
          <w:p w14:paraId="44E67EF3" w14:textId="77777777" w:rsidR="00476A0C" w:rsidRPr="00132A82" w:rsidRDefault="00476A0C">
            <w:pPr>
              <w:spacing w:line="240" w:lineRule="auto"/>
              <w:rPr>
                <w:rFonts w:ascii="Aptos" w:eastAsia="Aptos" w:hAnsi="Aptos" w:cs="Arial"/>
                <w:szCs w:val="22"/>
              </w:rPr>
            </w:pPr>
            <w:r w:rsidRPr="00132A82">
              <w:rPr>
                <w:rFonts w:ascii="Aptos" w:eastAsia="Aptos" w:hAnsi="Aptos" w:cs="Arial"/>
                <w:szCs w:val="22"/>
              </w:rPr>
              <w:t>Regulator capability and consistency</w:t>
            </w:r>
          </w:p>
        </w:tc>
        <w:tc>
          <w:tcPr>
            <w:tcW w:w="1876" w:type="pct"/>
            <w:noWrap/>
            <w:hideMark/>
          </w:tcPr>
          <w:p w14:paraId="59A10BFD" w14:textId="77777777" w:rsidR="00476A0C" w:rsidRPr="00132A82" w:rsidRDefault="00476A0C">
            <w:pPr>
              <w:spacing w:line="240" w:lineRule="auto"/>
              <w:jc w:val="right"/>
              <w:rPr>
                <w:rFonts w:ascii="Aptos" w:eastAsia="Aptos" w:hAnsi="Aptos" w:cs="Arial"/>
                <w:szCs w:val="22"/>
              </w:rPr>
            </w:pPr>
            <w:r w:rsidRPr="00132A82">
              <w:rPr>
                <w:rFonts w:ascii="Aptos" w:eastAsia="Aptos" w:hAnsi="Aptos" w:cs="Arial"/>
                <w:szCs w:val="22"/>
              </w:rPr>
              <w:t>8.2%</w:t>
            </w:r>
          </w:p>
        </w:tc>
      </w:tr>
      <w:tr w:rsidR="00476A0C" w:rsidRPr="00132A82" w14:paraId="6054AB6A" w14:textId="77777777" w:rsidTr="00132A82">
        <w:tc>
          <w:tcPr>
            <w:tcW w:w="3124" w:type="pct"/>
            <w:noWrap/>
            <w:hideMark/>
          </w:tcPr>
          <w:p w14:paraId="00FFFBB3" w14:textId="77777777" w:rsidR="00476A0C" w:rsidRPr="00132A82" w:rsidRDefault="00476A0C">
            <w:pPr>
              <w:spacing w:line="240" w:lineRule="auto"/>
              <w:rPr>
                <w:rFonts w:ascii="Aptos" w:eastAsia="Aptos" w:hAnsi="Aptos" w:cs="Arial"/>
                <w:szCs w:val="22"/>
              </w:rPr>
            </w:pPr>
            <w:r w:rsidRPr="00132A82">
              <w:rPr>
                <w:rFonts w:ascii="Aptos" w:eastAsia="Aptos" w:hAnsi="Aptos" w:cs="Arial"/>
                <w:szCs w:val="22"/>
              </w:rPr>
              <w:t>Increase legislative certainty</w:t>
            </w:r>
          </w:p>
        </w:tc>
        <w:tc>
          <w:tcPr>
            <w:tcW w:w="1876" w:type="pct"/>
            <w:noWrap/>
            <w:hideMark/>
          </w:tcPr>
          <w:p w14:paraId="7767B341" w14:textId="77777777" w:rsidR="00476A0C" w:rsidRPr="00132A82" w:rsidRDefault="00476A0C">
            <w:pPr>
              <w:spacing w:line="240" w:lineRule="auto"/>
              <w:jc w:val="right"/>
              <w:rPr>
                <w:rFonts w:ascii="Aptos" w:eastAsia="Aptos" w:hAnsi="Aptos" w:cs="Arial"/>
                <w:szCs w:val="22"/>
              </w:rPr>
            </w:pPr>
            <w:r w:rsidRPr="00132A82">
              <w:rPr>
                <w:rFonts w:ascii="Aptos" w:eastAsia="Aptos" w:hAnsi="Aptos" w:cs="Arial"/>
                <w:szCs w:val="22"/>
              </w:rPr>
              <w:t>6.1%</w:t>
            </w:r>
          </w:p>
        </w:tc>
      </w:tr>
      <w:tr w:rsidR="00476A0C" w:rsidRPr="00132A82" w14:paraId="6E28DA1B" w14:textId="77777777" w:rsidTr="00132A82">
        <w:tc>
          <w:tcPr>
            <w:tcW w:w="3124" w:type="pct"/>
            <w:noWrap/>
            <w:hideMark/>
          </w:tcPr>
          <w:p w14:paraId="2B40EEFB" w14:textId="77777777" w:rsidR="00476A0C" w:rsidRPr="00132A82" w:rsidRDefault="00476A0C">
            <w:pPr>
              <w:spacing w:line="240" w:lineRule="auto"/>
              <w:rPr>
                <w:rFonts w:ascii="Aptos" w:eastAsia="Aptos" w:hAnsi="Aptos" w:cs="Arial"/>
                <w:szCs w:val="22"/>
              </w:rPr>
            </w:pPr>
            <w:r w:rsidRPr="00132A82">
              <w:rPr>
                <w:rFonts w:ascii="Aptos" w:eastAsia="Aptos" w:hAnsi="Aptos" w:cs="Arial"/>
                <w:szCs w:val="22"/>
              </w:rPr>
              <w:t>Access to Australian Standards</w:t>
            </w:r>
          </w:p>
        </w:tc>
        <w:tc>
          <w:tcPr>
            <w:tcW w:w="1876" w:type="pct"/>
            <w:noWrap/>
            <w:hideMark/>
          </w:tcPr>
          <w:p w14:paraId="751CD51E" w14:textId="77777777" w:rsidR="00476A0C" w:rsidRPr="00132A82" w:rsidRDefault="00476A0C">
            <w:pPr>
              <w:spacing w:line="240" w:lineRule="auto"/>
              <w:jc w:val="right"/>
              <w:rPr>
                <w:rFonts w:ascii="Aptos" w:eastAsia="Aptos" w:hAnsi="Aptos" w:cs="Arial"/>
                <w:szCs w:val="22"/>
              </w:rPr>
            </w:pPr>
            <w:r w:rsidRPr="00132A82">
              <w:rPr>
                <w:rFonts w:ascii="Aptos" w:eastAsia="Aptos" w:hAnsi="Aptos" w:cs="Arial"/>
                <w:szCs w:val="22"/>
              </w:rPr>
              <w:t>6.1%</w:t>
            </w:r>
          </w:p>
        </w:tc>
      </w:tr>
      <w:tr w:rsidR="00476A0C" w:rsidRPr="00132A82" w14:paraId="3FEC25A6" w14:textId="77777777" w:rsidTr="00132A82">
        <w:tc>
          <w:tcPr>
            <w:tcW w:w="3124" w:type="pct"/>
            <w:noWrap/>
            <w:hideMark/>
          </w:tcPr>
          <w:p w14:paraId="3044218A" w14:textId="77777777" w:rsidR="00476A0C" w:rsidRPr="00132A82" w:rsidRDefault="00476A0C">
            <w:pPr>
              <w:spacing w:line="240" w:lineRule="auto"/>
              <w:rPr>
                <w:rFonts w:ascii="Aptos" w:eastAsia="Aptos" w:hAnsi="Aptos" w:cs="Arial"/>
                <w:szCs w:val="22"/>
              </w:rPr>
            </w:pPr>
            <w:r w:rsidRPr="00132A82">
              <w:rPr>
                <w:rFonts w:ascii="Aptos" w:eastAsia="Aptos" w:hAnsi="Aptos" w:cs="Arial"/>
                <w:szCs w:val="22"/>
              </w:rPr>
              <w:t>Information on jurisdictional variations</w:t>
            </w:r>
          </w:p>
        </w:tc>
        <w:tc>
          <w:tcPr>
            <w:tcW w:w="1876" w:type="pct"/>
            <w:noWrap/>
            <w:hideMark/>
          </w:tcPr>
          <w:p w14:paraId="40C77BFB" w14:textId="77777777" w:rsidR="00476A0C" w:rsidRPr="00132A82" w:rsidRDefault="00476A0C">
            <w:pPr>
              <w:spacing w:line="240" w:lineRule="auto"/>
              <w:jc w:val="right"/>
              <w:rPr>
                <w:rFonts w:ascii="Aptos" w:eastAsia="Aptos" w:hAnsi="Aptos" w:cs="Arial"/>
                <w:szCs w:val="22"/>
              </w:rPr>
            </w:pPr>
            <w:r w:rsidRPr="00132A82">
              <w:rPr>
                <w:rFonts w:ascii="Aptos" w:eastAsia="Aptos" w:hAnsi="Aptos" w:cs="Arial"/>
                <w:szCs w:val="22"/>
              </w:rPr>
              <w:t>4.1%</w:t>
            </w:r>
          </w:p>
        </w:tc>
      </w:tr>
      <w:tr w:rsidR="00476A0C" w:rsidRPr="00132A82" w14:paraId="21F318B5" w14:textId="77777777" w:rsidTr="00132A82">
        <w:tc>
          <w:tcPr>
            <w:tcW w:w="3124" w:type="pct"/>
            <w:noWrap/>
            <w:hideMark/>
          </w:tcPr>
          <w:p w14:paraId="616D267F" w14:textId="77777777" w:rsidR="00476A0C" w:rsidRPr="00132A82" w:rsidRDefault="00476A0C">
            <w:pPr>
              <w:spacing w:line="240" w:lineRule="auto"/>
              <w:rPr>
                <w:rFonts w:ascii="Aptos" w:eastAsia="Aptos" w:hAnsi="Aptos" w:cs="Arial"/>
                <w:szCs w:val="22"/>
              </w:rPr>
            </w:pPr>
            <w:r w:rsidRPr="00132A82">
              <w:rPr>
                <w:rFonts w:ascii="Aptos" w:eastAsia="Aptos" w:hAnsi="Aptos" w:cs="Arial"/>
                <w:szCs w:val="22"/>
              </w:rPr>
              <w:t>No issues</w:t>
            </w:r>
          </w:p>
        </w:tc>
        <w:tc>
          <w:tcPr>
            <w:tcW w:w="1876" w:type="pct"/>
            <w:noWrap/>
            <w:hideMark/>
          </w:tcPr>
          <w:p w14:paraId="336AC422" w14:textId="77777777" w:rsidR="00476A0C" w:rsidRPr="00132A82" w:rsidRDefault="00476A0C">
            <w:pPr>
              <w:spacing w:line="240" w:lineRule="auto"/>
              <w:jc w:val="right"/>
              <w:rPr>
                <w:rFonts w:ascii="Aptos" w:eastAsia="Aptos" w:hAnsi="Aptos" w:cs="Arial"/>
                <w:szCs w:val="22"/>
              </w:rPr>
            </w:pPr>
            <w:r w:rsidRPr="00132A82">
              <w:rPr>
                <w:rFonts w:ascii="Aptos" w:eastAsia="Aptos" w:hAnsi="Aptos" w:cs="Arial"/>
                <w:szCs w:val="22"/>
              </w:rPr>
              <w:t>2.0%</w:t>
            </w:r>
          </w:p>
        </w:tc>
      </w:tr>
      <w:tr w:rsidR="00476A0C" w:rsidRPr="00132A82" w14:paraId="6A7DDE0F" w14:textId="77777777" w:rsidTr="00132A82">
        <w:tc>
          <w:tcPr>
            <w:tcW w:w="3124" w:type="pct"/>
            <w:shd w:val="clear" w:color="auto" w:fill="F2F2F2" w:themeFill="background1" w:themeFillShade="F2"/>
            <w:noWrap/>
            <w:hideMark/>
          </w:tcPr>
          <w:p w14:paraId="06078EC1" w14:textId="77777777" w:rsidR="00476A0C" w:rsidRPr="00132A82" w:rsidRDefault="00476A0C">
            <w:pPr>
              <w:spacing w:line="240" w:lineRule="auto"/>
              <w:rPr>
                <w:rFonts w:ascii="Aptos" w:eastAsia="Aptos" w:hAnsi="Aptos" w:cs="Arial"/>
                <w:b/>
                <w:szCs w:val="22"/>
              </w:rPr>
            </w:pPr>
            <w:r w:rsidRPr="00132A82">
              <w:rPr>
                <w:rFonts w:ascii="Aptos" w:eastAsia="Aptos" w:hAnsi="Aptos" w:cs="Arial"/>
                <w:b/>
                <w:szCs w:val="22"/>
              </w:rPr>
              <w:t>Total</w:t>
            </w:r>
          </w:p>
        </w:tc>
        <w:tc>
          <w:tcPr>
            <w:tcW w:w="1876" w:type="pct"/>
            <w:shd w:val="clear" w:color="auto" w:fill="F2F2F2" w:themeFill="background1" w:themeFillShade="F2"/>
            <w:noWrap/>
            <w:hideMark/>
          </w:tcPr>
          <w:p w14:paraId="6AFC4206" w14:textId="77777777" w:rsidR="00476A0C" w:rsidRPr="00132A82" w:rsidRDefault="00476A0C">
            <w:pPr>
              <w:spacing w:line="240" w:lineRule="auto"/>
              <w:jc w:val="right"/>
              <w:rPr>
                <w:rFonts w:ascii="Aptos" w:eastAsia="Aptos" w:hAnsi="Aptos" w:cs="Arial"/>
                <w:b/>
                <w:szCs w:val="22"/>
              </w:rPr>
            </w:pPr>
            <w:r w:rsidRPr="00132A82">
              <w:rPr>
                <w:rFonts w:ascii="Aptos" w:eastAsia="Aptos" w:hAnsi="Aptos" w:cs="Arial"/>
                <w:b/>
                <w:szCs w:val="22"/>
              </w:rPr>
              <w:t>100.0%</w:t>
            </w:r>
          </w:p>
        </w:tc>
      </w:tr>
    </w:tbl>
    <w:p w14:paraId="0366E9B3" w14:textId="77777777" w:rsidR="003C6C48" w:rsidRPr="000F1DE6" w:rsidRDefault="003C6C48" w:rsidP="003C6C48">
      <w:pPr>
        <w:pStyle w:val="SWAHeading3"/>
        <w:rPr>
          <w:color w:val="2B0A99"/>
        </w:rPr>
      </w:pPr>
      <w:r w:rsidRPr="000F1DE6">
        <w:rPr>
          <w:color w:val="2B0A99"/>
        </w:rPr>
        <w:t>Penalties</w:t>
      </w:r>
    </w:p>
    <w:p w14:paraId="21A1705A" w14:textId="77777777" w:rsidR="00476A0C" w:rsidRPr="000F1DE6" w:rsidRDefault="00476A0C" w:rsidP="000D26F7">
      <w:pPr>
        <w:pStyle w:val="Caption"/>
      </w:pPr>
      <w:r w:rsidRPr="000F1DE6">
        <w:t>Data Table 22 Employer responses on appropriateness of penalties for breaching WHS laws</w:t>
      </w:r>
    </w:p>
    <w:p w14:paraId="1E202F67" w14:textId="5A409BA5" w:rsidR="003C6C48" w:rsidRDefault="003C6C48" w:rsidP="003C6C48">
      <w:pPr>
        <w:pStyle w:val="Paragraph"/>
      </w:pPr>
      <w:r w:rsidRPr="000F1DE6">
        <w:t>Employers were asked to indicate their response to the statement: ‘The penalties for breaching WHS laws are appropriate’</w:t>
      </w:r>
      <w:r w:rsidR="00713963">
        <w:t>.</w:t>
      </w:r>
    </w:p>
    <w:tbl>
      <w:tblPr>
        <w:tblStyle w:val="Style9"/>
        <w:tblW w:w="5000" w:type="pct"/>
        <w:tblCellMar>
          <w:top w:w="57" w:type="dxa"/>
          <w:bottom w:w="57" w:type="dxa"/>
        </w:tblCellMar>
        <w:tblLook w:val="04A0" w:firstRow="1" w:lastRow="0" w:firstColumn="1" w:lastColumn="0" w:noHBand="0" w:noVBand="1"/>
        <w:tblCaption w:val="Data Table 22: Employer responses on appropriateness of penalties for breaching WHS laws"/>
        <w:tblDescription w:val="Employers were asked to indicate their response to the statement: ‘The penalties for breaching WHS laws are appropriate.’ 46% felt penalties were about right, 20.7% felt they were somewhat high, 4.6% felt they were too low, and 14.9% too high.  &#10;"/>
      </w:tblPr>
      <w:tblGrid>
        <w:gridCol w:w="3708"/>
        <w:gridCol w:w="6044"/>
      </w:tblGrid>
      <w:tr w:rsidR="00635192" w:rsidRPr="00132A82" w14:paraId="1473A8FF" w14:textId="77777777" w:rsidTr="00132A82">
        <w:tc>
          <w:tcPr>
            <w:tcW w:w="1901" w:type="pct"/>
            <w:shd w:val="clear" w:color="auto" w:fill="F2F2F2" w:themeFill="background1" w:themeFillShade="F2"/>
            <w:noWrap/>
            <w:hideMark/>
          </w:tcPr>
          <w:p w14:paraId="01C7DBDB" w14:textId="77777777" w:rsidR="00635192" w:rsidRPr="00132A82" w:rsidRDefault="00635192" w:rsidP="00635192">
            <w:pPr>
              <w:spacing w:line="240" w:lineRule="auto"/>
              <w:rPr>
                <w:rFonts w:ascii="Aptos" w:eastAsia="Aptos" w:hAnsi="Aptos" w:cs="Arial"/>
                <w:b/>
                <w:szCs w:val="22"/>
              </w:rPr>
            </w:pPr>
            <w:r w:rsidRPr="00132A82">
              <w:rPr>
                <w:rFonts w:ascii="Aptos" w:eastAsia="Aptos" w:hAnsi="Aptos" w:cs="Arial"/>
                <w:b/>
                <w:szCs w:val="22"/>
              </w:rPr>
              <w:t>Response</w:t>
            </w:r>
          </w:p>
        </w:tc>
        <w:tc>
          <w:tcPr>
            <w:tcW w:w="3099" w:type="pct"/>
            <w:shd w:val="clear" w:color="auto" w:fill="F2F2F2" w:themeFill="background1" w:themeFillShade="F2"/>
            <w:noWrap/>
            <w:hideMark/>
          </w:tcPr>
          <w:p w14:paraId="6B4A177B" w14:textId="77777777" w:rsidR="00635192" w:rsidRPr="00132A82" w:rsidRDefault="00635192" w:rsidP="00635192">
            <w:pPr>
              <w:spacing w:line="240" w:lineRule="auto"/>
              <w:jc w:val="right"/>
              <w:rPr>
                <w:rFonts w:ascii="Aptos" w:eastAsia="Aptos" w:hAnsi="Aptos" w:cs="Arial"/>
                <w:b/>
                <w:szCs w:val="22"/>
              </w:rPr>
            </w:pPr>
            <w:r w:rsidRPr="00132A82">
              <w:rPr>
                <w:rFonts w:ascii="Aptos" w:eastAsia="Aptos" w:hAnsi="Aptos" w:cs="Arial"/>
                <w:b/>
                <w:szCs w:val="22"/>
              </w:rPr>
              <w:t>Percentage of responses (%)</w:t>
            </w:r>
          </w:p>
        </w:tc>
      </w:tr>
      <w:tr w:rsidR="00635192" w:rsidRPr="00132A82" w14:paraId="411C6258" w14:textId="77777777" w:rsidTr="00132A82">
        <w:tc>
          <w:tcPr>
            <w:tcW w:w="1901" w:type="pct"/>
            <w:noWrap/>
            <w:hideMark/>
          </w:tcPr>
          <w:p w14:paraId="34270AFD" w14:textId="77777777" w:rsidR="00635192" w:rsidRPr="00132A82" w:rsidRDefault="00635192" w:rsidP="00635192">
            <w:pPr>
              <w:spacing w:line="240" w:lineRule="auto"/>
              <w:rPr>
                <w:rFonts w:ascii="Aptos" w:eastAsia="Aptos" w:hAnsi="Aptos" w:cs="Arial"/>
                <w:szCs w:val="22"/>
              </w:rPr>
            </w:pPr>
            <w:r w:rsidRPr="00132A82">
              <w:rPr>
                <w:rFonts w:ascii="Aptos" w:eastAsia="Aptos" w:hAnsi="Aptos" w:cs="Arial"/>
                <w:szCs w:val="22"/>
              </w:rPr>
              <w:t>Too low</w:t>
            </w:r>
          </w:p>
        </w:tc>
        <w:tc>
          <w:tcPr>
            <w:tcW w:w="3099" w:type="pct"/>
            <w:noWrap/>
            <w:hideMark/>
          </w:tcPr>
          <w:p w14:paraId="58DD6945" w14:textId="77777777" w:rsidR="00635192" w:rsidRPr="00132A82" w:rsidRDefault="00635192" w:rsidP="00635192">
            <w:pPr>
              <w:spacing w:line="240" w:lineRule="auto"/>
              <w:jc w:val="right"/>
              <w:rPr>
                <w:rFonts w:ascii="Aptos" w:eastAsia="Aptos" w:hAnsi="Aptos" w:cs="Arial"/>
                <w:szCs w:val="22"/>
              </w:rPr>
            </w:pPr>
            <w:r w:rsidRPr="00132A82">
              <w:rPr>
                <w:rFonts w:ascii="Aptos" w:eastAsia="Aptos" w:hAnsi="Aptos" w:cs="Arial"/>
                <w:szCs w:val="22"/>
              </w:rPr>
              <w:t>4.6%</w:t>
            </w:r>
          </w:p>
        </w:tc>
      </w:tr>
      <w:tr w:rsidR="00635192" w:rsidRPr="00132A82" w14:paraId="108C2ADE" w14:textId="77777777" w:rsidTr="00132A82">
        <w:tc>
          <w:tcPr>
            <w:tcW w:w="1901" w:type="pct"/>
            <w:noWrap/>
            <w:hideMark/>
          </w:tcPr>
          <w:p w14:paraId="78F5A17B" w14:textId="77777777" w:rsidR="00635192" w:rsidRPr="00132A82" w:rsidRDefault="00635192" w:rsidP="00635192">
            <w:pPr>
              <w:spacing w:line="240" w:lineRule="auto"/>
              <w:rPr>
                <w:rFonts w:ascii="Aptos" w:eastAsia="Aptos" w:hAnsi="Aptos" w:cs="Arial"/>
                <w:szCs w:val="22"/>
              </w:rPr>
            </w:pPr>
            <w:r w:rsidRPr="00132A82">
              <w:rPr>
                <w:rFonts w:ascii="Aptos" w:eastAsia="Aptos" w:hAnsi="Aptos" w:cs="Arial"/>
                <w:szCs w:val="22"/>
              </w:rPr>
              <w:t>Somewhat low</w:t>
            </w:r>
          </w:p>
        </w:tc>
        <w:tc>
          <w:tcPr>
            <w:tcW w:w="3099" w:type="pct"/>
            <w:noWrap/>
            <w:hideMark/>
          </w:tcPr>
          <w:p w14:paraId="0240F1E2" w14:textId="77777777" w:rsidR="00635192" w:rsidRPr="00132A82" w:rsidRDefault="00635192" w:rsidP="00635192">
            <w:pPr>
              <w:spacing w:line="240" w:lineRule="auto"/>
              <w:jc w:val="right"/>
              <w:rPr>
                <w:rFonts w:ascii="Aptos" w:eastAsia="Aptos" w:hAnsi="Aptos" w:cs="Arial"/>
                <w:szCs w:val="22"/>
              </w:rPr>
            </w:pPr>
            <w:r w:rsidRPr="00132A82">
              <w:rPr>
                <w:rFonts w:ascii="Aptos" w:eastAsia="Aptos" w:hAnsi="Aptos" w:cs="Arial"/>
                <w:szCs w:val="22"/>
              </w:rPr>
              <w:t>13.8%</w:t>
            </w:r>
          </w:p>
        </w:tc>
      </w:tr>
      <w:tr w:rsidR="00635192" w:rsidRPr="00132A82" w14:paraId="651F4E0A" w14:textId="77777777" w:rsidTr="00132A82">
        <w:tc>
          <w:tcPr>
            <w:tcW w:w="1901" w:type="pct"/>
            <w:noWrap/>
            <w:hideMark/>
          </w:tcPr>
          <w:p w14:paraId="6C55503A" w14:textId="77777777" w:rsidR="00635192" w:rsidRPr="00132A82" w:rsidRDefault="00635192" w:rsidP="00635192">
            <w:pPr>
              <w:spacing w:line="240" w:lineRule="auto"/>
              <w:rPr>
                <w:rFonts w:ascii="Aptos" w:eastAsia="Aptos" w:hAnsi="Aptos" w:cs="Arial"/>
                <w:szCs w:val="22"/>
              </w:rPr>
            </w:pPr>
            <w:r w:rsidRPr="00132A82">
              <w:rPr>
                <w:rFonts w:ascii="Aptos" w:eastAsia="Aptos" w:hAnsi="Aptos" w:cs="Arial"/>
                <w:szCs w:val="22"/>
              </w:rPr>
              <w:t>About right</w:t>
            </w:r>
          </w:p>
        </w:tc>
        <w:tc>
          <w:tcPr>
            <w:tcW w:w="3099" w:type="pct"/>
            <w:noWrap/>
            <w:hideMark/>
          </w:tcPr>
          <w:p w14:paraId="1FF3C027" w14:textId="77777777" w:rsidR="00635192" w:rsidRPr="00132A82" w:rsidRDefault="00635192" w:rsidP="00635192">
            <w:pPr>
              <w:spacing w:line="240" w:lineRule="auto"/>
              <w:jc w:val="right"/>
              <w:rPr>
                <w:rFonts w:ascii="Aptos" w:eastAsia="Aptos" w:hAnsi="Aptos" w:cs="Arial"/>
                <w:szCs w:val="22"/>
              </w:rPr>
            </w:pPr>
            <w:r w:rsidRPr="00132A82">
              <w:rPr>
                <w:rFonts w:ascii="Aptos" w:eastAsia="Aptos" w:hAnsi="Aptos" w:cs="Arial"/>
                <w:szCs w:val="22"/>
              </w:rPr>
              <w:t>46.0%</w:t>
            </w:r>
          </w:p>
        </w:tc>
      </w:tr>
      <w:tr w:rsidR="00635192" w:rsidRPr="00132A82" w14:paraId="416BA463" w14:textId="77777777" w:rsidTr="00132A82">
        <w:tc>
          <w:tcPr>
            <w:tcW w:w="1901" w:type="pct"/>
            <w:noWrap/>
            <w:hideMark/>
          </w:tcPr>
          <w:p w14:paraId="7D01C679" w14:textId="77777777" w:rsidR="00635192" w:rsidRPr="00132A82" w:rsidRDefault="00635192" w:rsidP="00635192">
            <w:pPr>
              <w:spacing w:line="240" w:lineRule="auto"/>
              <w:rPr>
                <w:rFonts w:ascii="Aptos" w:eastAsia="Aptos" w:hAnsi="Aptos" w:cs="Arial"/>
                <w:szCs w:val="22"/>
              </w:rPr>
            </w:pPr>
            <w:r w:rsidRPr="00132A82">
              <w:rPr>
                <w:rFonts w:ascii="Aptos" w:eastAsia="Aptos" w:hAnsi="Aptos" w:cs="Arial"/>
                <w:szCs w:val="22"/>
              </w:rPr>
              <w:t>Somewhat high</w:t>
            </w:r>
          </w:p>
        </w:tc>
        <w:tc>
          <w:tcPr>
            <w:tcW w:w="3099" w:type="pct"/>
            <w:noWrap/>
            <w:hideMark/>
          </w:tcPr>
          <w:p w14:paraId="4827FEED" w14:textId="77777777" w:rsidR="00635192" w:rsidRPr="00132A82" w:rsidRDefault="00635192" w:rsidP="00635192">
            <w:pPr>
              <w:spacing w:line="240" w:lineRule="auto"/>
              <w:jc w:val="right"/>
              <w:rPr>
                <w:rFonts w:ascii="Aptos" w:eastAsia="Aptos" w:hAnsi="Aptos" w:cs="Arial"/>
                <w:szCs w:val="22"/>
              </w:rPr>
            </w:pPr>
            <w:r w:rsidRPr="00132A82">
              <w:rPr>
                <w:rFonts w:ascii="Aptos" w:eastAsia="Aptos" w:hAnsi="Aptos" w:cs="Arial"/>
                <w:szCs w:val="22"/>
              </w:rPr>
              <w:t>20.7%</w:t>
            </w:r>
          </w:p>
        </w:tc>
      </w:tr>
      <w:tr w:rsidR="00635192" w:rsidRPr="00132A82" w14:paraId="27F4D082" w14:textId="77777777" w:rsidTr="00132A82">
        <w:tc>
          <w:tcPr>
            <w:tcW w:w="1901" w:type="pct"/>
            <w:noWrap/>
            <w:hideMark/>
          </w:tcPr>
          <w:p w14:paraId="598E3F15" w14:textId="77777777" w:rsidR="00635192" w:rsidRPr="00132A82" w:rsidRDefault="00635192" w:rsidP="00635192">
            <w:pPr>
              <w:spacing w:line="240" w:lineRule="auto"/>
              <w:rPr>
                <w:rFonts w:ascii="Aptos" w:eastAsia="Aptos" w:hAnsi="Aptos" w:cs="Arial"/>
                <w:szCs w:val="22"/>
              </w:rPr>
            </w:pPr>
            <w:r w:rsidRPr="00132A82">
              <w:rPr>
                <w:rFonts w:ascii="Aptos" w:eastAsia="Aptos" w:hAnsi="Aptos" w:cs="Arial"/>
                <w:szCs w:val="22"/>
              </w:rPr>
              <w:t>Too high</w:t>
            </w:r>
          </w:p>
        </w:tc>
        <w:tc>
          <w:tcPr>
            <w:tcW w:w="3099" w:type="pct"/>
            <w:noWrap/>
            <w:hideMark/>
          </w:tcPr>
          <w:p w14:paraId="4116EFA8" w14:textId="77777777" w:rsidR="00635192" w:rsidRPr="00132A82" w:rsidRDefault="00635192" w:rsidP="00635192">
            <w:pPr>
              <w:spacing w:line="240" w:lineRule="auto"/>
              <w:jc w:val="right"/>
              <w:rPr>
                <w:rFonts w:ascii="Aptos" w:eastAsia="Aptos" w:hAnsi="Aptos" w:cs="Arial"/>
                <w:szCs w:val="22"/>
              </w:rPr>
            </w:pPr>
            <w:r w:rsidRPr="00132A82">
              <w:rPr>
                <w:rFonts w:ascii="Aptos" w:eastAsia="Aptos" w:hAnsi="Aptos" w:cs="Arial"/>
                <w:szCs w:val="22"/>
              </w:rPr>
              <w:t>14.9%</w:t>
            </w:r>
          </w:p>
        </w:tc>
      </w:tr>
      <w:tr w:rsidR="00635192" w:rsidRPr="00132A82" w14:paraId="52B58B9C" w14:textId="77777777" w:rsidTr="00132A82">
        <w:tc>
          <w:tcPr>
            <w:tcW w:w="1901" w:type="pct"/>
            <w:shd w:val="clear" w:color="auto" w:fill="F2F2F2" w:themeFill="background1" w:themeFillShade="F2"/>
            <w:noWrap/>
            <w:hideMark/>
          </w:tcPr>
          <w:p w14:paraId="75EFC1D9" w14:textId="77777777" w:rsidR="00635192" w:rsidRPr="00132A82" w:rsidRDefault="00635192" w:rsidP="00635192">
            <w:pPr>
              <w:spacing w:line="240" w:lineRule="auto"/>
              <w:rPr>
                <w:rFonts w:ascii="Aptos" w:eastAsia="Aptos" w:hAnsi="Aptos" w:cs="Arial"/>
                <w:b/>
                <w:szCs w:val="22"/>
              </w:rPr>
            </w:pPr>
            <w:r w:rsidRPr="00132A82">
              <w:rPr>
                <w:rFonts w:ascii="Aptos" w:eastAsia="Aptos" w:hAnsi="Aptos" w:cs="Arial"/>
                <w:b/>
                <w:szCs w:val="22"/>
              </w:rPr>
              <w:t>Total</w:t>
            </w:r>
          </w:p>
        </w:tc>
        <w:tc>
          <w:tcPr>
            <w:tcW w:w="3099" w:type="pct"/>
            <w:shd w:val="clear" w:color="auto" w:fill="F2F2F2" w:themeFill="background1" w:themeFillShade="F2"/>
            <w:noWrap/>
            <w:hideMark/>
          </w:tcPr>
          <w:p w14:paraId="09EC8BA2" w14:textId="77777777" w:rsidR="00635192" w:rsidRPr="00132A82" w:rsidRDefault="00635192" w:rsidP="00635192">
            <w:pPr>
              <w:spacing w:line="240" w:lineRule="auto"/>
              <w:jc w:val="right"/>
              <w:rPr>
                <w:rFonts w:ascii="Aptos" w:eastAsia="Aptos" w:hAnsi="Aptos" w:cs="Arial"/>
                <w:b/>
                <w:szCs w:val="22"/>
              </w:rPr>
            </w:pPr>
            <w:r w:rsidRPr="00132A82">
              <w:rPr>
                <w:rFonts w:ascii="Aptos" w:eastAsia="Aptos" w:hAnsi="Aptos" w:cs="Arial"/>
                <w:b/>
                <w:szCs w:val="22"/>
              </w:rPr>
              <w:t>100.0%</w:t>
            </w:r>
          </w:p>
        </w:tc>
      </w:tr>
    </w:tbl>
    <w:p w14:paraId="66DD6205" w14:textId="77777777" w:rsidR="00635192" w:rsidRPr="000F1DE6" w:rsidRDefault="00635192" w:rsidP="003C6C48">
      <w:pPr>
        <w:spacing w:line="240" w:lineRule="auto"/>
        <w:rPr>
          <w:rFonts w:asciiTheme="minorHAnsi" w:hAnsiTheme="minorHAnsi"/>
          <w:szCs w:val="22"/>
        </w:rPr>
      </w:pPr>
    </w:p>
    <w:p w14:paraId="3F42939B" w14:textId="2E821D8C" w:rsidR="00132A82" w:rsidRDefault="003C6C48" w:rsidP="003C6C48">
      <w:pPr>
        <w:pStyle w:val="Paragraph"/>
      </w:pPr>
      <w:r w:rsidRPr="000F1DE6">
        <w:t>Nearly half of employers (46.0%) considered the penalties to be about right. Around one</w:t>
      </w:r>
      <w:r w:rsidRPr="000F1DE6">
        <w:noBreakHyphen/>
        <w:t>third believed the penalties are too high (20.7% somewhat high and 14.9% too high), while a smaller proportion considered them too low (13.8% somewhat low and 4.6% too low).</w:t>
      </w:r>
    </w:p>
    <w:p w14:paraId="50B43E61" w14:textId="77777777" w:rsidR="00132A82" w:rsidRDefault="00132A82">
      <w:pPr>
        <w:spacing w:after="200" w:line="276" w:lineRule="auto"/>
        <w:contextualSpacing w:val="0"/>
        <w:rPr>
          <w:rFonts w:asciiTheme="minorHAnsi" w:eastAsia="Times New Roman" w:hAnsiTheme="minorHAnsi"/>
          <w:lang w:eastAsia="en-AU"/>
        </w:rPr>
      </w:pPr>
      <w:r>
        <w:br w:type="page"/>
      </w:r>
    </w:p>
    <w:p w14:paraId="7825870F" w14:textId="77777777" w:rsidR="003C6C48" w:rsidRPr="000F1DE6" w:rsidRDefault="003C6C48" w:rsidP="003C6C48">
      <w:pPr>
        <w:pStyle w:val="SWAHeading3"/>
        <w:rPr>
          <w:color w:val="2B0A99"/>
        </w:rPr>
      </w:pPr>
      <w:r w:rsidRPr="000F1DE6">
        <w:rPr>
          <w:color w:val="2B0A99"/>
        </w:rPr>
        <w:lastRenderedPageBreak/>
        <w:t>Variations</w:t>
      </w:r>
    </w:p>
    <w:p w14:paraId="52BB3DEA" w14:textId="77777777" w:rsidR="003C6C48" w:rsidRPr="000F1DE6" w:rsidRDefault="003C6C48" w:rsidP="000D26F7">
      <w:pPr>
        <w:pStyle w:val="Caption"/>
      </w:pPr>
      <w:r w:rsidRPr="000F1DE6">
        <w:t>Data Table 23 Employer responses on benefits of consistent WHS laws</w:t>
      </w:r>
    </w:p>
    <w:p w14:paraId="74431066" w14:textId="651A8453" w:rsidR="003C6C48" w:rsidRDefault="003C6C48" w:rsidP="003C6C48">
      <w:pPr>
        <w:pStyle w:val="Paragraph"/>
      </w:pPr>
      <w:r w:rsidRPr="000F1DE6">
        <w:t>Employers were asked to respond ‘Yes’, ‘No’, or ‘Unsure’ to the statement: ‘More consistent WHS laws across Australia would benefit me and my organisation’</w:t>
      </w:r>
      <w:r w:rsidR="00713963">
        <w:t>.</w:t>
      </w:r>
    </w:p>
    <w:tbl>
      <w:tblPr>
        <w:tblStyle w:val="Style9"/>
        <w:tblW w:w="5000" w:type="pct"/>
        <w:tblCellMar>
          <w:top w:w="57" w:type="dxa"/>
          <w:bottom w:w="57" w:type="dxa"/>
        </w:tblCellMar>
        <w:tblLook w:val="04A0" w:firstRow="1" w:lastRow="0" w:firstColumn="1" w:lastColumn="0" w:noHBand="0" w:noVBand="1"/>
        <w:tblCaption w:val="Data Table 23 Employer responses on benefits of consistent WHS laws"/>
        <w:tblDescription w:val="Table with employer responses on benefits of consistent WHS laws. 88.5% of employers respond ‘Yes’, 4.6% responded ‘No’, and 6.9% responded ‘Unsure’ to the statement: ‘More consistent WHS laws across Australia would benefit me and my organisation.’&#10;"/>
      </w:tblPr>
      <w:tblGrid>
        <w:gridCol w:w="2627"/>
        <w:gridCol w:w="7125"/>
      </w:tblGrid>
      <w:tr w:rsidR="0080204B" w:rsidRPr="0080204B" w14:paraId="32DCBB93" w14:textId="77777777" w:rsidTr="00132A82">
        <w:tc>
          <w:tcPr>
            <w:tcW w:w="1347" w:type="pct"/>
            <w:shd w:val="clear" w:color="auto" w:fill="F2F2F2" w:themeFill="background1" w:themeFillShade="F2"/>
            <w:noWrap/>
            <w:hideMark/>
          </w:tcPr>
          <w:p w14:paraId="0A4447DC" w14:textId="77777777" w:rsidR="0080204B" w:rsidRPr="0080204B" w:rsidRDefault="0080204B" w:rsidP="0080204B">
            <w:pPr>
              <w:spacing w:line="240" w:lineRule="auto"/>
              <w:rPr>
                <w:rFonts w:ascii="Aptos" w:eastAsia="Aptos" w:hAnsi="Aptos" w:cs="Arial"/>
                <w:b/>
                <w:szCs w:val="22"/>
              </w:rPr>
            </w:pPr>
            <w:r w:rsidRPr="0080204B">
              <w:rPr>
                <w:rFonts w:ascii="Aptos" w:eastAsia="Aptos" w:hAnsi="Aptos" w:cs="Arial"/>
                <w:b/>
                <w:szCs w:val="22"/>
              </w:rPr>
              <w:t>Response</w:t>
            </w:r>
          </w:p>
        </w:tc>
        <w:tc>
          <w:tcPr>
            <w:tcW w:w="3653" w:type="pct"/>
            <w:shd w:val="clear" w:color="auto" w:fill="F2F2F2" w:themeFill="background1" w:themeFillShade="F2"/>
            <w:noWrap/>
            <w:hideMark/>
          </w:tcPr>
          <w:p w14:paraId="788574BF" w14:textId="77777777" w:rsidR="0080204B" w:rsidRPr="0080204B" w:rsidRDefault="0080204B" w:rsidP="0080204B">
            <w:pPr>
              <w:spacing w:line="240" w:lineRule="auto"/>
              <w:jc w:val="right"/>
              <w:rPr>
                <w:rFonts w:ascii="Aptos" w:eastAsia="Aptos" w:hAnsi="Aptos" w:cs="Arial"/>
                <w:b/>
                <w:szCs w:val="22"/>
              </w:rPr>
            </w:pPr>
            <w:r w:rsidRPr="0080204B">
              <w:rPr>
                <w:rFonts w:ascii="Aptos" w:eastAsia="Aptos" w:hAnsi="Aptos" w:cs="Arial"/>
                <w:b/>
                <w:szCs w:val="22"/>
              </w:rPr>
              <w:t>Percentage of responses (%)</w:t>
            </w:r>
          </w:p>
        </w:tc>
      </w:tr>
      <w:tr w:rsidR="0080204B" w:rsidRPr="0080204B" w14:paraId="35DA7FDB" w14:textId="77777777" w:rsidTr="00132A82">
        <w:tc>
          <w:tcPr>
            <w:tcW w:w="1347" w:type="pct"/>
            <w:noWrap/>
            <w:hideMark/>
          </w:tcPr>
          <w:p w14:paraId="5914B75D" w14:textId="77777777" w:rsidR="0080204B" w:rsidRPr="0080204B" w:rsidRDefault="0080204B" w:rsidP="0080204B">
            <w:pPr>
              <w:spacing w:line="240" w:lineRule="auto"/>
              <w:rPr>
                <w:rFonts w:ascii="Aptos" w:eastAsia="Aptos" w:hAnsi="Aptos" w:cs="Arial"/>
                <w:szCs w:val="22"/>
              </w:rPr>
            </w:pPr>
            <w:r w:rsidRPr="0080204B">
              <w:rPr>
                <w:rFonts w:ascii="Aptos" w:eastAsia="Aptos" w:hAnsi="Aptos" w:cs="Arial"/>
                <w:szCs w:val="22"/>
              </w:rPr>
              <w:t>No</w:t>
            </w:r>
          </w:p>
        </w:tc>
        <w:tc>
          <w:tcPr>
            <w:tcW w:w="3653" w:type="pct"/>
            <w:noWrap/>
            <w:hideMark/>
          </w:tcPr>
          <w:p w14:paraId="0ACB5723" w14:textId="77777777" w:rsidR="0080204B" w:rsidRPr="0080204B" w:rsidRDefault="0080204B" w:rsidP="0080204B">
            <w:pPr>
              <w:spacing w:line="240" w:lineRule="auto"/>
              <w:jc w:val="right"/>
              <w:rPr>
                <w:rFonts w:ascii="Aptos" w:eastAsia="Aptos" w:hAnsi="Aptos" w:cs="Arial"/>
                <w:szCs w:val="22"/>
              </w:rPr>
            </w:pPr>
            <w:r w:rsidRPr="0080204B">
              <w:rPr>
                <w:rFonts w:ascii="Aptos" w:eastAsia="Aptos" w:hAnsi="Aptos" w:cs="Arial"/>
                <w:szCs w:val="22"/>
              </w:rPr>
              <w:t>4.6%</w:t>
            </w:r>
          </w:p>
        </w:tc>
      </w:tr>
      <w:tr w:rsidR="0080204B" w:rsidRPr="0080204B" w14:paraId="02138178" w14:textId="77777777" w:rsidTr="00132A82">
        <w:tc>
          <w:tcPr>
            <w:tcW w:w="1347" w:type="pct"/>
            <w:noWrap/>
            <w:hideMark/>
          </w:tcPr>
          <w:p w14:paraId="1A67B97F" w14:textId="77777777" w:rsidR="0080204B" w:rsidRPr="0080204B" w:rsidRDefault="0080204B" w:rsidP="0080204B">
            <w:pPr>
              <w:spacing w:line="240" w:lineRule="auto"/>
              <w:rPr>
                <w:rFonts w:ascii="Aptos" w:eastAsia="Aptos" w:hAnsi="Aptos" w:cs="Arial"/>
                <w:szCs w:val="22"/>
              </w:rPr>
            </w:pPr>
            <w:r w:rsidRPr="0080204B">
              <w:rPr>
                <w:rFonts w:ascii="Aptos" w:eastAsia="Aptos" w:hAnsi="Aptos" w:cs="Arial"/>
                <w:szCs w:val="22"/>
              </w:rPr>
              <w:t>Unsure</w:t>
            </w:r>
          </w:p>
        </w:tc>
        <w:tc>
          <w:tcPr>
            <w:tcW w:w="3653" w:type="pct"/>
            <w:noWrap/>
            <w:hideMark/>
          </w:tcPr>
          <w:p w14:paraId="1843F4D0" w14:textId="77777777" w:rsidR="0080204B" w:rsidRPr="0080204B" w:rsidRDefault="0080204B" w:rsidP="0080204B">
            <w:pPr>
              <w:spacing w:line="240" w:lineRule="auto"/>
              <w:jc w:val="right"/>
              <w:rPr>
                <w:rFonts w:ascii="Aptos" w:eastAsia="Aptos" w:hAnsi="Aptos" w:cs="Arial"/>
                <w:szCs w:val="22"/>
              </w:rPr>
            </w:pPr>
            <w:r w:rsidRPr="0080204B">
              <w:rPr>
                <w:rFonts w:ascii="Aptos" w:eastAsia="Aptos" w:hAnsi="Aptos" w:cs="Arial"/>
                <w:szCs w:val="22"/>
              </w:rPr>
              <w:t>6.9%</w:t>
            </w:r>
          </w:p>
        </w:tc>
      </w:tr>
      <w:tr w:rsidR="0080204B" w:rsidRPr="0080204B" w14:paraId="52EA1D8A" w14:textId="77777777" w:rsidTr="00132A82">
        <w:tc>
          <w:tcPr>
            <w:tcW w:w="1347" w:type="pct"/>
            <w:noWrap/>
          </w:tcPr>
          <w:p w14:paraId="415A8B05" w14:textId="77777777" w:rsidR="0080204B" w:rsidRPr="0080204B" w:rsidRDefault="0080204B" w:rsidP="0080204B">
            <w:pPr>
              <w:spacing w:line="240" w:lineRule="auto"/>
              <w:rPr>
                <w:rFonts w:ascii="Aptos" w:eastAsia="Aptos" w:hAnsi="Aptos" w:cs="Arial"/>
                <w:b/>
                <w:szCs w:val="22"/>
              </w:rPr>
            </w:pPr>
            <w:r w:rsidRPr="0080204B">
              <w:rPr>
                <w:rFonts w:ascii="Aptos" w:eastAsia="Aptos" w:hAnsi="Aptos" w:cs="Arial"/>
                <w:szCs w:val="22"/>
              </w:rPr>
              <w:t>Yes</w:t>
            </w:r>
          </w:p>
        </w:tc>
        <w:tc>
          <w:tcPr>
            <w:tcW w:w="3653" w:type="pct"/>
            <w:noWrap/>
          </w:tcPr>
          <w:p w14:paraId="49942206" w14:textId="77777777" w:rsidR="0080204B" w:rsidRPr="0080204B" w:rsidRDefault="0080204B" w:rsidP="0080204B">
            <w:pPr>
              <w:spacing w:line="240" w:lineRule="auto"/>
              <w:jc w:val="right"/>
              <w:rPr>
                <w:rFonts w:ascii="Aptos" w:eastAsia="Aptos" w:hAnsi="Aptos" w:cs="Arial"/>
                <w:b/>
                <w:szCs w:val="22"/>
              </w:rPr>
            </w:pPr>
            <w:r w:rsidRPr="0080204B">
              <w:rPr>
                <w:rFonts w:ascii="Aptos" w:eastAsia="Aptos" w:hAnsi="Aptos" w:cs="Arial"/>
                <w:szCs w:val="22"/>
              </w:rPr>
              <w:t>88.5%</w:t>
            </w:r>
          </w:p>
        </w:tc>
      </w:tr>
      <w:tr w:rsidR="0080204B" w:rsidRPr="0080204B" w14:paraId="22355F3B" w14:textId="77777777" w:rsidTr="00132A82">
        <w:tc>
          <w:tcPr>
            <w:tcW w:w="1347" w:type="pct"/>
            <w:shd w:val="clear" w:color="auto" w:fill="F2F2F2" w:themeFill="background1" w:themeFillShade="F2"/>
            <w:noWrap/>
            <w:hideMark/>
          </w:tcPr>
          <w:p w14:paraId="7A7C1D68" w14:textId="77777777" w:rsidR="0080204B" w:rsidRPr="0080204B" w:rsidRDefault="0080204B" w:rsidP="0080204B">
            <w:pPr>
              <w:spacing w:line="240" w:lineRule="auto"/>
              <w:rPr>
                <w:rFonts w:ascii="Aptos" w:eastAsia="Aptos" w:hAnsi="Aptos" w:cs="Arial"/>
                <w:b/>
                <w:szCs w:val="22"/>
              </w:rPr>
            </w:pPr>
            <w:r w:rsidRPr="0080204B">
              <w:rPr>
                <w:rFonts w:ascii="Aptos" w:eastAsia="Aptos" w:hAnsi="Aptos" w:cs="Arial"/>
                <w:b/>
                <w:szCs w:val="22"/>
              </w:rPr>
              <w:t>Total</w:t>
            </w:r>
          </w:p>
        </w:tc>
        <w:tc>
          <w:tcPr>
            <w:tcW w:w="3653" w:type="pct"/>
            <w:shd w:val="clear" w:color="auto" w:fill="F2F2F2" w:themeFill="background1" w:themeFillShade="F2"/>
            <w:noWrap/>
            <w:hideMark/>
          </w:tcPr>
          <w:p w14:paraId="06811CAA" w14:textId="77777777" w:rsidR="0080204B" w:rsidRPr="0080204B" w:rsidRDefault="0080204B" w:rsidP="0080204B">
            <w:pPr>
              <w:spacing w:line="240" w:lineRule="auto"/>
              <w:jc w:val="right"/>
              <w:rPr>
                <w:rFonts w:ascii="Aptos" w:eastAsia="Aptos" w:hAnsi="Aptos" w:cs="Arial"/>
                <w:b/>
                <w:szCs w:val="22"/>
              </w:rPr>
            </w:pPr>
            <w:r w:rsidRPr="0080204B">
              <w:rPr>
                <w:rFonts w:ascii="Aptos" w:eastAsia="Aptos" w:hAnsi="Aptos" w:cs="Arial"/>
                <w:b/>
                <w:szCs w:val="22"/>
              </w:rPr>
              <w:t>100.0%</w:t>
            </w:r>
          </w:p>
        </w:tc>
      </w:tr>
    </w:tbl>
    <w:p w14:paraId="4B9F44D0" w14:textId="77777777" w:rsidR="003C6C48" w:rsidRPr="000F1DE6" w:rsidRDefault="003C6C48" w:rsidP="003C6C48">
      <w:pPr>
        <w:pStyle w:val="SWAHeading3"/>
        <w:rPr>
          <w:color w:val="2B0A99"/>
        </w:rPr>
      </w:pPr>
      <w:r w:rsidRPr="000F1DE6">
        <w:rPr>
          <w:color w:val="2B0A99"/>
        </w:rPr>
        <w:t>Other WHS schemes</w:t>
      </w:r>
    </w:p>
    <w:p w14:paraId="381FAA1E" w14:textId="77777777" w:rsidR="003C6C48" w:rsidRPr="000F1DE6" w:rsidRDefault="003C6C48" w:rsidP="000D26F7">
      <w:pPr>
        <w:pStyle w:val="Caption"/>
      </w:pPr>
      <w:r w:rsidRPr="000F1DE6">
        <w:t>Data Table 24 Employer responses on aligning other WHS schemes with model WHS laws, by business size</w:t>
      </w:r>
    </w:p>
    <w:p w14:paraId="31CE1079" w14:textId="08991A08" w:rsidR="003C6C48" w:rsidRPr="000F1DE6" w:rsidRDefault="003C6C48" w:rsidP="003C6C48">
      <w:pPr>
        <w:pStyle w:val="Paragraph"/>
        <w:rPr>
          <w:i/>
        </w:rPr>
      </w:pPr>
      <w:r w:rsidRPr="000F1DE6">
        <w:t>Employers were asked to respond ‘Yes’, ‘No’, or ‘Unsure’ to the statement, with results disaggregated by business size: ‘Other WHS schemes (for example, offshore or mining safety laws) should more closely align with the model WHS laws’</w:t>
      </w:r>
      <w:r w:rsidR="00E87469">
        <w:t>.</w:t>
      </w:r>
      <w:r w:rsidRPr="000F1DE6">
        <w:rPr>
          <w:i/>
        </w:rPr>
        <w:t xml:space="preserve"> </w:t>
      </w:r>
    </w:p>
    <w:tbl>
      <w:tblPr>
        <w:tblStyle w:val="Style9"/>
        <w:tblW w:w="5000" w:type="pct"/>
        <w:tblCellMar>
          <w:top w:w="57" w:type="dxa"/>
          <w:bottom w:w="57" w:type="dxa"/>
        </w:tblCellMar>
        <w:tblLook w:val="04A0" w:firstRow="1" w:lastRow="0" w:firstColumn="1" w:lastColumn="0" w:noHBand="0" w:noVBand="1"/>
        <w:tblCaption w:val="Data Table 24: Employer responses on aligning other WHS schemes with model WHS laws, by business size"/>
        <w:tblDescription w:val="Data Table outlining employer responses on aligning other WHS schemes with WHS laws. Refer to description below.&#10;"/>
      </w:tblPr>
      <w:tblGrid>
        <w:gridCol w:w="2339"/>
        <w:gridCol w:w="2151"/>
        <w:gridCol w:w="3080"/>
        <w:gridCol w:w="2182"/>
      </w:tblGrid>
      <w:tr w:rsidR="003C6C48" w:rsidRPr="000F1DE6" w14:paraId="76077D82" w14:textId="77777777" w:rsidTr="00132A82">
        <w:trPr>
          <w:trHeight w:val="300"/>
        </w:trPr>
        <w:tc>
          <w:tcPr>
            <w:tcW w:w="1199" w:type="pct"/>
            <w:shd w:val="clear" w:color="auto" w:fill="F2F2F2" w:themeFill="background1" w:themeFillShade="F2"/>
            <w:noWrap/>
            <w:hideMark/>
          </w:tcPr>
          <w:p w14:paraId="495AC80D" w14:textId="77777777" w:rsidR="003C6C48" w:rsidRPr="003C29AF" w:rsidRDefault="003C6C48">
            <w:pPr>
              <w:spacing w:line="240" w:lineRule="auto"/>
              <w:jc w:val="center"/>
              <w:rPr>
                <w:rFonts w:ascii="Aptos" w:eastAsia="Aptos" w:hAnsi="Aptos" w:cs="Arial"/>
                <w:i/>
                <w:szCs w:val="22"/>
              </w:rPr>
            </w:pPr>
          </w:p>
        </w:tc>
        <w:tc>
          <w:tcPr>
            <w:tcW w:w="3801" w:type="pct"/>
            <w:gridSpan w:val="3"/>
            <w:shd w:val="clear" w:color="auto" w:fill="F2F2F2" w:themeFill="background1" w:themeFillShade="F2"/>
            <w:noWrap/>
            <w:hideMark/>
          </w:tcPr>
          <w:p w14:paraId="3AB96940" w14:textId="77777777" w:rsidR="003C6C48" w:rsidRPr="003C29AF" w:rsidRDefault="003C6C48">
            <w:pPr>
              <w:spacing w:line="240" w:lineRule="auto"/>
              <w:jc w:val="center"/>
              <w:rPr>
                <w:rFonts w:ascii="Aptos" w:eastAsia="Aptos" w:hAnsi="Aptos" w:cs="Arial"/>
                <w:b/>
                <w:szCs w:val="22"/>
              </w:rPr>
            </w:pPr>
            <w:r w:rsidRPr="003C29AF">
              <w:rPr>
                <w:rFonts w:ascii="Aptos" w:eastAsia="Aptos" w:hAnsi="Aptos" w:cs="Arial"/>
                <w:b/>
                <w:szCs w:val="22"/>
              </w:rPr>
              <w:t>Percentage of responses (%)</w:t>
            </w:r>
          </w:p>
        </w:tc>
      </w:tr>
      <w:tr w:rsidR="003C6C48" w:rsidRPr="000F1DE6" w14:paraId="52CFB364" w14:textId="77777777" w:rsidTr="00132A82">
        <w:trPr>
          <w:trHeight w:val="300"/>
        </w:trPr>
        <w:tc>
          <w:tcPr>
            <w:tcW w:w="1199" w:type="pct"/>
            <w:shd w:val="clear" w:color="auto" w:fill="F2F2F2" w:themeFill="background1" w:themeFillShade="F2"/>
            <w:noWrap/>
            <w:hideMark/>
          </w:tcPr>
          <w:p w14:paraId="1866EC73" w14:textId="77777777" w:rsidR="003C6C48" w:rsidRPr="003C29AF" w:rsidRDefault="003C6C48">
            <w:pPr>
              <w:spacing w:line="240" w:lineRule="auto"/>
              <w:rPr>
                <w:rFonts w:ascii="Aptos" w:eastAsia="Aptos" w:hAnsi="Aptos" w:cs="Arial"/>
                <w:b/>
                <w:szCs w:val="22"/>
              </w:rPr>
            </w:pPr>
            <w:r w:rsidRPr="003C29AF">
              <w:rPr>
                <w:rFonts w:ascii="Aptos" w:eastAsia="Aptos" w:hAnsi="Aptos" w:cs="Arial"/>
                <w:b/>
                <w:szCs w:val="22"/>
              </w:rPr>
              <w:t>Responses</w:t>
            </w:r>
          </w:p>
        </w:tc>
        <w:tc>
          <w:tcPr>
            <w:tcW w:w="1103" w:type="pct"/>
            <w:shd w:val="clear" w:color="auto" w:fill="F2F2F2" w:themeFill="background1" w:themeFillShade="F2"/>
            <w:noWrap/>
            <w:hideMark/>
          </w:tcPr>
          <w:p w14:paraId="3F89B3F2" w14:textId="50503E90" w:rsidR="003C6C48" w:rsidRPr="003C29AF" w:rsidRDefault="003C6C48">
            <w:pPr>
              <w:spacing w:line="240" w:lineRule="auto"/>
              <w:jc w:val="right"/>
              <w:rPr>
                <w:rFonts w:ascii="Aptos" w:eastAsia="Aptos" w:hAnsi="Aptos" w:cs="Arial"/>
                <w:szCs w:val="22"/>
              </w:rPr>
            </w:pPr>
            <w:r w:rsidRPr="003C29AF">
              <w:rPr>
                <w:rFonts w:ascii="Aptos" w:eastAsia="Aptos" w:hAnsi="Aptos" w:cs="Arial"/>
                <w:szCs w:val="22"/>
              </w:rPr>
              <w:t>1</w:t>
            </w:r>
            <w:r w:rsidR="000F402B">
              <w:rPr>
                <w:rFonts w:ascii="Symbol" w:eastAsia="Symbol" w:hAnsi="Symbol" w:cs="Symbol"/>
                <w:szCs w:val="22"/>
              </w:rPr>
              <w:t>-</w:t>
            </w:r>
            <w:r w:rsidRPr="003C29AF">
              <w:rPr>
                <w:rFonts w:ascii="Aptos" w:eastAsia="Aptos" w:hAnsi="Aptos" w:cs="Arial"/>
                <w:szCs w:val="22"/>
              </w:rPr>
              <w:t>20 (small)</w:t>
            </w:r>
          </w:p>
        </w:tc>
        <w:tc>
          <w:tcPr>
            <w:tcW w:w="1579" w:type="pct"/>
            <w:shd w:val="clear" w:color="auto" w:fill="F2F2F2" w:themeFill="background1" w:themeFillShade="F2"/>
            <w:noWrap/>
            <w:hideMark/>
          </w:tcPr>
          <w:p w14:paraId="20C91F49" w14:textId="40CFBE63" w:rsidR="003C6C48" w:rsidRPr="003C29AF" w:rsidRDefault="003C6C48">
            <w:pPr>
              <w:spacing w:line="240" w:lineRule="auto"/>
              <w:jc w:val="right"/>
              <w:rPr>
                <w:rFonts w:ascii="Aptos" w:eastAsia="Aptos" w:hAnsi="Aptos" w:cs="Arial"/>
                <w:szCs w:val="22"/>
              </w:rPr>
            </w:pPr>
            <w:r w:rsidRPr="003C29AF">
              <w:rPr>
                <w:rFonts w:ascii="Aptos" w:eastAsia="Aptos" w:hAnsi="Aptos" w:cs="Arial"/>
                <w:szCs w:val="22"/>
              </w:rPr>
              <w:t>21</w:t>
            </w:r>
            <w:r w:rsidR="000F402B">
              <w:rPr>
                <w:rFonts w:ascii="Symbol" w:eastAsia="Symbol" w:hAnsi="Symbol" w:cs="Symbol"/>
                <w:szCs w:val="22"/>
              </w:rPr>
              <w:t>-</w:t>
            </w:r>
            <w:r w:rsidRPr="003C29AF">
              <w:rPr>
                <w:rFonts w:ascii="Aptos" w:eastAsia="Aptos" w:hAnsi="Aptos" w:cs="Arial"/>
                <w:szCs w:val="22"/>
              </w:rPr>
              <w:t>200 (medium)</w:t>
            </w:r>
          </w:p>
        </w:tc>
        <w:tc>
          <w:tcPr>
            <w:tcW w:w="1118" w:type="pct"/>
            <w:shd w:val="clear" w:color="auto" w:fill="F2F2F2" w:themeFill="background1" w:themeFillShade="F2"/>
            <w:noWrap/>
            <w:hideMark/>
          </w:tcPr>
          <w:p w14:paraId="5EC1FB39" w14:textId="77777777" w:rsidR="003C6C48" w:rsidRPr="003C29AF" w:rsidRDefault="003C6C48">
            <w:pPr>
              <w:spacing w:line="240" w:lineRule="auto"/>
              <w:jc w:val="right"/>
              <w:rPr>
                <w:rFonts w:ascii="Aptos" w:eastAsia="Aptos" w:hAnsi="Aptos" w:cs="Arial"/>
                <w:szCs w:val="22"/>
              </w:rPr>
            </w:pPr>
            <w:r w:rsidRPr="003C29AF">
              <w:rPr>
                <w:rFonts w:ascii="Aptos" w:eastAsia="Aptos" w:hAnsi="Aptos" w:cs="Arial"/>
                <w:szCs w:val="22"/>
              </w:rPr>
              <w:t>200+ (large)</w:t>
            </w:r>
          </w:p>
        </w:tc>
      </w:tr>
      <w:tr w:rsidR="003C6C48" w:rsidRPr="000F1DE6" w14:paraId="7ED250B8" w14:textId="77777777" w:rsidTr="00132A82">
        <w:trPr>
          <w:trHeight w:val="300"/>
        </w:trPr>
        <w:tc>
          <w:tcPr>
            <w:tcW w:w="1199" w:type="pct"/>
            <w:noWrap/>
            <w:hideMark/>
          </w:tcPr>
          <w:p w14:paraId="0521DC92" w14:textId="77777777" w:rsidR="003C6C48" w:rsidRPr="003C29AF" w:rsidRDefault="003C6C48">
            <w:pPr>
              <w:spacing w:line="240" w:lineRule="auto"/>
              <w:rPr>
                <w:rFonts w:ascii="Aptos" w:eastAsia="Aptos" w:hAnsi="Aptos" w:cs="Arial"/>
                <w:szCs w:val="22"/>
              </w:rPr>
            </w:pPr>
            <w:r w:rsidRPr="003C29AF">
              <w:rPr>
                <w:rFonts w:ascii="Aptos" w:eastAsia="Aptos" w:hAnsi="Aptos" w:cs="Arial"/>
                <w:szCs w:val="22"/>
              </w:rPr>
              <w:t>No</w:t>
            </w:r>
          </w:p>
        </w:tc>
        <w:tc>
          <w:tcPr>
            <w:tcW w:w="1103" w:type="pct"/>
            <w:noWrap/>
            <w:hideMark/>
          </w:tcPr>
          <w:p w14:paraId="7F178D53" w14:textId="77777777" w:rsidR="003C6C48" w:rsidRPr="003C29AF" w:rsidRDefault="003C6C48">
            <w:pPr>
              <w:spacing w:line="240" w:lineRule="auto"/>
              <w:jc w:val="right"/>
              <w:rPr>
                <w:rFonts w:ascii="Aptos" w:eastAsia="Aptos" w:hAnsi="Aptos" w:cs="Arial"/>
                <w:szCs w:val="22"/>
              </w:rPr>
            </w:pPr>
            <w:r w:rsidRPr="003C29AF">
              <w:rPr>
                <w:rFonts w:ascii="Aptos" w:eastAsia="Aptos" w:hAnsi="Aptos" w:cs="Arial"/>
                <w:szCs w:val="22"/>
              </w:rPr>
              <w:t>16.7%</w:t>
            </w:r>
          </w:p>
        </w:tc>
        <w:tc>
          <w:tcPr>
            <w:tcW w:w="1579" w:type="pct"/>
            <w:noWrap/>
            <w:hideMark/>
          </w:tcPr>
          <w:p w14:paraId="4595A383" w14:textId="77777777" w:rsidR="003C6C48" w:rsidRPr="003C29AF" w:rsidRDefault="003C6C48">
            <w:pPr>
              <w:spacing w:line="240" w:lineRule="auto"/>
              <w:jc w:val="right"/>
              <w:rPr>
                <w:rFonts w:ascii="Aptos" w:eastAsia="Aptos" w:hAnsi="Aptos" w:cs="Arial"/>
                <w:szCs w:val="22"/>
              </w:rPr>
            </w:pPr>
            <w:r w:rsidRPr="003C29AF">
              <w:rPr>
                <w:rFonts w:ascii="Aptos" w:eastAsia="Aptos" w:hAnsi="Aptos" w:cs="Arial"/>
                <w:szCs w:val="22"/>
              </w:rPr>
              <w:t>13.5%</w:t>
            </w:r>
          </w:p>
        </w:tc>
        <w:tc>
          <w:tcPr>
            <w:tcW w:w="1118" w:type="pct"/>
            <w:noWrap/>
            <w:hideMark/>
          </w:tcPr>
          <w:p w14:paraId="18AEA3E5" w14:textId="77777777" w:rsidR="003C6C48" w:rsidRPr="003C29AF" w:rsidRDefault="003C6C48">
            <w:pPr>
              <w:spacing w:line="240" w:lineRule="auto"/>
              <w:jc w:val="right"/>
              <w:rPr>
                <w:rFonts w:ascii="Aptos" w:eastAsia="Aptos" w:hAnsi="Aptos" w:cs="Arial"/>
                <w:szCs w:val="22"/>
              </w:rPr>
            </w:pPr>
            <w:r w:rsidRPr="003C29AF">
              <w:rPr>
                <w:rFonts w:ascii="Aptos" w:eastAsia="Aptos" w:hAnsi="Aptos" w:cs="Arial"/>
                <w:szCs w:val="22"/>
              </w:rPr>
              <w:t>5.7%</w:t>
            </w:r>
          </w:p>
        </w:tc>
      </w:tr>
      <w:tr w:rsidR="003C6C48" w:rsidRPr="000F1DE6" w14:paraId="1E94873A" w14:textId="77777777" w:rsidTr="00132A82">
        <w:trPr>
          <w:trHeight w:val="300"/>
        </w:trPr>
        <w:tc>
          <w:tcPr>
            <w:tcW w:w="1199" w:type="pct"/>
            <w:noWrap/>
            <w:hideMark/>
          </w:tcPr>
          <w:p w14:paraId="656F9C73" w14:textId="77777777" w:rsidR="003C6C48" w:rsidRPr="003C29AF" w:rsidRDefault="003C6C48">
            <w:pPr>
              <w:spacing w:line="240" w:lineRule="auto"/>
              <w:rPr>
                <w:rFonts w:ascii="Aptos" w:eastAsia="Aptos" w:hAnsi="Aptos" w:cs="Arial"/>
                <w:szCs w:val="22"/>
              </w:rPr>
            </w:pPr>
            <w:r w:rsidRPr="003C29AF">
              <w:rPr>
                <w:rFonts w:ascii="Aptos" w:eastAsia="Aptos" w:hAnsi="Aptos" w:cs="Arial"/>
                <w:szCs w:val="22"/>
              </w:rPr>
              <w:t>Unsure</w:t>
            </w:r>
          </w:p>
        </w:tc>
        <w:tc>
          <w:tcPr>
            <w:tcW w:w="1103" w:type="pct"/>
            <w:noWrap/>
            <w:hideMark/>
          </w:tcPr>
          <w:p w14:paraId="05D1E07E" w14:textId="77777777" w:rsidR="003C6C48" w:rsidRPr="003C29AF" w:rsidRDefault="003C6C48">
            <w:pPr>
              <w:spacing w:line="240" w:lineRule="auto"/>
              <w:jc w:val="right"/>
              <w:rPr>
                <w:rFonts w:ascii="Aptos" w:eastAsia="Aptos" w:hAnsi="Aptos" w:cs="Arial"/>
                <w:szCs w:val="22"/>
              </w:rPr>
            </w:pPr>
            <w:r w:rsidRPr="003C29AF">
              <w:rPr>
                <w:rFonts w:ascii="Aptos" w:eastAsia="Aptos" w:hAnsi="Aptos" w:cs="Arial"/>
                <w:szCs w:val="22"/>
              </w:rPr>
              <w:t>33.3%</w:t>
            </w:r>
          </w:p>
        </w:tc>
        <w:tc>
          <w:tcPr>
            <w:tcW w:w="1579" w:type="pct"/>
            <w:noWrap/>
            <w:hideMark/>
          </w:tcPr>
          <w:p w14:paraId="5F9DE6C9" w14:textId="77777777" w:rsidR="003C6C48" w:rsidRPr="003C29AF" w:rsidRDefault="003C6C48">
            <w:pPr>
              <w:spacing w:line="240" w:lineRule="auto"/>
              <w:jc w:val="right"/>
              <w:rPr>
                <w:rFonts w:ascii="Aptos" w:eastAsia="Aptos" w:hAnsi="Aptos" w:cs="Arial"/>
                <w:szCs w:val="22"/>
              </w:rPr>
            </w:pPr>
            <w:r w:rsidRPr="003C29AF">
              <w:rPr>
                <w:rFonts w:ascii="Aptos" w:eastAsia="Aptos" w:hAnsi="Aptos" w:cs="Arial"/>
                <w:szCs w:val="22"/>
              </w:rPr>
              <w:t>27.0%</w:t>
            </w:r>
          </w:p>
        </w:tc>
        <w:tc>
          <w:tcPr>
            <w:tcW w:w="1118" w:type="pct"/>
            <w:noWrap/>
            <w:hideMark/>
          </w:tcPr>
          <w:p w14:paraId="47ABA2E2" w14:textId="77777777" w:rsidR="003C6C48" w:rsidRPr="003C29AF" w:rsidRDefault="003C6C48">
            <w:pPr>
              <w:spacing w:line="240" w:lineRule="auto"/>
              <w:jc w:val="right"/>
              <w:rPr>
                <w:rFonts w:ascii="Aptos" w:eastAsia="Aptos" w:hAnsi="Aptos" w:cs="Arial"/>
                <w:szCs w:val="22"/>
              </w:rPr>
            </w:pPr>
            <w:r w:rsidRPr="003C29AF">
              <w:rPr>
                <w:rFonts w:ascii="Aptos" w:eastAsia="Aptos" w:hAnsi="Aptos" w:cs="Arial"/>
                <w:szCs w:val="22"/>
              </w:rPr>
              <w:t>25.7%</w:t>
            </w:r>
          </w:p>
        </w:tc>
      </w:tr>
      <w:tr w:rsidR="003C6C48" w:rsidRPr="000F1DE6" w14:paraId="39C2AD7F" w14:textId="77777777" w:rsidTr="00132A82">
        <w:trPr>
          <w:trHeight w:val="300"/>
        </w:trPr>
        <w:tc>
          <w:tcPr>
            <w:tcW w:w="1199" w:type="pct"/>
            <w:noWrap/>
            <w:hideMark/>
          </w:tcPr>
          <w:p w14:paraId="43148EB7" w14:textId="77777777" w:rsidR="003C6C48" w:rsidRPr="003C29AF" w:rsidRDefault="003C6C48">
            <w:pPr>
              <w:spacing w:line="240" w:lineRule="auto"/>
              <w:rPr>
                <w:rFonts w:ascii="Aptos" w:eastAsia="Aptos" w:hAnsi="Aptos" w:cs="Arial"/>
                <w:szCs w:val="22"/>
              </w:rPr>
            </w:pPr>
            <w:r w:rsidRPr="003C29AF">
              <w:rPr>
                <w:rFonts w:ascii="Aptos" w:eastAsia="Aptos" w:hAnsi="Aptos" w:cs="Arial"/>
                <w:szCs w:val="22"/>
              </w:rPr>
              <w:t>Yes</w:t>
            </w:r>
          </w:p>
        </w:tc>
        <w:tc>
          <w:tcPr>
            <w:tcW w:w="1103" w:type="pct"/>
            <w:noWrap/>
            <w:hideMark/>
          </w:tcPr>
          <w:p w14:paraId="06B3E9BC" w14:textId="77777777" w:rsidR="003C6C48" w:rsidRPr="003C29AF" w:rsidRDefault="003C6C48">
            <w:pPr>
              <w:spacing w:line="240" w:lineRule="auto"/>
              <w:jc w:val="right"/>
              <w:rPr>
                <w:rFonts w:ascii="Aptos" w:eastAsia="Aptos" w:hAnsi="Aptos" w:cs="Arial"/>
                <w:szCs w:val="22"/>
              </w:rPr>
            </w:pPr>
            <w:r w:rsidRPr="003C29AF">
              <w:rPr>
                <w:rFonts w:ascii="Aptos" w:eastAsia="Aptos" w:hAnsi="Aptos" w:cs="Arial"/>
                <w:szCs w:val="22"/>
              </w:rPr>
              <w:t>50.0%</w:t>
            </w:r>
          </w:p>
        </w:tc>
        <w:tc>
          <w:tcPr>
            <w:tcW w:w="1579" w:type="pct"/>
            <w:noWrap/>
            <w:hideMark/>
          </w:tcPr>
          <w:p w14:paraId="3F1A9050" w14:textId="77777777" w:rsidR="003C6C48" w:rsidRPr="003C29AF" w:rsidRDefault="003C6C48">
            <w:pPr>
              <w:spacing w:line="240" w:lineRule="auto"/>
              <w:jc w:val="right"/>
              <w:rPr>
                <w:rFonts w:ascii="Aptos" w:eastAsia="Aptos" w:hAnsi="Aptos" w:cs="Arial"/>
                <w:szCs w:val="22"/>
              </w:rPr>
            </w:pPr>
            <w:r w:rsidRPr="003C29AF">
              <w:rPr>
                <w:rFonts w:ascii="Aptos" w:eastAsia="Aptos" w:hAnsi="Aptos" w:cs="Arial"/>
                <w:szCs w:val="22"/>
              </w:rPr>
              <w:t>59.5%</w:t>
            </w:r>
          </w:p>
        </w:tc>
        <w:tc>
          <w:tcPr>
            <w:tcW w:w="1118" w:type="pct"/>
            <w:noWrap/>
            <w:hideMark/>
          </w:tcPr>
          <w:p w14:paraId="791F1DAF" w14:textId="77777777" w:rsidR="003C6C48" w:rsidRPr="003C29AF" w:rsidRDefault="003C6C48">
            <w:pPr>
              <w:spacing w:line="240" w:lineRule="auto"/>
              <w:jc w:val="right"/>
              <w:rPr>
                <w:rFonts w:ascii="Aptos" w:eastAsia="Aptos" w:hAnsi="Aptos" w:cs="Arial"/>
                <w:szCs w:val="22"/>
              </w:rPr>
            </w:pPr>
            <w:r w:rsidRPr="003C29AF">
              <w:rPr>
                <w:rFonts w:ascii="Aptos" w:eastAsia="Aptos" w:hAnsi="Aptos" w:cs="Arial"/>
                <w:szCs w:val="22"/>
              </w:rPr>
              <w:t>68.6%</w:t>
            </w:r>
          </w:p>
        </w:tc>
      </w:tr>
      <w:tr w:rsidR="003C6C48" w:rsidRPr="000F1DE6" w14:paraId="59B1DCF4" w14:textId="77777777" w:rsidTr="00132A82">
        <w:trPr>
          <w:trHeight w:val="300"/>
        </w:trPr>
        <w:tc>
          <w:tcPr>
            <w:tcW w:w="1199" w:type="pct"/>
            <w:shd w:val="clear" w:color="auto" w:fill="F2F2F2" w:themeFill="background1" w:themeFillShade="F2"/>
            <w:noWrap/>
            <w:hideMark/>
          </w:tcPr>
          <w:p w14:paraId="7C86C2C4" w14:textId="77777777" w:rsidR="003C6C48" w:rsidRPr="003C29AF" w:rsidRDefault="003C6C48">
            <w:pPr>
              <w:spacing w:line="240" w:lineRule="auto"/>
              <w:rPr>
                <w:rFonts w:ascii="Aptos" w:eastAsia="Aptos" w:hAnsi="Aptos" w:cs="Arial"/>
                <w:b/>
                <w:szCs w:val="22"/>
              </w:rPr>
            </w:pPr>
            <w:r w:rsidRPr="003C29AF">
              <w:rPr>
                <w:rFonts w:ascii="Aptos" w:eastAsia="Aptos" w:hAnsi="Aptos" w:cs="Arial"/>
                <w:b/>
                <w:szCs w:val="22"/>
              </w:rPr>
              <w:t>Total</w:t>
            </w:r>
          </w:p>
        </w:tc>
        <w:tc>
          <w:tcPr>
            <w:tcW w:w="1103" w:type="pct"/>
            <w:shd w:val="clear" w:color="auto" w:fill="F2F2F2" w:themeFill="background1" w:themeFillShade="F2"/>
            <w:noWrap/>
            <w:hideMark/>
          </w:tcPr>
          <w:p w14:paraId="58EACD0B" w14:textId="77777777" w:rsidR="003C6C48" w:rsidRPr="003C29AF" w:rsidRDefault="003C6C48">
            <w:pPr>
              <w:spacing w:line="240" w:lineRule="auto"/>
              <w:jc w:val="right"/>
              <w:rPr>
                <w:rFonts w:ascii="Aptos" w:eastAsia="Aptos" w:hAnsi="Aptos" w:cs="Arial"/>
                <w:b/>
                <w:szCs w:val="22"/>
              </w:rPr>
            </w:pPr>
            <w:r w:rsidRPr="003C29AF">
              <w:rPr>
                <w:rFonts w:ascii="Aptos" w:eastAsia="Aptos" w:hAnsi="Aptos" w:cs="Arial"/>
                <w:b/>
                <w:szCs w:val="22"/>
              </w:rPr>
              <w:t>100.0%</w:t>
            </w:r>
          </w:p>
        </w:tc>
        <w:tc>
          <w:tcPr>
            <w:tcW w:w="1579" w:type="pct"/>
            <w:shd w:val="clear" w:color="auto" w:fill="F2F2F2" w:themeFill="background1" w:themeFillShade="F2"/>
            <w:noWrap/>
            <w:hideMark/>
          </w:tcPr>
          <w:p w14:paraId="42C8F1F1" w14:textId="77777777" w:rsidR="003C6C48" w:rsidRPr="003C29AF" w:rsidRDefault="003C6C48">
            <w:pPr>
              <w:spacing w:line="240" w:lineRule="auto"/>
              <w:jc w:val="right"/>
              <w:rPr>
                <w:rFonts w:ascii="Aptos" w:eastAsia="Aptos" w:hAnsi="Aptos" w:cs="Arial"/>
                <w:b/>
                <w:szCs w:val="22"/>
              </w:rPr>
            </w:pPr>
            <w:r w:rsidRPr="003C29AF">
              <w:rPr>
                <w:rFonts w:ascii="Aptos" w:eastAsia="Aptos" w:hAnsi="Aptos" w:cs="Arial"/>
                <w:b/>
                <w:szCs w:val="22"/>
              </w:rPr>
              <w:t>100.0%</w:t>
            </w:r>
          </w:p>
        </w:tc>
        <w:tc>
          <w:tcPr>
            <w:tcW w:w="1118" w:type="pct"/>
            <w:shd w:val="clear" w:color="auto" w:fill="F2F2F2" w:themeFill="background1" w:themeFillShade="F2"/>
            <w:noWrap/>
            <w:hideMark/>
          </w:tcPr>
          <w:p w14:paraId="31F68750" w14:textId="77777777" w:rsidR="003C6C48" w:rsidRPr="003C29AF" w:rsidRDefault="003C6C48">
            <w:pPr>
              <w:spacing w:line="240" w:lineRule="auto"/>
              <w:jc w:val="right"/>
              <w:rPr>
                <w:rFonts w:ascii="Aptos" w:eastAsia="Aptos" w:hAnsi="Aptos" w:cs="Arial"/>
                <w:b/>
                <w:szCs w:val="22"/>
              </w:rPr>
            </w:pPr>
            <w:r w:rsidRPr="003C29AF">
              <w:rPr>
                <w:rFonts w:ascii="Aptos" w:eastAsia="Aptos" w:hAnsi="Aptos" w:cs="Arial"/>
                <w:b/>
                <w:szCs w:val="22"/>
              </w:rPr>
              <w:t>100.0%</w:t>
            </w:r>
          </w:p>
        </w:tc>
      </w:tr>
    </w:tbl>
    <w:p w14:paraId="60B65677" w14:textId="77777777" w:rsidR="00F21CE3" w:rsidRDefault="003C6C48" w:rsidP="00132A82">
      <w:pPr>
        <w:pStyle w:val="Paragraph"/>
        <w:rPr>
          <w:i/>
          <w:iCs/>
        </w:rPr>
      </w:pPr>
      <w:r w:rsidRPr="00132A82">
        <w:rPr>
          <w:i/>
          <w:iCs/>
        </w:rPr>
        <w:t>* Note: Percentages represent the proportion of responses within each business size.</w:t>
      </w:r>
    </w:p>
    <w:p w14:paraId="3D34F66A" w14:textId="77777777" w:rsidR="00F21CE3" w:rsidRDefault="003C6C48" w:rsidP="003C6C48">
      <w:pPr>
        <w:pStyle w:val="Paragraph"/>
      </w:pPr>
      <w:r w:rsidRPr="000F1DE6">
        <w:t xml:space="preserve">Table </w:t>
      </w:r>
      <w:r w:rsidR="00A34385">
        <w:t>24</w:t>
      </w:r>
      <w:r w:rsidRPr="000F1DE6">
        <w:t>: Across all business sizes, employers tended to agree that other WHS schemes should more closely align with the model WHS laws. Support increased by business size, with 50% of small, 59.9% of medium and 68.8% of large businesses responding ‘Yes’. Small businesses were more likely than medium and large businesses to report uncertainty, while disagreement remained relatively low across all groups.</w:t>
      </w:r>
    </w:p>
    <w:p w14:paraId="552974CE" w14:textId="4E20038C" w:rsidR="00181B1E" w:rsidRDefault="00181B1E" w:rsidP="000D26F7">
      <w:pPr>
        <w:pStyle w:val="Paragraph"/>
      </w:pPr>
      <w:r>
        <w:br w:type="page"/>
      </w:r>
    </w:p>
    <w:p w14:paraId="0F5A26F0" w14:textId="7C1F3B0E" w:rsidR="003C6C48" w:rsidRPr="000F1DE6" w:rsidRDefault="003C6C48" w:rsidP="003C6C48">
      <w:pPr>
        <w:pStyle w:val="SWAHeading3"/>
        <w:rPr>
          <w:color w:val="2B0A99"/>
        </w:rPr>
      </w:pPr>
      <w:r w:rsidRPr="000F1DE6">
        <w:rPr>
          <w:color w:val="2B0A99"/>
        </w:rPr>
        <w:lastRenderedPageBreak/>
        <w:t>Harmonisation</w:t>
      </w:r>
    </w:p>
    <w:p w14:paraId="10947C0A" w14:textId="77777777" w:rsidR="003C6C48" w:rsidRPr="000F1DE6" w:rsidRDefault="003C6C48" w:rsidP="000D26F7">
      <w:pPr>
        <w:pStyle w:val="Caption"/>
      </w:pPr>
      <w:r w:rsidRPr="000F1DE6">
        <w:t>Figure 11 Proportion of employer responses by impact of harmonisation</w:t>
      </w:r>
    </w:p>
    <w:p w14:paraId="6946E9C8" w14:textId="77777777" w:rsidR="00F21CE3" w:rsidRDefault="003C6C48" w:rsidP="003C6C48">
      <w:pPr>
        <w:pStyle w:val="Paragraph"/>
      </w:pPr>
      <w:r w:rsidRPr="000F1DE6">
        <w:t>Employers were asked to select all the responses that apply to the following question: ‘If the WHS laws were more closely harmonised (i.e. consistent across states and territories), what impact would that have for you or your organisation?’</w:t>
      </w:r>
    </w:p>
    <w:p w14:paraId="27E0800C" w14:textId="33DE1135" w:rsidR="003C6C48" w:rsidRPr="000F1DE6" w:rsidRDefault="00137BEC" w:rsidP="003C6C48">
      <w:pPr>
        <w:pStyle w:val="Paragraph"/>
        <w:rPr>
          <w:szCs w:val="22"/>
        </w:rPr>
      </w:pPr>
      <w:r>
        <w:rPr>
          <w:noProof/>
        </w:rPr>
        <w:drawing>
          <wp:inline distT="0" distB="0" distL="0" distR="0" wp14:anchorId="54158165" wp14:editId="12B39FB5">
            <wp:extent cx="6192520" cy="5133975"/>
            <wp:effectExtent l="0" t="0" r="0" b="0"/>
            <wp:docPr id="1449023878" name="Chart 1" descr="Figure 11 Chart outlining employer views on what impact closer harmonisation of WHS laws (i.e. consistent across states and territories) would have on their organisation. Refer to description below.">
              <a:extLst xmlns:a="http://schemas.openxmlformats.org/drawingml/2006/main">
                <a:ext uri="{FF2B5EF4-FFF2-40B4-BE49-F238E27FC236}">
                  <a16:creationId xmlns:a16="http://schemas.microsoft.com/office/drawing/2014/main" id="{DB1DAC21-C978-1BD2-3639-62E7F33808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3"/>
              </a:graphicData>
            </a:graphic>
          </wp:inline>
        </w:drawing>
      </w:r>
    </w:p>
    <w:p w14:paraId="6A9D1317" w14:textId="77777777" w:rsidR="003C6C48" w:rsidRPr="000F1DE6" w:rsidRDefault="003C6C48" w:rsidP="003C6C48">
      <w:pPr>
        <w:pStyle w:val="Paragraph"/>
        <w:rPr>
          <w:i/>
          <w:iCs/>
          <w:sz w:val="20"/>
          <w:szCs w:val="20"/>
        </w:rPr>
      </w:pPr>
      <w:r w:rsidRPr="000F1DE6">
        <w:rPr>
          <w:i/>
          <w:iCs/>
          <w:sz w:val="20"/>
          <w:szCs w:val="20"/>
        </w:rPr>
        <w:t>* Note: Respondents were able to select more than one option; therefore, percentages do not sum to 100%.</w:t>
      </w:r>
    </w:p>
    <w:p w14:paraId="26F2452E" w14:textId="1AA8AAB3" w:rsidR="000D26F7" w:rsidRDefault="003C6C48" w:rsidP="003C6C48">
      <w:pPr>
        <w:pStyle w:val="Paragraph"/>
      </w:pPr>
      <w:r w:rsidRPr="000F1DE6">
        <w:t>Figure 11: Employers most often reported that greater WHS harmonisation would improve clarity and consistency, particularly by simplifying communication about WHS expectations (86.7%) and improving consistency in safety standards (86.7%). Many employers also expected reduced confusion about WHS obligations (81.9%), easier operation across states and territories (75.9%), and increased confidence that WHS requirements are being met (74.7%). Fewer employers identified impacts related to reducing compliance burden (63.9%), improving access to training and information (55.4%), or increasing resources for WHS implementation (49.4%).</w:t>
      </w:r>
    </w:p>
    <w:p w14:paraId="53A943EE" w14:textId="77777777" w:rsidR="000D26F7" w:rsidRDefault="000D26F7">
      <w:pPr>
        <w:spacing w:after="200" w:line="276" w:lineRule="auto"/>
        <w:contextualSpacing w:val="0"/>
        <w:rPr>
          <w:rFonts w:asciiTheme="minorHAnsi" w:eastAsia="Times New Roman" w:hAnsiTheme="minorHAnsi"/>
          <w:lang w:eastAsia="en-AU"/>
        </w:rPr>
      </w:pPr>
      <w:r>
        <w:br w:type="page"/>
      </w:r>
    </w:p>
    <w:p w14:paraId="3754B7CC" w14:textId="77777777" w:rsidR="003C6C48" w:rsidRPr="00BC0B4B" w:rsidRDefault="003C6C48" w:rsidP="000D26F7">
      <w:pPr>
        <w:pStyle w:val="Caption"/>
        <w:rPr>
          <w:b w:val="0"/>
          <w:bCs w:val="0"/>
          <w:color w:val="4877E0" w:themeColor="accent1"/>
        </w:rPr>
      </w:pPr>
      <w:r w:rsidRPr="000F1DE6">
        <w:lastRenderedPageBreak/>
        <w:t xml:space="preserve">Figure 12 </w:t>
      </w:r>
      <w:r w:rsidRPr="00BC0B4B">
        <w:rPr>
          <w:szCs w:val="22"/>
        </w:rPr>
        <w:t>Employer</w:t>
      </w:r>
      <w:r w:rsidRPr="00BC0B4B">
        <w:t xml:space="preserve"> responses on improving the model WHS laws</w:t>
      </w:r>
    </w:p>
    <w:p w14:paraId="481BEEE4" w14:textId="2677CEA2" w:rsidR="003C6C48" w:rsidRPr="000F1DE6" w:rsidRDefault="00137BEC" w:rsidP="00137BEC">
      <w:pPr>
        <w:pStyle w:val="Paragraph"/>
      </w:pPr>
      <w:r>
        <w:rPr>
          <w:noProof/>
        </w:rPr>
        <w:drawing>
          <wp:inline distT="0" distB="0" distL="0" distR="0" wp14:anchorId="5D3EF69D" wp14:editId="3D3B889C">
            <wp:extent cx="6181725" cy="3286125"/>
            <wp:effectExtent l="0" t="0" r="0" b="0"/>
            <wp:docPr id="1731476111" name="Chart 1" descr="Figure 12 Chart outlining what employers would prioritise if they could improve just one aspect of the model WHS laws. Refer to description below.">
              <a:extLst xmlns:a="http://schemas.openxmlformats.org/drawingml/2006/main">
                <a:ext uri="{FF2B5EF4-FFF2-40B4-BE49-F238E27FC236}">
                  <a16:creationId xmlns:a16="http://schemas.microsoft.com/office/drawing/2014/main" id="{01D61F3A-B809-41FE-A694-1E7DAAE5968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4"/>
              </a:graphicData>
            </a:graphic>
          </wp:inline>
        </w:drawing>
      </w:r>
    </w:p>
    <w:p w14:paraId="2F160E9A" w14:textId="77777777" w:rsidR="00F21CE3" w:rsidRDefault="003C6C48" w:rsidP="003C6C48">
      <w:pPr>
        <w:pStyle w:val="Paragraph"/>
      </w:pPr>
      <w:r w:rsidRPr="000F1DE6">
        <w:rPr>
          <w:bCs/>
        </w:rPr>
        <w:t>Figure 12:</w:t>
      </w:r>
      <w:r w:rsidRPr="000F1DE6">
        <w:rPr>
          <w:b/>
        </w:rPr>
        <w:t xml:space="preserve"> </w:t>
      </w:r>
      <w:r w:rsidRPr="000F1DE6">
        <w:t>When employers were asked ‘If you could improve one aspect of the model WHS laws, which one of the following would you prioritise?’, employers prioritised greater harmonisation of WHS laws across Australia (38.1%) over more industry-based regulations and codes (23.8%) or simpler and easier to understand WHS laws (23.8%). Improving compliance and enforcement was the least prioritised by employers (14.3%).</w:t>
      </w:r>
    </w:p>
    <w:p w14:paraId="7E15D2CF" w14:textId="77777777" w:rsidR="00F21CE3" w:rsidRDefault="003C6C48" w:rsidP="003C6C48">
      <w:pPr>
        <w:pStyle w:val="Paragraph"/>
        <w:rPr>
          <w:rFonts w:eastAsia="Aptos"/>
        </w:rPr>
      </w:pPr>
      <w:r w:rsidRPr="000F1DE6">
        <w:rPr>
          <w:rFonts w:eastAsia="Aptos"/>
        </w:rPr>
        <w:t>This Review also conducted a general questionnaire for completion, but due to low response rate the results were not considered sufficiently representative and have not been relied upon in this analysis.</w:t>
      </w:r>
    </w:p>
    <w:p w14:paraId="252C7322" w14:textId="7C3AFD56" w:rsidR="000D26F7" w:rsidRPr="000F1DE6" w:rsidRDefault="000D26F7" w:rsidP="000D26F7">
      <w:pPr>
        <w:pStyle w:val="Paragraph"/>
        <w:rPr>
          <w:rFonts w:eastAsia="Aptos"/>
        </w:rPr>
      </w:pPr>
    </w:p>
    <w:p w14:paraId="5D69183E" w14:textId="77777777" w:rsidR="001B6644" w:rsidRPr="001B6644" w:rsidRDefault="001B6644" w:rsidP="000D26F7">
      <w:pPr>
        <w:pStyle w:val="Paragraph"/>
        <w:sectPr w:rsidR="001B6644" w:rsidRPr="001B6644" w:rsidSect="00DF1707">
          <w:headerReference w:type="default" r:id="rId135"/>
          <w:pgSz w:w="11906" w:h="16838" w:code="9"/>
          <w:pgMar w:top="1440" w:right="1077" w:bottom="1440" w:left="1077" w:header="709" w:footer="709" w:gutter="0"/>
          <w:cols w:space="708"/>
          <w:titlePg/>
          <w:docGrid w:linePitch="360"/>
        </w:sectPr>
      </w:pPr>
    </w:p>
    <w:p w14:paraId="7EE451B4" w14:textId="3344295D" w:rsidR="008B5AD0" w:rsidRPr="00931ADC" w:rsidRDefault="00333026" w:rsidP="00931ADC">
      <w:pPr>
        <w:pStyle w:val="SWAHeading1"/>
        <w:numPr>
          <w:ilvl w:val="0"/>
          <w:numId w:val="0"/>
        </w:numPr>
      </w:pPr>
      <w:bookmarkStart w:id="168" w:name="_Toc239845182"/>
      <w:r>
        <w:lastRenderedPageBreak/>
        <w:t>Appendix K: Case Law</w:t>
      </w:r>
      <w:bookmarkEnd w:id="168"/>
    </w:p>
    <w:p w14:paraId="3924A6BB" w14:textId="1A0A004A" w:rsidR="00B95AE1" w:rsidRPr="00745977" w:rsidRDefault="00B95AE1" w:rsidP="00E56436">
      <w:pPr>
        <w:pStyle w:val="SWAHeading3"/>
      </w:pPr>
      <w:r w:rsidRPr="00B95AE1">
        <w:t>Catholic Healthcare Limited v SafeWork NSW [2025] NSWIRComm 1046</w:t>
      </w:r>
    </w:p>
    <w:p w14:paraId="4D51652A" w14:textId="74054948" w:rsidR="00F21CE3" w:rsidRDefault="00B95AE1" w:rsidP="002F3594">
      <w:pPr>
        <w:pStyle w:val="Paragraph"/>
        <w:rPr>
          <w:szCs w:val="22"/>
        </w:rPr>
      </w:pPr>
      <w:r w:rsidRPr="00B95AE1">
        <w:rPr>
          <w:rFonts w:ascii="Aptos" w:hAnsi="Aptos" w:cs="Arial"/>
        </w:rPr>
        <w:t xml:space="preserve">SafeWork </w:t>
      </w:r>
      <w:r w:rsidRPr="000F1DE6">
        <w:t xml:space="preserve">NSW issued an improvement notice to Catholic Healthcare, alleging a contravention of its duty of care and obligation to workers to fit test respiratory equipment. Catholic Healthcare applied for an internal review, and ultimately an external review by the NSW IRC. The Commissioner set aside the notice, finding that the relevant clause of the NSW WHS Regulations did not apply to Catholic Healthcare’s operations. </w:t>
      </w:r>
      <w:r w:rsidRPr="000F1DE6">
        <w:rPr>
          <w:szCs w:val="22"/>
        </w:rPr>
        <w:t xml:space="preserve">The improvement notice had relied on the </w:t>
      </w:r>
      <w:r w:rsidR="000F402B">
        <w:rPr>
          <w:szCs w:val="22"/>
        </w:rPr>
        <w:t xml:space="preserve">PPE </w:t>
      </w:r>
      <w:r w:rsidRPr="000F1DE6">
        <w:rPr>
          <w:szCs w:val="22"/>
        </w:rPr>
        <w:t>provisions of the regulations</w:t>
      </w:r>
      <w:r>
        <w:rPr>
          <w:szCs w:val="22"/>
        </w:rPr>
        <w:t>;</w:t>
      </w:r>
      <w:r w:rsidRPr="000F1DE6">
        <w:rPr>
          <w:szCs w:val="22"/>
        </w:rPr>
        <w:t xml:space="preserve"> however</w:t>
      </w:r>
      <w:r>
        <w:rPr>
          <w:szCs w:val="22"/>
        </w:rPr>
        <w:t>,</w:t>
      </w:r>
      <w:r w:rsidRPr="000F1DE6">
        <w:rPr>
          <w:szCs w:val="22"/>
        </w:rPr>
        <w:t xml:space="preserve"> those provisions only apply where the risk controls required by a risk assessment specify </w:t>
      </w:r>
      <w:r w:rsidR="000F402B">
        <w:rPr>
          <w:szCs w:val="22"/>
        </w:rPr>
        <w:t>PPE</w:t>
      </w:r>
      <w:r w:rsidRPr="000F1DE6">
        <w:rPr>
          <w:szCs w:val="22"/>
        </w:rPr>
        <w:t>.</w:t>
      </w:r>
    </w:p>
    <w:p w14:paraId="6E500205" w14:textId="77777777" w:rsidR="00F21CE3" w:rsidRDefault="00B95AE1" w:rsidP="00E56436">
      <w:pPr>
        <w:pStyle w:val="SWAHeading3"/>
      </w:pPr>
      <w:r w:rsidRPr="00B95AE1">
        <w:t>Boland v Safe is Safe Pty Ltd &amp; Munro [2017] SAIRC 17</w:t>
      </w:r>
    </w:p>
    <w:p w14:paraId="25CF43E1" w14:textId="1061994E" w:rsidR="00F21CE3" w:rsidRDefault="00B95AE1" w:rsidP="002F3594">
      <w:pPr>
        <w:pStyle w:val="Paragraph"/>
        <w:rPr>
          <w:szCs w:val="22"/>
        </w:rPr>
      </w:pPr>
      <w:r w:rsidRPr="00B95AE1">
        <w:rPr>
          <w:rFonts w:ascii="Aptos" w:hAnsi="Aptos" w:cs="Arial"/>
        </w:rPr>
        <w:t xml:space="preserve">This </w:t>
      </w:r>
      <w:r w:rsidRPr="000F1DE6">
        <w:t xml:space="preserve">case concerned a young girl dying when she was ejected from an amusement ride at the Royal Adelaide Show in 2014. The case arose regarding the certification of </w:t>
      </w:r>
      <w:r w:rsidRPr="000F1DE6">
        <w:rPr>
          <w:szCs w:val="22"/>
        </w:rPr>
        <w:t>an amusement device, with the certifier unsuccessfully arguing that the health and safety duty imposed by section 19(2) of the SA</w:t>
      </w:r>
      <w:r w:rsidR="000F402B">
        <w:rPr>
          <w:szCs w:val="22"/>
        </w:rPr>
        <w:t> </w:t>
      </w:r>
      <w:r w:rsidRPr="000F1DE6">
        <w:rPr>
          <w:szCs w:val="22"/>
        </w:rPr>
        <w:t>WHS</w:t>
      </w:r>
      <w:r w:rsidR="000F402B">
        <w:rPr>
          <w:szCs w:val="22"/>
        </w:rPr>
        <w:t> </w:t>
      </w:r>
      <w:r w:rsidRPr="000F1DE6">
        <w:rPr>
          <w:szCs w:val="22"/>
        </w:rPr>
        <w:t xml:space="preserve">Act only exists whilst work is being carried out by the relevant business or undertaking and that it does not extend to the consequences or product of work. The SA Industrial Court held </w:t>
      </w:r>
      <w:r>
        <w:rPr>
          <w:szCs w:val="22"/>
        </w:rPr>
        <w:t xml:space="preserve">that </w:t>
      </w:r>
      <w:r w:rsidRPr="000F1DE6">
        <w:rPr>
          <w:szCs w:val="22"/>
        </w:rPr>
        <w:t>the proper meaning of section 19(2) is to protect members of the public from work performed as opposed to being limited to the exact time when work was performed. A wider duty is created to protect the public at large from the health and safety consequences of work.</w:t>
      </w:r>
    </w:p>
    <w:p w14:paraId="57748AD3" w14:textId="0E6A79CC" w:rsidR="00B95AE1" w:rsidRPr="00B95AE1" w:rsidRDefault="00B95AE1" w:rsidP="00E56436">
      <w:pPr>
        <w:pStyle w:val="SWAHeading3"/>
        <w:rPr>
          <w:rFonts w:ascii="Aptos" w:hAnsi="Aptos"/>
          <w:b/>
          <w:color w:val="2B0A99"/>
        </w:rPr>
      </w:pPr>
      <w:r w:rsidRPr="00B95AE1">
        <w:t xml:space="preserve">Safe Work NSW v Wagga Motors Pty Ltd [2018] NSWDC </w:t>
      </w:r>
      <w:r w:rsidRPr="00234C27">
        <w:rPr>
          <w:rFonts w:ascii="Aptos" w:hAnsi="Aptos"/>
          <w:bCs/>
          <w:color w:val="2B0A99"/>
        </w:rPr>
        <w:t>242</w:t>
      </w:r>
    </w:p>
    <w:p w14:paraId="11CF9518" w14:textId="77777777" w:rsidR="00F21CE3" w:rsidRDefault="00B95AE1" w:rsidP="002F3594">
      <w:pPr>
        <w:pStyle w:val="Paragraph"/>
      </w:pPr>
      <w:r w:rsidRPr="00B95AE1">
        <w:rPr>
          <w:rFonts w:ascii="Aptos" w:hAnsi="Aptos" w:cs="Arial"/>
        </w:rPr>
        <w:t xml:space="preserve">This </w:t>
      </w:r>
      <w:r w:rsidRPr="000F1DE6">
        <w:t>case relates to the application of ‘other persons’ in section 19(2) of the NSW WHS Act. The defendant, a vehicle repairer, serviced a horse float and returned it to the owner without properly checking the hydraulic system controlling the tailgate. Consequently, an employee of the owner was later fatally crushed when the tailgate collapsed. The District Court held that the defendant was responsible for the safety of the employee, confirming that ‘other persons’ in section 19(2) extends beyond non-workers in the workplace and covers anyone who is likely to be affected by the work of the business.</w:t>
      </w:r>
    </w:p>
    <w:p w14:paraId="54495081" w14:textId="1B6BCE21" w:rsidR="000D26F7" w:rsidRDefault="000D26F7">
      <w:pPr>
        <w:spacing w:after="200" w:line="276" w:lineRule="auto"/>
        <w:contextualSpacing w:val="0"/>
        <w:rPr>
          <w:rFonts w:asciiTheme="minorHAnsi" w:eastAsia="Times New Roman" w:hAnsiTheme="minorHAnsi"/>
          <w:lang w:eastAsia="en-AU"/>
        </w:rPr>
      </w:pPr>
      <w:r>
        <w:br w:type="page"/>
      </w:r>
    </w:p>
    <w:p w14:paraId="427EB726" w14:textId="77777777" w:rsidR="00B95AE1" w:rsidRPr="00B95AE1" w:rsidRDefault="00B95AE1" w:rsidP="00E56436">
      <w:pPr>
        <w:pStyle w:val="SWAHeading3"/>
        <w:rPr>
          <w:rFonts w:ascii="Aptos" w:hAnsi="Aptos"/>
          <w:b/>
          <w:color w:val="2B0A99"/>
        </w:rPr>
      </w:pPr>
      <w:r w:rsidRPr="00B95AE1">
        <w:lastRenderedPageBreak/>
        <w:t>Dial A Tow Australia Pty Ltd v Campbell [2023] SAET 49</w:t>
      </w:r>
    </w:p>
    <w:p w14:paraId="1244F4AA" w14:textId="77777777" w:rsidR="00B95AE1" w:rsidRPr="00B95AE1" w:rsidRDefault="00B95AE1" w:rsidP="002F3594">
      <w:pPr>
        <w:pStyle w:val="Paragraph"/>
        <w:rPr>
          <w:rFonts w:ascii="Aptos" w:hAnsi="Aptos" w:cs="Arial"/>
          <w:szCs w:val="22"/>
        </w:rPr>
      </w:pPr>
      <w:r w:rsidRPr="00B95AE1">
        <w:rPr>
          <w:rFonts w:ascii="Aptos" w:hAnsi="Aptos" w:cs="Arial"/>
        </w:rPr>
        <w:t xml:space="preserve">In </w:t>
      </w:r>
      <w:r w:rsidRPr="000F1DE6">
        <w:t xml:space="preserve">2022, a towing company Dial A Tow was found guilty of breaches of the SA WHS Act that led to the death of an employee in 2018. The employee was killed in the crush zone between a modified tow truck’s retracting tilt tray and the vehicles headboard. SafeWork SA alleged that Dial A Tow failed to ensure the crush zone was fitted with a pressure sensor that prevented the tilt tray from moving if any person or object was within the zone. Dial A Tow appealed against its conviction, and the matter was eventually remitted to the </w:t>
      </w:r>
      <w:r w:rsidRPr="000F1DE6">
        <w:rPr>
          <w:rFonts w:eastAsia="MS Mincho" w:cs="Arial"/>
          <w:szCs w:val="22"/>
        </w:rPr>
        <w:t>South Australian Employment Court (</w:t>
      </w:r>
      <w:r w:rsidRPr="000F1DE6">
        <w:rPr>
          <w:szCs w:val="22"/>
        </w:rPr>
        <w:t>SAET) full bench. On appeal, the SAET found the failings of Dial A Tow were insufficient for a finding of guilt to the specific charge laid, before ruling that SafeWork SA failed to prove beyond reasonable doubt that Dial A Tow would have been advised to install a pressure sensor had it sought an expert opinion. Dial A Tow’s conviction was set aside and the company was acquitted.</w:t>
      </w:r>
    </w:p>
    <w:p w14:paraId="42BDCEEA" w14:textId="77777777" w:rsidR="00F21CE3" w:rsidRDefault="00B95AE1" w:rsidP="00E56436">
      <w:pPr>
        <w:pStyle w:val="SWAHeading3"/>
      </w:pPr>
      <w:r w:rsidRPr="00B95AE1">
        <w:t>Prime Marble &amp; Granite Pty Ltd v SafeWork NSW [2024] NSWCCA 105</w:t>
      </w:r>
    </w:p>
    <w:p w14:paraId="3D2B143C" w14:textId="639769AC" w:rsidR="00B95AE1" w:rsidRPr="00B95AE1" w:rsidRDefault="00B95AE1" w:rsidP="002F3594">
      <w:pPr>
        <w:pStyle w:val="Paragraph"/>
        <w:rPr>
          <w:rFonts w:ascii="Aptos" w:hAnsi="Aptos"/>
          <w:szCs w:val="22"/>
        </w:rPr>
      </w:pPr>
      <w:r w:rsidRPr="00B95AE1">
        <w:rPr>
          <w:rFonts w:ascii="Aptos" w:hAnsi="Aptos"/>
        </w:rPr>
        <w:t xml:space="preserve">In </w:t>
      </w:r>
      <w:r w:rsidRPr="000F1DE6">
        <w:t xml:space="preserve">this case, the Court of Criminal Appeal heard an appeal from the District Court’s decision which allowed a prosecution to proceed against Prime Marble for the deaths of </w:t>
      </w:r>
      <w:r>
        <w:t xml:space="preserve">2 </w:t>
      </w:r>
      <w:r w:rsidRPr="000F1DE6">
        <w:t xml:space="preserve">workers who were exposed to unsafe levels of respirable crystalline silica between 2017 and 2018. The prosecution against Prime Marble commenced in March 2023, less than </w:t>
      </w:r>
      <w:r>
        <w:t xml:space="preserve">2 </w:t>
      </w:r>
      <w:r w:rsidRPr="000F1DE6">
        <w:t xml:space="preserve">years after SafeWork NSW became aware of the workers’ deaths in early 2021. After the proceedings against Prime Marble commenced in 2023, Prime Marble successfully had the prosecutions dismissed by the Court of Criminal Appeal on the basis that </w:t>
      </w:r>
      <w:r w:rsidRPr="000E02F0">
        <w:t>SafeWork NSW became</w:t>
      </w:r>
      <w:r w:rsidRPr="000F1DE6">
        <w:t xml:space="preserve"> aware of the offence in (at least) 2018 and so were statute barred by s</w:t>
      </w:r>
      <w:r w:rsidRPr="000F1DE6">
        <w:rPr>
          <w:szCs w:val="22"/>
        </w:rPr>
        <w:t>ection</w:t>
      </w:r>
      <w:r>
        <w:rPr>
          <w:szCs w:val="22"/>
        </w:rPr>
        <w:t> </w:t>
      </w:r>
      <w:r w:rsidRPr="000F1DE6">
        <w:rPr>
          <w:szCs w:val="22"/>
        </w:rPr>
        <w:t xml:space="preserve">232(1)(a) of the NSW WHS Act, which provides that a prosecution cannot be commenced more than </w:t>
      </w:r>
      <w:r>
        <w:rPr>
          <w:szCs w:val="22"/>
        </w:rPr>
        <w:t xml:space="preserve">2 </w:t>
      </w:r>
      <w:r w:rsidRPr="000F1DE6">
        <w:rPr>
          <w:szCs w:val="22"/>
        </w:rPr>
        <w:t>years after the offence first comes to the notice of the regulator. The Court found that an offence first comes to the regulator’s notice when it has sufficient information to reasonably believe that the offence has been committed. The Court also found that it is not necessary for the regulator to know the identity of any particular worker at risk of serious illness because of a breach of the duty. Instead, the regulator must have material or information capable of establishing objectively a reasonable belief that all elements of the offence could be established. In the Court’s view, the regulator had that information following its visits in 2017 and 2018.</w:t>
      </w:r>
    </w:p>
    <w:p w14:paraId="38B415CB" w14:textId="77777777" w:rsidR="00B95AE1" w:rsidRPr="00B95AE1" w:rsidRDefault="00B95AE1" w:rsidP="00E56436">
      <w:pPr>
        <w:pStyle w:val="SWAHeading3"/>
        <w:rPr>
          <w:rFonts w:ascii="Aptos" w:hAnsi="Aptos"/>
          <w:b/>
          <w:color w:val="2B0A99"/>
        </w:rPr>
      </w:pPr>
      <w:r w:rsidRPr="00B95AE1">
        <w:t>Chevron Australia Pty Ltd v The Maritime Union of Australia (No 2) [2016] FCA 768</w:t>
      </w:r>
    </w:p>
    <w:p w14:paraId="6FB4D7F9" w14:textId="6E85C2ED" w:rsidR="000D26F7" w:rsidRDefault="00B95AE1" w:rsidP="002F3594">
      <w:pPr>
        <w:pStyle w:val="Paragraph"/>
        <w:rPr>
          <w:szCs w:val="22"/>
        </w:rPr>
      </w:pPr>
      <w:r w:rsidRPr="00B95AE1">
        <w:rPr>
          <w:rFonts w:ascii="Aptos" w:hAnsi="Aptos" w:cs="Arial"/>
        </w:rPr>
        <w:t xml:space="preserve">This </w:t>
      </w:r>
      <w:r w:rsidRPr="000F1DE6">
        <w:t>Federal Court case concerned unprotected industrial action organised by the Maritime Union of Australia during the term of an enterprise agreement covering stevedoring work associated with Chevron’s Gorgon Liquefied Natural Gas project. In June 2012, union members employed by Patrick Projects Pty Ltd delayed work citing safety concerns. The Court accepted evidence showing the action was not authorised by the employer and was not based on a reasonable concern about imminent safety risks. The Court dismissed proceedings against the individual employees but declared that the Maritime Union of Australia contravened s</w:t>
      </w:r>
      <w:r w:rsidRPr="000F1DE6">
        <w:rPr>
          <w:szCs w:val="22"/>
        </w:rPr>
        <w:t>ection</w:t>
      </w:r>
      <w:r w:rsidRPr="000F1DE6">
        <w:rPr>
          <w:rFonts w:cs="Arial"/>
          <w:szCs w:val="22"/>
        </w:rPr>
        <w:t> </w:t>
      </w:r>
      <w:r w:rsidRPr="000F1DE6">
        <w:rPr>
          <w:szCs w:val="22"/>
        </w:rPr>
        <w:t>417 of the FW Act by organising the unprotected industrial action, finding that the asserted safety issues were a pretext for a broader industrial campaign against Chevron’s use of foreign labour.</w:t>
      </w:r>
    </w:p>
    <w:p w14:paraId="1C93E666" w14:textId="77777777" w:rsidR="000D26F7" w:rsidRDefault="000D26F7">
      <w:pPr>
        <w:spacing w:after="200" w:line="276" w:lineRule="auto"/>
        <w:contextualSpacing w:val="0"/>
        <w:rPr>
          <w:rFonts w:asciiTheme="minorHAnsi" w:eastAsia="Times New Roman" w:hAnsiTheme="minorHAnsi"/>
          <w:szCs w:val="22"/>
          <w:lang w:eastAsia="en-AU"/>
        </w:rPr>
      </w:pPr>
      <w:r>
        <w:rPr>
          <w:szCs w:val="22"/>
        </w:rPr>
        <w:br w:type="page"/>
      </w:r>
    </w:p>
    <w:p w14:paraId="07CE5363" w14:textId="77777777" w:rsidR="00B95AE1" w:rsidRPr="005B74AD" w:rsidRDefault="00B95AE1" w:rsidP="00E56436">
      <w:pPr>
        <w:pStyle w:val="SWAHeading3"/>
      </w:pPr>
      <w:r w:rsidRPr="00B95AE1">
        <w:lastRenderedPageBreak/>
        <w:t>Australian Building and Construction Commissioner v Hol</w:t>
      </w:r>
      <w:r w:rsidRPr="005B74AD">
        <w:t>l [2021] FCA 1480 (The Wheeler Cranes Case)</w:t>
      </w:r>
    </w:p>
    <w:p w14:paraId="1161AE0C" w14:textId="4F011AF6" w:rsidR="00B95AE1" w:rsidRPr="00B95AE1" w:rsidRDefault="00B95AE1" w:rsidP="002F3594">
      <w:pPr>
        <w:pStyle w:val="Paragraph"/>
        <w:rPr>
          <w:rFonts w:ascii="Aptos" w:hAnsi="Aptos" w:cs="Arial"/>
        </w:rPr>
      </w:pPr>
      <w:r w:rsidRPr="00B95AE1">
        <w:rPr>
          <w:rFonts w:ascii="Aptos" w:hAnsi="Aptos" w:cs="Arial"/>
        </w:rPr>
        <w:t xml:space="preserve">This </w:t>
      </w:r>
      <w:r w:rsidRPr="000F1DE6">
        <w:t xml:space="preserve">Federal Court case concerned an unlawful industrial campaign by the </w:t>
      </w:r>
      <w:r w:rsidRPr="00026306">
        <w:t>Construction, Forestry, Maritime, Mining and Energy Union</w:t>
      </w:r>
      <w:r>
        <w:t xml:space="preserve"> </w:t>
      </w:r>
      <w:r w:rsidRPr="000F1DE6">
        <w:t xml:space="preserve">and </w:t>
      </w:r>
      <w:r>
        <w:t xml:space="preserve">2 </w:t>
      </w:r>
      <w:r w:rsidRPr="000F1DE6">
        <w:t>union officials directed at Wheeler Cranes</w:t>
      </w:r>
      <w:r>
        <w:t xml:space="preserve"> </w:t>
      </w:r>
      <w:r w:rsidR="000F402B">
        <w:rPr>
          <w:rFonts w:ascii="Symbol" w:eastAsia="Symbol" w:hAnsi="Symbol" w:cs="Symbol"/>
        </w:rPr>
        <w:t>-</w:t>
      </w:r>
      <w:r>
        <w:t xml:space="preserve"> </w:t>
      </w:r>
      <w:r w:rsidRPr="000F1DE6">
        <w:t>a company that did not have an enterprise agreement with the union. The union organised protests and site actions against Wheeler Cranes with the intention of pressuring principals not to engage the company. The Federal Court found that the conduct was intended to coerce third parties in contravention of the FW</w:t>
      </w:r>
      <w:r w:rsidR="000F402B">
        <w:t> </w:t>
      </w:r>
      <w:r w:rsidRPr="000F1DE6">
        <w:t xml:space="preserve">Act and the </w:t>
      </w:r>
      <w:r w:rsidRPr="00673C88">
        <w:rPr>
          <w:i/>
        </w:rPr>
        <w:t>Building and Construction Industry (Improving Productivity) Act 2016</w:t>
      </w:r>
      <w:r w:rsidRPr="000F1DE6">
        <w:t xml:space="preserve"> (Cth). Significant penalties were imposed on the union and officials involved.</w:t>
      </w:r>
    </w:p>
    <w:p w14:paraId="2B4D4619" w14:textId="77777777" w:rsidR="00B95AE1" w:rsidRPr="00745977" w:rsidRDefault="00B95AE1" w:rsidP="00E56436">
      <w:pPr>
        <w:pStyle w:val="SWAHeading3"/>
        <w:rPr>
          <w:rFonts w:ascii="Aptos" w:hAnsi="Aptos"/>
          <w:b/>
          <w:color w:val="0E2841"/>
        </w:rPr>
      </w:pPr>
      <w:r w:rsidRPr="00B95AE1">
        <w:t>Australian Building and Construction Commissioner v Construction, Forestry, Maritime, Mining and Energy Union (No 2) [2022] FCA 19 (Kiama Aged Care Centre Case)</w:t>
      </w:r>
    </w:p>
    <w:p w14:paraId="4E86EF65" w14:textId="173B45B4" w:rsidR="00B95AE1" w:rsidRPr="00F47D47" w:rsidRDefault="00B95AE1" w:rsidP="002F3594">
      <w:pPr>
        <w:pStyle w:val="Paragraph"/>
        <w:rPr>
          <w:rFonts w:ascii="Aptos" w:hAnsi="Aptos" w:cs="Arial"/>
          <w:szCs w:val="22"/>
        </w:rPr>
      </w:pPr>
      <w:r w:rsidRPr="00B95AE1">
        <w:rPr>
          <w:rFonts w:ascii="Aptos" w:hAnsi="Aptos" w:cs="Arial"/>
        </w:rPr>
        <w:t xml:space="preserve">This </w:t>
      </w:r>
      <w:r w:rsidRPr="000F1DE6">
        <w:t xml:space="preserve">Federal Court case concerned contraventions of right of entry provisions by CFMMEU officials during construction works at the Kiama Aged Care Centre in November 2018. This involved a union organiser interfering and delaying concrete works and </w:t>
      </w:r>
      <w:r>
        <w:t xml:space="preserve">2 </w:t>
      </w:r>
      <w:r w:rsidRPr="000F1DE6">
        <w:t>union officials entering the site without complying with reasonable site safety requirements. The Federal Court found that the conduct exceeded the officials’ authority and unlawfully interfered with work activities. Significant penalties were imposed on the union and the officials</w:t>
      </w:r>
      <w:r w:rsidRPr="00F47D47">
        <w:t>.</w:t>
      </w:r>
    </w:p>
    <w:p w14:paraId="52A4B40C" w14:textId="77777777" w:rsidR="00F21CE3" w:rsidRDefault="00B95AE1" w:rsidP="00E56436">
      <w:pPr>
        <w:pStyle w:val="SWAHeading3"/>
      </w:pPr>
      <w:r w:rsidRPr="00B95AE1">
        <w:t>R v Brisbane Auto Recycling Pty Ltd &amp; Ors [2020] QDC 113</w:t>
      </w:r>
    </w:p>
    <w:p w14:paraId="31AB5681" w14:textId="06B7C246" w:rsidR="00B95AE1" w:rsidRPr="00B95AE1" w:rsidRDefault="00B95AE1" w:rsidP="002F3594">
      <w:pPr>
        <w:pStyle w:val="Paragraph"/>
        <w:rPr>
          <w:rFonts w:ascii="Aptos" w:hAnsi="Aptos" w:cs="Arial"/>
          <w:szCs w:val="22"/>
        </w:rPr>
      </w:pPr>
      <w:r w:rsidRPr="00B95AE1">
        <w:rPr>
          <w:rFonts w:ascii="Aptos" w:hAnsi="Aptos" w:cs="Arial"/>
        </w:rPr>
        <w:t xml:space="preserve">This </w:t>
      </w:r>
      <w:r w:rsidRPr="000F1DE6">
        <w:t xml:space="preserve">case was the first industrial manslaughter sentence handed down in Queensland. It involves the death of a worker at an auto recycling yard in 2019. Both the corporate entity and its </w:t>
      </w:r>
      <w:r>
        <w:t xml:space="preserve">2 </w:t>
      </w:r>
      <w:r w:rsidRPr="000F1DE6">
        <w:t>directors were prosecuted for the fatality and pleaded guilty to offences. The company, charged as the PCBU, pleaded guilty to one charge of industrial manslaughter contrary to s</w:t>
      </w:r>
      <w:r w:rsidRPr="000F1DE6">
        <w:rPr>
          <w:szCs w:val="22"/>
        </w:rPr>
        <w:t xml:space="preserve">ection 34C of the Queensland WHS Act. The company was fined $3 million. The company’s directors both pleaded guilty to one charge of reckless conduct – </w:t>
      </w:r>
      <w:r>
        <w:rPr>
          <w:szCs w:val="22"/>
        </w:rPr>
        <w:t>C</w:t>
      </w:r>
      <w:r w:rsidRPr="000F1DE6">
        <w:rPr>
          <w:szCs w:val="22"/>
        </w:rPr>
        <w:t>ategory 1 in contravention of section 31. Both were sentenced to 10 months</w:t>
      </w:r>
      <w:r>
        <w:rPr>
          <w:szCs w:val="22"/>
        </w:rPr>
        <w:t>’</w:t>
      </w:r>
      <w:r w:rsidRPr="000F1DE6">
        <w:rPr>
          <w:szCs w:val="22"/>
        </w:rPr>
        <w:t xml:space="preserve"> imprisonment.</w:t>
      </w:r>
    </w:p>
    <w:p w14:paraId="15225E8B" w14:textId="77777777" w:rsidR="00B95AE1" w:rsidRPr="00B95AE1" w:rsidRDefault="00B95AE1" w:rsidP="00E56436">
      <w:pPr>
        <w:pStyle w:val="SWAHeading3"/>
        <w:rPr>
          <w:rFonts w:ascii="Aptos" w:hAnsi="Aptos"/>
          <w:b/>
          <w:color w:val="2B0A99"/>
        </w:rPr>
      </w:pPr>
      <w:r w:rsidRPr="00B95AE1">
        <w:t>R v Jeffrey Owen [2022] QDCSR 168</w:t>
      </w:r>
    </w:p>
    <w:p w14:paraId="6291BF81" w14:textId="6E3CB56D" w:rsidR="000D26F7" w:rsidRDefault="00B95AE1" w:rsidP="002F3594">
      <w:pPr>
        <w:pStyle w:val="Paragraph"/>
      </w:pPr>
      <w:r w:rsidRPr="000F1DE6">
        <w:t xml:space="preserve">This case involved the first conviction of an individual for industrial manslaughter in Queensland. The defendant operated a business involving the repair and maintenance of electrical items. While the defendant was using a forklift to move a generator, the generator fell and landed on another worker, resulting in his death. The defendant’s conduct was found to be negligent and caused the death of the worker, and </w:t>
      </w:r>
      <w:r>
        <w:t xml:space="preserve">the defendant </w:t>
      </w:r>
      <w:r w:rsidRPr="000F1DE6">
        <w:t>was convicted for an offence of industrial manslaughter, contrary to section</w:t>
      </w:r>
      <w:r>
        <w:t> </w:t>
      </w:r>
      <w:r w:rsidRPr="000F1DE6">
        <w:t>34C of the Queensland WHS Act. The defendant was sentenced to 5 years</w:t>
      </w:r>
      <w:r>
        <w:t>’</w:t>
      </w:r>
      <w:r w:rsidRPr="000F1DE6">
        <w:t xml:space="preserve"> imprisonment.</w:t>
      </w:r>
    </w:p>
    <w:p w14:paraId="2A0903D8" w14:textId="77777777" w:rsidR="000D26F7" w:rsidRDefault="000D26F7">
      <w:pPr>
        <w:spacing w:after="200" w:line="276" w:lineRule="auto"/>
        <w:contextualSpacing w:val="0"/>
        <w:rPr>
          <w:rFonts w:asciiTheme="minorHAnsi" w:eastAsia="Times New Roman" w:hAnsiTheme="minorHAnsi"/>
          <w:lang w:eastAsia="en-AU"/>
        </w:rPr>
      </w:pPr>
      <w:r>
        <w:br w:type="page"/>
      </w:r>
    </w:p>
    <w:p w14:paraId="0C6C9CDF" w14:textId="77777777" w:rsidR="00B95AE1" w:rsidRPr="00B95AE1" w:rsidRDefault="00B95AE1" w:rsidP="00E56436">
      <w:pPr>
        <w:pStyle w:val="SWAHeading3"/>
        <w:rPr>
          <w:rFonts w:ascii="Aptos" w:hAnsi="Aptos"/>
          <w:b/>
          <w:color w:val="2B0A99"/>
        </w:rPr>
      </w:pPr>
      <w:r w:rsidRPr="00B95AE1">
        <w:lastRenderedPageBreak/>
        <w:t>Director of Public Prosecutions v LH Holding Management Pty Ltd (2025) 77 VR 377</w:t>
      </w:r>
    </w:p>
    <w:p w14:paraId="3DCAC4CB" w14:textId="77777777" w:rsidR="00B95AE1" w:rsidRPr="000F1DE6" w:rsidRDefault="00B95AE1" w:rsidP="009F519D">
      <w:pPr>
        <w:pStyle w:val="Paragraph"/>
      </w:pPr>
      <w:r w:rsidRPr="00B95AE1">
        <w:rPr>
          <w:rFonts w:ascii="Aptos" w:hAnsi="Aptos" w:cs="Arial"/>
        </w:rPr>
        <w:t xml:space="preserve">This </w:t>
      </w:r>
      <w:r w:rsidRPr="000F1DE6">
        <w:t>case was Victoria’s first successful prosecution under workplace manslaughter laws, following the death of a worker who was fatally crushed by a forklift in 2021. LH Holding Management Pty Ltd pleaded guilty to a single charge of workplace manslaughter, involving negligent conduct that breached a duty owed to another person and caused their death. The company’s sole director was convicted after pleading guilty to a single charge of being an officer of a company that committed workplace manslaughter. On appeal, Victoria’s Court of Appeal increased the penalty from $1.3 million to $3</w:t>
      </w:r>
      <w:r>
        <w:t> </w:t>
      </w:r>
      <w:r w:rsidRPr="000F1DE6">
        <w:t>million after the Office of Public Prosecutions argued that the initial fine was manifestly inadequate.</w:t>
      </w:r>
    </w:p>
    <w:p w14:paraId="26EC78EA" w14:textId="77777777" w:rsidR="00B95AE1" w:rsidRPr="00B95AE1" w:rsidRDefault="00B95AE1" w:rsidP="002F3594">
      <w:pPr>
        <w:pStyle w:val="Paragraph"/>
        <w:rPr>
          <w:rFonts w:ascii="Aptos" w:hAnsi="Aptos" w:cs="Arial"/>
        </w:rPr>
      </w:pPr>
      <w:r w:rsidRPr="000F1DE6">
        <w:t>On appeal, Victoria’s Court of Appeal increased the penalty from $1.3 million to $3 million after the Office of Public Prosecutions argued that the initial fine was manifestly inadequate.</w:t>
      </w:r>
    </w:p>
    <w:p w14:paraId="3FB408A2" w14:textId="77777777" w:rsidR="00B95AE1" w:rsidRPr="00B95AE1" w:rsidRDefault="00B95AE1" w:rsidP="00E56436">
      <w:pPr>
        <w:pStyle w:val="SWAHeading3"/>
        <w:rPr>
          <w:rFonts w:ascii="Aptos" w:hAnsi="Aptos"/>
          <w:b/>
          <w:color w:val="2B0A99"/>
        </w:rPr>
      </w:pPr>
      <w:r w:rsidRPr="00B95AE1">
        <w:t>Director of Public Prosecutions v Yarra Valley Park Lane [2024] VCC 1863</w:t>
      </w:r>
    </w:p>
    <w:p w14:paraId="63F27BB0" w14:textId="77777777" w:rsidR="00F21CE3" w:rsidRDefault="00B95AE1" w:rsidP="002F3594">
      <w:pPr>
        <w:pStyle w:val="Paragraph"/>
        <w:rPr>
          <w:rFonts w:ascii="Aptos" w:hAnsi="Aptos" w:cs="Arial"/>
        </w:rPr>
      </w:pPr>
      <w:r w:rsidRPr="00B95AE1">
        <w:rPr>
          <w:rFonts w:ascii="Aptos" w:hAnsi="Aptos" w:cs="Arial"/>
        </w:rPr>
        <w:t xml:space="preserve">Yarra </w:t>
      </w:r>
      <w:r w:rsidRPr="000F1DE6">
        <w:t>Valley Park Lane Holiday Park Pty Ltd was convicted in the County Court of Victoria of a single charge of failing to ensure that the workplace was safe and without risks to health. The case involves the death of a camper who died after a large tree branch fell on his tent overnight, causing fatal head injuries. The jury found it was reasonably practicable for the caravan park to reduce the risk of falling branches by engaging an arborist to complete annual tree assessments and following recommendations. The caravan park was fined $475,000. The court also issued an adverse publicity order requiring the company to publicise the offence, its consequences and the penalty imposed in an industry publication.</w:t>
      </w:r>
    </w:p>
    <w:p w14:paraId="5E6759D6" w14:textId="139C082E" w:rsidR="00B95AE1" w:rsidRPr="00B95AE1" w:rsidRDefault="00B95AE1" w:rsidP="00E56436">
      <w:pPr>
        <w:pStyle w:val="SWAHeading3"/>
        <w:rPr>
          <w:rFonts w:ascii="Aptos" w:hAnsi="Aptos"/>
          <w:b/>
          <w:color w:val="2B0A99"/>
        </w:rPr>
      </w:pPr>
      <w:r w:rsidRPr="00B95AE1">
        <w:t>SafeWork NSW v Calibre Construction Group Pty Ltd [2020] NSWDC 603</w:t>
      </w:r>
    </w:p>
    <w:p w14:paraId="132DD120" w14:textId="77777777" w:rsidR="00F21CE3" w:rsidRDefault="00B95AE1" w:rsidP="002F3594">
      <w:pPr>
        <w:pStyle w:val="Paragraph"/>
        <w:rPr>
          <w:rFonts w:ascii="Aptos" w:hAnsi="Aptos" w:cs="Arial"/>
          <w:szCs w:val="22"/>
        </w:rPr>
      </w:pPr>
      <w:r w:rsidRPr="00B95AE1">
        <w:rPr>
          <w:rFonts w:ascii="Aptos" w:hAnsi="Aptos" w:cs="Arial"/>
        </w:rPr>
        <w:t xml:space="preserve">This </w:t>
      </w:r>
      <w:r w:rsidRPr="000F1DE6">
        <w:t xml:space="preserve">case concerned a breach of a WHS duty arising from the collapse of an unbraced wall which seriously injured a worker on an adjacent site. The offender pleaded guilty to </w:t>
      </w:r>
      <w:r w:rsidRPr="000F1DE6">
        <w:rPr>
          <w:szCs w:val="22"/>
        </w:rPr>
        <w:t>a charge that</w:t>
      </w:r>
      <w:r>
        <w:rPr>
          <w:szCs w:val="22"/>
        </w:rPr>
        <w:t>,</w:t>
      </w:r>
      <w:r w:rsidRPr="000F1DE6">
        <w:rPr>
          <w:szCs w:val="22"/>
        </w:rPr>
        <w:t xml:space="preserve"> as a person who had a health and safety duty under section 19(2) of the NSW WHS Act, it failed to comply with that duty, and thereby exposed a worker to a risk of death or serious injury contrary to section 32. The Court imposed a fine and a training order. The offender was required to arrange and pay for its employees to undertake WHS training, with at least 40% of the training courses to be related to high</w:t>
      </w:r>
      <w:r>
        <w:rPr>
          <w:szCs w:val="22"/>
        </w:rPr>
        <w:t xml:space="preserve"> </w:t>
      </w:r>
      <w:r w:rsidRPr="000F1DE6">
        <w:rPr>
          <w:szCs w:val="22"/>
        </w:rPr>
        <w:t>risk construction work.</w:t>
      </w:r>
    </w:p>
    <w:p w14:paraId="7AEDC63E" w14:textId="68800ADE" w:rsidR="00B95AE1" w:rsidRPr="00B95AE1" w:rsidRDefault="00B95AE1" w:rsidP="00E56436">
      <w:pPr>
        <w:pStyle w:val="SWAHeading3"/>
        <w:rPr>
          <w:rFonts w:ascii="Aptos" w:hAnsi="Aptos"/>
          <w:b/>
          <w:color w:val="2B0A99"/>
        </w:rPr>
      </w:pPr>
      <w:r w:rsidRPr="00B95AE1">
        <w:t>Aaron Guilfoyle v Ardent Leisure Limited [2020] QMC 13</w:t>
      </w:r>
    </w:p>
    <w:p w14:paraId="0EDB3030" w14:textId="77777777" w:rsidR="00B95AE1" w:rsidRPr="00B95AE1" w:rsidRDefault="00B95AE1" w:rsidP="002F3594">
      <w:pPr>
        <w:pStyle w:val="Paragraph"/>
        <w:rPr>
          <w:rFonts w:ascii="Aptos" w:eastAsia="Arial" w:hAnsi="Aptos"/>
        </w:rPr>
      </w:pPr>
      <w:r w:rsidRPr="00B95AE1">
        <w:rPr>
          <w:rFonts w:ascii="Aptos" w:eastAsia="Arial" w:hAnsi="Aptos"/>
        </w:rPr>
        <w:t xml:space="preserve">Ardent </w:t>
      </w:r>
      <w:r w:rsidRPr="000F1DE6">
        <w:rPr>
          <w:rFonts w:eastAsia="Arial"/>
        </w:rPr>
        <w:t xml:space="preserve">Leisure Limited operated the Dreamworld Theme Park on the Gold Coast, where </w:t>
      </w:r>
      <w:r>
        <w:rPr>
          <w:rFonts w:eastAsia="Arial"/>
        </w:rPr>
        <w:t xml:space="preserve">4 </w:t>
      </w:r>
      <w:r w:rsidRPr="000F1DE6">
        <w:rPr>
          <w:rFonts w:eastAsia="Arial"/>
        </w:rPr>
        <w:t xml:space="preserve">guests were fatally injured in 2016 on the Thunder River Rapids Ride. The defendant pleaded guilty and was sentenced in the Southport Magistrates Court in relation to </w:t>
      </w:r>
      <w:r>
        <w:rPr>
          <w:rFonts w:eastAsia="Arial"/>
        </w:rPr>
        <w:t xml:space="preserve">3 </w:t>
      </w:r>
      <w:r w:rsidRPr="000F1DE6">
        <w:rPr>
          <w:rFonts w:eastAsia="Arial"/>
        </w:rPr>
        <w:t>charges pursuant to section 32 of the Queensland WHS Act, each concerning a failure to comply with its primary safety duty under section</w:t>
      </w:r>
      <w:r>
        <w:rPr>
          <w:rFonts w:eastAsia="Arial"/>
        </w:rPr>
        <w:t> </w:t>
      </w:r>
      <w:r w:rsidRPr="000F1DE6">
        <w:rPr>
          <w:rFonts w:eastAsia="Arial"/>
        </w:rPr>
        <w:t>19(2) of the Act. The defendant failed to ensure, so far as is reasonably practicable, the provision and maintenance of safe systems of work, and the provision of training, instruction and supervision necessary to protect all persons against risks to their health and safety arising from work carried out as part of its business</w:t>
      </w:r>
      <w:r>
        <w:rPr>
          <w:rFonts w:eastAsia="Arial"/>
        </w:rPr>
        <w:t>;</w:t>
      </w:r>
      <w:r w:rsidRPr="000F1DE6">
        <w:rPr>
          <w:rFonts w:eastAsia="Arial"/>
        </w:rPr>
        <w:t xml:space="preserve"> and exposed persons to a risk of serious injury or death. The defendant was convicted and fined $3.6 million.</w:t>
      </w:r>
    </w:p>
    <w:p w14:paraId="70E7B55E" w14:textId="77777777" w:rsidR="008B5AD0" w:rsidRDefault="008B5AD0" w:rsidP="000D26F7">
      <w:pPr>
        <w:pStyle w:val="Paragraph"/>
        <w:sectPr w:rsidR="008B5AD0" w:rsidSect="00DF1707">
          <w:headerReference w:type="default" r:id="rId136"/>
          <w:pgSz w:w="11906" w:h="16838" w:code="9"/>
          <w:pgMar w:top="1440" w:right="1077" w:bottom="1440" w:left="1077" w:header="709" w:footer="709" w:gutter="0"/>
          <w:cols w:space="708"/>
          <w:titlePg/>
          <w:docGrid w:linePitch="360"/>
        </w:sectPr>
      </w:pPr>
    </w:p>
    <w:p w14:paraId="327E8A39" w14:textId="1B985F88" w:rsidR="00917336" w:rsidRPr="00917336" w:rsidRDefault="00917336" w:rsidP="008F36E0">
      <w:pPr>
        <w:pStyle w:val="SWAHeading1"/>
        <w:numPr>
          <w:ilvl w:val="0"/>
          <w:numId w:val="0"/>
        </w:numPr>
      </w:pPr>
      <w:bookmarkStart w:id="169" w:name="_Toc234853718"/>
      <w:bookmarkStart w:id="170" w:name="_Toc235103738"/>
      <w:bookmarkStart w:id="171" w:name="_Toc239845183"/>
      <w:r w:rsidRPr="00917336">
        <w:lastRenderedPageBreak/>
        <w:t>Appendix</w:t>
      </w:r>
      <w:r w:rsidR="001328BF">
        <w:t xml:space="preserve"> </w:t>
      </w:r>
      <w:r w:rsidRPr="00917336">
        <w:t>L:</w:t>
      </w:r>
      <w:r w:rsidR="00F165DE">
        <w:t xml:space="preserve"> </w:t>
      </w:r>
      <w:r w:rsidR="000F1819">
        <w:t>Commencing a prosecution</w:t>
      </w:r>
      <w:bookmarkEnd w:id="169"/>
      <w:bookmarkEnd w:id="170"/>
      <w:bookmarkEnd w:id="171"/>
      <w:r w:rsidR="00304F1A">
        <w:t xml:space="preserve"> </w:t>
      </w:r>
    </w:p>
    <w:tbl>
      <w:tblPr>
        <w:tblStyle w:val="Style9"/>
        <w:tblW w:w="0" w:type="auto"/>
        <w:tblLook w:val="04A0" w:firstRow="1" w:lastRow="0" w:firstColumn="1" w:lastColumn="0" w:noHBand="0" w:noVBand="1"/>
      </w:tblPr>
      <w:tblGrid>
        <w:gridCol w:w="1817"/>
        <w:gridCol w:w="7935"/>
      </w:tblGrid>
      <w:tr w:rsidR="00917336" w:rsidRPr="00917336" w14:paraId="0A96E9EB" w14:textId="77777777" w:rsidTr="006D0415">
        <w:tc>
          <w:tcPr>
            <w:tcW w:w="1749" w:type="dxa"/>
            <w:tcBorders>
              <w:top w:val="nil"/>
              <w:bottom w:val="single" w:sz="18" w:space="0" w:color="CBBDFA" w:themeColor="text2" w:themeTint="33"/>
            </w:tcBorders>
          </w:tcPr>
          <w:p w14:paraId="3B897D8E" w14:textId="77777777" w:rsidR="00917336" w:rsidRPr="00917336" w:rsidRDefault="00917336" w:rsidP="00917336">
            <w:pPr>
              <w:spacing w:line="240" w:lineRule="auto"/>
              <w:rPr>
                <w:rFonts w:ascii="Aptos" w:eastAsia="Aptos" w:hAnsi="Aptos" w:cs="Aptos"/>
                <w:b/>
                <w:szCs w:val="22"/>
              </w:rPr>
            </w:pPr>
            <w:r w:rsidRPr="00917336">
              <w:rPr>
                <w:rFonts w:ascii="Aptos" w:eastAsia="Aptos" w:hAnsi="Aptos" w:cs="Aptos"/>
                <w:b/>
                <w:bCs/>
                <w:szCs w:val="22"/>
              </w:rPr>
              <w:t>Jurisdiction</w:t>
            </w:r>
          </w:p>
        </w:tc>
        <w:tc>
          <w:tcPr>
            <w:tcW w:w="7993" w:type="dxa"/>
            <w:tcBorders>
              <w:top w:val="nil"/>
              <w:bottom w:val="single" w:sz="18" w:space="0" w:color="CBBDFA" w:themeColor="text2" w:themeTint="33"/>
            </w:tcBorders>
          </w:tcPr>
          <w:p w14:paraId="24A28A0D" w14:textId="77777777" w:rsidR="00917336" w:rsidRPr="00917336" w:rsidRDefault="00917336" w:rsidP="00917336">
            <w:pPr>
              <w:spacing w:before="120" w:line="240" w:lineRule="auto"/>
              <w:rPr>
                <w:rFonts w:ascii="Aptos" w:eastAsia="Aptos" w:hAnsi="Aptos" w:cs="Aptos"/>
                <w:b/>
                <w:szCs w:val="22"/>
              </w:rPr>
            </w:pPr>
            <w:r w:rsidRPr="00917336">
              <w:rPr>
                <w:rFonts w:ascii="Aptos" w:eastAsia="Aptos" w:hAnsi="Aptos" w:cs="Aptos"/>
                <w:b/>
                <w:bCs/>
                <w:szCs w:val="22"/>
              </w:rPr>
              <w:t>Who can commence a prosecution for an offence against the Act?</w:t>
            </w:r>
          </w:p>
        </w:tc>
      </w:tr>
      <w:tr w:rsidR="00917336" w:rsidRPr="00917336" w14:paraId="09B4F7D8" w14:textId="77777777" w:rsidTr="006D0415">
        <w:tc>
          <w:tcPr>
            <w:tcW w:w="1749" w:type="dxa"/>
            <w:tcBorders>
              <w:top w:val="single" w:sz="18" w:space="0" w:color="CBBDFA" w:themeColor="text2" w:themeTint="33"/>
            </w:tcBorders>
          </w:tcPr>
          <w:p w14:paraId="5A98A400" w14:textId="77777777" w:rsidR="00917336" w:rsidRPr="00917336" w:rsidRDefault="00917336" w:rsidP="00917336">
            <w:pPr>
              <w:spacing w:line="240" w:lineRule="auto"/>
              <w:rPr>
                <w:rFonts w:ascii="Aptos" w:eastAsia="Aptos" w:hAnsi="Aptos" w:cs="Aptos"/>
                <w:szCs w:val="22"/>
              </w:rPr>
            </w:pPr>
            <w:r w:rsidRPr="00917336">
              <w:rPr>
                <w:rFonts w:ascii="Aptos" w:eastAsia="Aptos" w:hAnsi="Aptos" w:cs="Aptos"/>
                <w:szCs w:val="22"/>
              </w:rPr>
              <w:t>Model</w:t>
            </w:r>
          </w:p>
        </w:tc>
        <w:tc>
          <w:tcPr>
            <w:tcW w:w="7993" w:type="dxa"/>
            <w:tcBorders>
              <w:top w:val="single" w:sz="18" w:space="0" w:color="CBBDFA" w:themeColor="text2" w:themeTint="33"/>
            </w:tcBorders>
          </w:tcPr>
          <w:p w14:paraId="2CD886B7" w14:textId="77777777" w:rsidR="00917336" w:rsidRPr="00917336" w:rsidRDefault="00917336" w:rsidP="00917336">
            <w:pPr>
              <w:spacing w:line="240" w:lineRule="auto"/>
              <w:rPr>
                <w:rFonts w:ascii="Aptos" w:eastAsia="Aptos" w:hAnsi="Aptos" w:cs="Aptos"/>
                <w:szCs w:val="22"/>
              </w:rPr>
            </w:pPr>
            <w:r w:rsidRPr="00917336">
              <w:rPr>
                <w:rFonts w:ascii="Aptos" w:eastAsia="Aptos" w:hAnsi="Aptos" w:cs="Aptos"/>
                <w:szCs w:val="22"/>
              </w:rPr>
              <w:t>The regulator, an inspector with written authorisation and the DPP (section 230).</w:t>
            </w:r>
          </w:p>
        </w:tc>
      </w:tr>
      <w:tr w:rsidR="00917336" w:rsidRPr="00917336" w14:paraId="382ECABC" w14:textId="77777777" w:rsidTr="000D26F7">
        <w:tc>
          <w:tcPr>
            <w:tcW w:w="1749" w:type="dxa"/>
          </w:tcPr>
          <w:p w14:paraId="7E94D961" w14:textId="77777777" w:rsidR="00917336" w:rsidRPr="00917336" w:rsidRDefault="00917336" w:rsidP="00917336">
            <w:pPr>
              <w:spacing w:line="240" w:lineRule="auto"/>
              <w:rPr>
                <w:rFonts w:ascii="Aptos" w:eastAsia="Aptos" w:hAnsi="Aptos" w:cs="Aptos"/>
                <w:szCs w:val="22"/>
              </w:rPr>
            </w:pPr>
            <w:r w:rsidRPr="00917336">
              <w:rPr>
                <w:rFonts w:ascii="Aptos" w:eastAsia="Aptos" w:hAnsi="Aptos" w:cs="Aptos"/>
                <w:szCs w:val="22"/>
              </w:rPr>
              <w:t>ACT</w:t>
            </w:r>
          </w:p>
        </w:tc>
        <w:tc>
          <w:tcPr>
            <w:tcW w:w="7993" w:type="dxa"/>
          </w:tcPr>
          <w:p w14:paraId="2F645C1F" w14:textId="77777777" w:rsidR="00917336" w:rsidRPr="00917336" w:rsidRDefault="00917336" w:rsidP="00917336">
            <w:pPr>
              <w:spacing w:line="240" w:lineRule="auto"/>
              <w:rPr>
                <w:rFonts w:ascii="Aptos" w:eastAsia="Aptos" w:hAnsi="Aptos" w:cs="Aptos"/>
                <w:szCs w:val="22"/>
              </w:rPr>
            </w:pPr>
            <w:r w:rsidRPr="00917336">
              <w:rPr>
                <w:rFonts w:ascii="Aptos" w:eastAsia="Aptos" w:hAnsi="Aptos" w:cs="Aptos"/>
                <w:szCs w:val="22"/>
              </w:rPr>
              <w:t>The regulator, an inspector with written authorisation and the DPP (section 230).</w:t>
            </w:r>
          </w:p>
        </w:tc>
      </w:tr>
      <w:tr w:rsidR="00917336" w:rsidRPr="00917336" w14:paraId="046ACB97" w14:textId="77777777" w:rsidTr="000D26F7">
        <w:tc>
          <w:tcPr>
            <w:tcW w:w="1749" w:type="dxa"/>
          </w:tcPr>
          <w:p w14:paraId="76244DFC" w14:textId="77777777" w:rsidR="00917336" w:rsidRPr="00917336" w:rsidRDefault="00917336" w:rsidP="00917336">
            <w:pPr>
              <w:spacing w:line="240" w:lineRule="auto"/>
              <w:rPr>
                <w:rFonts w:ascii="Aptos" w:eastAsia="Aptos" w:hAnsi="Aptos" w:cs="Aptos"/>
                <w:szCs w:val="22"/>
              </w:rPr>
            </w:pPr>
            <w:r w:rsidRPr="00917336">
              <w:rPr>
                <w:rFonts w:ascii="Aptos" w:eastAsia="Aptos" w:hAnsi="Aptos" w:cs="Aptos"/>
                <w:szCs w:val="22"/>
              </w:rPr>
              <w:t>Commonwealth</w:t>
            </w:r>
          </w:p>
        </w:tc>
        <w:tc>
          <w:tcPr>
            <w:tcW w:w="7993" w:type="dxa"/>
          </w:tcPr>
          <w:p w14:paraId="69D0A585" w14:textId="77777777" w:rsidR="00917336" w:rsidRPr="00917336" w:rsidRDefault="00917336" w:rsidP="00917336">
            <w:pPr>
              <w:spacing w:line="240" w:lineRule="auto"/>
              <w:rPr>
                <w:rFonts w:ascii="Aptos" w:eastAsia="Aptos" w:hAnsi="Aptos" w:cs="Aptos"/>
                <w:szCs w:val="22"/>
              </w:rPr>
            </w:pPr>
            <w:r w:rsidRPr="00917336">
              <w:rPr>
                <w:rFonts w:ascii="Aptos" w:eastAsia="Aptos" w:hAnsi="Aptos" w:cs="Aptos"/>
                <w:szCs w:val="22"/>
              </w:rPr>
              <w:t>The regulator, an inspector with written authorisation and the DPP (section 230).</w:t>
            </w:r>
          </w:p>
        </w:tc>
      </w:tr>
      <w:tr w:rsidR="00917336" w:rsidRPr="00917336" w14:paraId="74372B42" w14:textId="77777777" w:rsidTr="000D26F7">
        <w:tc>
          <w:tcPr>
            <w:tcW w:w="1749" w:type="dxa"/>
          </w:tcPr>
          <w:p w14:paraId="10112564" w14:textId="77777777" w:rsidR="00917336" w:rsidRPr="00917336" w:rsidRDefault="00917336" w:rsidP="00917336">
            <w:pPr>
              <w:spacing w:line="240" w:lineRule="auto"/>
              <w:rPr>
                <w:rFonts w:ascii="Aptos" w:eastAsia="Aptos" w:hAnsi="Aptos" w:cs="Aptos"/>
                <w:szCs w:val="22"/>
              </w:rPr>
            </w:pPr>
            <w:r w:rsidRPr="00917336">
              <w:rPr>
                <w:rFonts w:ascii="Aptos" w:eastAsia="Aptos" w:hAnsi="Aptos" w:cs="Aptos"/>
                <w:szCs w:val="22"/>
              </w:rPr>
              <w:t>NSW</w:t>
            </w:r>
          </w:p>
        </w:tc>
        <w:tc>
          <w:tcPr>
            <w:tcW w:w="7993" w:type="dxa"/>
          </w:tcPr>
          <w:p w14:paraId="7CD43661" w14:textId="77777777" w:rsidR="00917336" w:rsidRPr="00917336" w:rsidRDefault="00917336" w:rsidP="00917336">
            <w:pPr>
              <w:spacing w:line="240" w:lineRule="auto"/>
              <w:rPr>
                <w:rFonts w:ascii="Aptos" w:eastAsia="Aptos" w:hAnsi="Aptos" w:cs="Aptos"/>
                <w:szCs w:val="22"/>
              </w:rPr>
            </w:pPr>
            <w:r w:rsidRPr="00917336">
              <w:rPr>
                <w:rFonts w:ascii="Aptos" w:eastAsia="Aptos" w:hAnsi="Aptos" w:cs="Aptos"/>
                <w:szCs w:val="22"/>
              </w:rPr>
              <w:t xml:space="preserve">The regulator, an inspector with written authorisation and the DPP, a registered organisation that has a member(s) concerned in the matter provided it has consulted with the regulator and the regulator has declined to bring the proceedings (section 230). </w:t>
            </w:r>
          </w:p>
        </w:tc>
      </w:tr>
      <w:tr w:rsidR="00917336" w:rsidRPr="00917336" w14:paraId="04F7F6CE" w14:textId="77777777" w:rsidTr="000D26F7">
        <w:tc>
          <w:tcPr>
            <w:tcW w:w="1749" w:type="dxa"/>
          </w:tcPr>
          <w:p w14:paraId="03838548" w14:textId="77777777" w:rsidR="00917336" w:rsidRPr="00917336" w:rsidRDefault="00917336" w:rsidP="00917336">
            <w:pPr>
              <w:spacing w:line="240" w:lineRule="auto"/>
              <w:rPr>
                <w:rFonts w:ascii="Aptos" w:eastAsia="Aptos" w:hAnsi="Aptos" w:cs="Aptos"/>
                <w:szCs w:val="22"/>
              </w:rPr>
            </w:pPr>
            <w:r w:rsidRPr="00917336">
              <w:rPr>
                <w:rFonts w:ascii="Aptos" w:eastAsia="Aptos" w:hAnsi="Aptos" w:cs="Aptos"/>
                <w:szCs w:val="22"/>
              </w:rPr>
              <w:t>NT</w:t>
            </w:r>
          </w:p>
        </w:tc>
        <w:tc>
          <w:tcPr>
            <w:tcW w:w="7993" w:type="dxa"/>
          </w:tcPr>
          <w:p w14:paraId="679CC9D6" w14:textId="77777777" w:rsidR="00917336" w:rsidRPr="00917336" w:rsidRDefault="00917336" w:rsidP="00917336">
            <w:pPr>
              <w:spacing w:line="240" w:lineRule="auto"/>
              <w:rPr>
                <w:rFonts w:ascii="Aptos" w:eastAsia="Aptos" w:hAnsi="Aptos" w:cs="Aptos"/>
                <w:szCs w:val="22"/>
              </w:rPr>
            </w:pPr>
            <w:r w:rsidRPr="00917336">
              <w:rPr>
                <w:rFonts w:ascii="Aptos" w:eastAsia="Aptos" w:hAnsi="Aptos" w:cs="Aptos"/>
              </w:rPr>
              <w:t>The regulator, an inspector with written authorisation, the secretary of an industrial organisation of employees any member or members of which are concerned in the matter to which the proceedings relate (but only for Category 1 and 2 offences where the regulator has (after referral of the matter to the regulator and DPP under section 231) declined to follow the advice of the DPP to bring the proceedings) and the Attorney-General or DPP (section 230).</w:t>
            </w:r>
            <w:r w:rsidRPr="00917336">
              <w:rPr>
                <w:rFonts w:ascii="Aptos" w:eastAsia="Aptos" w:hAnsi="Aptos" w:cs="Aptos"/>
                <w:vertAlign w:val="superscript"/>
              </w:rPr>
              <w:footnoteReference w:id="778"/>
            </w:r>
          </w:p>
        </w:tc>
      </w:tr>
      <w:tr w:rsidR="00917336" w:rsidRPr="00917336" w14:paraId="7B865756" w14:textId="77777777" w:rsidTr="000D26F7">
        <w:tc>
          <w:tcPr>
            <w:tcW w:w="1749" w:type="dxa"/>
          </w:tcPr>
          <w:p w14:paraId="37C3EB11" w14:textId="77777777" w:rsidR="00917336" w:rsidRPr="00917336" w:rsidRDefault="00917336" w:rsidP="00917336">
            <w:pPr>
              <w:spacing w:line="240" w:lineRule="auto"/>
              <w:rPr>
                <w:rFonts w:ascii="Aptos" w:eastAsia="Aptos" w:hAnsi="Aptos" w:cs="Aptos"/>
                <w:szCs w:val="22"/>
              </w:rPr>
            </w:pPr>
            <w:r w:rsidRPr="00917336">
              <w:rPr>
                <w:rFonts w:ascii="Aptos" w:eastAsia="Aptos" w:hAnsi="Aptos" w:cs="Aptos"/>
                <w:szCs w:val="22"/>
              </w:rPr>
              <w:t>Queensland</w:t>
            </w:r>
          </w:p>
        </w:tc>
        <w:tc>
          <w:tcPr>
            <w:tcW w:w="7993" w:type="dxa"/>
          </w:tcPr>
          <w:p w14:paraId="721DC7C9" w14:textId="77777777" w:rsidR="00917336" w:rsidRPr="00917336" w:rsidRDefault="00917336" w:rsidP="00917336">
            <w:pPr>
              <w:spacing w:line="240" w:lineRule="auto"/>
              <w:rPr>
                <w:rFonts w:ascii="Aptos" w:eastAsia="Aptos" w:hAnsi="Aptos" w:cs="Aptos"/>
                <w:szCs w:val="22"/>
              </w:rPr>
            </w:pPr>
            <w:r w:rsidRPr="00917336">
              <w:rPr>
                <w:rFonts w:ascii="Aptos" w:eastAsia="Aptos" w:hAnsi="Aptos" w:cs="Aptos"/>
                <w:szCs w:val="22"/>
              </w:rPr>
              <w:t>The Work Health and Safety Prosecutor (WHSP), an appropriately qualified and authorised member of the WHSP’s staff, an inspector with written authorisation of the WHSP (for Category 3 offences only) and the DPP (section 230).</w:t>
            </w:r>
          </w:p>
        </w:tc>
      </w:tr>
      <w:tr w:rsidR="00917336" w:rsidRPr="00917336" w14:paraId="2AEF2D74" w14:textId="77777777" w:rsidTr="000D26F7">
        <w:tc>
          <w:tcPr>
            <w:tcW w:w="1749" w:type="dxa"/>
          </w:tcPr>
          <w:p w14:paraId="6BD17F0B" w14:textId="77777777" w:rsidR="00917336" w:rsidRPr="00917336" w:rsidRDefault="00917336" w:rsidP="00917336">
            <w:pPr>
              <w:spacing w:line="240" w:lineRule="auto"/>
              <w:rPr>
                <w:rFonts w:ascii="Aptos" w:eastAsia="Aptos" w:hAnsi="Aptos" w:cs="Aptos"/>
                <w:szCs w:val="22"/>
              </w:rPr>
            </w:pPr>
            <w:r w:rsidRPr="00917336">
              <w:rPr>
                <w:rFonts w:ascii="Aptos" w:eastAsia="Aptos" w:hAnsi="Aptos" w:cs="Aptos"/>
                <w:szCs w:val="22"/>
              </w:rPr>
              <w:t>SA</w:t>
            </w:r>
          </w:p>
        </w:tc>
        <w:tc>
          <w:tcPr>
            <w:tcW w:w="7993" w:type="dxa"/>
          </w:tcPr>
          <w:p w14:paraId="5F03AC20" w14:textId="77777777" w:rsidR="00917336" w:rsidRPr="00917336" w:rsidRDefault="00917336" w:rsidP="00917336">
            <w:pPr>
              <w:spacing w:line="240" w:lineRule="auto"/>
              <w:rPr>
                <w:rFonts w:ascii="Aptos" w:eastAsia="Aptos" w:hAnsi="Aptos" w:cs="Aptos"/>
                <w:szCs w:val="22"/>
              </w:rPr>
            </w:pPr>
            <w:r w:rsidRPr="00917336">
              <w:rPr>
                <w:rFonts w:ascii="Aptos" w:eastAsia="Aptos" w:hAnsi="Aptos" w:cs="Aptos"/>
                <w:szCs w:val="22"/>
              </w:rPr>
              <w:t>The regulator, an inspector with written authorisation and the DPP (section 230).</w:t>
            </w:r>
          </w:p>
        </w:tc>
      </w:tr>
      <w:tr w:rsidR="00917336" w:rsidRPr="00917336" w14:paraId="37C4FB5E" w14:textId="77777777" w:rsidTr="000D26F7">
        <w:tc>
          <w:tcPr>
            <w:tcW w:w="1749" w:type="dxa"/>
          </w:tcPr>
          <w:p w14:paraId="34AF8F36" w14:textId="77777777" w:rsidR="00917336" w:rsidRPr="00917336" w:rsidRDefault="00917336" w:rsidP="00917336">
            <w:pPr>
              <w:spacing w:line="240" w:lineRule="auto"/>
              <w:rPr>
                <w:rFonts w:ascii="Aptos" w:eastAsia="Aptos" w:hAnsi="Aptos" w:cs="Aptos"/>
                <w:szCs w:val="22"/>
              </w:rPr>
            </w:pPr>
            <w:r w:rsidRPr="00917336">
              <w:rPr>
                <w:rFonts w:ascii="Aptos" w:eastAsia="Aptos" w:hAnsi="Aptos" w:cs="Aptos"/>
                <w:szCs w:val="22"/>
              </w:rPr>
              <w:t>Tasmania</w:t>
            </w:r>
          </w:p>
        </w:tc>
        <w:tc>
          <w:tcPr>
            <w:tcW w:w="7993" w:type="dxa"/>
          </w:tcPr>
          <w:p w14:paraId="4E15DCD0" w14:textId="77777777" w:rsidR="00917336" w:rsidRPr="00917336" w:rsidRDefault="00917336" w:rsidP="00917336">
            <w:pPr>
              <w:spacing w:line="240" w:lineRule="auto"/>
              <w:rPr>
                <w:rFonts w:ascii="Aptos" w:eastAsia="Aptos" w:hAnsi="Aptos" w:cs="Aptos"/>
                <w:szCs w:val="22"/>
              </w:rPr>
            </w:pPr>
            <w:r w:rsidRPr="00917336">
              <w:rPr>
                <w:rFonts w:ascii="Aptos" w:eastAsia="Aptos" w:hAnsi="Aptos" w:cs="Aptos"/>
                <w:szCs w:val="22"/>
              </w:rPr>
              <w:t>The regulator, an inspector with written authorisation and the DPP (section 230).</w:t>
            </w:r>
          </w:p>
        </w:tc>
      </w:tr>
      <w:tr w:rsidR="00917336" w:rsidRPr="00917336" w14:paraId="4C291594" w14:textId="77777777" w:rsidTr="000D26F7">
        <w:tc>
          <w:tcPr>
            <w:tcW w:w="1749" w:type="dxa"/>
          </w:tcPr>
          <w:p w14:paraId="1AEC1CE4" w14:textId="77777777" w:rsidR="00917336" w:rsidRPr="00917336" w:rsidRDefault="00917336" w:rsidP="00917336">
            <w:pPr>
              <w:spacing w:line="240" w:lineRule="auto"/>
              <w:rPr>
                <w:rFonts w:ascii="Aptos" w:eastAsia="Aptos" w:hAnsi="Aptos" w:cs="Aptos"/>
                <w:szCs w:val="22"/>
              </w:rPr>
            </w:pPr>
            <w:r w:rsidRPr="00917336">
              <w:rPr>
                <w:rFonts w:ascii="Aptos" w:eastAsia="Aptos" w:hAnsi="Aptos" w:cs="Aptos"/>
                <w:szCs w:val="22"/>
              </w:rPr>
              <w:t>Victoria</w:t>
            </w:r>
          </w:p>
        </w:tc>
        <w:tc>
          <w:tcPr>
            <w:tcW w:w="7993" w:type="dxa"/>
          </w:tcPr>
          <w:p w14:paraId="6F1D2533" w14:textId="77777777" w:rsidR="00917336" w:rsidRPr="00917336" w:rsidRDefault="00917336" w:rsidP="00917336">
            <w:pPr>
              <w:spacing w:line="240" w:lineRule="auto"/>
              <w:rPr>
                <w:rFonts w:ascii="Aptos" w:eastAsia="Aptos" w:hAnsi="Aptos" w:cs="Aptos"/>
                <w:szCs w:val="22"/>
              </w:rPr>
            </w:pPr>
            <w:r w:rsidRPr="00917336">
              <w:rPr>
                <w:rFonts w:ascii="Aptos" w:eastAsia="Aptos" w:hAnsi="Aptos" w:cs="Aptos"/>
                <w:szCs w:val="22"/>
              </w:rPr>
              <w:t>The regulator, an inspector with written authorisation and the DPP (for indictable offences against the Act or regulations) (section 130).</w:t>
            </w:r>
          </w:p>
        </w:tc>
      </w:tr>
      <w:tr w:rsidR="00917336" w:rsidRPr="00917336" w14:paraId="00C389BE" w14:textId="77777777" w:rsidTr="000D26F7">
        <w:tc>
          <w:tcPr>
            <w:tcW w:w="1749" w:type="dxa"/>
          </w:tcPr>
          <w:p w14:paraId="5F2DB8F0" w14:textId="77777777" w:rsidR="00917336" w:rsidRPr="00917336" w:rsidRDefault="00917336" w:rsidP="00917336">
            <w:pPr>
              <w:spacing w:line="240" w:lineRule="auto"/>
              <w:rPr>
                <w:rFonts w:ascii="Aptos" w:eastAsia="Aptos" w:hAnsi="Aptos" w:cs="Aptos"/>
                <w:szCs w:val="22"/>
              </w:rPr>
            </w:pPr>
            <w:r w:rsidRPr="00917336">
              <w:rPr>
                <w:rFonts w:ascii="Aptos" w:eastAsia="Aptos" w:hAnsi="Aptos" w:cs="Aptos"/>
                <w:szCs w:val="22"/>
              </w:rPr>
              <w:t>WA</w:t>
            </w:r>
          </w:p>
        </w:tc>
        <w:tc>
          <w:tcPr>
            <w:tcW w:w="7993" w:type="dxa"/>
          </w:tcPr>
          <w:p w14:paraId="781CB7C9" w14:textId="77777777" w:rsidR="00917336" w:rsidRPr="00917336" w:rsidRDefault="00917336" w:rsidP="00917336">
            <w:pPr>
              <w:spacing w:line="240" w:lineRule="auto"/>
              <w:rPr>
                <w:rFonts w:ascii="Aptos" w:eastAsia="Aptos" w:hAnsi="Aptos" w:cs="Aptos"/>
                <w:szCs w:val="22"/>
              </w:rPr>
            </w:pPr>
            <w:r w:rsidRPr="00917336">
              <w:rPr>
                <w:rFonts w:ascii="Aptos" w:eastAsia="Aptos" w:hAnsi="Aptos" w:cs="Aptos"/>
                <w:szCs w:val="22"/>
              </w:rPr>
              <w:t xml:space="preserve">The regulator, a public service officer working in the WHS department (with written authorisation), an authorised officer (as defined in the </w:t>
            </w:r>
            <w:r w:rsidRPr="00917336">
              <w:rPr>
                <w:rFonts w:ascii="Aptos" w:eastAsia="Aptos" w:hAnsi="Aptos" w:cs="Aptos"/>
                <w:i/>
                <w:iCs/>
                <w:szCs w:val="22"/>
              </w:rPr>
              <w:t>Criminal Procedure Act 2004</w:t>
            </w:r>
            <w:r w:rsidRPr="00917336">
              <w:rPr>
                <w:rFonts w:ascii="Aptos" w:eastAsia="Aptos" w:hAnsi="Aptos" w:cs="Aptos"/>
                <w:szCs w:val="22"/>
              </w:rPr>
              <w:t xml:space="preserve"> (WA) section 80(1)) and the DPP (section 230).</w:t>
            </w:r>
          </w:p>
        </w:tc>
      </w:tr>
    </w:tbl>
    <w:p w14:paraId="635DA4C0" w14:textId="20B9779C" w:rsidR="00307D3B" w:rsidRDefault="00307D3B" w:rsidP="000D26F7">
      <w:pPr>
        <w:pStyle w:val="Paragraph"/>
        <w:sectPr w:rsidR="00307D3B" w:rsidSect="00DF1707">
          <w:headerReference w:type="default" r:id="rId137"/>
          <w:pgSz w:w="11906" w:h="16838" w:code="9"/>
          <w:pgMar w:top="1440" w:right="1077" w:bottom="1440" w:left="1077" w:header="709" w:footer="709" w:gutter="0"/>
          <w:cols w:space="708"/>
          <w:titlePg/>
          <w:docGrid w:linePitch="360"/>
        </w:sectPr>
      </w:pPr>
    </w:p>
    <w:p w14:paraId="56A8EC88" w14:textId="7290B166" w:rsidR="00D3779B" w:rsidRPr="00D3779B" w:rsidRDefault="00307D3B" w:rsidP="00307D3B">
      <w:pPr>
        <w:pStyle w:val="SWAHeading1"/>
        <w:numPr>
          <w:ilvl w:val="0"/>
          <w:numId w:val="0"/>
        </w:numPr>
      </w:pPr>
      <w:bookmarkStart w:id="172" w:name="_Toc239845184"/>
      <w:r>
        <w:lastRenderedPageBreak/>
        <w:t>Appendix M: Review submissions and consultations</w:t>
      </w:r>
      <w:bookmarkEnd w:id="172"/>
    </w:p>
    <w:p w14:paraId="5B2FCBBF" w14:textId="77777777" w:rsidR="00F21CE3" w:rsidRDefault="00D3779B" w:rsidP="00BC0B4B">
      <w:pPr>
        <w:spacing w:after="360" w:line="240" w:lineRule="auto"/>
        <w:contextualSpacing w:val="0"/>
        <w:rPr>
          <w:rFonts w:ascii="Aptos" w:eastAsia="Times New Roman" w:hAnsi="Aptos" w:cs="Arial"/>
          <w:lang w:eastAsia="en-AU"/>
        </w:rPr>
      </w:pPr>
      <w:r w:rsidRPr="002C0C97">
        <w:rPr>
          <w:rFonts w:ascii="Aptos" w:eastAsia="Times New Roman" w:hAnsi="Aptos" w:cs="Arial"/>
          <w:lang w:eastAsia="en-AU"/>
        </w:rPr>
        <w:t>Individuals and organisations that Safe Work Australia consulted with or had permission to publish submissions from are listed below.</w:t>
      </w:r>
    </w:p>
    <w:p w14:paraId="6184D193" w14:textId="5FBC705F" w:rsidR="00D3779B" w:rsidRPr="002C0C97" w:rsidRDefault="00D3779B" w:rsidP="00D3779B">
      <w:pPr>
        <w:spacing w:line="240" w:lineRule="auto"/>
        <w:contextualSpacing w:val="0"/>
        <w:rPr>
          <w:rFonts w:ascii="Aptos" w:eastAsia="Times New Roman" w:hAnsi="Aptos" w:cs="Arial"/>
          <w:lang w:eastAsia="en-AU"/>
        </w:rPr>
        <w:sectPr w:rsidR="00D3779B" w:rsidRPr="002C0C97" w:rsidSect="00DF1707">
          <w:headerReference w:type="default" r:id="rId138"/>
          <w:pgSz w:w="11906" w:h="16838" w:code="9"/>
          <w:pgMar w:top="1440" w:right="1077" w:bottom="1440" w:left="1077" w:header="709" w:footer="709" w:gutter="0"/>
          <w:cols w:space="708"/>
          <w:titlePg/>
          <w:docGrid w:linePitch="360"/>
        </w:sectPr>
      </w:pPr>
    </w:p>
    <w:p w14:paraId="078F04E0"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2025 Safe Work Australia Research Summit attendees</w:t>
      </w:r>
    </w:p>
    <w:p w14:paraId="582A6DB2"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Acran Sound Control</w:t>
      </w:r>
    </w:p>
    <w:p w14:paraId="38AF00ED"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AER Environmental</w:t>
      </w:r>
    </w:p>
    <w:p w14:paraId="5F7300C9"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Affected Families and Workers Advisory Committee (WA)</w:t>
      </w:r>
    </w:p>
    <w:p w14:paraId="378AEC0E"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Andrew Watt</w:t>
      </w:r>
    </w:p>
    <w:p w14:paraId="6510ABD7"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ASIS International (NSW Chapter)</w:t>
      </w:r>
    </w:p>
    <w:p w14:paraId="6C091BF1"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Associate Professor Lindsay Carey</w:t>
      </w:r>
    </w:p>
    <w:p w14:paraId="73EF21B1"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Associate Professor Sarah Moulds with Associate Professor Kïrsten Way and Professor Michelle Tuckey on behalf of BRIDGES at Work project team</w:t>
      </w:r>
    </w:p>
    <w:p w14:paraId="03368EF6"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Australasian Amusement, Leisure and Recreation Association</w:t>
      </w:r>
    </w:p>
    <w:p w14:paraId="17D50BA7"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Australasian Institute for Maritime Archaeology</w:t>
      </w:r>
    </w:p>
    <w:p w14:paraId="4715031D"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Australia &amp; New Zealand Scientific Diving Association</w:t>
      </w:r>
    </w:p>
    <w:p w14:paraId="0AC518D9"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Australian Archaeological Association</w:t>
      </w:r>
    </w:p>
    <w:p w14:paraId="1036D969"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Australian Business Industrial</w:t>
      </w:r>
    </w:p>
    <w:p w14:paraId="4C582385"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Australian Cabinet and Furniture Association Ltd</w:t>
      </w:r>
    </w:p>
    <w:p w14:paraId="380F11E2" w14:textId="233F3EC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Australian Cabinet and Furniture Association / The Kitchen and Bathroom Designers Institute</w:t>
      </w:r>
    </w:p>
    <w:p w14:paraId="75D25AE3"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Australian Chamber of Commerce and Industry</w:t>
      </w:r>
    </w:p>
    <w:p w14:paraId="69429D51"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Australian Constructors Association</w:t>
      </w:r>
    </w:p>
    <w:p w14:paraId="6F670FE4" w14:textId="21F5AEE0" w:rsidR="00D3779B" w:rsidRPr="002C0C97" w:rsidRDefault="00D3779B" w:rsidP="00D3779B">
      <w:pPr>
        <w:spacing w:line="240" w:lineRule="auto"/>
        <w:contextualSpacing w:val="0"/>
        <w:rPr>
          <w:rFonts w:ascii="Aptos" w:eastAsia="Times New Roman" w:hAnsi="Aptos" w:cs="Arial"/>
          <w:lang w:val="en-GB" w:eastAsia="en-AU"/>
        </w:rPr>
      </w:pPr>
      <w:r w:rsidRPr="002C0C97">
        <w:rPr>
          <w:rFonts w:ascii="Aptos" w:eastAsia="Times New Roman" w:hAnsi="Aptos" w:cs="Arial"/>
          <w:lang w:val="en-GB" w:eastAsia="en-AU"/>
        </w:rPr>
        <w:t>Australian Council of Trade Unions</w:t>
      </w:r>
    </w:p>
    <w:p w14:paraId="20E639BF"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Australian Education Union (ACT Branch)</w:t>
      </w:r>
    </w:p>
    <w:p w14:paraId="704B4E69"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Australian Federation of Disability Organisations</w:t>
      </w:r>
    </w:p>
    <w:p w14:paraId="2BAD6EBC"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Australian Human Rights Commission</w:t>
      </w:r>
    </w:p>
    <w:p w14:paraId="77C5B64E"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Australian Industry Group</w:t>
      </w:r>
    </w:p>
    <w:p w14:paraId="687A39D0"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Australian Institute of Company Directors</w:t>
      </w:r>
    </w:p>
    <w:p w14:paraId="4FBB3DE1"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Australian Institute of Health &amp; Safety</w:t>
      </w:r>
    </w:p>
    <w:p w14:paraId="3FC1B8DE"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Australian Institute of Occupational Hygienists</w:t>
      </w:r>
    </w:p>
    <w:p w14:paraId="2CD90705"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Australian Manufacturing Workers' Union</w:t>
      </w:r>
    </w:p>
    <w:p w14:paraId="6862D292"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Australian Maritime Safety Authority</w:t>
      </w:r>
    </w:p>
    <w:p w14:paraId="7C8A7EEF" w14:textId="5FDACFCD"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Australian Medical Association</w:t>
      </w:r>
    </w:p>
    <w:p w14:paraId="427C1158"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Australian Nursing and Midwifery Federation (various branches)</w:t>
      </w:r>
    </w:p>
    <w:p w14:paraId="4CCACAEA"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Australian Public Service Commission</w:t>
      </w:r>
    </w:p>
    <w:p w14:paraId="4F0B2541"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Australian Retailers Association and National Retail Association</w:t>
      </w:r>
    </w:p>
    <w:p w14:paraId="350CD670"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Australian Small Business &amp; Family Enterprise Ombudsman</w:t>
      </w:r>
    </w:p>
    <w:p w14:paraId="25B27056"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Before You Dig Australia</w:t>
      </w:r>
    </w:p>
    <w:p w14:paraId="2B3BD090"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Behavioural Insights Team (NSW)</w:t>
      </w:r>
    </w:p>
    <w:p w14:paraId="58DA249B"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Business Chamber Queensland</w:t>
      </w:r>
    </w:p>
    <w:p w14:paraId="7CF1D7A1"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Business Council of Australia</w:t>
      </w:r>
    </w:p>
    <w:p w14:paraId="097F415C"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Business NSW</w:t>
      </w:r>
    </w:p>
    <w:p w14:paraId="4BA9E0DF"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Cancer Council Australia</w:t>
      </w:r>
    </w:p>
    <w:p w14:paraId="49906AFE"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Carnival Safety Australia</w:t>
      </w:r>
    </w:p>
    <w:p w14:paraId="00257AE7"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Centre for Future Work</w:t>
      </w:r>
    </w:p>
    <w:p w14:paraId="5B818C7F" w14:textId="44656020" w:rsidR="00D3779B" w:rsidRPr="002C0C97" w:rsidRDefault="00D3779B" w:rsidP="00D3779B">
      <w:pPr>
        <w:spacing w:line="240" w:lineRule="auto"/>
        <w:contextualSpacing w:val="0"/>
        <w:rPr>
          <w:rFonts w:ascii="Aptos" w:eastAsia="Times New Roman" w:hAnsi="Aptos" w:cs="Arial"/>
          <w:lang w:val="en-GB" w:eastAsia="en-AU"/>
        </w:rPr>
      </w:pPr>
      <w:r w:rsidRPr="002C0C97">
        <w:rPr>
          <w:rFonts w:ascii="Aptos" w:eastAsia="Times New Roman" w:hAnsi="Aptos" w:cs="Arial"/>
          <w:lang w:eastAsia="en-AU"/>
        </w:rPr>
        <w:t>Chamber of Commerce NT</w:t>
      </w:r>
    </w:p>
    <w:p w14:paraId="50D3DFBA"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Chamber of Minerals and Energy WA</w:t>
      </w:r>
    </w:p>
    <w:p w14:paraId="459A6DFE"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lastRenderedPageBreak/>
        <w:t>Comcare</w:t>
      </w:r>
    </w:p>
    <w:p w14:paraId="3C6CBF56"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Commonwealth Director of Public Prosecutions</w:t>
      </w:r>
    </w:p>
    <w:p w14:paraId="65BF5936" w14:textId="323528D8"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Community and Public Sector Union</w:t>
      </w:r>
    </w:p>
    <w:p w14:paraId="7D8F7D52"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Construction Forestry Mining and Energy Union</w:t>
      </w:r>
    </w:p>
    <w:p w14:paraId="6E222B5E" w14:textId="32F50A0E"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Consultative Committee for Work-Related Fatalities and Serious Incidents (Queensland)</w:t>
      </w:r>
    </w:p>
    <w:p w14:paraId="3D7AF577"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ConsultMine Pty Ltd</w:t>
      </w:r>
    </w:p>
    <w:p w14:paraId="592D64A2"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Council of Small Business Organisation Australia</w:t>
      </w:r>
    </w:p>
    <w:p w14:paraId="217BF234"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Curran Risk Management</w:t>
      </w:r>
    </w:p>
    <w:p w14:paraId="57E7FC8D"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Dean Yates</w:t>
      </w:r>
    </w:p>
    <w:p w14:paraId="4FC063A6"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Department of Climate Change, Energy, the Environment and Water</w:t>
      </w:r>
    </w:p>
    <w:p w14:paraId="79B22878"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Department of Employment and Workplace Relations</w:t>
      </w:r>
    </w:p>
    <w:p w14:paraId="1B2CB4DD" w14:textId="04C7A283"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Department of Industry, Science and Resources</w:t>
      </w:r>
    </w:p>
    <w:p w14:paraId="6E926050"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Department of Primary Industries and Regional Development (NSW)</w:t>
      </w:r>
    </w:p>
    <w:p w14:paraId="2B274436"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Department of Treasury</w:t>
      </w:r>
    </w:p>
    <w:p w14:paraId="23ABAEAD"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Diversity Australia</w:t>
      </w:r>
    </w:p>
    <w:p w14:paraId="4C37B54E"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Dr Anna Cody, Sex Discrimination Commissioner, Australian Human Rights Commission</w:t>
      </w:r>
    </w:p>
    <w:p w14:paraId="1A2706F0"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Dr John McCarthy, Australasian Institute for Maritime Archaeology</w:t>
      </w:r>
    </w:p>
    <w:p w14:paraId="0A076211"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Dr Kay Wilson</w:t>
      </w:r>
    </w:p>
    <w:p w14:paraId="25C21B3C"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Dr Leon Moussa</w:t>
      </w:r>
    </w:p>
    <w:p w14:paraId="736D7A47" w14:textId="5849E424" w:rsidR="00D3779B" w:rsidRPr="002C0C97" w:rsidRDefault="00D3779B" w:rsidP="00D3779B">
      <w:pPr>
        <w:spacing w:line="240" w:lineRule="auto"/>
        <w:contextualSpacing w:val="0"/>
        <w:rPr>
          <w:rFonts w:ascii="Aptos" w:eastAsia="Times New Roman" w:hAnsi="Aptos" w:cs="Arial"/>
          <w:lang w:val="en-GB" w:eastAsia="en-AU"/>
        </w:rPr>
      </w:pPr>
      <w:r w:rsidRPr="002C0C97">
        <w:rPr>
          <w:rFonts w:ascii="Aptos" w:eastAsia="Times New Roman" w:hAnsi="Aptos" w:cs="Arial"/>
          <w:lang w:val="en-GB" w:eastAsia="en-AU"/>
        </w:rPr>
        <w:t>Dr Nikki Jamieson</w:t>
      </w:r>
    </w:p>
    <w:p w14:paraId="4809D040"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Dr Rachael Potter</w:t>
      </w:r>
    </w:p>
    <w:p w14:paraId="43FFAF83"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Dr Shay Dougall</w:t>
      </w:r>
    </w:p>
    <w:p w14:paraId="013C2258"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Electrical Trades Union of Australia</w:t>
      </w:r>
    </w:p>
    <w:p w14:paraId="060995C8"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Emeritus Professor Michael Quinlan</w:t>
      </w:r>
    </w:p>
    <w:p w14:paraId="4AB861FD"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Eugene White as reviewer for the Independent Review of Employee Representatives (Victoria)</w:t>
      </w:r>
    </w:p>
    <w:p w14:paraId="2FAB4EE3"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Energy Queensland</w:t>
      </w:r>
    </w:p>
    <w:p w14:paraId="0793ECBD"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Fair Work Ombudsman</w:t>
      </w:r>
    </w:p>
    <w:p w14:paraId="7CF7BDAC" w14:textId="59FE3068" w:rsidR="00D3779B" w:rsidRPr="002C0C97" w:rsidRDefault="00D3779B" w:rsidP="00D3779B">
      <w:pPr>
        <w:spacing w:line="240" w:lineRule="auto"/>
        <w:contextualSpacing w:val="0"/>
        <w:rPr>
          <w:rFonts w:ascii="Aptos" w:eastAsia="Times New Roman" w:hAnsi="Aptos" w:cs="Arial"/>
          <w:lang w:val="en-GB" w:eastAsia="en-AU"/>
        </w:rPr>
      </w:pPr>
      <w:r w:rsidRPr="002C0C97">
        <w:rPr>
          <w:rFonts w:ascii="Aptos" w:eastAsia="Times New Roman" w:hAnsi="Aptos" w:cs="Arial"/>
          <w:lang w:eastAsia="en-AU"/>
        </w:rPr>
        <w:t>Family and Injured Workers Advisory Committee (Commonwealth)</w:t>
      </w:r>
    </w:p>
    <w:p w14:paraId="49CAE694"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Family and Injured Workers Support and Advisory Group (NSW)</w:t>
      </w:r>
    </w:p>
    <w:p w14:paraId="79F5A7FD"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Flight Attendants' Association of Australia</w:t>
      </w:r>
    </w:p>
    <w:p w14:paraId="439F5E09"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Giridharan Sivaraman, Race Discrimination Commissioner, Australian Human Rights Commission</w:t>
      </w:r>
    </w:p>
    <w:p w14:paraId="20F31E57" w14:textId="603A9CD4"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Griefwork, Uniting (Victoria)</w:t>
      </w:r>
    </w:p>
    <w:p w14:paraId="0593F661"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Head of Workplace Safety Authorities</w:t>
      </w:r>
    </w:p>
    <w:p w14:paraId="2768C886"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Housing Industry Association</w:t>
      </w:r>
    </w:p>
    <w:p w14:paraId="6EF8E5D5"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Individual Health and Safety Representatives (HSRs) across multiple state and territories</w:t>
      </w:r>
    </w:p>
    <w:p w14:paraId="7272DFC5" w14:textId="53E7641F"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James Miller</w:t>
      </w:r>
    </w:p>
    <w:p w14:paraId="54EF8228"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Johnson Winter Slattery</w:t>
      </w:r>
    </w:p>
    <w:p w14:paraId="411B54E1"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Jon Collins</w:t>
      </w:r>
    </w:p>
    <w:p w14:paraId="5A1B56CF"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Kate Spurr-Driver</w:t>
      </w:r>
    </w:p>
    <w:p w14:paraId="5E35E6F4"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Kay Catanzariti</w:t>
      </w:r>
    </w:p>
    <w:p w14:paraId="3B44D24E" w14:textId="5D95FDC9" w:rsidR="00D3779B" w:rsidRPr="002C0C97" w:rsidRDefault="00D3779B" w:rsidP="00D3779B">
      <w:pPr>
        <w:spacing w:line="240" w:lineRule="auto"/>
        <w:contextualSpacing w:val="0"/>
        <w:rPr>
          <w:rFonts w:ascii="Aptos" w:eastAsia="Times New Roman" w:hAnsi="Aptos" w:cs="Arial"/>
          <w:lang w:val="en-GB" w:eastAsia="en-AU"/>
        </w:rPr>
      </w:pPr>
      <w:r w:rsidRPr="002C0C97">
        <w:rPr>
          <w:rFonts w:ascii="Aptos" w:eastAsia="Times New Roman" w:hAnsi="Aptos" w:cs="Arial"/>
          <w:lang w:val="en-GB" w:eastAsia="en-AU"/>
        </w:rPr>
        <w:t>Kevin Jones</w:t>
      </w:r>
    </w:p>
    <w:p w14:paraId="07C96836"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Leon Moussa</w:t>
      </w:r>
    </w:p>
    <w:p w14:paraId="6D26C2D9"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Mable</w:t>
      </w:r>
    </w:p>
    <w:p w14:paraId="480F8FD8"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Maritime Union of Australia</w:t>
      </w:r>
    </w:p>
    <w:p w14:paraId="74DC64A3"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Master Builders NT</w:t>
      </w:r>
    </w:p>
    <w:p w14:paraId="152A2101"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Master Builders Queensland</w:t>
      </w:r>
    </w:p>
    <w:p w14:paraId="31A0C3B2"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Master Builders SA</w:t>
      </w:r>
    </w:p>
    <w:p w14:paraId="7AA9CE5E"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Master Builders Australia</w:t>
      </w:r>
    </w:p>
    <w:p w14:paraId="57C088E4"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Master Builders Tasmania</w:t>
      </w:r>
    </w:p>
    <w:p w14:paraId="77B655AE"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Master Electricians Australia</w:t>
      </w:r>
    </w:p>
    <w:p w14:paraId="4866D692"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Maurice Blackburn Lawyers</w:t>
      </w:r>
    </w:p>
    <w:p w14:paraId="2FBA6F2D"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Melbourne Market Authority</w:t>
      </w:r>
    </w:p>
    <w:p w14:paraId="57D5A81F" w14:textId="54E9FDCC"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Minerals Council of Australia</w:t>
      </w:r>
    </w:p>
    <w:p w14:paraId="446A6C66"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Molliwell</w:t>
      </w:r>
    </w:p>
    <w:p w14:paraId="449031FC" w14:textId="1E47D2B0"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Multicultural Council of Tasmania</w:t>
      </w:r>
    </w:p>
    <w:p w14:paraId="2E1C7FA6" w14:textId="51C9C4D0"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Natalie Stephens</w:t>
      </w:r>
    </w:p>
    <w:p w14:paraId="5710B691"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National Disability Services</w:t>
      </w:r>
    </w:p>
    <w:p w14:paraId="195E1300"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National Farmers’ Federation</w:t>
      </w:r>
    </w:p>
    <w:p w14:paraId="62A193C2" w14:textId="3738CEB0" w:rsidR="00D3779B" w:rsidRPr="002C0C97" w:rsidRDefault="00D3779B" w:rsidP="00D3779B">
      <w:pPr>
        <w:spacing w:line="240" w:lineRule="auto"/>
        <w:contextualSpacing w:val="0"/>
        <w:rPr>
          <w:rFonts w:ascii="Aptos" w:eastAsia="Times New Roman" w:hAnsi="Aptos" w:cs="Arial"/>
          <w:lang w:val="en-GB" w:eastAsia="en-AU"/>
        </w:rPr>
      </w:pPr>
      <w:r w:rsidRPr="002C0C97">
        <w:rPr>
          <w:rFonts w:ascii="Aptos" w:eastAsia="Times New Roman" w:hAnsi="Aptos" w:cs="Arial"/>
          <w:lang w:val="en-GB" w:eastAsia="en-AU"/>
        </w:rPr>
        <w:t>National Heavy Vehicle Regulator</w:t>
      </w:r>
    </w:p>
    <w:p w14:paraId="60A1A46B"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lastRenderedPageBreak/>
        <w:t xml:space="preserve">National Joint Submission </w:t>
      </w:r>
      <w:r w:rsidRPr="002C0C97">
        <w:rPr>
          <w:rFonts w:ascii="Aptos" w:eastAsia="Symbol" w:hAnsi="Aptos" w:cs="Symbol"/>
          <w:lang w:eastAsia="en-AU"/>
        </w:rPr>
        <w:t>-</w:t>
      </w:r>
      <w:r w:rsidRPr="002C0C97">
        <w:rPr>
          <w:rFonts w:ascii="Aptos" w:eastAsia="Times New Roman" w:hAnsi="Aptos" w:cs="Arial"/>
          <w:lang w:eastAsia="en-AU"/>
        </w:rPr>
        <w:t xml:space="preserve"> Safety Regulation for Primary Prevention of Gendered Violence</w:t>
      </w:r>
    </w:p>
    <w:p w14:paraId="4FDC6E07"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National Poisons Register</w:t>
      </w:r>
    </w:p>
    <w:p w14:paraId="05B38953"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NT WorkSafe</w:t>
      </w:r>
    </w:p>
    <w:p w14:paraId="6C4C31E2"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NT Working Women's Centre</w:t>
      </w:r>
    </w:p>
    <w:p w14:paraId="41F99BCC"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Occupational Therapy Australia</w:t>
      </w:r>
    </w:p>
    <w:p w14:paraId="24E9B1F6"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Office for Women</w:t>
      </w:r>
    </w:p>
    <w:p w14:paraId="6B8C040F"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Office of Industrial Relations (Queensland)</w:t>
      </w:r>
    </w:p>
    <w:p w14:paraId="13C81B91" w14:textId="345CEA0F" w:rsidR="00D3779B" w:rsidRPr="002C0C97" w:rsidRDefault="00D3779B" w:rsidP="00D3779B">
      <w:pPr>
        <w:spacing w:line="240" w:lineRule="auto"/>
        <w:contextualSpacing w:val="0"/>
        <w:rPr>
          <w:rFonts w:ascii="Aptos" w:eastAsia="Times New Roman" w:hAnsi="Aptos" w:cs="Arial"/>
          <w:lang w:val="en-GB" w:eastAsia="en-AU"/>
        </w:rPr>
      </w:pPr>
      <w:r w:rsidRPr="002C0C97">
        <w:rPr>
          <w:rFonts w:ascii="Aptos" w:eastAsia="Times New Roman" w:hAnsi="Aptos" w:cs="Arial"/>
          <w:lang w:eastAsia="en-AU"/>
        </w:rPr>
        <w:t>Office of the Work Health and Safety Commissioner </w:t>
      </w:r>
      <w:r w:rsidRPr="002C0C97">
        <w:rPr>
          <w:rFonts w:ascii="Aptos" w:eastAsia="Times New Roman" w:hAnsi="Aptos" w:cs="Arial"/>
          <w:lang w:val="en-GB" w:eastAsia="en-AU"/>
        </w:rPr>
        <w:t>(ACT)</w:t>
      </w:r>
    </w:p>
    <w:p w14:paraId="7BED61DE"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Office of the Work Health and Safety Prosecutor (Queensland)</w:t>
      </w:r>
    </w:p>
    <w:p w14:paraId="442F6FAB"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Paul Stevens</w:t>
      </w:r>
    </w:p>
    <w:p w14:paraId="0E91DCB0"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Peter MacCallum Cancer Centre</w:t>
      </w:r>
    </w:p>
    <w:p w14:paraId="097412C9"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Peter Thorning</w:t>
      </w:r>
    </w:p>
    <w:p w14:paraId="6234AF90"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Power to Prevent Coalition</w:t>
      </w:r>
    </w:p>
    <w:p w14:paraId="276A24F5"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Powering Skills Organisation</w:t>
      </w:r>
    </w:p>
    <w:p w14:paraId="2EDCED35" w14:textId="1A4014C9"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Professor Andrew Stewart</w:t>
      </w:r>
    </w:p>
    <w:p w14:paraId="413ABDE0"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Professor Nareen Young</w:t>
      </w:r>
    </w:p>
    <w:p w14:paraId="0192CE7E"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Professor Maureen Dollard</w:t>
      </w:r>
    </w:p>
    <w:p w14:paraId="73A02399"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Queensland Council of Unions</w:t>
      </w:r>
    </w:p>
    <w:p w14:paraId="67D0F49D"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R2A Due Diligence Engineers</w:t>
      </w:r>
    </w:p>
    <w:p w14:paraId="361CFA65"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Reconciliation Australia</w:t>
      </w:r>
    </w:p>
    <w:p w14:paraId="00C44314"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Rev Dr Mark Layson</w:t>
      </w:r>
    </w:p>
    <w:p w14:paraId="3E6E8B80"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SA Unions</w:t>
      </w:r>
    </w:p>
    <w:p w14:paraId="0F8B8EE6"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Safety Forward</w:t>
      </w:r>
    </w:p>
    <w:p w14:paraId="2C87A439"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SafeWork NSW</w:t>
      </w:r>
    </w:p>
    <w:p w14:paraId="130E3EA8"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SafeWork SA</w:t>
      </w:r>
    </w:p>
    <w:p w14:paraId="570B2D60"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SafeWorkPro Pty Ltd</w:t>
      </w:r>
    </w:p>
    <w:p w14:paraId="2AF71384" w14:textId="35F3E752"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Scuba Diving International</w:t>
      </w:r>
      <w:r w:rsidR="00304F1A">
        <w:rPr>
          <w:rFonts w:ascii="Aptos" w:eastAsia="Times New Roman" w:hAnsi="Aptos" w:cs="Arial"/>
          <w:lang w:eastAsia="en-AU"/>
        </w:rPr>
        <w:t xml:space="preserve"> </w:t>
      </w:r>
      <w:r w:rsidR="00BC0B4B">
        <w:rPr>
          <w:rFonts w:ascii="Aptos" w:eastAsia="Times New Roman" w:hAnsi="Aptos" w:cs="Arial"/>
          <w:lang w:val="en-GB" w:eastAsia="en-AU"/>
        </w:rPr>
        <w:br w:type="column"/>
      </w:r>
      <w:r w:rsidRPr="002C0C97">
        <w:rPr>
          <w:rFonts w:ascii="Aptos" w:eastAsia="Times New Roman" w:hAnsi="Aptos" w:cs="Arial"/>
          <w:lang w:eastAsia="en-AU"/>
        </w:rPr>
        <w:t>Shop, Distributive and Allied Employees' Association (various branches)</w:t>
      </w:r>
    </w:p>
    <w:p w14:paraId="1C08526D"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Small Business Development Corporation WA</w:t>
      </w:r>
    </w:p>
    <w:p w14:paraId="1B267901"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South Australian Business Chamber</w:t>
      </w:r>
    </w:p>
    <w:p w14:paraId="59EAB97F"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South Australian Wine Industry Association</w:t>
      </w:r>
    </w:p>
    <w:p w14:paraId="7F67E13B"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Southside Justice</w:t>
      </w:r>
    </w:p>
    <w:p w14:paraId="7BACB25A" w14:textId="41CD6351"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Standards Australia</w:t>
      </w:r>
    </w:p>
    <w:p w14:paraId="48272F19"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Tasmanian Chamber of Commerce and Industry</w:t>
      </w:r>
    </w:p>
    <w:p w14:paraId="0BDF72AD"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Terry Flanders</w:t>
      </w:r>
    </w:p>
    <w:p w14:paraId="0E8CA086"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The Reckoning Room</w:t>
      </w:r>
    </w:p>
    <w:p w14:paraId="46A87A09"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Unions NSW</w:t>
      </w:r>
    </w:p>
    <w:p w14:paraId="0DC4D14E" w14:textId="4F388739"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Unions Tasmania</w:t>
      </w:r>
    </w:p>
    <w:p w14:paraId="2185EB18"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Unions NT</w:t>
      </w:r>
    </w:p>
    <w:p w14:paraId="6E64667C"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UnionsACT</w:t>
      </w:r>
    </w:p>
    <w:p w14:paraId="041A84DF" w14:textId="485E8D6D"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UnionsWA</w:t>
      </w:r>
    </w:p>
    <w:p w14:paraId="1C07522C"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University of Tasmania</w:t>
      </w:r>
    </w:p>
    <w:p w14:paraId="650227BF"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Veyter Pty Ltd</w:t>
      </w:r>
    </w:p>
    <w:p w14:paraId="206CCD2D"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Victorian Chamber of Commerce and Industry</w:t>
      </w:r>
    </w:p>
    <w:p w14:paraId="1001EFBE"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Victorian Small Business Council</w:t>
      </w:r>
    </w:p>
    <w:p w14:paraId="64A8EDC6"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Victorian Trades Hall Council</w:t>
      </w:r>
    </w:p>
    <w:p w14:paraId="608A8879"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Vince Pannell</w:t>
      </w:r>
    </w:p>
    <w:p w14:paraId="1AC7102E"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Water Services Association of Australia</w:t>
      </w:r>
    </w:p>
    <w:p w14:paraId="47E63F36"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Work Safety Group (ACT)</w:t>
      </w:r>
    </w:p>
    <w:p w14:paraId="7F659730"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Working with Women Alliance</w:t>
      </w:r>
    </w:p>
    <w:p w14:paraId="2213B4E9"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Workplace Health and Safety Queensland</w:t>
      </w:r>
    </w:p>
    <w:p w14:paraId="2B1EF808"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Workplace Incident Consultative Committee (Victoria)</w:t>
      </w:r>
    </w:p>
    <w:p w14:paraId="43DC576C"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WorkSafe Tasmania</w:t>
      </w:r>
    </w:p>
    <w:p w14:paraId="2291AE8A" w14:textId="77777777" w:rsidR="00F21CE3"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WorkSafe Victoria</w:t>
      </w:r>
    </w:p>
    <w:p w14:paraId="52C41654" w14:textId="7712AD5D" w:rsidR="000D26F7" w:rsidRDefault="00D3779B" w:rsidP="00D3779B">
      <w:pPr>
        <w:spacing w:line="240" w:lineRule="auto"/>
        <w:contextualSpacing w:val="0"/>
        <w:rPr>
          <w:rFonts w:ascii="Aptos" w:eastAsia="Times New Roman" w:hAnsi="Aptos" w:cs="Arial"/>
          <w:lang w:eastAsia="en-AU"/>
        </w:rPr>
      </w:pPr>
      <w:r w:rsidRPr="002C0C97">
        <w:rPr>
          <w:rFonts w:ascii="Aptos" w:eastAsia="Times New Roman" w:hAnsi="Aptos" w:cs="Arial"/>
          <w:lang w:eastAsia="en-AU"/>
        </w:rPr>
        <w:t>WorkSafe</w:t>
      </w:r>
      <w:r w:rsidR="00560332">
        <w:rPr>
          <w:rFonts w:ascii="Aptos" w:eastAsia="Times New Roman" w:hAnsi="Aptos" w:cs="Arial"/>
          <w:lang w:eastAsia="en-AU"/>
        </w:rPr>
        <w:t xml:space="preserve"> W</w:t>
      </w:r>
      <w:r w:rsidR="0060707C">
        <w:rPr>
          <w:rFonts w:ascii="Aptos" w:eastAsia="Times New Roman" w:hAnsi="Aptos" w:cs="Arial"/>
          <w:lang w:eastAsia="en-AU"/>
        </w:rPr>
        <w:t>A</w:t>
      </w:r>
    </w:p>
    <w:p w14:paraId="2B19C121" w14:textId="77777777" w:rsidR="000D26F7" w:rsidRDefault="000D26F7" w:rsidP="00D3779B">
      <w:pPr>
        <w:spacing w:line="240" w:lineRule="auto"/>
        <w:contextualSpacing w:val="0"/>
        <w:rPr>
          <w:rFonts w:ascii="Aptos" w:eastAsia="Times New Roman" w:hAnsi="Aptos" w:cs="Arial"/>
          <w:lang w:eastAsia="en-AU"/>
        </w:rPr>
      </w:pPr>
    </w:p>
    <w:p w14:paraId="498F57B6" w14:textId="77777777" w:rsidR="00BC0B4B" w:rsidRDefault="00BC0B4B" w:rsidP="00D3779B">
      <w:pPr>
        <w:spacing w:line="240" w:lineRule="auto"/>
        <w:contextualSpacing w:val="0"/>
        <w:rPr>
          <w:rFonts w:ascii="Aptos" w:eastAsia="Times New Roman" w:hAnsi="Aptos" w:cs="Arial"/>
          <w:lang w:val="en-GB" w:eastAsia="en-AU"/>
        </w:rPr>
        <w:sectPr w:rsidR="00BC0B4B" w:rsidSect="00DF1707">
          <w:headerReference w:type="default" r:id="rId139"/>
          <w:type w:val="continuous"/>
          <w:pgSz w:w="11906" w:h="16838" w:code="9"/>
          <w:pgMar w:top="1440" w:right="1077" w:bottom="1440" w:left="1077" w:header="709" w:footer="709" w:gutter="0"/>
          <w:cols w:num="2" w:space="708"/>
          <w:titlePg/>
          <w:docGrid w:linePitch="360"/>
        </w:sectPr>
      </w:pPr>
    </w:p>
    <w:p w14:paraId="6F5EF55F" w14:textId="77777777" w:rsidR="00DC1320" w:rsidRDefault="00DC1320">
      <w:pPr>
        <w:spacing w:after="200" w:line="276" w:lineRule="auto"/>
        <w:contextualSpacing w:val="0"/>
        <w:sectPr w:rsidR="00DC1320" w:rsidSect="00DF1707">
          <w:headerReference w:type="default" r:id="rId140"/>
          <w:type w:val="continuous"/>
          <w:pgSz w:w="11906" w:h="16838" w:code="9"/>
          <w:pgMar w:top="1440" w:right="1077" w:bottom="1440" w:left="1077" w:header="709" w:footer="709" w:gutter="0"/>
          <w:cols w:space="708"/>
          <w:titlePg/>
          <w:docGrid w:linePitch="360"/>
        </w:sectPr>
      </w:pPr>
    </w:p>
    <w:p w14:paraId="4DA6A766" w14:textId="77777777" w:rsidR="00DC1320" w:rsidRPr="00657E0D" w:rsidRDefault="00DC1320" w:rsidP="00DC1320">
      <w:pPr>
        <w:pStyle w:val="SWAHeading1"/>
        <w:numPr>
          <w:ilvl w:val="0"/>
          <w:numId w:val="0"/>
        </w:numPr>
      </w:pPr>
      <w:r w:rsidRPr="00657E0D">
        <w:lastRenderedPageBreak/>
        <w:t>INDEX</w:t>
      </w:r>
    </w:p>
    <w:p w14:paraId="0D70D251" w14:textId="77777777" w:rsidR="00DC1320" w:rsidRPr="00657E0D" w:rsidRDefault="00DC1320" w:rsidP="00DC1320">
      <w:pPr>
        <w:pStyle w:val="PlainText"/>
        <w:tabs>
          <w:tab w:val="left" w:pos="284"/>
        </w:tabs>
        <w:rPr>
          <w:rFonts w:ascii="Times New Roman" w:hAnsi="Times New Roman" w:cs="Times New Roman"/>
          <w:sz w:val="20"/>
          <w:szCs w:val="20"/>
        </w:rPr>
      </w:pPr>
    </w:p>
    <w:p w14:paraId="2498BC0D" w14:textId="77777777" w:rsidR="00DC1320" w:rsidRDefault="00DC1320" w:rsidP="00DC1320">
      <w:pPr>
        <w:pStyle w:val="PlainText"/>
        <w:tabs>
          <w:tab w:val="left" w:pos="284"/>
        </w:tabs>
        <w:rPr>
          <w:b/>
          <w:bCs/>
        </w:rPr>
        <w:sectPr w:rsidR="00DC1320" w:rsidSect="00DC1320">
          <w:pgSz w:w="11906" w:h="16838" w:code="9"/>
          <w:pgMar w:top="1440" w:right="1077" w:bottom="1440" w:left="1077" w:header="709" w:footer="709" w:gutter="0"/>
          <w:cols w:space="708"/>
          <w:titlePg/>
          <w:docGrid w:linePitch="360"/>
        </w:sectPr>
      </w:pPr>
    </w:p>
    <w:p w14:paraId="3C41343C" w14:textId="77777777" w:rsidR="00DC1320" w:rsidRPr="00DC1320" w:rsidRDefault="00DC1320" w:rsidP="00DC1320">
      <w:pPr>
        <w:pStyle w:val="PlainText"/>
        <w:tabs>
          <w:tab w:val="left" w:pos="284"/>
        </w:tabs>
        <w:rPr>
          <w:rFonts w:ascii="Times New Roman" w:hAnsi="Times New Roman" w:cs="Times New Roman"/>
          <w:b/>
          <w:bCs/>
          <w:sz w:val="20"/>
          <w:szCs w:val="20"/>
        </w:rPr>
      </w:pPr>
      <w:r w:rsidRPr="00DC1320">
        <w:rPr>
          <w:b/>
          <w:bCs/>
        </w:rPr>
        <w:t>A</w:t>
      </w:r>
    </w:p>
    <w:p w14:paraId="2C7DAE3A" w14:textId="77777777" w:rsidR="00DC1320" w:rsidRPr="00DC1320" w:rsidRDefault="00DC1320" w:rsidP="00DC1320">
      <w:pPr>
        <w:pStyle w:val="PlainText"/>
        <w:tabs>
          <w:tab w:val="left" w:pos="284"/>
        </w:tabs>
      </w:pPr>
      <w:r w:rsidRPr="00DC1320">
        <w:t>Aboriginal and Torres Strait Islander workers</w:t>
      </w:r>
    </w:p>
    <w:p w14:paraId="6C91A509" w14:textId="77777777" w:rsidR="00DC1320" w:rsidRPr="00DC1320" w:rsidRDefault="00DC1320" w:rsidP="00DC1320">
      <w:pPr>
        <w:pStyle w:val="PlainText"/>
        <w:tabs>
          <w:tab w:val="left" w:pos="284"/>
        </w:tabs>
      </w:pPr>
      <w:r w:rsidRPr="00DC1320">
        <w:tab/>
        <w:t>culturally unsafe workplaces  130</w:t>
      </w:r>
    </w:p>
    <w:p w14:paraId="2A752C6D" w14:textId="77777777" w:rsidR="00DC1320" w:rsidRPr="00DC1320" w:rsidRDefault="00DC1320" w:rsidP="00DC1320">
      <w:pPr>
        <w:pStyle w:val="PlainText"/>
        <w:tabs>
          <w:tab w:val="left" w:pos="284"/>
        </w:tabs>
      </w:pPr>
      <w:r w:rsidRPr="00DC1320">
        <w:tab/>
        <w:t>racism  128, 130</w:t>
      </w:r>
    </w:p>
    <w:p w14:paraId="6C3629A3" w14:textId="77777777" w:rsidR="00DC1320" w:rsidRPr="00DC1320" w:rsidRDefault="00DC1320" w:rsidP="00DC1320">
      <w:pPr>
        <w:pStyle w:val="PlainText"/>
        <w:tabs>
          <w:tab w:val="left" w:pos="284"/>
        </w:tabs>
      </w:pPr>
      <w:r w:rsidRPr="00DC1320">
        <w:t>accreditation  139</w:t>
      </w:r>
    </w:p>
    <w:p w14:paraId="74E83C76" w14:textId="77777777" w:rsidR="00DC1320" w:rsidRPr="00DC1320" w:rsidRDefault="00DC1320" w:rsidP="00DC1320">
      <w:pPr>
        <w:pStyle w:val="PlainText"/>
        <w:tabs>
          <w:tab w:val="left" w:pos="284"/>
        </w:tabs>
      </w:pPr>
      <w:r w:rsidRPr="00DC1320">
        <w:t>advisory councils, tripartite  21, 64</w:t>
      </w:r>
    </w:p>
    <w:p w14:paraId="0C646A97" w14:textId="77777777" w:rsidR="00DC1320" w:rsidRPr="00DC1320" w:rsidRDefault="00DC1320" w:rsidP="00DC1320">
      <w:pPr>
        <w:pStyle w:val="PlainText"/>
        <w:tabs>
          <w:tab w:val="left" w:pos="284"/>
        </w:tabs>
      </w:pPr>
      <w:r w:rsidRPr="00DC1320">
        <w:t>agriculture industry</w:t>
      </w:r>
    </w:p>
    <w:p w14:paraId="0359CFBE" w14:textId="77777777" w:rsidR="00DC1320" w:rsidRPr="00DC1320" w:rsidRDefault="00DC1320" w:rsidP="00DC1320">
      <w:pPr>
        <w:pStyle w:val="PlainText"/>
        <w:tabs>
          <w:tab w:val="left" w:pos="284"/>
        </w:tabs>
      </w:pPr>
      <w:r w:rsidRPr="00DC1320">
        <w:tab/>
        <w:t>climate change impacts  122, 126</w:t>
      </w:r>
    </w:p>
    <w:p w14:paraId="278357EF" w14:textId="77777777" w:rsidR="00DC1320" w:rsidRPr="00DC1320" w:rsidRDefault="00DC1320" w:rsidP="00DC1320">
      <w:pPr>
        <w:pStyle w:val="PlainText"/>
        <w:tabs>
          <w:tab w:val="left" w:pos="284"/>
        </w:tabs>
      </w:pPr>
      <w:r w:rsidRPr="00DC1320">
        <w:tab/>
        <w:t>fatality rates  26, 161</w:t>
      </w:r>
    </w:p>
    <w:p w14:paraId="74D1303B" w14:textId="77777777" w:rsidR="00DC1320" w:rsidRPr="00DC1320" w:rsidRDefault="00DC1320" w:rsidP="00DC1320">
      <w:pPr>
        <w:pStyle w:val="PlainText"/>
        <w:tabs>
          <w:tab w:val="left" w:pos="284"/>
        </w:tabs>
      </w:pPr>
      <w:r w:rsidRPr="00DC1320">
        <w:tab/>
        <w:t>hosting energy infrastructure  28</w:t>
      </w:r>
    </w:p>
    <w:p w14:paraId="1834416B" w14:textId="77777777" w:rsidR="00DC1320" w:rsidRPr="00DC1320" w:rsidRDefault="00DC1320" w:rsidP="00DC1320">
      <w:pPr>
        <w:pStyle w:val="PlainText"/>
        <w:tabs>
          <w:tab w:val="left" w:pos="284"/>
        </w:tabs>
      </w:pPr>
      <w:r w:rsidRPr="00DC1320">
        <w:tab/>
        <w:t>priority industry codes  97</w:t>
      </w:r>
    </w:p>
    <w:p w14:paraId="27BE749F" w14:textId="77777777" w:rsidR="00DC1320" w:rsidRPr="00DC1320" w:rsidRDefault="00DC1320" w:rsidP="00DC1320">
      <w:pPr>
        <w:pStyle w:val="PlainText"/>
        <w:tabs>
          <w:tab w:val="left" w:pos="284"/>
        </w:tabs>
      </w:pPr>
      <w:r w:rsidRPr="00DC1320">
        <w:tab/>
        <w:t>psychosocial hazards  128</w:t>
      </w:r>
    </w:p>
    <w:p w14:paraId="508CCDEE" w14:textId="77777777" w:rsidR="00DC1320" w:rsidRPr="00DC1320" w:rsidRDefault="00DC1320" w:rsidP="00DC1320">
      <w:pPr>
        <w:pStyle w:val="PlainText"/>
        <w:tabs>
          <w:tab w:val="left" w:pos="284"/>
        </w:tabs>
      </w:pPr>
      <w:r w:rsidRPr="00DC1320">
        <w:t>AI see artificial intelligence (AI)</w:t>
      </w:r>
    </w:p>
    <w:p w14:paraId="44C4F8F4" w14:textId="77777777" w:rsidR="00DC1320" w:rsidRPr="00DC1320" w:rsidRDefault="00DC1320" w:rsidP="00DC1320">
      <w:pPr>
        <w:pStyle w:val="PlainText"/>
        <w:tabs>
          <w:tab w:val="left" w:pos="284"/>
        </w:tabs>
      </w:pPr>
      <w:r w:rsidRPr="00DC1320">
        <w:t>AI Employment and Workplace Forum  116</w:t>
      </w:r>
    </w:p>
    <w:p w14:paraId="538F8C25" w14:textId="77777777" w:rsidR="00DC1320" w:rsidRPr="00DC1320" w:rsidRDefault="00DC1320" w:rsidP="00DC1320">
      <w:pPr>
        <w:pStyle w:val="PlainText"/>
        <w:tabs>
          <w:tab w:val="left" w:pos="284"/>
        </w:tabs>
      </w:pPr>
      <w:r w:rsidRPr="00DC1320">
        <w:t>air quality  126</w:t>
      </w:r>
    </w:p>
    <w:p w14:paraId="450049AC" w14:textId="77777777" w:rsidR="00DC1320" w:rsidRPr="00DC1320" w:rsidRDefault="00DC1320" w:rsidP="00DC1320">
      <w:pPr>
        <w:pStyle w:val="PlainText"/>
        <w:tabs>
          <w:tab w:val="left" w:pos="284"/>
        </w:tabs>
      </w:pPr>
      <w:r w:rsidRPr="00DC1320">
        <w:t>alternative verdicts  11, 82, 150</w:t>
      </w:r>
    </w:p>
    <w:p w14:paraId="37172A58" w14:textId="77777777" w:rsidR="00DC1320" w:rsidRPr="00DC1320" w:rsidRDefault="00DC1320" w:rsidP="00DC1320">
      <w:pPr>
        <w:pStyle w:val="PlainText"/>
        <w:tabs>
          <w:tab w:val="left" w:pos="284"/>
        </w:tabs>
      </w:pPr>
      <w:r w:rsidRPr="00DC1320">
        <w:t>amenities and facilities  99, 129</w:t>
      </w:r>
    </w:p>
    <w:p w14:paraId="0EC04A2A" w14:textId="77777777" w:rsidR="00DC1320" w:rsidRPr="00DC1320" w:rsidRDefault="00DC1320" w:rsidP="00DC1320">
      <w:pPr>
        <w:pStyle w:val="PlainText"/>
        <w:tabs>
          <w:tab w:val="left" w:pos="284"/>
        </w:tabs>
      </w:pPr>
      <w:r w:rsidRPr="00DC1320">
        <w:t>amusement devices  106–7</w:t>
      </w:r>
    </w:p>
    <w:p w14:paraId="01E9D8B8" w14:textId="77777777" w:rsidR="00DC1320" w:rsidRPr="00DC1320" w:rsidRDefault="00DC1320" w:rsidP="00DC1320">
      <w:pPr>
        <w:pStyle w:val="PlainText"/>
        <w:tabs>
          <w:tab w:val="left" w:pos="284"/>
        </w:tabs>
      </w:pPr>
      <w:r w:rsidRPr="00DC1320">
        <w:tab/>
        <w:t>case law  187, 190</w:t>
      </w:r>
    </w:p>
    <w:p w14:paraId="032BCBD0" w14:textId="77777777" w:rsidR="00DC1320" w:rsidRPr="00DC1320" w:rsidRDefault="00DC1320" w:rsidP="00DC1320">
      <w:pPr>
        <w:pStyle w:val="PlainText"/>
        <w:tabs>
          <w:tab w:val="left" w:pos="284"/>
        </w:tabs>
      </w:pPr>
      <w:r w:rsidRPr="00DC1320">
        <w:tab/>
        <w:t>competent person framework  106–7</w:t>
      </w:r>
    </w:p>
    <w:p w14:paraId="42368A2F" w14:textId="77777777" w:rsidR="00DC1320" w:rsidRPr="00DC1320" w:rsidRDefault="00DC1320" w:rsidP="00DC1320">
      <w:pPr>
        <w:pStyle w:val="PlainText"/>
        <w:tabs>
          <w:tab w:val="left" w:pos="284"/>
        </w:tabs>
      </w:pPr>
      <w:r w:rsidRPr="00DC1320">
        <w:tab/>
        <w:t>fatalities  106, 187, 190</w:t>
      </w:r>
    </w:p>
    <w:p w14:paraId="41601093" w14:textId="77777777" w:rsidR="00DC1320" w:rsidRPr="00DC1320" w:rsidRDefault="00DC1320" w:rsidP="00DC1320">
      <w:pPr>
        <w:pStyle w:val="PlainText"/>
        <w:tabs>
          <w:tab w:val="left" w:pos="284"/>
        </w:tabs>
      </w:pPr>
      <w:r w:rsidRPr="00DC1320">
        <w:tab/>
        <w:t>log book use and major inspections  106</w:t>
      </w:r>
    </w:p>
    <w:p w14:paraId="1D68B1FE" w14:textId="77777777" w:rsidR="00DC1320" w:rsidRPr="00DC1320" w:rsidRDefault="00DC1320" w:rsidP="00DC1320">
      <w:pPr>
        <w:pStyle w:val="PlainText"/>
        <w:tabs>
          <w:tab w:val="left" w:pos="284"/>
        </w:tabs>
      </w:pPr>
      <w:r w:rsidRPr="00DC1320">
        <w:t>applied law scheme, proposed  20</w:t>
      </w:r>
    </w:p>
    <w:p w14:paraId="548127E7" w14:textId="77777777" w:rsidR="00DC1320" w:rsidRPr="00DC1320" w:rsidRDefault="00DC1320" w:rsidP="00DC1320">
      <w:pPr>
        <w:pStyle w:val="PlainText"/>
        <w:tabs>
          <w:tab w:val="left" w:pos="284"/>
        </w:tabs>
      </w:pPr>
      <w:r w:rsidRPr="00DC1320">
        <w:t>artificial intelligence (AI)  7, 115–16</w:t>
      </w:r>
    </w:p>
    <w:p w14:paraId="79E49F75" w14:textId="77777777" w:rsidR="00DC1320" w:rsidRPr="00DC1320" w:rsidRDefault="00DC1320" w:rsidP="00DC1320">
      <w:pPr>
        <w:pStyle w:val="PlainText"/>
        <w:tabs>
          <w:tab w:val="left" w:pos="284"/>
        </w:tabs>
      </w:pPr>
      <w:r w:rsidRPr="00DC1320">
        <w:tab/>
        <w:t>agentic AI  116</w:t>
      </w:r>
    </w:p>
    <w:p w14:paraId="52C643D7" w14:textId="77777777" w:rsidR="00DC1320" w:rsidRPr="00DC1320" w:rsidRDefault="00DC1320" w:rsidP="00DC1320">
      <w:pPr>
        <w:pStyle w:val="PlainText"/>
        <w:tabs>
          <w:tab w:val="left" w:pos="284"/>
        </w:tabs>
      </w:pPr>
      <w:r w:rsidRPr="00DC1320">
        <w:tab/>
        <w:t>AI Employment and Workplace Forum  116</w:t>
      </w:r>
    </w:p>
    <w:p w14:paraId="1B255E28" w14:textId="77777777" w:rsidR="00DC1320" w:rsidRPr="00DC1320" w:rsidRDefault="00DC1320" w:rsidP="00DC1320">
      <w:pPr>
        <w:pStyle w:val="PlainText"/>
        <w:tabs>
          <w:tab w:val="left" w:pos="284"/>
        </w:tabs>
      </w:pPr>
      <w:r w:rsidRPr="00DC1320">
        <w:tab/>
        <w:t>application of model WHS laws  118</w:t>
      </w:r>
    </w:p>
    <w:p w14:paraId="0399F036" w14:textId="77777777" w:rsidR="00DC1320" w:rsidRPr="00DC1320" w:rsidRDefault="00DC1320" w:rsidP="00DC1320">
      <w:pPr>
        <w:pStyle w:val="PlainText"/>
        <w:tabs>
          <w:tab w:val="left" w:pos="284"/>
        </w:tabs>
      </w:pPr>
      <w:r w:rsidRPr="00DC1320">
        <w:tab/>
        <w:t>developing strategy on  10, 121</w:t>
      </w:r>
    </w:p>
    <w:p w14:paraId="43A10CA0" w14:textId="77777777" w:rsidR="00DC1320" w:rsidRPr="00DC1320" w:rsidRDefault="00DC1320" w:rsidP="00DC1320">
      <w:pPr>
        <w:pStyle w:val="PlainText"/>
        <w:tabs>
          <w:tab w:val="left" w:pos="284"/>
        </w:tabs>
      </w:pPr>
      <w:r w:rsidRPr="00DC1320">
        <w:tab/>
        <w:t>digital work systems  119–20</w:t>
      </w:r>
    </w:p>
    <w:p w14:paraId="146E3B22" w14:textId="77777777" w:rsidR="00DC1320" w:rsidRPr="00DC1320" w:rsidRDefault="00DC1320" w:rsidP="00DC1320">
      <w:pPr>
        <w:pStyle w:val="PlainText"/>
        <w:tabs>
          <w:tab w:val="left" w:pos="284"/>
        </w:tabs>
      </w:pPr>
      <w:r w:rsidRPr="00DC1320">
        <w:tab/>
        <w:t>generative AI  116</w:t>
      </w:r>
    </w:p>
    <w:p w14:paraId="63DF3522" w14:textId="77777777" w:rsidR="00DC1320" w:rsidRPr="00DC1320" w:rsidRDefault="00DC1320" w:rsidP="00DC1320">
      <w:pPr>
        <w:pStyle w:val="PlainText"/>
        <w:tabs>
          <w:tab w:val="left" w:pos="284"/>
        </w:tabs>
      </w:pPr>
      <w:r w:rsidRPr="00DC1320">
        <w:tab/>
        <w:t>government responses  119</w:t>
      </w:r>
    </w:p>
    <w:p w14:paraId="05063285" w14:textId="77777777" w:rsidR="00DC1320" w:rsidRPr="00DC1320" w:rsidRDefault="00DC1320" w:rsidP="00DC1320">
      <w:pPr>
        <w:pStyle w:val="PlainText"/>
        <w:tabs>
          <w:tab w:val="left" w:pos="284"/>
        </w:tabs>
      </w:pPr>
      <w:r w:rsidRPr="00DC1320">
        <w:tab/>
        <w:t>mitigation of harms associated with  116</w:t>
      </w:r>
    </w:p>
    <w:p w14:paraId="59CCD1A3" w14:textId="77777777" w:rsidR="00DC1320" w:rsidRPr="00DC1320" w:rsidRDefault="00DC1320" w:rsidP="00DC1320">
      <w:pPr>
        <w:pStyle w:val="PlainText"/>
        <w:tabs>
          <w:tab w:val="left" w:pos="284"/>
        </w:tabs>
      </w:pPr>
      <w:r w:rsidRPr="00DC1320">
        <w:tab/>
        <w:t>model WHS Regulations, modernisation  113</w:t>
      </w:r>
    </w:p>
    <w:p w14:paraId="21933255" w14:textId="77777777" w:rsidR="00DC1320" w:rsidRPr="00DC1320" w:rsidRDefault="00DC1320" w:rsidP="00DC1320">
      <w:pPr>
        <w:pStyle w:val="PlainText"/>
        <w:tabs>
          <w:tab w:val="left" w:pos="284"/>
        </w:tabs>
      </w:pPr>
      <w:r w:rsidRPr="00DC1320">
        <w:tab/>
        <w:t>National AI Plan  116</w:t>
      </w:r>
    </w:p>
    <w:p w14:paraId="26FEB1BC" w14:textId="77777777" w:rsidR="00DC1320" w:rsidRPr="00DC1320" w:rsidRDefault="00DC1320" w:rsidP="00DC1320">
      <w:pPr>
        <w:pStyle w:val="PlainText"/>
        <w:tabs>
          <w:tab w:val="left" w:pos="284"/>
        </w:tabs>
      </w:pPr>
      <w:r w:rsidRPr="00DC1320">
        <w:tab/>
        <w:t>NSW Digital Work System variation  119–20</w:t>
      </w:r>
    </w:p>
    <w:p w14:paraId="13F53E62" w14:textId="77777777" w:rsidR="00DC1320" w:rsidRPr="00DC1320" w:rsidRDefault="00DC1320" w:rsidP="00DC1320">
      <w:pPr>
        <w:pStyle w:val="PlainText"/>
        <w:tabs>
          <w:tab w:val="left" w:pos="284"/>
        </w:tabs>
      </w:pPr>
      <w:r w:rsidRPr="00DC1320">
        <w:tab/>
        <w:t>recommendations  10, 121</w:t>
      </w:r>
    </w:p>
    <w:p w14:paraId="4266FB36" w14:textId="77777777" w:rsidR="00DC1320" w:rsidRPr="00DC1320" w:rsidRDefault="00DC1320" w:rsidP="00DC1320">
      <w:pPr>
        <w:pStyle w:val="PlainText"/>
        <w:tabs>
          <w:tab w:val="left" w:pos="284"/>
        </w:tabs>
      </w:pPr>
      <w:r w:rsidRPr="00DC1320">
        <w:tab/>
        <w:t>review findings  117</w:t>
      </w:r>
    </w:p>
    <w:p w14:paraId="03C016A5" w14:textId="77777777" w:rsidR="00DC1320" w:rsidRPr="00DC1320" w:rsidRDefault="00DC1320" w:rsidP="00DC1320">
      <w:pPr>
        <w:pStyle w:val="PlainText"/>
        <w:tabs>
          <w:tab w:val="left" w:pos="284"/>
        </w:tabs>
      </w:pPr>
      <w:r w:rsidRPr="00DC1320">
        <w:tab/>
        <w:t>safe system of work  118</w:t>
      </w:r>
    </w:p>
    <w:p w14:paraId="7B316B1D" w14:textId="77777777" w:rsidR="00DC1320" w:rsidRPr="00DC1320" w:rsidRDefault="00DC1320" w:rsidP="00DC1320">
      <w:pPr>
        <w:pStyle w:val="PlainText"/>
        <w:tabs>
          <w:tab w:val="left" w:pos="284"/>
        </w:tabs>
      </w:pPr>
      <w:r w:rsidRPr="00DC1320">
        <w:t>Australian burden of disease study  162–3</w:t>
      </w:r>
    </w:p>
    <w:p w14:paraId="31E73A10" w14:textId="77777777" w:rsidR="00DC1320" w:rsidRPr="00DC1320" w:rsidRDefault="00DC1320" w:rsidP="00DC1320">
      <w:pPr>
        <w:pStyle w:val="PlainText"/>
        <w:tabs>
          <w:tab w:val="left" w:pos="284"/>
        </w:tabs>
      </w:pPr>
      <w:r w:rsidRPr="00DC1320">
        <w:t>Australian Constitution</w:t>
      </w:r>
    </w:p>
    <w:p w14:paraId="0EAB3B7A" w14:textId="77777777" w:rsidR="00DC1320" w:rsidRPr="00DC1320" w:rsidRDefault="00DC1320" w:rsidP="00DC1320">
      <w:pPr>
        <w:pStyle w:val="PlainText"/>
        <w:tabs>
          <w:tab w:val="left" w:pos="284"/>
        </w:tabs>
      </w:pPr>
      <w:r w:rsidRPr="00DC1320">
        <w:tab/>
        <w:t>referral of powers to Commonwealth  20</w:t>
      </w:r>
    </w:p>
    <w:p w14:paraId="5A156B9E" w14:textId="77777777" w:rsidR="00DC1320" w:rsidRPr="00DC1320" w:rsidRDefault="00DC1320" w:rsidP="00DC1320">
      <w:pPr>
        <w:pStyle w:val="PlainText"/>
        <w:tabs>
          <w:tab w:val="left" w:pos="284"/>
        </w:tabs>
      </w:pPr>
      <w:r w:rsidRPr="00DC1320">
        <w:t>Australian Human Rights Commission  11, 31</w:t>
      </w:r>
    </w:p>
    <w:p w14:paraId="02CE845D" w14:textId="77777777" w:rsidR="00DC1320" w:rsidRPr="00DC1320" w:rsidRDefault="00DC1320" w:rsidP="00DC1320">
      <w:pPr>
        <w:pStyle w:val="PlainText"/>
        <w:tabs>
          <w:tab w:val="left" w:pos="284"/>
        </w:tabs>
      </w:pPr>
      <w:r w:rsidRPr="00DC1320">
        <w:t>Australian WHS Strategy 2023−2033  26, 123</w:t>
      </w:r>
    </w:p>
    <w:p w14:paraId="47B88FD8" w14:textId="77777777" w:rsidR="00DC1320" w:rsidRPr="00DC1320" w:rsidRDefault="00DC1320" w:rsidP="00DC1320">
      <w:pPr>
        <w:pStyle w:val="PlainText"/>
        <w:tabs>
          <w:tab w:val="left" w:pos="284"/>
        </w:tabs>
      </w:pPr>
      <w:r w:rsidRPr="00DC1320">
        <w:t>Australian WHS Survey – Autumn Edition 2024  39</w:t>
      </w:r>
    </w:p>
    <w:p w14:paraId="0E7323D2" w14:textId="77777777" w:rsidR="00DC1320" w:rsidRPr="00DC1320" w:rsidRDefault="00DC1320" w:rsidP="00DC1320">
      <w:pPr>
        <w:pStyle w:val="PlainText"/>
        <w:tabs>
          <w:tab w:val="left" w:pos="284"/>
        </w:tabs>
      </w:pPr>
      <w:r w:rsidRPr="00DC1320">
        <w:t>aviation safety frameworks  27, 138</w:t>
      </w:r>
    </w:p>
    <w:p w14:paraId="7231EB4E" w14:textId="77777777" w:rsidR="00DC1320" w:rsidRPr="00DC1320" w:rsidRDefault="00DC1320" w:rsidP="00DC1320">
      <w:pPr>
        <w:pStyle w:val="PlainText"/>
        <w:tabs>
          <w:tab w:val="left" w:pos="284"/>
        </w:tabs>
      </w:pPr>
    </w:p>
    <w:p w14:paraId="001CFC23" w14:textId="77777777" w:rsidR="00DC1320" w:rsidRPr="00DC1320" w:rsidRDefault="00DC1320" w:rsidP="00DC1320">
      <w:pPr>
        <w:pStyle w:val="PlainText"/>
        <w:tabs>
          <w:tab w:val="left" w:pos="284"/>
        </w:tabs>
        <w:rPr>
          <w:b/>
          <w:bCs/>
        </w:rPr>
      </w:pPr>
      <w:r w:rsidRPr="00DC1320">
        <w:rPr>
          <w:b/>
          <w:bCs/>
        </w:rPr>
        <w:t>B</w:t>
      </w:r>
    </w:p>
    <w:p w14:paraId="7301744C" w14:textId="77777777" w:rsidR="00DC1320" w:rsidRPr="00DC1320" w:rsidRDefault="00DC1320" w:rsidP="00DC1320">
      <w:pPr>
        <w:pStyle w:val="PlainText"/>
        <w:tabs>
          <w:tab w:val="left" w:pos="284"/>
        </w:tabs>
      </w:pPr>
      <w:r w:rsidRPr="00DC1320">
        <w:t>Best Practice Review</w:t>
      </w:r>
    </w:p>
    <w:p w14:paraId="19D7808C" w14:textId="77777777" w:rsidR="00DC1320" w:rsidRPr="00DC1320" w:rsidRDefault="00DC1320" w:rsidP="00DC1320">
      <w:pPr>
        <w:pStyle w:val="PlainText"/>
        <w:tabs>
          <w:tab w:val="left" w:pos="284"/>
        </w:tabs>
      </w:pPr>
      <w:r w:rsidRPr="00DC1320">
        <w:tab/>
        <w:t>employer survey  178–86</w:t>
      </w:r>
    </w:p>
    <w:p w14:paraId="7B6B4329" w14:textId="77777777" w:rsidR="00DC1320" w:rsidRPr="00DC1320" w:rsidRDefault="00DC1320" w:rsidP="00DC1320">
      <w:pPr>
        <w:pStyle w:val="PlainText"/>
        <w:tabs>
          <w:tab w:val="left" w:pos="284"/>
        </w:tabs>
      </w:pPr>
      <w:r w:rsidRPr="00DC1320">
        <w:tab/>
        <w:t>executive summary  5–7</w:t>
      </w:r>
    </w:p>
    <w:p w14:paraId="5CFC86F6" w14:textId="77777777" w:rsidR="00DC1320" w:rsidRPr="00DC1320" w:rsidRDefault="00DC1320" w:rsidP="00DC1320">
      <w:pPr>
        <w:pStyle w:val="PlainText"/>
        <w:tabs>
          <w:tab w:val="left" w:pos="284"/>
        </w:tabs>
      </w:pPr>
      <w:r w:rsidRPr="00DC1320">
        <w:tab/>
        <w:t>introduction  12–13</w:t>
      </w:r>
    </w:p>
    <w:p w14:paraId="5ED26A00" w14:textId="77777777" w:rsidR="00DC1320" w:rsidRPr="00DC1320" w:rsidRDefault="00DC1320" w:rsidP="00DC1320">
      <w:pPr>
        <w:pStyle w:val="PlainText"/>
        <w:tabs>
          <w:tab w:val="left" w:pos="284"/>
        </w:tabs>
      </w:pPr>
      <w:r w:rsidRPr="00DC1320">
        <w:tab/>
        <w:t>recommendations summary  8–10</w:t>
      </w:r>
    </w:p>
    <w:p w14:paraId="49396BA6" w14:textId="77777777" w:rsidR="00DC1320" w:rsidRPr="00DC1320" w:rsidRDefault="00DC1320" w:rsidP="00DC1320">
      <w:pPr>
        <w:pStyle w:val="PlainText"/>
        <w:tabs>
          <w:tab w:val="left" w:pos="284"/>
        </w:tabs>
      </w:pPr>
      <w:r w:rsidRPr="00DC1320">
        <w:tab/>
        <w:t>submissions and consultations  192–4</w:t>
      </w:r>
    </w:p>
    <w:p w14:paraId="3AE39D7D" w14:textId="77777777" w:rsidR="00DC1320" w:rsidRPr="00DC1320" w:rsidRDefault="00DC1320" w:rsidP="00DC1320">
      <w:pPr>
        <w:pStyle w:val="PlainText"/>
        <w:tabs>
          <w:tab w:val="left" w:pos="284"/>
        </w:tabs>
      </w:pPr>
      <w:r w:rsidRPr="00DC1320">
        <w:tab/>
        <w:t>survey results  169–86</w:t>
      </w:r>
    </w:p>
    <w:p w14:paraId="491DAA9D" w14:textId="77777777" w:rsidR="00DC1320" w:rsidRPr="00DC1320" w:rsidRDefault="00DC1320" w:rsidP="00DC1320">
      <w:pPr>
        <w:pStyle w:val="PlainText"/>
        <w:tabs>
          <w:tab w:val="left" w:pos="284"/>
        </w:tabs>
      </w:pPr>
      <w:r w:rsidRPr="00DC1320">
        <w:tab/>
        <w:t>Terms of Reference  133–4</w:t>
      </w:r>
    </w:p>
    <w:p w14:paraId="12271996" w14:textId="77777777" w:rsidR="00DC1320" w:rsidRPr="00DC1320" w:rsidRDefault="00DC1320" w:rsidP="00DC1320">
      <w:pPr>
        <w:pStyle w:val="PlainText"/>
        <w:tabs>
          <w:tab w:val="left" w:pos="284"/>
        </w:tabs>
      </w:pPr>
      <w:r w:rsidRPr="00DC1320">
        <w:tab/>
        <w:t>worker and HSR survey  169–78</w:t>
      </w:r>
    </w:p>
    <w:p w14:paraId="010D4D16" w14:textId="77777777" w:rsidR="00DC1320" w:rsidRPr="00DC1320" w:rsidRDefault="00DC1320" w:rsidP="00DC1320">
      <w:pPr>
        <w:pStyle w:val="PlainText"/>
        <w:tabs>
          <w:tab w:val="left" w:pos="284"/>
        </w:tabs>
      </w:pPr>
      <w:r w:rsidRPr="00DC1320">
        <w:t>biological hazards  38, 125</w:t>
      </w:r>
    </w:p>
    <w:p w14:paraId="7653044E" w14:textId="77777777" w:rsidR="00DC1320" w:rsidRPr="00DC1320" w:rsidRDefault="00DC1320" w:rsidP="00DC1320">
      <w:pPr>
        <w:pStyle w:val="PlainText"/>
        <w:tabs>
          <w:tab w:val="left" w:pos="284"/>
        </w:tabs>
      </w:pPr>
      <w:r w:rsidRPr="00DC1320">
        <w:t>bullying  57, 127–30, 140</w:t>
      </w:r>
    </w:p>
    <w:p w14:paraId="69D910D5" w14:textId="77777777" w:rsidR="00DC1320" w:rsidRPr="00DC1320" w:rsidRDefault="00DC1320" w:rsidP="00DC1320">
      <w:pPr>
        <w:pStyle w:val="PlainText"/>
        <w:tabs>
          <w:tab w:val="left" w:pos="284"/>
        </w:tabs>
      </w:pPr>
    </w:p>
    <w:p w14:paraId="4767A15B" w14:textId="77777777" w:rsidR="00DC1320" w:rsidRPr="00DC1320" w:rsidRDefault="00DC1320" w:rsidP="00DC1320">
      <w:pPr>
        <w:pStyle w:val="PlainText"/>
        <w:tabs>
          <w:tab w:val="left" w:pos="284"/>
        </w:tabs>
        <w:rPr>
          <w:b/>
          <w:bCs/>
        </w:rPr>
      </w:pPr>
      <w:r w:rsidRPr="00DC1320">
        <w:rPr>
          <w:b/>
          <w:bCs/>
        </w:rPr>
        <w:t>C</w:t>
      </w:r>
    </w:p>
    <w:p w14:paraId="6DA60210" w14:textId="77777777" w:rsidR="00DC1320" w:rsidRPr="00DC1320" w:rsidRDefault="00DC1320" w:rsidP="00DC1320">
      <w:pPr>
        <w:pStyle w:val="PlainText"/>
        <w:tabs>
          <w:tab w:val="left" w:pos="284"/>
        </w:tabs>
      </w:pPr>
      <w:r w:rsidRPr="00DC1320">
        <w:t>carcinogens  107</w:t>
      </w:r>
    </w:p>
    <w:p w14:paraId="14AA1022" w14:textId="77777777" w:rsidR="00DC1320" w:rsidRPr="00DC1320" w:rsidRDefault="00DC1320" w:rsidP="00DC1320">
      <w:pPr>
        <w:pStyle w:val="PlainText"/>
        <w:tabs>
          <w:tab w:val="left" w:pos="284"/>
        </w:tabs>
      </w:pPr>
      <w:r w:rsidRPr="00DC1320">
        <w:t>case law  187–90</w:t>
      </w:r>
    </w:p>
    <w:p w14:paraId="5B39A69E" w14:textId="77777777" w:rsidR="00DC1320" w:rsidRPr="00DC1320" w:rsidRDefault="00DC1320" w:rsidP="00DC1320">
      <w:pPr>
        <w:pStyle w:val="PlainText"/>
        <w:tabs>
          <w:tab w:val="left" w:pos="284"/>
        </w:tabs>
      </w:pPr>
      <w:r w:rsidRPr="00DC1320">
        <w:t>child safety  111</w:t>
      </w:r>
    </w:p>
    <w:p w14:paraId="4DB9D310" w14:textId="77777777" w:rsidR="00DC1320" w:rsidRPr="00DC1320" w:rsidRDefault="00DC1320" w:rsidP="00DC1320">
      <w:pPr>
        <w:pStyle w:val="PlainText"/>
        <w:tabs>
          <w:tab w:val="left" w:pos="284"/>
        </w:tabs>
      </w:pPr>
      <w:r w:rsidRPr="00DC1320">
        <w:t>civil penalty offences  76, 79, 85</w:t>
      </w:r>
    </w:p>
    <w:p w14:paraId="6CE2FA94" w14:textId="77777777" w:rsidR="00DC1320" w:rsidRPr="00DC1320" w:rsidRDefault="00DC1320" w:rsidP="00DC1320">
      <w:pPr>
        <w:pStyle w:val="PlainText"/>
        <w:tabs>
          <w:tab w:val="left" w:pos="284"/>
        </w:tabs>
      </w:pPr>
      <w:r w:rsidRPr="00DC1320">
        <w:t>civil penalty proceedings  76, 79–80, 150</w:t>
      </w:r>
    </w:p>
    <w:p w14:paraId="5AB403F0" w14:textId="77777777" w:rsidR="00DC1320" w:rsidRPr="00DC1320" w:rsidRDefault="00DC1320" w:rsidP="00DC1320">
      <w:pPr>
        <w:pStyle w:val="PlainText"/>
        <w:tabs>
          <w:tab w:val="left" w:pos="284"/>
        </w:tabs>
      </w:pPr>
      <w:r w:rsidRPr="00DC1320">
        <w:t>climate change  7, 10, 122–7</w:t>
      </w:r>
    </w:p>
    <w:p w14:paraId="4707F7E9" w14:textId="77777777" w:rsidR="00DC1320" w:rsidRPr="00DC1320" w:rsidRDefault="00DC1320" w:rsidP="00DC1320">
      <w:pPr>
        <w:pStyle w:val="PlainText"/>
        <w:tabs>
          <w:tab w:val="left" w:pos="284"/>
        </w:tabs>
      </w:pPr>
      <w:r w:rsidRPr="00DC1320">
        <w:tab/>
        <w:t>air quality  126</w:t>
      </w:r>
    </w:p>
    <w:p w14:paraId="17BE8ACD" w14:textId="77777777" w:rsidR="00DC1320" w:rsidRPr="00DC1320" w:rsidRDefault="00DC1320" w:rsidP="00DC1320">
      <w:pPr>
        <w:pStyle w:val="PlainText"/>
        <w:tabs>
          <w:tab w:val="left" w:pos="284"/>
        </w:tabs>
      </w:pPr>
      <w:r w:rsidRPr="00DC1320">
        <w:tab/>
        <w:t>consultation with stakeholders  123</w:t>
      </w:r>
    </w:p>
    <w:p w14:paraId="03DF9632" w14:textId="77777777" w:rsidR="00DC1320" w:rsidRPr="00DC1320" w:rsidRDefault="00DC1320" w:rsidP="00DC1320">
      <w:pPr>
        <w:pStyle w:val="PlainText"/>
        <w:tabs>
          <w:tab w:val="left" w:pos="284"/>
        </w:tabs>
      </w:pPr>
      <w:r w:rsidRPr="00DC1320">
        <w:tab/>
        <w:t>developing strategy on  10, 127</w:t>
      </w:r>
    </w:p>
    <w:p w14:paraId="3391A6B9" w14:textId="77777777" w:rsidR="00DC1320" w:rsidRPr="00DC1320" w:rsidRDefault="00DC1320" w:rsidP="00DC1320">
      <w:pPr>
        <w:pStyle w:val="PlainText"/>
        <w:tabs>
          <w:tab w:val="left" w:pos="284"/>
        </w:tabs>
      </w:pPr>
      <w:r w:rsidRPr="00DC1320">
        <w:tab/>
        <w:t>extreme heat  125</w:t>
      </w:r>
    </w:p>
    <w:p w14:paraId="75B5E7A3" w14:textId="77777777" w:rsidR="00DC1320" w:rsidRPr="00DC1320" w:rsidRDefault="00DC1320" w:rsidP="00DC1320">
      <w:pPr>
        <w:pStyle w:val="PlainText"/>
        <w:tabs>
          <w:tab w:val="left" w:pos="284"/>
        </w:tabs>
      </w:pPr>
      <w:r w:rsidRPr="00DC1320">
        <w:tab/>
        <w:t>hazards related to  125–6</w:t>
      </w:r>
    </w:p>
    <w:p w14:paraId="5E844FA6" w14:textId="77777777" w:rsidR="00DC1320" w:rsidRPr="00DC1320" w:rsidRDefault="00DC1320" w:rsidP="00DC1320">
      <w:pPr>
        <w:pStyle w:val="PlainText"/>
        <w:tabs>
          <w:tab w:val="left" w:pos="284"/>
        </w:tabs>
      </w:pPr>
      <w:r w:rsidRPr="00DC1320">
        <w:tab/>
        <w:t>ILO reports  123–5</w:t>
      </w:r>
    </w:p>
    <w:p w14:paraId="14F081D4" w14:textId="77777777" w:rsidR="00DC1320" w:rsidRPr="00DC1320" w:rsidRDefault="00DC1320" w:rsidP="00DC1320">
      <w:pPr>
        <w:pStyle w:val="PlainText"/>
        <w:tabs>
          <w:tab w:val="left" w:pos="284"/>
        </w:tabs>
      </w:pPr>
      <w:r w:rsidRPr="00DC1320">
        <w:tab/>
        <w:t>interdepartmental coordination on  123</w:t>
      </w:r>
    </w:p>
    <w:p w14:paraId="69B1526B" w14:textId="77777777" w:rsidR="00DC1320" w:rsidRPr="00DC1320" w:rsidRDefault="00DC1320" w:rsidP="00DC1320">
      <w:pPr>
        <w:pStyle w:val="PlainText"/>
        <w:tabs>
          <w:tab w:val="left" w:pos="284"/>
        </w:tabs>
      </w:pPr>
      <w:r w:rsidRPr="00DC1320">
        <w:tab/>
        <w:t>model WHS Regulations and  125</w:t>
      </w:r>
    </w:p>
    <w:p w14:paraId="52B3B9BF" w14:textId="77777777" w:rsidR="00DC1320" w:rsidRPr="00DC1320" w:rsidRDefault="00DC1320" w:rsidP="00DC1320">
      <w:pPr>
        <w:pStyle w:val="PlainText"/>
        <w:tabs>
          <w:tab w:val="left" w:pos="284"/>
        </w:tabs>
      </w:pPr>
      <w:r w:rsidRPr="00DC1320">
        <w:tab/>
        <w:t>National Adaptation Plan  123</w:t>
      </w:r>
    </w:p>
    <w:p w14:paraId="53E9BD49" w14:textId="77777777" w:rsidR="00DC1320" w:rsidRPr="00DC1320" w:rsidRDefault="00DC1320" w:rsidP="00DC1320">
      <w:pPr>
        <w:pStyle w:val="PlainText"/>
        <w:tabs>
          <w:tab w:val="left" w:pos="284"/>
        </w:tabs>
      </w:pPr>
      <w:r w:rsidRPr="00DC1320">
        <w:tab/>
        <w:t>National Health and Climate Strategy  123</w:t>
      </w:r>
    </w:p>
    <w:p w14:paraId="490F7EBF" w14:textId="77777777" w:rsidR="00DC1320" w:rsidRPr="00DC1320" w:rsidRDefault="00DC1320" w:rsidP="00DC1320">
      <w:pPr>
        <w:pStyle w:val="PlainText"/>
        <w:tabs>
          <w:tab w:val="left" w:pos="284"/>
        </w:tabs>
      </w:pPr>
      <w:r w:rsidRPr="00DC1320">
        <w:tab/>
        <w:t>overview  122</w:t>
      </w:r>
    </w:p>
    <w:p w14:paraId="727E4E6F" w14:textId="77777777" w:rsidR="00DC1320" w:rsidRPr="00DC1320" w:rsidRDefault="00DC1320" w:rsidP="00DC1320">
      <w:pPr>
        <w:pStyle w:val="PlainText"/>
        <w:tabs>
          <w:tab w:val="left" w:pos="284"/>
        </w:tabs>
      </w:pPr>
      <w:r w:rsidRPr="00DC1320">
        <w:tab/>
        <w:t>public health education  123</w:t>
      </w:r>
    </w:p>
    <w:p w14:paraId="7293EB7C" w14:textId="77777777" w:rsidR="00DC1320" w:rsidRPr="00DC1320" w:rsidRDefault="00DC1320" w:rsidP="00DC1320">
      <w:pPr>
        <w:pStyle w:val="PlainText"/>
        <w:tabs>
          <w:tab w:val="left" w:pos="284"/>
        </w:tabs>
      </w:pPr>
      <w:r w:rsidRPr="00DC1320">
        <w:tab/>
        <w:t>recommendations  10, 127</w:t>
      </w:r>
    </w:p>
    <w:p w14:paraId="2FBDFB4B" w14:textId="77777777" w:rsidR="00DC1320" w:rsidRPr="00DC1320" w:rsidRDefault="00DC1320" w:rsidP="00DC1320">
      <w:pPr>
        <w:pStyle w:val="PlainText"/>
        <w:tabs>
          <w:tab w:val="left" w:pos="284"/>
        </w:tabs>
      </w:pPr>
      <w:r w:rsidRPr="00DC1320">
        <w:tab/>
        <w:t>review findings  123</w:t>
      </w:r>
    </w:p>
    <w:p w14:paraId="265E40D8" w14:textId="77777777" w:rsidR="00DC1320" w:rsidRPr="00DC1320" w:rsidRDefault="00DC1320" w:rsidP="00DC1320">
      <w:pPr>
        <w:pStyle w:val="PlainText"/>
        <w:tabs>
          <w:tab w:val="left" w:pos="284"/>
        </w:tabs>
      </w:pPr>
      <w:r w:rsidRPr="00DC1320">
        <w:tab/>
        <w:t>strategy planning for  123–4</w:t>
      </w:r>
    </w:p>
    <w:p w14:paraId="08EA54B8" w14:textId="77777777" w:rsidR="00DC1320" w:rsidRPr="00DC1320" w:rsidRDefault="00DC1320" w:rsidP="00DC1320">
      <w:pPr>
        <w:pStyle w:val="PlainText"/>
        <w:tabs>
          <w:tab w:val="left" w:pos="284"/>
        </w:tabs>
      </w:pPr>
      <w:r w:rsidRPr="00DC1320">
        <w:tab/>
        <w:t>vector-borne diseases  126</w:t>
      </w:r>
    </w:p>
    <w:p w14:paraId="20C0DDCE" w14:textId="77777777" w:rsidR="00DC1320" w:rsidRPr="00DC1320" w:rsidRDefault="00DC1320" w:rsidP="00DC1320">
      <w:pPr>
        <w:pStyle w:val="PlainText"/>
        <w:tabs>
          <w:tab w:val="left" w:pos="284"/>
        </w:tabs>
      </w:pPr>
      <w:r w:rsidRPr="00DC1320">
        <w:tab/>
        <w:t>WHS impacts  122, 124</w:t>
      </w:r>
    </w:p>
    <w:p w14:paraId="3DB8FE26" w14:textId="77777777" w:rsidR="00DC1320" w:rsidRDefault="00DC1320" w:rsidP="00DC1320">
      <w:pPr>
        <w:pStyle w:val="PlainText"/>
        <w:tabs>
          <w:tab w:val="left" w:pos="284"/>
        </w:tabs>
      </w:pPr>
      <w:r>
        <w:br w:type="page"/>
      </w:r>
    </w:p>
    <w:p w14:paraId="2209DBD7" w14:textId="19BE89CB" w:rsidR="00DC1320" w:rsidRPr="00DC1320" w:rsidRDefault="00DC1320" w:rsidP="00DC1320">
      <w:pPr>
        <w:pStyle w:val="PlainText"/>
        <w:tabs>
          <w:tab w:val="left" w:pos="284"/>
        </w:tabs>
      </w:pPr>
      <w:r w:rsidRPr="00DC1320">
        <w:lastRenderedPageBreak/>
        <w:t>Codes of Practice  93–7</w:t>
      </w:r>
    </w:p>
    <w:p w14:paraId="6F437CD4" w14:textId="77777777" w:rsidR="00DC1320" w:rsidRPr="00DC1320" w:rsidRDefault="00DC1320" w:rsidP="00DC1320">
      <w:pPr>
        <w:pStyle w:val="PlainText"/>
        <w:tabs>
          <w:tab w:val="left" w:pos="284"/>
        </w:tabs>
      </w:pPr>
      <w:r w:rsidRPr="00DC1320">
        <w:tab/>
        <w:t>biological hazards  125</w:t>
      </w:r>
    </w:p>
    <w:p w14:paraId="0B18B3ED" w14:textId="77777777" w:rsidR="00DC1320" w:rsidRPr="00DC1320" w:rsidRDefault="00DC1320" w:rsidP="00DC1320">
      <w:pPr>
        <w:pStyle w:val="PlainText"/>
        <w:tabs>
          <w:tab w:val="left" w:pos="284"/>
        </w:tabs>
      </w:pPr>
      <w:r w:rsidRPr="00DC1320">
        <w:tab/>
        <w:t>court proceedings, role in  94</w:t>
      </w:r>
    </w:p>
    <w:p w14:paraId="4DBB3595" w14:textId="77777777" w:rsidR="00DC1320" w:rsidRPr="00DC1320" w:rsidRDefault="00DC1320" w:rsidP="00DC1320">
      <w:pPr>
        <w:pStyle w:val="PlainText"/>
        <w:tabs>
          <w:tab w:val="left" w:pos="284"/>
        </w:tabs>
      </w:pPr>
      <w:r w:rsidRPr="00DC1320">
        <w:tab/>
        <w:t>diving work  103</w:t>
      </w:r>
    </w:p>
    <w:p w14:paraId="22036E98" w14:textId="77777777" w:rsidR="00DC1320" w:rsidRPr="00DC1320" w:rsidRDefault="00DC1320" w:rsidP="00DC1320">
      <w:pPr>
        <w:pStyle w:val="PlainText"/>
        <w:tabs>
          <w:tab w:val="left" w:pos="284"/>
        </w:tabs>
      </w:pPr>
      <w:r w:rsidRPr="00DC1320">
        <w:tab/>
        <w:t>duties, compliance with  95</w:t>
      </w:r>
    </w:p>
    <w:p w14:paraId="78B69269" w14:textId="77777777" w:rsidR="00DC1320" w:rsidRPr="00DC1320" w:rsidRDefault="00DC1320" w:rsidP="00DC1320">
      <w:pPr>
        <w:pStyle w:val="PlainText"/>
        <w:tabs>
          <w:tab w:val="left" w:pos="284"/>
        </w:tabs>
      </w:pPr>
      <w:r w:rsidRPr="00DC1320">
        <w:tab/>
        <w:t>food delivery platforms  104</w:t>
      </w:r>
    </w:p>
    <w:p w14:paraId="0F1BB424" w14:textId="77777777" w:rsidR="00DC1320" w:rsidRPr="00DC1320" w:rsidRDefault="00DC1320" w:rsidP="00DC1320">
      <w:pPr>
        <w:pStyle w:val="PlainText"/>
        <w:tabs>
          <w:tab w:val="left" w:pos="284"/>
        </w:tabs>
      </w:pPr>
      <w:r w:rsidRPr="00DC1320">
        <w:tab/>
        <w:t>health and safety duties  35</w:t>
      </w:r>
    </w:p>
    <w:p w14:paraId="34DA956E" w14:textId="77777777" w:rsidR="00DC1320" w:rsidRPr="00DC1320" w:rsidRDefault="00DC1320" w:rsidP="00DC1320">
      <w:pPr>
        <w:pStyle w:val="PlainText"/>
        <w:tabs>
          <w:tab w:val="left" w:pos="284"/>
        </w:tabs>
      </w:pPr>
      <w:r w:rsidRPr="00DC1320">
        <w:tab/>
        <w:t>industry-based  7, 9, 96–7</w:t>
      </w:r>
    </w:p>
    <w:p w14:paraId="40A37A52" w14:textId="77777777" w:rsidR="00DC1320" w:rsidRPr="00DC1320" w:rsidRDefault="00DC1320" w:rsidP="00DC1320">
      <w:pPr>
        <w:pStyle w:val="PlainText"/>
        <w:tabs>
          <w:tab w:val="left" w:pos="284"/>
        </w:tabs>
      </w:pPr>
      <w:r w:rsidRPr="00DC1320">
        <w:tab/>
        <w:t>issues recommended for inclusion in  103–4</w:t>
      </w:r>
    </w:p>
    <w:p w14:paraId="5A988211" w14:textId="77777777" w:rsidR="00DC1320" w:rsidRPr="00DC1320" w:rsidRDefault="00DC1320" w:rsidP="00DC1320">
      <w:pPr>
        <w:pStyle w:val="PlainText"/>
        <w:tabs>
          <w:tab w:val="left" w:pos="284"/>
        </w:tabs>
      </w:pPr>
      <w:r w:rsidRPr="00DC1320">
        <w:tab/>
        <w:t>mandatory  93</w:t>
      </w:r>
    </w:p>
    <w:p w14:paraId="27C29DB2" w14:textId="77777777" w:rsidR="00DC1320" w:rsidRPr="00DC1320" w:rsidRDefault="00DC1320" w:rsidP="00DC1320">
      <w:pPr>
        <w:pStyle w:val="PlainText"/>
        <w:tabs>
          <w:tab w:val="left" w:pos="284"/>
        </w:tabs>
      </w:pPr>
      <w:r w:rsidRPr="00DC1320">
        <w:tab/>
        <w:t>model approach  95</w:t>
      </w:r>
    </w:p>
    <w:p w14:paraId="70286F22" w14:textId="77777777" w:rsidR="00DC1320" w:rsidRPr="00DC1320" w:rsidRDefault="00DC1320" w:rsidP="00DC1320">
      <w:pPr>
        <w:pStyle w:val="PlainText"/>
        <w:tabs>
          <w:tab w:val="left" w:pos="284"/>
        </w:tabs>
      </w:pPr>
      <w:r w:rsidRPr="00DC1320">
        <w:tab/>
        <w:t>model Codes  6, 9, 93–7, 153</w:t>
      </w:r>
    </w:p>
    <w:p w14:paraId="5A3C5167" w14:textId="77777777" w:rsidR="00DC1320" w:rsidRPr="00DC1320" w:rsidRDefault="00DC1320" w:rsidP="00DC1320">
      <w:pPr>
        <w:pStyle w:val="PlainText"/>
        <w:tabs>
          <w:tab w:val="left" w:pos="284"/>
        </w:tabs>
      </w:pPr>
      <w:r w:rsidRPr="00DC1320">
        <w:tab/>
        <w:t>National Codes, framing as  9, 97</w:t>
      </w:r>
    </w:p>
    <w:p w14:paraId="570BC58B" w14:textId="77777777" w:rsidR="00DC1320" w:rsidRPr="00DC1320" w:rsidRDefault="00DC1320" w:rsidP="00DC1320">
      <w:pPr>
        <w:pStyle w:val="PlainText"/>
        <w:tabs>
          <w:tab w:val="left" w:pos="284"/>
        </w:tabs>
      </w:pPr>
      <w:r w:rsidRPr="00DC1320">
        <w:tab/>
        <w:t>priority industry Codes  97</w:t>
      </w:r>
    </w:p>
    <w:p w14:paraId="79A63943" w14:textId="77777777" w:rsidR="00DC1320" w:rsidRPr="00DC1320" w:rsidRDefault="00DC1320" w:rsidP="00DC1320">
      <w:pPr>
        <w:pStyle w:val="PlainText"/>
        <w:tabs>
          <w:tab w:val="left" w:pos="284"/>
        </w:tabs>
      </w:pPr>
      <w:r w:rsidRPr="00DC1320">
        <w:tab/>
        <w:t>psychosocial risks  128</w:t>
      </w:r>
    </w:p>
    <w:p w14:paraId="78EFC263" w14:textId="77777777" w:rsidR="00DC1320" w:rsidRPr="00DC1320" w:rsidRDefault="00DC1320" w:rsidP="00DC1320">
      <w:pPr>
        <w:pStyle w:val="PlainText"/>
        <w:tabs>
          <w:tab w:val="left" w:pos="284"/>
        </w:tabs>
      </w:pPr>
      <w:r w:rsidRPr="00DC1320">
        <w:tab/>
        <w:t>Queensland’s approach  95</w:t>
      </w:r>
    </w:p>
    <w:p w14:paraId="21014455" w14:textId="77777777" w:rsidR="00DC1320" w:rsidRPr="00DC1320" w:rsidRDefault="00DC1320" w:rsidP="00DC1320">
      <w:pPr>
        <w:pStyle w:val="PlainText"/>
        <w:tabs>
          <w:tab w:val="left" w:pos="284"/>
        </w:tabs>
      </w:pPr>
      <w:r w:rsidRPr="00DC1320">
        <w:tab/>
        <w:t>recommendations  9, 95, 97</w:t>
      </w:r>
    </w:p>
    <w:p w14:paraId="48A727CD" w14:textId="77777777" w:rsidR="00DC1320" w:rsidRPr="00DC1320" w:rsidRDefault="00DC1320" w:rsidP="00DC1320">
      <w:pPr>
        <w:pStyle w:val="PlainText"/>
        <w:tabs>
          <w:tab w:val="left" w:pos="284"/>
        </w:tabs>
      </w:pPr>
      <w:r w:rsidRPr="00DC1320">
        <w:tab/>
        <w:t>review findings  94, 96</w:t>
      </w:r>
    </w:p>
    <w:p w14:paraId="4FAEC2C8" w14:textId="77777777" w:rsidR="00DC1320" w:rsidRPr="00DC1320" w:rsidRDefault="00DC1320" w:rsidP="00DC1320">
      <w:pPr>
        <w:pStyle w:val="PlainText"/>
        <w:tabs>
          <w:tab w:val="left" w:pos="284"/>
        </w:tabs>
      </w:pPr>
      <w:r w:rsidRPr="00DC1320">
        <w:tab/>
        <w:t>Reviews considered  93</w:t>
      </w:r>
    </w:p>
    <w:p w14:paraId="7E734E4A" w14:textId="77777777" w:rsidR="00DC1320" w:rsidRPr="00DC1320" w:rsidRDefault="00DC1320" w:rsidP="00DC1320">
      <w:pPr>
        <w:pStyle w:val="PlainText"/>
        <w:tabs>
          <w:tab w:val="left" w:pos="284"/>
        </w:tabs>
      </w:pPr>
      <w:r w:rsidRPr="00DC1320">
        <w:tab/>
        <w:t>Terms of Reference  93</w:t>
      </w:r>
    </w:p>
    <w:p w14:paraId="288F72B5" w14:textId="77777777" w:rsidR="00DC1320" w:rsidRPr="00DC1320" w:rsidRDefault="00DC1320" w:rsidP="00DC1320">
      <w:pPr>
        <w:pStyle w:val="PlainText"/>
        <w:tabs>
          <w:tab w:val="left" w:pos="284"/>
        </w:tabs>
      </w:pPr>
      <w:r w:rsidRPr="00DC1320">
        <w:tab/>
        <w:t>Victoria’s approach  95</w:t>
      </w:r>
    </w:p>
    <w:p w14:paraId="22304D1E" w14:textId="77777777" w:rsidR="00DC1320" w:rsidRPr="00DC1320" w:rsidRDefault="00DC1320" w:rsidP="00DC1320">
      <w:pPr>
        <w:pStyle w:val="PlainText"/>
        <w:tabs>
          <w:tab w:val="left" w:pos="284"/>
        </w:tabs>
      </w:pPr>
      <w:r w:rsidRPr="00DC1320">
        <w:t>compliance and enforcement  5, 9, 63–92</w:t>
      </w:r>
    </w:p>
    <w:p w14:paraId="320B36B1" w14:textId="77777777" w:rsidR="00DC1320" w:rsidRPr="00DC1320" w:rsidRDefault="00DC1320" w:rsidP="00DC1320">
      <w:pPr>
        <w:pStyle w:val="PlainText"/>
        <w:tabs>
          <w:tab w:val="left" w:pos="284"/>
        </w:tabs>
      </w:pPr>
      <w:r w:rsidRPr="00DC1320">
        <w:tab/>
        <w:t>2022 SA Review  76, 91, 92</w:t>
      </w:r>
    </w:p>
    <w:p w14:paraId="733DE004" w14:textId="77777777" w:rsidR="00DC1320" w:rsidRPr="00DC1320" w:rsidRDefault="00DC1320" w:rsidP="00DC1320">
      <w:pPr>
        <w:pStyle w:val="PlainText"/>
        <w:tabs>
          <w:tab w:val="left" w:pos="284"/>
        </w:tabs>
      </w:pPr>
      <w:r w:rsidRPr="00DC1320">
        <w:tab/>
        <w:t>2023 NSW Review  65, 91, 92</w:t>
      </w:r>
    </w:p>
    <w:p w14:paraId="27C7F0BE" w14:textId="77777777" w:rsidR="00DC1320" w:rsidRPr="00DC1320" w:rsidRDefault="00DC1320" w:rsidP="00DC1320">
      <w:pPr>
        <w:pStyle w:val="PlainText"/>
        <w:tabs>
          <w:tab w:val="left" w:pos="284"/>
        </w:tabs>
      </w:pPr>
      <w:r w:rsidRPr="00DC1320">
        <w:tab/>
        <w:t>actions  163–8</w:t>
      </w:r>
    </w:p>
    <w:p w14:paraId="3C6B6318" w14:textId="77777777" w:rsidR="00DC1320" w:rsidRPr="00DC1320" w:rsidRDefault="00DC1320" w:rsidP="00DC1320">
      <w:pPr>
        <w:pStyle w:val="PlainText"/>
        <w:tabs>
          <w:tab w:val="left" w:pos="284"/>
        </w:tabs>
      </w:pPr>
      <w:r w:rsidRPr="00DC1320">
        <w:tab/>
        <w:t>best practice variations  9</w:t>
      </w:r>
    </w:p>
    <w:p w14:paraId="7EC560CA" w14:textId="77777777" w:rsidR="00DC1320" w:rsidRPr="00DC1320" w:rsidRDefault="00DC1320" w:rsidP="00DC1320">
      <w:pPr>
        <w:pStyle w:val="PlainText"/>
        <w:tabs>
          <w:tab w:val="left" w:pos="284"/>
        </w:tabs>
      </w:pPr>
      <w:r w:rsidRPr="00DC1320">
        <w:tab/>
        <w:t>confidentiality of information  90–2, 145</w:t>
      </w:r>
    </w:p>
    <w:p w14:paraId="751F13C0" w14:textId="77777777" w:rsidR="00DC1320" w:rsidRPr="00DC1320" w:rsidRDefault="00DC1320" w:rsidP="00DC1320">
      <w:pPr>
        <w:pStyle w:val="PlainText"/>
        <w:tabs>
          <w:tab w:val="left" w:pos="284"/>
        </w:tabs>
      </w:pPr>
      <w:r w:rsidRPr="00DC1320">
        <w:tab/>
        <w:t>criteria for assessing variations  63–4</w:t>
      </w:r>
    </w:p>
    <w:p w14:paraId="44459C05" w14:textId="77777777" w:rsidR="00DC1320" w:rsidRPr="00DC1320" w:rsidRDefault="00DC1320" w:rsidP="00DC1320">
      <w:pPr>
        <w:pStyle w:val="PlainText"/>
        <w:tabs>
          <w:tab w:val="left" w:pos="284"/>
        </w:tabs>
      </w:pPr>
      <w:r w:rsidRPr="00DC1320">
        <w:tab/>
        <w:t>data insights  163–8</w:t>
      </w:r>
    </w:p>
    <w:p w14:paraId="3D7F3B9E" w14:textId="77777777" w:rsidR="00DC1320" w:rsidRPr="00DC1320" w:rsidRDefault="00DC1320" w:rsidP="00DC1320">
      <w:pPr>
        <w:pStyle w:val="PlainText"/>
        <w:tabs>
          <w:tab w:val="left" w:pos="284"/>
        </w:tabs>
      </w:pPr>
      <w:r w:rsidRPr="00DC1320">
        <w:tab/>
        <w:t>direct compliance activities  165–6</w:t>
      </w:r>
    </w:p>
    <w:p w14:paraId="551EE108" w14:textId="77777777" w:rsidR="00DC1320" w:rsidRPr="00DC1320" w:rsidRDefault="00DC1320" w:rsidP="00DC1320">
      <w:pPr>
        <w:pStyle w:val="PlainText"/>
        <w:tabs>
          <w:tab w:val="left" w:pos="284"/>
        </w:tabs>
      </w:pPr>
      <w:r w:rsidRPr="00DC1320">
        <w:tab/>
        <w:t>employer survey results  180</w:t>
      </w:r>
    </w:p>
    <w:p w14:paraId="1CABD86F" w14:textId="77777777" w:rsidR="00DC1320" w:rsidRPr="00DC1320" w:rsidRDefault="00DC1320" w:rsidP="00DC1320">
      <w:pPr>
        <w:pStyle w:val="PlainText"/>
        <w:tabs>
          <w:tab w:val="left" w:pos="284"/>
        </w:tabs>
      </w:pPr>
      <w:r w:rsidRPr="00DC1320">
        <w:tab/>
        <w:t>encouraging and assisting  166–8</w:t>
      </w:r>
    </w:p>
    <w:p w14:paraId="079ADCB7" w14:textId="77777777" w:rsidR="00DC1320" w:rsidRPr="00DC1320" w:rsidRDefault="00DC1320" w:rsidP="00DC1320">
      <w:pPr>
        <w:pStyle w:val="PlainText"/>
        <w:tabs>
          <w:tab w:val="left" w:pos="284"/>
        </w:tabs>
      </w:pPr>
      <w:r w:rsidRPr="00DC1320">
        <w:tab/>
        <w:t>enforceable undertakings  71, 144</w:t>
      </w:r>
    </w:p>
    <w:p w14:paraId="5B120968" w14:textId="77777777" w:rsidR="00DC1320" w:rsidRPr="00DC1320" w:rsidRDefault="00DC1320" w:rsidP="00DC1320">
      <w:pPr>
        <w:pStyle w:val="PlainText"/>
        <w:tabs>
          <w:tab w:val="left" w:pos="284"/>
        </w:tabs>
      </w:pPr>
      <w:r w:rsidRPr="00DC1320">
        <w:tab/>
        <w:t>infringement notices  84–5</w:t>
      </w:r>
    </w:p>
    <w:p w14:paraId="5DFFCC12" w14:textId="77777777" w:rsidR="00DC1320" w:rsidRPr="00DC1320" w:rsidRDefault="00DC1320" w:rsidP="00DC1320">
      <w:pPr>
        <w:pStyle w:val="PlainText"/>
        <w:tabs>
          <w:tab w:val="left" w:pos="284"/>
        </w:tabs>
      </w:pPr>
      <w:r w:rsidRPr="00DC1320">
        <w:tab/>
        <w:t>inspectors see inspectors</w:t>
      </w:r>
    </w:p>
    <w:p w14:paraId="3944C0F5" w14:textId="77777777" w:rsidR="00DC1320" w:rsidRPr="00DC1320" w:rsidRDefault="00DC1320" w:rsidP="00DC1320">
      <w:pPr>
        <w:pStyle w:val="PlainText"/>
        <w:tabs>
          <w:tab w:val="left" w:pos="284"/>
        </w:tabs>
      </w:pPr>
      <w:r w:rsidRPr="00DC1320">
        <w:tab/>
        <w:t>internal and external review  71–3</w:t>
      </w:r>
    </w:p>
    <w:p w14:paraId="1DAB387E" w14:textId="77777777" w:rsidR="00DC1320" w:rsidRPr="00DC1320" w:rsidRDefault="00DC1320" w:rsidP="00DC1320">
      <w:pPr>
        <w:pStyle w:val="PlainText"/>
        <w:tabs>
          <w:tab w:val="left" w:pos="284"/>
        </w:tabs>
      </w:pPr>
      <w:r w:rsidRPr="00DC1320">
        <w:tab/>
        <w:t>jurisdictional variations  63–4, 144–5</w:t>
      </w:r>
    </w:p>
    <w:p w14:paraId="4CA30A2C" w14:textId="77777777" w:rsidR="00DC1320" w:rsidRPr="00DC1320" w:rsidRDefault="00DC1320" w:rsidP="00DC1320">
      <w:pPr>
        <w:pStyle w:val="PlainText"/>
        <w:tabs>
          <w:tab w:val="left" w:pos="284"/>
        </w:tabs>
      </w:pPr>
      <w:r w:rsidRPr="00DC1320">
        <w:tab/>
        <w:t>legal proceedings  73–85, 145</w:t>
      </w:r>
    </w:p>
    <w:p w14:paraId="25CA1001" w14:textId="77777777" w:rsidR="00DC1320" w:rsidRPr="00DC1320" w:rsidRDefault="00DC1320" w:rsidP="00DC1320">
      <w:pPr>
        <w:pStyle w:val="PlainText"/>
        <w:tabs>
          <w:tab w:val="left" w:pos="284"/>
        </w:tabs>
      </w:pPr>
      <w:r w:rsidRPr="00DC1320">
        <w:tab/>
        <w:t>National Compliance and Enforcement Policy (NCEP)  5, 6, 8, 22–5</w:t>
      </w:r>
    </w:p>
    <w:p w14:paraId="53D4BDEB" w14:textId="77777777" w:rsidR="00DC1320" w:rsidRPr="00DC1320" w:rsidRDefault="00DC1320" w:rsidP="00DC1320">
      <w:pPr>
        <w:pStyle w:val="PlainText"/>
        <w:tabs>
          <w:tab w:val="left" w:pos="284"/>
        </w:tabs>
      </w:pPr>
      <w:r w:rsidRPr="00DC1320">
        <w:tab/>
        <w:t>nationally consistent approach  9</w:t>
      </w:r>
    </w:p>
    <w:p w14:paraId="2386CC1F" w14:textId="77777777" w:rsidR="00DC1320" w:rsidRPr="00DC1320" w:rsidRDefault="00DC1320" w:rsidP="00DC1320">
      <w:pPr>
        <w:pStyle w:val="PlainText"/>
        <w:tabs>
          <w:tab w:val="left" w:pos="284"/>
        </w:tabs>
      </w:pPr>
      <w:r w:rsidRPr="00DC1320">
        <w:tab/>
        <w:t>offences and penalties  85–90</w:t>
      </w:r>
    </w:p>
    <w:p w14:paraId="05517C62" w14:textId="77777777" w:rsidR="00DC1320" w:rsidRPr="00DC1320" w:rsidRDefault="00DC1320" w:rsidP="00DC1320">
      <w:pPr>
        <w:pStyle w:val="PlainText"/>
        <w:tabs>
          <w:tab w:val="left" w:pos="284"/>
        </w:tabs>
      </w:pPr>
      <w:r w:rsidRPr="00DC1320">
        <w:tab/>
        <w:t>proactive workplace visits  166–8</w:t>
      </w:r>
    </w:p>
    <w:p w14:paraId="221D7B25" w14:textId="77777777" w:rsidR="00DC1320" w:rsidRPr="00DC1320" w:rsidRDefault="00DC1320" w:rsidP="00DC1320">
      <w:pPr>
        <w:pStyle w:val="PlainText"/>
        <w:tabs>
          <w:tab w:val="left" w:pos="284"/>
        </w:tabs>
      </w:pPr>
      <w:r w:rsidRPr="00DC1320">
        <w:tab/>
        <w:t>recommendations  73, 79, 85, 92</w:t>
      </w:r>
    </w:p>
    <w:p w14:paraId="6009EF1D" w14:textId="77777777" w:rsidR="00DC1320" w:rsidRPr="00DC1320" w:rsidRDefault="00DC1320" w:rsidP="00DC1320">
      <w:pPr>
        <w:pStyle w:val="PlainText"/>
        <w:tabs>
          <w:tab w:val="left" w:pos="284"/>
        </w:tabs>
      </w:pPr>
      <w:r w:rsidRPr="00DC1320">
        <w:tab/>
        <w:t>regulators see regulators</w:t>
      </w:r>
    </w:p>
    <w:p w14:paraId="78271FF8" w14:textId="77777777" w:rsidR="00DC1320" w:rsidRPr="00DC1320" w:rsidRDefault="00DC1320" w:rsidP="00DC1320">
      <w:pPr>
        <w:pStyle w:val="PlainText"/>
        <w:tabs>
          <w:tab w:val="left" w:pos="284"/>
        </w:tabs>
      </w:pPr>
      <w:r w:rsidRPr="00DC1320">
        <w:tab/>
        <w:t>review findings  65, 66, 67</w:t>
      </w:r>
    </w:p>
    <w:p w14:paraId="100277A4" w14:textId="77777777" w:rsidR="00DC1320" w:rsidRPr="00DC1320" w:rsidRDefault="00DC1320" w:rsidP="00DC1320">
      <w:pPr>
        <w:pStyle w:val="PlainText"/>
        <w:tabs>
          <w:tab w:val="left" w:pos="284"/>
        </w:tabs>
      </w:pPr>
      <w:r w:rsidRPr="00DC1320">
        <w:tab/>
        <w:t>review of decisions  71–3, 145</w:t>
      </w:r>
    </w:p>
    <w:p w14:paraId="49B47C82" w14:textId="77777777" w:rsidR="00DC1320" w:rsidRPr="00DC1320" w:rsidRDefault="00DC1320" w:rsidP="00DC1320">
      <w:pPr>
        <w:pStyle w:val="PlainText"/>
        <w:tabs>
          <w:tab w:val="left" w:pos="284"/>
        </w:tabs>
      </w:pPr>
      <w:r w:rsidRPr="00DC1320">
        <w:tab/>
        <w:t>Reviews considered  63</w:t>
      </w:r>
    </w:p>
    <w:p w14:paraId="2C196E54" w14:textId="77777777" w:rsidR="00DC1320" w:rsidRPr="00DC1320" w:rsidRDefault="00DC1320" w:rsidP="00DC1320">
      <w:pPr>
        <w:pStyle w:val="PlainText"/>
        <w:tabs>
          <w:tab w:val="left" w:pos="284"/>
        </w:tabs>
      </w:pPr>
      <w:r w:rsidRPr="00DC1320">
        <w:tab/>
        <w:t>sanctions  163–5</w:t>
      </w:r>
    </w:p>
    <w:p w14:paraId="66AA63F4" w14:textId="77777777" w:rsidR="00DC1320" w:rsidRPr="00DC1320" w:rsidRDefault="00DC1320" w:rsidP="00DC1320">
      <w:pPr>
        <w:pStyle w:val="PlainText"/>
        <w:tabs>
          <w:tab w:val="left" w:pos="284"/>
        </w:tabs>
      </w:pPr>
      <w:r w:rsidRPr="00DC1320">
        <w:tab/>
        <w:t>structure of regulators  64–5</w:t>
      </w:r>
    </w:p>
    <w:p w14:paraId="31C986DF" w14:textId="77777777" w:rsidR="00DC1320" w:rsidRPr="00DC1320" w:rsidRDefault="00DC1320" w:rsidP="00DC1320">
      <w:pPr>
        <w:pStyle w:val="PlainText"/>
        <w:tabs>
          <w:tab w:val="left" w:pos="284"/>
        </w:tabs>
      </w:pPr>
      <w:r w:rsidRPr="00DC1320">
        <w:tab/>
        <w:t>Terms of Reference  63</w:t>
      </w:r>
    </w:p>
    <w:p w14:paraId="1B47DCD3" w14:textId="77777777" w:rsidR="00DC1320" w:rsidRPr="00DC1320" w:rsidRDefault="00DC1320" w:rsidP="00DC1320">
      <w:pPr>
        <w:pStyle w:val="PlainText"/>
        <w:tabs>
          <w:tab w:val="left" w:pos="284"/>
        </w:tabs>
      </w:pPr>
      <w:r w:rsidRPr="00DC1320">
        <w:tab/>
        <w:t>tripartite arrangements  18, 64–5</w:t>
      </w:r>
    </w:p>
    <w:p w14:paraId="2EEF4CE4" w14:textId="77777777" w:rsidR="00DC1320" w:rsidRPr="00DC1320" w:rsidRDefault="00DC1320" w:rsidP="00DC1320">
      <w:pPr>
        <w:pStyle w:val="PlainText"/>
        <w:tabs>
          <w:tab w:val="left" w:pos="284"/>
        </w:tabs>
      </w:pPr>
      <w:r w:rsidRPr="00DC1320">
        <w:t>confidentiality of information  90–2, 145</w:t>
      </w:r>
    </w:p>
    <w:p w14:paraId="2D65902F" w14:textId="6B9AEA87" w:rsidR="00DC1320" w:rsidRPr="00DC1320" w:rsidRDefault="00DC1320" w:rsidP="00DC1320">
      <w:pPr>
        <w:pStyle w:val="PlainText"/>
        <w:tabs>
          <w:tab w:val="left" w:pos="284"/>
        </w:tabs>
      </w:pPr>
      <w:r>
        <w:br w:type="column"/>
      </w:r>
      <w:r w:rsidRPr="00DC1320">
        <w:t>construction industry</w:t>
      </w:r>
    </w:p>
    <w:p w14:paraId="2C592E3F" w14:textId="77777777" w:rsidR="00DC1320" w:rsidRPr="00DC1320" w:rsidRDefault="00DC1320" w:rsidP="00DC1320">
      <w:pPr>
        <w:pStyle w:val="PlainText"/>
        <w:tabs>
          <w:tab w:val="left" w:pos="284"/>
        </w:tabs>
      </w:pPr>
      <w:r w:rsidRPr="00DC1320">
        <w:tab/>
        <w:t>accreditation  139</w:t>
      </w:r>
    </w:p>
    <w:p w14:paraId="744FF230" w14:textId="77777777" w:rsidR="00DC1320" w:rsidRPr="00DC1320" w:rsidRDefault="00DC1320" w:rsidP="00DC1320">
      <w:pPr>
        <w:pStyle w:val="PlainText"/>
        <w:tabs>
          <w:tab w:val="left" w:pos="284"/>
        </w:tabs>
      </w:pPr>
      <w:r w:rsidRPr="00DC1320">
        <w:tab/>
        <w:t>case law  189, 190</w:t>
      </w:r>
    </w:p>
    <w:p w14:paraId="3A0B0A55" w14:textId="77777777" w:rsidR="00DC1320" w:rsidRPr="00DC1320" w:rsidRDefault="00DC1320" w:rsidP="00DC1320">
      <w:pPr>
        <w:pStyle w:val="PlainText"/>
        <w:tabs>
          <w:tab w:val="left" w:pos="284"/>
        </w:tabs>
      </w:pPr>
      <w:r w:rsidRPr="00DC1320">
        <w:tab/>
        <w:t>definition of ‘construction project’  100</w:t>
      </w:r>
    </w:p>
    <w:p w14:paraId="54983220" w14:textId="77777777" w:rsidR="00DC1320" w:rsidRPr="00DC1320" w:rsidRDefault="00DC1320" w:rsidP="00DC1320">
      <w:pPr>
        <w:pStyle w:val="PlainText"/>
        <w:tabs>
          <w:tab w:val="left" w:pos="284"/>
        </w:tabs>
      </w:pPr>
      <w:r w:rsidRPr="00DC1320">
        <w:tab/>
        <w:t>demolition work  105–6</w:t>
      </w:r>
    </w:p>
    <w:p w14:paraId="6DC7C7E5" w14:textId="77777777" w:rsidR="00DC1320" w:rsidRPr="00DC1320" w:rsidRDefault="00DC1320" w:rsidP="00DC1320">
      <w:pPr>
        <w:pStyle w:val="PlainText"/>
        <w:tabs>
          <w:tab w:val="left" w:pos="284"/>
        </w:tabs>
      </w:pPr>
      <w:r w:rsidRPr="00DC1320">
        <w:tab/>
        <w:t>diving as high risk construction work  103</w:t>
      </w:r>
    </w:p>
    <w:p w14:paraId="244C86F7" w14:textId="77777777" w:rsidR="00DC1320" w:rsidRPr="00DC1320" w:rsidRDefault="00DC1320" w:rsidP="00DC1320">
      <w:pPr>
        <w:pStyle w:val="PlainText"/>
        <w:tabs>
          <w:tab w:val="left" w:pos="284"/>
        </w:tabs>
      </w:pPr>
      <w:r w:rsidRPr="00DC1320">
        <w:tab/>
        <w:t>fatality rates  26</w:t>
      </w:r>
    </w:p>
    <w:p w14:paraId="26E2856D" w14:textId="77777777" w:rsidR="00DC1320" w:rsidRPr="00DC1320" w:rsidRDefault="00DC1320" w:rsidP="00DC1320">
      <w:pPr>
        <w:pStyle w:val="PlainText"/>
        <w:tabs>
          <w:tab w:val="left" w:pos="284"/>
        </w:tabs>
      </w:pPr>
      <w:r w:rsidRPr="00DC1320">
        <w:tab/>
        <w:t>general construction induction training  100–1</w:t>
      </w:r>
    </w:p>
    <w:p w14:paraId="5B257C50" w14:textId="77777777" w:rsidR="00DC1320" w:rsidRPr="00DC1320" w:rsidRDefault="00DC1320" w:rsidP="00DC1320">
      <w:pPr>
        <w:pStyle w:val="PlainText"/>
        <w:tabs>
          <w:tab w:val="left" w:pos="284"/>
        </w:tabs>
      </w:pPr>
      <w:r w:rsidRPr="00DC1320">
        <w:tab/>
        <w:t>high risk work licences  105</w:t>
      </w:r>
    </w:p>
    <w:p w14:paraId="481F0179" w14:textId="77777777" w:rsidR="00DC1320" w:rsidRPr="00DC1320" w:rsidRDefault="00DC1320" w:rsidP="00DC1320">
      <w:pPr>
        <w:pStyle w:val="PlainText"/>
        <w:tabs>
          <w:tab w:val="left" w:pos="284"/>
        </w:tabs>
      </w:pPr>
      <w:r w:rsidRPr="00DC1320">
        <w:tab/>
        <w:t>industry-specific regulations  113</w:t>
      </w:r>
    </w:p>
    <w:p w14:paraId="688854D3" w14:textId="77777777" w:rsidR="00DC1320" w:rsidRPr="00DC1320" w:rsidRDefault="00DC1320" w:rsidP="00DC1320">
      <w:pPr>
        <w:pStyle w:val="PlainText"/>
        <w:tabs>
          <w:tab w:val="left" w:pos="284"/>
        </w:tabs>
      </w:pPr>
      <w:r w:rsidRPr="00DC1320">
        <w:tab/>
        <w:t>priority industry codes  97</w:t>
      </w:r>
    </w:p>
    <w:p w14:paraId="512B02A2" w14:textId="77777777" w:rsidR="00DC1320" w:rsidRPr="00DC1320" w:rsidRDefault="00DC1320" w:rsidP="00DC1320">
      <w:pPr>
        <w:pStyle w:val="PlainText"/>
        <w:tabs>
          <w:tab w:val="left" w:pos="284"/>
        </w:tabs>
      </w:pPr>
      <w:r w:rsidRPr="00DC1320">
        <w:tab/>
        <w:t>variations recommended for adoption  100–1</w:t>
      </w:r>
    </w:p>
    <w:p w14:paraId="7A10F4D6" w14:textId="77777777" w:rsidR="00DC1320" w:rsidRPr="00DC1320" w:rsidRDefault="00DC1320" w:rsidP="00DC1320">
      <w:pPr>
        <w:pStyle w:val="PlainText"/>
        <w:tabs>
          <w:tab w:val="left" w:pos="284"/>
        </w:tabs>
      </w:pPr>
      <w:r w:rsidRPr="00DC1320">
        <w:t>consultation process for Review  12</w:t>
      </w:r>
    </w:p>
    <w:p w14:paraId="778DBCD6" w14:textId="77777777" w:rsidR="00DC1320" w:rsidRPr="00DC1320" w:rsidRDefault="00DC1320" w:rsidP="00DC1320">
      <w:pPr>
        <w:pStyle w:val="PlainText"/>
        <w:tabs>
          <w:tab w:val="left" w:pos="284"/>
        </w:tabs>
      </w:pPr>
      <w:r w:rsidRPr="00DC1320">
        <w:tab/>
        <w:t>submissions and consultations  192–4</w:t>
      </w:r>
    </w:p>
    <w:p w14:paraId="13924AC4" w14:textId="77777777" w:rsidR="00DC1320" w:rsidRPr="00DC1320" w:rsidRDefault="00DC1320" w:rsidP="00DC1320">
      <w:pPr>
        <w:pStyle w:val="PlainText"/>
        <w:tabs>
          <w:tab w:val="left" w:pos="284"/>
        </w:tabs>
      </w:pPr>
      <w:r w:rsidRPr="00DC1320">
        <w:t>consultation, representation and participation  5, 9, 42–62</w:t>
      </w:r>
    </w:p>
    <w:p w14:paraId="6E4AFFC4" w14:textId="77777777" w:rsidR="00DC1320" w:rsidRPr="00DC1320" w:rsidRDefault="00DC1320" w:rsidP="00DC1320">
      <w:pPr>
        <w:pStyle w:val="PlainText"/>
        <w:tabs>
          <w:tab w:val="left" w:pos="284"/>
        </w:tabs>
      </w:pPr>
      <w:r w:rsidRPr="00DC1320">
        <w:tab/>
        <w:t>2018 National Review  47</w:t>
      </w:r>
    </w:p>
    <w:p w14:paraId="4E42F5BE" w14:textId="77777777" w:rsidR="00DC1320" w:rsidRPr="00DC1320" w:rsidRDefault="00DC1320" w:rsidP="00DC1320">
      <w:pPr>
        <w:pStyle w:val="PlainText"/>
        <w:tabs>
          <w:tab w:val="left" w:pos="284"/>
        </w:tabs>
      </w:pPr>
      <w:r w:rsidRPr="00DC1320">
        <w:tab/>
        <w:t>2022 Queensland Review  48–55</w:t>
      </w:r>
    </w:p>
    <w:p w14:paraId="79DA5775" w14:textId="77777777" w:rsidR="00DC1320" w:rsidRPr="00DC1320" w:rsidRDefault="00DC1320" w:rsidP="00DC1320">
      <w:pPr>
        <w:pStyle w:val="PlainText"/>
        <w:tabs>
          <w:tab w:val="left" w:pos="284"/>
        </w:tabs>
      </w:pPr>
      <w:r w:rsidRPr="00DC1320">
        <w:tab/>
        <w:t>best practice  9</w:t>
      </w:r>
    </w:p>
    <w:p w14:paraId="485A10C0" w14:textId="77777777" w:rsidR="00DC1320" w:rsidRPr="00DC1320" w:rsidRDefault="00DC1320" w:rsidP="00DC1320">
      <w:pPr>
        <w:pStyle w:val="PlainText"/>
        <w:tabs>
          <w:tab w:val="left" w:pos="284"/>
        </w:tabs>
      </w:pPr>
      <w:r w:rsidRPr="00DC1320">
        <w:tab/>
        <w:t>climate change, addressing  123</w:t>
      </w:r>
    </w:p>
    <w:p w14:paraId="4241694C" w14:textId="77777777" w:rsidR="00DC1320" w:rsidRPr="00DC1320" w:rsidRDefault="00DC1320" w:rsidP="00DC1320">
      <w:pPr>
        <w:pStyle w:val="PlainText"/>
        <w:tabs>
          <w:tab w:val="left" w:pos="284"/>
        </w:tabs>
      </w:pPr>
      <w:r w:rsidRPr="00DC1320">
        <w:tab/>
        <w:t>consultation fundamental to WHS Act  43</w:t>
      </w:r>
    </w:p>
    <w:p w14:paraId="62715064" w14:textId="77777777" w:rsidR="00DC1320" w:rsidRPr="00DC1320" w:rsidRDefault="00DC1320" w:rsidP="00DC1320">
      <w:pPr>
        <w:pStyle w:val="PlainText"/>
        <w:tabs>
          <w:tab w:val="left" w:pos="284"/>
        </w:tabs>
      </w:pPr>
      <w:r w:rsidRPr="00DC1320">
        <w:tab/>
        <w:t>criteria for assessing variations  42–3</w:t>
      </w:r>
    </w:p>
    <w:p w14:paraId="3025E69E" w14:textId="77777777" w:rsidR="00DC1320" w:rsidRPr="00DC1320" w:rsidRDefault="00DC1320" w:rsidP="00DC1320">
      <w:pPr>
        <w:pStyle w:val="PlainText"/>
        <w:tabs>
          <w:tab w:val="left" w:pos="284"/>
        </w:tabs>
      </w:pPr>
      <w:r w:rsidRPr="00DC1320">
        <w:tab/>
        <w:t>discriminatory conduct  57–8</w:t>
      </w:r>
    </w:p>
    <w:p w14:paraId="390D1085" w14:textId="77777777" w:rsidR="00DC1320" w:rsidRPr="00DC1320" w:rsidRDefault="00DC1320" w:rsidP="00DC1320">
      <w:pPr>
        <w:pStyle w:val="PlainText"/>
        <w:tabs>
          <w:tab w:val="left" w:pos="284"/>
        </w:tabs>
      </w:pPr>
      <w:r w:rsidRPr="00DC1320">
        <w:tab/>
        <w:t>Fair Work Act  140</w:t>
      </w:r>
    </w:p>
    <w:p w14:paraId="453F7EFB" w14:textId="77777777" w:rsidR="00DC1320" w:rsidRPr="00DC1320" w:rsidRDefault="00DC1320" w:rsidP="00DC1320">
      <w:pPr>
        <w:pStyle w:val="PlainText"/>
        <w:tabs>
          <w:tab w:val="left" w:pos="284"/>
        </w:tabs>
      </w:pPr>
      <w:r w:rsidRPr="00DC1320">
        <w:tab/>
        <w:t>harmonisation of approach  22–5</w:t>
      </w:r>
    </w:p>
    <w:p w14:paraId="2FF733A8" w14:textId="77777777" w:rsidR="00DC1320" w:rsidRPr="00DC1320" w:rsidRDefault="00DC1320" w:rsidP="00DC1320">
      <w:pPr>
        <w:pStyle w:val="PlainText"/>
        <w:tabs>
          <w:tab w:val="left" w:pos="284"/>
        </w:tabs>
      </w:pPr>
      <w:r w:rsidRPr="00DC1320">
        <w:tab/>
        <w:t>health and safety committee processes  48–9</w:t>
      </w:r>
    </w:p>
    <w:p w14:paraId="39859105" w14:textId="77777777" w:rsidR="00DC1320" w:rsidRPr="00DC1320" w:rsidRDefault="00DC1320" w:rsidP="00DC1320">
      <w:pPr>
        <w:pStyle w:val="PlainText"/>
        <w:tabs>
          <w:tab w:val="left" w:pos="284"/>
        </w:tabs>
      </w:pPr>
      <w:r w:rsidRPr="00DC1320">
        <w:tab/>
        <w:t>HSRs see health and safety representatives (HSRs)</w:t>
      </w:r>
    </w:p>
    <w:p w14:paraId="54193040" w14:textId="77777777" w:rsidR="00DC1320" w:rsidRPr="00DC1320" w:rsidRDefault="00DC1320" w:rsidP="00DC1320">
      <w:pPr>
        <w:pStyle w:val="PlainText"/>
        <w:tabs>
          <w:tab w:val="left" w:pos="284"/>
        </w:tabs>
      </w:pPr>
      <w:r w:rsidRPr="00DC1320">
        <w:tab/>
        <w:t>implementation issues or gaps  46</w:t>
      </w:r>
    </w:p>
    <w:p w14:paraId="655CF35F" w14:textId="77777777" w:rsidR="00DC1320" w:rsidRPr="00DC1320" w:rsidRDefault="00DC1320" w:rsidP="00DC1320">
      <w:pPr>
        <w:pStyle w:val="PlainText"/>
        <w:tabs>
          <w:tab w:val="left" w:pos="284"/>
        </w:tabs>
      </w:pPr>
      <w:r w:rsidRPr="00DC1320">
        <w:tab/>
        <w:t>jurisdictional variations  43, 47, 142–3</w:t>
      </w:r>
    </w:p>
    <w:p w14:paraId="39F16179" w14:textId="77777777" w:rsidR="00DC1320" w:rsidRPr="00DC1320" w:rsidRDefault="00DC1320" w:rsidP="00DC1320">
      <w:pPr>
        <w:pStyle w:val="PlainText"/>
        <w:tabs>
          <w:tab w:val="left" w:pos="284"/>
        </w:tabs>
      </w:pPr>
      <w:r w:rsidRPr="00DC1320">
        <w:tab/>
        <w:t>objects of model WHS Act  43</w:t>
      </w:r>
    </w:p>
    <w:p w14:paraId="7C353040" w14:textId="77777777" w:rsidR="00DC1320" w:rsidRPr="00DC1320" w:rsidRDefault="00DC1320" w:rsidP="00DC1320">
      <w:pPr>
        <w:pStyle w:val="PlainText"/>
        <w:tabs>
          <w:tab w:val="left" w:pos="284"/>
        </w:tabs>
      </w:pPr>
      <w:r w:rsidRPr="00DC1320">
        <w:tab/>
        <w:t>recommendations  9, 62, 142–3</w:t>
      </w:r>
    </w:p>
    <w:p w14:paraId="1F890A87" w14:textId="77777777" w:rsidR="00DC1320" w:rsidRPr="00DC1320" w:rsidRDefault="00DC1320" w:rsidP="00DC1320">
      <w:pPr>
        <w:pStyle w:val="PlainText"/>
        <w:tabs>
          <w:tab w:val="left" w:pos="284"/>
        </w:tabs>
      </w:pPr>
      <w:r w:rsidRPr="00DC1320">
        <w:tab/>
        <w:t>review findings  44–5, 52, 54, 56, 57</w:t>
      </w:r>
    </w:p>
    <w:p w14:paraId="67659982" w14:textId="77777777" w:rsidR="00DC1320" w:rsidRPr="00DC1320" w:rsidRDefault="00DC1320" w:rsidP="00DC1320">
      <w:pPr>
        <w:pStyle w:val="PlainText"/>
        <w:tabs>
          <w:tab w:val="left" w:pos="284"/>
        </w:tabs>
      </w:pPr>
      <w:r w:rsidRPr="00DC1320">
        <w:tab/>
        <w:t>Reviews considered  42</w:t>
      </w:r>
    </w:p>
    <w:p w14:paraId="3FBF0078" w14:textId="77777777" w:rsidR="00DC1320" w:rsidRPr="00DC1320" w:rsidRDefault="00DC1320" w:rsidP="00DC1320">
      <w:pPr>
        <w:pStyle w:val="PlainText"/>
        <w:tabs>
          <w:tab w:val="left" w:pos="284"/>
        </w:tabs>
      </w:pPr>
      <w:r w:rsidRPr="00DC1320">
        <w:tab/>
        <w:t>right of entry  59–62, 143</w:t>
      </w:r>
    </w:p>
    <w:p w14:paraId="1D81D92E" w14:textId="77777777" w:rsidR="00DC1320" w:rsidRPr="00DC1320" w:rsidRDefault="00DC1320" w:rsidP="00DC1320">
      <w:pPr>
        <w:pStyle w:val="PlainText"/>
        <w:tabs>
          <w:tab w:val="left" w:pos="284"/>
        </w:tabs>
      </w:pPr>
      <w:r w:rsidRPr="00DC1320">
        <w:tab/>
        <w:t>Terms of Reference  42</w:t>
      </w:r>
    </w:p>
    <w:p w14:paraId="19758E88" w14:textId="77777777" w:rsidR="00DC1320" w:rsidRPr="00DC1320" w:rsidRDefault="00DC1320" w:rsidP="00DC1320">
      <w:pPr>
        <w:pStyle w:val="PlainText"/>
        <w:tabs>
          <w:tab w:val="left" w:pos="284"/>
        </w:tabs>
      </w:pPr>
      <w:r w:rsidRPr="00DC1320">
        <w:tab/>
        <w:t>unions’ role  44–7, 52, 54–5, 143</w:t>
      </w:r>
    </w:p>
    <w:p w14:paraId="4DE9C28F" w14:textId="77777777" w:rsidR="00DC1320" w:rsidRPr="00DC1320" w:rsidRDefault="00DC1320" w:rsidP="00DC1320">
      <w:pPr>
        <w:pStyle w:val="PlainText"/>
        <w:tabs>
          <w:tab w:val="left" w:pos="284"/>
        </w:tabs>
      </w:pPr>
      <w:r w:rsidRPr="00DC1320">
        <w:tab/>
        <w:t>unsafe work, right to cease  6, 56, 143</w:t>
      </w:r>
    </w:p>
    <w:p w14:paraId="1BD9C8E9" w14:textId="77777777" w:rsidR="00DC1320" w:rsidRPr="00DC1320" w:rsidRDefault="00DC1320" w:rsidP="00DC1320">
      <w:pPr>
        <w:pStyle w:val="PlainText"/>
        <w:tabs>
          <w:tab w:val="left" w:pos="284"/>
        </w:tabs>
      </w:pPr>
      <w:r w:rsidRPr="00DC1320">
        <w:tab/>
        <w:t>variations recommended for adoption  99</w:t>
      </w:r>
    </w:p>
    <w:p w14:paraId="0CFD47C6" w14:textId="77777777" w:rsidR="00DC1320" w:rsidRPr="00DC1320" w:rsidRDefault="00DC1320" w:rsidP="00DC1320">
      <w:pPr>
        <w:pStyle w:val="PlainText"/>
        <w:tabs>
          <w:tab w:val="left" w:pos="284"/>
        </w:tabs>
      </w:pPr>
      <w:r w:rsidRPr="00DC1320">
        <w:tab/>
        <w:t>worker and HSR survey results  174–6</w:t>
      </w:r>
    </w:p>
    <w:p w14:paraId="6BB72216" w14:textId="77777777" w:rsidR="00DC1320" w:rsidRPr="00DC1320" w:rsidRDefault="00DC1320" w:rsidP="00DC1320">
      <w:pPr>
        <w:pStyle w:val="PlainText"/>
        <w:tabs>
          <w:tab w:val="left" w:pos="284"/>
        </w:tabs>
      </w:pPr>
      <w:r w:rsidRPr="00DC1320">
        <w:tab/>
        <w:t>workers’ right to be consulted  6</w:t>
      </w:r>
    </w:p>
    <w:p w14:paraId="6BA397CE" w14:textId="77777777" w:rsidR="00DC1320" w:rsidRPr="00DC1320" w:rsidRDefault="00DC1320" w:rsidP="00DC1320">
      <w:pPr>
        <w:pStyle w:val="PlainText"/>
        <w:tabs>
          <w:tab w:val="left" w:pos="284"/>
        </w:tabs>
      </w:pPr>
      <w:r w:rsidRPr="00DC1320">
        <w:t>coroners’ courts, engagement with  11</w:t>
      </w:r>
    </w:p>
    <w:p w14:paraId="7E03B6BD" w14:textId="77777777" w:rsidR="00DC1320" w:rsidRPr="00DC1320" w:rsidRDefault="00DC1320" w:rsidP="00DC1320">
      <w:pPr>
        <w:pStyle w:val="PlainText"/>
        <w:tabs>
          <w:tab w:val="left" w:pos="284"/>
        </w:tabs>
      </w:pPr>
      <w:r w:rsidRPr="00DC1320">
        <w:t>costs of work-related harms  161–3</w:t>
      </w:r>
    </w:p>
    <w:p w14:paraId="6F866911" w14:textId="77777777" w:rsidR="00DC1320" w:rsidRPr="00DC1320" w:rsidRDefault="00DC1320" w:rsidP="00DC1320">
      <w:pPr>
        <w:pStyle w:val="PlainText"/>
        <w:tabs>
          <w:tab w:val="left" w:pos="284"/>
        </w:tabs>
      </w:pPr>
      <w:r w:rsidRPr="00DC1320">
        <w:t>criminal prosecutions  74–9</w:t>
      </w:r>
    </w:p>
    <w:p w14:paraId="1279AD7C" w14:textId="77777777" w:rsidR="00DC1320" w:rsidRPr="00DC1320" w:rsidRDefault="00DC1320" w:rsidP="00DC1320">
      <w:pPr>
        <w:pStyle w:val="PlainText"/>
        <w:tabs>
          <w:tab w:val="left" w:pos="284"/>
        </w:tabs>
      </w:pPr>
      <w:r w:rsidRPr="00DC1320">
        <w:tab/>
        <w:t>alternative verdicts  82, 150</w:t>
      </w:r>
    </w:p>
    <w:p w14:paraId="61012EB5" w14:textId="77777777" w:rsidR="00DC1320" w:rsidRPr="00DC1320" w:rsidRDefault="00DC1320" w:rsidP="00DC1320">
      <w:pPr>
        <w:pStyle w:val="PlainText"/>
        <w:tabs>
          <w:tab w:val="left" w:pos="284"/>
        </w:tabs>
      </w:pPr>
      <w:r w:rsidRPr="00DC1320">
        <w:tab/>
        <w:t>bringing  74</w:t>
      </w:r>
    </w:p>
    <w:p w14:paraId="0569CC98" w14:textId="77777777" w:rsidR="00DC1320" w:rsidRPr="00DC1320" w:rsidRDefault="00DC1320" w:rsidP="00DC1320">
      <w:pPr>
        <w:pStyle w:val="PlainText"/>
        <w:tabs>
          <w:tab w:val="left" w:pos="284"/>
        </w:tabs>
      </w:pPr>
      <w:r w:rsidRPr="00DC1320">
        <w:tab/>
        <w:t>commencing prosecution  191</w:t>
      </w:r>
    </w:p>
    <w:p w14:paraId="46DA99D7" w14:textId="77777777" w:rsidR="00DC1320" w:rsidRPr="00DC1320" w:rsidRDefault="00DC1320" w:rsidP="00DC1320">
      <w:pPr>
        <w:pStyle w:val="PlainText"/>
        <w:tabs>
          <w:tab w:val="left" w:pos="284"/>
        </w:tabs>
      </w:pPr>
      <w:r w:rsidRPr="00DC1320">
        <w:tab/>
        <w:t>legal representation  74</w:t>
      </w:r>
    </w:p>
    <w:p w14:paraId="4B4CB6E7" w14:textId="77777777" w:rsidR="00DC1320" w:rsidRPr="00DC1320" w:rsidRDefault="00DC1320" w:rsidP="00DC1320">
      <w:pPr>
        <w:pStyle w:val="PlainText"/>
        <w:tabs>
          <w:tab w:val="left" w:pos="284"/>
        </w:tabs>
      </w:pPr>
      <w:r w:rsidRPr="00DC1320">
        <w:tab/>
        <w:t>low prosecution rates  75</w:t>
      </w:r>
    </w:p>
    <w:p w14:paraId="36EEE4D9" w14:textId="77777777" w:rsidR="00DC1320" w:rsidRDefault="00DC1320" w:rsidP="00DC1320">
      <w:pPr>
        <w:pStyle w:val="PlainText"/>
        <w:tabs>
          <w:tab w:val="left" w:pos="284"/>
        </w:tabs>
      </w:pPr>
      <w:r w:rsidRPr="00DC1320">
        <w:tab/>
        <w:t xml:space="preserve">offences and penalties see offences and </w:t>
      </w:r>
      <w:r>
        <w:br w:type="page"/>
      </w:r>
    </w:p>
    <w:p w14:paraId="5911A80A" w14:textId="543CAE13" w:rsidR="00DC1320" w:rsidRPr="00DC1320" w:rsidRDefault="00DC1320" w:rsidP="00DC1320">
      <w:pPr>
        <w:pStyle w:val="PlainText"/>
        <w:tabs>
          <w:tab w:val="left" w:pos="284"/>
        </w:tabs>
      </w:pPr>
      <w:r w:rsidRPr="00DC1320">
        <w:lastRenderedPageBreak/>
        <w:t>penalties</w:t>
      </w:r>
    </w:p>
    <w:p w14:paraId="15686599" w14:textId="77777777" w:rsidR="00DC1320" w:rsidRPr="00DC1320" w:rsidRDefault="00DC1320" w:rsidP="00DC1320">
      <w:pPr>
        <w:pStyle w:val="PlainText"/>
        <w:tabs>
          <w:tab w:val="left" w:pos="284"/>
        </w:tabs>
      </w:pPr>
      <w:r w:rsidRPr="00DC1320">
        <w:tab/>
        <w:t>private prosecutions  75–9</w:t>
      </w:r>
    </w:p>
    <w:p w14:paraId="610E4984" w14:textId="77777777" w:rsidR="00DC1320" w:rsidRPr="00DC1320" w:rsidRDefault="00DC1320" w:rsidP="00DC1320">
      <w:pPr>
        <w:pStyle w:val="PlainText"/>
        <w:tabs>
          <w:tab w:val="left" w:pos="284"/>
        </w:tabs>
      </w:pPr>
      <w:r w:rsidRPr="00DC1320">
        <w:tab/>
        <w:t>regulators, capacity to prosecute  77</w:t>
      </w:r>
    </w:p>
    <w:p w14:paraId="7C2729DC" w14:textId="77777777" w:rsidR="00DC1320" w:rsidRPr="00DC1320" w:rsidRDefault="00DC1320" w:rsidP="00DC1320">
      <w:pPr>
        <w:pStyle w:val="PlainText"/>
        <w:tabs>
          <w:tab w:val="left" w:pos="284"/>
        </w:tabs>
      </w:pPr>
      <w:r w:rsidRPr="00DC1320">
        <w:tab/>
        <w:t>review findings  74, 75–6</w:t>
      </w:r>
    </w:p>
    <w:p w14:paraId="057DE61F" w14:textId="77777777" w:rsidR="00DC1320" w:rsidRPr="00DC1320" w:rsidRDefault="00DC1320" w:rsidP="00DC1320">
      <w:pPr>
        <w:pStyle w:val="PlainText"/>
        <w:tabs>
          <w:tab w:val="left" w:pos="284"/>
        </w:tabs>
      </w:pPr>
      <w:r w:rsidRPr="00DC1320">
        <w:tab/>
        <w:t>standing for private prosecutions  75–9</w:t>
      </w:r>
    </w:p>
    <w:p w14:paraId="49F1D6DA" w14:textId="77777777" w:rsidR="00DC1320" w:rsidRPr="00DC1320" w:rsidRDefault="00DC1320" w:rsidP="00DC1320">
      <w:pPr>
        <w:pStyle w:val="PlainText"/>
        <w:tabs>
          <w:tab w:val="left" w:pos="284"/>
        </w:tabs>
      </w:pPr>
      <w:r w:rsidRPr="00DC1320">
        <w:tab/>
        <w:t>unions, right to prosecute  76</w:t>
      </w:r>
    </w:p>
    <w:p w14:paraId="5DCC4DBF" w14:textId="77777777" w:rsidR="00DC1320" w:rsidRPr="00DC1320" w:rsidRDefault="00DC1320" w:rsidP="00DC1320">
      <w:pPr>
        <w:pStyle w:val="PlainText"/>
        <w:tabs>
          <w:tab w:val="left" w:pos="284"/>
        </w:tabs>
      </w:pPr>
      <w:r w:rsidRPr="00DC1320">
        <w:t>crystalline silica  107–8, 188</w:t>
      </w:r>
    </w:p>
    <w:p w14:paraId="01CF8F74" w14:textId="77777777" w:rsidR="00DC1320" w:rsidRPr="00DC1320" w:rsidRDefault="00DC1320" w:rsidP="00DC1320">
      <w:pPr>
        <w:pStyle w:val="PlainText"/>
        <w:tabs>
          <w:tab w:val="left" w:pos="284"/>
        </w:tabs>
      </w:pPr>
      <w:r w:rsidRPr="00DC1320">
        <w:t>cytotoxic drugs  107</w:t>
      </w:r>
    </w:p>
    <w:p w14:paraId="12BEFA4F" w14:textId="77777777" w:rsidR="00DC1320" w:rsidRPr="00DC1320" w:rsidRDefault="00DC1320" w:rsidP="00DC1320">
      <w:pPr>
        <w:pStyle w:val="PlainText"/>
        <w:tabs>
          <w:tab w:val="left" w:pos="284"/>
        </w:tabs>
      </w:pPr>
    </w:p>
    <w:p w14:paraId="43955FC6" w14:textId="77777777" w:rsidR="00DC1320" w:rsidRPr="00DC1320" w:rsidRDefault="00DC1320" w:rsidP="00DC1320">
      <w:pPr>
        <w:pStyle w:val="PlainText"/>
        <w:tabs>
          <w:tab w:val="left" w:pos="284"/>
        </w:tabs>
        <w:rPr>
          <w:b/>
          <w:bCs/>
        </w:rPr>
      </w:pPr>
      <w:r w:rsidRPr="00DC1320">
        <w:rPr>
          <w:b/>
          <w:bCs/>
        </w:rPr>
        <w:t>D</w:t>
      </w:r>
    </w:p>
    <w:p w14:paraId="54880CD0" w14:textId="77777777" w:rsidR="00DC1320" w:rsidRPr="00DC1320" w:rsidRDefault="00DC1320" w:rsidP="00DC1320">
      <w:pPr>
        <w:pStyle w:val="PlainText"/>
        <w:tabs>
          <w:tab w:val="left" w:pos="284"/>
        </w:tabs>
      </w:pPr>
      <w:r w:rsidRPr="00DC1320">
        <w:t>dangerous goods  109</w:t>
      </w:r>
    </w:p>
    <w:p w14:paraId="02607842" w14:textId="77777777" w:rsidR="00DC1320" w:rsidRPr="00DC1320" w:rsidRDefault="00DC1320" w:rsidP="00DC1320">
      <w:pPr>
        <w:pStyle w:val="PlainText"/>
        <w:tabs>
          <w:tab w:val="left" w:pos="284"/>
        </w:tabs>
      </w:pPr>
      <w:r w:rsidRPr="00DC1320">
        <w:tab/>
        <w:t>overlapping safety frameworks  27, 139</w:t>
      </w:r>
    </w:p>
    <w:p w14:paraId="49F236A5" w14:textId="77777777" w:rsidR="00DC1320" w:rsidRPr="00DC1320" w:rsidRDefault="00DC1320" w:rsidP="00DC1320">
      <w:pPr>
        <w:pStyle w:val="PlainText"/>
        <w:tabs>
          <w:tab w:val="left" w:pos="284"/>
        </w:tabs>
      </w:pPr>
      <w:r w:rsidRPr="00DC1320">
        <w:t>data insights  157–68</w:t>
      </w:r>
    </w:p>
    <w:p w14:paraId="6C273A66" w14:textId="77777777" w:rsidR="00DC1320" w:rsidRPr="00DC1320" w:rsidRDefault="00DC1320" w:rsidP="00DC1320">
      <w:pPr>
        <w:pStyle w:val="PlainText"/>
        <w:tabs>
          <w:tab w:val="left" w:pos="284"/>
        </w:tabs>
      </w:pPr>
      <w:r w:rsidRPr="00DC1320">
        <w:t>Declaration on Fundamental Principles and Rights at Work  6</w:t>
      </w:r>
    </w:p>
    <w:p w14:paraId="37F83F76" w14:textId="77777777" w:rsidR="00DC1320" w:rsidRPr="00DC1320" w:rsidRDefault="00DC1320" w:rsidP="00DC1320">
      <w:pPr>
        <w:pStyle w:val="PlainText"/>
        <w:tabs>
          <w:tab w:val="left" w:pos="284"/>
        </w:tabs>
      </w:pPr>
      <w:r w:rsidRPr="00DC1320">
        <w:t>demolition work  105–6</w:t>
      </w:r>
    </w:p>
    <w:p w14:paraId="49A754A1" w14:textId="77777777" w:rsidR="00DC1320" w:rsidRPr="00DC1320" w:rsidRDefault="00DC1320" w:rsidP="00DC1320">
      <w:pPr>
        <w:pStyle w:val="PlainText"/>
        <w:tabs>
          <w:tab w:val="left" w:pos="284"/>
        </w:tabs>
      </w:pPr>
      <w:r w:rsidRPr="00DC1320">
        <w:t>Dennis, Richard  12</w:t>
      </w:r>
    </w:p>
    <w:p w14:paraId="33667842" w14:textId="77777777" w:rsidR="00DC1320" w:rsidRPr="00DC1320" w:rsidRDefault="00DC1320" w:rsidP="00DC1320">
      <w:pPr>
        <w:pStyle w:val="PlainText"/>
        <w:tabs>
          <w:tab w:val="left" w:pos="284"/>
        </w:tabs>
      </w:pPr>
      <w:r w:rsidRPr="00DC1320">
        <w:t>digital transformation  115–21</w:t>
      </w:r>
    </w:p>
    <w:p w14:paraId="7D2058A9" w14:textId="77777777" w:rsidR="00DC1320" w:rsidRPr="00DC1320" w:rsidRDefault="00DC1320" w:rsidP="00DC1320">
      <w:pPr>
        <w:pStyle w:val="PlainText"/>
        <w:tabs>
          <w:tab w:val="left" w:pos="284"/>
        </w:tabs>
      </w:pPr>
      <w:r w:rsidRPr="00DC1320">
        <w:tab/>
        <w:t>AI see artificial intelligence (AI)</w:t>
      </w:r>
    </w:p>
    <w:p w14:paraId="5CF63FAF" w14:textId="77777777" w:rsidR="00DC1320" w:rsidRPr="00DC1320" w:rsidRDefault="00DC1320" w:rsidP="00DC1320">
      <w:pPr>
        <w:pStyle w:val="PlainText"/>
        <w:tabs>
          <w:tab w:val="left" w:pos="284"/>
        </w:tabs>
      </w:pPr>
      <w:r w:rsidRPr="00DC1320">
        <w:tab/>
        <w:t>developing strategy on  10, 121</w:t>
      </w:r>
    </w:p>
    <w:p w14:paraId="6DF5F2D0" w14:textId="77777777" w:rsidR="00DC1320" w:rsidRPr="00DC1320" w:rsidRDefault="00DC1320" w:rsidP="00DC1320">
      <w:pPr>
        <w:pStyle w:val="PlainText"/>
        <w:tabs>
          <w:tab w:val="left" w:pos="284"/>
        </w:tabs>
      </w:pPr>
      <w:r w:rsidRPr="00DC1320">
        <w:tab/>
        <w:t>NSW Digital Work System variation  119–20</w:t>
      </w:r>
    </w:p>
    <w:p w14:paraId="0F711864" w14:textId="77777777" w:rsidR="00DC1320" w:rsidRPr="00DC1320" w:rsidRDefault="00DC1320" w:rsidP="00DC1320">
      <w:pPr>
        <w:pStyle w:val="PlainText"/>
        <w:tabs>
          <w:tab w:val="left" w:pos="284"/>
        </w:tabs>
      </w:pPr>
      <w:r w:rsidRPr="00DC1320">
        <w:tab/>
        <w:t>recommendations  10, 121</w:t>
      </w:r>
    </w:p>
    <w:p w14:paraId="00C16D81" w14:textId="77777777" w:rsidR="00DC1320" w:rsidRPr="00DC1320" w:rsidRDefault="00DC1320" w:rsidP="00DC1320">
      <w:pPr>
        <w:pStyle w:val="PlainText"/>
        <w:tabs>
          <w:tab w:val="left" w:pos="284"/>
        </w:tabs>
      </w:pPr>
      <w:r w:rsidRPr="00DC1320">
        <w:tab/>
        <w:t>review findings  117</w:t>
      </w:r>
    </w:p>
    <w:p w14:paraId="179291AF" w14:textId="77777777" w:rsidR="00DC1320" w:rsidRPr="00DC1320" w:rsidRDefault="00DC1320" w:rsidP="00DC1320">
      <w:pPr>
        <w:pStyle w:val="PlainText"/>
        <w:tabs>
          <w:tab w:val="left" w:pos="284"/>
        </w:tabs>
      </w:pPr>
      <w:r w:rsidRPr="00DC1320">
        <w:t>digital work systems  119–20</w:t>
      </w:r>
    </w:p>
    <w:p w14:paraId="6CEB934E" w14:textId="77777777" w:rsidR="00DC1320" w:rsidRPr="00DC1320" w:rsidRDefault="00DC1320" w:rsidP="00DC1320">
      <w:pPr>
        <w:pStyle w:val="PlainText"/>
        <w:tabs>
          <w:tab w:val="left" w:pos="284"/>
        </w:tabs>
      </w:pPr>
      <w:r w:rsidRPr="00DC1320">
        <w:t>disability discrimination  128, 140–1</w:t>
      </w:r>
    </w:p>
    <w:p w14:paraId="247F0D8A" w14:textId="77777777" w:rsidR="00DC1320" w:rsidRPr="00DC1320" w:rsidRDefault="00DC1320" w:rsidP="00DC1320">
      <w:pPr>
        <w:pStyle w:val="PlainText"/>
        <w:tabs>
          <w:tab w:val="left" w:pos="284"/>
        </w:tabs>
      </w:pPr>
      <w:r w:rsidRPr="00DC1320">
        <w:t>Disability Royal Commission  140, 141</w:t>
      </w:r>
    </w:p>
    <w:p w14:paraId="39371C1C" w14:textId="77777777" w:rsidR="00DC1320" w:rsidRPr="00DC1320" w:rsidRDefault="00DC1320" w:rsidP="00DC1320">
      <w:pPr>
        <w:pStyle w:val="PlainText"/>
        <w:tabs>
          <w:tab w:val="left" w:pos="284"/>
        </w:tabs>
      </w:pPr>
      <w:r w:rsidRPr="00DC1320">
        <w:t>discriminatory conduct  57–8, 128–30</w:t>
      </w:r>
    </w:p>
    <w:p w14:paraId="123E21C3" w14:textId="77777777" w:rsidR="00DC1320" w:rsidRPr="00DC1320" w:rsidRDefault="00DC1320" w:rsidP="00DC1320">
      <w:pPr>
        <w:pStyle w:val="PlainText"/>
        <w:tabs>
          <w:tab w:val="left" w:pos="284"/>
        </w:tabs>
      </w:pPr>
      <w:r w:rsidRPr="00DC1320">
        <w:tab/>
        <w:t>anti-discrimination legal frameworks  31, 140</w:t>
      </w:r>
    </w:p>
    <w:p w14:paraId="74A1E32B" w14:textId="77777777" w:rsidR="00DC1320" w:rsidRPr="00DC1320" w:rsidRDefault="00DC1320" w:rsidP="00DC1320">
      <w:pPr>
        <w:pStyle w:val="PlainText"/>
        <w:tabs>
          <w:tab w:val="left" w:pos="284"/>
        </w:tabs>
      </w:pPr>
      <w:r w:rsidRPr="00DC1320">
        <w:tab/>
        <w:t>definition  57, 58</w:t>
      </w:r>
    </w:p>
    <w:p w14:paraId="0194E4B5" w14:textId="77777777" w:rsidR="00DC1320" w:rsidRPr="00DC1320" w:rsidRDefault="00DC1320" w:rsidP="00DC1320">
      <w:pPr>
        <w:pStyle w:val="PlainText"/>
        <w:tabs>
          <w:tab w:val="left" w:pos="284"/>
        </w:tabs>
      </w:pPr>
      <w:r w:rsidRPr="00DC1320">
        <w:tab/>
        <w:t>detriment test  58</w:t>
      </w:r>
    </w:p>
    <w:p w14:paraId="48169F70" w14:textId="77777777" w:rsidR="00DC1320" w:rsidRPr="00DC1320" w:rsidRDefault="00DC1320" w:rsidP="00DC1320">
      <w:pPr>
        <w:pStyle w:val="PlainText"/>
        <w:tabs>
          <w:tab w:val="left" w:pos="284"/>
        </w:tabs>
      </w:pPr>
      <w:r w:rsidRPr="00DC1320">
        <w:tab/>
        <w:t>disability discrimination  128, 140–1</w:t>
      </w:r>
    </w:p>
    <w:p w14:paraId="26EF618F" w14:textId="77777777" w:rsidR="00DC1320" w:rsidRPr="00DC1320" w:rsidRDefault="00DC1320" w:rsidP="00DC1320">
      <w:pPr>
        <w:pStyle w:val="PlainText"/>
        <w:tabs>
          <w:tab w:val="left" w:pos="284"/>
        </w:tabs>
      </w:pPr>
      <w:r w:rsidRPr="00DC1320">
        <w:tab/>
        <w:t>Fair Work Act framework  140</w:t>
      </w:r>
    </w:p>
    <w:p w14:paraId="487E7008" w14:textId="77777777" w:rsidR="00DC1320" w:rsidRPr="00DC1320" w:rsidRDefault="00DC1320" w:rsidP="00DC1320">
      <w:pPr>
        <w:pStyle w:val="PlainText"/>
        <w:tabs>
          <w:tab w:val="left" w:pos="284"/>
        </w:tabs>
      </w:pPr>
      <w:r w:rsidRPr="00DC1320">
        <w:tab/>
        <w:t>legal protections against  6</w:t>
      </w:r>
    </w:p>
    <w:p w14:paraId="359CCEE1" w14:textId="77777777" w:rsidR="00DC1320" w:rsidRPr="00DC1320" w:rsidRDefault="00DC1320" w:rsidP="00DC1320">
      <w:pPr>
        <w:pStyle w:val="PlainText"/>
        <w:tabs>
          <w:tab w:val="left" w:pos="284"/>
        </w:tabs>
      </w:pPr>
      <w:r w:rsidRPr="00DC1320">
        <w:tab/>
        <w:t>mental health risks  6</w:t>
      </w:r>
    </w:p>
    <w:p w14:paraId="5BB95DC3" w14:textId="77777777" w:rsidR="00DC1320" w:rsidRPr="00DC1320" w:rsidRDefault="00DC1320" w:rsidP="00DC1320">
      <w:pPr>
        <w:pStyle w:val="PlainText"/>
        <w:tabs>
          <w:tab w:val="left" w:pos="284"/>
        </w:tabs>
      </w:pPr>
      <w:r w:rsidRPr="00DC1320">
        <w:tab/>
        <w:t>overlapping frameworks  140–1</w:t>
      </w:r>
    </w:p>
    <w:p w14:paraId="714EDB60" w14:textId="77777777" w:rsidR="00DC1320" w:rsidRPr="00DC1320" w:rsidRDefault="00DC1320" w:rsidP="00DC1320">
      <w:pPr>
        <w:pStyle w:val="PlainText"/>
        <w:tabs>
          <w:tab w:val="left" w:pos="284"/>
        </w:tabs>
      </w:pPr>
      <w:r w:rsidRPr="00DC1320">
        <w:tab/>
        <w:t>positive anti-discrimination duties  11</w:t>
      </w:r>
    </w:p>
    <w:p w14:paraId="7942F466" w14:textId="77777777" w:rsidR="00DC1320" w:rsidRPr="00DC1320" w:rsidRDefault="00DC1320" w:rsidP="00DC1320">
      <w:pPr>
        <w:pStyle w:val="PlainText"/>
        <w:tabs>
          <w:tab w:val="left" w:pos="284"/>
        </w:tabs>
      </w:pPr>
      <w:r w:rsidRPr="00DC1320">
        <w:tab/>
        <w:t>racism  7, 127, 128, 130, 141</w:t>
      </w:r>
    </w:p>
    <w:p w14:paraId="18A6D715" w14:textId="77777777" w:rsidR="00DC1320" w:rsidRPr="00DC1320" w:rsidRDefault="00DC1320" w:rsidP="00DC1320">
      <w:pPr>
        <w:pStyle w:val="PlainText"/>
        <w:tabs>
          <w:tab w:val="left" w:pos="284"/>
        </w:tabs>
      </w:pPr>
      <w:r w:rsidRPr="00DC1320">
        <w:tab/>
        <w:t>review findings  57</w:t>
      </w:r>
    </w:p>
    <w:p w14:paraId="5395F501" w14:textId="77777777" w:rsidR="00DC1320" w:rsidRPr="00DC1320" w:rsidRDefault="00DC1320" w:rsidP="00DC1320">
      <w:pPr>
        <w:pStyle w:val="PlainText"/>
        <w:tabs>
          <w:tab w:val="left" w:pos="284"/>
        </w:tabs>
      </w:pPr>
      <w:r w:rsidRPr="00DC1320">
        <w:tab/>
        <w:t>sex discrimination  140</w:t>
      </w:r>
    </w:p>
    <w:p w14:paraId="3AE4FFEE" w14:textId="77777777" w:rsidR="00DC1320" w:rsidRPr="00DC1320" w:rsidRDefault="00DC1320" w:rsidP="00DC1320">
      <w:pPr>
        <w:pStyle w:val="PlainText"/>
        <w:tabs>
          <w:tab w:val="left" w:pos="284"/>
        </w:tabs>
      </w:pPr>
      <w:r w:rsidRPr="00DC1320">
        <w:t>dispute resolution  132, 140</w:t>
      </w:r>
    </w:p>
    <w:p w14:paraId="7E3B1BC2" w14:textId="77777777" w:rsidR="00DC1320" w:rsidRPr="00DC1320" w:rsidRDefault="00DC1320" w:rsidP="00DC1320">
      <w:pPr>
        <w:pStyle w:val="PlainText"/>
        <w:tabs>
          <w:tab w:val="left" w:pos="284"/>
        </w:tabs>
      </w:pPr>
      <w:r w:rsidRPr="00DC1320">
        <w:t>diving  103</w:t>
      </w:r>
    </w:p>
    <w:p w14:paraId="3CA4DA90" w14:textId="77777777" w:rsidR="00DC1320" w:rsidRPr="00DC1320" w:rsidRDefault="00DC1320" w:rsidP="00DC1320">
      <w:pPr>
        <w:pStyle w:val="PlainText"/>
        <w:tabs>
          <w:tab w:val="left" w:pos="284"/>
        </w:tabs>
      </w:pPr>
      <w:r w:rsidRPr="00DC1320">
        <w:tab/>
        <w:t>high risk construction work  103</w:t>
      </w:r>
    </w:p>
    <w:p w14:paraId="1B618E2C" w14:textId="77777777" w:rsidR="00DC1320" w:rsidRPr="00DC1320" w:rsidRDefault="00DC1320" w:rsidP="00DC1320">
      <w:pPr>
        <w:pStyle w:val="PlainText"/>
        <w:tabs>
          <w:tab w:val="left" w:pos="284"/>
        </w:tabs>
      </w:pPr>
      <w:r w:rsidRPr="00DC1320">
        <w:tab/>
        <w:t>industry-specific regulations  113</w:t>
      </w:r>
    </w:p>
    <w:p w14:paraId="0897E8E2" w14:textId="77777777" w:rsidR="00DC1320" w:rsidRPr="00DC1320" w:rsidRDefault="00DC1320" w:rsidP="00DC1320">
      <w:pPr>
        <w:pStyle w:val="PlainText"/>
        <w:tabs>
          <w:tab w:val="left" w:pos="284"/>
        </w:tabs>
      </w:pPr>
      <w:r w:rsidRPr="00DC1320">
        <w:tab/>
        <w:t>overlapping safety frameworks  139</w:t>
      </w:r>
    </w:p>
    <w:p w14:paraId="46CDD0BC" w14:textId="77777777" w:rsidR="00DC1320" w:rsidRPr="00DC1320" w:rsidRDefault="00DC1320" w:rsidP="00DC1320">
      <w:pPr>
        <w:pStyle w:val="PlainText"/>
        <w:tabs>
          <w:tab w:val="left" w:pos="284"/>
        </w:tabs>
      </w:pPr>
      <w:r w:rsidRPr="00DC1320">
        <w:t>duties framework  8, 34–41</w:t>
      </w:r>
    </w:p>
    <w:p w14:paraId="60CDA3B2" w14:textId="77777777" w:rsidR="00DC1320" w:rsidRPr="00DC1320" w:rsidRDefault="00DC1320" w:rsidP="00DC1320">
      <w:pPr>
        <w:pStyle w:val="PlainText"/>
        <w:tabs>
          <w:tab w:val="left" w:pos="284"/>
        </w:tabs>
      </w:pPr>
      <w:r w:rsidRPr="00DC1320">
        <w:tab/>
        <w:t>2018 National Review  35, 37</w:t>
      </w:r>
    </w:p>
    <w:p w14:paraId="4C0DD6FA" w14:textId="77777777" w:rsidR="00DC1320" w:rsidRPr="00DC1320" w:rsidRDefault="00DC1320" w:rsidP="00DC1320">
      <w:pPr>
        <w:pStyle w:val="PlainText"/>
        <w:tabs>
          <w:tab w:val="left" w:pos="284"/>
        </w:tabs>
      </w:pPr>
      <w:r w:rsidRPr="00DC1320">
        <w:tab/>
        <w:t>2022 Queensland Review  37</w:t>
      </w:r>
    </w:p>
    <w:p w14:paraId="49FD2390" w14:textId="77777777" w:rsidR="00DC1320" w:rsidRPr="00DC1320" w:rsidRDefault="00DC1320" w:rsidP="00DC1320">
      <w:pPr>
        <w:pStyle w:val="PlainText"/>
        <w:tabs>
          <w:tab w:val="left" w:pos="284"/>
        </w:tabs>
      </w:pPr>
      <w:r w:rsidRPr="00DC1320">
        <w:tab/>
        <w:t>criteria for assessing variations  34</w:t>
      </w:r>
    </w:p>
    <w:p w14:paraId="0F4A36FD" w14:textId="77777777" w:rsidR="00DC1320" w:rsidRPr="00DC1320" w:rsidRDefault="00DC1320" w:rsidP="00DC1320">
      <w:pPr>
        <w:pStyle w:val="PlainText"/>
        <w:tabs>
          <w:tab w:val="left" w:pos="284"/>
        </w:tabs>
      </w:pPr>
      <w:r w:rsidRPr="00DC1320">
        <w:tab/>
        <w:t>health and safety duties  35–8</w:t>
      </w:r>
    </w:p>
    <w:p w14:paraId="2D2C3C10" w14:textId="77777777" w:rsidR="00DC1320" w:rsidRPr="00DC1320" w:rsidRDefault="00DC1320" w:rsidP="00DC1320">
      <w:pPr>
        <w:pStyle w:val="PlainText"/>
        <w:tabs>
          <w:tab w:val="left" w:pos="284"/>
        </w:tabs>
      </w:pPr>
      <w:r w:rsidRPr="00DC1320">
        <w:tab/>
        <w:t>recommendations  8, 37, 38, 41</w:t>
      </w:r>
    </w:p>
    <w:p w14:paraId="1508F57A" w14:textId="77777777" w:rsidR="00DC1320" w:rsidRPr="00DC1320" w:rsidRDefault="00DC1320" w:rsidP="00DC1320">
      <w:pPr>
        <w:pStyle w:val="PlainText"/>
        <w:tabs>
          <w:tab w:val="left" w:pos="284"/>
        </w:tabs>
      </w:pPr>
      <w:r w:rsidRPr="00DC1320">
        <w:tab/>
        <w:t>Reviews considered  34</w:t>
      </w:r>
    </w:p>
    <w:p w14:paraId="13BDFDA0" w14:textId="77777777" w:rsidR="00DC1320" w:rsidRPr="00DC1320" w:rsidRDefault="00DC1320" w:rsidP="00DC1320">
      <w:pPr>
        <w:pStyle w:val="PlainText"/>
        <w:tabs>
          <w:tab w:val="left" w:pos="284"/>
        </w:tabs>
      </w:pPr>
      <w:r w:rsidRPr="00DC1320">
        <w:tab/>
        <w:t>Terms of Reference  34</w:t>
      </w:r>
    </w:p>
    <w:p w14:paraId="7AB78E5B" w14:textId="77777777" w:rsidR="00DC1320" w:rsidRPr="00DC1320" w:rsidRDefault="00DC1320" w:rsidP="00DC1320">
      <w:pPr>
        <w:pStyle w:val="PlainText"/>
        <w:tabs>
          <w:tab w:val="left" w:pos="284"/>
        </w:tabs>
      </w:pPr>
      <w:r w:rsidRPr="00DC1320">
        <w:tab/>
        <w:t>WHS knowledge and capability  39–41</w:t>
      </w:r>
    </w:p>
    <w:p w14:paraId="6EDD31D7" w14:textId="77777777" w:rsidR="00DC1320" w:rsidRPr="00DC1320" w:rsidRDefault="00DC1320" w:rsidP="00DC1320">
      <w:pPr>
        <w:pStyle w:val="PlainText"/>
        <w:tabs>
          <w:tab w:val="left" w:pos="284"/>
        </w:tabs>
      </w:pPr>
      <w:r w:rsidRPr="00DC1320">
        <w:t>duty of care for harmful behaviours  8, 10, 37, 131</w:t>
      </w:r>
    </w:p>
    <w:p w14:paraId="36CDFDD1" w14:textId="77777777" w:rsidR="00DC1320" w:rsidRPr="00DC1320" w:rsidRDefault="00DC1320" w:rsidP="00DC1320">
      <w:pPr>
        <w:pStyle w:val="PlainText"/>
        <w:tabs>
          <w:tab w:val="left" w:pos="284"/>
        </w:tabs>
      </w:pPr>
    </w:p>
    <w:p w14:paraId="178F0662" w14:textId="77777777" w:rsidR="00DC1320" w:rsidRPr="00DC1320" w:rsidRDefault="00DC1320" w:rsidP="00DC1320">
      <w:pPr>
        <w:pStyle w:val="PlainText"/>
        <w:tabs>
          <w:tab w:val="left" w:pos="284"/>
        </w:tabs>
        <w:rPr>
          <w:b/>
          <w:bCs/>
        </w:rPr>
      </w:pPr>
      <w:r w:rsidRPr="00DC1320">
        <w:rPr>
          <w:b/>
          <w:bCs/>
        </w:rPr>
        <w:t>E</w:t>
      </w:r>
    </w:p>
    <w:p w14:paraId="64F48DB4" w14:textId="77777777" w:rsidR="00DC1320" w:rsidRPr="00DC1320" w:rsidRDefault="00DC1320" w:rsidP="00DC1320">
      <w:pPr>
        <w:pStyle w:val="PlainText"/>
        <w:tabs>
          <w:tab w:val="left" w:pos="284"/>
        </w:tabs>
      </w:pPr>
      <w:r w:rsidRPr="00DC1320">
        <w:t>economic benefits of improved WHS arrangements  161–3</w:t>
      </w:r>
    </w:p>
    <w:p w14:paraId="14ED23C3" w14:textId="77777777" w:rsidR="00DC1320" w:rsidRPr="00DC1320" w:rsidRDefault="00DC1320" w:rsidP="00DC1320">
      <w:pPr>
        <w:pStyle w:val="PlainText"/>
        <w:tabs>
          <w:tab w:val="left" w:pos="284"/>
        </w:tabs>
      </w:pPr>
      <w:r w:rsidRPr="00DC1320">
        <w:t>education and communications  11</w:t>
      </w:r>
    </w:p>
    <w:p w14:paraId="68819C7F" w14:textId="77777777" w:rsidR="00DC1320" w:rsidRPr="00DC1320" w:rsidRDefault="00DC1320" w:rsidP="00DC1320">
      <w:pPr>
        <w:pStyle w:val="PlainText"/>
        <w:tabs>
          <w:tab w:val="left" w:pos="284"/>
        </w:tabs>
      </w:pPr>
      <w:r w:rsidRPr="00DC1320">
        <w:tab/>
        <w:t>climate change, education on  123</w:t>
      </w:r>
    </w:p>
    <w:p w14:paraId="4F5D97DE" w14:textId="77777777" w:rsidR="00DC1320" w:rsidRPr="00DC1320" w:rsidRDefault="00DC1320" w:rsidP="00DC1320">
      <w:pPr>
        <w:pStyle w:val="PlainText"/>
        <w:tabs>
          <w:tab w:val="left" w:pos="284"/>
        </w:tabs>
      </w:pPr>
      <w:r w:rsidRPr="00DC1320">
        <w:t>electricity safety  108</w:t>
      </w:r>
    </w:p>
    <w:p w14:paraId="5497F06C" w14:textId="77777777" w:rsidR="00DC1320" w:rsidRPr="00DC1320" w:rsidRDefault="00DC1320" w:rsidP="00DC1320">
      <w:pPr>
        <w:pStyle w:val="PlainText"/>
        <w:tabs>
          <w:tab w:val="left" w:pos="284"/>
        </w:tabs>
      </w:pPr>
      <w:r w:rsidRPr="00DC1320">
        <w:tab/>
        <w:t>overlapping safety frameworks  139</w:t>
      </w:r>
    </w:p>
    <w:p w14:paraId="63EF31BB" w14:textId="77777777" w:rsidR="00DC1320" w:rsidRPr="00DC1320" w:rsidRDefault="00DC1320" w:rsidP="00DC1320">
      <w:pPr>
        <w:pStyle w:val="PlainText"/>
        <w:tabs>
          <w:tab w:val="left" w:pos="284"/>
        </w:tabs>
      </w:pPr>
      <w:r w:rsidRPr="00DC1320">
        <w:t>employer survey  178–86</w:t>
      </w:r>
    </w:p>
    <w:p w14:paraId="6A53AC3F" w14:textId="77777777" w:rsidR="00DC1320" w:rsidRPr="00DC1320" w:rsidRDefault="00DC1320" w:rsidP="00DC1320">
      <w:pPr>
        <w:pStyle w:val="PlainText"/>
        <w:tabs>
          <w:tab w:val="left" w:pos="284"/>
        </w:tabs>
      </w:pPr>
      <w:r w:rsidRPr="00DC1320">
        <w:t>employer understanding of WHS  181–3</w:t>
      </w:r>
    </w:p>
    <w:p w14:paraId="2703DA82" w14:textId="77777777" w:rsidR="00DC1320" w:rsidRPr="00DC1320" w:rsidRDefault="00DC1320" w:rsidP="00DC1320">
      <w:pPr>
        <w:pStyle w:val="PlainText"/>
        <w:tabs>
          <w:tab w:val="left" w:pos="284"/>
        </w:tabs>
      </w:pPr>
      <w:r w:rsidRPr="00DC1320">
        <w:t>enforceable undertakings  71, 151</w:t>
      </w:r>
    </w:p>
    <w:p w14:paraId="59E27D19" w14:textId="77777777" w:rsidR="00DC1320" w:rsidRPr="00DC1320" w:rsidRDefault="00DC1320" w:rsidP="00DC1320">
      <w:pPr>
        <w:pStyle w:val="PlainText"/>
        <w:tabs>
          <w:tab w:val="left" w:pos="284"/>
        </w:tabs>
      </w:pPr>
      <w:r w:rsidRPr="00DC1320">
        <w:tab/>
        <w:t>data insights  163, 164</w:t>
      </w:r>
    </w:p>
    <w:p w14:paraId="60E61A0C" w14:textId="77777777" w:rsidR="00DC1320" w:rsidRPr="00DC1320" w:rsidRDefault="00DC1320" w:rsidP="00DC1320">
      <w:pPr>
        <w:pStyle w:val="PlainText"/>
        <w:tabs>
          <w:tab w:val="left" w:pos="284"/>
        </w:tabs>
      </w:pPr>
      <w:r w:rsidRPr="00DC1320">
        <w:tab/>
        <w:t>industrial manslaughter, not permitted for  71</w:t>
      </w:r>
    </w:p>
    <w:p w14:paraId="768222C3" w14:textId="77777777" w:rsidR="00DC1320" w:rsidRPr="00DC1320" w:rsidRDefault="00DC1320" w:rsidP="00DC1320">
      <w:pPr>
        <w:pStyle w:val="PlainText"/>
        <w:tabs>
          <w:tab w:val="left" w:pos="284"/>
        </w:tabs>
      </w:pPr>
      <w:r w:rsidRPr="00DC1320">
        <w:tab/>
        <w:t>jurisdictional variations  144</w:t>
      </w:r>
    </w:p>
    <w:p w14:paraId="797C7BF6" w14:textId="77777777" w:rsidR="00DC1320" w:rsidRPr="00DC1320" w:rsidRDefault="00DC1320" w:rsidP="00DC1320">
      <w:pPr>
        <w:pStyle w:val="PlainText"/>
        <w:tabs>
          <w:tab w:val="left" w:pos="284"/>
        </w:tabs>
      </w:pPr>
      <w:r w:rsidRPr="00DC1320">
        <w:t>engineered stone prohibition  107–8</w:t>
      </w:r>
    </w:p>
    <w:p w14:paraId="37AC8693" w14:textId="77777777" w:rsidR="00DC1320" w:rsidRPr="00DC1320" w:rsidRDefault="00DC1320" w:rsidP="00DC1320">
      <w:pPr>
        <w:pStyle w:val="PlainText"/>
        <w:tabs>
          <w:tab w:val="left" w:pos="284"/>
        </w:tabs>
      </w:pPr>
      <w:r w:rsidRPr="00DC1320">
        <w:t>entry permit holder (EPH)  50, 51, 59–62</w:t>
      </w:r>
    </w:p>
    <w:p w14:paraId="70B39921" w14:textId="77777777" w:rsidR="00DC1320" w:rsidRPr="00DC1320" w:rsidRDefault="00DC1320" w:rsidP="00DC1320">
      <w:pPr>
        <w:pStyle w:val="PlainText"/>
        <w:tabs>
          <w:tab w:val="left" w:pos="284"/>
        </w:tabs>
      </w:pPr>
      <w:r w:rsidRPr="00DC1320">
        <w:tab/>
        <w:t>information gathering powers  61</w:t>
      </w:r>
    </w:p>
    <w:p w14:paraId="35067E20" w14:textId="77777777" w:rsidR="00DC1320" w:rsidRPr="00DC1320" w:rsidRDefault="00DC1320" w:rsidP="00DC1320">
      <w:pPr>
        <w:pStyle w:val="PlainText"/>
        <w:tabs>
          <w:tab w:val="left" w:pos="284"/>
        </w:tabs>
      </w:pPr>
      <w:r w:rsidRPr="00DC1320">
        <w:tab/>
        <w:t>misuse of powers  60, 80</w:t>
      </w:r>
    </w:p>
    <w:p w14:paraId="55216445" w14:textId="77777777" w:rsidR="00DC1320" w:rsidRPr="00DC1320" w:rsidRDefault="00DC1320" w:rsidP="00DC1320">
      <w:pPr>
        <w:pStyle w:val="PlainText"/>
        <w:tabs>
          <w:tab w:val="left" w:pos="284"/>
        </w:tabs>
      </w:pPr>
      <w:r w:rsidRPr="00DC1320">
        <w:tab/>
        <w:t>right of entry  59–62</w:t>
      </w:r>
    </w:p>
    <w:p w14:paraId="7D109250" w14:textId="77777777" w:rsidR="00DC1320" w:rsidRPr="00DC1320" w:rsidRDefault="00DC1320" w:rsidP="00DC1320">
      <w:pPr>
        <w:pStyle w:val="PlainText"/>
        <w:tabs>
          <w:tab w:val="left" w:pos="284"/>
        </w:tabs>
      </w:pPr>
      <w:r w:rsidRPr="00DC1320">
        <w:tab/>
        <w:t>training, mutual recognition of  104</w:t>
      </w:r>
    </w:p>
    <w:p w14:paraId="7FCA12CD" w14:textId="77777777" w:rsidR="00DC1320" w:rsidRPr="00DC1320" w:rsidRDefault="00DC1320" w:rsidP="00DC1320">
      <w:pPr>
        <w:pStyle w:val="PlainText"/>
        <w:tabs>
          <w:tab w:val="left" w:pos="284"/>
        </w:tabs>
      </w:pPr>
      <w:r w:rsidRPr="00DC1320">
        <w:t>environmental scan  10, 115–31</w:t>
      </w:r>
    </w:p>
    <w:p w14:paraId="0640398A" w14:textId="77777777" w:rsidR="00DC1320" w:rsidRPr="00DC1320" w:rsidRDefault="00DC1320" w:rsidP="00DC1320">
      <w:pPr>
        <w:pStyle w:val="PlainText"/>
        <w:tabs>
          <w:tab w:val="left" w:pos="284"/>
        </w:tabs>
      </w:pPr>
      <w:r w:rsidRPr="00DC1320">
        <w:tab/>
        <w:t>AI see artificial intelligence (AI)</w:t>
      </w:r>
    </w:p>
    <w:p w14:paraId="68EC085F" w14:textId="77777777" w:rsidR="00DC1320" w:rsidRPr="00DC1320" w:rsidRDefault="00DC1320" w:rsidP="00DC1320">
      <w:pPr>
        <w:pStyle w:val="PlainText"/>
        <w:tabs>
          <w:tab w:val="left" w:pos="284"/>
        </w:tabs>
      </w:pPr>
      <w:r w:rsidRPr="00DC1320">
        <w:tab/>
        <w:t>climate change  122–7</w:t>
      </w:r>
    </w:p>
    <w:p w14:paraId="420A08EA" w14:textId="77777777" w:rsidR="00DC1320" w:rsidRPr="00DC1320" w:rsidRDefault="00DC1320" w:rsidP="00DC1320">
      <w:pPr>
        <w:pStyle w:val="PlainText"/>
        <w:tabs>
          <w:tab w:val="left" w:pos="284"/>
        </w:tabs>
      </w:pPr>
      <w:r w:rsidRPr="00DC1320">
        <w:tab/>
        <w:t>digital transformation  115–21</w:t>
      </w:r>
    </w:p>
    <w:p w14:paraId="1604E223" w14:textId="77777777" w:rsidR="00DC1320" w:rsidRPr="00DC1320" w:rsidRDefault="00DC1320" w:rsidP="00DC1320">
      <w:pPr>
        <w:pStyle w:val="PlainText"/>
        <w:tabs>
          <w:tab w:val="left" w:pos="284"/>
        </w:tabs>
      </w:pPr>
      <w:r w:rsidRPr="00DC1320">
        <w:tab/>
        <w:t>harmful workplace behaviours  127–31</w:t>
      </w:r>
    </w:p>
    <w:p w14:paraId="5464061F" w14:textId="77777777" w:rsidR="00DC1320" w:rsidRPr="00DC1320" w:rsidRDefault="00DC1320" w:rsidP="00DC1320">
      <w:pPr>
        <w:pStyle w:val="PlainText"/>
        <w:tabs>
          <w:tab w:val="left" w:pos="284"/>
        </w:tabs>
      </w:pPr>
      <w:r w:rsidRPr="00DC1320">
        <w:tab/>
        <w:t>recommendations  121, 127, 131</w:t>
      </w:r>
    </w:p>
    <w:p w14:paraId="1C4BAFF3" w14:textId="77777777" w:rsidR="00DC1320" w:rsidRPr="00DC1320" w:rsidRDefault="00DC1320" w:rsidP="00DC1320">
      <w:pPr>
        <w:pStyle w:val="PlainText"/>
        <w:tabs>
          <w:tab w:val="left" w:pos="284"/>
        </w:tabs>
      </w:pPr>
      <w:r w:rsidRPr="00DC1320">
        <w:tab/>
        <w:t>Reviews considered  115</w:t>
      </w:r>
    </w:p>
    <w:p w14:paraId="1EA9CB35" w14:textId="77777777" w:rsidR="00DC1320" w:rsidRPr="00DC1320" w:rsidRDefault="00DC1320" w:rsidP="00DC1320">
      <w:pPr>
        <w:pStyle w:val="PlainText"/>
        <w:tabs>
          <w:tab w:val="left" w:pos="284"/>
        </w:tabs>
      </w:pPr>
      <w:r w:rsidRPr="00DC1320">
        <w:tab/>
        <w:t>Terms of Reference  115</w:t>
      </w:r>
    </w:p>
    <w:p w14:paraId="72E56021" w14:textId="77777777" w:rsidR="00DC1320" w:rsidRPr="00DC1320" w:rsidRDefault="00DC1320" w:rsidP="00DC1320">
      <w:pPr>
        <w:pStyle w:val="PlainText"/>
        <w:tabs>
          <w:tab w:val="left" w:pos="284"/>
        </w:tabs>
      </w:pPr>
      <w:r w:rsidRPr="00DC1320">
        <w:t>executive summary  5–7</w:t>
      </w:r>
    </w:p>
    <w:p w14:paraId="64A5D4D0" w14:textId="77777777" w:rsidR="00DC1320" w:rsidRPr="00DC1320" w:rsidRDefault="00DC1320" w:rsidP="00DC1320">
      <w:pPr>
        <w:pStyle w:val="PlainText"/>
        <w:tabs>
          <w:tab w:val="left" w:pos="284"/>
        </w:tabs>
      </w:pPr>
      <w:r w:rsidRPr="00DC1320">
        <w:t>expert advice  12–13</w:t>
      </w:r>
    </w:p>
    <w:p w14:paraId="48E20F19" w14:textId="77777777" w:rsidR="00DC1320" w:rsidRPr="00DC1320" w:rsidRDefault="00DC1320" w:rsidP="00DC1320">
      <w:pPr>
        <w:pStyle w:val="PlainText"/>
        <w:tabs>
          <w:tab w:val="left" w:pos="284"/>
        </w:tabs>
      </w:pPr>
      <w:r w:rsidRPr="00DC1320">
        <w:t>extreme heat  125</w:t>
      </w:r>
    </w:p>
    <w:p w14:paraId="2369FC43" w14:textId="77777777" w:rsidR="00DC1320" w:rsidRPr="00DC1320" w:rsidRDefault="00DC1320" w:rsidP="00DC1320">
      <w:pPr>
        <w:pStyle w:val="PlainText"/>
        <w:tabs>
          <w:tab w:val="left" w:pos="284"/>
        </w:tabs>
      </w:pPr>
    </w:p>
    <w:p w14:paraId="33FF6970" w14:textId="77777777" w:rsidR="00DC1320" w:rsidRPr="00DC1320" w:rsidRDefault="00DC1320" w:rsidP="00DC1320">
      <w:pPr>
        <w:pStyle w:val="PlainText"/>
        <w:tabs>
          <w:tab w:val="left" w:pos="284"/>
        </w:tabs>
        <w:rPr>
          <w:b/>
          <w:bCs/>
        </w:rPr>
      </w:pPr>
      <w:r w:rsidRPr="00DC1320">
        <w:rPr>
          <w:b/>
          <w:bCs/>
        </w:rPr>
        <w:t>F</w:t>
      </w:r>
    </w:p>
    <w:p w14:paraId="687CB205" w14:textId="77777777" w:rsidR="00DC1320" w:rsidRPr="00DC1320" w:rsidRDefault="00DC1320" w:rsidP="00DC1320">
      <w:pPr>
        <w:pStyle w:val="PlainText"/>
        <w:tabs>
          <w:tab w:val="left" w:pos="284"/>
        </w:tabs>
      </w:pPr>
      <w:r w:rsidRPr="00DC1320">
        <w:t>Fair Work Act  140</w:t>
      </w:r>
    </w:p>
    <w:p w14:paraId="12C65CD6" w14:textId="77777777" w:rsidR="00DC1320" w:rsidRPr="00DC1320" w:rsidRDefault="00DC1320" w:rsidP="00DC1320">
      <w:pPr>
        <w:pStyle w:val="PlainText"/>
        <w:tabs>
          <w:tab w:val="left" w:pos="284"/>
        </w:tabs>
      </w:pPr>
      <w:r w:rsidRPr="00DC1320">
        <w:t>families, services for  91</w:t>
      </w:r>
    </w:p>
    <w:p w14:paraId="5EE42A3F" w14:textId="77777777" w:rsidR="00DC1320" w:rsidRPr="00DC1320" w:rsidRDefault="00DC1320" w:rsidP="00DC1320">
      <w:pPr>
        <w:pStyle w:val="PlainText"/>
        <w:tabs>
          <w:tab w:val="left" w:pos="284"/>
        </w:tabs>
      </w:pPr>
      <w:r w:rsidRPr="00DC1320">
        <w:t>fatalities</w:t>
      </w:r>
    </w:p>
    <w:p w14:paraId="7235AF0A" w14:textId="77777777" w:rsidR="00DC1320" w:rsidRPr="00DC1320" w:rsidRDefault="00DC1320" w:rsidP="00DC1320">
      <w:pPr>
        <w:pStyle w:val="PlainText"/>
        <w:tabs>
          <w:tab w:val="left" w:pos="284"/>
        </w:tabs>
      </w:pPr>
      <w:r w:rsidRPr="00DC1320">
        <w:tab/>
        <w:t>amusement devices  106, 187, 190</w:t>
      </w:r>
    </w:p>
    <w:p w14:paraId="10891204" w14:textId="77777777" w:rsidR="00DC1320" w:rsidRPr="00DC1320" w:rsidRDefault="00DC1320" w:rsidP="00DC1320">
      <w:pPr>
        <w:pStyle w:val="PlainText"/>
        <w:tabs>
          <w:tab w:val="left" w:pos="284"/>
        </w:tabs>
      </w:pPr>
      <w:r w:rsidRPr="00DC1320">
        <w:tab/>
        <w:t>Australian Work Health and Safety Strategy  26</w:t>
      </w:r>
    </w:p>
    <w:p w14:paraId="7584CED5" w14:textId="77777777" w:rsidR="00DC1320" w:rsidRPr="00DC1320" w:rsidRDefault="00DC1320" w:rsidP="00DC1320">
      <w:pPr>
        <w:pStyle w:val="PlainText"/>
        <w:tabs>
          <w:tab w:val="left" w:pos="284"/>
        </w:tabs>
      </w:pPr>
      <w:r w:rsidRPr="00DC1320">
        <w:tab/>
        <w:t>case law  187–90</w:t>
      </w:r>
    </w:p>
    <w:p w14:paraId="02FFC81B" w14:textId="77777777" w:rsidR="00DC1320" w:rsidRPr="00DC1320" w:rsidRDefault="00DC1320" w:rsidP="00DC1320">
      <w:pPr>
        <w:pStyle w:val="PlainText"/>
        <w:tabs>
          <w:tab w:val="left" w:pos="284"/>
        </w:tabs>
      </w:pPr>
      <w:r w:rsidRPr="00DC1320">
        <w:tab/>
        <w:t>confidentiality of information  90</w:t>
      </w:r>
    </w:p>
    <w:p w14:paraId="29AC57B3" w14:textId="77777777" w:rsidR="00DC1320" w:rsidRPr="00DC1320" w:rsidRDefault="00DC1320" w:rsidP="00DC1320">
      <w:pPr>
        <w:pStyle w:val="PlainText"/>
        <w:tabs>
          <w:tab w:val="left" w:pos="284"/>
        </w:tabs>
      </w:pPr>
      <w:r w:rsidRPr="00DC1320">
        <w:tab/>
        <w:t>data insights  160–1</w:t>
      </w:r>
    </w:p>
    <w:p w14:paraId="53AD4818" w14:textId="77777777" w:rsidR="00DC1320" w:rsidRPr="00DC1320" w:rsidRDefault="00DC1320" w:rsidP="00DC1320">
      <w:pPr>
        <w:pStyle w:val="PlainText"/>
        <w:tabs>
          <w:tab w:val="left" w:pos="284"/>
        </w:tabs>
      </w:pPr>
      <w:r w:rsidRPr="00DC1320">
        <w:tab/>
        <w:t>national approach to reducing  26–7</w:t>
      </w:r>
    </w:p>
    <w:p w14:paraId="39B397F0" w14:textId="77777777" w:rsidR="00DC1320" w:rsidRPr="00DC1320" w:rsidRDefault="00DC1320" w:rsidP="00DC1320">
      <w:pPr>
        <w:pStyle w:val="PlainText"/>
        <w:tabs>
          <w:tab w:val="left" w:pos="284"/>
        </w:tabs>
      </w:pPr>
      <w:r w:rsidRPr="00DC1320">
        <w:tab/>
        <w:t>SIG - Reducing Work Related Fatalities  11, 26, 27, 29</w:t>
      </w:r>
    </w:p>
    <w:p w14:paraId="39D89626" w14:textId="77777777" w:rsidR="00DC1320" w:rsidRPr="00DC1320" w:rsidRDefault="00DC1320" w:rsidP="00DC1320">
      <w:pPr>
        <w:pStyle w:val="PlainText"/>
        <w:tabs>
          <w:tab w:val="left" w:pos="284"/>
        </w:tabs>
      </w:pPr>
      <w:r w:rsidRPr="00DC1320">
        <w:tab/>
        <w:t>slow progress in reducing rate  77</w:t>
      </w:r>
    </w:p>
    <w:p w14:paraId="4504FFFA" w14:textId="77777777" w:rsidR="00DC1320" w:rsidRPr="00DC1320" w:rsidRDefault="00DC1320" w:rsidP="00DC1320">
      <w:pPr>
        <w:pStyle w:val="PlainText"/>
        <w:tabs>
          <w:tab w:val="left" w:pos="284"/>
        </w:tabs>
      </w:pPr>
      <w:r w:rsidRPr="00DC1320">
        <w:tab/>
        <w:t>traumatic injury fatalities  160–1</w:t>
      </w:r>
    </w:p>
    <w:p w14:paraId="6BDD014B" w14:textId="77777777" w:rsidR="00DC1320" w:rsidRPr="00DC1320" w:rsidRDefault="00DC1320" w:rsidP="00DC1320">
      <w:pPr>
        <w:pStyle w:val="PlainText"/>
        <w:tabs>
          <w:tab w:val="left" w:pos="284"/>
        </w:tabs>
      </w:pPr>
      <w:r w:rsidRPr="00DC1320">
        <w:t>food delivery platforms  104</w:t>
      </w:r>
    </w:p>
    <w:p w14:paraId="18879488" w14:textId="77777777" w:rsidR="00DC1320" w:rsidRPr="00DC1320" w:rsidRDefault="00DC1320" w:rsidP="00DC1320">
      <w:pPr>
        <w:pStyle w:val="PlainText"/>
        <w:tabs>
          <w:tab w:val="left" w:pos="284"/>
        </w:tabs>
      </w:pPr>
    </w:p>
    <w:p w14:paraId="2459E9AB" w14:textId="77777777" w:rsidR="00DC1320" w:rsidRPr="00DC1320" w:rsidRDefault="00DC1320" w:rsidP="00DC1320">
      <w:pPr>
        <w:pStyle w:val="PlainText"/>
        <w:tabs>
          <w:tab w:val="left" w:pos="284"/>
        </w:tabs>
        <w:rPr>
          <w:b/>
          <w:bCs/>
        </w:rPr>
      </w:pPr>
      <w:r w:rsidRPr="00DC1320">
        <w:rPr>
          <w:b/>
          <w:bCs/>
        </w:rPr>
        <w:t>G</w:t>
      </w:r>
    </w:p>
    <w:p w14:paraId="28660ACE" w14:textId="77777777" w:rsidR="00DC1320" w:rsidRPr="00DC1320" w:rsidRDefault="00DC1320" w:rsidP="00DC1320">
      <w:pPr>
        <w:pStyle w:val="PlainText"/>
        <w:tabs>
          <w:tab w:val="left" w:pos="284"/>
        </w:tabs>
      </w:pPr>
      <w:r w:rsidRPr="00DC1320">
        <w:t>gender considerations</w:t>
      </w:r>
    </w:p>
    <w:p w14:paraId="6DB957D3" w14:textId="77777777" w:rsidR="00DC1320" w:rsidRPr="00DC1320" w:rsidRDefault="00DC1320" w:rsidP="00DC1320">
      <w:pPr>
        <w:pStyle w:val="PlainText"/>
        <w:tabs>
          <w:tab w:val="left" w:pos="284"/>
        </w:tabs>
      </w:pPr>
      <w:r w:rsidRPr="00DC1320">
        <w:tab/>
        <w:t>amenities and facilities  99, 129</w:t>
      </w:r>
    </w:p>
    <w:p w14:paraId="7A6B356E" w14:textId="77777777" w:rsidR="00DC1320" w:rsidRPr="00DC1320" w:rsidRDefault="00DC1320" w:rsidP="00DC1320">
      <w:pPr>
        <w:pStyle w:val="PlainText"/>
        <w:tabs>
          <w:tab w:val="left" w:pos="284"/>
        </w:tabs>
      </w:pPr>
      <w:r w:rsidRPr="00DC1320">
        <w:tab/>
        <w:t>model WHS Regulations  113</w:t>
      </w:r>
    </w:p>
    <w:p w14:paraId="7DEDBFDB" w14:textId="77777777" w:rsidR="00DC1320" w:rsidRPr="00DC1320" w:rsidRDefault="00DC1320" w:rsidP="00DC1320">
      <w:pPr>
        <w:pStyle w:val="PlainText"/>
        <w:tabs>
          <w:tab w:val="left" w:pos="284"/>
        </w:tabs>
      </w:pPr>
      <w:r w:rsidRPr="00DC1320">
        <w:t>generative AI  116</w:t>
      </w:r>
    </w:p>
    <w:p w14:paraId="24E6415A" w14:textId="77777777" w:rsidR="00DC1320" w:rsidRPr="00DC1320" w:rsidRDefault="00DC1320" w:rsidP="00DC1320">
      <w:pPr>
        <w:pStyle w:val="PlainText"/>
        <w:tabs>
          <w:tab w:val="left" w:pos="284"/>
        </w:tabs>
      </w:pPr>
    </w:p>
    <w:p w14:paraId="3065D8DC" w14:textId="77777777" w:rsidR="00DC1320" w:rsidRPr="00DC1320" w:rsidRDefault="00DC1320" w:rsidP="00DC1320">
      <w:pPr>
        <w:pStyle w:val="PlainText"/>
        <w:tabs>
          <w:tab w:val="left" w:pos="284"/>
        </w:tabs>
        <w:rPr>
          <w:b/>
          <w:bCs/>
        </w:rPr>
      </w:pPr>
      <w:r w:rsidRPr="00DC1320">
        <w:rPr>
          <w:b/>
          <w:bCs/>
        </w:rPr>
        <w:lastRenderedPageBreak/>
        <w:t>H</w:t>
      </w:r>
    </w:p>
    <w:p w14:paraId="4E3D4E7B" w14:textId="77777777" w:rsidR="00DC1320" w:rsidRPr="00DC1320" w:rsidRDefault="00DC1320" w:rsidP="00DC1320">
      <w:pPr>
        <w:pStyle w:val="PlainText"/>
        <w:tabs>
          <w:tab w:val="left" w:pos="284"/>
        </w:tabs>
      </w:pPr>
      <w:r w:rsidRPr="00DC1320">
        <w:t>Hall, Jane  12</w:t>
      </w:r>
    </w:p>
    <w:p w14:paraId="20F8A75E" w14:textId="77777777" w:rsidR="00DC1320" w:rsidRPr="00DC1320" w:rsidRDefault="00DC1320" w:rsidP="00DC1320">
      <w:pPr>
        <w:pStyle w:val="PlainText"/>
        <w:tabs>
          <w:tab w:val="left" w:pos="284"/>
        </w:tabs>
      </w:pPr>
      <w:r w:rsidRPr="00DC1320">
        <w:t>harmful chemicals  109–10</w:t>
      </w:r>
    </w:p>
    <w:p w14:paraId="7E397D16" w14:textId="77777777" w:rsidR="00DC1320" w:rsidRPr="00DC1320" w:rsidRDefault="00DC1320" w:rsidP="00DC1320">
      <w:pPr>
        <w:pStyle w:val="PlainText"/>
        <w:tabs>
          <w:tab w:val="left" w:pos="284"/>
        </w:tabs>
      </w:pPr>
      <w:r w:rsidRPr="00DC1320">
        <w:tab/>
        <w:t>overlapping safety frameworks  139</w:t>
      </w:r>
    </w:p>
    <w:p w14:paraId="7E80C12E" w14:textId="77777777" w:rsidR="00DC1320" w:rsidRPr="00DC1320" w:rsidRDefault="00DC1320" w:rsidP="00DC1320">
      <w:pPr>
        <w:pStyle w:val="PlainText"/>
        <w:tabs>
          <w:tab w:val="left" w:pos="284"/>
        </w:tabs>
      </w:pPr>
      <w:r w:rsidRPr="00DC1320">
        <w:t>harmful workplace behaviours  10, 127–31</w:t>
      </w:r>
    </w:p>
    <w:p w14:paraId="2C7FFC38" w14:textId="77777777" w:rsidR="00DC1320" w:rsidRPr="00DC1320" w:rsidRDefault="00DC1320" w:rsidP="00DC1320">
      <w:pPr>
        <w:pStyle w:val="PlainText"/>
        <w:tabs>
          <w:tab w:val="left" w:pos="284"/>
        </w:tabs>
      </w:pPr>
      <w:r w:rsidRPr="00DC1320">
        <w:tab/>
        <w:t>bullying  57, 127–30, 140</w:t>
      </w:r>
    </w:p>
    <w:p w14:paraId="44FBC995" w14:textId="77777777" w:rsidR="00DC1320" w:rsidRPr="00DC1320" w:rsidRDefault="00DC1320" w:rsidP="00DC1320">
      <w:pPr>
        <w:pStyle w:val="PlainText"/>
        <w:tabs>
          <w:tab w:val="left" w:pos="284"/>
        </w:tabs>
      </w:pPr>
      <w:r w:rsidRPr="00DC1320">
        <w:tab/>
        <w:t>discrimination  57–8, 128–30, 140–1</w:t>
      </w:r>
    </w:p>
    <w:p w14:paraId="0A713FC9" w14:textId="77777777" w:rsidR="00DC1320" w:rsidRPr="00DC1320" w:rsidRDefault="00DC1320" w:rsidP="00DC1320">
      <w:pPr>
        <w:pStyle w:val="PlainText"/>
        <w:tabs>
          <w:tab w:val="left" w:pos="284"/>
        </w:tabs>
      </w:pPr>
      <w:r w:rsidRPr="00DC1320">
        <w:tab/>
        <w:t>duty of care for  8, 10, 37, 131</w:t>
      </w:r>
    </w:p>
    <w:p w14:paraId="35A8AFA7" w14:textId="77777777" w:rsidR="00DC1320" w:rsidRPr="00DC1320" w:rsidRDefault="00DC1320" w:rsidP="00DC1320">
      <w:pPr>
        <w:pStyle w:val="PlainText"/>
        <w:tabs>
          <w:tab w:val="left" w:pos="284"/>
        </w:tabs>
      </w:pPr>
      <w:r w:rsidRPr="00DC1320">
        <w:tab/>
        <w:t>Fair Work Act framework  140</w:t>
      </w:r>
    </w:p>
    <w:p w14:paraId="236764E6" w14:textId="77777777" w:rsidR="00DC1320" w:rsidRPr="00DC1320" w:rsidRDefault="00DC1320" w:rsidP="00DC1320">
      <w:pPr>
        <w:pStyle w:val="PlainText"/>
        <w:tabs>
          <w:tab w:val="left" w:pos="284"/>
        </w:tabs>
      </w:pPr>
      <w:r w:rsidRPr="00DC1320">
        <w:tab/>
        <w:t>harassment  7, 127</w:t>
      </w:r>
    </w:p>
    <w:p w14:paraId="50968D1E" w14:textId="77777777" w:rsidR="00DC1320" w:rsidRPr="00DC1320" w:rsidRDefault="00DC1320" w:rsidP="00DC1320">
      <w:pPr>
        <w:pStyle w:val="PlainText"/>
        <w:tabs>
          <w:tab w:val="left" w:pos="284"/>
        </w:tabs>
      </w:pPr>
      <w:r w:rsidRPr="00DC1320">
        <w:tab/>
        <w:t>intersectionality  130</w:t>
      </w:r>
    </w:p>
    <w:p w14:paraId="3AB08F44" w14:textId="77777777" w:rsidR="00DC1320" w:rsidRPr="00DC1320" w:rsidRDefault="00DC1320" w:rsidP="00DC1320">
      <w:pPr>
        <w:pStyle w:val="PlainText"/>
        <w:tabs>
          <w:tab w:val="left" w:pos="284"/>
        </w:tabs>
      </w:pPr>
      <w:r w:rsidRPr="00DC1320">
        <w:tab/>
        <w:t>model WHS Regulations  127, 129</w:t>
      </w:r>
    </w:p>
    <w:p w14:paraId="2274F59A" w14:textId="77777777" w:rsidR="00DC1320" w:rsidRPr="00DC1320" w:rsidRDefault="00DC1320" w:rsidP="00DC1320">
      <w:pPr>
        <w:pStyle w:val="PlainText"/>
        <w:tabs>
          <w:tab w:val="left" w:pos="284"/>
        </w:tabs>
      </w:pPr>
      <w:r w:rsidRPr="00DC1320">
        <w:tab/>
        <w:t>psychosocial hazards  6, 38, 127–30</w:t>
      </w:r>
    </w:p>
    <w:p w14:paraId="7BFEDCE0" w14:textId="77777777" w:rsidR="00DC1320" w:rsidRPr="00DC1320" w:rsidRDefault="00DC1320" w:rsidP="00DC1320">
      <w:pPr>
        <w:pStyle w:val="PlainText"/>
        <w:tabs>
          <w:tab w:val="left" w:pos="284"/>
        </w:tabs>
      </w:pPr>
      <w:r w:rsidRPr="00DC1320">
        <w:tab/>
        <w:t>psychosocial regulations  127–31</w:t>
      </w:r>
    </w:p>
    <w:p w14:paraId="7B6C6599" w14:textId="77777777" w:rsidR="00DC1320" w:rsidRPr="00DC1320" w:rsidRDefault="00DC1320" w:rsidP="00DC1320">
      <w:pPr>
        <w:pStyle w:val="PlainText"/>
        <w:tabs>
          <w:tab w:val="left" w:pos="284"/>
        </w:tabs>
      </w:pPr>
      <w:r w:rsidRPr="00DC1320">
        <w:tab/>
        <w:t>racism  7, 127, 128, 130, 141</w:t>
      </w:r>
    </w:p>
    <w:p w14:paraId="088291E6" w14:textId="77777777" w:rsidR="00DC1320" w:rsidRPr="00DC1320" w:rsidRDefault="00DC1320" w:rsidP="00DC1320">
      <w:pPr>
        <w:pStyle w:val="PlainText"/>
        <w:tabs>
          <w:tab w:val="left" w:pos="284"/>
        </w:tabs>
      </w:pPr>
      <w:r w:rsidRPr="00DC1320">
        <w:tab/>
        <w:t>recommendations  10, 131</w:t>
      </w:r>
    </w:p>
    <w:p w14:paraId="1423ED03" w14:textId="77777777" w:rsidR="00DC1320" w:rsidRPr="00DC1320" w:rsidRDefault="00DC1320" w:rsidP="00DC1320">
      <w:pPr>
        <w:pStyle w:val="PlainText"/>
        <w:tabs>
          <w:tab w:val="left" w:pos="284"/>
        </w:tabs>
      </w:pPr>
      <w:r w:rsidRPr="00DC1320">
        <w:tab/>
        <w:t>sexual harassment  30, 127, 140</w:t>
      </w:r>
    </w:p>
    <w:p w14:paraId="4148585E" w14:textId="77777777" w:rsidR="00DC1320" w:rsidRPr="00DC1320" w:rsidRDefault="00DC1320" w:rsidP="00DC1320">
      <w:pPr>
        <w:pStyle w:val="PlainText"/>
        <w:tabs>
          <w:tab w:val="left" w:pos="284"/>
        </w:tabs>
      </w:pPr>
      <w:r w:rsidRPr="00DC1320">
        <w:tab/>
        <w:t>violence and aggression  7, 127, 129</w:t>
      </w:r>
    </w:p>
    <w:p w14:paraId="0F72E48B" w14:textId="77777777" w:rsidR="00DC1320" w:rsidRPr="00DC1320" w:rsidRDefault="00DC1320" w:rsidP="00DC1320">
      <w:pPr>
        <w:pStyle w:val="PlainText"/>
        <w:tabs>
          <w:tab w:val="left" w:pos="284"/>
        </w:tabs>
      </w:pPr>
      <w:r w:rsidRPr="00DC1320">
        <w:tab/>
        <w:t>workers compensation claims  127, 129</w:t>
      </w:r>
    </w:p>
    <w:p w14:paraId="45B66C88" w14:textId="77777777" w:rsidR="00DC1320" w:rsidRPr="00DC1320" w:rsidRDefault="00DC1320" w:rsidP="00DC1320">
      <w:pPr>
        <w:pStyle w:val="PlainText"/>
        <w:tabs>
          <w:tab w:val="left" w:pos="284"/>
        </w:tabs>
      </w:pPr>
      <w:r w:rsidRPr="00DC1320">
        <w:t>harmonisation of WHS laws  5, 8, 14–33</w:t>
      </w:r>
    </w:p>
    <w:p w14:paraId="026E748D" w14:textId="77777777" w:rsidR="00DC1320" w:rsidRPr="00DC1320" w:rsidRDefault="00DC1320" w:rsidP="00DC1320">
      <w:pPr>
        <w:pStyle w:val="PlainText"/>
        <w:tabs>
          <w:tab w:val="left" w:pos="284"/>
        </w:tabs>
      </w:pPr>
      <w:r w:rsidRPr="00DC1320">
        <w:tab/>
        <w:t>compliance and enforcement approach  22–5</w:t>
      </w:r>
    </w:p>
    <w:p w14:paraId="627A0236" w14:textId="77777777" w:rsidR="00DC1320" w:rsidRPr="00DC1320" w:rsidRDefault="00DC1320" w:rsidP="00DC1320">
      <w:pPr>
        <w:pStyle w:val="PlainText"/>
        <w:tabs>
          <w:tab w:val="left" w:pos="284"/>
        </w:tabs>
      </w:pPr>
      <w:r w:rsidRPr="00DC1320">
        <w:tab/>
        <w:t>coordination between WHS and other regulators  32</w:t>
      </w:r>
    </w:p>
    <w:p w14:paraId="7DB3CC46" w14:textId="77777777" w:rsidR="00DC1320" w:rsidRPr="00DC1320" w:rsidRDefault="00DC1320" w:rsidP="00DC1320">
      <w:pPr>
        <w:pStyle w:val="PlainText"/>
        <w:tabs>
          <w:tab w:val="left" w:pos="284"/>
        </w:tabs>
      </w:pPr>
      <w:r w:rsidRPr="00DC1320">
        <w:tab/>
        <w:t>data insights  157–9</w:t>
      </w:r>
    </w:p>
    <w:p w14:paraId="75B09788" w14:textId="77777777" w:rsidR="00DC1320" w:rsidRPr="00DC1320" w:rsidRDefault="00DC1320" w:rsidP="00DC1320">
      <w:pPr>
        <w:pStyle w:val="PlainText"/>
        <w:tabs>
          <w:tab w:val="left" w:pos="284"/>
        </w:tabs>
      </w:pPr>
      <w:r w:rsidRPr="00DC1320">
        <w:tab/>
        <w:t>employer survey results  181, 185</w:t>
      </w:r>
    </w:p>
    <w:p w14:paraId="12B23139" w14:textId="77777777" w:rsidR="00DC1320" w:rsidRPr="00DC1320" w:rsidRDefault="00DC1320" w:rsidP="00DC1320">
      <w:pPr>
        <w:pStyle w:val="PlainText"/>
        <w:tabs>
          <w:tab w:val="left" w:pos="284"/>
        </w:tabs>
      </w:pPr>
      <w:r w:rsidRPr="00DC1320">
        <w:tab/>
        <w:t>fatalities, reducing  26–7</w:t>
      </w:r>
    </w:p>
    <w:p w14:paraId="59171213" w14:textId="77777777" w:rsidR="00DC1320" w:rsidRPr="00DC1320" w:rsidRDefault="00DC1320" w:rsidP="00DC1320">
      <w:pPr>
        <w:pStyle w:val="PlainText"/>
        <w:tabs>
          <w:tab w:val="left" w:pos="284"/>
        </w:tabs>
      </w:pPr>
      <w:r w:rsidRPr="00DC1320">
        <w:tab/>
        <w:t>jurisdictional variations, impact of  15–19</w:t>
      </w:r>
    </w:p>
    <w:p w14:paraId="651D4FD9" w14:textId="77777777" w:rsidR="00DC1320" w:rsidRPr="00DC1320" w:rsidRDefault="00DC1320" w:rsidP="00DC1320">
      <w:pPr>
        <w:pStyle w:val="PlainText"/>
        <w:tabs>
          <w:tab w:val="left" w:pos="284"/>
        </w:tabs>
      </w:pPr>
      <w:r w:rsidRPr="00DC1320">
        <w:tab/>
        <w:t>memorandums of understanding (MOUs)  32–3</w:t>
      </w:r>
    </w:p>
    <w:p w14:paraId="308D15B8" w14:textId="77777777" w:rsidR="00DC1320" w:rsidRPr="00DC1320" w:rsidRDefault="00DC1320" w:rsidP="00DC1320">
      <w:pPr>
        <w:pStyle w:val="PlainText"/>
        <w:tabs>
          <w:tab w:val="left" w:pos="284"/>
        </w:tabs>
      </w:pPr>
      <w:r w:rsidRPr="00DC1320">
        <w:tab/>
        <w:t>model WHS legislation as means of  5, 15</w:t>
      </w:r>
    </w:p>
    <w:p w14:paraId="2F86FE2D" w14:textId="77777777" w:rsidR="00DC1320" w:rsidRPr="00DC1320" w:rsidRDefault="00DC1320" w:rsidP="00DC1320">
      <w:pPr>
        <w:pStyle w:val="PlainText"/>
        <w:tabs>
          <w:tab w:val="left" w:pos="284"/>
        </w:tabs>
      </w:pPr>
      <w:r w:rsidRPr="00DC1320">
        <w:tab/>
        <w:t>objective  8, 14–33</w:t>
      </w:r>
    </w:p>
    <w:p w14:paraId="68D1BF04" w14:textId="77777777" w:rsidR="00DC1320" w:rsidRPr="00DC1320" w:rsidRDefault="00DC1320" w:rsidP="00DC1320">
      <w:pPr>
        <w:pStyle w:val="PlainText"/>
        <w:tabs>
          <w:tab w:val="left" w:pos="284"/>
        </w:tabs>
      </w:pPr>
      <w:r w:rsidRPr="00DC1320">
        <w:tab/>
        <w:t>overlapping safety frameworks  27–30, 135–41</w:t>
      </w:r>
    </w:p>
    <w:p w14:paraId="5199DEE8" w14:textId="77777777" w:rsidR="00DC1320" w:rsidRPr="00DC1320" w:rsidRDefault="00DC1320" w:rsidP="00DC1320">
      <w:pPr>
        <w:pStyle w:val="PlainText"/>
        <w:tabs>
          <w:tab w:val="left" w:pos="284"/>
        </w:tabs>
      </w:pPr>
      <w:r w:rsidRPr="00DC1320">
        <w:tab/>
        <w:t>pillars of  5, 6</w:t>
      </w:r>
    </w:p>
    <w:p w14:paraId="17095E0C" w14:textId="77777777" w:rsidR="00DC1320" w:rsidRPr="00DC1320" w:rsidRDefault="00DC1320" w:rsidP="00DC1320">
      <w:pPr>
        <w:pStyle w:val="PlainText"/>
        <w:tabs>
          <w:tab w:val="left" w:pos="284"/>
        </w:tabs>
      </w:pPr>
      <w:r w:rsidRPr="00DC1320">
        <w:tab/>
        <w:t>recommendations  8, 19, 22, 25</w:t>
      </w:r>
    </w:p>
    <w:p w14:paraId="5D69BE2F" w14:textId="77777777" w:rsidR="00DC1320" w:rsidRPr="00DC1320" w:rsidRDefault="00DC1320" w:rsidP="00DC1320">
      <w:pPr>
        <w:pStyle w:val="PlainText"/>
        <w:tabs>
          <w:tab w:val="left" w:pos="284"/>
        </w:tabs>
      </w:pPr>
      <w:r w:rsidRPr="00DC1320">
        <w:tab/>
        <w:t>review findings  16, 19, 22, 26, 28, 30, 32</w:t>
      </w:r>
    </w:p>
    <w:p w14:paraId="3CB20A62" w14:textId="77777777" w:rsidR="00DC1320" w:rsidRPr="00DC1320" w:rsidRDefault="00DC1320" w:rsidP="00DC1320">
      <w:pPr>
        <w:pStyle w:val="PlainText"/>
        <w:tabs>
          <w:tab w:val="left" w:pos="284"/>
        </w:tabs>
      </w:pPr>
      <w:r w:rsidRPr="00DC1320">
        <w:tab/>
        <w:t>Reviews considered  14</w:t>
      </w:r>
    </w:p>
    <w:p w14:paraId="15452E5E" w14:textId="77777777" w:rsidR="00DC1320" w:rsidRPr="00DC1320" w:rsidRDefault="00DC1320" w:rsidP="00DC1320">
      <w:pPr>
        <w:pStyle w:val="PlainText"/>
        <w:tabs>
          <w:tab w:val="left" w:pos="284"/>
        </w:tabs>
      </w:pPr>
      <w:r w:rsidRPr="00DC1320">
        <w:tab/>
        <w:t>strengthening and maintaining  19–22</w:t>
      </w:r>
    </w:p>
    <w:p w14:paraId="1A107AAE" w14:textId="77777777" w:rsidR="00DC1320" w:rsidRPr="00DC1320" w:rsidRDefault="00DC1320" w:rsidP="00DC1320">
      <w:pPr>
        <w:pStyle w:val="PlainText"/>
        <w:tabs>
          <w:tab w:val="left" w:pos="284"/>
        </w:tabs>
      </w:pPr>
      <w:r w:rsidRPr="00DC1320">
        <w:tab/>
        <w:t>support for  5</w:t>
      </w:r>
    </w:p>
    <w:p w14:paraId="053F3756" w14:textId="77777777" w:rsidR="00DC1320" w:rsidRPr="00DC1320" w:rsidRDefault="00DC1320" w:rsidP="00DC1320">
      <w:pPr>
        <w:pStyle w:val="PlainText"/>
        <w:tabs>
          <w:tab w:val="left" w:pos="284"/>
        </w:tabs>
      </w:pPr>
      <w:r w:rsidRPr="00DC1320">
        <w:tab/>
        <w:t>Terms of Reference  14</w:t>
      </w:r>
    </w:p>
    <w:p w14:paraId="653A94B7" w14:textId="77777777" w:rsidR="00DC1320" w:rsidRPr="00DC1320" w:rsidRDefault="00DC1320" w:rsidP="00DC1320">
      <w:pPr>
        <w:pStyle w:val="PlainText"/>
        <w:tabs>
          <w:tab w:val="left" w:pos="284"/>
        </w:tabs>
      </w:pPr>
      <w:r w:rsidRPr="00DC1320">
        <w:t>hazardous substances  109–10</w:t>
      </w:r>
    </w:p>
    <w:p w14:paraId="13680C58" w14:textId="77777777" w:rsidR="00DC1320" w:rsidRPr="00DC1320" w:rsidRDefault="00DC1320" w:rsidP="00DC1320">
      <w:pPr>
        <w:pStyle w:val="PlainText"/>
        <w:tabs>
          <w:tab w:val="left" w:pos="284"/>
        </w:tabs>
      </w:pPr>
      <w:r w:rsidRPr="00DC1320">
        <w:tab/>
        <w:t>overlapping safety frameworks  139</w:t>
      </w:r>
    </w:p>
    <w:p w14:paraId="19AE59F9" w14:textId="77777777" w:rsidR="00DC1320" w:rsidRPr="00DC1320" w:rsidRDefault="00DC1320" w:rsidP="00DC1320">
      <w:pPr>
        <w:pStyle w:val="PlainText"/>
        <w:tabs>
          <w:tab w:val="left" w:pos="284"/>
        </w:tabs>
      </w:pPr>
      <w:r w:rsidRPr="00DC1320">
        <w:t>health and safety committee  48–9, 173</w:t>
      </w:r>
    </w:p>
    <w:p w14:paraId="50BE5C4E" w14:textId="77777777" w:rsidR="00DC1320" w:rsidRPr="00DC1320" w:rsidRDefault="00DC1320" w:rsidP="00DC1320">
      <w:pPr>
        <w:pStyle w:val="PlainText"/>
        <w:tabs>
          <w:tab w:val="left" w:pos="284"/>
        </w:tabs>
      </w:pPr>
      <w:r w:rsidRPr="00DC1320">
        <w:t>health and safety duties  35–8</w:t>
      </w:r>
    </w:p>
    <w:p w14:paraId="31E7F4AD" w14:textId="77777777" w:rsidR="00DC1320" w:rsidRPr="00DC1320" w:rsidRDefault="00DC1320" w:rsidP="00DC1320">
      <w:pPr>
        <w:pStyle w:val="PlainText"/>
        <w:tabs>
          <w:tab w:val="left" w:pos="284"/>
        </w:tabs>
      </w:pPr>
      <w:r w:rsidRPr="00DC1320">
        <w:tab/>
        <w:t>biological hazards  38</w:t>
      </w:r>
    </w:p>
    <w:p w14:paraId="2AA2709C" w14:textId="77777777" w:rsidR="00DC1320" w:rsidRPr="00DC1320" w:rsidRDefault="00DC1320" w:rsidP="00DC1320">
      <w:pPr>
        <w:pStyle w:val="PlainText"/>
        <w:tabs>
          <w:tab w:val="left" w:pos="284"/>
        </w:tabs>
      </w:pPr>
      <w:r w:rsidRPr="00DC1320">
        <w:tab/>
        <w:t>case law  187–90</w:t>
      </w:r>
    </w:p>
    <w:p w14:paraId="34C6C965" w14:textId="77777777" w:rsidR="00DC1320" w:rsidRPr="00DC1320" w:rsidRDefault="00DC1320" w:rsidP="00DC1320">
      <w:pPr>
        <w:pStyle w:val="PlainText"/>
        <w:tabs>
          <w:tab w:val="left" w:pos="284"/>
        </w:tabs>
      </w:pPr>
      <w:r w:rsidRPr="00DC1320">
        <w:tab/>
        <w:t>exceptions  37</w:t>
      </w:r>
    </w:p>
    <w:p w14:paraId="4928EE6C" w14:textId="77777777" w:rsidR="00DC1320" w:rsidRPr="00DC1320" w:rsidRDefault="00DC1320" w:rsidP="00DC1320">
      <w:pPr>
        <w:pStyle w:val="PlainText"/>
        <w:tabs>
          <w:tab w:val="left" w:pos="284"/>
        </w:tabs>
      </w:pPr>
      <w:r w:rsidRPr="00DC1320">
        <w:tab/>
        <w:t>general risk and workplace management  37</w:t>
      </w:r>
    </w:p>
    <w:p w14:paraId="424F910E" w14:textId="77777777" w:rsidR="00DC1320" w:rsidRPr="00DC1320" w:rsidRDefault="00DC1320" w:rsidP="00DC1320">
      <w:pPr>
        <w:pStyle w:val="PlainText"/>
        <w:tabs>
          <w:tab w:val="left" w:pos="284"/>
        </w:tabs>
      </w:pPr>
      <w:r w:rsidRPr="00DC1320">
        <w:tab/>
        <w:t>primary duty of care  37</w:t>
      </w:r>
    </w:p>
    <w:p w14:paraId="017CAE8A" w14:textId="77777777" w:rsidR="00DC1320" w:rsidRPr="00DC1320" w:rsidRDefault="00DC1320" w:rsidP="00DC1320">
      <w:pPr>
        <w:pStyle w:val="PlainText"/>
        <w:tabs>
          <w:tab w:val="left" w:pos="284"/>
        </w:tabs>
      </w:pPr>
      <w:r w:rsidRPr="00DC1320">
        <w:tab/>
        <w:t>principles applicable  35</w:t>
      </w:r>
    </w:p>
    <w:p w14:paraId="27409F8E" w14:textId="77777777" w:rsidR="00DC1320" w:rsidRPr="00DC1320" w:rsidRDefault="00DC1320" w:rsidP="00DC1320">
      <w:pPr>
        <w:pStyle w:val="PlainText"/>
        <w:tabs>
          <w:tab w:val="left" w:pos="284"/>
        </w:tabs>
      </w:pPr>
      <w:r w:rsidRPr="00DC1320">
        <w:tab/>
        <w:t>‘reasonably practicable’ standard  36</w:t>
      </w:r>
    </w:p>
    <w:p w14:paraId="7535BFA2" w14:textId="77777777" w:rsidR="00DC1320" w:rsidRPr="00DC1320" w:rsidRDefault="00DC1320" w:rsidP="00DC1320">
      <w:pPr>
        <w:pStyle w:val="PlainText"/>
        <w:tabs>
          <w:tab w:val="left" w:pos="284"/>
        </w:tabs>
      </w:pPr>
      <w:r w:rsidRPr="00DC1320">
        <w:tab/>
        <w:t>recommendations  37, 38</w:t>
      </w:r>
    </w:p>
    <w:p w14:paraId="2A05A646" w14:textId="77777777" w:rsidR="00DC1320" w:rsidRPr="00DC1320" w:rsidRDefault="00DC1320" w:rsidP="00DC1320">
      <w:pPr>
        <w:pStyle w:val="PlainText"/>
        <w:tabs>
          <w:tab w:val="left" w:pos="284"/>
        </w:tabs>
      </w:pPr>
      <w:r w:rsidRPr="00DC1320">
        <w:tab/>
        <w:t>review findings  35, 36, 37, 38</w:t>
      </w:r>
    </w:p>
    <w:p w14:paraId="35C88367" w14:textId="77777777" w:rsidR="00DC1320" w:rsidRPr="00DC1320" w:rsidRDefault="00DC1320" w:rsidP="00DC1320">
      <w:pPr>
        <w:pStyle w:val="PlainText"/>
        <w:tabs>
          <w:tab w:val="left" w:pos="284"/>
        </w:tabs>
      </w:pPr>
      <w:r w:rsidRPr="00DC1320">
        <w:tab/>
        <w:t>risk management  35–6</w:t>
      </w:r>
    </w:p>
    <w:p w14:paraId="6865D431" w14:textId="77777777" w:rsidR="00DC1320" w:rsidRPr="00DC1320" w:rsidRDefault="00DC1320" w:rsidP="00DC1320">
      <w:pPr>
        <w:pStyle w:val="PlainText"/>
        <w:tabs>
          <w:tab w:val="left" w:pos="284"/>
        </w:tabs>
      </w:pPr>
      <w:r w:rsidRPr="00DC1320">
        <w:tab/>
        <w:t>services relating to WHS  36</w:t>
      </w:r>
    </w:p>
    <w:p w14:paraId="258A4A79" w14:textId="3265111B" w:rsidR="00DC1320" w:rsidRPr="00DC1320" w:rsidRDefault="00DC1320" w:rsidP="00DC1320">
      <w:pPr>
        <w:pStyle w:val="PlainText"/>
        <w:tabs>
          <w:tab w:val="left" w:pos="284"/>
        </w:tabs>
      </w:pPr>
      <w:r>
        <w:br w:type="column"/>
      </w:r>
      <w:r w:rsidRPr="00DC1320">
        <w:t>health and safety representatives (HSRs)  47–54</w:t>
      </w:r>
    </w:p>
    <w:p w14:paraId="4557C24C" w14:textId="77777777" w:rsidR="00DC1320" w:rsidRPr="00DC1320" w:rsidRDefault="00DC1320" w:rsidP="00DC1320">
      <w:pPr>
        <w:pStyle w:val="PlainText"/>
        <w:tabs>
          <w:tab w:val="left" w:pos="284"/>
        </w:tabs>
      </w:pPr>
      <w:r w:rsidRPr="00DC1320">
        <w:tab/>
        <w:t>access to information  50</w:t>
      </w:r>
    </w:p>
    <w:p w14:paraId="52C5BC3E" w14:textId="77777777" w:rsidR="00DC1320" w:rsidRPr="00DC1320" w:rsidRDefault="00DC1320" w:rsidP="00DC1320">
      <w:pPr>
        <w:pStyle w:val="PlainText"/>
        <w:tabs>
          <w:tab w:val="left" w:pos="284"/>
        </w:tabs>
      </w:pPr>
      <w:r w:rsidRPr="00DC1320">
        <w:tab/>
        <w:t>cooperation between inspectors and  51</w:t>
      </w:r>
    </w:p>
    <w:p w14:paraId="06D3802D" w14:textId="77777777" w:rsidR="00DC1320" w:rsidRPr="00DC1320" w:rsidRDefault="00DC1320" w:rsidP="00DC1320">
      <w:pPr>
        <w:pStyle w:val="PlainText"/>
        <w:tabs>
          <w:tab w:val="left" w:pos="284"/>
        </w:tabs>
      </w:pPr>
      <w:r w:rsidRPr="00DC1320">
        <w:tab/>
        <w:t>elections  47, 142, 173</w:t>
      </w:r>
    </w:p>
    <w:p w14:paraId="7AE8F62A" w14:textId="77777777" w:rsidR="00DC1320" w:rsidRPr="00DC1320" w:rsidRDefault="00DC1320" w:rsidP="00DC1320">
      <w:pPr>
        <w:pStyle w:val="PlainText"/>
        <w:tabs>
          <w:tab w:val="left" w:pos="284"/>
        </w:tabs>
      </w:pPr>
      <w:r w:rsidRPr="00DC1320">
        <w:tab/>
        <w:t>feedback from  176–8</w:t>
      </w:r>
    </w:p>
    <w:p w14:paraId="5638B5D2" w14:textId="77777777" w:rsidR="00DC1320" w:rsidRPr="00DC1320" w:rsidRDefault="00DC1320" w:rsidP="00DC1320">
      <w:pPr>
        <w:pStyle w:val="PlainText"/>
        <w:tabs>
          <w:tab w:val="left" w:pos="284"/>
        </w:tabs>
      </w:pPr>
      <w:r w:rsidRPr="00DC1320">
        <w:tab/>
        <w:t>guidance for  51</w:t>
      </w:r>
    </w:p>
    <w:p w14:paraId="58A43033" w14:textId="77777777" w:rsidR="00DC1320" w:rsidRPr="00DC1320" w:rsidRDefault="00DC1320" w:rsidP="00DC1320">
      <w:pPr>
        <w:pStyle w:val="PlainText"/>
        <w:tabs>
          <w:tab w:val="left" w:pos="284"/>
        </w:tabs>
      </w:pPr>
      <w:r w:rsidRPr="00DC1320">
        <w:tab/>
        <w:t>information-gathering powers  49–50</w:t>
      </w:r>
    </w:p>
    <w:p w14:paraId="2DD9F87C" w14:textId="77777777" w:rsidR="00DC1320" w:rsidRPr="00DC1320" w:rsidRDefault="00DC1320" w:rsidP="00DC1320">
      <w:pPr>
        <w:pStyle w:val="PlainText"/>
        <w:tabs>
          <w:tab w:val="left" w:pos="284"/>
        </w:tabs>
      </w:pPr>
      <w:r w:rsidRPr="00DC1320">
        <w:tab/>
        <w:t>jurisdictional variations  47, 142–3</w:t>
      </w:r>
    </w:p>
    <w:p w14:paraId="1E1E6C5D" w14:textId="77777777" w:rsidR="00DC1320" w:rsidRPr="00DC1320" w:rsidRDefault="00DC1320" w:rsidP="00DC1320">
      <w:pPr>
        <w:pStyle w:val="PlainText"/>
        <w:tabs>
          <w:tab w:val="left" w:pos="284"/>
        </w:tabs>
      </w:pPr>
      <w:r w:rsidRPr="00DC1320">
        <w:tab/>
        <w:t>powers and functions  49–52, 142</w:t>
      </w:r>
    </w:p>
    <w:p w14:paraId="102FF1EC" w14:textId="77777777" w:rsidR="00DC1320" w:rsidRPr="00DC1320" w:rsidRDefault="00DC1320" w:rsidP="00DC1320">
      <w:pPr>
        <w:pStyle w:val="PlainText"/>
        <w:tabs>
          <w:tab w:val="left" w:pos="284"/>
        </w:tabs>
      </w:pPr>
      <w:r w:rsidRPr="00DC1320">
        <w:tab/>
        <w:t>provisional improvement notices  50–1</w:t>
      </w:r>
    </w:p>
    <w:p w14:paraId="1A609ED0" w14:textId="77777777" w:rsidR="00DC1320" w:rsidRPr="00DC1320" w:rsidRDefault="00DC1320" w:rsidP="00DC1320">
      <w:pPr>
        <w:pStyle w:val="PlainText"/>
        <w:tabs>
          <w:tab w:val="left" w:pos="284"/>
        </w:tabs>
      </w:pPr>
      <w:r w:rsidRPr="00DC1320">
        <w:tab/>
        <w:t>review findings  44–5</w:t>
      </w:r>
    </w:p>
    <w:p w14:paraId="07B94E42" w14:textId="77777777" w:rsidR="00DC1320" w:rsidRPr="00DC1320" w:rsidRDefault="00DC1320" w:rsidP="00DC1320">
      <w:pPr>
        <w:pStyle w:val="PlainText"/>
        <w:tabs>
          <w:tab w:val="left" w:pos="284"/>
        </w:tabs>
      </w:pPr>
      <w:r w:rsidRPr="00DC1320">
        <w:tab/>
        <w:t>right to elect  43</w:t>
      </w:r>
    </w:p>
    <w:p w14:paraId="6AFBF265" w14:textId="77777777" w:rsidR="00DC1320" w:rsidRPr="00DC1320" w:rsidRDefault="00DC1320" w:rsidP="00DC1320">
      <w:pPr>
        <w:pStyle w:val="PlainText"/>
        <w:tabs>
          <w:tab w:val="left" w:pos="284"/>
        </w:tabs>
      </w:pPr>
      <w:r w:rsidRPr="00DC1320">
        <w:tab/>
        <w:t>role of  44</w:t>
      </w:r>
    </w:p>
    <w:p w14:paraId="5E8F0447" w14:textId="77777777" w:rsidR="00DC1320" w:rsidRPr="00DC1320" w:rsidRDefault="00DC1320" w:rsidP="00DC1320">
      <w:pPr>
        <w:pStyle w:val="PlainText"/>
        <w:tabs>
          <w:tab w:val="left" w:pos="284"/>
        </w:tabs>
      </w:pPr>
      <w:r w:rsidRPr="00DC1320">
        <w:tab/>
        <w:t>training entitlements  52–4, 143</w:t>
      </w:r>
    </w:p>
    <w:p w14:paraId="2FA3EDBD" w14:textId="77777777" w:rsidR="00DC1320" w:rsidRPr="00DC1320" w:rsidRDefault="00DC1320" w:rsidP="00DC1320">
      <w:pPr>
        <w:pStyle w:val="PlainText"/>
        <w:tabs>
          <w:tab w:val="left" w:pos="284"/>
        </w:tabs>
      </w:pPr>
      <w:r w:rsidRPr="00DC1320">
        <w:tab/>
        <w:t>worker and HSR survey  169–78</w:t>
      </w:r>
    </w:p>
    <w:p w14:paraId="3EE42C40" w14:textId="77777777" w:rsidR="00DC1320" w:rsidRPr="00DC1320" w:rsidRDefault="00DC1320" w:rsidP="00DC1320">
      <w:pPr>
        <w:pStyle w:val="PlainText"/>
        <w:tabs>
          <w:tab w:val="left" w:pos="284"/>
        </w:tabs>
      </w:pPr>
      <w:r w:rsidRPr="00DC1320">
        <w:t>hearing protection  103</w:t>
      </w:r>
    </w:p>
    <w:p w14:paraId="52825CC1" w14:textId="77777777" w:rsidR="00DC1320" w:rsidRPr="00DC1320" w:rsidRDefault="00DC1320" w:rsidP="00DC1320">
      <w:pPr>
        <w:pStyle w:val="PlainText"/>
        <w:tabs>
          <w:tab w:val="left" w:pos="284"/>
        </w:tabs>
      </w:pPr>
      <w:r w:rsidRPr="00DC1320">
        <w:t>heavy vehicle safety frameworks  27, 138</w:t>
      </w:r>
    </w:p>
    <w:p w14:paraId="6E2D3938" w14:textId="77777777" w:rsidR="00DC1320" w:rsidRPr="00DC1320" w:rsidRDefault="00DC1320" w:rsidP="00DC1320">
      <w:pPr>
        <w:pStyle w:val="PlainText"/>
        <w:tabs>
          <w:tab w:val="left" w:pos="284"/>
        </w:tabs>
      </w:pPr>
      <w:r w:rsidRPr="00DC1320">
        <w:t>high risk industries</w:t>
      </w:r>
    </w:p>
    <w:p w14:paraId="57F902C4" w14:textId="77777777" w:rsidR="00DC1320" w:rsidRPr="00DC1320" w:rsidRDefault="00DC1320" w:rsidP="00DC1320">
      <w:pPr>
        <w:pStyle w:val="PlainText"/>
        <w:tabs>
          <w:tab w:val="left" w:pos="284"/>
        </w:tabs>
      </w:pPr>
      <w:r w:rsidRPr="00DC1320">
        <w:tab/>
        <w:t>consultation arrangements  49</w:t>
      </w:r>
    </w:p>
    <w:p w14:paraId="06EC08ED" w14:textId="77777777" w:rsidR="00DC1320" w:rsidRPr="00DC1320" w:rsidRDefault="00DC1320" w:rsidP="00DC1320">
      <w:pPr>
        <w:pStyle w:val="PlainText"/>
        <w:tabs>
          <w:tab w:val="left" w:pos="284"/>
        </w:tabs>
      </w:pPr>
      <w:r w:rsidRPr="00DC1320">
        <w:tab/>
        <w:t>health and safety committees  49</w:t>
      </w:r>
    </w:p>
    <w:p w14:paraId="281F18E8" w14:textId="77777777" w:rsidR="00DC1320" w:rsidRPr="00DC1320" w:rsidRDefault="00DC1320" w:rsidP="00DC1320">
      <w:pPr>
        <w:pStyle w:val="PlainText"/>
        <w:tabs>
          <w:tab w:val="left" w:pos="284"/>
        </w:tabs>
      </w:pPr>
      <w:r w:rsidRPr="00DC1320">
        <w:tab/>
        <w:t>inspectors  68</w:t>
      </w:r>
    </w:p>
    <w:p w14:paraId="4C0B4795" w14:textId="77777777" w:rsidR="00DC1320" w:rsidRPr="00DC1320" w:rsidRDefault="00DC1320" w:rsidP="00DC1320">
      <w:pPr>
        <w:pStyle w:val="PlainText"/>
        <w:tabs>
          <w:tab w:val="left" w:pos="284"/>
        </w:tabs>
      </w:pPr>
      <w:r w:rsidRPr="00DC1320">
        <w:tab/>
        <w:t>mining  27</w:t>
      </w:r>
    </w:p>
    <w:p w14:paraId="67C60E05" w14:textId="77777777" w:rsidR="00DC1320" w:rsidRPr="00DC1320" w:rsidRDefault="00DC1320" w:rsidP="00DC1320">
      <w:pPr>
        <w:pStyle w:val="PlainText"/>
        <w:tabs>
          <w:tab w:val="left" w:pos="284"/>
        </w:tabs>
      </w:pPr>
      <w:r w:rsidRPr="00DC1320">
        <w:tab/>
        <w:t>overlapping safety frameworks  27–9, 135–9</w:t>
      </w:r>
    </w:p>
    <w:p w14:paraId="3414CF6D" w14:textId="77777777" w:rsidR="00DC1320" w:rsidRPr="00DC1320" w:rsidRDefault="00DC1320" w:rsidP="00DC1320">
      <w:pPr>
        <w:pStyle w:val="PlainText"/>
        <w:tabs>
          <w:tab w:val="left" w:pos="284"/>
        </w:tabs>
      </w:pPr>
      <w:r w:rsidRPr="00DC1320">
        <w:t>high risk work</w:t>
      </w:r>
    </w:p>
    <w:p w14:paraId="1D665ADF" w14:textId="77777777" w:rsidR="00DC1320" w:rsidRPr="00DC1320" w:rsidRDefault="00DC1320" w:rsidP="00DC1320">
      <w:pPr>
        <w:pStyle w:val="PlainText"/>
        <w:tabs>
          <w:tab w:val="left" w:pos="284"/>
        </w:tabs>
      </w:pPr>
      <w:r w:rsidRPr="00DC1320">
        <w:tab/>
        <w:t>diving work  103</w:t>
      </w:r>
    </w:p>
    <w:p w14:paraId="7AB8E16B" w14:textId="77777777" w:rsidR="00DC1320" w:rsidRPr="00DC1320" w:rsidRDefault="00DC1320" w:rsidP="00DC1320">
      <w:pPr>
        <w:pStyle w:val="PlainText"/>
        <w:tabs>
          <w:tab w:val="left" w:pos="284"/>
        </w:tabs>
      </w:pPr>
      <w:r w:rsidRPr="00DC1320">
        <w:tab/>
        <w:t>licences  105</w:t>
      </w:r>
    </w:p>
    <w:p w14:paraId="21ACBFDB" w14:textId="77777777" w:rsidR="00DC1320" w:rsidRPr="00DC1320" w:rsidRDefault="00DC1320" w:rsidP="00DC1320">
      <w:pPr>
        <w:pStyle w:val="PlainText"/>
        <w:tabs>
          <w:tab w:val="left" w:pos="284"/>
        </w:tabs>
      </w:pPr>
      <w:r w:rsidRPr="00DC1320">
        <w:t>HSRs see health and safety representatives (HSRs)</w:t>
      </w:r>
    </w:p>
    <w:p w14:paraId="7B49034E" w14:textId="77777777" w:rsidR="00DC1320" w:rsidRPr="00DC1320" w:rsidRDefault="00DC1320" w:rsidP="00DC1320">
      <w:pPr>
        <w:pStyle w:val="PlainText"/>
        <w:tabs>
          <w:tab w:val="left" w:pos="284"/>
        </w:tabs>
      </w:pPr>
      <w:r w:rsidRPr="00DC1320">
        <w:t>Humphrys, Dr Elizabeth  12</w:t>
      </w:r>
    </w:p>
    <w:p w14:paraId="3B10C3DE" w14:textId="77777777" w:rsidR="00DC1320" w:rsidRPr="00DC1320" w:rsidRDefault="00DC1320" w:rsidP="00DC1320">
      <w:pPr>
        <w:pStyle w:val="PlainText"/>
        <w:tabs>
          <w:tab w:val="left" w:pos="284"/>
        </w:tabs>
      </w:pPr>
    </w:p>
    <w:p w14:paraId="0D36F14B" w14:textId="77777777" w:rsidR="00DC1320" w:rsidRPr="00DC1320" w:rsidRDefault="00DC1320" w:rsidP="00DC1320">
      <w:pPr>
        <w:pStyle w:val="PlainText"/>
        <w:tabs>
          <w:tab w:val="left" w:pos="284"/>
        </w:tabs>
        <w:rPr>
          <w:b/>
          <w:bCs/>
        </w:rPr>
      </w:pPr>
      <w:r w:rsidRPr="00DC1320">
        <w:rPr>
          <w:b/>
          <w:bCs/>
        </w:rPr>
        <w:t>I</w:t>
      </w:r>
    </w:p>
    <w:p w14:paraId="0FD39554" w14:textId="77777777" w:rsidR="00DC1320" w:rsidRPr="00DC1320" w:rsidRDefault="00DC1320" w:rsidP="00DC1320">
      <w:pPr>
        <w:pStyle w:val="PlainText"/>
        <w:tabs>
          <w:tab w:val="left" w:pos="284"/>
        </w:tabs>
      </w:pPr>
      <w:r w:rsidRPr="00DC1320">
        <w:t>industrial manslaughter  85–6, 152</w:t>
      </w:r>
    </w:p>
    <w:p w14:paraId="43146B24" w14:textId="77777777" w:rsidR="00DC1320" w:rsidRPr="00DC1320" w:rsidRDefault="00DC1320" w:rsidP="00DC1320">
      <w:pPr>
        <w:pStyle w:val="PlainText"/>
        <w:tabs>
          <w:tab w:val="left" w:pos="284"/>
        </w:tabs>
      </w:pPr>
      <w:r w:rsidRPr="00DC1320">
        <w:tab/>
        <w:t>alternative verdicts  82</w:t>
      </w:r>
    </w:p>
    <w:p w14:paraId="015F23B1" w14:textId="77777777" w:rsidR="00DC1320" w:rsidRPr="00DC1320" w:rsidRDefault="00DC1320" w:rsidP="00DC1320">
      <w:pPr>
        <w:pStyle w:val="PlainText"/>
        <w:tabs>
          <w:tab w:val="left" w:pos="284"/>
        </w:tabs>
      </w:pPr>
      <w:r w:rsidRPr="00DC1320">
        <w:tab/>
        <w:t>case law  189, 190</w:t>
      </w:r>
    </w:p>
    <w:p w14:paraId="39E8E816" w14:textId="77777777" w:rsidR="00DC1320" w:rsidRPr="00DC1320" w:rsidRDefault="00DC1320" w:rsidP="00DC1320">
      <w:pPr>
        <w:pStyle w:val="PlainText"/>
        <w:tabs>
          <w:tab w:val="left" w:pos="284"/>
        </w:tabs>
      </w:pPr>
      <w:r w:rsidRPr="00DC1320">
        <w:tab/>
        <w:t>enforceable undertakings not permitted  71</w:t>
      </w:r>
    </w:p>
    <w:p w14:paraId="371C62F8" w14:textId="77777777" w:rsidR="00DC1320" w:rsidRPr="00DC1320" w:rsidRDefault="00DC1320" w:rsidP="00DC1320">
      <w:pPr>
        <w:pStyle w:val="PlainText"/>
        <w:tabs>
          <w:tab w:val="left" w:pos="284"/>
        </w:tabs>
      </w:pPr>
      <w:r w:rsidRPr="00DC1320">
        <w:tab/>
        <w:t>individual conviction  189</w:t>
      </w:r>
    </w:p>
    <w:p w14:paraId="570D9444" w14:textId="77777777" w:rsidR="00DC1320" w:rsidRPr="00DC1320" w:rsidRDefault="00DC1320" w:rsidP="00DC1320">
      <w:pPr>
        <w:pStyle w:val="PlainText"/>
        <w:tabs>
          <w:tab w:val="left" w:pos="284"/>
        </w:tabs>
      </w:pPr>
      <w:r w:rsidRPr="00DC1320">
        <w:tab/>
        <w:t>large corporations, penalties for  89</w:t>
      </w:r>
    </w:p>
    <w:p w14:paraId="3EFDDC2E" w14:textId="77777777" w:rsidR="00DC1320" w:rsidRPr="00DC1320" w:rsidRDefault="00DC1320" w:rsidP="00DC1320">
      <w:pPr>
        <w:pStyle w:val="PlainText"/>
        <w:tabs>
          <w:tab w:val="left" w:pos="284"/>
        </w:tabs>
      </w:pPr>
      <w:r w:rsidRPr="00DC1320">
        <w:tab/>
        <w:t>limitation period  82</w:t>
      </w:r>
    </w:p>
    <w:p w14:paraId="2BF4A4A2" w14:textId="77777777" w:rsidR="00DC1320" w:rsidRPr="00DC1320" w:rsidRDefault="00DC1320" w:rsidP="00DC1320">
      <w:pPr>
        <w:pStyle w:val="PlainText"/>
        <w:tabs>
          <w:tab w:val="left" w:pos="284"/>
        </w:tabs>
      </w:pPr>
      <w:r w:rsidRPr="00DC1320">
        <w:t>information gathering powers</w:t>
      </w:r>
    </w:p>
    <w:p w14:paraId="635C9F1C" w14:textId="77777777" w:rsidR="00DC1320" w:rsidRPr="00DC1320" w:rsidRDefault="00DC1320" w:rsidP="00DC1320">
      <w:pPr>
        <w:pStyle w:val="PlainText"/>
        <w:tabs>
          <w:tab w:val="left" w:pos="284"/>
        </w:tabs>
      </w:pPr>
      <w:r w:rsidRPr="00DC1320">
        <w:tab/>
        <w:t>entry permit holders  61</w:t>
      </w:r>
    </w:p>
    <w:p w14:paraId="7350E137" w14:textId="77777777" w:rsidR="00DC1320" w:rsidRPr="00DC1320" w:rsidRDefault="00DC1320" w:rsidP="00DC1320">
      <w:pPr>
        <w:pStyle w:val="PlainText"/>
        <w:tabs>
          <w:tab w:val="left" w:pos="284"/>
        </w:tabs>
      </w:pPr>
      <w:r w:rsidRPr="00DC1320">
        <w:tab/>
        <w:t>health and safety representatives  49–50</w:t>
      </w:r>
    </w:p>
    <w:p w14:paraId="00DCF857" w14:textId="77777777" w:rsidR="00DC1320" w:rsidRPr="00DC1320" w:rsidRDefault="00DC1320" w:rsidP="00DC1320">
      <w:pPr>
        <w:pStyle w:val="PlainText"/>
        <w:tabs>
          <w:tab w:val="left" w:pos="284"/>
        </w:tabs>
      </w:pPr>
      <w:r w:rsidRPr="00DC1320">
        <w:t>infringement notices  84–5</w:t>
      </w:r>
    </w:p>
    <w:p w14:paraId="382FD0BC" w14:textId="77777777" w:rsidR="00DC1320" w:rsidRPr="00DC1320" w:rsidRDefault="00DC1320" w:rsidP="00DC1320">
      <w:pPr>
        <w:pStyle w:val="PlainText"/>
        <w:tabs>
          <w:tab w:val="left" w:pos="284"/>
        </w:tabs>
      </w:pPr>
      <w:r w:rsidRPr="00DC1320">
        <w:tab/>
        <w:t>data insights  163, 164</w:t>
      </w:r>
    </w:p>
    <w:p w14:paraId="1D679FCE" w14:textId="77777777" w:rsidR="00DC1320" w:rsidRPr="00DC1320" w:rsidRDefault="00DC1320" w:rsidP="00DC1320">
      <w:pPr>
        <w:pStyle w:val="PlainText"/>
        <w:tabs>
          <w:tab w:val="left" w:pos="284"/>
        </w:tabs>
      </w:pPr>
      <w:r w:rsidRPr="00DC1320">
        <w:tab/>
        <w:t>harmonised approach  9, 84</w:t>
      </w:r>
    </w:p>
    <w:p w14:paraId="2B6A692B" w14:textId="77777777" w:rsidR="00DC1320" w:rsidRPr="00DC1320" w:rsidRDefault="00DC1320" w:rsidP="00DC1320">
      <w:pPr>
        <w:pStyle w:val="PlainText"/>
        <w:tabs>
          <w:tab w:val="left" w:pos="284"/>
        </w:tabs>
      </w:pPr>
      <w:r w:rsidRPr="00DC1320">
        <w:tab/>
        <w:t>offence of non-payment  9, 73</w:t>
      </w:r>
    </w:p>
    <w:p w14:paraId="2C516D77" w14:textId="77777777" w:rsidR="00DC1320" w:rsidRPr="00DC1320" w:rsidRDefault="00DC1320" w:rsidP="00DC1320">
      <w:pPr>
        <w:pStyle w:val="PlainText"/>
        <w:tabs>
          <w:tab w:val="left" w:pos="284"/>
        </w:tabs>
      </w:pPr>
      <w:r w:rsidRPr="00DC1320">
        <w:t>inspectors  67–73, 168</w:t>
      </w:r>
    </w:p>
    <w:p w14:paraId="4AE135B6" w14:textId="77777777" w:rsidR="00DC1320" w:rsidRPr="00DC1320" w:rsidRDefault="00DC1320" w:rsidP="00DC1320">
      <w:pPr>
        <w:pStyle w:val="PlainText"/>
        <w:tabs>
          <w:tab w:val="left" w:pos="284"/>
        </w:tabs>
      </w:pPr>
      <w:r w:rsidRPr="00DC1320">
        <w:tab/>
        <w:t>best practice variations  70</w:t>
      </w:r>
    </w:p>
    <w:p w14:paraId="3CD66BE5" w14:textId="77777777" w:rsidR="00DC1320" w:rsidRPr="00DC1320" w:rsidRDefault="00DC1320" w:rsidP="00DC1320">
      <w:pPr>
        <w:pStyle w:val="PlainText"/>
        <w:tabs>
          <w:tab w:val="left" w:pos="284"/>
        </w:tabs>
      </w:pPr>
      <w:r w:rsidRPr="00DC1320">
        <w:tab/>
        <w:t>binding decision-making powers, lack of  48</w:t>
      </w:r>
    </w:p>
    <w:p w14:paraId="08F615CC" w14:textId="77777777" w:rsidR="00DC1320" w:rsidRPr="00DC1320" w:rsidRDefault="00DC1320" w:rsidP="00DC1320">
      <w:pPr>
        <w:pStyle w:val="PlainText"/>
        <w:tabs>
          <w:tab w:val="left" w:pos="284"/>
        </w:tabs>
      </w:pPr>
      <w:r w:rsidRPr="00DC1320">
        <w:tab/>
        <w:t>consistency and transparency  68</w:t>
      </w:r>
    </w:p>
    <w:p w14:paraId="63AEF246" w14:textId="77777777" w:rsidR="00DC1320" w:rsidRPr="00DC1320" w:rsidRDefault="00DC1320" w:rsidP="00DC1320">
      <w:pPr>
        <w:pStyle w:val="PlainText"/>
        <w:tabs>
          <w:tab w:val="left" w:pos="284"/>
        </w:tabs>
      </w:pPr>
      <w:r w:rsidRPr="00DC1320">
        <w:tab/>
        <w:t>cooperation between HSRs and  51</w:t>
      </w:r>
    </w:p>
    <w:p w14:paraId="499145FD" w14:textId="77777777" w:rsidR="00DC1320" w:rsidRPr="00DC1320" w:rsidRDefault="00DC1320" w:rsidP="00DC1320">
      <w:pPr>
        <w:pStyle w:val="PlainText"/>
        <w:tabs>
          <w:tab w:val="left" w:pos="284"/>
        </w:tabs>
      </w:pPr>
      <w:r w:rsidRPr="00DC1320">
        <w:tab/>
        <w:t>encouraging and assisting compliance  166–8</w:t>
      </w:r>
    </w:p>
    <w:p w14:paraId="6536DD97" w14:textId="77777777" w:rsidR="00DC1320" w:rsidRPr="00DC1320" w:rsidRDefault="00DC1320" w:rsidP="00DC1320">
      <w:pPr>
        <w:pStyle w:val="PlainText"/>
        <w:tabs>
          <w:tab w:val="left" w:pos="284"/>
        </w:tabs>
      </w:pPr>
      <w:r w:rsidRPr="00DC1320">
        <w:tab/>
        <w:t>enforceable undertakings  71</w:t>
      </w:r>
    </w:p>
    <w:p w14:paraId="04DFCC2A" w14:textId="77777777" w:rsidR="00DC1320" w:rsidRPr="00DC1320" w:rsidRDefault="00DC1320" w:rsidP="00DC1320">
      <w:pPr>
        <w:pStyle w:val="PlainText"/>
        <w:tabs>
          <w:tab w:val="left" w:pos="284"/>
        </w:tabs>
      </w:pPr>
      <w:r w:rsidRPr="00DC1320">
        <w:tab/>
        <w:t>expertise and resource sharing  17</w:t>
      </w:r>
    </w:p>
    <w:p w14:paraId="18A826BA" w14:textId="77777777" w:rsidR="00DC1320" w:rsidRPr="00DC1320" w:rsidRDefault="00DC1320" w:rsidP="00DC1320">
      <w:pPr>
        <w:pStyle w:val="PlainText"/>
        <w:tabs>
          <w:tab w:val="left" w:pos="284"/>
        </w:tabs>
      </w:pPr>
      <w:r w:rsidRPr="00DC1320">
        <w:tab/>
        <w:t>harmonised approach, lack of  23–5</w:t>
      </w:r>
    </w:p>
    <w:p w14:paraId="05E25B48" w14:textId="77777777" w:rsidR="00DC1320" w:rsidRPr="00DC1320" w:rsidRDefault="00DC1320" w:rsidP="00DC1320">
      <w:pPr>
        <w:pStyle w:val="PlainText"/>
        <w:tabs>
          <w:tab w:val="left" w:pos="284"/>
        </w:tabs>
      </w:pPr>
      <w:r w:rsidRPr="00DC1320">
        <w:tab/>
        <w:t>internal and external review  71–3</w:t>
      </w:r>
    </w:p>
    <w:p w14:paraId="57D484FD" w14:textId="77777777" w:rsidR="00DC1320" w:rsidRPr="00DC1320" w:rsidRDefault="00DC1320" w:rsidP="00DC1320">
      <w:pPr>
        <w:pStyle w:val="PlainText"/>
        <w:tabs>
          <w:tab w:val="left" w:pos="284"/>
        </w:tabs>
      </w:pPr>
      <w:r w:rsidRPr="00DC1320">
        <w:lastRenderedPageBreak/>
        <w:tab/>
        <w:t>jurisdictional variations  144</w:t>
      </w:r>
    </w:p>
    <w:p w14:paraId="0EFEC1B8" w14:textId="77777777" w:rsidR="00DC1320" w:rsidRPr="00DC1320" w:rsidRDefault="00DC1320" w:rsidP="00DC1320">
      <w:pPr>
        <w:pStyle w:val="PlainText"/>
        <w:tabs>
          <w:tab w:val="left" w:pos="284"/>
        </w:tabs>
      </w:pPr>
      <w:r w:rsidRPr="00DC1320">
        <w:tab/>
        <w:t>powers  67–73, 144</w:t>
      </w:r>
    </w:p>
    <w:p w14:paraId="5E5A6138" w14:textId="77777777" w:rsidR="00DC1320" w:rsidRPr="00DC1320" w:rsidRDefault="00DC1320" w:rsidP="00DC1320">
      <w:pPr>
        <w:pStyle w:val="PlainText"/>
        <w:tabs>
          <w:tab w:val="left" w:pos="284"/>
        </w:tabs>
      </w:pPr>
      <w:r w:rsidRPr="00DC1320">
        <w:tab/>
        <w:t>proactive workplace visits  166–8</w:t>
      </w:r>
    </w:p>
    <w:p w14:paraId="4C509615" w14:textId="77777777" w:rsidR="00DC1320" w:rsidRPr="00DC1320" w:rsidRDefault="00DC1320" w:rsidP="00DC1320">
      <w:pPr>
        <w:pStyle w:val="PlainText"/>
        <w:tabs>
          <w:tab w:val="left" w:pos="284"/>
        </w:tabs>
      </w:pPr>
      <w:r w:rsidRPr="00DC1320">
        <w:tab/>
        <w:t>recommendations  73</w:t>
      </w:r>
    </w:p>
    <w:p w14:paraId="4A9A7D51" w14:textId="77777777" w:rsidR="00DC1320" w:rsidRPr="00DC1320" w:rsidRDefault="00DC1320" w:rsidP="00DC1320">
      <w:pPr>
        <w:pStyle w:val="PlainText"/>
        <w:tabs>
          <w:tab w:val="left" w:pos="284"/>
        </w:tabs>
      </w:pPr>
      <w:r w:rsidRPr="00DC1320">
        <w:tab/>
        <w:t>review findings  67, 69, 70, 71, 72</w:t>
      </w:r>
    </w:p>
    <w:p w14:paraId="23C67687" w14:textId="77777777" w:rsidR="00DC1320" w:rsidRPr="00DC1320" w:rsidRDefault="00DC1320" w:rsidP="00DC1320">
      <w:pPr>
        <w:pStyle w:val="PlainText"/>
        <w:tabs>
          <w:tab w:val="left" w:pos="284"/>
        </w:tabs>
      </w:pPr>
      <w:r w:rsidRPr="00DC1320">
        <w:tab/>
        <w:t>training  69</w:t>
      </w:r>
    </w:p>
    <w:p w14:paraId="0FBDD451" w14:textId="77777777" w:rsidR="00DC1320" w:rsidRPr="00DC1320" w:rsidRDefault="00DC1320" w:rsidP="00DC1320">
      <w:pPr>
        <w:pStyle w:val="PlainText"/>
        <w:tabs>
          <w:tab w:val="left" w:pos="284"/>
        </w:tabs>
      </w:pPr>
      <w:r w:rsidRPr="00DC1320">
        <w:tab/>
        <w:t>transparent decision-making frameworks  6</w:t>
      </w:r>
    </w:p>
    <w:p w14:paraId="0086CE8B" w14:textId="77777777" w:rsidR="00DC1320" w:rsidRPr="00DC1320" w:rsidRDefault="00DC1320" w:rsidP="00DC1320">
      <w:pPr>
        <w:pStyle w:val="PlainText"/>
        <w:tabs>
          <w:tab w:val="left" w:pos="284"/>
        </w:tabs>
      </w:pPr>
      <w:r w:rsidRPr="00DC1320">
        <w:t>insurance and indemnity  83</w:t>
      </w:r>
    </w:p>
    <w:p w14:paraId="4EAE56EE" w14:textId="77777777" w:rsidR="00DC1320" w:rsidRPr="00DC1320" w:rsidRDefault="00DC1320" w:rsidP="00DC1320">
      <w:pPr>
        <w:pStyle w:val="PlainText"/>
        <w:tabs>
          <w:tab w:val="left" w:pos="284"/>
        </w:tabs>
      </w:pPr>
      <w:r w:rsidRPr="00DC1320">
        <w:t>Intergovernmental Agreement for Regulatory and Operational Reform in Occupational Health and Safety (IGA)  11, 14</w:t>
      </w:r>
    </w:p>
    <w:p w14:paraId="1149B74A" w14:textId="77777777" w:rsidR="00DC1320" w:rsidRPr="00DC1320" w:rsidRDefault="00DC1320" w:rsidP="00DC1320">
      <w:pPr>
        <w:pStyle w:val="PlainText"/>
        <w:tabs>
          <w:tab w:val="left" w:pos="284"/>
        </w:tabs>
      </w:pPr>
      <w:r w:rsidRPr="00DC1320">
        <w:t>International Labor Organization (ILO)</w:t>
      </w:r>
    </w:p>
    <w:p w14:paraId="5409541E" w14:textId="77777777" w:rsidR="00DC1320" w:rsidRPr="00DC1320" w:rsidRDefault="00DC1320" w:rsidP="00DC1320">
      <w:pPr>
        <w:pStyle w:val="PlainText"/>
        <w:tabs>
          <w:tab w:val="left" w:pos="284"/>
        </w:tabs>
      </w:pPr>
      <w:r w:rsidRPr="00DC1320">
        <w:tab/>
        <w:t>climate change reports  123–5</w:t>
      </w:r>
    </w:p>
    <w:p w14:paraId="04ECF29F" w14:textId="77777777" w:rsidR="00DC1320" w:rsidRPr="00DC1320" w:rsidRDefault="00DC1320" w:rsidP="00DC1320">
      <w:pPr>
        <w:pStyle w:val="PlainText"/>
        <w:tabs>
          <w:tab w:val="left" w:pos="284"/>
        </w:tabs>
      </w:pPr>
      <w:r w:rsidRPr="00DC1320">
        <w:tab/>
        <w:t>Convention No 155  123</w:t>
      </w:r>
    </w:p>
    <w:p w14:paraId="11246A92" w14:textId="77777777" w:rsidR="00DC1320" w:rsidRPr="00DC1320" w:rsidRDefault="00DC1320" w:rsidP="00DC1320">
      <w:pPr>
        <w:pStyle w:val="PlainText"/>
        <w:tabs>
          <w:tab w:val="left" w:pos="284"/>
        </w:tabs>
      </w:pPr>
      <w:r w:rsidRPr="00DC1320">
        <w:tab/>
        <w:t>Declaration on Fundamental Principles and Rights at Work  6</w:t>
      </w:r>
    </w:p>
    <w:p w14:paraId="3D192E58" w14:textId="77777777" w:rsidR="00DC1320" w:rsidRPr="00DC1320" w:rsidRDefault="00DC1320" w:rsidP="00DC1320">
      <w:pPr>
        <w:pStyle w:val="PlainText"/>
        <w:tabs>
          <w:tab w:val="left" w:pos="284"/>
        </w:tabs>
      </w:pPr>
      <w:r w:rsidRPr="00DC1320">
        <w:t>introduction  12–13</w:t>
      </w:r>
    </w:p>
    <w:p w14:paraId="0A13AE81" w14:textId="77777777" w:rsidR="00DC1320" w:rsidRPr="00DC1320" w:rsidRDefault="00DC1320" w:rsidP="00DC1320">
      <w:pPr>
        <w:pStyle w:val="PlainText"/>
        <w:tabs>
          <w:tab w:val="left" w:pos="284"/>
        </w:tabs>
      </w:pPr>
      <w:r w:rsidRPr="00DC1320">
        <w:t>issues for further consideration  104–11</w:t>
      </w:r>
    </w:p>
    <w:p w14:paraId="301A37BF" w14:textId="77777777" w:rsidR="00DC1320" w:rsidRPr="00DC1320" w:rsidRDefault="00DC1320" w:rsidP="00DC1320">
      <w:pPr>
        <w:pStyle w:val="PlainText"/>
        <w:tabs>
          <w:tab w:val="left" w:pos="284"/>
        </w:tabs>
      </w:pPr>
      <w:r w:rsidRPr="00DC1320">
        <w:t>issues recommended for inclusion in Codes or guidance  103–4</w:t>
      </w:r>
    </w:p>
    <w:p w14:paraId="78D96CA8" w14:textId="77777777" w:rsidR="00DC1320" w:rsidRPr="00DC1320" w:rsidRDefault="00DC1320" w:rsidP="00DC1320">
      <w:pPr>
        <w:pStyle w:val="PlainText"/>
        <w:tabs>
          <w:tab w:val="left" w:pos="284"/>
        </w:tabs>
      </w:pPr>
    </w:p>
    <w:p w14:paraId="482A53CE" w14:textId="77777777" w:rsidR="00DC1320" w:rsidRPr="00DC1320" w:rsidRDefault="00DC1320" w:rsidP="00DC1320">
      <w:pPr>
        <w:pStyle w:val="PlainText"/>
        <w:tabs>
          <w:tab w:val="left" w:pos="284"/>
        </w:tabs>
        <w:rPr>
          <w:b/>
          <w:bCs/>
        </w:rPr>
      </w:pPr>
      <w:r w:rsidRPr="00DC1320">
        <w:rPr>
          <w:b/>
          <w:bCs/>
        </w:rPr>
        <w:t>J</w:t>
      </w:r>
    </w:p>
    <w:p w14:paraId="1ADDD989" w14:textId="77777777" w:rsidR="00DC1320" w:rsidRPr="00DC1320" w:rsidRDefault="00DC1320" w:rsidP="00DC1320">
      <w:pPr>
        <w:pStyle w:val="PlainText"/>
        <w:tabs>
          <w:tab w:val="left" w:pos="284"/>
        </w:tabs>
      </w:pPr>
      <w:r w:rsidRPr="00DC1320">
        <w:t>jurisdictional variations  5, 15–19, 98–111</w:t>
      </w:r>
    </w:p>
    <w:p w14:paraId="4BEF0C20" w14:textId="77777777" w:rsidR="00DC1320" w:rsidRPr="00DC1320" w:rsidRDefault="00DC1320" w:rsidP="00DC1320">
      <w:pPr>
        <w:pStyle w:val="PlainText"/>
        <w:tabs>
          <w:tab w:val="left" w:pos="284"/>
        </w:tabs>
      </w:pPr>
      <w:r w:rsidRPr="00DC1320">
        <w:tab/>
        <w:t>annual scorecard highlighting  6, 11</w:t>
      </w:r>
    </w:p>
    <w:p w14:paraId="2CB0F9AC" w14:textId="77777777" w:rsidR="00DC1320" w:rsidRPr="00DC1320" w:rsidRDefault="00DC1320" w:rsidP="00DC1320">
      <w:pPr>
        <w:pStyle w:val="PlainText"/>
        <w:tabs>
          <w:tab w:val="left" w:pos="284"/>
        </w:tabs>
      </w:pPr>
      <w:r w:rsidRPr="00DC1320">
        <w:tab/>
        <w:t>best practice approaches in  13</w:t>
      </w:r>
    </w:p>
    <w:p w14:paraId="1C67115B" w14:textId="77777777" w:rsidR="00DC1320" w:rsidRPr="00DC1320" w:rsidRDefault="00DC1320" w:rsidP="00DC1320">
      <w:pPr>
        <w:pStyle w:val="PlainText"/>
        <w:tabs>
          <w:tab w:val="left" w:pos="284"/>
        </w:tabs>
      </w:pPr>
      <w:r w:rsidRPr="00DC1320">
        <w:tab/>
        <w:t>compliance and enforcement  63–4, 144–5</w:t>
      </w:r>
    </w:p>
    <w:p w14:paraId="391189AE" w14:textId="77777777" w:rsidR="00DC1320" w:rsidRPr="00DC1320" w:rsidRDefault="00DC1320" w:rsidP="00DC1320">
      <w:pPr>
        <w:pStyle w:val="PlainText"/>
        <w:tabs>
          <w:tab w:val="left" w:pos="284"/>
        </w:tabs>
      </w:pPr>
      <w:r w:rsidRPr="00DC1320">
        <w:tab/>
        <w:t>consultation, representation and participation  43, 47, 142–3</w:t>
      </w:r>
    </w:p>
    <w:p w14:paraId="70DBA5D6" w14:textId="77777777" w:rsidR="00DC1320" w:rsidRPr="00DC1320" w:rsidRDefault="00DC1320" w:rsidP="00DC1320">
      <w:pPr>
        <w:pStyle w:val="PlainText"/>
        <w:tabs>
          <w:tab w:val="left" w:pos="284"/>
        </w:tabs>
      </w:pPr>
      <w:r w:rsidRPr="00DC1320">
        <w:tab/>
        <w:t>criteria for assessing  34, 42</w:t>
      </w:r>
    </w:p>
    <w:p w14:paraId="3575E37A" w14:textId="77777777" w:rsidR="00DC1320" w:rsidRPr="00DC1320" w:rsidRDefault="00DC1320" w:rsidP="00DC1320">
      <w:pPr>
        <w:pStyle w:val="PlainText"/>
        <w:tabs>
          <w:tab w:val="left" w:pos="284"/>
        </w:tabs>
      </w:pPr>
      <w:r w:rsidRPr="00DC1320">
        <w:tab/>
        <w:t>duties framework  34</w:t>
      </w:r>
    </w:p>
    <w:p w14:paraId="06A485FB" w14:textId="77777777" w:rsidR="00DC1320" w:rsidRPr="00DC1320" w:rsidRDefault="00DC1320" w:rsidP="00DC1320">
      <w:pPr>
        <w:pStyle w:val="PlainText"/>
        <w:tabs>
          <w:tab w:val="left" w:pos="284"/>
        </w:tabs>
      </w:pPr>
      <w:r w:rsidRPr="00DC1320">
        <w:tab/>
        <w:t>employer survey results  184</w:t>
      </w:r>
    </w:p>
    <w:p w14:paraId="70B4ACAC" w14:textId="77777777" w:rsidR="00DC1320" w:rsidRPr="00DC1320" w:rsidRDefault="00DC1320" w:rsidP="00DC1320">
      <w:pPr>
        <w:pStyle w:val="PlainText"/>
        <w:tabs>
          <w:tab w:val="left" w:pos="284"/>
        </w:tabs>
      </w:pPr>
      <w:r w:rsidRPr="00DC1320">
        <w:tab/>
        <w:t>impact on harmonisation  15–19</w:t>
      </w:r>
    </w:p>
    <w:p w14:paraId="5E512F0E" w14:textId="77777777" w:rsidR="00DC1320" w:rsidRPr="00DC1320" w:rsidRDefault="00DC1320" w:rsidP="00DC1320">
      <w:pPr>
        <w:pStyle w:val="PlainText"/>
        <w:tabs>
          <w:tab w:val="left" w:pos="284"/>
        </w:tabs>
      </w:pPr>
      <w:r w:rsidRPr="00DC1320">
        <w:tab/>
        <w:t>inspector powers  70</w:t>
      </w:r>
    </w:p>
    <w:p w14:paraId="6B870D91" w14:textId="77777777" w:rsidR="00DC1320" w:rsidRPr="00DC1320" w:rsidRDefault="00DC1320" w:rsidP="00DC1320">
      <w:pPr>
        <w:pStyle w:val="PlainText"/>
        <w:tabs>
          <w:tab w:val="left" w:pos="284"/>
        </w:tabs>
      </w:pPr>
      <w:r w:rsidRPr="00DC1320">
        <w:tab/>
        <w:t>model WHS Regulations  146–8</w:t>
      </w:r>
    </w:p>
    <w:p w14:paraId="37205994" w14:textId="77777777" w:rsidR="00DC1320" w:rsidRPr="00DC1320" w:rsidRDefault="00DC1320" w:rsidP="00DC1320">
      <w:pPr>
        <w:pStyle w:val="PlainText"/>
        <w:tabs>
          <w:tab w:val="left" w:pos="284"/>
        </w:tabs>
      </w:pPr>
      <w:r w:rsidRPr="00DC1320">
        <w:tab/>
        <w:t>not recommended for adoption  102–3</w:t>
      </w:r>
    </w:p>
    <w:p w14:paraId="6F195DCD" w14:textId="77777777" w:rsidR="00DC1320" w:rsidRPr="00DC1320" w:rsidRDefault="00DC1320" w:rsidP="00DC1320">
      <w:pPr>
        <w:pStyle w:val="PlainText"/>
        <w:tabs>
          <w:tab w:val="left" w:pos="284"/>
        </w:tabs>
      </w:pPr>
      <w:r w:rsidRPr="00DC1320">
        <w:tab/>
        <w:t>NSW Digital Work System variation  119–20</w:t>
      </w:r>
    </w:p>
    <w:p w14:paraId="3B3075E9" w14:textId="77777777" w:rsidR="00DC1320" w:rsidRPr="00DC1320" w:rsidRDefault="00DC1320" w:rsidP="00DC1320">
      <w:pPr>
        <w:pStyle w:val="PlainText"/>
        <w:tabs>
          <w:tab w:val="left" w:pos="284"/>
        </w:tabs>
      </w:pPr>
      <w:r w:rsidRPr="00DC1320">
        <w:tab/>
        <w:t>overview  98</w:t>
      </w:r>
    </w:p>
    <w:p w14:paraId="4D284FF9" w14:textId="77777777" w:rsidR="00DC1320" w:rsidRPr="00DC1320" w:rsidRDefault="00DC1320" w:rsidP="00DC1320">
      <w:pPr>
        <w:pStyle w:val="PlainText"/>
        <w:tabs>
          <w:tab w:val="left" w:pos="284"/>
        </w:tabs>
      </w:pPr>
      <w:r w:rsidRPr="00DC1320">
        <w:tab/>
        <w:t>psychosocial risks  128</w:t>
      </w:r>
    </w:p>
    <w:p w14:paraId="1E90E59E" w14:textId="77777777" w:rsidR="00DC1320" w:rsidRPr="00DC1320" w:rsidRDefault="00DC1320" w:rsidP="00DC1320">
      <w:pPr>
        <w:pStyle w:val="PlainText"/>
        <w:tabs>
          <w:tab w:val="left" w:pos="284"/>
        </w:tabs>
      </w:pPr>
      <w:r w:rsidRPr="00DC1320">
        <w:tab/>
        <w:t>recommended for adoption  99–101</w:t>
      </w:r>
    </w:p>
    <w:p w14:paraId="37C58FED" w14:textId="77777777" w:rsidR="00DC1320" w:rsidRPr="00DC1320" w:rsidRDefault="00DC1320" w:rsidP="00DC1320">
      <w:pPr>
        <w:pStyle w:val="PlainText"/>
        <w:tabs>
          <w:tab w:val="left" w:pos="284"/>
        </w:tabs>
      </w:pPr>
      <w:r w:rsidRPr="00DC1320">
        <w:tab/>
        <w:t>Reviews considered  98</w:t>
      </w:r>
    </w:p>
    <w:p w14:paraId="312F5369" w14:textId="77777777" w:rsidR="00DC1320" w:rsidRPr="00DC1320" w:rsidRDefault="00DC1320" w:rsidP="00DC1320">
      <w:pPr>
        <w:pStyle w:val="PlainText"/>
        <w:tabs>
          <w:tab w:val="left" w:pos="284"/>
        </w:tabs>
      </w:pPr>
      <w:r w:rsidRPr="00DC1320">
        <w:tab/>
        <w:t>right of entry  62</w:t>
      </w:r>
    </w:p>
    <w:p w14:paraId="7F9FB497" w14:textId="77777777" w:rsidR="00DC1320" w:rsidRPr="00DC1320" w:rsidRDefault="00DC1320" w:rsidP="00DC1320">
      <w:pPr>
        <w:pStyle w:val="PlainText"/>
        <w:tabs>
          <w:tab w:val="left" w:pos="284"/>
        </w:tabs>
      </w:pPr>
      <w:r w:rsidRPr="00DC1320">
        <w:tab/>
        <w:t>Terms of Reference  98</w:t>
      </w:r>
    </w:p>
    <w:p w14:paraId="2CDFEFB4" w14:textId="77777777" w:rsidR="00DC1320" w:rsidRPr="00DC1320" w:rsidRDefault="00DC1320" w:rsidP="00DC1320">
      <w:pPr>
        <w:pStyle w:val="PlainText"/>
        <w:tabs>
          <w:tab w:val="left" w:pos="284"/>
        </w:tabs>
      </w:pPr>
    </w:p>
    <w:p w14:paraId="25FBA721" w14:textId="77777777" w:rsidR="00DC1320" w:rsidRPr="00DC1320" w:rsidRDefault="00DC1320" w:rsidP="00DC1320">
      <w:pPr>
        <w:pStyle w:val="PlainText"/>
        <w:tabs>
          <w:tab w:val="left" w:pos="284"/>
        </w:tabs>
        <w:rPr>
          <w:b/>
          <w:bCs/>
        </w:rPr>
      </w:pPr>
      <w:r w:rsidRPr="00DC1320">
        <w:rPr>
          <w:b/>
          <w:bCs/>
        </w:rPr>
        <w:t>K</w:t>
      </w:r>
    </w:p>
    <w:p w14:paraId="4247758E" w14:textId="77777777" w:rsidR="00DC1320" w:rsidRPr="00DC1320" w:rsidRDefault="00DC1320" w:rsidP="00DC1320">
      <w:pPr>
        <w:pStyle w:val="PlainText"/>
        <w:tabs>
          <w:tab w:val="left" w:pos="284"/>
        </w:tabs>
      </w:pPr>
      <w:r w:rsidRPr="00DC1320">
        <w:t>key terms  149–56</w:t>
      </w:r>
    </w:p>
    <w:p w14:paraId="4A7596E3" w14:textId="77777777" w:rsidR="00DC1320" w:rsidRPr="00DC1320" w:rsidRDefault="00DC1320" w:rsidP="00DC1320">
      <w:pPr>
        <w:pStyle w:val="PlainText"/>
        <w:tabs>
          <w:tab w:val="left" w:pos="284"/>
        </w:tabs>
      </w:pPr>
    </w:p>
    <w:p w14:paraId="1C2A5530" w14:textId="4BF9564A" w:rsidR="00DC1320" w:rsidRPr="00DC1320" w:rsidRDefault="00DC1320" w:rsidP="00DC1320">
      <w:pPr>
        <w:pStyle w:val="PlainText"/>
        <w:tabs>
          <w:tab w:val="left" w:pos="284"/>
        </w:tabs>
        <w:rPr>
          <w:b/>
          <w:bCs/>
        </w:rPr>
      </w:pPr>
      <w:r>
        <w:rPr>
          <w:b/>
          <w:bCs/>
        </w:rPr>
        <w:br w:type="column"/>
      </w:r>
      <w:r w:rsidRPr="00DC1320">
        <w:rPr>
          <w:b/>
          <w:bCs/>
        </w:rPr>
        <w:t>L</w:t>
      </w:r>
    </w:p>
    <w:p w14:paraId="1F12DA4C" w14:textId="77777777" w:rsidR="00DC1320" w:rsidRPr="00DC1320" w:rsidRDefault="00DC1320" w:rsidP="00DC1320">
      <w:pPr>
        <w:pStyle w:val="PlainText"/>
        <w:tabs>
          <w:tab w:val="left" w:pos="284"/>
        </w:tabs>
      </w:pPr>
      <w:r w:rsidRPr="00DC1320">
        <w:t>lasers  110</w:t>
      </w:r>
    </w:p>
    <w:p w14:paraId="314D5081" w14:textId="77777777" w:rsidR="00DC1320" w:rsidRPr="00DC1320" w:rsidRDefault="00DC1320" w:rsidP="00DC1320">
      <w:pPr>
        <w:pStyle w:val="PlainText"/>
        <w:tabs>
          <w:tab w:val="left" w:pos="284"/>
        </w:tabs>
      </w:pPr>
      <w:r w:rsidRPr="00DC1320">
        <w:t>legal proceedings  73–85</w:t>
      </w:r>
    </w:p>
    <w:p w14:paraId="7E1635DB" w14:textId="77777777" w:rsidR="00DC1320" w:rsidRPr="00DC1320" w:rsidRDefault="00DC1320" w:rsidP="00DC1320">
      <w:pPr>
        <w:pStyle w:val="PlainText"/>
        <w:tabs>
          <w:tab w:val="left" w:pos="284"/>
        </w:tabs>
      </w:pPr>
      <w:r w:rsidRPr="00DC1320">
        <w:tab/>
        <w:t>alternative verdicts  82, 150</w:t>
      </w:r>
    </w:p>
    <w:p w14:paraId="351D2053" w14:textId="77777777" w:rsidR="00DC1320" w:rsidRPr="00DC1320" w:rsidRDefault="00DC1320" w:rsidP="00DC1320">
      <w:pPr>
        <w:pStyle w:val="PlainText"/>
        <w:tabs>
          <w:tab w:val="left" w:pos="284"/>
        </w:tabs>
      </w:pPr>
      <w:r w:rsidRPr="00DC1320">
        <w:tab/>
        <w:t>civil penalty proceedings  79–80</w:t>
      </w:r>
    </w:p>
    <w:p w14:paraId="396DDD1B" w14:textId="77777777" w:rsidR="00DC1320" w:rsidRPr="00DC1320" w:rsidRDefault="00DC1320" w:rsidP="00DC1320">
      <w:pPr>
        <w:pStyle w:val="PlainText"/>
        <w:tabs>
          <w:tab w:val="left" w:pos="284"/>
        </w:tabs>
      </w:pPr>
      <w:r w:rsidRPr="00DC1320">
        <w:tab/>
        <w:t>commencing prosecution  191</w:t>
      </w:r>
    </w:p>
    <w:p w14:paraId="46C81D30" w14:textId="77777777" w:rsidR="00DC1320" w:rsidRPr="00DC1320" w:rsidRDefault="00DC1320" w:rsidP="00DC1320">
      <w:pPr>
        <w:pStyle w:val="PlainText"/>
        <w:tabs>
          <w:tab w:val="left" w:pos="284"/>
        </w:tabs>
      </w:pPr>
      <w:r w:rsidRPr="00DC1320">
        <w:tab/>
        <w:t>criminal prosecutions  74–9</w:t>
      </w:r>
    </w:p>
    <w:p w14:paraId="0614A61D" w14:textId="77777777" w:rsidR="00DC1320" w:rsidRPr="00DC1320" w:rsidRDefault="00DC1320" w:rsidP="00DC1320">
      <w:pPr>
        <w:pStyle w:val="PlainText"/>
        <w:tabs>
          <w:tab w:val="left" w:pos="284"/>
        </w:tabs>
      </w:pPr>
      <w:r w:rsidRPr="00DC1320">
        <w:tab/>
        <w:t>data insights  165</w:t>
      </w:r>
    </w:p>
    <w:p w14:paraId="61355AAF" w14:textId="77777777" w:rsidR="00DC1320" w:rsidRPr="00DC1320" w:rsidRDefault="00DC1320" w:rsidP="00DC1320">
      <w:pPr>
        <w:pStyle w:val="PlainText"/>
        <w:tabs>
          <w:tab w:val="left" w:pos="284"/>
        </w:tabs>
      </w:pPr>
      <w:r w:rsidRPr="00DC1320">
        <w:tab/>
        <w:t>‘frivolous’ proceedings  78</w:t>
      </w:r>
    </w:p>
    <w:p w14:paraId="56E4D599" w14:textId="77777777" w:rsidR="00DC1320" w:rsidRPr="00DC1320" w:rsidRDefault="00DC1320" w:rsidP="00DC1320">
      <w:pPr>
        <w:pStyle w:val="PlainText"/>
        <w:tabs>
          <w:tab w:val="left" w:pos="284"/>
        </w:tabs>
      </w:pPr>
      <w:r w:rsidRPr="00DC1320">
        <w:tab/>
        <w:t>infringement notices  84–5</w:t>
      </w:r>
    </w:p>
    <w:p w14:paraId="23E3293F" w14:textId="77777777" w:rsidR="00DC1320" w:rsidRPr="00DC1320" w:rsidRDefault="00DC1320" w:rsidP="00DC1320">
      <w:pPr>
        <w:pStyle w:val="PlainText"/>
        <w:tabs>
          <w:tab w:val="left" w:pos="284"/>
        </w:tabs>
      </w:pPr>
      <w:r w:rsidRPr="00DC1320">
        <w:tab/>
        <w:t>insurance and indemnity  83</w:t>
      </w:r>
    </w:p>
    <w:p w14:paraId="5CB2277B" w14:textId="77777777" w:rsidR="00DC1320" w:rsidRPr="00DC1320" w:rsidRDefault="00DC1320" w:rsidP="00DC1320">
      <w:pPr>
        <w:pStyle w:val="PlainText"/>
        <w:tabs>
          <w:tab w:val="left" w:pos="284"/>
        </w:tabs>
      </w:pPr>
      <w:r w:rsidRPr="00DC1320">
        <w:tab/>
        <w:t>jurisdictional variations  145</w:t>
      </w:r>
    </w:p>
    <w:p w14:paraId="39A19278" w14:textId="77777777" w:rsidR="00DC1320" w:rsidRPr="00DC1320" w:rsidRDefault="00DC1320" w:rsidP="00DC1320">
      <w:pPr>
        <w:pStyle w:val="PlainText"/>
        <w:tabs>
          <w:tab w:val="left" w:pos="284"/>
        </w:tabs>
      </w:pPr>
      <w:r w:rsidRPr="00DC1320">
        <w:tab/>
        <w:t>limitation periods  81–2</w:t>
      </w:r>
    </w:p>
    <w:p w14:paraId="067CD7F2" w14:textId="77777777" w:rsidR="00DC1320" w:rsidRPr="00DC1320" w:rsidRDefault="00DC1320" w:rsidP="00DC1320">
      <w:pPr>
        <w:pStyle w:val="PlainText"/>
        <w:tabs>
          <w:tab w:val="left" w:pos="284"/>
        </w:tabs>
      </w:pPr>
      <w:r w:rsidRPr="00DC1320">
        <w:tab/>
        <w:t>non-disclosure agreements  9, 83–4</w:t>
      </w:r>
    </w:p>
    <w:p w14:paraId="7E7503ED" w14:textId="77777777" w:rsidR="00DC1320" w:rsidRPr="00DC1320" w:rsidRDefault="00DC1320" w:rsidP="00DC1320">
      <w:pPr>
        <w:pStyle w:val="PlainText"/>
        <w:tabs>
          <w:tab w:val="left" w:pos="284"/>
        </w:tabs>
      </w:pPr>
      <w:r w:rsidRPr="00DC1320">
        <w:tab/>
        <w:t>private prosecutions  75–9</w:t>
      </w:r>
    </w:p>
    <w:p w14:paraId="6A2490F5" w14:textId="77777777" w:rsidR="00DC1320" w:rsidRPr="00DC1320" w:rsidRDefault="00DC1320" w:rsidP="00DC1320">
      <w:pPr>
        <w:pStyle w:val="PlainText"/>
        <w:tabs>
          <w:tab w:val="left" w:pos="284"/>
        </w:tabs>
      </w:pPr>
      <w:r w:rsidRPr="00DC1320">
        <w:tab/>
        <w:t>recommendations  79, 83, 85</w:t>
      </w:r>
    </w:p>
    <w:p w14:paraId="17D9FC92" w14:textId="77777777" w:rsidR="00DC1320" w:rsidRPr="00DC1320" w:rsidRDefault="00DC1320" w:rsidP="00DC1320">
      <w:pPr>
        <w:pStyle w:val="PlainText"/>
        <w:tabs>
          <w:tab w:val="left" w:pos="284"/>
        </w:tabs>
      </w:pPr>
      <w:r w:rsidRPr="00DC1320">
        <w:tab/>
        <w:t>review findings  74, 75–6, 81, 83, 84</w:t>
      </w:r>
    </w:p>
    <w:p w14:paraId="20BB204B" w14:textId="77777777" w:rsidR="00DC1320" w:rsidRPr="00DC1320" w:rsidRDefault="00DC1320" w:rsidP="00DC1320">
      <w:pPr>
        <w:pStyle w:val="PlainText"/>
        <w:tabs>
          <w:tab w:val="left" w:pos="284"/>
        </w:tabs>
      </w:pPr>
      <w:r w:rsidRPr="00DC1320">
        <w:tab/>
        <w:t>technical amendments  854</w:t>
      </w:r>
    </w:p>
    <w:p w14:paraId="45D29A03" w14:textId="77777777" w:rsidR="00DC1320" w:rsidRPr="00DC1320" w:rsidRDefault="00DC1320" w:rsidP="00DC1320">
      <w:pPr>
        <w:pStyle w:val="PlainText"/>
        <w:tabs>
          <w:tab w:val="left" w:pos="284"/>
        </w:tabs>
      </w:pPr>
      <w:r w:rsidRPr="00DC1320">
        <w:t>limitation periods  81–2</w:t>
      </w:r>
    </w:p>
    <w:p w14:paraId="3B6B4AD8" w14:textId="77777777" w:rsidR="00DC1320" w:rsidRPr="00DC1320" w:rsidRDefault="00DC1320" w:rsidP="00DC1320">
      <w:pPr>
        <w:pStyle w:val="PlainText"/>
        <w:tabs>
          <w:tab w:val="left" w:pos="284"/>
        </w:tabs>
      </w:pPr>
      <w:r w:rsidRPr="00DC1320">
        <w:t>lithium batteries  101</w:t>
      </w:r>
    </w:p>
    <w:p w14:paraId="1E230D93" w14:textId="77777777" w:rsidR="00DC1320" w:rsidRPr="00DC1320" w:rsidRDefault="00DC1320" w:rsidP="00DC1320">
      <w:pPr>
        <w:pStyle w:val="PlainText"/>
        <w:tabs>
          <w:tab w:val="left" w:pos="284"/>
        </w:tabs>
      </w:pPr>
    </w:p>
    <w:p w14:paraId="41CC705B" w14:textId="77777777" w:rsidR="00DC1320" w:rsidRPr="00DC1320" w:rsidRDefault="00DC1320" w:rsidP="00DC1320">
      <w:pPr>
        <w:pStyle w:val="PlainText"/>
        <w:tabs>
          <w:tab w:val="left" w:pos="284"/>
        </w:tabs>
        <w:rPr>
          <w:b/>
          <w:bCs/>
        </w:rPr>
      </w:pPr>
      <w:r w:rsidRPr="00DC1320">
        <w:rPr>
          <w:b/>
          <w:bCs/>
        </w:rPr>
        <w:t>M</w:t>
      </w:r>
    </w:p>
    <w:p w14:paraId="5AFF367D" w14:textId="77777777" w:rsidR="00DC1320" w:rsidRPr="00DC1320" w:rsidRDefault="00DC1320" w:rsidP="00DC1320">
      <w:pPr>
        <w:pStyle w:val="PlainText"/>
        <w:tabs>
          <w:tab w:val="left" w:pos="284"/>
        </w:tabs>
      </w:pPr>
      <w:r w:rsidRPr="00DC1320">
        <w:t>major hazard facilities  109</w:t>
      </w:r>
    </w:p>
    <w:p w14:paraId="0BDA34AD" w14:textId="77777777" w:rsidR="00DC1320" w:rsidRPr="00DC1320" w:rsidRDefault="00DC1320" w:rsidP="00DC1320">
      <w:pPr>
        <w:pStyle w:val="PlainText"/>
        <w:tabs>
          <w:tab w:val="left" w:pos="284"/>
        </w:tabs>
      </w:pPr>
      <w:r w:rsidRPr="00DC1320">
        <w:t>maritime industry  136</w:t>
      </w:r>
    </w:p>
    <w:p w14:paraId="4D238D77" w14:textId="77777777" w:rsidR="00DC1320" w:rsidRPr="00DC1320" w:rsidRDefault="00DC1320" w:rsidP="00DC1320">
      <w:pPr>
        <w:pStyle w:val="PlainText"/>
        <w:tabs>
          <w:tab w:val="left" w:pos="284"/>
        </w:tabs>
      </w:pPr>
      <w:r w:rsidRPr="00DC1320">
        <w:tab/>
        <w:t>case law  188, 189</w:t>
      </w:r>
    </w:p>
    <w:p w14:paraId="67F6E60B" w14:textId="77777777" w:rsidR="00DC1320" w:rsidRPr="00DC1320" w:rsidRDefault="00DC1320" w:rsidP="00DC1320">
      <w:pPr>
        <w:pStyle w:val="PlainText"/>
        <w:tabs>
          <w:tab w:val="left" w:pos="284"/>
        </w:tabs>
      </w:pPr>
      <w:r w:rsidRPr="00DC1320">
        <w:tab/>
        <w:t>overlapping safety frameworks  27, 28, 136</w:t>
      </w:r>
    </w:p>
    <w:p w14:paraId="05E42FB5" w14:textId="77777777" w:rsidR="00DC1320" w:rsidRPr="00DC1320" w:rsidRDefault="00DC1320" w:rsidP="00DC1320">
      <w:pPr>
        <w:pStyle w:val="PlainText"/>
        <w:tabs>
          <w:tab w:val="left" w:pos="284"/>
        </w:tabs>
      </w:pPr>
      <w:r w:rsidRPr="00DC1320">
        <w:t>memorandums of understanding (MOUs)  32–3</w:t>
      </w:r>
    </w:p>
    <w:p w14:paraId="1E06E1F6" w14:textId="77777777" w:rsidR="00DC1320" w:rsidRPr="00DC1320" w:rsidRDefault="00DC1320" w:rsidP="00DC1320">
      <w:pPr>
        <w:pStyle w:val="PlainText"/>
        <w:tabs>
          <w:tab w:val="left" w:pos="284"/>
        </w:tabs>
      </w:pPr>
      <w:r w:rsidRPr="00DC1320">
        <w:t>mental health risks  6</w:t>
      </w:r>
    </w:p>
    <w:p w14:paraId="09175E7B" w14:textId="77777777" w:rsidR="00DC1320" w:rsidRPr="00DC1320" w:rsidRDefault="00DC1320" w:rsidP="00DC1320">
      <w:pPr>
        <w:pStyle w:val="PlainText"/>
        <w:tabs>
          <w:tab w:val="left" w:pos="284"/>
        </w:tabs>
      </w:pPr>
      <w:r w:rsidRPr="00DC1320">
        <w:tab/>
        <w:t>harmful workplace behaviours  10, 127–31</w:t>
      </w:r>
    </w:p>
    <w:p w14:paraId="60904C6E" w14:textId="77777777" w:rsidR="00DC1320" w:rsidRPr="00DC1320" w:rsidRDefault="00DC1320" w:rsidP="00DC1320">
      <w:pPr>
        <w:pStyle w:val="PlainText"/>
        <w:tabs>
          <w:tab w:val="left" w:pos="284"/>
        </w:tabs>
      </w:pPr>
      <w:r w:rsidRPr="00DC1320">
        <w:tab/>
        <w:t>psychosocial hazards  6, 38, 127–31</w:t>
      </w:r>
    </w:p>
    <w:p w14:paraId="1AD0F733" w14:textId="77777777" w:rsidR="00DC1320" w:rsidRPr="00DC1320" w:rsidRDefault="00DC1320" w:rsidP="00DC1320">
      <w:pPr>
        <w:pStyle w:val="PlainText"/>
        <w:tabs>
          <w:tab w:val="left" w:pos="284"/>
        </w:tabs>
      </w:pPr>
      <w:r w:rsidRPr="00DC1320">
        <w:t>mining industry  135</w:t>
      </w:r>
    </w:p>
    <w:p w14:paraId="5DA80DD5" w14:textId="77777777" w:rsidR="00DC1320" w:rsidRPr="00DC1320" w:rsidRDefault="00DC1320" w:rsidP="00DC1320">
      <w:pPr>
        <w:pStyle w:val="PlainText"/>
        <w:tabs>
          <w:tab w:val="left" w:pos="284"/>
        </w:tabs>
      </w:pPr>
      <w:r w:rsidRPr="00DC1320">
        <w:tab/>
        <w:t>fatality rates  26</w:t>
      </w:r>
    </w:p>
    <w:p w14:paraId="132787F6" w14:textId="77777777" w:rsidR="00DC1320" w:rsidRPr="00DC1320" w:rsidRDefault="00DC1320" w:rsidP="00DC1320">
      <w:pPr>
        <w:pStyle w:val="PlainText"/>
        <w:tabs>
          <w:tab w:val="left" w:pos="284"/>
        </w:tabs>
      </w:pPr>
      <w:r w:rsidRPr="00DC1320">
        <w:tab/>
        <w:t>high risk industry  27</w:t>
      </w:r>
    </w:p>
    <w:p w14:paraId="6E97AB33" w14:textId="77777777" w:rsidR="00DC1320" w:rsidRPr="00DC1320" w:rsidRDefault="00DC1320" w:rsidP="00DC1320">
      <w:pPr>
        <w:pStyle w:val="PlainText"/>
        <w:tabs>
          <w:tab w:val="left" w:pos="284"/>
        </w:tabs>
      </w:pPr>
      <w:r w:rsidRPr="00DC1320">
        <w:tab/>
        <w:t>overlapping safety frameworks  27, 28, 135</w:t>
      </w:r>
    </w:p>
    <w:p w14:paraId="4B8FC4A1" w14:textId="77777777" w:rsidR="00DC1320" w:rsidRPr="00DC1320" w:rsidRDefault="00DC1320" w:rsidP="00DC1320">
      <w:pPr>
        <w:pStyle w:val="PlainText"/>
        <w:tabs>
          <w:tab w:val="left" w:pos="284"/>
        </w:tabs>
      </w:pPr>
      <w:r w:rsidRPr="00DC1320">
        <w:t>model Codes of Practice see Codes of Practice</w:t>
      </w:r>
    </w:p>
    <w:p w14:paraId="65772D20" w14:textId="77777777" w:rsidR="00DC1320" w:rsidRPr="00DC1320" w:rsidRDefault="00DC1320" w:rsidP="00DC1320">
      <w:pPr>
        <w:pStyle w:val="PlainText"/>
        <w:tabs>
          <w:tab w:val="left" w:pos="284"/>
        </w:tabs>
      </w:pPr>
      <w:r w:rsidRPr="00DC1320">
        <w:t>model WHS Act  5, 6, 8–16, 153</w:t>
      </w:r>
    </w:p>
    <w:p w14:paraId="280B2042" w14:textId="77777777" w:rsidR="00DC1320" w:rsidRPr="00DC1320" w:rsidRDefault="00DC1320" w:rsidP="00DC1320">
      <w:pPr>
        <w:pStyle w:val="PlainText"/>
        <w:tabs>
          <w:tab w:val="left" w:pos="284"/>
        </w:tabs>
      </w:pPr>
      <w:r w:rsidRPr="00DC1320">
        <w:tab/>
        <w:t>objects  15, 43</w:t>
      </w:r>
    </w:p>
    <w:p w14:paraId="4DE15293" w14:textId="77777777" w:rsidR="00DC1320" w:rsidRPr="00DC1320" w:rsidRDefault="00DC1320" w:rsidP="00DC1320">
      <w:pPr>
        <w:pStyle w:val="PlainText"/>
        <w:tabs>
          <w:tab w:val="left" w:pos="284"/>
        </w:tabs>
      </w:pPr>
      <w:r w:rsidRPr="00DC1320">
        <w:t>model WHS laws  5, 12, 153</w:t>
      </w:r>
    </w:p>
    <w:p w14:paraId="5829BFFF" w14:textId="77777777" w:rsidR="00DC1320" w:rsidRPr="00DC1320" w:rsidRDefault="00DC1320" w:rsidP="00DC1320">
      <w:pPr>
        <w:pStyle w:val="PlainText"/>
        <w:tabs>
          <w:tab w:val="left" w:pos="284"/>
        </w:tabs>
      </w:pPr>
      <w:r w:rsidRPr="00DC1320">
        <w:tab/>
        <w:t>2008 National Review  14, 76</w:t>
      </w:r>
    </w:p>
    <w:p w14:paraId="54B7775F" w14:textId="77777777" w:rsidR="00DC1320" w:rsidRPr="00DC1320" w:rsidRDefault="00DC1320" w:rsidP="00DC1320">
      <w:pPr>
        <w:pStyle w:val="PlainText"/>
        <w:tabs>
          <w:tab w:val="left" w:pos="284"/>
        </w:tabs>
      </w:pPr>
      <w:r w:rsidRPr="00DC1320">
        <w:tab/>
        <w:t>2018 National Review  6, 22, 25, 35, 47, 83, 112</w:t>
      </w:r>
    </w:p>
    <w:p w14:paraId="1D6B5A45" w14:textId="77777777" w:rsidR="00DC1320" w:rsidRPr="00DC1320" w:rsidRDefault="00DC1320" w:rsidP="00DC1320">
      <w:pPr>
        <w:pStyle w:val="PlainText"/>
        <w:tabs>
          <w:tab w:val="left" w:pos="284"/>
        </w:tabs>
      </w:pPr>
      <w:r w:rsidRPr="00DC1320">
        <w:tab/>
        <w:t>AI, application to  118</w:t>
      </w:r>
    </w:p>
    <w:p w14:paraId="3A72CBFA" w14:textId="77777777" w:rsidR="00DC1320" w:rsidRPr="00DC1320" w:rsidRDefault="00DC1320" w:rsidP="00DC1320">
      <w:pPr>
        <w:pStyle w:val="PlainText"/>
        <w:tabs>
          <w:tab w:val="left" w:pos="284"/>
        </w:tabs>
      </w:pPr>
      <w:r w:rsidRPr="00DC1320">
        <w:tab/>
        <w:t>alternative schemes proposed  20</w:t>
      </w:r>
    </w:p>
    <w:p w14:paraId="61081786" w14:textId="77777777" w:rsidR="00DC1320" w:rsidRPr="00DC1320" w:rsidRDefault="00DC1320" w:rsidP="00DC1320">
      <w:pPr>
        <w:pStyle w:val="PlainText"/>
        <w:tabs>
          <w:tab w:val="left" w:pos="284"/>
        </w:tabs>
      </w:pPr>
      <w:r w:rsidRPr="00DC1320">
        <w:tab/>
        <w:t>annual scorecard  11</w:t>
      </w:r>
    </w:p>
    <w:p w14:paraId="0E7B6A7E" w14:textId="77777777" w:rsidR="00DC1320" w:rsidRPr="00DC1320" w:rsidRDefault="00DC1320" w:rsidP="00DC1320">
      <w:pPr>
        <w:pStyle w:val="PlainText"/>
        <w:tabs>
          <w:tab w:val="left" w:pos="284"/>
        </w:tabs>
      </w:pPr>
      <w:r w:rsidRPr="00DC1320">
        <w:tab/>
        <w:t>harmonisation see harmonisation of WHS laws</w:t>
      </w:r>
    </w:p>
    <w:p w14:paraId="2FB10C16" w14:textId="77777777" w:rsidR="00DC1320" w:rsidRPr="00DC1320" w:rsidRDefault="00DC1320" w:rsidP="00DC1320">
      <w:pPr>
        <w:pStyle w:val="PlainText"/>
        <w:tabs>
          <w:tab w:val="left" w:pos="284"/>
        </w:tabs>
      </w:pPr>
      <w:r w:rsidRPr="00DC1320">
        <w:tab/>
        <w:t>independent body to develop and implement  5</w:t>
      </w:r>
    </w:p>
    <w:p w14:paraId="36297731" w14:textId="77777777" w:rsidR="00DC1320" w:rsidRPr="00DC1320" w:rsidRDefault="00DC1320" w:rsidP="00DC1320">
      <w:pPr>
        <w:pStyle w:val="PlainText"/>
        <w:tabs>
          <w:tab w:val="left" w:pos="284"/>
        </w:tabs>
      </w:pPr>
      <w:r w:rsidRPr="00DC1320">
        <w:tab/>
        <w:t>offences under see offences and penalties</w:t>
      </w:r>
    </w:p>
    <w:p w14:paraId="6FCE6C6A" w14:textId="77777777" w:rsidR="00DC1320" w:rsidRPr="00DC1320" w:rsidRDefault="00DC1320" w:rsidP="00DC1320">
      <w:pPr>
        <w:pStyle w:val="PlainText"/>
        <w:tabs>
          <w:tab w:val="left" w:pos="284"/>
        </w:tabs>
      </w:pPr>
      <w:r w:rsidRPr="00DC1320">
        <w:tab/>
        <w:t>principles-based model  7</w:t>
      </w:r>
    </w:p>
    <w:p w14:paraId="5D2201A3" w14:textId="77777777" w:rsidR="00DC1320" w:rsidRPr="00DC1320" w:rsidRDefault="00DC1320" w:rsidP="00DC1320">
      <w:pPr>
        <w:pStyle w:val="PlainText"/>
        <w:tabs>
          <w:tab w:val="left" w:pos="284"/>
        </w:tabs>
      </w:pPr>
      <w:r w:rsidRPr="00DC1320">
        <w:tab/>
        <w:t>supporting businesses to comply  7</w:t>
      </w:r>
    </w:p>
    <w:p w14:paraId="7CA5B00A" w14:textId="77777777" w:rsidR="00DC1320" w:rsidRPr="00DC1320" w:rsidRDefault="00DC1320" w:rsidP="00DC1320">
      <w:pPr>
        <w:pStyle w:val="PlainText"/>
        <w:tabs>
          <w:tab w:val="left" w:pos="284"/>
        </w:tabs>
      </w:pPr>
      <w:r w:rsidRPr="00DC1320">
        <w:tab/>
        <w:t>technology neutral  118</w:t>
      </w:r>
    </w:p>
    <w:p w14:paraId="7B5F6A10" w14:textId="77777777" w:rsidR="00DC1320" w:rsidRPr="00DC1320" w:rsidRDefault="00DC1320" w:rsidP="00DC1320">
      <w:pPr>
        <w:pStyle w:val="PlainText"/>
        <w:tabs>
          <w:tab w:val="left" w:pos="284"/>
        </w:tabs>
      </w:pPr>
      <w:r w:rsidRPr="00DC1320">
        <w:tab/>
        <w:t>variations see jurisdictional variations</w:t>
      </w:r>
    </w:p>
    <w:p w14:paraId="395B2C66" w14:textId="77777777" w:rsidR="00DC1320" w:rsidRDefault="00DC1320" w:rsidP="00DC1320">
      <w:pPr>
        <w:pStyle w:val="PlainText"/>
        <w:tabs>
          <w:tab w:val="left" w:pos="284"/>
        </w:tabs>
      </w:pPr>
      <w:r>
        <w:br w:type="page"/>
      </w:r>
    </w:p>
    <w:p w14:paraId="1674E086" w14:textId="1CFD3807" w:rsidR="00DC1320" w:rsidRPr="00DC1320" w:rsidRDefault="00DC1320" w:rsidP="00DC1320">
      <w:pPr>
        <w:pStyle w:val="PlainText"/>
        <w:tabs>
          <w:tab w:val="left" w:pos="284"/>
        </w:tabs>
      </w:pPr>
      <w:r w:rsidRPr="00DC1320">
        <w:lastRenderedPageBreak/>
        <w:t>model WHS Regulations  6, 12, 112–14, 153</w:t>
      </w:r>
    </w:p>
    <w:p w14:paraId="1CD64023" w14:textId="77777777" w:rsidR="00DC1320" w:rsidRPr="00DC1320" w:rsidRDefault="00DC1320" w:rsidP="00DC1320">
      <w:pPr>
        <w:pStyle w:val="PlainText"/>
        <w:tabs>
          <w:tab w:val="left" w:pos="284"/>
        </w:tabs>
      </w:pPr>
      <w:r w:rsidRPr="00DC1320">
        <w:tab/>
        <w:t>2018 National Review  112</w:t>
      </w:r>
    </w:p>
    <w:p w14:paraId="62672ED1" w14:textId="77777777" w:rsidR="00DC1320" w:rsidRPr="00DC1320" w:rsidRDefault="00DC1320" w:rsidP="00DC1320">
      <w:pPr>
        <w:pStyle w:val="PlainText"/>
        <w:tabs>
          <w:tab w:val="left" w:pos="284"/>
        </w:tabs>
      </w:pPr>
      <w:r w:rsidRPr="00DC1320">
        <w:tab/>
        <w:t>climate change and  125</w:t>
      </w:r>
    </w:p>
    <w:p w14:paraId="2B7BF94B" w14:textId="77777777" w:rsidR="00DC1320" w:rsidRPr="00DC1320" w:rsidRDefault="00DC1320" w:rsidP="00DC1320">
      <w:pPr>
        <w:pStyle w:val="PlainText"/>
        <w:tabs>
          <w:tab w:val="left" w:pos="284"/>
        </w:tabs>
      </w:pPr>
      <w:r w:rsidRPr="00DC1320">
        <w:tab/>
        <w:t>gender considerations  113</w:t>
      </w:r>
    </w:p>
    <w:p w14:paraId="4E178544" w14:textId="77777777" w:rsidR="00DC1320" w:rsidRPr="00DC1320" w:rsidRDefault="00DC1320" w:rsidP="00DC1320">
      <w:pPr>
        <w:pStyle w:val="PlainText"/>
        <w:tabs>
          <w:tab w:val="left" w:pos="284"/>
        </w:tabs>
      </w:pPr>
      <w:r w:rsidRPr="00DC1320">
        <w:tab/>
        <w:t>harmful workplace behaviours  127, 129</w:t>
      </w:r>
    </w:p>
    <w:p w14:paraId="7760656E" w14:textId="77777777" w:rsidR="00DC1320" w:rsidRPr="00DC1320" w:rsidRDefault="00DC1320" w:rsidP="00DC1320">
      <w:pPr>
        <w:pStyle w:val="PlainText"/>
        <w:tabs>
          <w:tab w:val="left" w:pos="284"/>
        </w:tabs>
      </w:pPr>
      <w:r w:rsidRPr="00DC1320">
        <w:tab/>
        <w:t>industry-specific regulations  113</w:t>
      </w:r>
    </w:p>
    <w:p w14:paraId="48202419" w14:textId="77777777" w:rsidR="00DC1320" w:rsidRPr="00DC1320" w:rsidRDefault="00DC1320" w:rsidP="00DC1320">
      <w:pPr>
        <w:pStyle w:val="PlainText"/>
        <w:tabs>
          <w:tab w:val="left" w:pos="284"/>
        </w:tabs>
      </w:pPr>
      <w:r w:rsidRPr="00DC1320">
        <w:tab/>
        <w:t>jurisdictional variations  146–8</w:t>
      </w:r>
    </w:p>
    <w:p w14:paraId="1415A5BB" w14:textId="77777777" w:rsidR="00DC1320" w:rsidRPr="00DC1320" w:rsidRDefault="00DC1320" w:rsidP="00DC1320">
      <w:pPr>
        <w:pStyle w:val="PlainText"/>
        <w:tabs>
          <w:tab w:val="left" w:pos="284"/>
        </w:tabs>
      </w:pPr>
      <w:r w:rsidRPr="00DC1320">
        <w:tab/>
        <w:t>legally precise language  114</w:t>
      </w:r>
    </w:p>
    <w:p w14:paraId="1D83B7D3" w14:textId="77777777" w:rsidR="00DC1320" w:rsidRPr="00DC1320" w:rsidRDefault="00DC1320" w:rsidP="00DC1320">
      <w:pPr>
        <w:pStyle w:val="PlainText"/>
        <w:tabs>
          <w:tab w:val="left" w:pos="284"/>
        </w:tabs>
      </w:pPr>
      <w:r w:rsidRPr="00DC1320">
        <w:tab/>
        <w:t>modernisation project  10, 112–14, 147–8</w:t>
      </w:r>
    </w:p>
    <w:p w14:paraId="612FD8AA" w14:textId="77777777" w:rsidR="00DC1320" w:rsidRPr="00DC1320" w:rsidRDefault="00DC1320" w:rsidP="00DC1320">
      <w:pPr>
        <w:pStyle w:val="PlainText"/>
        <w:tabs>
          <w:tab w:val="left" w:pos="284"/>
        </w:tabs>
      </w:pPr>
      <w:r w:rsidRPr="00DC1320">
        <w:tab/>
        <w:t>recommendations  114</w:t>
      </w:r>
    </w:p>
    <w:p w14:paraId="0397E8BF" w14:textId="77777777" w:rsidR="00DC1320" w:rsidRPr="00DC1320" w:rsidRDefault="00DC1320" w:rsidP="00DC1320">
      <w:pPr>
        <w:pStyle w:val="PlainText"/>
        <w:tabs>
          <w:tab w:val="left" w:pos="284"/>
        </w:tabs>
      </w:pPr>
    </w:p>
    <w:p w14:paraId="75C8ABF1" w14:textId="77777777" w:rsidR="00DC1320" w:rsidRPr="00DC1320" w:rsidRDefault="00DC1320" w:rsidP="00DC1320">
      <w:pPr>
        <w:pStyle w:val="PlainText"/>
        <w:tabs>
          <w:tab w:val="left" w:pos="284"/>
        </w:tabs>
        <w:rPr>
          <w:b/>
          <w:bCs/>
        </w:rPr>
      </w:pPr>
      <w:r w:rsidRPr="00DC1320">
        <w:rPr>
          <w:b/>
          <w:bCs/>
        </w:rPr>
        <w:t>N</w:t>
      </w:r>
    </w:p>
    <w:p w14:paraId="2E794479" w14:textId="77777777" w:rsidR="00DC1320" w:rsidRPr="00DC1320" w:rsidRDefault="00DC1320" w:rsidP="00DC1320">
      <w:pPr>
        <w:pStyle w:val="PlainText"/>
        <w:tabs>
          <w:tab w:val="left" w:pos="284"/>
        </w:tabs>
      </w:pPr>
      <w:r w:rsidRPr="00DC1320">
        <w:t>National Adaptation Plan  123</w:t>
      </w:r>
    </w:p>
    <w:p w14:paraId="7D449C9C" w14:textId="77777777" w:rsidR="00DC1320" w:rsidRPr="00DC1320" w:rsidRDefault="00DC1320" w:rsidP="00DC1320">
      <w:pPr>
        <w:pStyle w:val="PlainText"/>
        <w:tabs>
          <w:tab w:val="left" w:pos="284"/>
        </w:tabs>
      </w:pPr>
      <w:r w:rsidRPr="00DC1320">
        <w:t>National AI Plan  116</w:t>
      </w:r>
    </w:p>
    <w:p w14:paraId="4C3917E3" w14:textId="77777777" w:rsidR="00DC1320" w:rsidRPr="00DC1320" w:rsidRDefault="00DC1320" w:rsidP="00DC1320">
      <w:pPr>
        <w:pStyle w:val="PlainText"/>
        <w:tabs>
          <w:tab w:val="left" w:pos="284"/>
        </w:tabs>
      </w:pPr>
      <w:r w:rsidRPr="00DC1320">
        <w:t>National Anti-Racism Framework  141</w:t>
      </w:r>
    </w:p>
    <w:p w14:paraId="45564C30" w14:textId="77777777" w:rsidR="00DC1320" w:rsidRPr="00DC1320" w:rsidRDefault="00DC1320" w:rsidP="00DC1320">
      <w:pPr>
        <w:pStyle w:val="PlainText"/>
        <w:tabs>
          <w:tab w:val="left" w:pos="284"/>
        </w:tabs>
      </w:pPr>
      <w:r w:rsidRPr="00DC1320">
        <w:t>National Compliance and Enforcement Policy (NCEP)  5, 6, 22–5</w:t>
      </w:r>
    </w:p>
    <w:p w14:paraId="1AB5966C" w14:textId="77777777" w:rsidR="00DC1320" w:rsidRPr="00DC1320" w:rsidRDefault="00DC1320" w:rsidP="00DC1320">
      <w:pPr>
        <w:pStyle w:val="PlainText"/>
        <w:tabs>
          <w:tab w:val="left" w:pos="284"/>
        </w:tabs>
      </w:pPr>
      <w:r w:rsidRPr="00DC1320">
        <w:tab/>
        <w:t>enhancing harmonisation  8, 22–5</w:t>
      </w:r>
    </w:p>
    <w:p w14:paraId="43585D90" w14:textId="77777777" w:rsidR="00DC1320" w:rsidRPr="00DC1320" w:rsidRDefault="00DC1320" w:rsidP="00DC1320">
      <w:pPr>
        <w:pStyle w:val="PlainText"/>
        <w:tabs>
          <w:tab w:val="left" w:pos="284"/>
        </w:tabs>
      </w:pPr>
      <w:r w:rsidRPr="00DC1320">
        <w:tab/>
        <w:t>overlapping safety frameworks, details on  29</w:t>
      </w:r>
    </w:p>
    <w:p w14:paraId="300A3D39" w14:textId="77777777" w:rsidR="00DC1320" w:rsidRPr="00DC1320" w:rsidRDefault="00DC1320" w:rsidP="00DC1320">
      <w:pPr>
        <w:pStyle w:val="PlainText"/>
        <w:tabs>
          <w:tab w:val="left" w:pos="284"/>
        </w:tabs>
      </w:pPr>
      <w:r w:rsidRPr="00DC1320">
        <w:tab/>
        <w:t>recommendation  8, 25</w:t>
      </w:r>
    </w:p>
    <w:p w14:paraId="13DB7A5E" w14:textId="77777777" w:rsidR="00DC1320" w:rsidRPr="00DC1320" w:rsidRDefault="00DC1320" w:rsidP="00DC1320">
      <w:pPr>
        <w:pStyle w:val="PlainText"/>
        <w:tabs>
          <w:tab w:val="left" w:pos="284"/>
        </w:tabs>
      </w:pPr>
      <w:r w:rsidRPr="00DC1320">
        <w:tab/>
        <w:t>transparency and consistency, promoting  10</w:t>
      </w:r>
    </w:p>
    <w:p w14:paraId="65F226A3" w14:textId="77777777" w:rsidR="00DC1320" w:rsidRPr="00DC1320" w:rsidRDefault="00DC1320" w:rsidP="00DC1320">
      <w:pPr>
        <w:pStyle w:val="PlainText"/>
        <w:tabs>
          <w:tab w:val="left" w:pos="284"/>
        </w:tabs>
      </w:pPr>
      <w:r w:rsidRPr="00DC1320">
        <w:t>National Health and Climate Strategy  123, 125</w:t>
      </w:r>
    </w:p>
    <w:p w14:paraId="15C127CA" w14:textId="77777777" w:rsidR="00DC1320" w:rsidRPr="00DC1320" w:rsidRDefault="00DC1320" w:rsidP="00DC1320">
      <w:pPr>
        <w:pStyle w:val="PlainText"/>
        <w:tabs>
          <w:tab w:val="left" w:pos="284"/>
        </w:tabs>
      </w:pPr>
      <w:r w:rsidRPr="00DC1320">
        <w:t>noise protection  103</w:t>
      </w:r>
    </w:p>
    <w:p w14:paraId="2E202B6D" w14:textId="77777777" w:rsidR="00DC1320" w:rsidRPr="00DC1320" w:rsidRDefault="00DC1320" w:rsidP="00DC1320">
      <w:pPr>
        <w:pStyle w:val="PlainText"/>
        <w:tabs>
          <w:tab w:val="left" w:pos="284"/>
        </w:tabs>
      </w:pPr>
      <w:r w:rsidRPr="00DC1320">
        <w:t>non-disclosure agreements  83–4</w:t>
      </w:r>
    </w:p>
    <w:p w14:paraId="232ED389" w14:textId="77777777" w:rsidR="00DC1320" w:rsidRPr="00DC1320" w:rsidRDefault="00DC1320" w:rsidP="00DC1320">
      <w:pPr>
        <w:pStyle w:val="PlainText"/>
        <w:tabs>
          <w:tab w:val="left" w:pos="284"/>
        </w:tabs>
      </w:pPr>
      <w:r w:rsidRPr="00DC1320">
        <w:tab/>
        <w:t>recommendation to limit use  9, 84</w:t>
      </w:r>
    </w:p>
    <w:p w14:paraId="5675E790" w14:textId="77777777" w:rsidR="00DC1320" w:rsidRPr="00DC1320" w:rsidRDefault="00DC1320" w:rsidP="00DC1320">
      <w:pPr>
        <w:pStyle w:val="PlainText"/>
        <w:tabs>
          <w:tab w:val="left" w:pos="284"/>
        </w:tabs>
      </w:pPr>
    </w:p>
    <w:p w14:paraId="04417361" w14:textId="77777777" w:rsidR="00DC1320" w:rsidRPr="00DC1320" w:rsidRDefault="00DC1320" w:rsidP="00DC1320">
      <w:pPr>
        <w:pStyle w:val="PlainText"/>
        <w:tabs>
          <w:tab w:val="left" w:pos="284"/>
        </w:tabs>
        <w:rPr>
          <w:b/>
          <w:bCs/>
        </w:rPr>
      </w:pPr>
      <w:r w:rsidRPr="00DC1320">
        <w:rPr>
          <w:b/>
          <w:bCs/>
        </w:rPr>
        <w:t>O</w:t>
      </w:r>
    </w:p>
    <w:p w14:paraId="5DF41193" w14:textId="77777777" w:rsidR="00DC1320" w:rsidRPr="00DC1320" w:rsidRDefault="00DC1320" w:rsidP="00DC1320">
      <w:pPr>
        <w:pStyle w:val="PlainText"/>
        <w:tabs>
          <w:tab w:val="left" w:pos="284"/>
        </w:tabs>
      </w:pPr>
      <w:r w:rsidRPr="00DC1320">
        <w:t>offences and penalties  11, 85–90</w:t>
      </w:r>
    </w:p>
    <w:p w14:paraId="77531D39" w14:textId="77777777" w:rsidR="00DC1320" w:rsidRPr="00DC1320" w:rsidRDefault="00DC1320" w:rsidP="00DC1320">
      <w:pPr>
        <w:pStyle w:val="PlainText"/>
        <w:tabs>
          <w:tab w:val="left" w:pos="284"/>
        </w:tabs>
      </w:pPr>
      <w:r w:rsidRPr="00DC1320">
        <w:tab/>
        <w:t>alternative verdicts  11, 82, 150</w:t>
      </w:r>
    </w:p>
    <w:p w14:paraId="4A951854" w14:textId="77777777" w:rsidR="00DC1320" w:rsidRPr="00DC1320" w:rsidRDefault="00DC1320" w:rsidP="00DC1320">
      <w:pPr>
        <w:pStyle w:val="PlainText"/>
        <w:tabs>
          <w:tab w:val="left" w:pos="284"/>
        </w:tabs>
      </w:pPr>
      <w:r w:rsidRPr="00DC1320">
        <w:tab/>
        <w:t>case law  187–90</w:t>
      </w:r>
    </w:p>
    <w:p w14:paraId="54D33BD6" w14:textId="77777777" w:rsidR="00DC1320" w:rsidRPr="00DC1320" w:rsidRDefault="00DC1320" w:rsidP="00DC1320">
      <w:pPr>
        <w:pStyle w:val="PlainText"/>
        <w:tabs>
          <w:tab w:val="left" w:pos="284"/>
        </w:tabs>
      </w:pPr>
      <w:r w:rsidRPr="00DC1320">
        <w:tab/>
        <w:t>employer survey results  183</w:t>
      </w:r>
    </w:p>
    <w:p w14:paraId="46AB5B1B" w14:textId="77777777" w:rsidR="00DC1320" w:rsidRPr="00DC1320" w:rsidRDefault="00DC1320" w:rsidP="00DC1320">
      <w:pPr>
        <w:pStyle w:val="PlainText"/>
        <w:tabs>
          <w:tab w:val="left" w:pos="284"/>
        </w:tabs>
      </w:pPr>
      <w:r w:rsidRPr="00DC1320">
        <w:tab/>
        <w:t>industrial manslaughter  85–6, 89</w:t>
      </w:r>
    </w:p>
    <w:p w14:paraId="36D2F6E5" w14:textId="77777777" w:rsidR="00DC1320" w:rsidRPr="00DC1320" w:rsidRDefault="00DC1320" w:rsidP="00DC1320">
      <w:pPr>
        <w:pStyle w:val="PlainText"/>
        <w:tabs>
          <w:tab w:val="left" w:pos="284"/>
        </w:tabs>
      </w:pPr>
      <w:r w:rsidRPr="00DC1320">
        <w:tab/>
        <w:t>large corporations, penalties for  11, 89–90</w:t>
      </w:r>
    </w:p>
    <w:p w14:paraId="56569219" w14:textId="77777777" w:rsidR="00DC1320" w:rsidRPr="00DC1320" w:rsidRDefault="00DC1320" w:rsidP="00DC1320">
      <w:pPr>
        <w:pStyle w:val="PlainText"/>
        <w:tabs>
          <w:tab w:val="left" w:pos="284"/>
        </w:tabs>
      </w:pPr>
      <w:r w:rsidRPr="00DC1320">
        <w:tab/>
        <w:t>review findings  86, 87</w:t>
      </w:r>
    </w:p>
    <w:p w14:paraId="522F99EE" w14:textId="77777777" w:rsidR="00DC1320" w:rsidRPr="00DC1320" w:rsidRDefault="00DC1320" w:rsidP="00DC1320">
      <w:pPr>
        <w:pStyle w:val="PlainText"/>
        <w:tabs>
          <w:tab w:val="left" w:pos="284"/>
        </w:tabs>
      </w:pPr>
      <w:r w:rsidRPr="00DC1320">
        <w:tab/>
        <w:t>sanctions  163–5</w:t>
      </w:r>
    </w:p>
    <w:p w14:paraId="073118EE" w14:textId="77777777" w:rsidR="00DC1320" w:rsidRPr="00DC1320" w:rsidRDefault="00DC1320" w:rsidP="00DC1320">
      <w:pPr>
        <w:pStyle w:val="PlainText"/>
        <w:tabs>
          <w:tab w:val="left" w:pos="284"/>
        </w:tabs>
      </w:pPr>
      <w:r w:rsidRPr="00DC1320">
        <w:tab/>
        <w:t>sentencing  11, 86–8</w:t>
      </w:r>
    </w:p>
    <w:p w14:paraId="0196114C" w14:textId="77777777" w:rsidR="00DC1320" w:rsidRPr="00DC1320" w:rsidRDefault="00DC1320" w:rsidP="00DC1320">
      <w:pPr>
        <w:pStyle w:val="PlainText"/>
        <w:tabs>
          <w:tab w:val="left" w:pos="284"/>
        </w:tabs>
      </w:pPr>
      <w:r w:rsidRPr="00DC1320">
        <w:tab/>
        <w:t>variations in penalties  86–7</w:t>
      </w:r>
    </w:p>
    <w:p w14:paraId="752231E0" w14:textId="77777777" w:rsidR="00DC1320" w:rsidRPr="00DC1320" w:rsidRDefault="00DC1320" w:rsidP="00DC1320">
      <w:pPr>
        <w:pStyle w:val="PlainText"/>
        <w:tabs>
          <w:tab w:val="left" w:pos="284"/>
        </w:tabs>
      </w:pPr>
      <w:r w:rsidRPr="00DC1320">
        <w:t>offshore oil and gas industry safety frameworks  29, 137</w:t>
      </w:r>
    </w:p>
    <w:p w14:paraId="3BE05118" w14:textId="77777777" w:rsidR="00DC1320" w:rsidRPr="00DC1320" w:rsidRDefault="00DC1320" w:rsidP="00DC1320">
      <w:pPr>
        <w:pStyle w:val="PlainText"/>
        <w:tabs>
          <w:tab w:val="left" w:pos="284"/>
        </w:tabs>
      </w:pPr>
      <w:r w:rsidRPr="00DC1320">
        <w:t>onshore oil and gas industry  137</w:t>
      </w:r>
    </w:p>
    <w:p w14:paraId="2793C855" w14:textId="77777777" w:rsidR="00DC1320" w:rsidRPr="00DC1320" w:rsidRDefault="00DC1320" w:rsidP="00DC1320">
      <w:pPr>
        <w:pStyle w:val="PlainText"/>
        <w:tabs>
          <w:tab w:val="left" w:pos="284"/>
        </w:tabs>
      </w:pPr>
      <w:r w:rsidRPr="00DC1320">
        <w:t>overhead facilities  108</w:t>
      </w:r>
    </w:p>
    <w:p w14:paraId="6B792AB6" w14:textId="77777777" w:rsidR="00DC1320" w:rsidRPr="00DC1320" w:rsidRDefault="00DC1320" w:rsidP="00DC1320">
      <w:pPr>
        <w:pStyle w:val="PlainText"/>
        <w:tabs>
          <w:tab w:val="left" w:pos="284"/>
        </w:tabs>
      </w:pPr>
      <w:r w:rsidRPr="00DC1320">
        <w:t>overlapping safety frameworks  27–30, 135–41</w:t>
      </w:r>
    </w:p>
    <w:p w14:paraId="22686D0C" w14:textId="77777777" w:rsidR="00DC1320" w:rsidRPr="00DC1320" w:rsidRDefault="00DC1320" w:rsidP="00DC1320">
      <w:pPr>
        <w:pStyle w:val="PlainText"/>
        <w:tabs>
          <w:tab w:val="left" w:pos="284"/>
        </w:tabs>
      </w:pPr>
      <w:r w:rsidRPr="00DC1320">
        <w:tab/>
        <w:t>accreditation  139</w:t>
      </w:r>
    </w:p>
    <w:p w14:paraId="1B2C329D" w14:textId="77777777" w:rsidR="00DC1320" w:rsidRPr="00DC1320" w:rsidRDefault="00DC1320" w:rsidP="00DC1320">
      <w:pPr>
        <w:pStyle w:val="PlainText"/>
        <w:tabs>
          <w:tab w:val="left" w:pos="284"/>
        </w:tabs>
      </w:pPr>
      <w:r w:rsidRPr="00DC1320">
        <w:tab/>
        <w:t>anti-discrimination frameworks  140–1</w:t>
      </w:r>
    </w:p>
    <w:p w14:paraId="099E6EEE" w14:textId="77777777" w:rsidR="00DC1320" w:rsidRPr="00DC1320" w:rsidRDefault="00DC1320" w:rsidP="00DC1320">
      <w:pPr>
        <w:pStyle w:val="PlainText"/>
        <w:tabs>
          <w:tab w:val="left" w:pos="284"/>
        </w:tabs>
      </w:pPr>
      <w:r w:rsidRPr="00DC1320">
        <w:tab/>
        <w:t>aviation  27, 138</w:t>
      </w:r>
    </w:p>
    <w:p w14:paraId="1E12554A" w14:textId="77777777" w:rsidR="00DC1320" w:rsidRPr="00DC1320" w:rsidRDefault="00DC1320" w:rsidP="00DC1320">
      <w:pPr>
        <w:pStyle w:val="PlainText"/>
        <w:tabs>
          <w:tab w:val="left" w:pos="284"/>
        </w:tabs>
      </w:pPr>
      <w:r w:rsidRPr="00DC1320">
        <w:tab/>
        <w:t>dangerous goods  27, 139</w:t>
      </w:r>
    </w:p>
    <w:p w14:paraId="405EAD88" w14:textId="77777777" w:rsidR="00DC1320" w:rsidRPr="00DC1320" w:rsidRDefault="00DC1320" w:rsidP="00DC1320">
      <w:pPr>
        <w:pStyle w:val="PlainText"/>
        <w:tabs>
          <w:tab w:val="left" w:pos="284"/>
        </w:tabs>
      </w:pPr>
      <w:r w:rsidRPr="00DC1320">
        <w:tab/>
        <w:t>diving  139</w:t>
      </w:r>
    </w:p>
    <w:p w14:paraId="0B341659" w14:textId="77777777" w:rsidR="00DC1320" w:rsidRPr="00DC1320" w:rsidRDefault="00DC1320" w:rsidP="00DC1320">
      <w:pPr>
        <w:pStyle w:val="PlainText"/>
        <w:tabs>
          <w:tab w:val="left" w:pos="284"/>
        </w:tabs>
      </w:pPr>
      <w:r w:rsidRPr="00DC1320">
        <w:tab/>
        <w:t>electrical safety  139</w:t>
      </w:r>
    </w:p>
    <w:p w14:paraId="684A02EF" w14:textId="77777777" w:rsidR="00DC1320" w:rsidRPr="00DC1320" w:rsidRDefault="00DC1320" w:rsidP="00DC1320">
      <w:pPr>
        <w:pStyle w:val="PlainText"/>
        <w:tabs>
          <w:tab w:val="left" w:pos="284"/>
        </w:tabs>
      </w:pPr>
      <w:r w:rsidRPr="00DC1320">
        <w:tab/>
        <w:t>Fair Work Act  140</w:t>
      </w:r>
    </w:p>
    <w:p w14:paraId="7A5F8A46" w14:textId="77777777" w:rsidR="00DC1320" w:rsidRPr="00DC1320" w:rsidRDefault="00DC1320" w:rsidP="00DC1320">
      <w:pPr>
        <w:pStyle w:val="PlainText"/>
        <w:tabs>
          <w:tab w:val="left" w:pos="284"/>
        </w:tabs>
      </w:pPr>
      <w:r w:rsidRPr="00DC1320">
        <w:tab/>
        <w:t>harmonisation of  11, 27–30</w:t>
      </w:r>
    </w:p>
    <w:p w14:paraId="3E489E82" w14:textId="77777777" w:rsidR="00DC1320" w:rsidRPr="00DC1320" w:rsidRDefault="00DC1320" w:rsidP="00DC1320">
      <w:pPr>
        <w:pStyle w:val="PlainText"/>
        <w:tabs>
          <w:tab w:val="left" w:pos="284"/>
        </w:tabs>
      </w:pPr>
      <w:r w:rsidRPr="00DC1320">
        <w:tab/>
        <w:t>hazard-specific frameworks  139</w:t>
      </w:r>
    </w:p>
    <w:p w14:paraId="02F5BD78" w14:textId="77777777" w:rsidR="00DC1320" w:rsidRPr="00DC1320" w:rsidRDefault="00DC1320" w:rsidP="00DC1320">
      <w:pPr>
        <w:pStyle w:val="PlainText"/>
        <w:tabs>
          <w:tab w:val="left" w:pos="284"/>
        </w:tabs>
      </w:pPr>
      <w:r w:rsidRPr="00DC1320">
        <w:tab/>
        <w:t>heavy vehicles and rail  27, 138</w:t>
      </w:r>
    </w:p>
    <w:p w14:paraId="287248B6" w14:textId="77777777" w:rsidR="00DC1320" w:rsidRPr="00DC1320" w:rsidRDefault="00DC1320" w:rsidP="00DC1320">
      <w:pPr>
        <w:pStyle w:val="PlainText"/>
        <w:tabs>
          <w:tab w:val="left" w:pos="284"/>
        </w:tabs>
      </w:pPr>
      <w:r w:rsidRPr="00DC1320">
        <w:tab/>
        <w:t>industry-specific frameworks  135–8</w:t>
      </w:r>
    </w:p>
    <w:p w14:paraId="435C36BA" w14:textId="77777777" w:rsidR="00DC1320" w:rsidRPr="00DC1320" w:rsidRDefault="00DC1320" w:rsidP="00DC1320">
      <w:pPr>
        <w:pStyle w:val="PlainText"/>
        <w:tabs>
          <w:tab w:val="left" w:pos="284"/>
        </w:tabs>
      </w:pPr>
      <w:r w:rsidRPr="00DC1320">
        <w:tab/>
        <w:t>maritime industry  27, 28, 136</w:t>
      </w:r>
    </w:p>
    <w:p w14:paraId="43AC486C" w14:textId="77777777" w:rsidR="00DC1320" w:rsidRPr="00DC1320" w:rsidRDefault="00DC1320" w:rsidP="00DC1320">
      <w:pPr>
        <w:pStyle w:val="PlainText"/>
        <w:tabs>
          <w:tab w:val="left" w:pos="284"/>
        </w:tabs>
      </w:pPr>
      <w:r w:rsidRPr="00DC1320">
        <w:tab/>
        <w:t>mining industry  27, 28, 135</w:t>
      </w:r>
    </w:p>
    <w:p w14:paraId="436342AF" w14:textId="77777777" w:rsidR="00DC1320" w:rsidRPr="00DC1320" w:rsidRDefault="00DC1320" w:rsidP="00DC1320">
      <w:pPr>
        <w:pStyle w:val="PlainText"/>
        <w:tabs>
          <w:tab w:val="left" w:pos="284"/>
        </w:tabs>
      </w:pPr>
      <w:r w:rsidRPr="00DC1320">
        <w:tab/>
        <w:t>offshore oil and gas industry  29, 137</w:t>
      </w:r>
    </w:p>
    <w:p w14:paraId="5201F92F" w14:textId="77777777" w:rsidR="00DC1320" w:rsidRPr="00DC1320" w:rsidRDefault="00DC1320" w:rsidP="00DC1320">
      <w:pPr>
        <w:pStyle w:val="PlainText"/>
        <w:tabs>
          <w:tab w:val="left" w:pos="284"/>
        </w:tabs>
      </w:pPr>
      <w:r w:rsidRPr="00DC1320">
        <w:tab/>
        <w:t>onshore oil and gas industry  137</w:t>
      </w:r>
    </w:p>
    <w:p w14:paraId="30C15019" w14:textId="77777777" w:rsidR="00DC1320" w:rsidRPr="00DC1320" w:rsidRDefault="00DC1320" w:rsidP="00DC1320">
      <w:pPr>
        <w:pStyle w:val="PlainText"/>
        <w:tabs>
          <w:tab w:val="left" w:pos="284"/>
        </w:tabs>
      </w:pPr>
      <w:r w:rsidRPr="00DC1320">
        <w:tab/>
        <w:t>transport industries  27, 138</w:t>
      </w:r>
    </w:p>
    <w:p w14:paraId="032AA8A0" w14:textId="77777777" w:rsidR="00DC1320" w:rsidRPr="00DC1320" w:rsidRDefault="00DC1320" w:rsidP="00DC1320">
      <w:pPr>
        <w:pStyle w:val="PlainText"/>
        <w:tabs>
          <w:tab w:val="left" w:pos="284"/>
        </w:tabs>
      </w:pPr>
    </w:p>
    <w:p w14:paraId="1693B7ED" w14:textId="77777777" w:rsidR="00DC1320" w:rsidRPr="00DC1320" w:rsidRDefault="00DC1320" w:rsidP="00DC1320">
      <w:pPr>
        <w:pStyle w:val="PlainText"/>
        <w:tabs>
          <w:tab w:val="left" w:pos="284"/>
        </w:tabs>
        <w:rPr>
          <w:b/>
          <w:bCs/>
        </w:rPr>
      </w:pPr>
      <w:r w:rsidRPr="00DC1320">
        <w:rPr>
          <w:b/>
          <w:bCs/>
        </w:rPr>
        <w:t>P</w:t>
      </w:r>
    </w:p>
    <w:p w14:paraId="3C03C29C" w14:textId="77777777" w:rsidR="00DC1320" w:rsidRPr="00DC1320" w:rsidRDefault="00DC1320" w:rsidP="00DC1320">
      <w:pPr>
        <w:pStyle w:val="PlainText"/>
        <w:tabs>
          <w:tab w:val="left" w:pos="284"/>
        </w:tabs>
      </w:pPr>
      <w:r w:rsidRPr="00DC1320">
        <w:t>participation see consultation, representation and participation</w:t>
      </w:r>
    </w:p>
    <w:p w14:paraId="774DBE66" w14:textId="77777777" w:rsidR="00DC1320" w:rsidRPr="00DC1320" w:rsidRDefault="00DC1320" w:rsidP="00DC1320">
      <w:pPr>
        <w:pStyle w:val="PlainText"/>
        <w:tabs>
          <w:tab w:val="left" w:pos="284"/>
        </w:tabs>
      </w:pPr>
      <w:r w:rsidRPr="00DC1320">
        <w:t>penalties see offences and penalties</w:t>
      </w:r>
    </w:p>
    <w:p w14:paraId="7C8E4630" w14:textId="77777777" w:rsidR="00DC1320" w:rsidRPr="00DC1320" w:rsidRDefault="00DC1320" w:rsidP="00DC1320">
      <w:pPr>
        <w:pStyle w:val="PlainText"/>
        <w:tabs>
          <w:tab w:val="left" w:pos="284"/>
        </w:tabs>
      </w:pPr>
      <w:r w:rsidRPr="00DC1320">
        <w:t>provisional improvement notices  50–1</w:t>
      </w:r>
    </w:p>
    <w:p w14:paraId="79279872" w14:textId="77777777" w:rsidR="00DC1320" w:rsidRPr="00DC1320" w:rsidRDefault="00DC1320" w:rsidP="00DC1320">
      <w:pPr>
        <w:pStyle w:val="PlainText"/>
        <w:tabs>
          <w:tab w:val="left" w:pos="284"/>
        </w:tabs>
      </w:pPr>
      <w:r w:rsidRPr="00DC1320">
        <w:t>psychological injury  18, 102, 127, 154</w:t>
      </w:r>
    </w:p>
    <w:p w14:paraId="7F1034BD" w14:textId="77777777" w:rsidR="00DC1320" w:rsidRPr="00DC1320" w:rsidRDefault="00DC1320" w:rsidP="00DC1320">
      <w:pPr>
        <w:pStyle w:val="PlainText"/>
        <w:tabs>
          <w:tab w:val="left" w:pos="284"/>
        </w:tabs>
      </w:pPr>
      <w:r w:rsidRPr="00DC1320">
        <w:tab/>
        <w:t>harmful workplace behaviours  10, 127–31</w:t>
      </w:r>
    </w:p>
    <w:p w14:paraId="2BC42315" w14:textId="77777777" w:rsidR="00DC1320" w:rsidRPr="00DC1320" w:rsidRDefault="00DC1320" w:rsidP="00DC1320">
      <w:pPr>
        <w:pStyle w:val="PlainText"/>
        <w:tabs>
          <w:tab w:val="left" w:pos="284"/>
        </w:tabs>
      </w:pPr>
      <w:r w:rsidRPr="00DC1320">
        <w:tab/>
        <w:t>model WHS Regulations, modernisation  113</w:t>
      </w:r>
    </w:p>
    <w:p w14:paraId="1E82B02D" w14:textId="77777777" w:rsidR="00DC1320" w:rsidRPr="00DC1320" w:rsidRDefault="00DC1320" w:rsidP="00DC1320">
      <w:pPr>
        <w:pStyle w:val="PlainText"/>
        <w:tabs>
          <w:tab w:val="left" w:pos="284"/>
        </w:tabs>
      </w:pPr>
      <w:r w:rsidRPr="00DC1320">
        <w:tab/>
        <w:t>psychosocial regulations  127–31</w:t>
      </w:r>
    </w:p>
    <w:p w14:paraId="16AD7622" w14:textId="77777777" w:rsidR="00DC1320" w:rsidRPr="00DC1320" w:rsidRDefault="00DC1320" w:rsidP="00DC1320">
      <w:pPr>
        <w:pStyle w:val="PlainText"/>
        <w:tabs>
          <w:tab w:val="left" w:pos="284"/>
        </w:tabs>
      </w:pPr>
      <w:r w:rsidRPr="00DC1320">
        <w:tab/>
        <w:t>variations not recommended for adoption  102</w:t>
      </w:r>
    </w:p>
    <w:p w14:paraId="1799AA48" w14:textId="77777777" w:rsidR="00DC1320" w:rsidRPr="00DC1320" w:rsidRDefault="00DC1320" w:rsidP="00DC1320">
      <w:pPr>
        <w:pStyle w:val="PlainText"/>
        <w:tabs>
          <w:tab w:val="left" w:pos="284"/>
        </w:tabs>
      </w:pPr>
      <w:r w:rsidRPr="00DC1320">
        <w:tab/>
        <w:t>workers compensation claims  18, 77, 127</w:t>
      </w:r>
    </w:p>
    <w:p w14:paraId="7D263AE8" w14:textId="77777777" w:rsidR="00DC1320" w:rsidRPr="00DC1320" w:rsidRDefault="00DC1320" w:rsidP="00DC1320">
      <w:pPr>
        <w:pStyle w:val="PlainText"/>
        <w:tabs>
          <w:tab w:val="left" w:pos="284"/>
        </w:tabs>
      </w:pPr>
      <w:r w:rsidRPr="00DC1320">
        <w:t>psychosocial hazards  6, 38, 127–31, 154</w:t>
      </w:r>
    </w:p>
    <w:p w14:paraId="3EAEE3AC" w14:textId="77777777" w:rsidR="00DC1320" w:rsidRPr="00DC1320" w:rsidRDefault="00DC1320" w:rsidP="00DC1320">
      <w:pPr>
        <w:pStyle w:val="PlainText"/>
        <w:tabs>
          <w:tab w:val="left" w:pos="284"/>
        </w:tabs>
      </w:pPr>
      <w:r w:rsidRPr="00DC1320">
        <w:tab/>
        <w:t>Code of Practice  128</w:t>
      </w:r>
    </w:p>
    <w:p w14:paraId="56610E08" w14:textId="77777777" w:rsidR="00DC1320" w:rsidRPr="00DC1320" w:rsidRDefault="00DC1320" w:rsidP="00DC1320">
      <w:pPr>
        <w:pStyle w:val="PlainText"/>
        <w:tabs>
          <w:tab w:val="left" w:pos="284"/>
        </w:tabs>
      </w:pPr>
      <w:r w:rsidRPr="00DC1320">
        <w:tab/>
        <w:t>employer survey results  181</w:t>
      </w:r>
    </w:p>
    <w:p w14:paraId="64642CDC" w14:textId="77777777" w:rsidR="00DC1320" w:rsidRPr="00DC1320" w:rsidRDefault="00DC1320" w:rsidP="00DC1320">
      <w:pPr>
        <w:pStyle w:val="PlainText"/>
        <w:tabs>
          <w:tab w:val="left" w:pos="284"/>
        </w:tabs>
      </w:pPr>
      <w:r w:rsidRPr="00DC1320">
        <w:tab/>
        <w:t>harmful workplace behaviours  10, 127–31</w:t>
      </w:r>
    </w:p>
    <w:p w14:paraId="7219D999" w14:textId="77777777" w:rsidR="00DC1320" w:rsidRPr="00DC1320" w:rsidRDefault="00DC1320" w:rsidP="00DC1320">
      <w:pPr>
        <w:pStyle w:val="PlainText"/>
        <w:tabs>
          <w:tab w:val="left" w:pos="284"/>
        </w:tabs>
      </w:pPr>
      <w:r w:rsidRPr="00DC1320">
        <w:t>psychosocial regulations  127–31</w:t>
      </w:r>
    </w:p>
    <w:p w14:paraId="64BDAF14" w14:textId="77777777" w:rsidR="00DC1320" w:rsidRPr="00DC1320" w:rsidRDefault="00DC1320" w:rsidP="00DC1320">
      <w:pPr>
        <w:pStyle w:val="PlainText"/>
        <w:tabs>
          <w:tab w:val="left" w:pos="284"/>
        </w:tabs>
      </w:pPr>
    </w:p>
    <w:p w14:paraId="5BF26CB4" w14:textId="77777777" w:rsidR="00DC1320" w:rsidRPr="00DC1320" w:rsidRDefault="00DC1320" w:rsidP="00DC1320">
      <w:pPr>
        <w:pStyle w:val="PlainText"/>
        <w:tabs>
          <w:tab w:val="left" w:pos="284"/>
        </w:tabs>
        <w:rPr>
          <w:b/>
          <w:bCs/>
        </w:rPr>
      </w:pPr>
      <w:r w:rsidRPr="00DC1320">
        <w:rPr>
          <w:b/>
          <w:bCs/>
        </w:rPr>
        <w:t>Q</w:t>
      </w:r>
    </w:p>
    <w:p w14:paraId="7E411871" w14:textId="77777777" w:rsidR="00DC1320" w:rsidRPr="00DC1320" w:rsidRDefault="00DC1320" w:rsidP="00DC1320">
      <w:pPr>
        <w:pStyle w:val="PlainText"/>
        <w:tabs>
          <w:tab w:val="left" w:pos="284"/>
        </w:tabs>
      </w:pPr>
      <w:r w:rsidRPr="00DC1320">
        <w:t>quad bike safety  110</w:t>
      </w:r>
    </w:p>
    <w:p w14:paraId="2253AC33" w14:textId="77777777" w:rsidR="00DC1320" w:rsidRPr="00DC1320" w:rsidRDefault="00DC1320" w:rsidP="00DC1320">
      <w:pPr>
        <w:pStyle w:val="PlainText"/>
        <w:tabs>
          <w:tab w:val="left" w:pos="284"/>
        </w:tabs>
      </w:pPr>
    </w:p>
    <w:p w14:paraId="7F01F1D2" w14:textId="77777777" w:rsidR="00DC1320" w:rsidRPr="00DC1320" w:rsidRDefault="00DC1320" w:rsidP="00DC1320">
      <w:pPr>
        <w:pStyle w:val="PlainText"/>
        <w:tabs>
          <w:tab w:val="left" w:pos="284"/>
        </w:tabs>
        <w:rPr>
          <w:b/>
          <w:bCs/>
        </w:rPr>
      </w:pPr>
      <w:r w:rsidRPr="00DC1320">
        <w:rPr>
          <w:b/>
          <w:bCs/>
        </w:rPr>
        <w:t>R</w:t>
      </w:r>
    </w:p>
    <w:p w14:paraId="08A70891" w14:textId="77777777" w:rsidR="00DC1320" w:rsidRPr="00DC1320" w:rsidRDefault="00DC1320" w:rsidP="00DC1320">
      <w:pPr>
        <w:pStyle w:val="PlainText"/>
        <w:tabs>
          <w:tab w:val="left" w:pos="284"/>
        </w:tabs>
      </w:pPr>
      <w:r w:rsidRPr="00DC1320">
        <w:t>racism  7, 127, 128, 130, 141</w:t>
      </w:r>
    </w:p>
    <w:p w14:paraId="0B005F25" w14:textId="77777777" w:rsidR="00DC1320" w:rsidRPr="00DC1320" w:rsidRDefault="00DC1320" w:rsidP="00DC1320">
      <w:pPr>
        <w:pStyle w:val="PlainText"/>
        <w:tabs>
          <w:tab w:val="left" w:pos="284"/>
        </w:tabs>
      </w:pPr>
      <w:r w:rsidRPr="00DC1320">
        <w:t>railways safety frameworks  27, 138</w:t>
      </w:r>
    </w:p>
    <w:p w14:paraId="284ED853" w14:textId="77777777" w:rsidR="00DC1320" w:rsidRPr="00DC1320" w:rsidRDefault="00DC1320" w:rsidP="00DC1320">
      <w:pPr>
        <w:pStyle w:val="PlainText"/>
        <w:tabs>
          <w:tab w:val="left" w:pos="284"/>
        </w:tabs>
      </w:pPr>
      <w:r w:rsidRPr="00DC1320">
        <w:t>recommendations summary  8–10</w:t>
      </w:r>
    </w:p>
    <w:p w14:paraId="73CD9F5F" w14:textId="77777777" w:rsidR="00DC1320" w:rsidRPr="00DC1320" w:rsidRDefault="00DC1320" w:rsidP="00DC1320">
      <w:pPr>
        <w:pStyle w:val="PlainText"/>
        <w:tabs>
          <w:tab w:val="left" w:pos="284"/>
        </w:tabs>
      </w:pPr>
      <w:r w:rsidRPr="00DC1320">
        <w:t>Reference Group  13</w:t>
      </w:r>
    </w:p>
    <w:p w14:paraId="3267FAB2" w14:textId="77777777" w:rsidR="00DC1320" w:rsidRPr="00DC1320" w:rsidRDefault="00DC1320" w:rsidP="00DC1320">
      <w:pPr>
        <w:pStyle w:val="PlainText"/>
        <w:tabs>
          <w:tab w:val="left" w:pos="284"/>
        </w:tabs>
      </w:pPr>
      <w:r w:rsidRPr="00DC1320">
        <w:t>regulators  155</w:t>
      </w:r>
    </w:p>
    <w:p w14:paraId="5A0949D1" w14:textId="77777777" w:rsidR="00DC1320" w:rsidRPr="00DC1320" w:rsidRDefault="00DC1320" w:rsidP="00DC1320">
      <w:pPr>
        <w:pStyle w:val="PlainText"/>
        <w:tabs>
          <w:tab w:val="left" w:pos="284"/>
        </w:tabs>
      </w:pPr>
      <w:r w:rsidRPr="00DC1320">
        <w:tab/>
        <w:t>capacity to prosecute matters  77</w:t>
      </w:r>
    </w:p>
    <w:p w14:paraId="3161B7E2" w14:textId="77777777" w:rsidR="00DC1320" w:rsidRPr="00DC1320" w:rsidRDefault="00DC1320" w:rsidP="00DC1320">
      <w:pPr>
        <w:pStyle w:val="PlainText"/>
        <w:tabs>
          <w:tab w:val="left" w:pos="284"/>
        </w:tabs>
      </w:pPr>
      <w:r w:rsidRPr="00DC1320">
        <w:tab/>
        <w:t>governance and independence  65</w:t>
      </w:r>
    </w:p>
    <w:p w14:paraId="0CD83498" w14:textId="77777777" w:rsidR="00DC1320" w:rsidRPr="00DC1320" w:rsidRDefault="00DC1320" w:rsidP="00DC1320">
      <w:pPr>
        <w:pStyle w:val="PlainText"/>
        <w:tabs>
          <w:tab w:val="left" w:pos="284"/>
        </w:tabs>
      </w:pPr>
      <w:r w:rsidRPr="00DC1320">
        <w:tab/>
        <w:t>jurisdictional variations  144</w:t>
      </w:r>
    </w:p>
    <w:p w14:paraId="5D665660" w14:textId="77777777" w:rsidR="00DC1320" w:rsidRPr="00DC1320" w:rsidRDefault="00DC1320" w:rsidP="00DC1320">
      <w:pPr>
        <w:pStyle w:val="PlainText"/>
        <w:tabs>
          <w:tab w:val="left" w:pos="284"/>
        </w:tabs>
      </w:pPr>
      <w:r w:rsidRPr="00DC1320">
        <w:tab/>
        <w:t>powers and functions  66–7, 144</w:t>
      </w:r>
    </w:p>
    <w:p w14:paraId="3A0C92B1" w14:textId="77777777" w:rsidR="00DC1320" w:rsidRPr="00DC1320" w:rsidRDefault="00DC1320" w:rsidP="00DC1320">
      <w:pPr>
        <w:pStyle w:val="PlainText"/>
        <w:tabs>
          <w:tab w:val="left" w:pos="284"/>
        </w:tabs>
      </w:pPr>
      <w:r w:rsidRPr="00DC1320">
        <w:tab/>
        <w:t>structure of  64–5</w:t>
      </w:r>
    </w:p>
    <w:p w14:paraId="0F6466C5" w14:textId="77777777" w:rsidR="00DC1320" w:rsidRPr="00DC1320" w:rsidRDefault="00DC1320" w:rsidP="00DC1320">
      <w:pPr>
        <w:pStyle w:val="PlainText"/>
        <w:tabs>
          <w:tab w:val="left" w:pos="284"/>
        </w:tabs>
      </w:pPr>
      <w:r w:rsidRPr="00DC1320">
        <w:tab/>
        <w:t>transparent decision-making frameworks  6</w:t>
      </w:r>
    </w:p>
    <w:p w14:paraId="19C75E93" w14:textId="77777777" w:rsidR="00DC1320" w:rsidRPr="00DC1320" w:rsidRDefault="00DC1320" w:rsidP="00DC1320">
      <w:pPr>
        <w:pStyle w:val="PlainText"/>
        <w:tabs>
          <w:tab w:val="left" w:pos="284"/>
        </w:tabs>
      </w:pPr>
      <w:r w:rsidRPr="00DC1320">
        <w:tab/>
        <w:t>tripartite arrangements  21, 64–5</w:t>
      </w:r>
    </w:p>
    <w:p w14:paraId="1083DA10" w14:textId="77777777" w:rsidR="00DC1320" w:rsidRPr="00DC1320" w:rsidRDefault="00DC1320" w:rsidP="00DC1320">
      <w:pPr>
        <w:pStyle w:val="PlainText"/>
        <w:tabs>
          <w:tab w:val="left" w:pos="284"/>
        </w:tabs>
      </w:pPr>
      <w:r w:rsidRPr="00DC1320">
        <w:t>representation see consultation, representation and participation</w:t>
      </w:r>
    </w:p>
    <w:p w14:paraId="2D51552E" w14:textId="77777777" w:rsidR="00DC1320" w:rsidRPr="00DC1320" w:rsidRDefault="00DC1320" w:rsidP="00DC1320">
      <w:pPr>
        <w:pStyle w:val="PlainText"/>
        <w:tabs>
          <w:tab w:val="left" w:pos="284"/>
        </w:tabs>
      </w:pPr>
      <w:r w:rsidRPr="00DC1320">
        <w:t>research</w:t>
      </w:r>
    </w:p>
    <w:p w14:paraId="243D967C" w14:textId="77777777" w:rsidR="00DC1320" w:rsidRPr="00DC1320" w:rsidRDefault="00DC1320" w:rsidP="00DC1320">
      <w:pPr>
        <w:pStyle w:val="PlainText"/>
        <w:tabs>
          <w:tab w:val="left" w:pos="284"/>
        </w:tabs>
      </w:pPr>
      <w:r w:rsidRPr="00DC1320">
        <w:tab/>
        <w:t>AI use  120</w:t>
      </w:r>
    </w:p>
    <w:p w14:paraId="69C2E58A" w14:textId="77777777" w:rsidR="00DC1320" w:rsidRPr="00DC1320" w:rsidRDefault="00DC1320" w:rsidP="00DC1320">
      <w:pPr>
        <w:pStyle w:val="PlainText"/>
        <w:tabs>
          <w:tab w:val="left" w:pos="284"/>
        </w:tabs>
      </w:pPr>
      <w:r w:rsidRPr="00DC1320">
        <w:tab/>
        <w:t>Safer, healthier, wealthier report  161</w:t>
      </w:r>
    </w:p>
    <w:p w14:paraId="74ECDECF" w14:textId="77777777" w:rsidR="00DC1320" w:rsidRPr="00DC1320" w:rsidRDefault="00DC1320" w:rsidP="00DC1320">
      <w:pPr>
        <w:pStyle w:val="PlainText"/>
        <w:tabs>
          <w:tab w:val="left" w:pos="284"/>
        </w:tabs>
      </w:pPr>
      <w:r w:rsidRPr="00DC1320">
        <w:tab/>
        <w:t>SWA Research and Evaluation Strategy  10, 40, 130, 131</w:t>
      </w:r>
    </w:p>
    <w:p w14:paraId="3E2C98D2" w14:textId="77777777" w:rsidR="00DC1320" w:rsidRPr="00DC1320" w:rsidRDefault="00DC1320" w:rsidP="00DC1320">
      <w:pPr>
        <w:pStyle w:val="PlainText"/>
        <w:tabs>
          <w:tab w:val="left" w:pos="284"/>
        </w:tabs>
      </w:pPr>
      <w:r w:rsidRPr="00DC1320">
        <w:t>Respect@Work national inquiry  30, 140</w:t>
      </w:r>
    </w:p>
    <w:p w14:paraId="4FEF803D" w14:textId="77777777" w:rsidR="00DC1320" w:rsidRPr="00DC1320" w:rsidRDefault="00DC1320" w:rsidP="00DC1320">
      <w:pPr>
        <w:pStyle w:val="PlainText"/>
        <w:tabs>
          <w:tab w:val="left" w:pos="284"/>
        </w:tabs>
      </w:pPr>
      <w:r w:rsidRPr="00DC1320">
        <w:t>respirable crystalline silica  107–8, 188</w:t>
      </w:r>
    </w:p>
    <w:p w14:paraId="321776BB" w14:textId="77777777" w:rsidR="00DC1320" w:rsidRPr="00DC1320" w:rsidRDefault="00DC1320" w:rsidP="00DC1320">
      <w:pPr>
        <w:pStyle w:val="PlainText"/>
        <w:tabs>
          <w:tab w:val="left" w:pos="284"/>
        </w:tabs>
      </w:pPr>
      <w:r w:rsidRPr="00DC1320">
        <w:t>review of decisions  71–3, 145</w:t>
      </w:r>
    </w:p>
    <w:p w14:paraId="18E27ACF" w14:textId="77777777" w:rsidR="00DC1320" w:rsidRDefault="00DC1320" w:rsidP="00DC1320">
      <w:pPr>
        <w:pStyle w:val="PlainText"/>
        <w:tabs>
          <w:tab w:val="left" w:pos="284"/>
        </w:tabs>
      </w:pPr>
      <w:r>
        <w:br w:type="page"/>
      </w:r>
    </w:p>
    <w:p w14:paraId="4932C437" w14:textId="3B788065" w:rsidR="00DC1320" w:rsidRPr="00DC1320" w:rsidRDefault="00DC1320" w:rsidP="00DC1320">
      <w:pPr>
        <w:pStyle w:val="PlainText"/>
        <w:tabs>
          <w:tab w:val="left" w:pos="284"/>
        </w:tabs>
      </w:pPr>
      <w:r w:rsidRPr="00DC1320">
        <w:lastRenderedPageBreak/>
        <w:t>right of entry  59–62, 143</w:t>
      </w:r>
    </w:p>
    <w:p w14:paraId="3B9E5B7B" w14:textId="77777777" w:rsidR="00DC1320" w:rsidRPr="00DC1320" w:rsidRDefault="00DC1320" w:rsidP="00DC1320">
      <w:pPr>
        <w:pStyle w:val="PlainText"/>
        <w:tabs>
          <w:tab w:val="left" w:pos="284"/>
        </w:tabs>
      </w:pPr>
      <w:r w:rsidRPr="00DC1320">
        <w:tab/>
        <w:t>best practice jurisdictional variations  62</w:t>
      </w:r>
    </w:p>
    <w:p w14:paraId="45284DEF" w14:textId="77777777" w:rsidR="00DC1320" w:rsidRPr="00DC1320" w:rsidRDefault="00DC1320" w:rsidP="00DC1320">
      <w:pPr>
        <w:pStyle w:val="PlainText"/>
        <w:tabs>
          <w:tab w:val="left" w:pos="284"/>
        </w:tabs>
      </w:pPr>
      <w:r w:rsidRPr="00DC1320">
        <w:tab/>
        <w:t>entry permit holder (EPH)  50, 51, 59–62</w:t>
      </w:r>
    </w:p>
    <w:p w14:paraId="364291E8" w14:textId="77777777" w:rsidR="00DC1320" w:rsidRPr="00DC1320" w:rsidRDefault="00DC1320" w:rsidP="00DC1320">
      <w:pPr>
        <w:pStyle w:val="PlainText"/>
        <w:tabs>
          <w:tab w:val="left" w:pos="284"/>
        </w:tabs>
      </w:pPr>
      <w:r w:rsidRPr="00DC1320">
        <w:tab/>
        <w:t>Fair Work Act framework  140</w:t>
      </w:r>
    </w:p>
    <w:p w14:paraId="32E44115" w14:textId="77777777" w:rsidR="00DC1320" w:rsidRPr="00DC1320" w:rsidRDefault="00DC1320" w:rsidP="00DC1320">
      <w:pPr>
        <w:pStyle w:val="PlainText"/>
        <w:tabs>
          <w:tab w:val="left" w:pos="284"/>
        </w:tabs>
      </w:pPr>
      <w:r w:rsidRPr="00DC1320">
        <w:tab/>
        <w:t>jurisdictional variations  143</w:t>
      </w:r>
    </w:p>
    <w:p w14:paraId="79A18743" w14:textId="77777777" w:rsidR="00DC1320" w:rsidRPr="00DC1320" w:rsidRDefault="00DC1320" w:rsidP="00DC1320">
      <w:pPr>
        <w:pStyle w:val="PlainText"/>
        <w:tabs>
          <w:tab w:val="left" w:pos="284"/>
        </w:tabs>
      </w:pPr>
      <w:r w:rsidRPr="00DC1320">
        <w:tab/>
        <w:t>recommendations  62</w:t>
      </w:r>
    </w:p>
    <w:p w14:paraId="44CEFDDD" w14:textId="77777777" w:rsidR="00DC1320" w:rsidRPr="00DC1320" w:rsidRDefault="00DC1320" w:rsidP="00DC1320">
      <w:pPr>
        <w:pStyle w:val="PlainText"/>
        <w:tabs>
          <w:tab w:val="left" w:pos="284"/>
        </w:tabs>
      </w:pPr>
      <w:r w:rsidRPr="00DC1320">
        <w:tab/>
        <w:t>review findings  60</w:t>
      </w:r>
    </w:p>
    <w:p w14:paraId="53EDF01C" w14:textId="77777777" w:rsidR="00DC1320" w:rsidRPr="00DC1320" w:rsidRDefault="00DC1320" w:rsidP="00DC1320">
      <w:pPr>
        <w:pStyle w:val="PlainText"/>
        <w:tabs>
          <w:tab w:val="left" w:pos="284"/>
        </w:tabs>
      </w:pPr>
      <w:r w:rsidRPr="00DC1320">
        <w:tab/>
        <w:t>unions  59–62</w:t>
      </w:r>
    </w:p>
    <w:p w14:paraId="6A21406E" w14:textId="77777777" w:rsidR="00DC1320" w:rsidRPr="00DC1320" w:rsidRDefault="00DC1320" w:rsidP="00DC1320">
      <w:pPr>
        <w:pStyle w:val="PlainText"/>
        <w:tabs>
          <w:tab w:val="left" w:pos="284"/>
        </w:tabs>
      </w:pPr>
      <w:r w:rsidRPr="00DC1320">
        <w:t>risk management  8, 35</w:t>
      </w:r>
    </w:p>
    <w:p w14:paraId="18B1A922" w14:textId="77777777" w:rsidR="00DC1320" w:rsidRPr="00DC1320" w:rsidRDefault="00DC1320" w:rsidP="00DC1320">
      <w:pPr>
        <w:pStyle w:val="PlainText"/>
        <w:tabs>
          <w:tab w:val="left" w:pos="284"/>
        </w:tabs>
      </w:pPr>
      <w:r w:rsidRPr="00DC1320">
        <w:tab/>
        <w:t>health and safety duties  35</w:t>
      </w:r>
    </w:p>
    <w:p w14:paraId="72B249C7" w14:textId="77777777" w:rsidR="00DC1320" w:rsidRPr="00DC1320" w:rsidRDefault="00DC1320" w:rsidP="00DC1320">
      <w:pPr>
        <w:pStyle w:val="PlainText"/>
        <w:tabs>
          <w:tab w:val="left" w:pos="284"/>
        </w:tabs>
      </w:pPr>
      <w:r w:rsidRPr="00DC1320">
        <w:tab/>
        <w:t>psychosocial risks  38</w:t>
      </w:r>
    </w:p>
    <w:p w14:paraId="3CC53B9F" w14:textId="77777777" w:rsidR="00DC1320" w:rsidRPr="00DC1320" w:rsidRDefault="00DC1320" w:rsidP="00DC1320">
      <w:pPr>
        <w:pStyle w:val="PlainText"/>
        <w:tabs>
          <w:tab w:val="left" w:pos="284"/>
        </w:tabs>
      </w:pPr>
      <w:r w:rsidRPr="00DC1320">
        <w:t>Robens model  78, 95, 155</w:t>
      </w:r>
    </w:p>
    <w:p w14:paraId="758D24FD" w14:textId="77777777" w:rsidR="00DC1320" w:rsidRPr="00DC1320" w:rsidRDefault="00DC1320" w:rsidP="00DC1320">
      <w:pPr>
        <w:pStyle w:val="PlainText"/>
        <w:tabs>
          <w:tab w:val="left" w:pos="284"/>
        </w:tabs>
      </w:pPr>
    </w:p>
    <w:p w14:paraId="42D10322" w14:textId="77777777" w:rsidR="00DC1320" w:rsidRPr="00DC1320" w:rsidRDefault="00DC1320" w:rsidP="00DC1320">
      <w:pPr>
        <w:pStyle w:val="PlainText"/>
        <w:tabs>
          <w:tab w:val="left" w:pos="284"/>
        </w:tabs>
        <w:rPr>
          <w:b/>
          <w:bCs/>
        </w:rPr>
      </w:pPr>
      <w:r w:rsidRPr="00DC1320">
        <w:rPr>
          <w:b/>
          <w:bCs/>
        </w:rPr>
        <w:t>S</w:t>
      </w:r>
    </w:p>
    <w:p w14:paraId="677207B1" w14:textId="77777777" w:rsidR="00DC1320" w:rsidRPr="00DC1320" w:rsidRDefault="00DC1320" w:rsidP="00DC1320">
      <w:pPr>
        <w:pStyle w:val="PlainText"/>
        <w:tabs>
          <w:tab w:val="left" w:pos="284"/>
        </w:tabs>
      </w:pPr>
      <w:r w:rsidRPr="00DC1320">
        <w:t>safe system of work</w:t>
      </w:r>
    </w:p>
    <w:p w14:paraId="1C9DF110" w14:textId="77777777" w:rsidR="00DC1320" w:rsidRPr="00DC1320" w:rsidRDefault="00DC1320" w:rsidP="00DC1320">
      <w:pPr>
        <w:pStyle w:val="PlainText"/>
        <w:tabs>
          <w:tab w:val="left" w:pos="284"/>
        </w:tabs>
      </w:pPr>
      <w:r w:rsidRPr="00DC1320">
        <w:tab/>
        <w:t>AI use and  118</w:t>
      </w:r>
    </w:p>
    <w:p w14:paraId="7235AB88" w14:textId="77777777" w:rsidR="00DC1320" w:rsidRPr="00DC1320" w:rsidRDefault="00DC1320" w:rsidP="00DC1320">
      <w:pPr>
        <w:pStyle w:val="PlainText"/>
        <w:tabs>
          <w:tab w:val="left" w:pos="284"/>
        </w:tabs>
      </w:pPr>
      <w:r w:rsidRPr="00DC1320">
        <w:tab/>
        <w:t>duty to provide and maintain  118, 190</w:t>
      </w:r>
    </w:p>
    <w:p w14:paraId="10026D81" w14:textId="77777777" w:rsidR="00DC1320" w:rsidRPr="00DC1320" w:rsidRDefault="00DC1320" w:rsidP="00DC1320">
      <w:pPr>
        <w:pStyle w:val="PlainText"/>
        <w:tabs>
          <w:tab w:val="left" w:pos="284"/>
        </w:tabs>
      </w:pPr>
      <w:r w:rsidRPr="00DC1320">
        <w:t>Safe Work Australia (SWA)</w:t>
      </w:r>
    </w:p>
    <w:p w14:paraId="482FB352" w14:textId="77777777" w:rsidR="00DC1320" w:rsidRPr="00DC1320" w:rsidRDefault="00DC1320" w:rsidP="00DC1320">
      <w:pPr>
        <w:pStyle w:val="PlainText"/>
        <w:tabs>
          <w:tab w:val="left" w:pos="284"/>
        </w:tabs>
      </w:pPr>
      <w:r w:rsidRPr="00DC1320">
        <w:tab/>
        <w:t>actions  11</w:t>
      </w:r>
    </w:p>
    <w:p w14:paraId="68FF393D" w14:textId="77777777" w:rsidR="00DC1320" w:rsidRPr="00DC1320" w:rsidRDefault="00DC1320" w:rsidP="00DC1320">
      <w:pPr>
        <w:pStyle w:val="PlainText"/>
        <w:tabs>
          <w:tab w:val="left" w:pos="284"/>
        </w:tabs>
      </w:pPr>
      <w:r w:rsidRPr="00DC1320">
        <w:tab/>
        <w:t>governance arrangements  6</w:t>
      </w:r>
    </w:p>
    <w:p w14:paraId="2243BAF2" w14:textId="77777777" w:rsidR="00DC1320" w:rsidRPr="00DC1320" w:rsidRDefault="00DC1320" w:rsidP="00DC1320">
      <w:pPr>
        <w:pStyle w:val="PlainText"/>
        <w:tabs>
          <w:tab w:val="left" w:pos="284"/>
        </w:tabs>
      </w:pPr>
      <w:r w:rsidRPr="00DC1320">
        <w:tab/>
        <w:t>Research and Evaluation Strategy  10, 40, 130, 131</w:t>
      </w:r>
    </w:p>
    <w:p w14:paraId="1B678AF7" w14:textId="77777777" w:rsidR="00DC1320" w:rsidRPr="00DC1320" w:rsidRDefault="00DC1320" w:rsidP="00DC1320">
      <w:pPr>
        <w:pStyle w:val="PlainText"/>
        <w:tabs>
          <w:tab w:val="left" w:pos="284"/>
        </w:tabs>
      </w:pPr>
      <w:r w:rsidRPr="00DC1320">
        <w:tab/>
        <w:t>tripartite process  18</w:t>
      </w:r>
    </w:p>
    <w:p w14:paraId="6E4AF048" w14:textId="77777777" w:rsidR="00DC1320" w:rsidRPr="00DC1320" w:rsidRDefault="00DC1320" w:rsidP="00DC1320">
      <w:pPr>
        <w:pStyle w:val="PlainText"/>
        <w:tabs>
          <w:tab w:val="left" w:pos="284"/>
        </w:tabs>
      </w:pPr>
      <w:r w:rsidRPr="00DC1320">
        <w:t>Safer, healthier, wealthier report  161</w:t>
      </w:r>
    </w:p>
    <w:p w14:paraId="4BF0F018" w14:textId="77777777" w:rsidR="00DC1320" w:rsidRPr="00DC1320" w:rsidRDefault="00DC1320" w:rsidP="00DC1320">
      <w:pPr>
        <w:pStyle w:val="PlainText"/>
        <w:tabs>
          <w:tab w:val="left" w:pos="284"/>
        </w:tabs>
      </w:pPr>
      <w:r w:rsidRPr="00DC1320">
        <w:t>safety data sheets  108</w:t>
      </w:r>
    </w:p>
    <w:p w14:paraId="75379EF5" w14:textId="77777777" w:rsidR="00DC1320" w:rsidRPr="00DC1320" w:rsidRDefault="00DC1320" w:rsidP="00DC1320">
      <w:pPr>
        <w:pStyle w:val="PlainText"/>
        <w:tabs>
          <w:tab w:val="left" w:pos="284"/>
        </w:tabs>
      </w:pPr>
      <w:r w:rsidRPr="00DC1320">
        <w:t>safety frameworks  27–9, 135–41</w:t>
      </w:r>
    </w:p>
    <w:p w14:paraId="71DA1FD3" w14:textId="77777777" w:rsidR="00DC1320" w:rsidRPr="00DC1320" w:rsidRDefault="00DC1320" w:rsidP="00DC1320">
      <w:pPr>
        <w:pStyle w:val="PlainText"/>
        <w:tabs>
          <w:tab w:val="left" w:pos="284"/>
        </w:tabs>
      </w:pPr>
      <w:r w:rsidRPr="00DC1320">
        <w:tab/>
        <w:t>overlapping see overlapping safety frameworks</w:t>
      </w:r>
    </w:p>
    <w:p w14:paraId="5803E78C" w14:textId="77777777" w:rsidR="00DC1320" w:rsidRPr="00DC1320" w:rsidRDefault="00DC1320" w:rsidP="00DC1320">
      <w:pPr>
        <w:pStyle w:val="PlainText"/>
        <w:tabs>
          <w:tab w:val="left" w:pos="284"/>
        </w:tabs>
      </w:pPr>
      <w:r w:rsidRPr="00DC1320">
        <w:t>Santow, Edward  12</w:t>
      </w:r>
    </w:p>
    <w:p w14:paraId="28D6D67A" w14:textId="77777777" w:rsidR="00DC1320" w:rsidRPr="00DC1320" w:rsidRDefault="00DC1320" w:rsidP="00DC1320">
      <w:pPr>
        <w:pStyle w:val="PlainText"/>
        <w:tabs>
          <w:tab w:val="left" w:pos="284"/>
        </w:tabs>
      </w:pPr>
      <w:r w:rsidRPr="00DC1320">
        <w:t>Schofield-Georgeson, Dr Eugene  12</w:t>
      </w:r>
    </w:p>
    <w:p w14:paraId="54EEE062" w14:textId="77777777" w:rsidR="00DC1320" w:rsidRPr="00DC1320" w:rsidRDefault="00DC1320" w:rsidP="00DC1320">
      <w:pPr>
        <w:pStyle w:val="PlainText"/>
        <w:tabs>
          <w:tab w:val="left" w:pos="284"/>
        </w:tabs>
      </w:pPr>
      <w:r w:rsidRPr="00DC1320">
        <w:t>sex discrimination  140</w:t>
      </w:r>
    </w:p>
    <w:p w14:paraId="6B22F62D" w14:textId="77777777" w:rsidR="00DC1320" w:rsidRPr="00DC1320" w:rsidRDefault="00DC1320" w:rsidP="00DC1320">
      <w:pPr>
        <w:pStyle w:val="PlainText"/>
        <w:tabs>
          <w:tab w:val="left" w:pos="284"/>
        </w:tabs>
      </w:pPr>
      <w:r w:rsidRPr="00DC1320">
        <w:t>sexual harassment  30, 127, 140</w:t>
      </w:r>
    </w:p>
    <w:p w14:paraId="374B0FBD" w14:textId="77777777" w:rsidR="00DC1320" w:rsidRPr="00DC1320" w:rsidRDefault="00DC1320" w:rsidP="00DC1320">
      <w:pPr>
        <w:pStyle w:val="PlainText"/>
        <w:tabs>
          <w:tab w:val="left" w:pos="284"/>
        </w:tabs>
      </w:pPr>
      <w:r w:rsidRPr="00DC1320">
        <w:t>silica, crystalline  107–8, 188</w:t>
      </w:r>
    </w:p>
    <w:p w14:paraId="55A79502" w14:textId="77777777" w:rsidR="00DC1320" w:rsidRPr="00DC1320" w:rsidRDefault="00DC1320" w:rsidP="00DC1320">
      <w:pPr>
        <w:pStyle w:val="PlainText"/>
        <w:tabs>
          <w:tab w:val="left" w:pos="284"/>
        </w:tabs>
      </w:pPr>
      <w:r w:rsidRPr="00DC1320">
        <w:t>smoking and vaping  102</w:t>
      </w:r>
    </w:p>
    <w:p w14:paraId="190C5548" w14:textId="77777777" w:rsidR="00DC1320" w:rsidRPr="00DC1320" w:rsidRDefault="00DC1320" w:rsidP="00DC1320">
      <w:pPr>
        <w:pStyle w:val="PlainText"/>
        <w:tabs>
          <w:tab w:val="left" w:pos="284"/>
        </w:tabs>
      </w:pPr>
      <w:r w:rsidRPr="00DC1320">
        <w:t>Steward, Professor Andrew  19, 30</w:t>
      </w:r>
    </w:p>
    <w:p w14:paraId="09305FAF" w14:textId="77777777" w:rsidR="00DC1320" w:rsidRPr="00DC1320" w:rsidRDefault="00DC1320" w:rsidP="00DC1320">
      <w:pPr>
        <w:pStyle w:val="PlainText"/>
        <w:tabs>
          <w:tab w:val="left" w:pos="284"/>
        </w:tabs>
      </w:pPr>
      <w:r w:rsidRPr="00DC1320">
        <w:t>Strategic Issues Groups</w:t>
      </w:r>
    </w:p>
    <w:p w14:paraId="1FD37CB7" w14:textId="77777777" w:rsidR="00DC1320" w:rsidRPr="00DC1320" w:rsidRDefault="00DC1320" w:rsidP="00DC1320">
      <w:pPr>
        <w:pStyle w:val="PlainText"/>
        <w:tabs>
          <w:tab w:val="left" w:pos="284"/>
        </w:tabs>
      </w:pPr>
      <w:r w:rsidRPr="00DC1320">
        <w:tab/>
        <w:t>SIG - Compliance and Enforcement  11</w:t>
      </w:r>
    </w:p>
    <w:p w14:paraId="0F643E8B" w14:textId="77777777" w:rsidR="00DC1320" w:rsidRPr="00DC1320" w:rsidRDefault="00DC1320" w:rsidP="00DC1320">
      <w:pPr>
        <w:pStyle w:val="PlainText"/>
        <w:tabs>
          <w:tab w:val="left" w:pos="284"/>
        </w:tabs>
      </w:pPr>
      <w:r w:rsidRPr="00DC1320">
        <w:tab/>
        <w:t>SIG - Reducing Work Related Fatalities  11, 26, 27, 29</w:t>
      </w:r>
    </w:p>
    <w:p w14:paraId="13C0079B" w14:textId="77777777" w:rsidR="00DC1320" w:rsidRPr="00DC1320" w:rsidRDefault="00DC1320" w:rsidP="00DC1320">
      <w:pPr>
        <w:pStyle w:val="PlainText"/>
        <w:tabs>
          <w:tab w:val="left" w:pos="284"/>
        </w:tabs>
      </w:pPr>
      <w:r w:rsidRPr="00DC1320">
        <w:t>submissions and consultations  192–4</w:t>
      </w:r>
    </w:p>
    <w:p w14:paraId="48F0861F" w14:textId="77777777" w:rsidR="00DC1320" w:rsidRPr="00DC1320" w:rsidRDefault="00DC1320" w:rsidP="00DC1320">
      <w:pPr>
        <w:pStyle w:val="PlainText"/>
        <w:tabs>
          <w:tab w:val="left" w:pos="284"/>
        </w:tabs>
      </w:pPr>
      <w:r w:rsidRPr="00DC1320">
        <w:t>survey results  169–86</w:t>
      </w:r>
    </w:p>
    <w:p w14:paraId="4E5631AC" w14:textId="77777777" w:rsidR="00DC1320" w:rsidRPr="00DC1320" w:rsidRDefault="00DC1320" w:rsidP="00DC1320">
      <w:pPr>
        <w:pStyle w:val="PlainText"/>
        <w:tabs>
          <w:tab w:val="left" w:pos="284"/>
        </w:tabs>
      </w:pPr>
      <w:r w:rsidRPr="00DC1320">
        <w:tab/>
        <w:t>employer survey  178–86</w:t>
      </w:r>
    </w:p>
    <w:p w14:paraId="5BBC683A" w14:textId="77777777" w:rsidR="00DC1320" w:rsidRPr="00DC1320" w:rsidRDefault="00DC1320" w:rsidP="00DC1320">
      <w:pPr>
        <w:pStyle w:val="PlainText"/>
        <w:tabs>
          <w:tab w:val="left" w:pos="284"/>
        </w:tabs>
      </w:pPr>
      <w:r w:rsidRPr="00DC1320">
        <w:tab/>
        <w:t>worker and HSR survey  169–78</w:t>
      </w:r>
    </w:p>
    <w:p w14:paraId="65F7639E" w14:textId="77777777" w:rsidR="00DC1320" w:rsidRPr="00DC1320" w:rsidRDefault="00DC1320" w:rsidP="00DC1320">
      <w:pPr>
        <w:pStyle w:val="PlainText"/>
        <w:tabs>
          <w:tab w:val="left" w:pos="284"/>
        </w:tabs>
      </w:pPr>
    </w:p>
    <w:p w14:paraId="5EB5897A" w14:textId="77777777" w:rsidR="00DC1320" w:rsidRPr="00DC1320" w:rsidRDefault="00DC1320" w:rsidP="00DC1320">
      <w:pPr>
        <w:pStyle w:val="PlainText"/>
        <w:tabs>
          <w:tab w:val="left" w:pos="284"/>
        </w:tabs>
        <w:rPr>
          <w:b/>
          <w:bCs/>
        </w:rPr>
      </w:pPr>
      <w:r w:rsidRPr="00DC1320">
        <w:rPr>
          <w:b/>
          <w:bCs/>
        </w:rPr>
        <w:t>T</w:t>
      </w:r>
    </w:p>
    <w:p w14:paraId="7567E86E" w14:textId="77777777" w:rsidR="00DC1320" w:rsidRPr="00DC1320" w:rsidRDefault="00DC1320" w:rsidP="00DC1320">
      <w:pPr>
        <w:pStyle w:val="PlainText"/>
        <w:tabs>
          <w:tab w:val="left" w:pos="284"/>
        </w:tabs>
      </w:pPr>
      <w:r w:rsidRPr="00DC1320">
        <w:t>technology neutral laws  118</w:t>
      </w:r>
    </w:p>
    <w:p w14:paraId="2E4CBF5F" w14:textId="77777777" w:rsidR="00DC1320" w:rsidRPr="00DC1320" w:rsidRDefault="00DC1320" w:rsidP="00DC1320">
      <w:pPr>
        <w:pStyle w:val="PlainText"/>
        <w:tabs>
          <w:tab w:val="left" w:pos="284"/>
        </w:tabs>
      </w:pPr>
      <w:r w:rsidRPr="00DC1320">
        <w:t>Terms of Reference  5, 12, 133–4</w:t>
      </w:r>
    </w:p>
    <w:p w14:paraId="51565948" w14:textId="77777777" w:rsidR="00DC1320" w:rsidRPr="00DC1320" w:rsidRDefault="00DC1320" w:rsidP="00DC1320">
      <w:pPr>
        <w:pStyle w:val="PlainText"/>
        <w:tabs>
          <w:tab w:val="left" w:pos="284"/>
        </w:tabs>
      </w:pPr>
      <w:r w:rsidRPr="00DC1320">
        <w:tab/>
        <w:t>context  133</w:t>
      </w:r>
    </w:p>
    <w:p w14:paraId="78ABFAB7" w14:textId="77777777" w:rsidR="00DC1320" w:rsidRPr="00DC1320" w:rsidRDefault="00DC1320" w:rsidP="00DC1320">
      <w:pPr>
        <w:pStyle w:val="PlainText"/>
        <w:tabs>
          <w:tab w:val="left" w:pos="284"/>
        </w:tabs>
      </w:pPr>
      <w:r w:rsidRPr="00DC1320">
        <w:tab/>
        <w:t>scope of review  133–4</w:t>
      </w:r>
    </w:p>
    <w:p w14:paraId="78BE3D55" w14:textId="77777777" w:rsidR="00DC1320" w:rsidRPr="00DC1320" w:rsidRDefault="00DC1320" w:rsidP="00DC1320">
      <w:pPr>
        <w:pStyle w:val="PlainText"/>
        <w:tabs>
          <w:tab w:val="left" w:pos="284"/>
        </w:tabs>
      </w:pPr>
      <w:r w:rsidRPr="00DC1320">
        <w:tab/>
        <w:t>timing and process  134</w:t>
      </w:r>
    </w:p>
    <w:p w14:paraId="3543D3A6" w14:textId="77777777" w:rsidR="00DC1320" w:rsidRPr="00DC1320" w:rsidRDefault="00DC1320" w:rsidP="00DC1320">
      <w:pPr>
        <w:pStyle w:val="PlainText"/>
        <w:tabs>
          <w:tab w:val="left" w:pos="284"/>
        </w:tabs>
      </w:pPr>
      <w:r w:rsidRPr="00DC1320">
        <w:t>They Never Came Home Report (2018)  14, 21</w:t>
      </w:r>
    </w:p>
    <w:p w14:paraId="061B6532" w14:textId="77777777" w:rsidR="00DC1320" w:rsidRPr="00DC1320" w:rsidRDefault="00DC1320" w:rsidP="00DC1320">
      <w:pPr>
        <w:pStyle w:val="PlainText"/>
        <w:tabs>
          <w:tab w:val="left" w:pos="284"/>
        </w:tabs>
      </w:pPr>
      <w:r w:rsidRPr="00DC1320">
        <w:t>Thorning, Peter  19</w:t>
      </w:r>
    </w:p>
    <w:p w14:paraId="6405D321" w14:textId="77777777" w:rsidR="00DC1320" w:rsidRPr="00DC1320" w:rsidRDefault="00DC1320" w:rsidP="00DC1320">
      <w:pPr>
        <w:pStyle w:val="PlainText"/>
        <w:tabs>
          <w:tab w:val="left" w:pos="284"/>
        </w:tabs>
      </w:pPr>
      <w:r w:rsidRPr="00DC1320">
        <w:t>tobacco and vaping  102</w:t>
      </w:r>
    </w:p>
    <w:p w14:paraId="4E817A05" w14:textId="36115CFE" w:rsidR="00DC1320" w:rsidRPr="00DC1320" w:rsidRDefault="00DC1320" w:rsidP="00DC1320">
      <w:pPr>
        <w:pStyle w:val="PlainText"/>
        <w:tabs>
          <w:tab w:val="left" w:pos="284"/>
        </w:tabs>
      </w:pPr>
      <w:r>
        <w:br w:type="column"/>
      </w:r>
      <w:r w:rsidRPr="00DC1320">
        <w:t>training</w:t>
      </w:r>
    </w:p>
    <w:p w14:paraId="5832F445" w14:textId="77777777" w:rsidR="00DC1320" w:rsidRPr="00DC1320" w:rsidRDefault="00DC1320" w:rsidP="00DC1320">
      <w:pPr>
        <w:pStyle w:val="PlainText"/>
        <w:tabs>
          <w:tab w:val="left" w:pos="284"/>
        </w:tabs>
      </w:pPr>
      <w:r w:rsidRPr="00DC1320">
        <w:tab/>
        <w:t>health and safety representatives  52–4</w:t>
      </w:r>
    </w:p>
    <w:p w14:paraId="35D1EED5" w14:textId="77777777" w:rsidR="00DC1320" w:rsidRPr="00DC1320" w:rsidRDefault="00DC1320" w:rsidP="00DC1320">
      <w:pPr>
        <w:pStyle w:val="PlainText"/>
        <w:tabs>
          <w:tab w:val="left" w:pos="284"/>
        </w:tabs>
      </w:pPr>
      <w:r w:rsidRPr="00DC1320">
        <w:tab/>
        <w:t>inspectors  69</w:t>
      </w:r>
    </w:p>
    <w:p w14:paraId="51C42D35" w14:textId="77777777" w:rsidR="00DC1320" w:rsidRPr="00DC1320" w:rsidRDefault="00DC1320" w:rsidP="00DC1320">
      <w:pPr>
        <w:pStyle w:val="PlainText"/>
        <w:tabs>
          <w:tab w:val="left" w:pos="284"/>
        </w:tabs>
      </w:pPr>
      <w:r w:rsidRPr="00DC1320">
        <w:t>transport safety frameworks  27, 138</w:t>
      </w:r>
    </w:p>
    <w:p w14:paraId="6E071D32" w14:textId="77777777" w:rsidR="00DC1320" w:rsidRPr="00DC1320" w:rsidRDefault="00DC1320" w:rsidP="00DC1320">
      <w:pPr>
        <w:pStyle w:val="PlainText"/>
        <w:tabs>
          <w:tab w:val="left" w:pos="284"/>
        </w:tabs>
      </w:pPr>
      <w:r w:rsidRPr="00DC1320">
        <w:t>traumatic injury fatalities  160–1</w:t>
      </w:r>
    </w:p>
    <w:p w14:paraId="21F80A4A" w14:textId="77777777" w:rsidR="00DC1320" w:rsidRPr="00DC1320" w:rsidRDefault="00DC1320" w:rsidP="00DC1320">
      <w:pPr>
        <w:pStyle w:val="PlainText"/>
        <w:tabs>
          <w:tab w:val="left" w:pos="284"/>
        </w:tabs>
      </w:pPr>
      <w:r w:rsidRPr="00DC1320">
        <w:t>tripartite arrangements  18, 64–5</w:t>
      </w:r>
    </w:p>
    <w:p w14:paraId="43AF8DED" w14:textId="77777777" w:rsidR="00DC1320" w:rsidRPr="00DC1320" w:rsidRDefault="00DC1320" w:rsidP="00DC1320">
      <w:pPr>
        <w:pStyle w:val="PlainText"/>
        <w:tabs>
          <w:tab w:val="left" w:pos="284"/>
        </w:tabs>
      </w:pPr>
      <w:r w:rsidRPr="00DC1320">
        <w:tab/>
        <w:t>advisory councils or committees  21, 64</w:t>
      </w:r>
    </w:p>
    <w:p w14:paraId="40E49D28" w14:textId="77777777" w:rsidR="00DC1320" w:rsidRPr="00DC1320" w:rsidRDefault="00DC1320" w:rsidP="00DC1320">
      <w:pPr>
        <w:pStyle w:val="PlainText"/>
        <w:tabs>
          <w:tab w:val="left" w:pos="284"/>
        </w:tabs>
      </w:pPr>
    </w:p>
    <w:p w14:paraId="1D6DDC21" w14:textId="77777777" w:rsidR="00DC1320" w:rsidRPr="00DC1320" w:rsidRDefault="00DC1320" w:rsidP="00DC1320">
      <w:pPr>
        <w:pStyle w:val="PlainText"/>
        <w:tabs>
          <w:tab w:val="left" w:pos="284"/>
        </w:tabs>
        <w:rPr>
          <w:b/>
          <w:bCs/>
        </w:rPr>
      </w:pPr>
      <w:r w:rsidRPr="00DC1320">
        <w:rPr>
          <w:b/>
          <w:bCs/>
        </w:rPr>
        <w:t>U</w:t>
      </w:r>
    </w:p>
    <w:p w14:paraId="1AA2943D" w14:textId="77777777" w:rsidR="00DC1320" w:rsidRPr="00DC1320" w:rsidRDefault="00DC1320" w:rsidP="00DC1320">
      <w:pPr>
        <w:pStyle w:val="PlainText"/>
        <w:tabs>
          <w:tab w:val="left" w:pos="284"/>
        </w:tabs>
      </w:pPr>
      <w:r w:rsidRPr="00DC1320">
        <w:t>underground facilities  108</w:t>
      </w:r>
    </w:p>
    <w:p w14:paraId="6A1DAF1D" w14:textId="77777777" w:rsidR="00DC1320" w:rsidRPr="00DC1320" w:rsidRDefault="00DC1320" w:rsidP="00DC1320">
      <w:pPr>
        <w:pStyle w:val="PlainText"/>
        <w:tabs>
          <w:tab w:val="left" w:pos="284"/>
        </w:tabs>
      </w:pPr>
      <w:r w:rsidRPr="00DC1320">
        <w:t>unions</w:t>
      </w:r>
    </w:p>
    <w:p w14:paraId="0FD3EC44" w14:textId="77777777" w:rsidR="00DC1320" w:rsidRPr="00DC1320" w:rsidRDefault="00DC1320" w:rsidP="00DC1320">
      <w:pPr>
        <w:pStyle w:val="PlainText"/>
        <w:tabs>
          <w:tab w:val="left" w:pos="284"/>
        </w:tabs>
      </w:pPr>
      <w:r w:rsidRPr="00DC1320">
        <w:tab/>
        <w:t>constructive role, encouraging  55</w:t>
      </w:r>
    </w:p>
    <w:p w14:paraId="501BA26D" w14:textId="77777777" w:rsidR="00DC1320" w:rsidRPr="00DC1320" w:rsidRDefault="00DC1320" w:rsidP="00DC1320">
      <w:pPr>
        <w:pStyle w:val="PlainText"/>
        <w:tabs>
          <w:tab w:val="left" w:pos="284"/>
        </w:tabs>
      </w:pPr>
      <w:r w:rsidRPr="00DC1320">
        <w:tab/>
        <w:t>right of entry  59–62</w:t>
      </w:r>
    </w:p>
    <w:p w14:paraId="4F331281" w14:textId="77777777" w:rsidR="00DC1320" w:rsidRPr="00DC1320" w:rsidRDefault="00DC1320" w:rsidP="00DC1320">
      <w:pPr>
        <w:pStyle w:val="PlainText"/>
        <w:tabs>
          <w:tab w:val="left" w:pos="284"/>
        </w:tabs>
      </w:pPr>
      <w:r w:rsidRPr="00DC1320">
        <w:tab/>
        <w:t>right to prosecute  76</w:t>
      </w:r>
    </w:p>
    <w:p w14:paraId="7559AFB5" w14:textId="77777777" w:rsidR="00DC1320" w:rsidRPr="00DC1320" w:rsidRDefault="00DC1320" w:rsidP="00DC1320">
      <w:pPr>
        <w:pStyle w:val="PlainText"/>
        <w:tabs>
          <w:tab w:val="left" w:pos="284"/>
        </w:tabs>
      </w:pPr>
      <w:r w:rsidRPr="00DC1320">
        <w:tab/>
        <w:t>role in consultation and representation  44–7, 52, 54–5, 143</w:t>
      </w:r>
    </w:p>
    <w:p w14:paraId="0CB6B296" w14:textId="77777777" w:rsidR="00DC1320" w:rsidRPr="00DC1320" w:rsidRDefault="00DC1320" w:rsidP="00DC1320">
      <w:pPr>
        <w:pStyle w:val="PlainText"/>
        <w:tabs>
          <w:tab w:val="left" w:pos="284"/>
        </w:tabs>
      </w:pPr>
      <w:r w:rsidRPr="00DC1320">
        <w:t>unsafe work, right to cease  6, 56, 143</w:t>
      </w:r>
    </w:p>
    <w:p w14:paraId="57EDD379" w14:textId="77777777" w:rsidR="00DC1320" w:rsidRPr="00DC1320" w:rsidRDefault="00DC1320" w:rsidP="00DC1320">
      <w:pPr>
        <w:pStyle w:val="PlainText"/>
        <w:tabs>
          <w:tab w:val="left" w:pos="284"/>
        </w:tabs>
      </w:pPr>
    </w:p>
    <w:p w14:paraId="59D69E86" w14:textId="77777777" w:rsidR="00DC1320" w:rsidRPr="00DC1320" w:rsidRDefault="00DC1320" w:rsidP="00DC1320">
      <w:pPr>
        <w:pStyle w:val="PlainText"/>
        <w:tabs>
          <w:tab w:val="left" w:pos="284"/>
        </w:tabs>
        <w:rPr>
          <w:b/>
          <w:bCs/>
        </w:rPr>
      </w:pPr>
      <w:r w:rsidRPr="00DC1320">
        <w:rPr>
          <w:b/>
          <w:bCs/>
        </w:rPr>
        <w:t>V</w:t>
      </w:r>
    </w:p>
    <w:p w14:paraId="198C6528" w14:textId="77777777" w:rsidR="00DC1320" w:rsidRPr="00DC1320" w:rsidRDefault="00DC1320" w:rsidP="00DC1320">
      <w:pPr>
        <w:pStyle w:val="PlainText"/>
        <w:tabs>
          <w:tab w:val="left" w:pos="284"/>
        </w:tabs>
      </w:pPr>
      <w:r w:rsidRPr="00DC1320">
        <w:t>variations see jurisdictional variations</w:t>
      </w:r>
    </w:p>
    <w:p w14:paraId="3A116747" w14:textId="77777777" w:rsidR="00DC1320" w:rsidRPr="00DC1320" w:rsidRDefault="00DC1320" w:rsidP="00DC1320">
      <w:pPr>
        <w:pStyle w:val="PlainText"/>
        <w:tabs>
          <w:tab w:val="left" w:pos="284"/>
        </w:tabs>
      </w:pPr>
      <w:r w:rsidRPr="00DC1320">
        <w:t>vector-borne diseases  126</w:t>
      </w:r>
    </w:p>
    <w:p w14:paraId="48B3EE07" w14:textId="77777777" w:rsidR="00DC1320" w:rsidRPr="00DC1320" w:rsidRDefault="00DC1320" w:rsidP="00DC1320">
      <w:pPr>
        <w:pStyle w:val="PlainText"/>
        <w:tabs>
          <w:tab w:val="left" w:pos="284"/>
        </w:tabs>
      </w:pPr>
    </w:p>
    <w:p w14:paraId="39BF5736" w14:textId="77777777" w:rsidR="00DC1320" w:rsidRPr="00DC1320" w:rsidRDefault="00DC1320" w:rsidP="00DC1320">
      <w:pPr>
        <w:pStyle w:val="PlainText"/>
        <w:tabs>
          <w:tab w:val="left" w:pos="284"/>
        </w:tabs>
        <w:rPr>
          <w:b/>
          <w:bCs/>
        </w:rPr>
      </w:pPr>
      <w:r w:rsidRPr="00DC1320">
        <w:rPr>
          <w:b/>
          <w:bCs/>
        </w:rPr>
        <w:t>W</w:t>
      </w:r>
    </w:p>
    <w:p w14:paraId="7C819632" w14:textId="77777777" w:rsidR="00DC1320" w:rsidRPr="00DC1320" w:rsidRDefault="00DC1320" w:rsidP="00DC1320">
      <w:pPr>
        <w:pStyle w:val="PlainText"/>
        <w:tabs>
          <w:tab w:val="left" w:pos="284"/>
        </w:tabs>
      </w:pPr>
      <w:r w:rsidRPr="00DC1320">
        <w:t>WHS Accreditation Scheme  139</w:t>
      </w:r>
    </w:p>
    <w:p w14:paraId="126BE55E" w14:textId="77777777" w:rsidR="00DC1320" w:rsidRPr="00DC1320" w:rsidRDefault="00DC1320" w:rsidP="00DC1320">
      <w:pPr>
        <w:pStyle w:val="PlainText"/>
        <w:tabs>
          <w:tab w:val="left" w:pos="284"/>
        </w:tabs>
      </w:pPr>
      <w:r w:rsidRPr="00DC1320">
        <w:t>WHS Information Statement  8, 40–1</w:t>
      </w:r>
    </w:p>
    <w:p w14:paraId="504AFB86" w14:textId="77777777" w:rsidR="00DC1320" w:rsidRPr="00DC1320" w:rsidRDefault="00DC1320" w:rsidP="00DC1320">
      <w:pPr>
        <w:pStyle w:val="PlainText"/>
        <w:tabs>
          <w:tab w:val="left" w:pos="284"/>
        </w:tabs>
      </w:pPr>
      <w:r w:rsidRPr="00DC1320">
        <w:t>WHS knowledge and capability  39–41</w:t>
      </w:r>
    </w:p>
    <w:p w14:paraId="67A01C3E" w14:textId="77777777" w:rsidR="00DC1320" w:rsidRPr="00DC1320" w:rsidRDefault="00DC1320" w:rsidP="00DC1320">
      <w:pPr>
        <w:pStyle w:val="PlainText"/>
        <w:tabs>
          <w:tab w:val="left" w:pos="284"/>
        </w:tabs>
      </w:pPr>
      <w:r w:rsidRPr="00DC1320">
        <w:tab/>
        <w:t>recommendations  41</w:t>
      </w:r>
    </w:p>
    <w:p w14:paraId="04686B31" w14:textId="77777777" w:rsidR="00DC1320" w:rsidRPr="00DC1320" w:rsidRDefault="00DC1320" w:rsidP="00DC1320">
      <w:pPr>
        <w:pStyle w:val="PlainText"/>
        <w:tabs>
          <w:tab w:val="left" w:pos="284"/>
        </w:tabs>
      </w:pPr>
      <w:r w:rsidRPr="00DC1320">
        <w:tab/>
        <w:t>review findings  39</w:t>
      </w:r>
    </w:p>
    <w:p w14:paraId="34E4E329" w14:textId="77777777" w:rsidR="00DC1320" w:rsidRPr="00DC1320" w:rsidRDefault="00DC1320" w:rsidP="00DC1320">
      <w:pPr>
        <w:pStyle w:val="PlainText"/>
        <w:tabs>
          <w:tab w:val="left" w:pos="284"/>
        </w:tabs>
      </w:pPr>
      <w:r w:rsidRPr="00DC1320">
        <w:t>WHS laws</w:t>
      </w:r>
    </w:p>
    <w:p w14:paraId="4BEB63C0" w14:textId="77777777" w:rsidR="00DC1320" w:rsidRPr="00DC1320" w:rsidRDefault="00DC1320" w:rsidP="00DC1320">
      <w:pPr>
        <w:pStyle w:val="PlainText"/>
        <w:tabs>
          <w:tab w:val="left" w:pos="284"/>
        </w:tabs>
      </w:pPr>
      <w:r w:rsidRPr="00DC1320">
        <w:tab/>
        <w:t>alternative schemes proposed  20</w:t>
      </w:r>
    </w:p>
    <w:p w14:paraId="205E9E02" w14:textId="77777777" w:rsidR="00DC1320" w:rsidRPr="00DC1320" w:rsidRDefault="00DC1320" w:rsidP="00DC1320">
      <w:pPr>
        <w:pStyle w:val="PlainText"/>
        <w:tabs>
          <w:tab w:val="left" w:pos="284"/>
        </w:tabs>
      </w:pPr>
      <w:r w:rsidRPr="00DC1320">
        <w:tab/>
        <w:t>jurisdictional variations see jurisdictional variations</w:t>
      </w:r>
    </w:p>
    <w:p w14:paraId="68E083B9" w14:textId="77777777" w:rsidR="00DC1320" w:rsidRPr="00DC1320" w:rsidRDefault="00DC1320" w:rsidP="00DC1320">
      <w:pPr>
        <w:pStyle w:val="PlainText"/>
        <w:tabs>
          <w:tab w:val="left" w:pos="284"/>
        </w:tabs>
      </w:pPr>
      <w:r w:rsidRPr="00DC1320">
        <w:tab/>
        <w:t>model laws see model WHS laws</w:t>
      </w:r>
    </w:p>
    <w:p w14:paraId="082A379D" w14:textId="77777777" w:rsidR="00DC1320" w:rsidRPr="00DC1320" w:rsidRDefault="00DC1320" w:rsidP="00DC1320">
      <w:pPr>
        <w:pStyle w:val="PlainText"/>
        <w:tabs>
          <w:tab w:val="left" w:pos="284"/>
        </w:tabs>
      </w:pPr>
      <w:r w:rsidRPr="00DC1320">
        <w:t>WHS offences see offences and penalties</w:t>
      </w:r>
    </w:p>
    <w:p w14:paraId="56A4289F" w14:textId="77777777" w:rsidR="00DC1320" w:rsidRPr="00DC1320" w:rsidRDefault="00DC1320" w:rsidP="00DC1320">
      <w:pPr>
        <w:pStyle w:val="PlainText"/>
        <w:tabs>
          <w:tab w:val="left" w:pos="284"/>
        </w:tabs>
      </w:pPr>
      <w:r w:rsidRPr="00DC1320">
        <w:t>WHS prioritisation  39</w:t>
      </w:r>
    </w:p>
    <w:p w14:paraId="72B74A81" w14:textId="77777777" w:rsidR="00DC1320" w:rsidRPr="00DC1320" w:rsidRDefault="00DC1320" w:rsidP="00DC1320">
      <w:pPr>
        <w:pStyle w:val="PlainText"/>
        <w:tabs>
          <w:tab w:val="left" w:pos="284"/>
        </w:tabs>
      </w:pPr>
      <w:r w:rsidRPr="00DC1320">
        <w:t>WHS Regulations see model WHS Regulations</w:t>
      </w:r>
    </w:p>
    <w:p w14:paraId="7CB22288" w14:textId="77777777" w:rsidR="00DC1320" w:rsidRPr="00DC1320" w:rsidRDefault="00DC1320" w:rsidP="00DC1320">
      <w:pPr>
        <w:pStyle w:val="PlainText"/>
        <w:tabs>
          <w:tab w:val="left" w:pos="284"/>
        </w:tabs>
      </w:pPr>
      <w:r w:rsidRPr="00DC1320">
        <w:t>WHS technical panel  11</w:t>
      </w:r>
    </w:p>
    <w:p w14:paraId="58E3BC5B" w14:textId="77777777" w:rsidR="00DC1320" w:rsidRPr="00DC1320" w:rsidRDefault="00DC1320" w:rsidP="00DC1320">
      <w:pPr>
        <w:pStyle w:val="PlainText"/>
        <w:tabs>
          <w:tab w:val="left" w:pos="284"/>
        </w:tabs>
      </w:pPr>
      <w:r w:rsidRPr="00DC1320">
        <w:t>Work Health and Safety (WHS) Ministers  5, 132</w:t>
      </w:r>
    </w:p>
    <w:p w14:paraId="33BDE020" w14:textId="77777777" w:rsidR="00DC1320" w:rsidRPr="00DC1320" w:rsidRDefault="00DC1320" w:rsidP="00DC1320">
      <w:pPr>
        <w:pStyle w:val="PlainText"/>
        <w:tabs>
          <w:tab w:val="left" w:pos="284"/>
        </w:tabs>
      </w:pPr>
      <w:r w:rsidRPr="00DC1320">
        <w:t>worker and HSR survey  169–78</w:t>
      </w:r>
    </w:p>
    <w:p w14:paraId="164C0923" w14:textId="77777777" w:rsidR="00DC1320" w:rsidRPr="00DC1320" w:rsidRDefault="00DC1320" w:rsidP="00DC1320">
      <w:pPr>
        <w:pStyle w:val="PlainText"/>
        <w:tabs>
          <w:tab w:val="left" w:pos="284"/>
        </w:tabs>
      </w:pPr>
      <w:r w:rsidRPr="00DC1320">
        <w:t>workers compensation claims</w:t>
      </w:r>
    </w:p>
    <w:p w14:paraId="7E075190" w14:textId="77777777" w:rsidR="00DC1320" w:rsidRPr="00DC1320" w:rsidRDefault="00DC1320" w:rsidP="00DC1320">
      <w:pPr>
        <w:pStyle w:val="PlainText"/>
        <w:tabs>
          <w:tab w:val="left" w:pos="284"/>
        </w:tabs>
      </w:pPr>
      <w:r w:rsidRPr="00DC1320">
        <w:tab/>
        <w:t>psychological injury  18, 77, 127</w:t>
      </w:r>
    </w:p>
    <w:p w14:paraId="79D0F6F2" w14:textId="77777777" w:rsidR="00DC1320" w:rsidRPr="00DC1320" w:rsidRDefault="00DC1320" w:rsidP="00DC1320">
      <w:pPr>
        <w:pStyle w:val="PlainText"/>
        <w:tabs>
          <w:tab w:val="left" w:pos="284"/>
        </w:tabs>
      </w:pPr>
      <w:r w:rsidRPr="00DC1320">
        <w:tab/>
        <w:t>workplace violence and aggression  129</w:t>
      </w:r>
    </w:p>
    <w:p w14:paraId="609EA902" w14:textId="77777777" w:rsidR="00DC1320" w:rsidRPr="00DC1320" w:rsidRDefault="00DC1320" w:rsidP="00DC1320">
      <w:pPr>
        <w:pStyle w:val="PlainText"/>
        <w:tabs>
          <w:tab w:val="left" w:pos="284"/>
        </w:tabs>
      </w:pPr>
      <w:r w:rsidRPr="00DC1320">
        <w:t>workplace behaviours, harmful see harmful workplace behaviours</w:t>
      </w:r>
    </w:p>
    <w:p w14:paraId="41C69EBF" w14:textId="77777777" w:rsidR="00DC1320" w:rsidRPr="00DC1320" w:rsidRDefault="00DC1320" w:rsidP="00DC1320">
      <w:pPr>
        <w:pStyle w:val="PlainText"/>
        <w:tabs>
          <w:tab w:val="left" w:pos="284"/>
        </w:tabs>
      </w:pPr>
      <w:r w:rsidRPr="00DC1320">
        <w:t>Workplace Relations Ministers’ Council (WRMC)  5</w:t>
      </w:r>
    </w:p>
    <w:p w14:paraId="7BC4EA3D" w14:textId="77777777" w:rsidR="00DC1320" w:rsidRPr="00DC1320" w:rsidRDefault="00DC1320" w:rsidP="00DC1320">
      <w:pPr>
        <w:pStyle w:val="PlainText"/>
        <w:tabs>
          <w:tab w:val="left" w:pos="284"/>
        </w:tabs>
      </w:pPr>
      <w:r w:rsidRPr="00DC1320">
        <w:t>workplace violence and aggression  7, 127, 129</w:t>
      </w:r>
    </w:p>
    <w:p w14:paraId="4C5B12BB" w14:textId="77777777" w:rsidR="00DC1320" w:rsidRPr="00DC1320" w:rsidRDefault="00DC1320" w:rsidP="00DC1320">
      <w:pPr>
        <w:pStyle w:val="PlainText"/>
        <w:tabs>
          <w:tab w:val="left" w:pos="284"/>
        </w:tabs>
      </w:pPr>
      <w:r w:rsidRPr="00DC1320">
        <w:tab/>
        <w:t>strategies to prevent  10</w:t>
      </w:r>
    </w:p>
    <w:p w14:paraId="5CEA716A" w14:textId="77777777" w:rsidR="00DC1320" w:rsidRPr="00DC1320" w:rsidRDefault="00DC1320" w:rsidP="00DC1320">
      <w:pPr>
        <w:pStyle w:val="PlainText"/>
        <w:tabs>
          <w:tab w:val="left" w:pos="284"/>
        </w:tabs>
      </w:pPr>
      <w:r w:rsidRPr="00DC1320">
        <w:tab/>
        <w:t>workers compensation claims  129</w:t>
      </w:r>
    </w:p>
    <w:p w14:paraId="0DFC279F" w14:textId="77777777" w:rsidR="00222911" w:rsidRPr="00DC1320" w:rsidRDefault="00222911" w:rsidP="00BC0B4B"/>
    <w:sectPr w:rsidR="00222911" w:rsidRPr="00DC1320" w:rsidSect="00DC1320">
      <w:type w:val="continuous"/>
      <w:pgSz w:w="11906" w:h="16838" w:code="9"/>
      <w:pgMar w:top="1440" w:right="1077" w:bottom="1440" w:left="1077" w:header="709" w:footer="709" w:gutter="0"/>
      <w:cols w:num="2" w:space="28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A9F37" w14:textId="77777777" w:rsidR="005D7D31" w:rsidRDefault="005D7D31" w:rsidP="00FB5F0A">
      <w:pPr>
        <w:spacing w:after="0"/>
      </w:pPr>
      <w:r>
        <w:separator/>
      </w:r>
    </w:p>
    <w:p w14:paraId="7BFAE7EE" w14:textId="77777777" w:rsidR="005D7D31" w:rsidRDefault="005D7D31"/>
  </w:endnote>
  <w:endnote w:type="continuationSeparator" w:id="0">
    <w:p w14:paraId="202D8871" w14:textId="77777777" w:rsidR="005D7D31" w:rsidRDefault="005D7D31" w:rsidP="00FB5F0A">
      <w:pPr>
        <w:spacing w:after="0"/>
      </w:pPr>
      <w:r>
        <w:continuationSeparator/>
      </w:r>
    </w:p>
    <w:p w14:paraId="0DD818D7" w14:textId="77777777" w:rsidR="005D7D31" w:rsidRDefault="005D7D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Bold">
    <w:panose1 w:val="020B0704020202020204"/>
    <w:charset w:val="00"/>
    <w:family w:val="roman"/>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DotumChe">
    <w:charset w:val="81"/>
    <w:family w:val="modern"/>
    <w:pitch w:val="fixed"/>
    <w:sig w:usb0="B00002AF" w:usb1="69D77CFB" w:usb2="00000030" w:usb3="00000000" w:csb0="0008009F"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545E2" w14:textId="7FA9DCB8" w:rsidR="00295F87" w:rsidRPr="001579F9" w:rsidRDefault="001579F9" w:rsidP="00295F87">
    <w:pPr>
      <w:pStyle w:val="Footer"/>
      <w:rPr>
        <w:rFonts w:asciiTheme="minorHAnsi" w:hAnsiTheme="minorHAnsi"/>
        <w:b/>
      </w:rPr>
    </w:pPr>
    <w:bookmarkStart w:id="0" w:name="_Hlk157096869"/>
    <w:r>
      <w:rPr>
        <w:rFonts w:asciiTheme="minorHAnsi" w:hAnsiTheme="minorHAnsi"/>
        <w:b/>
      </w:rPr>
      <w:t>Final Report</w:t>
    </w:r>
  </w:p>
  <w:p w14:paraId="02A98B6F" w14:textId="5646A2D0" w:rsidR="000746F6" w:rsidRPr="001579F9" w:rsidRDefault="00000000" w:rsidP="001579F9">
    <w:pPr>
      <w:pStyle w:val="Footer"/>
      <w:tabs>
        <w:tab w:val="clear" w:pos="4513"/>
        <w:tab w:val="clear" w:pos="9026"/>
        <w:tab w:val="right" w:pos="9639"/>
      </w:tabs>
      <w:rPr>
        <w:rFonts w:asciiTheme="minorHAnsi" w:hAnsiTheme="minorHAnsi"/>
        <w:b/>
        <w:bCs/>
        <w:sz w:val="20"/>
        <w:szCs w:val="20"/>
      </w:rPr>
    </w:pPr>
    <w:sdt>
      <w:sdtPr>
        <w:rPr>
          <w:rFonts w:asciiTheme="minorHAnsi" w:hAnsiTheme="minorHAnsi"/>
          <w:sz w:val="20"/>
          <w:szCs w:val="20"/>
        </w:rPr>
        <w:alias w:val="Title"/>
        <w:tag w:val=""/>
        <w:id w:val="108784969"/>
        <w:placeholder>
          <w:docPart w:val="F00199DF7F684516A4266E0A9396A35A"/>
        </w:placeholder>
        <w:dataBinding w:prefixMappings="xmlns:ns0='http://purl.org/dc/elements/1.1/' xmlns:ns1='http://schemas.openxmlformats.org/package/2006/metadata/core-properties' " w:xpath="/ns1:coreProperties[1]/ns0:title[1]" w:storeItemID="{6C3C8BC8-F283-45AE-878A-BAB7291924A1}"/>
        <w:text/>
      </w:sdtPr>
      <w:sdtContent>
        <w:r w:rsidR="00CC45EB">
          <w:rPr>
            <w:rFonts w:asciiTheme="minorHAnsi" w:hAnsiTheme="minorHAnsi"/>
            <w:sz w:val="20"/>
            <w:szCs w:val="20"/>
          </w:rPr>
          <w:t>Best Practice Review of the model WHS laws</w:t>
        </w:r>
      </w:sdtContent>
    </w:sdt>
    <w:bookmarkEnd w:id="0"/>
    <w:r w:rsidR="00C6085C" w:rsidRPr="001579F9">
      <w:rPr>
        <w:rFonts w:asciiTheme="minorHAnsi" w:hAnsiTheme="minorHAnsi"/>
        <w:sz w:val="20"/>
        <w:szCs w:val="20"/>
      </w:rPr>
      <w:tab/>
    </w:r>
    <w:r w:rsidR="001B3E20" w:rsidRPr="001579F9">
      <w:rPr>
        <w:rFonts w:asciiTheme="minorHAnsi" w:hAnsiTheme="minorHAnsi"/>
        <w:b/>
        <w:bCs/>
        <w:sz w:val="20"/>
        <w:szCs w:val="20"/>
      </w:rPr>
      <w:t xml:space="preserve"> </w:t>
    </w:r>
    <w:r w:rsidR="001579F9" w:rsidRPr="001579F9">
      <w:rPr>
        <w:rFonts w:asciiTheme="majorHAnsi" w:hAnsiTheme="majorHAnsi"/>
        <w:b/>
        <w:bCs/>
        <w:sz w:val="20"/>
        <w:szCs w:val="20"/>
      </w:rPr>
      <w:fldChar w:fldCharType="begin"/>
    </w:r>
    <w:r w:rsidR="001579F9" w:rsidRPr="001579F9">
      <w:rPr>
        <w:rFonts w:asciiTheme="majorHAnsi" w:hAnsiTheme="majorHAnsi"/>
        <w:b/>
        <w:bCs/>
        <w:sz w:val="20"/>
        <w:szCs w:val="20"/>
      </w:rPr>
      <w:instrText xml:space="preserve"> STYLEREF  "SWA Heading 1"  \* MERGEFORMAT </w:instrText>
    </w:r>
    <w:r w:rsidR="001579F9" w:rsidRPr="001579F9">
      <w:rPr>
        <w:rFonts w:asciiTheme="majorHAnsi" w:hAnsiTheme="majorHAnsi"/>
        <w:b/>
        <w:bCs/>
        <w:sz w:val="20"/>
        <w:szCs w:val="20"/>
      </w:rPr>
      <w:fldChar w:fldCharType="separate"/>
    </w:r>
    <w:r w:rsidR="00465BF9">
      <w:rPr>
        <w:rFonts w:asciiTheme="majorHAnsi" w:hAnsiTheme="majorHAnsi"/>
        <w:b/>
        <w:bCs/>
        <w:noProof/>
        <w:sz w:val="20"/>
        <w:szCs w:val="20"/>
      </w:rPr>
      <w:t>Executive Summary</w:t>
    </w:r>
    <w:r w:rsidR="001579F9" w:rsidRPr="001579F9">
      <w:rPr>
        <w:rFonts w:asciiTheme="majorHAnsi" w:hAnsiTheme="majorHAnsi"/>
        <w:b/>
        <w:bCs/>
        <w:sz w:val="20"/>
        <w:szCs w:val="20"/>
      </w:rPr>
      <w:fldChar w:fldCharType="end"/>
    </w:r>
    <w:r w:rsidR="001B3E20" w:rsidRPr="001579F9">
      <w:rPr>
        <w:rFonts w:asciiTheme="majorHAnsi" w:hAnsiTheme="majorHAnsi"/>
        <w:b/>
        <w:bCs/>
        <w:sz w:val="20"/>
        <w:szCs w:val="20"/>
      </w:rPr>
      <w:t xml:space="preserve"> </w:t>
    </w:r>
    <w:r w:rsidR="001B3E20" w:rsidRPr="001579F9">
      <w:rPr>
        <w:rFonts w:asciiTheme="minorHAnsi" w:hAnsiTheme="minorHAnsi"/>
        <w:b/>
        <w:bCs/>
        <w:sz w:val="20"/>
        <w:szCs w:val="20"/>
      </w:rPr>
      <w:t xml:space="preserve">| Page </w:t>
    </w:r>
    <w:r w:rsidR="001B3E20" w:rsidRPr="001579F9">
      <w:rPr>
        <w:rFonts w:asciiTheme="minorHAnsi" w:hAnsiTheme="minorHAnsi"/>
        <w:b/>
        <w:bCs/>
        <w:sz w:val="20"/>
        <w:szCs w:val="20"/>
      </w:rPr>
      <w:fldChar w:fldCharType="begin"/>
    </w:r>
    <w:r w:rsidR="001B3E20" w:rsidRPr="001579F9">
      <w:rPr>
        <w:rFonts w:asciiTheme="minorHAnsi" w:hAnsiTheme="minorHAnsi"/>
        <w:b/>
        <w:bCs/>
        <w:sz w:val="20"/>
        <w:szCs w:val="20"/>
      </w:rPr>
      <w:instrText xml:space="preserve"> PAGE  \* Arabic  \* MERGEFORMAT </w:instrText>
    </w:r>
    <w:r w:rsidR="001B3E20" w:rsidRPr="001579F9">
      <w:rPr>
        <w:rFonts w:asciiTheme="minorHAnsi" w:hAnsiTheme="minorHAnsi"/>
        <w:b/>
        <w:bCs/>
        <w:sz w:val="20"/>
        <w:szCs w:val="20"/>
      </w:rPr>
      <w:fldChar w:fldCharType="separate"/>
    </w:r>
    <w:r w:rsidR="001B3E20" w:rsidRPr="001579F9">
      <w:rPr>
        <w:rFonts w:asciiTheme="minorHAnsi" w:hAnsiTheme="minorHAnsi"/>
        <w:b/>
        <w:bCs/>
        <w:sz w:val="20"/>
        <w:szCs w:val="20"/>
      </w:rPr>
      <w:t>4</w:t>
    </w:r>
    <w:r w:rsidR="001B3E20" w:rsidRPr="001579F9">
      <w:rPr>
        <w:rFonts w:asciiTheme="minorHAnsi" w:hAnsiTheme="minorHAnsi"/>
        <w:b/>
        <w:bCs/>
        <w:sz w:val="20"/>
        <w:szCs w:val="20"/>
      </w:rPr>
      <w:fldChar w:fldCharType="end"/>
    </w:r>
    <w:r w:rsidR="001B3E20" w:rsidRPr="001579F9">
      <w:rPr>
        <w:rFonts w:asciiTheme="minorHAnsi" w:hAnsiTheme="minorHAnsi"/>
        <w:b/>
        <w:bCs/>
        <w:sz w:val="20"/>
        <w:szCs w:val="20"/>
      </w:rPr>
      <w:t xml:space="preserve"> of </w:t>
    </w:r>
    <w:r w:rsidR="001B3E20" w:rsidRPr="001579F9">
      <w:rPr>
        <w:rFonts w:asciiTheme="minorHAnsi" w:hAnsiTheme="minorHAnsi"/>
        <w:b/>
        <w:bCs/>
        <w:sz w:val="20"/>
        <w:szCs w:val="20"/>
      </w:rPr>
      <w:fldChar w:fldCharType="begin"/>
    </w:r>
    <w:r w:rsidR="001B3E20" w:rsidRPr="001579F9">
      <w:rPr>
        <w:rFonts w:asciiTheme="minorHAnsi" w:hAnsiTheme="minorHAnsi"/>
        <w:b/>
        <w:bCs/>
        <w:sz w:val="20"/>
        <w:szCs w:val="20"/>
      </w:rPr>
      <w:instrText xml:space="preserve"> NUMPAGES  \* Arabic  \* MERGEFORMAT </w:instrText>
    </w:r>
    <w:r w:rsidR="001B3E20" w:rsidRPr="001579F9">
      <w:rPr>
        <w:rFonts w:asciiTheme="minorHAnsi" w:hAnsiTheme="minorHAnsi"/>
        <w:b/>
        <w:bCs/>
        <w:sz w:val="20"/>
        <w:szCs w:val="20"/>
      </w:rPr>
      <w:fldChar w:fldCharType="separate"/>
    </w:r>
    <w:r w:rsidR="001B3E20" w:rsidRPr="001579F9">
      <w:rPr>
        <w:rFonts w:asciiTheme="minorHAnsi" w:hAnsiTheme="minorHAnsi"/>
        <w:b/>
        <w:bCs/>
        <w:sz w:val="20"/>
        <w:szCs w:val="20"/>
      </w:rPr>
      <w:t>7</w:t>
    </w:r>
    <w:r w:rsidR="001B3E20" w:rsidRPr="001579F9">
      <w:rPr>
        <w:rFonts w:asciiTheme="minorHAnsi" w:hAnsiTheme="minorHAnsi"/>
        <w:b/>
        <w:bCs/>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63653AB8" w14:paraId="33ECD5E2" w14:textId="77777777" w:rsidTr="63653AB8">
      <w:trPr>
        <w:trHeight w:val="300"/>
      </w:trPr>
      <w:tc>
        <w:tcPr>
          <w:tcW w:w="3005" w:type="dxa"/>
        </w:tcPr>
        <w:p w14:paraId="24B9D864" w14:textId="7DD7BE9E" w:rsidR="63653AB8" w:rsidRDefault="63653AB8" w:rsidP="63653AB8">
          <w:pPr>
            <w:pStyle w:val="Header"/>
            <w:ind w:left="-115"/>
          </w:pPr>
        </w:p>
      </w:tc>
      <w:tc>
        <w:tcPr>
          <w:tcW w:w="3005" w:type="dxa"/>
        </w:tcPr>
        <w:p w14:paraId="67C999B8" w14:textId="2A18FC85" w:rsidR="63653AB8" w:rsidRDefault="63653AB8" w:rsidP="63653AB8">
          <w:pPr>
            <w:pStyle w:val="Header"/>
            <w:jc w:val="center"/>
          </w:pPr>
        </w:p>
      </w:tc>
      <w:tc>
        <w:tcPr>
          <w:tcW w:w="3005" w:type="dxa"/>
        </w:tcPr>
        <w:p w14:paraId="3166AA39" w14:textId="171A3B18" w:rsidR="63653AB8" w:rsidRDefault="63653AB8" w:rsidP="63653AB8">
          <w:pPr>
            <w:pStyle w:val="Header"/>
            <w:ind w:right="-115"/>
            <w:jc w:val="right"/>
          </w:pPr>
        </w:p>
      </w:tc>
    </w:tr>
  </w:tbl>
  <w:p w14:paraId="603D72ED" w14:textId="722FA1E1" w:rsidR="00E01DDF" w:rsidRDefault="00E01D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D7F98" w14:textId="3E5B5002" w:rsidR="001579F9" w:rsidRPr="001579F9" w:rsidRDefault="001579F9" w:rsidP="001579F9">
    <w:pPr>
      <w:pStyle w:val="Footer"/>
      <w:rPr>
        <w:rFonts w:asciiTheme="minorHAnsi" w:hAnsiTheme="minorHAnsi"/>
        <w:b/>
      </w:rPr>
    </w:pPr>
    <w:r>
      <w:rPr>
        <w:rFonts w:asciiTheme="minorHAnsi" w:hAnsiTheme="minorHAnsi"/>
        <w:b/>
      </w:rPr>
      <w:t>Final Report</w:t>
    </w:r>
  </w:p>
  <w:p w14:paraId="2B8C4F3B" w14:textId="6ECEC33C" w:rsidR="00241746" w:rsidRPr="000D26F7" w:rsidRDefault="00000000" w:rsidP="001579F9">
    <w:pPr>
      <w:pStyle w:val="Footer"/>
      <w:tabs>
        <w:tab w:val="clear" w:pos="4513"/>
        <w:tab w:val="clear" w:pos="9026"/>
        <w:tab w:val="right" w:pos="9639"/>
      </w:tabs>
      <w:rPr>
        <w:rFonts w:asciiTheme="minorHAnsi" w:hAnsiTheme="minorHAnsi"/>
        <w:b/>
        <w:bCs/>
        <w:sz w:val="19"/>
        <w:szCs w:val="19"/>
      </w:rPr>
    </w:pPr>
    <w:sdt>
      <w:sdtPr>
        <w:rPr>
          <w:rFonts w:asciiTheme="minorHAnsi" w:hAnsiTheme="minorHAnsi"/>
          <w:sz w:val="19"/>
          <w:szCs w:val="19"/>
        </w:rPr>
        <w:alias w:val="Title"/>
        <w:tag w:val=""/>
        <w:id w:val="97149768"/>
        <w:placeholder>
          <w:docPart w:val="17CCA7F4EF844D5A88CB26A08A078B18"/>
        </w:placeholder>
        <w:dataBinding w:prefixMappings="xmlns:ns0='http://purl.org/dc/elements/1.1/' xmlns:ns1='http://schemas.openxmlformats.org/package/2006/metadata/core-properties' " w:xpath="/ns1:coreProperties[1]/ns0:title[1]" w:storeItemID="{6C3C8BC8-F283-45AE-878A-BAB7291924A1}"/>
        <w:text/>
      </w:sdtPr>
      <w:sdtContent>
        <w:r w:rsidR="00CC45EB" w:rsidRPr="000D26F7">
          <w:rPr>
            <w:rFonts w:asciiTheme="minorHAnsi" w:hAnsiTheme="minorHAnsi"/>
            <w:sz w:val="19"/>
            <w:szCs w:val="19"/>
          </w:rPr>
          <w:t xml:space="preserve">Best Practice Review of the </w:t>
        </w:r>
        <w:r w:rsidR="00CC45EB">
          <w:rPr>
            <w:rFonts w:asciiTheme="minorHAnsi" w:hAnsiTheme="minorHAnsi"/>
            <w:sz w:val="19"/>
            <w:szCs w:val="19"/>
          </w:rPr>
          <w:t>m</w:t>
        </w:r>
        <w:r w:rsidR="00CC45EB" w:rsidRPr="000D26F7">
          <w:rPr>
            <w:rFonts w:asciiTheme="minorHAnsi" w:hAnsiTheme="minorHAnsi"/>
            <w:sz w:val="19"/>
            <w:szCs w:val="19"/>
          </w:rPr>
          <w:t>odel WHS laws</w:t>
        </w:r>
      </w:sdtContent>
    </w:sdt>
    <w:r w:rsidR="001579F9" w:rsidRPr="000D26F7">
      <w:rPr>
        <w:rFonts w:asciiTheme="minorHAnsi" w:hAnsiTheme="minorHAnsi"/>
        <w:sz w:val="19"/>
        <w:szCs w:val="19"/>
      </w:rPr>
      <w:tab/>
    </w:r>
    <w:r w:rsidR="001579F9" w:rsidRPr="000D26F7">
      <w:rPr>
        <w:rFonts w:asciiTheme="minorHAnsi" w:hAnsiTheme="minorHAnsi"/>
        <w:b/>
        <w:bCs/>
        <w:sz w:val="19"/>
        <w:szCs w:val="19"/>
      </w:rPr>
      <w:t xml:space="preserve">Page </w:t>
    </w:r>
    <w:r w:rsidR="001579F9" w:rsidRPr="000D26F7">
      <w:rPr>
        <w:rFonts w:asciiTheme="minorHAnsi" w:hAnsiTheme="minorHAnsi"/>
        <w:b/>
        <w:bCs/>
        <w:sz w:val="19"/>
        <w:szCs w:val="19"/>
      </w:rPr>
      <w:fldChar w:fldCharType="begin"/>
    </w:r>
    <w:r w:rsidR="001579F9" w:rsidRPr="000D26F7">
      <w:rPr>
        <w:rFonts w:asciiTheme="minorHAnsi" w:hAnsiTheme="minorHAnsi"/>
        <w:b/>
        <w:bCs/>
        <w:sz w:val="19"/>
        <w:szCs w:val="19"/>
      </w:rPr>
      <w:instrText xml:space="preserve"> PAGE  \* Arabic  \* MERGEFORMAT </w:instrText>
    </w:r>
    <w:r w:rsidR="001579F9" w:rsidRPr="000D26F7">
      <w:rPr>
        <w:rFonts w:asciiTheme="minorHAnsi" w:hAnsiTheme="minorHAnsi"/>
        <w:b/>
        <w:bCs/>
        <w:sz w:val="19"/>
        <w:szCs w:val="19"/>
      </w:rPr>
      <w:fldChar w:fldCharType="separate"/>
    </w:r>
    <w:r w:rsidR="001579F9" w:rsidRPr="000D26F7">
      <w:rPr>
        <w:rFonts w:asciiTheme="minorHAnsi" w:hAnsiTheme="minorHAnsi"/>
        <w:b/>
        <w:bCs/>
        <w:sz w:val="19"/>
        <w:szCs w:val="19"/>
      </w:rPr>
      <w:t>9</w:t>
    </w:r>
    <w:r w:rsidR="001579F9" w:rsidRPr="000D26F7">
      <w:rPr>
        <w:rFonts w:asciiTheme="minorHAnsi" w:hAnsiTheme="minorHAnsi"/>
        <w:b/>
        <w:bCs/>
        <w:sz w:val="19"/>
        <w:szCs w:val="19"/>
      </w:rPr>
      <w:fldChar w:fldCharType="end"/>
    </w:r>
    <w:r w:rsidR="001579F9" w:rsidRPr="000D26F7">
      <w:rPr>
        <w:rFonts w:asciiTheme="minorHAnsi" w:hAnsiTheme="minorHAnsi"/>
        <w:b/>
        <w:bCs/>
        <w:sz w:val="19"/>
        <w:szCs w:val="19"/>
      </w:rPr>
      <w:t xml:space="preserve"> of </w:t>
    </w:r>
    <w:r w:rsidR="001579F9" w:rsidRPr="000D26F7">
      <w:rPr>
        <w:rFonts w:asciiTheme="minorHAnsi" w:hAnsiTheme="minorHAnsi"/>
        <w:b/>
        <w:bCs/>
        <w:sz w:val="19"/>
        <w:szCs w:val="19"/>
      </w:rPr>
      <w:fldChar w:fldCharType="begin"/>
    </w:r>
    <w:r w:rsidR="001579F9" w:rsidRPr="000D26F7">
      <w:rPr>
        <w:rFonts w:asciiTheme="minorHAnsi" w:hAnsiTheme="minorHAnsi"/>
        <w:b/>
        <w:bCs/>
        <w:sz w:val="19"/>
        <w:szCs w:val="19"/>
      </w:rPr>
      <w:instrText xml:space="preserve"> NUMPAGES  \* Arabic  \* MERGEFORMAT </w:instrText>
    </w:r>
    <w:r w:rsidR="001579F9" w:rsidRPr="000D26F7">
      <w:rPr>
        <w:rFonts w:asciiTheme="minorHAnsi" w:hAnsiTheme="minorHAnsi"/>
        <w:b/>
        <w:bCs/>
        <w:sz w:val="19"/>
        <w:szCs w:val="19"/>
      </w:rPr>
      <w:fldChar w:fldCharType="separate"/>
    </w:r>
    <w:r w:rsidR="001579F9" w:rsidRPr="000D26F7">
      <w:rPr>
        <w:rFonts w:asciiTheme="minorHAnsi" w:hAnsiTheme="minorHAnsi"/>
        <w:b/>
        <w:bCs/>
        <w:sz w:val="19"/>
        <w:szCs w:val="19"/>
      </w:rPr>
      <w:t>13</w:t>
    </w:r>
    <w:r w:rsidR="001579F9" w:rsidRPr="000D26F7">
      <w:rPr>
        <w:rFonts w:asciiTheme="minorHAnsi" w:hAnsiTheme="minorHAnsi"/>
        <w:b/>
        <w:bCs/>
        <w:noProof/>
        <w:sz w:val="19"/>
        <w:szCs w:val="19"/>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BEB86" w14:textId="77777777" w:rsidR="001579F9" w:rsidRPr="001579F9" w:rsidRDefault="001579F9" w:rsidP="00295F87">
    <w:pPr>
      <w:pStyle w:val="Footer"/>
      <w:rPr>
        <w:rFonts w:asciiTheme="minorHAnsi" w:hAnsiTheme="minorHAnsi"/>
        <w:b/>
      </w:rPr>
    </w:pPr>
    <w:r>
      <w:rPr>
        <w:rFonts w:asciiTheme="minorHAnsi" w:hAnsiTheme="minorHAnsi"/>
        <w:b/>
      </w:rPr>
      <w:t>Final Report</w:t>
    </w:r>
  </w:p>
  <w:p w14:paraId="0A975E9B" w14:textId="0D24BEF9" w:rsidR="001579F9" w:rsidRPr="000D26F7" w:rsidRDefault="00000000" w:rsidP="00461E87">
    <w:pPr>
      <w:pStyle w:val="Footer"/>
      <w:tabs>
        <w:tab w:val="clear" w:pos="4513"/>
        <w:tab w:val="clear" w:pos="9026"/>
        <w:tab w:val="right" w:pos="15309"/>
      </w:tabs>
      <w:rPr>
        <w:rFonts w:asciiTheme="minorHAnsi" w:hAnsiTheme="minorHAnsi"/>
        <w:b/>
        <w:bCs/>
        <w:sz w:val="19"/>
        <w:szCs w:val="19"/>
      </w:rPr>
    </w:pPr>
    <w:sdt>
      <w:sdtPr>
        <w:rPr>
          <w:rFonts w:asciiTheme="minorHAnsi" w:hAnsiTheme="minorHAnsi"/>
          <w:sz w:val="19"/>
          <w:szCs w:val="19"/>
        </w:rPr>
        <w:alias w:val="Title"/>
        <w:tag w:val=""/>
        <w:id w:val="-1997405878"/>
        <w:placeholder>
          <w:docPart w:val="9CE85D6666B24F2AA5B4E49061032C91"/>
        </w:placeholder>
        <w:dataBinding w:prefixMappings="xmlns:ns0='http://purl.org/dc/elements/1.1/' xmlns:ns1='http://schemas.openxmlformats.org/package/2006/metadata/core-properties' " w:xpath="/ns1:coreProperties[1]/ns0:title[1]" w:storeItemID="{6C3C8BC8-F283-45AE-878A-BAB7291924A1}"/>
        <w:text/>
      </w:sdtPr>
      <w:sdtContent>
        <w:r w:rsidR="00CC45EB">
          <w:rPr>
            <w:rFonts w:asciiTheme="minorHAnsi" w:hAnsiTheme="minorHAnsi"/>
            <w:sz w:val="19"/>
            <w:szCs w:val="19"/>
          </w:rPr>
          <w:t>Best Practice Review of the model WHS laws</w:t>
        </w:r>
      </w:sdtContent>
    </w:sdt>
    <w:r w:rsidR="001579F9" w:rsidRPr="000D26F7">
      <w:rPr>
        <w:rFonts w:asciiTheme="minorHAnsi" w:hAnsiTheme="minorHAnsi"/>
        <w:sz w:val="19"/>
        <w:szCs w:val="19"/>
      </w:rPr>
      <w:tab/>
    </w:r>
    <w:r w:rsidR="00BF204D" w:rsidRPr="000D26F7">
      <w:rPr>
        <w:rFonts w:asciiTheme="minorHAnsi" w:hAnsiTheme="minorHAnsi"/>
        <w:sz w:val="19"/>
        <w:szCs w:val="19"/>
      </w:rPr>
      <w:t xml:space="preserve"> </w:t>
    </w:r>
    <w:r w:rsidR="00BF204D" w:rsidRPr="000D26F7">
      <w:rPr>
        <w:rFonts w:asciiTheme="minorHAnsi" w:hAnsiTheme="minorHAnsi"/>
        <w:b/>
        <w:bCs/>
        <w:sz w:val="19"/>
        <w:szCs w:val="19"/>
      </w:rPr>
      <w:t>Contents</w:t>
    </w:r>
    <w:r w:rsidR="00BF204D" w:rsidRPr="000D26F7">
      <w:rPr>
        <w:rFonts w:asciiTheme="minorHAnsi" w:hAnsiTheme="minorHAnsi"/>
        <w:sz w:val="19"/>
        <w:szCs w:val="19"/>
      </w:rPr>
      <w:t xml:space="preserve"> </w:t>
    </w:r>
    <w:r w:rsidR="001579F9" w:rsidRPr="000D26F7">
      <w:rPr>
        <w:rFonts w:asciiTheme="minorHAnsi" w:hAnsiTheme="minorHAnsi"/>
        <w:b/>
        <w:bCs/>
        <w:sz w:val="19"/>
        <w:szCs w:val="19"/>
      </w:rPr>
      <w:t xml:space="preserve">| Page </w:t>
    </w:r>
    <w:r w:rsidR="001579F9" w:rsidRPr="000D26F7">
      <w:rPr>
        <w:rFonts w:asciiTheme="minorHAnsi" w:hAnsiTheme="minorHAnsi"/>
        <w:b/>
        <w:bCs/>
        <w:sz w:val="19"/>
        <w:szCs w:val="19"/>
      </w:rPr>
      <w:fldChar w:fldCharType="begin"/>
    </w:r>
    <w:r w:rsidR="001579F9" w:rsidRPr="000D26F7">
      <w:rPr>
        <w:rFonts w:asciiTheme="minorHAnsi" w:hAnsiTheme="minorHAnsi"/>
        <w:b/>
        <w:bCs/>
        <w:sz w:val="19"/>
        <w:szCs w:val="19"/>
      </w:rPr>
      <w:instrText xml:space="preserve"> PAGE  \* Arabic  \* MERGEFORMAT </w:instrText>
    </w:r>
    <w:r w:rsidR="001579F9" w:rsidRPr="000D26F7">
      <w:rPr>
        <w:rFonts w:asciiTheme="minorHAnsi" w:hAnsiTheme="minorHAnsi"/>
        <w:b/>
        <w:bCs/>
        <w:sz w:val="19"/>
        <w:szCs w:val="19"/>
      </w:rPr>
      <w:fldChar w:fldCharType="separate"/>
    </w:r>
    <w:r w:rsidR="001579F9" w:rsidRPr="000D26F7">
      <w:rPr>
        <w:rFonts w:asciiTheme="minorHAnsi" w:hAnsiTheme="minorHAnsi"/>
        <w:b/>
        <w:bCs/>
        <w:sz w:val="19"/>
        <w:szCs w:val="19"/>
      </w:rPr>
      <w:t>4</w:t>
    </w:r>
    <w:r w:rsidR="001579F9" w:rsidRPr="000D26F7">
      <w:rPr>
        <w:rFonts w:asciiTheme="minorHAnsi" w:hAnsiTheme="minorHAnsi"/>
        <w:b/>
        <w:bCs/>
        <w:sz w:val="19"/>
        <w:szCs w:val="19"/>
      </w:rPr>
      <w:fldChar w:fldCharType="end"/>
    </w:r>
    <w:r w:rsidR="001579F9" w:rsidRPr="000D26F7">
      <w:rPr>
        <w:rFonts w:asciiTheme="minorHAnsi" w:hAnsiTheme="minorHAnsi"/>
        <w:b/>
        <w:bCs/>
        <w:sz w:val="19"/>
        <w:szCs w:val="19"/>
      </w:rPr>
      <w:t xml:space="preserve"> of </w:t>
    </w:r>
    <w:r w:rsidR="001579F9" w:rsidRPr="000D26F7">
      <w:rPr>
        <w:rFonts w:asciiTheme="minorHAnsi" w:hAnsiTheme="minorHAnsi"/>
        <w:b/>
        <w:bCs/>
        <w:sz w:val="19"/>
        <w:szCs w:val="19"/>
      </w:rPr>
      <w:fldChar w:fldCharType="begin"/>
    </w:r>
    <w:r w:rsidR="001579F9" w:rsidRPr="000D26F7">
      <w:rPr>
        <w:rFonts w:asciiTheme="minorHAnsi" w:hAnsiTheme="minorHAnsi"/>
        <w:b/>
        <w:bCs/>
        <w:sz w:val="19"/>
        <w:szCs w:val="19"/>
      </w:rPr>
      <w:instrText xml:space="preserve"> NUMPAGES  \* Arabic  \* MERGEFORMAT </w:instrText>
    </w:r>
    <w:r w:rsidR="001579F9" w:rsidRPr="000D26F7">
      <w:rPr>
        <w:rFonts w:asciiTheme="minorHAnsi" w:hAnsiTheme="minorHAnsi"/>
        <w:b/>
        <w:bCs/>
        <w:sz w:val="19"/>
        <w:szCs w:val="19"/>
      </w:rPr>
      <w:fldChar w:fldCharType="separate"/>
    </w:r>
    <w:r w:rsidR="001579F9" w:rsidRPr="000D26F7">
      <w:rPr>
        <w:rFonts w:asciiTheme="minorHAnsi" w:hAnsiTheme="minorHAnsi"/>
        <w:b/>
        <w:bCs/>
        <w:sz w:val="19"/>
        <w:szCs w:val="19"/>
      </w:rPr>
      <w:t>7</w:t>
    </w:r>
    <w:r w:rsidR="001579F9" w:rsidRPr="000D26F7">
      <w:rPr>
        <w:rFonts w:asciiTheme="minorHAnsi" w:hAnsiTheme="minorHAnsi"/>
        <w:b/>
        <w:bCs/>
        <w:noProof/>
        <w:sz w:val="19"/>
        <w:szCs w:val="19"/>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551DA" w14:textId="42EB8920" w:rsidR="00BF204D" w:rsidRPr="001579F9" w:rsidRDefault="00BF204D" w:rsidP="00295F87">
    <w:pPr>
      <w:pStyle w:val="Footer"/>
      <w:rPr>
        <w:rFonts w:asciiTheme="minorHAnsi" w:hAnsiTheme="minorHAnsi"/>
        <w:b/>
      </w:rPr>
    </w:pPr>
    <w:r>
      <w:rPr>
        <w:rFonts w:asciiTheme="minorHAnsi" w:hAnsiTheme="minorHAnsi"/>
        <w:b/>
      </w:rPr>
      <w:t xml:space="preserve">Final </w:t>
    </w:r>
    <w:r w:rsidR="00FA3A87">
      <w:rPr>
        <w:rFonts w:asciiTheme="minorHAnsi" w:hAnsiTheme="minorHAnsi"/>
        <w:b/>
      </w:rPr>
      <w:t>r</w:t>
    </w:r>
    <w:r>
      <w:rPr>
        <w:rFonts w:asciiTheme="minorHAnsi" w:hAnsiTheme="minorHAnsi"/>
        <w:b/>
      </w:rPr>
      <w:t>eport</w:t>
    </w:r>
  </w:p>
  <w:p w14:paraId="3E01DD6E" w14:textId="77AFD81F" w:rsidR="00BF204D" w:rsidRPr="000D26F7" w:rsidRDefault="00000000" w:rsidP="00461E87">
    <w:pPr>
      <w:pStyle w:val="Footer"/>
      <w:tabs>
        <w:tab w:val="clear" w:pos="4513"/>
        <w:tab w:val="clear" w:pos="9026"/>
        <w:tab w:val="right" w:pos="15309"/>
      </w:tabs>
      <w:rPr>
        <w:rFonts w:asciiTheme="minorHAnsi" w:hAnsiTheme="minorHAnsi"/>
        <w:b/>
        <w:bCs/>
        <w:sz w:val="19"/>
        <w:szCs w:val="19"/>
      </w:rPr>
    </w:pPr>
    <w:sdt>
      <w:sdtPr>
        <w:rPr>
          <w:rFonts w:asciiTheme="minorHAnsi" w:hAnsiTheme="minorHAnsi"/>
          <w:sz w:val="19"/>
          <w:szCs w:val="19"/>
        </w:rPr>
        <w:alias w:val="Title"/>
        <w:tag w:val=""/>
        <w:id w:val="-1048989845"/>
        <w:placeholder>
          <w:docPart w:val="601CE409F44E4CE780D0DD61E35FBF76"/>
        </w:placeholder>
        <w:dataBinding w:prefixMappings="xmlns:ns0='http://purl.org/dc/elements/1.1/' xmlns:ns1='http://schemas.openxmlformats.org/package/2006/metadata/core-properties' " w:xpath="/ns1:coreProperties[1]/ns0:title[1]" w:storeItemID="{6C3C8BC8-F283-45AE-878A-BAB7291924A1}"/>
        <w:text/>
      </w:sdtPr>
      <w:sdtContent>
        <w:r w:rsidR="00CC45EB">
          <w:rPr>
            <w:rFonts w:asciiTheme="minorHAnsi" w:hAnsiTheme="minorHAnsi"/>
            <w:sz w:val="19"/>
            <w:szCs w:val="19"/>
          </w:rPr>
          <w:t>Best Practice Review of the model WHS laws</w:t>
        </w:r>
      </w:sdtContent>
    </w:sdt>
    <w:r w:rsidR="00BF204D" w:rsidRPr="000D26F7">
      <w:rPr>
        <w:rFonts w:asciiTheme="minorHAnsi" w:hAnsiTheme="minorHAnsi"/>
        <w:sz w:val="19"/>
        <w:szCs w:val="19"/>
      </w:rPr>
      <w:tab/>
    </w:r>
    <w:r w:rsidR="00BF204D" w:rsidRPr="000D26F7">
      <w:rPr>
        <w:rFonts w:asciiTheme="majorHAnsi" w:hAnsiTheme="majorHAnsi"/>
        <w:b/>
        <w:bCs/>
        <w:sz w:val="19"/>
        <w:szCs w:val="19"/>
      </w:rPr>
      <w:fldChar w:fldCharType="begin"/>
    </w:r>
    <w:r w:rsidR="00BF204D" w:rsidRPr="000D26F7">
      <w:rPr>
        <w:rFonts w:asciiTheme="majorHAnsi" w:hAnsiTheme="majorHAnsi"/>
        <w:b/>
        <w:bCs/>
        <w:sz w:val="19"/>
        <w:szCs w:val="19"/>
      </w:rPr>
      <w:instrText xml:space="preserve"> STYLEREF  "SWA Heading 1"  \* MERGEFORMAT </w:instrText>
    </w:r>
    <w:r w:rsidR="00BF204D" w:rsidRPr="000D26F7">
      <w:rPr>
        <w:rFonts w:asciiTheme="majorHAnsi" w:hAnsiTheme="majorHAnsi"/>
        <w:b/>
        <w:bCs/>
        <w:sz w:val="19"/>
        <w:szCs w:val="19"/>
      </w:rPr>
      <w:fldChar w:fldCharType="separate"/>
    </w:r>
    <w:r w:rsidR="0057400E">
      <w:rPr>
        <w:rFonts w:asciiTheme="majorHAnsi" w:hAnsiTheme="majorHAnsi"/>
        <w:b/>
        <w:bCs/>
        <w:noProof/>
        <w:sz w:val="19"/>
        <w:szCs w:val="19"/>
      </w:rPr>
      <w:t>The harmonisation objective</w:t>
    </w:r>
    <w:r w:rsidR="00BF204D" w:rsidRPr="000D26F7">
      <w:rPr>
        <w:rFonts w:asciiTheme="majorHAnsi" w:hAnsiTheme="majorHAnsi"/>
        <w:b/>
        <w:bCs/>
        <w:sz w:val="19"/>
        <w:szCs w:val="19"/>
      </w:rPr>
      <w:fldChar w:fldCharType="end"/>
    </w:r>
    <w:r w:rsidR="00BF204D" w:rsidRPr="000D26F7">
      <w:rPr>
        <w:rFonts w:asciiTheme="majorHAnsi" w:hAnsiTheme="majorHAnsi"/>
        <w:b/>
        <w:bCs/>
        <w:sz w:val="19"/>
        <w:szCs w:val="19"/>
      </w:rPr>
      <w:t xml:space="preserve"> </w:t>
    </w:r>
    <w:r w:rsidR="00BF204D" w:rsidRPr="000D26F7">
      <w:rPr>
        <w:rFonts w:asciiTheme="minorHAnsi" w:hAnsiTheme="minorHAnsi"/>
        <w:b/>
        <w:bCs/>
        <w:sz w:val="19"/>
        <w:szCs w:val="19"/>
      </w:rPr>
      <w:t xml:space="preserve">| Page </w:t>
    </w:r>
    <w:r w:rsidR="00BF204D" w:rsidRPr="000D26F7">
      <w:rPr>
        <w:rFonts w:asciiTheme="minorHAnsi" w:hAnsiTheme="minorHAnsi"/>
        <w:b/>
        <w:bCs/>
        <w:sz w:val="19"/>
        <w:szCs w:val="19"/>
      </w:rPr>
      <w:fldChar w:fldCharType="begin"/>
    </w:r>
    <w:r w:rsidR="00BF204D" w:rsidRPr="000D26F7">
      <w:rPr>
        <w:rFonts w:asciiTheme="minorHAnsi" w:hAnsiTheme="minorHAnsi"/>
        <w:b/>
        <w:bCs/>
        <w:sz w:val="19"/>
        <w:szCs w:val="19"/>
      </w:rPr>
      <w:instrText xml:space="preserve"> PAGE  \* Arabic  \* MERGEFORMAT </w:instrText>
    </w:r>
    <w:r w:rsidR="00BF204D" w:rsidRPr="000D26F7">
      <w:rPr>
        <w:rFonts w:asciiTheme="minorHAnsi" w:hAnsiTheme="minorHAnsi"/>
        <w:b/>
        <w:bCs/>
        <w:sz w:val="19"/>
        <w:szCs w:val="19"/>
      </w:rPr>
      <w:fldChar w:fldCharType="separate"/>
    </w:r>
    <w:r w:rsidR="00BF204D" w:rsidRPr="000D26F7">
      <w:rPr>
        <w:rFonts w:asciiTheme="minorHAnsi" w:hAnsiTheme="minorHAnsi"/>
        <w:b/>
        <w:bCs/>
        <w:sz w:val="19"/>
        <w:szCs w:val="19"/>
      </w:rPr>
      <w:t>6</w:t>
    </w:r>
    <w:r w:rsidR="00BF204D" w:rsidRPr="000D26F7">
      <w:rPr>
        <w:rFonts w:asciiTheme="minorHAnsi" w:hAnsiTheme="minorHAnsi"/>
        <w:b/>
        <w:bCs/>
        <w:sz w:val="19"/>
        <w:szCs w:val="19"/>
      </w:rPr>
      <w:fldChar w:fldCharType="end"/>
    </w:r>
    <w:r w:rsidR="00BF204D" w:rsidRPr="000D26F7">
      <w:rPr>
        <w:rFonts w:asciiTheme="minorHAnsi" w:hAnsiTheme="minorHAnsi"/>
        <w:b/>
        <w:bCs/>
        <w:sz w:val="19"/>
        <w:szCs w:val="19"/>
      </w:rPr>
      <w:t xml:space="preserve"> of </w:t>
    </w:r>
    <w:r w:rsidR="00BF204D" w:rsidRPr="000D26F7">
      <w:rPr>
        <w:rFonts w:asciiTheme="minorHAnsi" w:hAnsiTheme="minorHAnsi"/>
        <w:b/>
        <w:bCs/>
        <w:sz w:val="19"/>
        <w:szCs w:val="19"/>
      </w:rPr>
      <w:fldChar w:fldCharType="begin"/>
    </w:r>
    <w:r w:rsidR="00BF204D" w:rsidRPr="000D26F7">
      <w:rPr>
        <w:rFonts w:asciiTheme="minorHAnsi" w:hAnsiTheme="minorHAnsi"/>
        <w:b/>
        <w:bCs/>
        <w:sz w:val="19"/>
        <w:szCs w:val="19"/>
      </w:rPr>
      <w:instrText xml:space="preserve"> NUMPAGES  \* Arabic  \* MERGEFORMAT </w:instrText>
    </w:r>
    <w:r w:rsidR="00BF204D" w:rsidRPr="000D26F7">
      <w:rPr>
        <w:rFonts w:asciiTheme="minorHAnsi" w:hAnsiTheme="minorHAnsi"/>
        <w:b/>
        <w:bCs/>
        <w:sz w:val="19"/>
        <w:szCs w:val="19"/>
      </w:rPr>
      <w:fldChar w:fldCharType="separate"/>
    </w:r>
    <w:r w:rsidR="00BF204D" w:rsidRPr="000D26F7">
      <w:rPr>
        <w:rFonts w:asciiTheme="minorHAnsi" w:hAnsiTheme="minorHAnsi"/>
        <w:b/>
        <w:bCs/>
        <w:sz w:val="19"/>
        <w:szCs w:val="19"/>
      </w:rPr>
      <w:t>47</w:t>
    </w:r>
    <w:r w:rsidR="00BF204D" w:rsidRPr="000D26F7">
      <w:rPr>
        <w:rFonts w:asciiTheme="minorHAnsi" w:hAnsiTheme="minorHAnsi"/>
        <w:b/>
        <w:bCs/>
        <w:noProof/>
        <w:sz w:val="19"/>
        <w:szCs w:val="19"/>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357D0" w14:textId="77777777" w:rsidR="00BF204D" w:rsidRPr="001579F9" w:rsidRDefault="00BF204D" w:rsidP="001579F9">
    <w:pPr>
      <w:pStyle w:val="Footer"/>
      <w:rPr>
        <w:rFonts w:asciiTheme="minorHAnsi" w:hAnsiTheme="minorHAnsi"/>
        <w:b/>
      </w:rPr>
    </w:pPr>
    <w:r>
      <w:rPr>
        <w:rFonts w:asciiTheme="minorHAnsi" w:hAnsiTheme="minorHAnsi"/>
        <w:b/>
      </w:rPr>
      <w:t>Final Report</w:t>
    </w:r>
  </w:p>
  <w:p w14:paraId="7BDCA51E" w14:textId="1F260DE4" w:rsidR="00BF204D" w:rsidRPr="000D26F7" w:rsidRDefault="00000000" w:rsidP="001579F9">
    <w:pPr>
      <w:pStyle w:val="Footer"/>
      <w:tabs>
        <w:tab w:val="clear" w:pos="4513"/>
        <w:tab w:val="clear" w:pos="9026"/>
        <w:tab w:val="right" w:pos="9639"/>
      </w:tabs>
      <w:rPr>
        <w:rFonts w:asciiTheme="minorHAnsi" w:hAnsiTheme="minorHAnsi"/>
        <w:b/>
        <w:bCs/>
        <w:sz w:val="19"/>
        <w:szCs w:val="19"/>
      </w:rPr>
    </w:pPr>
    <w:sdt>
      <w:sdtPr>
        <w:rPr>
          <w:rFonts w:asciiTheme="minorHAnsi" w:hAnsiTheme="minorHAnsi"/>
          <w:sz w:val="19"/>
          <w:szCs w:val="19"/>
        </w:rPr>
        <w:alias w:val="Title"/>
        <w:tag w:val=""/>
        <w:id w:val="-385956998"/>
        <w:placeholder>
          <w:docPart w:val="714F14CAC2AE45F9B5B20894D9F5D664"/>
        </w:placeholder>
        <w:dataBinding w:prefixMappings="xmlns:ns0='http://purl.org/dc/elements/1.1/' xmlns:ns1='http://schemas.openxmlformats.org/package/2006/metadata/core-properties' " w:xpath="/ns1:coreProperties[1]/ns0:title[1]" w:storeItemID="{6C3C8BC8-F283-45AE-878A-BAB7291924A1}"/>
        <w:text/>
      </w:sdtPr>
      <w:sdtContent>
        <w:r w:rsidR="00CC45EB">
          <w:rPr>
            <w:rFonts w:asciiTheme="minorHAnsi" w:hAnsiTheme="minorHAnsi"/>
            <w:sz w:val="19"/>
            <w:szCs w:val="19"/>
          </w:rPr>
          <w:t>Best Practice Review of the model WHS laws</w:t>
        </w:r>
      </w:sdtContent>
    </w:sdt>
    <w:r w:rsidR="00BF204D" w:rsidRPr="000D26F7">
      <w:rPr>
        <w:rFonts w:asciiTheme="minorHAnsi" w:hAnsiTheme="minorHAnsi"/>
        <w:sz w:val="19"/>
        <w:szCs w:val="19"/>
      </w:rPr>
      <w:tab/>
    </w:r>
    <w:r w:rsidR="00BF204D" w:rsidRPr="000D26F7">
      <w:rPr>
        <w:rFonts w:asciiTheme="minorHAnsi" w:hAnsiTheme="minorHAnsi"/>
        <w:b/>
        <w:bCs/>
        <w:sz w:val="19"/>
        <w:szCs w:val="19"/>
      </w:rPr>
      <w:t xml:space="preserve">Page </w:t>
    </w:r>
    <w:r w:rsidR="00BF204D" w:rsidRPr="000D26F7">
      <w:rPr>
        <w:rFonts w:asciiTheme="minorHAnsi" w:hAnsiTheme="minorHAnsi"/>
        <w:b/>
        <w:bCs/>
        <w:sz w:val="19"/>
        <w:szCs w:val="19"/>
      </w:rPr>
      <w:fldChar w:fldCharType="begin"/>
    </w:r>
    <w:r w:rsidR="00BF204D" w:rsidRPr="000D26F7">
      <w:rPr>
        <w:rFonts w:asciiTheme="minorHAnsi" w:hAnsiTheme="minorHAnsi"/>
        <w:b/>
        <w:bCs/>
        <w:sz w:val="19"/>
        <w:szCs w:val="19"/>
      </w:rPr>
      <w:instrText xml:space="preserve"> PAGE  \* Arabic  \* MERGEFORMAT </w:instrText>
    </w:r>
    <w:r w:rsidR="00BF204D" w:rsidRPr="000D26F7">
      <w:rPr>
        <w:rFonts w:asciiTheme="minorHAnsi" w:hAnsiTheme="minorHAnsi"/>
        <w:b/>
        <w:bCs/>
        <w:sz w:val="19"/>
        <w:szCs w:val="19"/>
      </w:rPr>
      <w:fldChar w:fldCharType="separate"/>
    </w:r>
    <w:r w:rsidR="00BF204D" w:rsidRPr="000D26F7">
      <w:rPr>
        <w:rFonts w:asciiTheme="minorHAnsi" w:hAnsiTheme="minorHAnsi"/>
        <w:b/>
        <w:bCs/>
        <w:sz w:val="19"/>
        <w:szCs w:val="19"/>
      </w:rPr>
      <w:t>9</w:t>
    </w:r>
    <w:r w:rsidR="00BF204D" w:rsidRPr="000D26F7">
      <w:rPr>
        <w:rFonts w:asciiTheme="minorHAnsi" w:hAnsiTheme="minorHAnsi"/>
        <w:b/>
        <w:bCs/>
        <w:sz w:val="19"/>
        <w:szCs w:val="19"/>
      </w:rPr>
      <w:fldChar w:fldCharType="end"/>
    </w:r>
    <w:r w:rsidR="00BF204D" w:rsidRPr="000D26F7">
      <w:rPr>
        <w:rFonts w:asciiTheme="minorHAnsi" w:hAnsiTheme="minorHAnsi"/>
        <w:b/>
        <w:bCs/>
        <w:sz w:val="19"/>
        <w:szCs w:val="19"/>
      </w:rPr>
      <w:t xml:space="preserve"> of </w:t>
    </w:r>
    <w:r w:rsidR="00BF204D" w:rsidRPr="000D26F7">
      <w:rPr>
        <w:rFonts w:asciiTheme="minorHAnsi" w:hAnsiTheme="minorHAnsi"/>
        <w:b/>
        <w:bCs/>
        <w:sz w:val="19"/>
        <w:szCs w:val="19"/>
      </w:rPr>
      <w:fldChar w:fldCharType="begin"/>
    </w:r>
    <w:r w:rsidR="00BF204D" w:rsidRPr="000D26F7">
      <w:rPr>
        <w:rFonts w:asciiTheme="minorHAnsi" w:hAnsiTheme="minorHAnsi"/>
        <w:b/>
        <w:bCs/>
        <w:sz w:val="19"/>
        <w:szCs w:val="19"/>
      </w:rPr>
      <w:instrText xml:space="preserve"> NUMPAGES  \* Arabic  \* MERGEFORMAT </w:instrText>
    </w:r>
    <w:r w:rsidR="00BF204D" w:rsidRPr="000D26F7">
      <w:rPr>
        <w:rFonts w:asciiTheme="minorHAnsi" w:hAnsiTheme="minorHAnsi"/>
        <w:b/>
        <w:bCs/>
        <w:sz w:val="19"/>
        <w:szCs w:val="19"/>
      </w:rPr>
      <w:fldChar w:fldCharType="separate"/>
    </w:r>
    <w:r w:rsidR="00BF204D" w:rsidRPr="000D26F7">
      <w:rPr>
        <w:rFonts w:asciiTheme="minorHAnsi" w:hAnsiTheme="minorHAnsi"/>
        <w:b/>
        <w:bCs/>
        <w:sz w:val="19"/>
        <w:szCs w:val="19"/>
      </w:rPr>
      <w:t>13</w:t>
    </w:r>
    <w:r w:rsidR="00BF204D" w:rsidRPr="000D26F7">
      <w:rPr>
        <w:rFonts w:asciiTheme="minorHAnsi" w:hAnsiTheme="minorHAnsi"/>
        <w:b/>
        <w:bCs/>
        <w:noProof/>
        <w:sz w:val="19"/>
        <w:szCs w:val="19"/>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72C6D" w14:textId="77777777" w:rsidR="001579F9" w:rsidRPr="001579F9" w:rsidRDefault="001579F9" w:rsidP="00775484">
    <w:pPr>
      <w:pStyle w:val="Footer"/>
      <w:tabs>
        <w:tab w:val="clear" w:pos="9026"/>
        <w:tab w:val="right" w:pos="11907"/>
      </w:tabs>
      <w:rPr>
        <w:rFonts w:asciiTheme="minorHAnsi" w:hAnsiTheme="minorHAnsi"/>
        <w:b/>
      </w:rPr>
    </w:pPr>
    <w:r>
      <w:rPr>
        <w:rFonts w:asciiTheme="minorHAnsi" w:hAnsiTheme="minorHAnsi"/>
        <w:b/>
      </w:rPr>
      <w:t>Final Report</w:t>
    </w:r>
  </w:p>
  <w:p w14:paraId="74727E1F" w14:textId="11EFB2E1" w:rsidR="001579F9" w:rsidRPr="000D26F7" w:rsidRDefault="00000000" w:rsidP="00461E87">
    <w:pPr>
      <w:pStyle w:val="Footer"/>
      <w:tabs>
        <w:tab w:val="clear" w:pos="4513"/>
        <w:tab w:val="clear" w:pos="9026"/>
        <w:tab w:val="right" w:pos="15309"/>
      </w:tabs>
      <w:rPr>
        <w:rFonts w:asciiTheme="minorHAnsi" w:hAnsiTheme="minorHAnsi"/>
        <w:b/>
        <w:bCs/>
        <w:sz w:val="19"/>
        <w:szCs w:val="19"/>
      </w:rPr>
    </w:pPr>
    <w:sdt>
      <w:sdtPr>
        <w:rPr>
          <w:rFonts w:asciiTheme="minorHAnsi" w:hAnsiTheme="minorHAnsi"/>
          <w:sz w:val="19"/>
          <w:szCs w:val="19"/>
        </w:rPr>
        <w:alias w:val="Title"/>
        <w:tag w:val=""/>
        <w:id w:val="1766271487"/>
        <w:placeholder>
          <w:docPart w:val="9A955B914EE54053BB4589155096F85E"/>
        </w:placeholder>
        <w:dataBinding w:prefixMappings="xmlns:ns0='http://purl.org/dc/elements/1.1/' xmlns:ns1='http://schemas.openxmlformats.org/package/2006/metadata/core-properties' " w:xpath="/ns1:coreProperties[1]/ns0:title[1]" w:storeItemID="{6C3C8BC8-F283-45AE-878A-BAB7291924A1}"/>
        <w:text/>
      </w:sdtPr>
      <w:sdtContent>
        <w:r w:rsidR="00CC45EB">
          <w:rPr>
            <w:rFonts w:asciiTheme="minorHAnsi" w:hAnsiTheme="minorHAnsi"/>
            <w:sz w:val="19"/>
            <w:szCs w:val="19"/>
          </w:rPr>
          <w:t>Best Practice Review of the model WHS laws</w:t>
        </w:r>
      </w:sdtContent>
    </w:sdt>
    <w:r w:rsidR="001579F9" w:rsidRPr="000D26F7">
      <w:rPr>
        <w:rFonts w:asciiTheme="minorHAnsi" w:hAnsiTheme="minorHAnsi"/>
        <w:sz w:val="19"/>
        <w:szCs w:val="19"/>
      </w:rPr>
      <w:tab/>
    </w:r>
    <w:r w:rsidR="001579F9" w:rsidRPr="000D26F7">
      <w:rPr>
        <w:rFonts w:asciiTheme="minorHAnsi" w:hAnsiTheme="minorHAnsi"/>
        <w:b/>
        <w:bCs/>
        <w:sz w:val="19"/>
        <w:szCs w:val="19"/>
      </w:rPr>
      <w:t xml:space="preserve"> Page </w:t>
    </w:r>
    <w:r w:rsidR="001579F9" w:rsidRPr="000D26F7">
      <w:rPr>
        <w:rFonts w:asciiTheme="minorHAnsi" w:hAnsiTheme="minorHAnsi"/>
        <w:b/>
        <w:bCs/>
        <w:sz w:val="19"/>
        <w:szCs w:val="19"/>
      </w:rPr>
      <w:fldChar w:fldCharType="begin"/>
    </w:r>
    <w:r w:rsidR="001579F9" w:rsidRPr="000D26F7">
      <w:rPr>
        <w:rFonts w:asciiTheme="minorHAnsi" w:hAnsiTheme="minorHAnsi"/>
        <w:b/>
        <w:bCs/>
        <w:sz w:val="19"/>
        <w:szCs w:val="19"/>
      </w:rPr>
      <w:instrText xml:space="preserve"> PAGE  \* Arabic  \* MERGEFORMAT </w:instrText>
    </w:r>
    <w:r w:rsidR="001579F9" w:rsidRPr="000D26F7">
      <w:rPr>
        <w:rFonts w:asciiTheme="minorHAnsi" w:hAnsiTheme="minorHAnsi"/>
        <w:b/>
        <w:bCs/>
        <w:sz w:val="19"/>
        <w:szCs w:val="19"/>
      </w:rPr>
      <w:fldChar w:fldCharType="separate"/>
    </w:r>
    <w:r w:rsidR="001579F9" w:rsidRPr="000D26F7">
      <w:rPr>
        <w:rFonts w:asciiTheme="minorHAnsi" w:hAnsiTheme="minorHAnsi"/>
        <w:b/>
        <w:bCs/>
        <w:sz w:val="19"/>
        <w:szCs w:val="19"/>
      </w:rPr>
      <w:t>9</w:t>
    </w:r>
    <w:r w:rsidR="001579F9" w:rsidRPr="000D26F7">
      <w:rPr>
        <w:rFonts w:asciiTheme="minorHAnsi" w:hAnsiTheme="minorHAnsi"/>
        <w:b/>
        <w:bCs/>
        <w:sz w:val="19"/>
        <w:szCs w:val="19"/>
      </w:rPr>
      <w:fldChar w:fldCharType="end"/>
    </w:r>
    <w:r w:rsidR="001579F9" w:rsidRPr="000D26F7">
      <w:rPr>
        <w:rFonts w:asciiTheme="minorHAnsi" w:hAnsiTheme="minorHAnsi"/>
        <w:b/>
        <w:bCs/>
        <w:sz w:val="19"/>
        <w:szCs w:val="19"/>
      </w:rPr>
      <w:t xml:space="preserve"> of </w:t>
    </w:r>
    <w:r w:rsidR="001579F9" w:rsidRPr="000D26F7">
      <w:rPr>
        <w:rFonts w:asciiTheme="minorHAnsi" w:hAnsiTheme="minorHAnsi"/>
        <w:b/>
        <w:bCs/>
        <w:sz w:val="19"/>
        <w:szCs w:val="19"/>
      </w:rPr>
      <w:fldChar w:fldCharType="begin"/>
    </w:r>
    <w:r w:rsidR="001579F9" w:rsidRPr="000D26F7">
      <w:rPr>
        <w:rFonts w:asciiTheme="minorHAnsi" w:hAnsiTheme="minorHAnsi"/>
        <w:b/>
        <w:bCs/>
        <w:sz w:val="19"/>
        <w:szCs w:val="19"/>
      </w:rPr>
      <w:instrText xml:space="preserve"> NUMPAGES  \* Arabic  \* MERGEFORMAT </w:instrText>
    </w:r>
    <w:r w:rsidR="001579F9" w:rsidRPr="000D26F7">
      <w:rPr>
        <w:rFonts w:asciiTheme="minorHAnsi" w:hAnsiTheme="minorHAnsi"/>
        <w:b/>
        <w:bCs/>
        <w:sz w:val="19"/>
        <w:szCs w:val="19"/>
      </w:rPr>
      <w:fldChar w:fldCharType="separate"/>
    </w:r>
    <w:r w:rsidR="001579F9" w:rsidRPr="000D26F7">
      <w:rPr>
        <w:rFonts w:asciiTheme="minorHAnsi" w:hAnsiTheme="minorHAnsi"/>
        <w:b/>
        <w:bCs/>
        <w:sz w:val="19"/>
        <w:szCs w:val="19"/>
      </w:rPr>
      <w:t>13</w:t>
    </w:r>
    <w:r w:rsidR="001579F9" w:rsidRPr="000D26F7">
      <w:rPr>
        <w:rFonts w:asciiTheme="minorHAnsi" w:hAnsiTheme="minorHAnsi"/>
        <w:b/>
        <w:bCs/>
        <w:noProof/>
        <w:sz w:val="19"/>
        <w:szCs w:val="1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3B4F3" w14:textId="77777777" w:rsidR="005D7D31" w:rsidRPr="00104770" w:rsidRDefault="005D7D31" w:rsidP="00104770">
      <w:pPr>
        <w:spacing w:after="0"/>
      </w:pPr>
      <w:r>
        <w:separator/>
      </w:r>
    </w:p>
  </w:footnote>
  <w:footnote w:type="continuationSeparator" w:id="0">
    <w:p w14:paraId="4C8299C0" w14:textId="77777777" w:rsidR="005D7D31" w:rsidRDefault="005D7D31" w:rsidP="00FB5F0A">
      <w:pPr>
        <w:spacing w:after="0"/>
      </w:pPr>
      <w:r>
        <w:continuationSeparator/>
      </w:r>
    </w:p>
    <w:p w14:paraId="49513989" w14:textId="77777777" w:rsidR="005D7D31" w:rsidRDefault="005D7D31"/>
  </w:footnote>
  <w:footnote w:id="1">
    <w:p w14:paraId="7D0CD64A" w14:textId="0052556F" w:rsidR="009E3BAE" w:rsidRPr="009879FD" w:rsidRDefault="009E3BAE" w:rsidP="009E3BAE">
      <w:pPr>
        <w:pStyle w:val="FootnoteText"/>
      </w:pPr>
      <w:r w:rsidRPr="009879FD">
        <w:rPr>
          <w:rStyle w:val="FootnoteReference"/>
        </w:rPr>
        <w:footnoteRef/>
      </w:r>
      <w:r w:rsidRPr="009879FD">
        <w:t xml:space="preserve"> </w:t>
      </w:r>
      <w:r w:rsidRPr="009879FD">
        <w:rPr>
          <w:rFonts w:eastAsia="Aptos" w:cs="Arial"/>
        </w:rPr>
        <w:t xml:space="preserve">Safe Work Australia, </w:t>
      </w:r>
      <w:hyperlink r:id="rId1" w:history="1">
        <w:r w:rsidRPr="009879FD">
          <w:rPr>
            <w:rStyle w:val="Hyperlink"/>
            <w:rFonts w:eastAsia="Aptos" w:cs="Arial"/>
            <w:i/>
          </w:rPr>
          <w:t xml:space="preserve">Review of the model </w:t>
        </w:r>
        <w:r>
          <w:rPr>
            <w:rStyle w:val="Hyperlink"/>
            <w:rFonts w:eastAsia="Aptos" w:cs="Arial"/>
            <w:i/>
          </w:rPr>
          <w:t>W</w:t>
        </w:r>
        <w:r w:rsidRPr="009879FD">
          <w:rPr>
            <w:rStyle w:val="Hyperlink"/>
            <w:rFonts w:eastAsia="Aptos" w:cs="Arial"/>
            <w:i/>
          </w:rPr>
          <w:t xml:space="preserve">ork </w:t>
        </w:r>
        <w:r>
          <w:rPr>
            <w:rStyle w:val="Hyperlink"/>
            <w:rFonts w:eastAsia="Aptos" w:cs="Arial"/>
            <w:i/>
          </w:rPr>
          <w:t>H</w:t>
        </w:r>
        <w:r w:rsidRPr="009879FD">
          <w:rPr>
            <w:rStyle w:val="Hyperlink"/>
            <w:rFonts w:eastAsia="Aptos" w:cs="Arial"/>
            <w:i/>
          </w:rPr>
          <w:t xml:space="preserve">ealth and </w:t>
        </w:r>
        <w:r>
          <w:rPr>
            <w:rStyle w:val="Hyperlink"/>
            <w:rFonts w:eastAsia="Aptos" w:cs="Arial"/>
            <w:i/>
          </w:rPr>
          <w:t>S</w:t>
        </w:r>
        <w:r w:rsidRPr="009879FD">
          <w:rPr>
            <w:rStyle w:val="Hyperlink"/>
            <w:rFonts w:eastAsia="Aptos" w:cs="Arial"/>
            <w:i/>
          </w:rPr>
          <w:t>afety laws</w:t>
        </w:r>
        <w:r w:rsidRPr="004C413C">
          <w:rPr>
            <w:rStyle w:val="Hyperlink"/>
            <w:rFonts w:eastAsia="Aptos" w:cs="Arial"/>
            <w:i/>
          </w:rPr>
          <w:t xml:space="preserve"> </w:t>
        </w:r>
        <w:r w:rsidRPr="004C413C">
          <w:rPr>
            <w:rStyle w:val="Hyperlink"/>
            <w:rFonts w:eastAsia="Symbol" w:cs="Symbol"/>
            <w:i/>
          </w:rPr>
          <w:t>-</w:t>
        </w:r>
        <w:r w:rsidRPr="004C413C">
          <w:rPr>
            <w:rStyle w:val="Hyperlink"/>
            <w:rFonts w:eastAsia="Aptos" w:cs="Arial"/>
            <w:i/>
          </w:rPr>
          <w:t xml:space="preserve"> </w:t>
        </w:r>
        <w:r w:rsidRPr="009879FD">
          <w:rPr>
            <w:rStyle w:val="Hyperlink"/>
            <w:rFonts w:eastAsia="Aptos" w:cs="Arial"/>
            <w:i/>
          </w:rPr>
          <w:t>Final report</w:t>
        </w:r>
      </w:hyperlink>
      <w:r w:rsidRPr="009879FD">
        <w:rPr>
          <w:rFonts w:eastAsia="Aptos" w:cs="Arial"/>
        </w:rPr>
        <w:t>, 2018,</w:t>
      </w:r>
      <w:r w:rsidRPr="009879FD">
        <w:rPr>
          <w:rFonts w:cs="Arial"/>
          <w:szCs w:val="18"/>
        </w:rPr>
        <w:t xml:space="preserve"> p 6</w:t>
      </w:r>
      <w:r>
        <w:rPr>
          <w:rFonts w:cs="Arial"/>
          <w:szCs w:val="18"/>
        </w:rPr>
        <w:t>.</w:t>
      </w:r>
    </w:p>
  </w:footnote>
  <w:footnote w:id="2">
    <w:p w14:paraId="7085D3CF" w14:textId="47079161" w:rsidR="006B0C98" w:rsidRDefault="006B0C98" w:rsidP="006B0C98">
      <w:pPr>
        <w:pStyle w:val="FootnoteText"/>
      </w:pPr>
      <w:r>
        <w:rPr>
          <w:rStyle w:val="FootnoteReference"/>
        </w:rPr>
        <w:footnoteRef/>
      </w:r>
      <w:r>
        <w:t xml:space="preserve"> </w:t>
      </w:r>
      <w:r w:rsidRPr="009879FD">
        <w:rPr>
          <w:rFonts w:eastAsia="Aptos" w:cs="Arial"/>
        </w:rPr>
        <w:t xml:space="preserve">Safe Work Australia, </w:t>
      </w:r>
      <w:hyperlink r:id="rId2" w:history="1">
        <w:r w:rsidRPr="009879FD">
          <w:rPr>
            <w:rStyle w:val="Hyperlink"/>
            <w:rFonts w:eastAsia="Aptos" w:cs="Arial"/>
            <w:i/>
          </w:rPr>
          <w:t xml:space="preserve">Review of the model </w:t>
        </w:r>
        <w:r>
          <w:rPr>
            <w:rStyle w:val="Hyperlink"/>
            <w:rFonts w:eastAsia="Aptos" w:cs="Arial"/>
            <w:i/>
          </w:rPr>
          <w:t>W</w:t>
        </w:r>
        <w:r w:rsidRPr="009879FD">
          <w:rPr>
            <w:rStyle w:val="Hyperlink"/>
            <w:rFonts w:eastAsia="Aptos" w:cs="Arial"/>
            <w:i/>
          </w:rPr>
          <w:t xml:space="preserve">ork </w:t>
        </w:r>
        <w:r>
          <w:rPr>
            <w:rStyle w:val="Hyperlink"/>
            <w:rFonts w:eastAsia="Aptos" w:cs="Arial"/>
            <w:i/>
          </w:rPr>
          <w:t>H</w:t>
        </w:r>
        <w:r w:rsidRPr="009879FD">
          <w:rPr>
            <w:rStyle w:val="Hyperlink"/>
            <w:rFonts w:eastAsia="Aptos" w:cs="Arial"/>
            <w:i/>
          </w:rPr>
          <w:t xml:space="preserve">ealth and </w:t>
        </w:r>
        <w:r>
          <w:rPr>
            <w:rStyle w:val="Hyperlink"/>
            <w:rFonts w:eastAsia="Aptos" w:cs="Arial"/>
            <w:i/>
          </w:rPr>
          <w:t>S</w:t>
        </w:r>
        <w:r w:rsidRPr="009879FD">
          <w:rPr>
            <w:rStyle w:val="Hyperlink"/>
            <w:rFonts w:eastAsia="Aptos" w:cs="Arial"/>
            <w:i/>
          </w:rPr>
          <w:t>afety laws</w:t>
        </w:r>
        <w:r w:rsidRPr="004C413C">
          <w:rPr>
            <w:rStyle w:val="Hyperlink"/>
            <w:rFonts w:eastAsia="Aptos" w:cs="Arial"/>
            <w:i/>
          </w:rPr>
          <w:t xml:space="preserve"> </w:t>
        </w:r>
        <w:r w:rsidRPr="004C413C">
          <w:rPr>
            <w:rStyle w:val="Hyperlink"/>
            <w:rFonts w:eastAsia="Symbol" w:cs="Symbol"/>
            <w:i/>
          </w:rPr>
          <w:t>-</w:t>
        </w:r>
        <w:r w:rsidRPr="004C413C">
          <w:rPr>
            <w:rStyle w:val="Hyperlink"/>
            <w:rFonts w:eastAsia="Aptos" w:cs="Arial"/>
            <w:i/>
          </w:rPr>
          <w:t xml:space="preserve"> </w:t>
        </w:r>
        <w:r w:rsidRPr="009879FD">
          <w:rPr>
            <w:rStyle w:val="Hyperlink"/>
            <w:rFonts w:eastAsia="Aptos" w:cs="Arial"/>
            <w:i/>
          </w:rPr>
          <w:t>Final report</w:t>
        </w:r>
      </w:hyperlink>
      <w:r w:rsidRPr="009879FD">
        <w:rPr>
          <w:rFonts w:eastAsia="Aptos" w:cs="Arial"/>
        </w:rPr>
        <w:t>, 2018,</w:t>
      </w:r>
      <w:r w:rsidRPr="009879FD">
        <w:rPr>
          <w:rFonts w:cs="Arial"/>
          <w:szCs w:val="18"/>
        </w:rPr>
        <w:t xml:space="preserve"> p </w:t>
      </w:r>
      <w:r>
        <w:rPr>
          <w:rFonts w:cs="Arial"/>
          <w:szCs w:val="18"/>
        </w:rPr>
        <w:t>9.</w:t>
      </w:r>
    </w:p>
  </w:footnote>
  <w:footnote w:id="3">
    <w:p w14:paraId="107558D0" w14:textId="4C549C4B" w:rsidR="00680D1A" w:rsidRDefault="00680D1A" w:rsidP="00680D1A">
      <w:pPr>
        <w:pStyle w:val="FootnoteText"/>
      </w:pPr>
      <w:r>
        <w:rPr>
          <w:rStyle w:val="FootnoteReference"/>
        </w:rPr>
        <w:footnoteRef/>
      </w:r>
      <w:r>
        <w:t xml:space="preserve"> </w:t>
      </w:r>
      <w:r w:rsidRPr="003460E8">
        <w:rPr>
          <w:rFonts w:cs="Arial"/>
          <w:szCs w:val="18"/>
        </w:rPr>
        <w:t xml:space="preserve">Safe Work Australia, </w:t>
      </w:r>
      <w:hyperlink r:id="rId3" w:history="1">
        <w:r w:rsidR="00523621" w:rsidRPr="00592C75">
          <w:rPr>
            <w:rStyle w:val="Hyperlink"/>
            <w:i/>
            <w:iCs/>
          </w:rPr>
          <w:t xml:space="preserve">Best </w:t>
        </w:r>
        <w:r w:rsidR="00523621" w:rsidRPr="00A1297C">
          <w:rPr>
            <w:rStyle w:val="Hyperlink"/>
            <w:rFonts w:cs="Arial"/>
            <w:i/>
            <w:iCs/>
            <w:szCs w:val="18"/>
          </w:rPr>
          <w:t>P</w:t>
        </w:r>
        <w:r w:rsidR="00523621" w:rsidRPr="00592C75">
          <w:rPr>
            <w:rStyle w:val="Hyperlink"/>
            <w:i/>
            <w:iCs/>
          </w:rPr>
          <w:t xml:space="preserve">ractice </w:t>
        </w:r>
        <w:r w:rsidR="00523621" w:rsidRPr="00A1297C">
          <w:rPr>
            <w:rStyle w:val="Hyperlink"/>
            <w:rFonts w:cs="Arial"/>
            <w:i/>
            <w:iCs/>
            <w:szCs w:val="18"/>
          </w:rPr>
          <w:t>R</w:t>
        </w:r>
        <w:r w:rsidR="00523621" w:rsidRPr="00592C75">
          <w:rPr>
            <w:rStyle w:val="Hyperlink"/>
            <w:i/>
            <w:iCs/>
          </w:rPr>
          <w:t xml:space="preserve">eview of the </w:t>
        </w:r>
        <w:r w:rsidR="00523621">
          <w:rPr>
            <w:rStyle w:val="Hyperlink"/>
            <w:i/>
            <w:iCs/>
          </w:rPr>
          <w:t>m</w:t>
        </w:r>
        <w:r w:rsidR="00523621" w:rsidRPr="00592C75">
          <w:rPr>
            <w:rStyle w:val="Hyperlink"/>
            <w:i/>
            <w:iCs/>
          </w:rPr>
          <w:t xml:space="preserve">odel Work Health and Safety </w:t>
        </w:r>
        <w:r w:rsidR="00523621">
          <w:rPr>
            <w:rStyle w:val="Hyperlink"/>
            <w:i/>
            <w:iCs/>
          </w:rPr>
          <w:t>l</w:t>
        </w:r>
        <w:r w:rsidR="00523621" w:rsidRPr="00592C75">
          <w:rPr>
            <w:rStyle w:val="Hyperlink"/>
            <w:i/>
            <w:iCs/>
          </w:rPr>
          <w:t xml:space="preserve">aws: </w:t>
        </w:r>
        <w:r w:rsidR="00523621">
          <w:rPr>
            <w:rStyle w:val="Hyperlink"/>
            <w:rFonts w:cs="Arial"/>
            <w:i/>
            <w:iCs/>
            <w:szCs w:val="18"/>
          </w:rPr>
          <w:t>C</w:t>
        </w:r>
        <w:r w:rsidR="00523621" w:rsidRPr="00592C75">
          <w:rPr>
            <w:rStyle w:val="Hyperlink"/>
            <w:i/>
            <w:iCs/>
          </w:rPr>
          <w:t>onsultation summary</w:t>
        </w:r>
      </w:hyperlink>
      <w:r w:rsidRPr="00A1297C">
        <w:rPr>
          <w:rFonts w:cs="Arial"/>
          <w:szCs w:val="18"/>
        </w:rPr>
        <w:t>, 2026</w:t>
      </w:r>
      <w:r w:rsidRPr="003460E8">
        <w:rPr>
          <w:rFonts w:cs="Arial"/>
          <w:szCs w:val="18"/>
        </w:rPr>
        <w:t>.</w:t>
      </w:r>
    </w:p>
  </w:footnote>
  <w:footnote w:id="4">
    <w:p w14:paraId="00DCDD56" w14:textId="77777777" w:rsidR="00523621" w:rsidRPr="009879FD" w:rsidRDefault="00523621" w:rsidP="00523621">
      <w:pPr>
        <w:pStyle w:val="FootnoteText"/>
      </w:pPr>
      <w:r w:rsidRPr="009879FD">
        <w:rPr>
          <w:rStyle w:val="FootnoteReference"/>
        </w:rPr>
        <w:footnoteRef/>
      </w:r>
      <w:r w:rsidRPr="009879FD">
        <w:t xml:space="preserve"> See </w:t>
      </w:r>
      <w:r>
        <w:t xml:space="preserve">pp </w:t>
      </w:r>
      <w:r w:rsidRPr="009879FD">
        <w:t>8</w:t>
      </w:r>
      <w:r w:rsidRPr="003269D4">
        <w:rPr>
          <w:rFonts w:cs="Arial"/>
        </w:rPr>
        <w:t>–</w:t>
      </w:r>
      <w:r w:rsidRPr="009879FD">
        <w:t>10</w:t>
      </w:r>
      <w:r>
        <w:t>.</w:t>
      </w:r>
    </w:p>
  </w:footnote>
  <w:footnote w:id="5">
    <w:p w14:paraId="3423E171" w14:textId="77777777" w:rsidR="00523621" w:rsidRPr="00A74F9E" w:rsidRDefault="00523621" w:rsidP="00523621">
      <w:pPr>
        <w:pStyle w:val="FootnoteText"/>
        <w:rPr>
          <w:szCs w:val="18"/>
        </w:rPr>
      </w:pPr>
      <w:r>
        <w:rPr>
          <w:rStyle w:val="FootnoteReference"/>
        </w:rPr>
        <w:footnoteRef/>
      </w:r>
      <w:r>
        <w:t xml:space="preserve"> </w:t>
      </w:r>
      <w:r w:rsidRPr="00A74F9E">
        <w:rPr>
          <w:szCs w:val="18"/>
        </w:rPr>
        <w:t xml:space="preserve">See </w:t>
      </w:r>
      <w:r>
        <w:rPr>
          <w:kern w:val="2"/>
          <w:szCs w:val="18"/>
        </w:rPr>
        <w:t xml:space="preserve">p </w:t>
      </w:r>
      <w:r w:rsidRPr="00A74F9E">
        <w:rPr>
          <w:szCs w:val="18"/>
        </w:rPr>
        <w:t>11.</w:t>
      </w:r>
    </w:p>
  </w:footnote>
  <w:footnote w:id="6">
    <w:p w14:paraId="586273FF" w14:textId="024D60F6" w:rsidR="00455CC7" w:rsidRDefault="00455CC7">
      <w:pPr>
        <w:pStyle w:val="FootnoteText"/>
      </w:pPr>
      <w:r>
        <w:rPr>
          <w:rStyle w:val="FootnoteReference"/>
        </w:rPr>
        <w:footnoteRef/>
      </w:r>
      <w:r>
        <w:t xml:space="preserve"> </w:t>
      </w:r>
      <w:hyperlink r:id="rId4" w:history="1">
        <w:r w:rsidRPr="00E9749E">
          <w:rPr>
            <w:rStyle w:val="Hyperlink"/>
            <w:rFonts w:cs="Arial"/>
            <w:i/>
            <w:iCs/>
            <w:szCs w:val="18"/>
          </w:rPr>
          <w:t>Intergovernmental Agreement for Regulatory and Operational Reform in Occupational Health and Safety</w:t>
        </w:r>
      </w:hyperlink>
      <w:r w:rsidRPr="00F16216">
        <w:rPr>
          <w:szCs w:val="18"/>
        </w:rPr>
        <w:t>, 2008,</w:t>
      </w:r>
      <w:r w:rsidRPr="001749AB">
        <w:rPr>
          <w:rFonts w:cs="Aptos"/>
        </w:rPr>
        <w:t xml:space="preserve"> </w:t>
      </w:r>
      <w:r w:rsidRPr="001749AB">
        <w:rPr>
          <w:rFonts w:cs="Aptos"/>
          <w:szCs w:val="18"/>
        </w:rPr>
        <w:t>p 8.</w:t>
      </w:r>
    </w:p>
  </w:footnote>
  <w:footnote w:id="7">
    <w:p w14:paraId="7246F951" w14:textId="130F2D7F" w:rsidR="006724AE" w:rsidRPr="0056695F" w:rsidRDefault="006724AE" w:rsidP="006724AE">
      <w:pPr>
        <w:pStyle w:val="FootnoteText"/>
        <w:rPr>
          <w:rFonts w:cs="Arial"/>
        </w:rPr>
      </w:pPr>
      <w:r w:rsidRPr="0056695F">
        <w:rPr>
          <w:rStyle w:val="FootnoteReference"/>
          <w:rFonts w:cs="Arial"/>
        </w:rPr>
        <w:footnoteRef/>
      </w:r>
      <w:r w:rsidR="001749AB" w:rsidRPr="003269D4">
        <w:rPr>
          <w:rFonts w:cs="Arial"/>
        </w:rPr>
        <w:t xml:space="preserve"> Model WHS Act, </w:t>
      </w:r>
      <w:r w:rsidR="001749AB">
        <w:rPr>
          <w:rFonts w:cs="Arial"/>
        </w:rPr>
        <w:t xml:space="preserve">s </w:t>
      </w:r>
      <w:r w:rsidR="001749AB" w:rsidRPr="003269D4">
        <w:rPr>
          <w:rFonts w:cs="Arial"/>
        </w:rPr>
        <w:t>3(1)(h).</w:t>
      </w:r>
    </w:p>
  </w:footnote>
  <w:footnote w:id="8">
    <w:p w14:paraId="27D786B9" w14:textId="4AA4330A" w:rsidR="001749AB" w:rsidRPr="003269D4" w:rsidRDefault="001749AB" w:rsidP="001749AB">
      <w:pPr>
        <w:pStyle w:val="FootnoteText"/>
        <w:rPr>
          <w:rFonts w:cs="Arial"/>
        </w:rPr>
      </w:pPr>
      <w:r w:rsidRPr="003269D4">
        <w:rPr>
          <w:rStyle w:val="FootnoteReference"/>
          <w:rFonts w:cs="Arial"/>
        </w:rPr>
        <w:footnoteRef/>
      </w:r>
      <w:r w:rsidRPr="003269D4">
        <w:rPr>
          <w:rFonts w:cs="Arial"/>
        </w:rPr>
        <w:t xml:space="preserve"> See in particular Chapter 4.3 – Legal proceedings</w:t>
      </w:r>
      <w:r>
        <w:rPr>
          <w:rFonts w:cs="Arial"/>
        </w:rPr>
        <w:t>;</w:t>
      </w:r>
      <w:r w:rsidRPr="003269D4">
        <w:rPr>
          <w:rFonts w:cs="Arial"/>
        </w:rPr>
        <w:t xml:space="preserve"> and Chapter 5 – Codes of Practice.</w:t>
      </w:r>
    </w:p>
  </w:footnote>
  <w:footnote w:id="9">
    <w:p w14:paraId="257FAD9E" w14:textId="659CC05E" w:rsidR="00201AE9" w:rsidRPr="003269D4" w:rsidRDefault="00201AE9" w:rsidP="00201AE9">
      <w:pPr>
        <w:pStyle w:val="FootnoteText"/>
        <w:rPr>
          <w:rFonts w:cs="Arial"/>
        </w:rPr>
      </w:pPr>
      <w:r w:rsidRPr="003269D4">
        <w:rPr>
          <w:rStyle w:val="FootnoteReference"/>
          <w:rFonts w:cs="Arial"/>
        </w:rPr>
        <w:footnoteRef/>
      </w:r>
      <w:r w:rsidRPr="003269D4">
        <w:rPr>
          <w:rFonts w:cs="Arial"/>
        </w:rPr>
        <w:t xml:space="preserve"> For example, SA varied its WHS Act to provide a unique procedure for making approved </w:t>
      </w:r>
      <w:r w:rsidR="001B0C27">
        <w:rPr>
          <w:rFonts w:cs="Arial"/>
        </w:rPr>
        <w:t>C</w:t>
      </w:r>
      <w:r w:rsidRPr="003269D4">
        <w:rPr>
          <w:rFonts w:cs="Arial"/>
        </w:rPr>
        <w:t xml:space="preserve">odes of </w:t>
      </w:r>
      <w:r w:rsidR="001B0C27">
        <w:rPr>
          <w:rFonts w:cs="Arial"/>
        </w:rPr>
        <w:t>P</w:t>
      </w:r>
      <w:r w:rsidRPr="003269D4">
        <w:rPr>
          <w:rFonts w:cs="Arial"/>
        </w:rPr>
        <w:t xml:space="preserve">ractice, including providing that the Minister may only approve, vary or revoke a </w:t>
      </w:r>
      <w:r w:rsidR="001B0C27">
        <w:rPr>
          <w:rFonts w:cs="Arial"/>
        </w:rPr>
        <w:t>C</w:t>
      </w:r>
      <w:r w:rsidRPr="003269D4">
        <w:rPr>
          <w:rFonts w:cs="Arial"/>
        </w:rPr>
        <w:t xml:space="preserve">ode following consultation with the Small Business Commission </w:t>
      </w:r>
      <w:r w:rsidR="001D7F4A">
        <w:rPr>
          <w:rFonts w:ascii="Symbol" w:eastAsia="Symbol" w:hAnsi="Symbol" w:cs="Symbol"/>
        </w:rPr>
        <w:t>-</w:t>
      </w:r>
      <w:r w:rsidRPr="003269D4">
        <w:rPr>
          <w:rFonts w:cs="Arial"/>
        </w:rPr>
        <w:t xml:space="preserve"> s 274(3)(b) of the SA WHS Act.</w:t>
      </w:r>
    </w:p>
  </w:footnote>
  <w:footnote w:id="10">
    <w:p w14:paraId="2E345334" w14:textId="77777777" w:rsidR="00201AE9" w:rsidRPr="003269D4" w:rsidRDefault="00201AE9" w:rsidP="00201AE9">
      <w:pPr>
        <w:pStyle w:val="FootnoteText"/>
        <w:rPr>
          <w:rFonts w:cs="Arial"/>
        </w:rPr>
      </w:pPr>
      <w:r w:rsidRPr="003269D4">
        <w:rPr>
          <w:rStyle w:val="FootnoteReference"/>
          <w:rFonts w:cs="Arial"/>
        </w:rPr>
        <w:footnoteRef/>
      </w:r>
      <w:r w:rsidRPr="003269D4">
        <w:rPr>
          <w:rFonts w:cs="Arial"/>
        </w:rPr>
        <w:t xml:space="preserve"> </w:t>
      </w:r>
      <w:hyperlink r:id="rId5" w:history="1">
        <w:r w:rsidRPr="002D4576">
          <w:rPr>
            <w:rStyle w:val="Hyperlink"/>
            <w:rFonts w:cs="Arial"/>
            <w:i/>
            <w:iCs/>
            <w:szCs w:val="18"/>
          </w:rPr>
          <w:t>Intergovernmental Agreement for Regulatory and Operational Reform in Occupational Health and Safety</w:t>
        </w:r>
      </w:hyperlink>
      <w:r w:rsidRPr="003269D4">
        <w:rPr>
          <w:rFonts w:cs="Arial"/>
          <w:szCs w:val="18"/>
        </w:rPr>
        <w:t>, 2008,</w:t>
      </w:r>
      <w:r w:rsidRPr="003269D4">
        <w:rPr>
          <w:rFonts w:cs="Arial"/>
        </w:rPr>
        <w:t xml:space="preserve"> </w:t>
      </w:r>
      <w:r w:rsidRPr="003269D4">
        <w:rPr>
          <w:rFonts w:cs="Arial"/>
          <w:szCs w:val="18"/>
        </w:rPr>
        <w:t>provision 5.5.2,</w:t>
      </w:r>
      <w:r w:rsidRPr="003269D4">
        <w:rPr>
          <w:rFonts w:cs="Arial"/>
        </w:rPr>
        <w:t xml:space="preserve"> </w:t>
      </w:r>
      <w:r w:rsidRPr="003269D4">
        <w:rPr>
          <w:rFonts w:cs="Arial"/>
          <w:szCs w:val="18"/>
        </w:rPr>
        <w:t>p 11.</w:t>
      </w:r>
    </w:p>
  </w:footnote>
  <w:footnote w:id="11">
    <w:p w14:paraId="7B2E0B4F" w14:textId="77777777" w:rsidR="00201AE9" w:rsidRPr="009F4D7F" w:rsidDel="005C0315" w:rsidRDefault="00201AE9" w:rsidP="00201AE9">
      <w:pPr>
        <w:pStyle w:val="FootnoteText"/>
        <w:rPr>
          <w:rFonts w:cs="Arial"/>
          <w:szCs w:val="18"/>
        </w:rPr>
      </w:pPr>
      <w:r w:rsidRPr="009F4D7F" w:rsidDel="005C0315">
        <w:rPr>
          <w:rStyle w:val="FootnoteReference"/>
          <w:rFonts w:cs="Arial"/>
          <w:szCs w:val="18"/>
        </w:rPr>
        <w:footnoteRef/>
      </w:r>
      <w:r w:rsidRPr="009F4D7F">
        <w:rPr>
          <w:rFonts w:cs="Arial"/>
          <w:szCs w:val="18"/>
        </w:rPr>
        <w:t xml:space="preserve"> </w:t>
      </w:r>
      <w:hyperlink r:id="rId6" w:history="1">
        <w:r w:rsidRPr="009F4D7F">
          <w:rPr>
            <w:rStyle w:val="Hyperlink"/>
            <w:rFonts w:cs="Arial"/>
            <w:szCs w:val="18"/>
          </w:rPr>
          <w:t>ACCI</w:t>
        </w:r>
      </w:hyperlink>
      <w:r w:rsidRPr="009F4D7F" w:rsidDel="005C0315">
        <w:rPr>
          <w:rFonts w:cs="Arial"/>
          <w:szCs w:val="18"/>
        </w:rPr>
        <w:t>, Submission</w:t>
      </w:r>
      <w:r w:rsidRPr="009F4D7F">
        <w:rPr>
          <w:rFonts w:cs="Arial"/>
          <w:szCs w:val="18"/>
        </w:rPr>
        <w:t xml:space="preserve">, p 6; </w:t>
      </w:r>
      <w:hyperlink r:id="rId7" w:history="1">
        <w:r w:rsidRPr="009F4D7F">
          <w:rPr>
            <w:rStyle w:val="Hyperlink"/>
            <w:rFonts w:cs="Arial"/>
            <w:szCs w:val="18"/>
          </w:rPr>
          <w:t>MBA</w:t>
        </w:r>
      </w:hyperlink>
      <w:r w:rsidRPr="009F4D7F">
        <w:rPr>
          <w:rFonts w:cs="Arial"/>
          <w:szCs w:val="18"/>
        </w:rPr>
        <w:t>, Submission, p 7; Anonymous and private, Submission #119, p 2.</w:t>
      </w:r>
    </w:p>
  </w:footnote>
  <w:footnote w:id="12">
    <w:p w14:paraId="3074D0A8" w14:textId="77777777" w:rsidR="00201AE9" w:rsidRPr="009F4D7F" w:rsidRDefault="00201AE9" w:rsidP="00201AE9">
      <w:pPr>
        <w:pStyle w:val="FootnoteText"/>
        <w:rPr>
          <w:rFonts w:cs="Arial"/>
          <w:szCs w:val="18"/>
        </w:rPr>
      </w:pPr>
      <w:r w:rsidRPr="009F4D7F">
        <w:rPr>
          <w:rStyle w:val="FootnoteReference"/>
          <w:rFonts w:cs="Arial"/>
          <w:szCs w:val="18"/>
        </w:rPr>
        <w:footnoteRef/>
      </w:r>
      <w:r w:rsidRPr="009F4D7F">
        <w:rPr>
          <w:rFonts w:cs="Arial"/>
          <w:szCs w:val="18"/>
        </w:rPr>
        <w:t xml:space="preserve"> </w:t>
      </w:r>
      <w:hyperlink r:id="rId8" w:history="1">
        <w:r w:rsidRPr="009F4D7F">
          <w:rPr>
            <w:rStyle w:val="Hyperlink"/>
            <w:rFonts w:cs="Arial"/>
            <w:szCs w:val="18"/>
          </w:rPr>
          <w:t>WorkSafe WA</w:t>
        </w:r>
      </w:hyperlink>
      <w:r w:rsidRPr="009F4D7F">
        <w:rPr>
          <w:rFonts w:cs="Arial"/>
          <w:szCs w:val="18"/>
        </w:rPr>
        <w:t>, Submission, p 8; all jurisdictions in meetings expressed support for harmonisation, although they had different views on the impact of variations.</w:t>
      </w:r>
    </w:p>
  </w:footnote>
  <w:footnote w:id="13">
    <w:p w14:paraId="0C7599B9" w14:textId="77777777" w:rsidR="006724AE" w:rsidRPr="00201AE9" w:rsidRDefault="006724AE" w:rsidP="006724AE">
      <w:pPr>
        <w:pStyle w:val="FootnoteText"/>
        <w:rPr>
          <w:rFonts w:cs="Aptos"/>
          <w:szCs w:val="18"/>
        </w:rPr>
      </w:pPr>
      <w:r w:rsidRPr="0056695F">
        <w:rPr>
          <w:rStyle w:val="FootnoteReference"/>
          <w:rFonts w:cs="Arial"/>
          <w:szCs w:val="18"/>
        </w:rPr>
        <w:footnoteRef/>
      </w:r>
      <w:r w:rsidRPr="0056695F">
        <w:rPr>
          <w:rFonts w:cs="Arial"/>
          <w:szCs w:val="18"/>
        </w:rPr>
        <w:t xml:space="preserve"> NT WorkSafe, Consultation, September 2025.</w:t>
      </w:r>
    </w:p>
  </w:footnote>
  <w:footnote w:id="14">
    <w:p w14:paraId="1696F5C6" w14:textId="77777777" w:rsidR="00201AE9" w:rsidRPr="009F4D7F" w:rsidRDefault="00201AE9" w:rsidP="00201AE9">
      <w:pPr>
        <w:pStyle w:val="FootnoteText"/>
        <w:rPr>
          <w:rFonts w:cs="Arial"/>
          <w:szCs w:val="18"/>
        </w:rPr>
      </w:pPr>
      <w:r w:rsidRPr="009F4D7F">
        <w:rPr>
          <w:rStyle w:val="FootnoteReference"/>
          <w:rFonts w:cs="Arial"/>
          <w:szCs w:val="18"/>
        </w:rPr>
        <w:footnoteRef/>
      </w:r>
      <w:r w:rsidRPr="009F4D7F">
        <w:rPr>
          <w:rFonts w:cs="Arial"/>
          <w:szCs w:val="18"/>
        </w:rPr>
        <w:t xml:space="preserve"> Australian Industry Group, Consultation, October 2025.</w:t>
      </w:r>
    </w:p>
  </w:footnote>
  <w:footnote w:id="15">
    <w:p w14:paraId="385F5CCF" w14:textId="77777777" w:rsidR="00201AE9" w:rsidRPr="009F4D7F" w:rsidRDefault="00201AE9" w:rsidP="00201AE9">
      <w:pPr>
        <w:pStyle w:val="FootnoteText"/>
        <w:rPr>
          <w:rFonts w:cs="Arial"/>
          <w:szCs w:val="18"/>
        </w:rPr>
      </w:pPr>
      <w:r w:rsidRPr="009F4D7F">
        <w:rPr>
          <w:rStyle w:val="FootnoteReference"/>
          <w:rFonts w:cs="Arial"/>
          <w:szCs w:val="18"/>
        </w:rPr>
        <w:footnoteRef/>
      </w:r>
      <w:r w:rsidRPr="009F4D7F">
        <w:rPr>
          <w:rFonts w:cs="Arial"/>
          <w:szCs w:val="18"/>
        </w:rPr>
        <w:t xml:space="preserve"> </w:t>
      </w:r>
      <w:hyperlink r:id="rId9" w:history="1">
        <w:r w:rsidRPr="009F4D7F">
          <w:rPr>
            <w:rStyle w:val="Hyperlink"/>
            <w:rFonts w:cs="Arial"/>
            <w:szCs w:val="18"/>
          </w:rPr>
          <w:t>HIA</w:t>
        </w:r>
      </w:hyperlink>
      <w:r w:rsidRPr="009F4D7F">
        <w:rPr>
          <w:rFonts w:cs="Arial"/>
          <w:szCs w:val="18"/>
        </w:rPr>
        <w:t xml:space="preserve">, Submission, p 10; </w:t>
      </w:r>
      <w:hyperlink r:id="rId10" w:history="1">
        <w:r w:rsidRPr="009F4D7F">
          <w:rPr>
            <w:rStyle w:val="Hyperlink"/>
            <w:rFonts w:cs="Arial"/>
            <w:szCs w:val="18"/>
          </w:rPr>
          <w:t>MBA</w:t>
        </w:r>
      </w:hyperlink>
      <w:r w:rsidRPr="009F4D7F">
        <w:rPr>
          <w:rFonts w:cs="Arial"/>
          <w:szCs w:val="18"/>
        </w:rPr>
        <w:t xml:space="preserve">, Submission, p 8; </w:t>
      </w:r>
      <w:hyperlink r:id="rId11" w:history="1">
        <w:r w:rsidRPr="009F4D7F">
          <w:rPr>
            <w:rStyle w:val="Hyperlink"/>
            <w:rFonts w:cs="Arial"/>
            <w:szCs w:val="18"/>
          </w:rPr>
          <w:t>Anonymous</w:t>
        </w:r>
      </w:hyperlink>
      <w:r w:rsidRPr="009F4D7F">
        <w:rPr>
          <w:rFonts w:cs="Arial"/>
          <w:szCs w:val="18"/>
        </w:rPr>
        <w:t>, Submission #135, pp 8–9; WHS professional, Consultation, October 2025.</w:t>
      </w:r>
    </w:p>
  </w:footnote>
  <w:footnote w:id="16">
    <w:p w14:paraId="3D784DA9" w14:textId="77777777" w:rsidR="00201AE9" w:rsidRPr="009F4D7F" w:rsidRDefault="00201AE9" w:rsidP="00201AE9">
      <w:pPr>
        <w:pStyle w:val="FootnoteText"/>
        <w:rPr>
          <w:rFonts w:cs="Arial"/>
          <w:szCs w:val="18"/>
        </w:rPr>
      </w:pPr>
      <w:r w:rsidRPr="009F4D7F">
        <w:rPr>
          <w:rStyle w:val="FootnoteReference"/>
          <w:rFonts w:cs="Arial"/>
          <w:szCs w:val="18"/>
        </w:rPr>
        <w:footnoteRef/>
      </w:r>
      <w:r w:rsidRPr="009F4D7F">
        <w:rPr>
          <w:rFonts w:cs="Arial"/>
          <w:szCs w:val="18"/>
        </w:rPr>
        <w:t xml:space="preserve"> </w:t>
      </w:r>
      <w:hyperlink r:id="rId12" w:history="1">
        <w:r w:rsidRPr="009F4D7F">
          <w:rPr>
            <w:rStyle w:val="Hyperlink"/>
            <w:rFonts w:cs="Arial"/>
            <w:szCs w:val="18"/>
          </w:rPr>
          <w:t>CSA</w:t>
        </w:r>
      </w:hyperlink>
      <w:r w:rsidRPr="009F4D7F">
        <w:rPr>
          <w:rFonts w:cs="Arial"/>
          <w:szCs w:val="18"/>
        </w:rPr>
        <w:t>, Submission, p 3.</w:t>
      </w:r>
    </w:p>
  </w:footnote>
  <w:footnote w:id="17">
    <w:p w14:paraId="4B482BC7" w14:textId="77777777" w:rsidR="00201AE9" w:rsidRPr="009F4D7F" w:rsidRDefault="00201AE9" w:rsidP="00201AE9">
      <w:pPr>
        <w:pStyle w:val="FootnoteText"/>
        <w:rPr>
          <w:szCs w:val="18"/>
        </w:rPr>
      </w:pPr>
      <w:r w:rsidRPr="009F4D7F">
        <w:rPr>
          <w:rStyle w:val="FootnoteReference"/>
          <w:szCs w:val="18"/>
        </w:rPr>
        <w:footnoteRef/>
      </w:r>
      <w:r w:rsidRPr="009F4D7F">
        <w:rPr>
          <w:szCs w:val="18"/>
        </w:rPr>
        <w:t xml:space="preserve"> Anonymous and private, Submission #119, p 2.</w:t>
      </w:r>
    </w:p>
  </w:footnote>
  <w:footnote w:id="18">
    <w:p w14:paraId="2AC453E6" w14:textId="77777777" w:rsidR="00201AE9" w:rsidRPr="009F4D7F" w:rsidRDefault="00201AE9" w:rsidP="00201AE9">
      <w:pPr>
        <w:pStyle w:val="FootnoteText"/>
        <w:rPr>
          <w:rFonts w:cs="Arial"/>
          <w:szCs w:val="18"/>
        </w:rPr>
      </w:pPr>
      <w:r w:rsidRPr="009F4D7F">
        <w:rPr>
          <w:rStyle w:val="FootnoteReference"/>
          <w:rFonts w:cs="Arial"/>
          <w:szCs w:val="18"/>
        </w:rPr>
        <w:footnoteRef/>
      </w:r>
      <w:r w:rsidRPr="009F4D7F">
        <w:rPr>
          <w:rFonts w:cs="Arial"/>
          <w:szCs w:val="18"/>
        </w:rPr>
        <w:t xml:space="preserve"> WorkSafe ACT, Consultation, September 2025; Comcare, Consultation, September 2025.</w:t>
      </w:r>
    </w:p>
  </w:footnote>
  <w:footnote w:id="19">
    <w:p w14:paraId="48D379E4" w14:textId="77777777" w:rsidR="00201AE9" w:rsidRPr="009F4D7F" w:rsidRDefault="00201AE9" w:rsidP="00201AE9">
      <w:pPr>
        <w:pStyle w:val="FootnoteText"/>
        <w:rPr>
          <w:rFonts w:cs="Arial"/>
          <w:szCs w:val="18"/>
        </w:rPr>
      </w:pPr>
      <w:r w:rsidRPr="009F4D7F">
        <w:rPr>
          <w:rStyle w:val="FootnoteReference"/>
          <w:rFonts w:cs="Arial"/>
          <w:szCs w:val="18"/>
        </w:rPr>
        <w:footnoteRef/>
      </w:r>
      <w:r w:rsidRPr="009F4D7F">
        <w:rPr>
          <w:rFonts w:cs="Arial"/>
          <w:szCs w:val="18"/>
        </w:rPr>
        <w:t xml:space="preserve"> SA Unions, Consultation, September 2025.</w:t>
      </w:r>
    </w:p>
  </w:footnote>
  <w:footnote w:id="20">
    <w:p w14:paraId="73F809C6" w14:textId="77777777" w:rsidR="00201AE9" w:rsidRPr="009F4D7F" w:rsidRDefault="00201AE9" w:rsidP="00201AE9">
      <w:pPr>
        <w:pStyle w:val="FootnoteText"/>
        <w:rPr>
          <w:rFonts w:cs="Arial"/>
          <w:szCs w:val="18"/>
        </w:rPr>
      </w:pPr>
      <w:r w:rsidRPr="009F4D7F">
        <w:rPr>
          <w:rStyle w:val="FootnoteReference"/>
          <w:rFonts w:cs="Arial"/>
          <w:szCs w:val="18"/>
        </w:rPr>
        <w:footnoteRef/>
      </w:r>
      <w:r w:rsidRPr="009F4D7F">
        <w:rPr>
          <w:rFonts w:cs="Arial"/>
          <w:szCs w:val="18"/>
        </w:rPr>
        <w:t xml:space="preserve"> </w:t>
      </w:r>
      <w:hyperlink r:id="rId13" w:history="1">
        <w:r w:rsidRPr="009F4D7F">
          <w:rPr>
            <w:rStyle w:val="Hyperlink"/>
            <w:rFonts w:cs="Arial"/>
            <w:szCs w:val="18"/>
          </w:rPr>
          <w:t>ACTU</w:t>
        </w:r>
      </w:hyperlink>
      <w:r w:rsidRPr="009F4D7F">
        <w:rPr>
          <w:rFonts w:cs="Arial"/>
          <w:szCs w:val="18"/>
        </w:rPr>
        <w:t>, Submission, p 12.</w:t>
      </w:r>
    </w:p>
  </w:footnote>
  <w:footnote w:id="21">
    <w:p w14:paraId="0D9BEAFE" w14:textId="77777777" w:rsidR="00201AE9" w:rsidRPr="009F4D7F" w:rsidRDefault="00201AE9" w:rsidP="00201AE9">
      <w:pPr>
        <w:pStyle w:val="FootnoteText"/>
        <w:rPr>
          <w:rFonts w:cs="Arial"/>
          <w:szCs w:val="18"/>
        </w:rPr>
      </w:pPr>
      <w:r w:rsidRPr="009F4D7F">
        <w:rPr>
          <w:rStyle w:val="FootnoteReference"/>
          <w:rFonts w:cs="Arial"/>
          <w:szCs w:val="18"/>
        </w:rPr>
        <w:footnoteRef/>
      </w:r>
      <w:r w:rsidRPr="009F4D7F">
        <w:rPr>
          <w:rFonts w:cs="Arial"/>
          <w:szCs w:val="18"/>
        </w:rPr>
        <w:t xml:space="preserve"> </w:t>
      </w:r>
      <w:hyperlink r:id="rId14" w:history="1">
        <w:r w:rsidRPr="009F4D7F">
          <w:rPr>
            <w:rStyle w:val="Hyperlink"/>
            <w:rFonts w:cs="Arial"/>
            <w:szCs w:val="18"/>
          </w:rPr>
          <w:t>MCA</w:t>
        </w:r>
      </w:hyperlink>
      <w:r w:rsidRPr="009F4D7F">
        <w:rPr>
          <w:rFonts w:cs="Arial"/>
          <w:szCs w:val="18"/>
        </w:rPr>
        <w:t>, Submission, p 5.</w:t>
      </w:r>
    </w:p>
  </w:footnote>
  <w:footnote w:id="22">
    <w:p w14:paraId="3192C1B4" w14:textId="77777777" w:rsidR="006724AE" w:rsidRDefault="006724AE" w:rsidP="006724AE">
      <w:pPr>
        <w:pStyle w:val="FootnoteText"/>
      </w:pPr>
      <w:r>
        <w:rPr>
          <w:rStyle w:val="FootnoteReference"/>
        </w:rPr>
        <w:footnoteRef/>
      </w:r>
      <w:r w:rsidR="00201AE9" w:rsidRPr="009F4D7F">
        <w:t xml:space="preserve"> These will be discussed later in the context of best practice variations (Chapter 2 –</w:t>
      </w:r>
      <w:r w:rsidR="00201AE9">
        <w:t xml:space="preserve"> </w:t>
      </w:r>
      <w:r w:rsidR="00201AE9" w:rsidRPr="009F4D7F">
        <w:t xml:space="preserve">The </w:t>
      </w:r>
      <w:r w:rsidR="00201AE9">
        <w:t>d</w:t>
      </w:r>
      <w:r w:rsidR="00201AE9" w:rsidRPr="009F4D7F">
        <w:t xml:space="preserve">uties </w:t>
      </w:r>
      <w:r w:rsidR="00201AE9">
        <w:t>f</w:t>
      </w:r>
      <w:r w:rsidR="00201AE9" w:rsidRPr="009F4D7F">
        <w:t>ramework).</w:t>
      </w:r>
    </w:p>
  </w:footnote>
  <w:footnote w:id="23">
    <w:p w14:paraId="661DEF67" w14:textId="77777777" w:rsidR="006724AE" w:rsidRPr="0026579B" w:rsidRDefault="006724AE" w:rsidP="006724AE">
      <w:pPr>
        <w:pStyle w:val="FootnoteText"/>
        <w:rPr>
          <w:rFonts w:cs="Arial"/>
        </w:rPr>
      </w:pPr>
      <w:r w:rsidRPr="0026579B">
        <w:rPr>
          <w:rStyle w:val="FootnoteReference"/>
          <w:rFonts w:cs="Arial"/>
          <w:szCs w:val="18"/>
        </w:rPr>
        <w:footnoteRef/>
      </w:r>
      <w:r w:rsidR="00201AE9" w:rsidRPr="00EE5093">
        <w:rPr>
          <w:rFonts w:cs="Arial"/>
          <w:szCs w:val="18"/>
        </w:rPr>
        <w:t xml:space="preserve"> There may be issues which are only relevant to one jurisdiction</w:t>
      </w:r>
      <w:r w:rsidR="00201AE9">
        <w:rPr>
          <w:rFonts w:cs="Arial"/>
          <w:szCs w:val="18"/>
        </w:rPr>
        <w:t>;</w:t>
      </w:r>
      <w:r w:rsidR="00201AE9" w:rsidRPr="00EE5093">
        <w:rPr>
          <w:rFonts w:cs="Arial"/>
          <w:szCs w:val="18"/>
        </w:rPr>
        <w:t xml:space="preserve"> however</w:t>
      </w:r>
      <w:r w:rsidR="00201AE9">
        <w:rPr>
          <w:rFonts w:cs="Arial"/>
          <w:szCs w:val="18"/>
        </w:rPr>
        <w:t>,</w:t>
      </w:r>
      <w:r w:rsidR="00201AE9" w:rsidRPr="00EE5093">
        <w:rPr>
          <w:rFonts w:cs="Arial"/>
          <w:szCs w:val="18"/>
        </w:rPr>
        <w:t xml:space="preserve"> these are not national issues and are not covered in the model laws. Part 5.1.8 of the </w:t>
      </w:r>
      <w:r w:rsidR="00201AE9" w:rsidRPr="00331744">
        <w:rPr>
          <w:rFonts w:cs="Arial"/>
          <w:szCs w:val="18"/>
        </w:rPr>
        <w:t>IGA</w:t>
      </w:r>
      <w:r w:rsidR="00201AE9" w:rsidRPr="00EE5093">
        <w:rPr>
          <w:rFonts w:cs="Arial"/>
          <w:szCs w:val="18"/>
        </w:rPr>
        <w:t xml:space="preserve"> provides that jurisdictions may make additional provisions in such cases.</w:t>
      </w:r>
    </w:p>
  </w:footnote>
  <w:footnote w:id="24">
    <w:p w14:paraId="25763A88" w14:textId="77777777" w:rsidR="00201AE9" w:rsidRPr="00EE5093" w:rsidRDefault="00201AE9" w:rsidP="00201AE9">
      <w:pPr>
        <w:pStyle w:val="FootnoteText"/>
        <w:rPr>
          <w:szCs w:val="18"/>
        </w:rPr>
      </w:pPr>
      <w:r w:rsidRPr="00EE5093">
        <w:rPr>
          <w:rStyle w:val="FootnoteReference"/>
          <w:rFonts w:cs="Arial"/>
          <w:szCs w:val="18"/>
        </w:rPr>
        <w:footnoteRef/>
      </w:r>
      <w:r w:rsidRPr="00EE5093">
        <w:rPr>
          <w:rFonts w:cs="Arial"/>
          <w:szCs w:val="18"/>
        </w:rPr>
        <w:t xml:space="preserve"> WHS professional, Consultation, October 2025.</w:t>
      </w:r>
    </w:p>
  </w:footnote>
  <w:footnote w:id="25">
    <w:p w14:paraId="43B02D67" w14:textId="3DCB93CE" w:rsidR="00201AE9" w:rsidRPr="00EE5093" w:rsidRDefault="00201AE9" w:rsidP="00201AE9">
      <w:pPr>
        <w:pStyle w:val="FootnoteText"/>
        <w:rPr>
          <w:rFonts w:cs="Arial"/>
          <w:szCs w:val="18"/>
        </w:rPr>
      </w:pPr>
      <w:r w:rsidRPr="00EE5093">
        <w:rPr>
          <w:rStyle w:val="FootnoteReference"/>
          <w:rFonts w:cs="Arial"/>
          <w:szCs w:val="18"/>
        </w:rPr>
        <w:footnoteRef/>
      </w:r>
      <w:r w:rsidRPr="00EE5093">
        <w:rPr>
          <w:rFonts w:cs="Arial"/>
          <w:szCs w:val="18"/>
        </w:rPr>
        <w:t xml:space="preserve"> BCA, Consultation, October 2025; C Maxwell, </w:t>
      </w:r>
      <w:r w:rsidRPr="00EE5093">
        <w:rPr>
          <w:rFonts w:cs="Arial"/>
          <w:i/>
          <w:szCs w:val="18"/>
        </w:rPr>
        <w:t xml:space="preserve">Occupational Health and Safety Act </w:t>
      </w:r>
      <w:r>
        <w:rPr>
          <w:rFonts w:cs="Arial"/>
          <w:i/>
          <w:szCs w:val="18"/>
        </w:rPr>
        <w:t>R</w:t>
      </w:r>
      <w:r w:rsidRPr="00EE5093">
        <w:rPr>
          <w:rFonts w:cs="Arial"/>
          <w:i/>
          <w:szCs w:val="18"/>
        </w:rPr>
        <w:t>eview</w:t>
      </w:r>
      <w:r w:rsidRPr="00EE5093">
        <w:rPr>
          <w:rFonts w:cs="Arial"/>
          <w:szCs w:val="18"/>
        </w:rPr>
        <w:t xml:space="preserve">, Victorian Government, </w:t>
      </w:r>
      <w:r>
        <w:rPr>
          <w:rFonts w:cs="Arial"/>
          <w:szCs w:val="18"/>
        </w:rPr>
        <w:t xml:space="preserve">2004, </w:t>
      </w:r>
      <w:r w:rsidRPr="00EE5093">
        <w:rPr>
          <w:rFonts w:cs="Arial"/>
          <w:szCs w:val="18"/>
        </w:rPr>
        <w:t>p</w:t>
      </w:r>
      <w:r w:rsidR="00615EFF">
        <w:rPr>
          <w:rFonts w:cs="Arial"/>
          <w:szCs w:val="18"/>
        </w:rPr>
        <w:t> </w:t>
      </w:r>
      <w:r w:rsidRPr="00EE5093">
        <w:rPr>
          <w:rFonts w:cs="Arial"/>
          <w:szCs w:val="18"/>
        </w:rPr>
        <w:t xml:space="preserve">94; </w:t>
      </w:r>
      <w:r w:rsidRPr="00EE5093">
        <w:rPr>
          <w:rFonts w:cs="Arial"/>
        </w:rPr>
        <w:t xml:space="preserve">R Stewart-Crompton, S Mayman </w:t>
      </w:r>
      <w:r>
        <w:rPr>
          <w:rFonts w:cs="Arial"/>
        </w:rPr>
        <w:t>and</w:t>
      </w:r>
      <w:r w:rsidRPr="00EE5093">
        <w:rPr>
          <w:rFonts w:cs="Arial"/>
        </w:rPr>
        <w:t xml:space="preserve"> B Sherriff, </w:t>
      </w:r>
      <w:hyperlink r:id="rId15" w:history="1">
        <w:r w:rsidRPr="00EE5093">
          <w:rPr>
            <w:rStyle w:val="Hyperlink"/>
            <w:rFonts w:cs="Arial"/>
            <w:i/>
          </w:rPr>
          <w:t xml:space="preserve">National </w:t>
        </w:r>
        <w:r>
          <w:rPr>
            <w:rStyle w:val="Hyperlink"/>
            <w:rFonts w:cs="Arial"/>
            <w:i/>
          </w:rPr>
          <w:t>R</w:t>
        </w:r>
        <w:r w:rsidRPr="00EE5093">
          <w:rPr>
            <w:rStyle w:val="Hyperlink"/>
            <w:rFonts w:cs="Arial"/>
            <w:i/>
          </w:rPr>
          <w:t xml:space="preserve">eview into </w:t>
        </w:r>
        <w:r>
          <w:rPr>
            <w:rStyle w:val="Hyperlink"/>
            <w:rFonts w:cs="Arial"/>
            <w:i/>
          </w:rPr>
          <w:t>M</w:t>
        </w:r>
        <w:r w:rsidRPr="00EE5093">
          <w:rPr>
            <w:rStyle w:val="Hyperlink"/>
            <w:rFonts w:cs="Arial"/>
            <w:i/>
          </w:rPr>
          <w:t xml:space="preserve">odel </w:t>
        </w:r>
        <w:r>
          <w:rPr>
            <w:rStyle w:val="Hyperlink"/>
            <w:rFonts w:cs="Arial"/>
            <w:i/>
          </w:rPr>
          <w:t>O</w:t>
        </w:r>
        <w:r w:rsidRPr="00EE5093">
          <w:rPr>
            <w:rStyle w:val="Hyperlink"/>
            <w:rFonts w:cs="Arial"/>
            <w:i/>
          </w:rPr>
          <w:t xml:space="preserve">ccupational </w:t>
        </w:r>
        <w:r>
          <w:rPr>
            <w:rStyle w:val="Hyperlink"/>
            <w:rFonts w:cs="Arial"/>
            <w:i/>
          </w:rPr>
          <w:t>H</w:t>
        </w:r>
        <w:r w:rsidRPr="00EE5093">
          <w:rPr>
            <w:rStyle w:val="Hyperlink"/>
            <w:rFonts w:cs="Arial"/>
            <w:i/>
          </w:rPr>
          <w:t xml:space="preserve">ealth and </w:t>
        </w:r>
        <w:r>
          <w:rPr>
            <w:rStyle w:val="Hyperlink"/>
            <w:rFonts w:cs="Arial"/>
            <w:i/>
          </w:rPr>
          <w:t>S</w:t>
        </w:r>
        <w:r w:rsidRPr="00EE5093">
          <w:rPr>
            <w:rStyle w:val="Hyperlink"/>
            <w:rFonts w:cs="Arial"/>
            <w:i/>
          </w:rPr>
          <w:t xml:space="preserve">afety </w:t>
        </w:r>
        <w:r>
          <w:rPr>
            <w:rStyle w:val="Hyperlink"/>
            <w:rFonts w:cs="Arial"/>
            <w:i/>
          </w:rPr>
          <w:t>L</w:t>
        </w:r>
        <w:r w:rsidRPr="00EE5093">
          <w:rPr>
            <w:rStyle w:val="Hyperlink"/>
            <w:rFonts w:cs="Arial"/>
            <w:i/>
          </w:rPr>
          <w:t xml:space="preserve">aws: </w:t>
        </w:r>
        <w:r>
          <w:rPr>
            <w:rStyle w:val="Hyperlink"/>
            <w:rFonts w:cs="Arial"/>
            <w:i/>
          </w:rPr>
          <w:t>f</w:t>
        </w:r>
        <w:r w:rsidRPr="00EE5093">
          <w:rPr>
            <w:rStyle w:val="Hyperlink"/>
            <w:rFonts w:cs="Arial"/>
            <w:i/>
          </w:rPr>
          <w:t>irst report</w:t>
        </w:r>
      </w:hyperlink>
      <w:r w:rsidRPr="00EE5093">
        <w:rPr>
          <w:rFonts w:cs="Arial"/>
        </w:rPr>
        <w:t xml:space="preserve">, Department of Employment and Workplace Relations, </w:t>
      </w:r>
      <w:r>
        <w:rPr>
          <w:rFonts w:cs="Arial"/>
        </w:rPr>
        <w:t xml:space="preserve">Australian Government, </w:t>
      </w:r>
      <w:r w:rsidRPr="00EE5093">
        <w:rPr>
          <w:rFonts w:cs="Arial"/>
        </w:rPr>
        <w:t>2008,</w:t>
      </w:r>
      <w:r w:rsidRPr="00EE5093">
        <w:rPr>
          <w:rFonts w:cs="Arial"/>
          <w:szCs w:val="18"/>
        </w:rPr>
        <w:t xml:space="preserve"> p 7.</w:t>
      </w:r>
    </w:p>
  </w:footnote>
  <w:footnote w:id="26">
    <w:p w14:paraId="58CA9285" w14:textId="77777777" w:rsidR="00201AE9" w:rsidRPr="00EE5093" w:rsidRDefault="00201AE9" w:rsidP="00201AE9">
      <w:pPr>
        <w:pStyle w:val="FootnoteText"/>
        <w:rPr>
          <w:rFonts w:cs="Arial"/>
          <w:szCs w:val="18"/>
        </w:rPr>
      </w:pPr>
      <w:r w:rsidRPr="00EE5093">
        <w:rPr>
          <w:rStyle w:val="FootnoteReference"/>
          <w:rFonts w:cs="Arial"/>
          <w:szCs w:val="18"/>
        </w:rPr>
        <w:footnoteRef/>
      </w:r>
      <w:r w:rsidRPr="00EE5093">
        <w:rPr>
          <w:rFonts w:cs="Arial"/>
          <w:szCs w:val="18"/>
        </w:rPr>
        <w:t xml:space="preserve"> </w:t>
      </w:r>
      <w:hyperlink r:id="rId16" w:history="1">
        <w:r w:rsidRPr="00EE5093">
          <w:rPr>
            <w:rStyle w:val="Hyperlink"/>
            <w:rFonts w:cs="Arial"/>
            <w:szCs w:val="18"/>
          </w:rPr>
          <w:t>Anonymous</w:t>
        </w:r>
      </w:hyperlink>
      <w:r w:rsidRPr="00EE5093">
        <w:rPr>
          <w:rFonts w:cs="Arial"/>
          <w:szCs w:val="18"/>
        </w:rPr>
        <w:t xml:space="preserve">, Submission #166, p 9. J Douglas and A Land Pejoska, </w:t>
      </w:r>
      <w:hyperlink r:id="rId17" w:history="1">
        <w:r w:rsidRPr="00EE5093">
          <w:rPr>
            <w:rStyle w:val="Hyperlink"/>
            <w:rFonts w:cs="Arial"/>
            <w:i/>
            <w:szCs w:val="18"/>
          </w:rPr>
          <w:t>Regulation an</w:t>
        </w:r>
        <w:bookmarkStart w:id="12" w:name="_Hlt236142294"/>
        <w:bookmarkStart w:id="13" w:name="_Hlt236142295"/>
        <w:r w:rsidRPr="00EE5093">
          <w:rPr>
            <w:rStyle w:val="Hyperlink"/>
            <w:rFonts w:cs="Arial"/>
            <w:i/>
            <w:szCs w:val="18"/>
          </w:rPr>
          <w:t>d</w:t>
        </w:r>
        <w:bookmarkEnd w:id="12"/>
        <w:bookmarkEnd w:id="13"/>
        <w:r w:rsidRPr="00EE5093">
          <w:rPr>
            <w:rStyle w:val="Hyperlink"/>
            <w:rFonts w:cs="Arial"/>
            <w:i/>
            <w:szCs w:val="18"/>
          </w:rPr>
          <w:t xml:space="preserve"> </w:t>
        </w:r>
        <w:r>
          <w:rPr>
            <w:rStyle w:val="Hyperlink"/>
            <w:rFonts w:cs="Arial"/>
            <w:i/>
            <w:szCs w:val="18"/>
          </w:rPr>
          <w:t>s</w:t>
        </w:r>
        <w:r w:rsidRPr="00EE5093">
          <w:rPr>
            <w:rStyle w:val="Hyperlink"/>
            <w:rFonts w:cs="Arial"/>
            <w:i/>
            <w:szCs w:val="18"/>
          </w:rPr>
          <w:t xml:space="preserve">mall </w:t>
        </w:r>
        <w:r>
          <w:rPr>
            <w:rStyle w:val="Hyperlink"/>
            <w:rFonts w:cs="Arial"/>
            <w:i/>
            <w:szCs w:val="18"/>
          </w:rPr>
          <w:t>b</w:t>
        </w:r>
        <w:r w:rsidRPr="00EE5093">
          <w:rPr>
            <w:rStyle w:val="Hyperlink"/>
            <w:rFonts w:cs="Arial"/>
            <w:i/>
            <w:szCs w:val="18"/>
          </w:rPr>
          <w:t>usiness</w:t>
        </w:r>
      </w:hyperlink>
      <w:r w:rsidRPr="00EE5093">
        <w:rPr>
          <w:rFonts w:cs="Arial"/>
          <w:szCs w:val="18"/>
        </w:rPr>
        <w:t>, 2017, pp 1–4.</w:t>
      </w:r>
    </w:p>
  </w:footnote>
  <w:footnote w:id="27">
    <w:p w14:paraId="6E63EACE" w14:textId="68B50BE7" w:rsidR="006724AE" w:rsidRPr="00EA56D8" w:rsidRDefault="006724AE" w:rsidP="006724AE">
      <w:pPr>
        <w:pStyle w:val="FootnoteText"/>
        <w:rPr>
          <w:rFonts w:cs="Arial"/>
          <w:highlight w:val="yellow"/>
        </w:rPr>
      </w:pPr>
      <w:r w:rsidRPr="00EA56D8">
        <w:rPr>
          <w:rStyle w:val="FootnoteReference"/>
          <w:rFonts w:cs="Arial"/>
        </w:rPr>
        <w:footnoteRef/>
      </w:r>
      <w:r w:rsidRPr="00EA56D8">
        <w:rPr>
          <w:rFonts w:cs="Arial"/>
        </w:rPr>
        <w:t xml:space="preserve"> </w:t>
      </w:r>
      <w:r w:rsidRPr="00EA56D8">
        <w:rPr>
          <w:rFonts w:cs="Arial"/>
          <w:szCs w:val="18"/>
        </w:rPr>
        <w:t xml:space="preserve">ASBFEO, </w:t>
      </w:r>
      <w:hyperlink r:id="rId18" w:history="1">
        <w:r w:rsidRPr="00EA56D8">
          <w:rPr>
            <w:rStyle w:val="Hyperlink"/>
            <w:rFonts w:cs="Arial"/>
            <w:i/>
          </w:rPr>
          <w:t xml:space="preserve">Contribution to Australian </w:t>
        </w:r>
        <w:r w:rsidR="006F5016">
          <w:rPr>
            <w:rStyle w:val="Hyperlink"/>
            <w:rFonts w:cs="Arial"/>
            <w:i/>
          </w:rPr>
          <w:t>e</w:t>
        </w:r>
        <w:r w:rsidRPr="00EA56D8">
          <w:rPr>
            <w:rStyle w:val="Hyperlink"/>
            <w:rFonts w:cs="Arial"/>
            <w:i/>
          </w:rPr>
          <w:t>mployment</w:t>
        </w:r>
      </w:hyperlink>
      <w:r w:rsidR="00201AE9" w:rsidRPr="00EE5093">
        <w:rPr>
          <w:rFonts w:cs="Arial"/>
          <w:szCs w:val="18"/>
        </w:rPr>
        <w:t>, May 2025, accessed 12 May 2026.</w:t>
      </w:r>
    </w:p>
  </w:footnote>
  <w:footnote w:id="28">
    <w:p w14:paraId="0A33CFA9" w14:textId="5232B771" w:rsidR="006724AE" w:rsidRPr="00EA56D8" w:rsidRDefault="006724AE" w:rsidP="006724AE">
      <w:pPr>
        <w:pStyle w:val="FootnoteText"/>
        <w:rPr>
          <w:rFonts w:cs="Arial"/>
        </w:rPr>
      </w:pPr>
      <w:r w:rsidRPr="00EA56D8">
        <w:rPr>
          <w:rStyle w:val="FootnoteReference"/>
          <w:rFonts w:cs="Arial"/>
        </w:rPr>
        <w:footnoteRef/>
      </w:r>
      <w:r w:rsidRPr="00EA56D8">
        <w:rPr>
          <w:rFonts w:cs="Arial"/>
        </w:rPr>
        <w:t xml:space="preserve"> </w:t>
      </w:r>
      <w:r w:rsidRPr="00EA56D8">
        <w:rPr>
          <w:rFonts w:cs="Arial"/>
          <w:szCs w:val="18"/>
        </w:rPr>
        <w:t xml:space="preserve">ASBFEO, </w:t>
      </w:r>
      <w:hyperlink r:id="rId19" w:history="1">
        <w:r w:rsidRPr="00EA56D8">
          <w:rPr>
            <w:rStyle w:val="Hyperlink"/>
            <w:rFonts w:cs="Arial"/>
            <w:i/>
            <w:szCs w:val="18"/>
          </w:rPr>
          <w:t>Contribution to Australian Gross Domestic Product</w:t>
        </w:r>
      </w:hyperlink>
      <w:r w:rsidR="00201AE9" w:rsidRPr="00EE5093">
        <w:rPr>
          <w:rFonts w:cs="Arial"/>
          <w:szCs w:val="18"/>
        </w:rPr>
        <w:t>, May 2025, accessed 12 May 2026.</w:t>
      </w:r>
    </w:p>
  </w:footnote>
  <w:footnote w:id="29">
    <w:p w14:paraId="00B22C63" w14:textId="77777777" w:rsidR="006724AE" w:rsidRPr="00EA56D8" w:rsidRDefault="006724AE" w:rsidP="006724AE">
      <w:pPr>
        <w:pStyle w:val="FootnoteText"/>
        <w:rPr>
          <w:rFonts w:cs="Arial"/>
        </w:rPr>
      </w:pPr>
      <w:r w:rsidRPr="00EA56D8">
        <w:rPr>
          <w:rStyle w:val="FootnoteReference"/>
          <w:rFonts w:cs="Arial"/>
        </w:rPr>
        <w:footnoteRef/>
      </w:r>
      <w:r w:rsidR="00201AE9" w:rsidRPr="00EE5093">
        <w:rPr>
          <w:rFonts w:cs="Arial"/>
        </w:rPr>
        <w:t xml:space="preserve"> R Stewart-Crompton, S Mayman </w:t>
      </w:r>
      <w:r w:rsidR="00201AE9">
        <w:rPr>
          <w:rFonts w:cs="Arial"/>
        </w:rPr>
        <w:t>and</w:t>
      </w:r>
      <w:r w:rsidR="00201AE9" w:rsidRPr="00EE5093">
        <w:rPr>
          <w:rFonts w:cs="Arial"/>
        </w:rPr>
        <w:t xml:space="preserve"> B Sherriff, </w:t>
      </w:r>
      <w:hyperlink r:id="rId20" w:history="1">
        <w:r w:rsidR="00201AE9" w:rsidRPr="00EE5093">
          <w:rPr>
            <w:rStyle w:val="Hyperlink"/>
            <w:rFonts w:cs="Arial"/>
            <w:i/>
          </w:rPr>
          <w:t xml:space="preserve">National </w:t>
        </w:r>
        <w:r w:rsidR="00201AE9">
          <w:rPr>
            <w:rStyle w:val="Hyperlink"/>
            <w:rFonts w:cs="Arial"/>
            <w:i/>
          </w:rPr>
          <w:t>R</w:t>
        </w:r>
        <w:r w:rsidR="00201AE9" w:rsidRPr="00EE5093">
          <w:rPr>
            <w:rStyle w:val="Hyperlink"/>
            <w:rFonts w:cs="Arial"/>
            <w:i/>
          </w:rPr>
          <w:t xml:space="preserve">eview into </w:t>
        </w:r>
        <w:r w:rsidR="00201AE9">
          <w:rPr>
            <w:rStyle w:val="Hyperlink"/>
            <w:rFonts w:cs="Arial"/>
            <w:i/>
          </w:rPr>
          <w:t>M</w:t>
        </w:r>
        <w:r w:rsidR="00201AE9" w:rsidRPr="00EE5093">
          <w:rPr>
            <w:rStyle w:val="Hyperlink"/>
            <w:rFonts w:cs="Arial"/>
            <w:i/>
          </w:rPr>
          <w:t xml:space="preserve">odel </w:t>
        </w:r>
        <w:r w:rsidR="00201AE9">
          <w:rPr>
            <w:rStyle w:val="Hyperlink"/>
            <w:rFonts w:cs="Arial"/>
            <w:i/>
          </w:rPr>
          <w:t>O</w:t>
        </w:r>
        <w:r w:rsidR="00201AE9" w:rsidRPr="00EE5093">
          <w:rPr>
            <w:rStyle w:val="Hyperlink"/>
            <w:rFonts w:cs="Arial"/>
            <w:i/>
          </w:rPr>
          <w:t xml:space="preserve">ccupational </w:t>
        </w:r>
        <w:r w:rsidR="00201AE9">
          <w:rPr>
            <w:rStyle w:val="Hyperlink"/>
            <w:rFonts w:cs="Arial"/>
            <w:i/>
          </w:rPr>
          <w:t>H</w:t>
        </w:r>
        <w:r w:rsidR="00201AE9" w:rsidRPr="00EE5093">
          <w:rPr>
            <w:rStyle w:val="Hyperlink"/>
            <w:rFonts w:cs="Arial"/>
            <w:i/>
          </w:rPr>
          <w:t xml:space="preserve">ealth and </w:t>
        </w:r>
        <w:r w:rsidR="00201AE9">
          <w:rPr>
            <w:rStyle w:val="Hyperlink"/>
            <w:rFonts w:cs="Arial"/>
            <w:i/>
          </w:rPr>
          <w:t>S</w:t>
        </w:r>
        <w:r w:rsidR="00201AE9" w:rsidRPr="00EE5093">
          <w:rPr>
            <w:rStyle w:val="Hyperlink"/>
            <w:rFonts w:cs="Arial"/>
            <w:i/>
          </w:rPr>
          <w:t xml:space="preserve">afety </w:t>
        </w:r>
        <w:r w:rsidR="00201AE9">
          <w:rPr>
            <w:rStyle w:val="Hyperlink"/>
            <w:rFonts w:cs="Arial"/>
            <w:i/>
          </w:rPr>
          <w:t>L</w:t>
        </w:r>
        <w:r w:rsidR="00201AE9" w:rsidRPr="00EE5093">
          <w:rPr>
            <w:rStyle w:val="Hyperlink"/>
            <w:rFonts w:cs="Arial"/>
            <w:i/>
          </w:rPr>
          <w:t xml:space="preserve">aws: </w:t>
        </w:r>
        <w:r w:rsidR="00201AE9">
          <w:rPr>
            <w:rStyle w:val="Hyperlink"/>
            <w:rFonts w:cs="Arial"/>
            <w:i/>
          </w:rPr>
          <w:t>f</w:t>
        </w:r>
        <w:r w:rsidR="00201AE9" w:rsidRPr="00EE5093">
          <w:rPr>
            <w:rStyle w:val="Hyperlink"/>
            <w:rFonts w:cs="Arial"/>
            <w:i/>
          </w:rPr>
          <w:t>irst report</w:t>
        </w:r>
      </w:hyperlink>
      <w:r w:rsidR="00201AE9" w:rsidRPr="00EE5093">
        <w:rPr>
          <w:rFonts w:cs="Arial"/>
        </w:rPr>
        <w:t xml:space="preserve">, Department of Employment and Workplace Relations, </w:t>
      </w:r>
      <w:r w:rsidR="00201AE9">
        <w:rPr>
          <w:rFonts w:cs="Arial"/>
        </w:rPr>
        <w:t xml:space="preserve">Australian Government, </w:t>
      </w:r>
      <w:r w:rsidR="00201AE9" w:rsidRPr="00EE5093">
        <w:rPr>
          <w:rFonts w:cs="Arial"/>
        </w:rPr>
        <w:t>2008,</w:t>
      </w:r>
      <w:r w:rsidR="00201AE9" w:rsidRPr="00EE5093">
        <w:rPr>
          <w:rFonts w:cs="Arial"/>
          <w:szCs w:val="18"/>
        </w:rPr>
        <w:t xml:space="preserve"> p 7.</w:t>
      </w:r>
    </w:p>
  </w:footnote>
  <w:footnote w:id="30">
    <w:p w14:paraId="4E5D88F6" w14:textId="77777777" w:rsidR="006724AE" w:rsidRPr="00EA56D8" w:rsidRDefault="006724AE" w:rsidP="006724AE">
      <w:pPr>
        <w:pStyle w:val="FootnoteText"/>
        <w:rPr>
          <w:rFonts w:cs="Arial"/>
        </w:rPr>
      </w:pPr>
      <w:r w:rsidRPr="00EA56D8">
        <w:rPr>
          <w:rStyle w:val="FootnoteReference"/>
          <w:rFonts w:cs="Arial"/>
        </w:rPr>
        <w:footnoteRef/>
      </w:r>
      <w:r w:rsidR="00201AE9" w:rsidRPr="00EE5093">
        <w:rPr>
          <w:rFonts w:cs="Arial"/>
        </w:rPr>
        <w:t xml:space="preserve"> R Stewart-Crompton, S Mayman </w:t>
      </w:r>
      <w:r w:rsidR="00201AE9">
        <w:rPr>
          <w:rFonts w:cs="Arial"/>
        </w:rPr>
        <w:t>and</w:t>
      </w:r>
      <w:r w:rsidR="00201AE9" w:rsidRPr="00EE5093">
        <w:rPr>
          <w:rFonts w:cs="Arial"/>
        </w:rPr>
        <w:t xml:space="preserve"> B Sherriff, </w:t>
      </w:r>
      <w:hyperlink r:id="rId21" w:history="1">
        <w:r w:rsidR="00201AE9" w:rsidRPr="00EE5093">
          <w:rPr>
            <w:rStyle w:val="Hyperlink"/>
            <w:rFonts w:cs="Arial"/>
            <w:i/>
          </w:rPr>
          <w:t xml:space="preserve">National </w:t>
        </w:r>
        <w:r w:rsidR="00201AE9">
          <w:rPr>
            <w:rStyle w:val="Hyperlink"/>
            <w:rFonts w:cs="Arial"/>
            <w:i/>
          </w:rPr>
          <w:t>R</w:t>
        </w:r>
        <w:r w:rsidR="00201AE9" w:rsidRPr="00EE5093">
          <w:rPr>
            <w:rStyle w:val="Hyperlink"/>
            <w:rFonts w:cs="Arial"/>
            <w:i/>
          </w:rPr>
          <w:t xml:space="preserve">eview into </w:t>
        </w:r>
        <w:r w:rsidR="00201AE9">
          <w:rPr>
            <w:rStyle w:val="Hyperlink"/>
            <w:rFonts w:cs="Arial"/>
            <w:i/>
          </w:rPr>
          <w:t>M</w:t>
        </w:r>
        <w:r w:rsidR="00201AE9" w:rsidRPr="00EE5093">
          <w:rPr>
            <w:rStyle w:val="Hyperlink"/>
            <w:rFonts w:cs="Arial"/>
            <w:i/>
          </w:rPr>
          <w:t xml:space="preserve">odel </w:t>
        </w:r>
        <w:r w:rsidR="00201AE9">
          <w:rPr>
            <w:rStyle w:val="Hyperlink"/>
            <w:rFonts w:cs="Arial"/>
            <w:i/>
          </w:rPr>
          <w:t>O</w:t>
        </w:r>
        <w:r w:rsidR="00201AE9" w:rsidRPr="00EE5093">
          <w:rPr>
            <w:rStyle w:val="Hyperlink"/>
            <w:rFonts w:cs="Arial"/>
            <w:i/>
          </w:rPr>
          <w:t xml:space="preserve">ccupational </w:t>
        </w:r>
        <w:r w:rsidR="00201AE9">
          <w:rPr>
            <w:rStyle w:val="Hyperlink"/>
            <w:rFonts w:cs="Arial"/>
            <w:i/>
          </w:rPr>
          <w:t>H</w:t>
        </w:r>
        <w:r w:rsidR="00201AE9" w:rsidRPr="00EE5093">
          <w:rPr>
            <w:rStyle w:val="Hyperlink"/>
            <w:rFonts w:cs="Arial"/>
            <w:i/>
          </w:rPr>
          <w:t xml:space="preserve">ealth and </w:t>
        </w:r>
        <w:r w:rsidR="00201AE9">
          <w:rPr>
            <w:rStyle w:val="Hyperlink"/>
            <w:rFonts w:cs="Arial"/>
            <w:i/>
          </w:rPr>
          <w:t>S</w:t>
        </w:r>
        <w:r w:rsidR="00201AE9" w:rsidRPr="00EE5093">
          <w:rPr>
            <w:rStyle w:val="Hyperlink"/>
            <w:rFonts w:cs="Arial"/>
            <w:i/>
          </w:rPr>
          <w:t xml:space="preserve">afety </w:t>
        </w:r>
        <w:r w:rsidR="00201AE9">
          <w:rPr>
            <w:rStyle w:val="Hyperlink"/>
            <w:rFonts w:cs="Arial"/>
            <w:i/>
          </w:rPr>
          <w:t>L</w:t>
        </w:r>
        <w:r w:rsidR="00201AE9" w:rsidRPr="00EE5093">
          <w:rPr>
            <w:rStyle w:val="Hyperlink"/>
            <w:rFonts w:cs="Arial"/>
            <w:i/>
          </w:rPr>
          <w:t xml:space="preserve">aws: </w:t>
        </w:r>
        <w:r w:rsidR="00201AE9">
          <w:rPr>
            <w:rStyle w:val="Hyperlink"/>
            <w:rFonts w:cs="Arial"/>
            <w:i/>
          </w:rPr>
          <w:t>s</w:t>
        </w:r>
        <w:r w:rsidR="00201AE9" w:rsidRPr="00EE5093">
          <w:rPr>
            <w:rStyle w:val="Hyperlink"/>
            <w:rFonts w:cs="Arial"/>
            <w:i/>
          </w:rPr>
          <w:t>econd report</w:t>
        </w:r>
      </w:hyperlink>
      <w:r w:rsidR="00201AE9" w:rsidRPr="00EE5093">
        <w:rPr>
          <w:rFonts w:cs="Arial"/>
          <w:i/>
        </w:rPr>
        <w:t xml:space="preserve">, </w:t>
      </w:r>
      <w:r w:rsidR="00201AE9" w:rsidRPr="00EE5093">
        <w:rPr>
          <w:rFonts w:cs="Arial"/>
        </w:rPr>
        <w:t xml:space="preserve">Department of Employment and Workplace Relations, </w:t>
      </w:r>
      <w:r w:rsidR="00201AE9">
        <w:rPr>
          <w:rFonts w:cs="Arial"/>
        </w:rPr>
        <w:t xml:space="preserve">Australian Government, </w:t>
      </w:r>
      <w:r w:rsidR="00201AE9" w:rsidRPr="00EE5093">
        <w:rPr>
          <w:rFonts w:cs="Arial"/>
        </w:rPr>
        <w:t xml:space="preserve">2009, </w:t>
      </w:r>
      <w:r w:rsidR="00201AE9" w:rsidRPr="00EE5093">
        <w:rPr>
          <w:rFonts w:cs="Arial"/>
          <w:szCs w:val="18"/>
        </w:rPr>
        <w:t>p 274.</w:t>
      </w:r>
    </w:p>
  </w:footnote>
  <w:footnote w:id="31">
    <w:p w14:paraId="755C2BA4" w14:textId="6411689D" w:rsidR="006724AE" w:rsidRPr="00EA56D8" w:rsidRDefault="006724AE" w:rsidP="006724AE">
      <w:pPr>
        <w:pStyle w:val="FootnoteText"/>
        <w:rPr>
          <w:rFonts w:cs="Arial"/>
          <w:szCs w:val="18"/>
        </w:rPr>
      </w:pPr>
      <w:r w:rsidRPr="00EA56D8">
        <w:rPr>
          <w:rStyle w:val="FootnoteReference"/>
          <w:rFonts w:cs="Arial"/>
          <w:szCs w:val="18"/>
        </w:rPr>
        <w:footnoteRef/>
      </w:r>
      <w:r w:rsidRPr="00EA56D8">
        <w:rPr>
          <w:rFonts w:cs="Arial"/>
          <w:szCs w:val="18"/>
        </w:rPr>
        <w:t xml:space="preserve"> Safe Work Australia, </w:t>
      </w:r>
      <w:hyperlink r:id="rId22" w:history="1">
        <w:r w:rsidRPr="00EA56D8">
          <w:rPr>
            <w:rStyle w:val="Hyperlink"/>
            <w:rFonts w:cs="Arial"/>
            <w:i/>
            <w:szCs w:val="18"/>
          </w:rPr>
          <w:t xml:space="preserve">Key </w:t>
        </w:r>
        <w:r w:rsidR="006F5016">
          <w:rPr>
            <w:rStyle w:val="Hyperlink"/>
            <w:rFonts w:cs="Arial"/>
            <w:i/>
            <w:szCs w:val="18"/>
          </w:rPr>
          <w:t>w</w:t>
        </w:r>
        <w:r w:rsidRPr="00EA56D8">
          <w:rPr>
            <w:rStyle w:val="Hyperlink"/>
            <w:rFonts w:cs="Arial"/>
            <w:i/>
            <w:szCs w:val="18"/>
          </w:rPr>
          <w:t xml:space="preserve">ork </w:t>
        </w:r>
        <w:r w:rsidR="006F5016">
          <w:rPr>
            <w:rStyle w:val="Hyperlink"/>
            <w:rFonts w:cs="Arial"/>
            <w:i/>
            <w:szCs w:val="18"/>
          </w:rPr>
          <w:t>h</w:t>
        </w:r>
        <w:r w:rsidRPr="00EA56D8">
          <w:rPr>
            <w:rStyle w:val="Hyperlink"/>
            <w:rFonts w:cs="Arial"/>
            <w:i/>
            <w:szCs w:val="18"/>
          </w:rPr>
          <w:t xml:space="preserve">ealth and </w:t>
        </w:r>
        <w:r w:rsidR="006F5016">
          <w:rPr>
            <w:rStyle w:val="Hyperlink"/>
            <w:rFonts w:cs="Arial"/>
            <w:i/>
            <w:szCs w:val="18"/>
          </w:rPr>
          <w:t>s</w:t>
        </w:r>
        <w:r w:rsidRPr="00EA56D8">
          <w:rPr>
            <w:rStyle w:val="Hyperlink"/>
            <w:rFonts w:cs="Arial"/>
            <w:i/>
            <w:szCs w:val="18"/>
          </w:rPr>
          <w:t xml:space="preserve">afety </w:t>
        </w:r>
        <w:r w:rsidR="006F5016">
          <w:rPr>
            <w:rStyle w:val="Hyperlink"/>
            <w:rFonts w:cs="Arial"/>
            <w:i/>
            <w:szCs w:val="18"/>
          </w:rPr>
          <w:t>s</w:t>
        </w:r>
        <w:r w:rsidRPr="00EA56D8">
          <w:rPr>
            <w:rStyle w:val="Hyperlink"/>
            <w:rFonts w:cs="Arial"/>
            <w:i/>
            <w:szCs w:val="18"/>
          </w:rPr>
          <w:t>tatistics Australia</w:t>
        </w:r>
      </w:hyperlink>
      <w:r w:rsidR="00201AE9" w:rsidRPr="000559D1" w:rsidDel="00175750">
        <w:rPr>
          <w:rFonts w:cs="Arial"/>
          <w:i/>
          <w:szCs w:val="18"/>
        </w:rPr>
        <w:t>,</w:t>
      </w:r>
      <w:r w:rsidR="00201AE9" w:rsidRPr="00EE5093">
        <w:rPr>
          <w:rFonts w:cs="Arial"/>
          <w:szCs w:val="18"/>
        </w:rPr>
        <w:t xml:space="preserve"> </w:t>
      </w:r>
      <w:r w:rsidR="00201AE9">
        <w:rPr>
          <w:rFonts w:cs="Arial"/>
          <w:szCs w:val="18"/>
        </w:rPr>
        <w:t xml:space="preserve">Insights, Safe Work Australia, </w:t>
      </w:r>
      <w:r w:rsidR="00201AE9" w:rsidRPr="00EE5093">
        <w:rPr>
          <w:rFonts w:cs="Arial"/>
          <w:szCs w:val="18"/>
        </w:rPr>
        <w:t xml:space="preserve">October 2025, accessed May 2026; Safe Work Australia, </w:t>
      </w:r>
      <w:hyperlink r:id="rId23" w:history="1">
        <w:r w:rsidRPr="00EA56D8">
          <w:rPr>
            <w:rStyle w:val="Hyperlink"/>
            <w:rFonts w:cs="Arial"/>
            <w:i/>
            <w:szCs w:val="18"/>
          </w:rPr>
          <w:t>Work-related fata</w:t>
        </w:r>
        <w:bookmarkStart w:id="14" w:name="_Hlt236142395"/>
        <w:bookmarkStart w:id="15" w:name="_Hlt236142396"/>
        <w:r w:rsidRPr="00EA56D8">
          <w:rPr>
            <w:rStyle w:val="Hyperlink"/>
            <w:rFonts w:cs="Arial"/>
            <w:i/>
            <w:szCs w:val="18"/>
          </w:rPr>
          <w:t>l</w:t>
        </w:r>
        <w:bookmarkEnd w:id="14"/>
        <w:bookmarkEnd w:id="15"/>
        <w:r w:rsidRPr="00EA56D8">
          <w:rPr>
            <w:rStyle w:val="Hyperlink"/>
            <w:rFonts w:cs="Arial"/>
            <w:i/>
            <w:szCs w:val="18"/>
          </w:rPr>
          <w:t>ities</w:t>
        </w:r>
      </w:hyperlink>
      <w:r w:rsidR="00201AE9" w:rsidRPr="00EE5093" w:rsidDel="00175750">
        <w:rPr>
          <w:rFonts w:cs="Arial"/>
          <w:szCs w:val="18"/>
        </w:rPr>
        <w:t>,</w:t>
      </w:r>
      <w:r w:rsidR="00201AE9" w:rsidRPr="00EE5093">
        <w:rPr>
          <w:rFonts w:cs="Arial"/>
          <w:szCs w:val="18"/>
        </w:rPr>
        <w:t xml:space="preserve"> </w:t>
      </w:r>
      <w:r w:rsidR="00201AE9">
        <w:rPr>
          <w:rFonts w:cs="Arial"/>
          <w:szCs w:val="18"/>
        </w:rPr>
        <w:t xml:space="preserve">Dashboard, Safe Work Australia, </w:t>
      </w:r>
      <w:r w:rsidR="00201AE9" w:rsidRPr="00EE5093">
        <w:rPr>
          <w:rFonts w:cs="Arial"/>
          <w:szCs w:val="18"/>
        </w:rPr>
        <w:t>n.d., accessed May 2026.</w:t>
      </w:r>
    </w:p>
  </w:footnote>
  <w:footnote w:id="32">
    <w:p w14:paraId="6C033BEB" w14:textId="52B76EC2" w:rsidR="006724AE" w:rsidRPr="00EA56D8" w:rsidRDefault="006724AE" w:rsidP="006724AE">
      <w:pPr>
        <w:pStyle w:val="FootnoteText"/>
        <w:rPr>
          <w:rFonts w:cs="Arial"/>
          <w:szCs w:val="18"/>
        </w:rPr>
      </w:pPr>
      <w:r w:rsidRPr="00EA56D8">
        <w:rPr>
          <w:rStyle w:val="FootnoteReference"/>
          <w:rFonts w:cs="Arial"/>
          <w:szCs w:val="18"/>
        </w:rPr>
        <w:footnoteRef/>
      </w:r>
      <w:r w:rsidRPr="00EA56D8">
        <w:rPr>
          <w:rFonts w:cs="Arial"/>
          <w:szCs w:val="18"/>
        </w:rPr>
        <w:t xml:space="preserve"> Safe Work Australia, </w:t>
      </w:r>
      <w:hyperlink r:id="rId24" w:history="1">
        <w:r w:rsidRPr="00EA56D8">
          <w:rPr>
            <w:rStyle w:val="Hyperlink"/>
            <w:rFonts w:cs="Arial"/>
            <w:i/>
            <w:szCs w:val="18"/>
          </w:rPr>
          <w:t xml:space="preserve">Key </w:t>
        </w:r>
        <w:r w:rsidR="00C1381C">
          <w:rPr>
            <w:rStyle w:val="Hyperlink"/>
            <w:rFonts w:cs="Arial"/>
            <w:i/>
            <w:szCs w:val="18"/>
          </w:rPr>
          <w:t>w</w:t>
        </w:r>
        <w:r w:rsidRPr="00EA56D8">
          <w:rPr>
            <w:rStyle w:val="Hyperlink"/>
            <w:rFonts w:cs="Arial"/>
            <w:i/>
            <w:szCs w:val="18"/>
          </w:rPr>
          <w:t xml:space="preserve">ork </w:t>
        </w:r>
        <w:r w:rsidR="00C1381C">
          <w:rPr>
            <w:rStyle w:val="Hyperlink"/>
            <w:rFonts w:cs="Arial"/>
            <w:i/>
            <w:szCs w:val="18"/>
          </w:rPr>
          <w:t>h</w:t>
        </w:r>
        <w:r w:rsidRPr="00EA56D8">
          <w:rPr>
            <w:rStyle w:val="Hyperlink"/>
            <w:rFonts w:cs="Arial"/>
            <w:i/>
            <w:szCs w:val="18"/>
          </w:rPr>
          <w:t xml:space="preserve">ealth and </w:t>
        </w:r>
        <w:r w:rsidR="00C1381C">
          <w:rPr>
            <w:rStyle w:val="Hyperlink"/>
            <w:rFonts w:cs="Arial"/>
            <w:i/>
            <w:szCs w:val="18"/>
          </w:rPr>
          <w:t>s</w:t>
        </w:r>
        <w:r w:rsidRPr="00EA56D8">
          <w:rPr>
            <w:rStyle w:val="Hyperlink"/>
            <w:rFonts w:cs="Arial"/>
            <w:i/>
            <w:szCs w:val="18"/>
          </w:rPr>
          <w:t xml:space="preserve">afety </w:t>
        </w:r>
        <w:r w:rsidR="00C1381C">
          <w:rPr>
            <w:rStyle w:val="Hyperlink"/>
            <w:rFonts w:cs="Arial"/>
            <w:i/>
            <w:szCs w:val="18"/>
          </w:rPr>
          <w:t>s</w:t>
        </w:r>
        <w:r w:rsidRPr="00EA56D8">
          <w:rPr>
            <w:rStyle w:val="Hyperlink"/>
            <w:rFonts w:cs="Arial"/>
            <w:i/>
            <w:szCs w:val="18"/>
          </w:rPr>
          <w:t>tatis</w:t>
        </w:r>
        <w:bookmarkStart w:id="16" w:name="_Hlt229562453"/>
        <w:bookmarkStart w:id="17" w:name="_Hlt229562454"/>
        <w:r w:rsidRPr="00EA56D8">
          <w:rPr>
            <w:rStyle w:val="Hyperlink"/>
            <w:rFonts w:cs="Arial"/>
            <w:i/>
            <w:szCs w:val="18"/>
          </w:rPr>
          <w:t>t</w:t>
        </w:r>
        <w:bookmarkEnd w:id="16"/>
        <w:bookmarkEnd w:id="17"/>
        <w:r w:rsidRPr="00EA56D8">
          <w:rPr>
            <w:rStyle w:val="Hyperlink"/>
            <w:rFonts w:cs="Arial"/>
            <w:i/>
            <w:szCs w:val="18"/>
          </w:rPr>
          <w:t>ics Australia</w:t>
        </w:r>
      </w:hyperlink>
      <w:r w:rsidR="00201AE9" w:rsidRPr="006B572B" w:rsidDel="00175750">
        <w:rPr>
          <w:rFonts w:cs="Arial"/>
          <w:i/>
          <w:szCs w:val="18"/>
        </w:rPr>
        <w:t>,</w:t>
      </w:r>
      <w:r w:rsidR="00201AE9" w:rsidRPr="00EE5093">
        <w:rPr>
          <w:rFonts w:cs="Arial"/>
          <w:szCs w:val="18"/>
        </w:rPr>
        <w:t xml:space="preserve"> </w:t>
      </w:r>
      <w:r w:rsidR="00201AE9">
        <w:rPr>
          <w:rFonts w:cs="Arial"/>
          <w:szCs w:val="18"/>
        </w:rPr>
        <w:t xml:space="preserve">Insights, Safe Work Australia, </w:t>
      </w:r>
      <w:r w:rsidR="00201AE9" w:rsidRPr="00EE5093">
        <w:rPr>
          <w:rFonts w:cs="Arial"/>
          <w:szCs w:val="18"/>
        </w:rPr>
        <w:t xml:space="preserve">October 2025, accessed May 2026. Note: The causes of fatalities are complex, and </w:t>
      </w:r>
      <w:r w:rsidR="00201AE9" w:rsidRPr="00EE5093">
        <w:rPr>
          <w:rFonts w:cs="Arial"/>
        </w:rPr>
        <w:t>data should be interpreted carefully. There can be significant year-on-year variation. Analysing the data over a longer time period can help to account for this variation.</w:t>
      </w:r>
    </w:p>
  </w:footnote>
  <w:footnote w:id="33">
    <w:p w14:paraId="531EA4A0" w14:textId="23125C26" w:rsidR="006724AE" w:rsidRPr="00EA56D8" w:rsidRDefault="006724AE" w:rsidP="006724AE">
      <w:pPr>
        <w:pStyle w:val="FootnoteText"/>
        <w:rPr>
          <w:rFonts w:cs="Arial"/>
        </w:rPr>
      </w:pPr>
      <w:r w:rsidRPr="00EA56D8">
        <w:rPr>
          <w:rStyle w:val="FootnoteReference"/>
          <w:rFonts w:cs="Arial"/>
        </w:rPr>
        <w:footnoteRef/>
      </w:r>
      <w:r w:rsidRPr="00EA56D8">
        <w:rPr>
          <w:rFonts w:cs="Arial"/>
        </w:rPr>
        <w:t xml:space="preserve"> </w:t>
      </w:r>
      <w:r w:rsidRPr="00EA56D8">
        <w:rPr>
          <w:rFonts w:cs="Arial"/>
          <w:szCs w:val="18"/>
        </w:rPr>
        <w:t xml:space="preserve">Safe Work Australia, </w:t>
      </w:r>
      <w:hyperlink r:id="rId25" w:history="1">
        <w:r w:rsidRPr="00EA56D8">
          <w:rPr>
            <w:rStyle w:val="Hyperlink"/>
            <w:rFonts w:cs="Arial"/>
            <w:i/>
            <w:szCs w:val="18"/>
          </w:rPr>
          <w:t xml:space="preserve">Jurisdictional </w:t>
        </w:r>
        <w:r w:rsidR="00C1381C">
          <w:rPr>
            <w:rStyle w:val="Hyperlink"/>
            <w:rFonts w:cs="Arial"/>
            <w:i/>
            <w:szCs w:val="18"/>
          </w:rPr>
          <w:t>c</w:t>
        </w:r>
        <w:bookmarkStart w:id="18" w:name="_Hlt236142447"/>
        <w:bookmarkStart w:id="19" w:name="_Hlt236142448"/>
        <w:r w:rsidRPr="00EA56D8">
          <w:rPr>
            <w:rStyle w:val="Hyperlink"/>
            <w:rFonts w:cs="Arial"/>
            <w:i/>
            <w:szCs w:val="18"/>
          </w:rPr>
          <w:t>o</w:t>
        </w:r>
        <w:bookmarkEnd w:id="18"/>
        <w:bookmarkEnd w:id="19"/>
        <w:r w:rsidRPr="00EA56D8">
          <w:rPr>
            <w:rStyle w:val="Hyperlink"/>
            <w:rFonts w:cs="Arial"/>
            <w:i/>
            <w:szCs w:val="18"/>
          </w:rPr>
          <w:t>mparison</w:t>
        </w:r>
      </w:hyperlink>
      <w:r w:rsidR="00201AE9" w:rsidRPr="00F41B5C" w:rsidDel="00175750">
        <w:rPr>
          <w:rFonts w:cs="Arial"/>
          <w:i/>
          <w:szCs w:val="18"/>
        </w:rPr>
        <w:t>,</w:t>
      </w:r>
      <w:r w:rsidR="00201AE9" w:rsidRPr="00EE5093">
        <w:rPr>
          <w:rFonts w:cs="Arial"/>
          <w:szCs w:val="18"/>
        </w:rPr>
        <w:t xml:space="preserve"> </w:t>
      </w:r>
      <w:r w:rsidR="00201AE9">
        <w:rPr>
          <w:rFonts w:cs="Arial"/>
          <w:szCs w:val="18"/>
        </w:rPr>
        <w:t xml:space="preserve">Dashboard, Safe Work Australia, </w:t>
      </w:r>
      <w:r w:rsidR="00201AE9" w:rsidRPr="00EE5093">
        <w:rPr>
          <w:rFonts w:cs="Arial"/>
          <w:szCs w:val="18"/>
        </w:rPr>
        <w:t>February 2026, accessed May 2026.</w:t>
      </w:r>
    </w:p>
  </w:footnote>
  <w:footnote w:id="34">
    <w:p w14:paraId="599E6A83" w14:textId="77777777" w:rsidR="00201AE9" w:rsidRPr="007333CF" w:rsidRDefault="00201AE9" w:rsidP="00201AE9">
      <w:pPr>
        <w:pStyle w:val="FootnoteText"/>
        <w:rPr>
          <w:rFonts w:cs="Arial"/>
        </w:rPr>
      </w:pPr>
      <w:r w:rsidRPr="007333CF">
        <w:rPr>
          <w:rStyle w:val="FootnoteReference"/>
          <w:rFonts w:cs="Arial"/>
        </w:rPr>
        <w:footnoteRef/>
      </w:r>
      <w:r w:rsidRPr="007333CF">
        <w:rPr>
          <w:rFonts w:cs="Arial"/>
        </w:rPr>
        <w:t xml:space="preserve"> </w:t>
      </w:r>
      <w:r w:rsidRPr="004503A4">
        <w:rPr>
          <w:rFonts w:cs="Arial"/>
          <w:i/>
          <w:iCs/>
        </w:rPr>
        <w:t>Work Health and Safety Act 2011</w:t>
      </w:r>
      <w:r w:rsidRPr="007333CF">
        <w:rPr>
          <w:rFonts w:cs="Arial"/>
        </w:rPr>
        <w:t xml:space="preserve"> (Cth), s 3(g).</w:t>
      </w:r>
    </w:p>
  </w:footnote>
  <w:footnote w:id="35">
    <w:p w14:paraId="2D68FC02" w14:textId="116055B9" w:rsidR="006724AE" w:rsidRPr="00201AE9" w:rsidRDefault="006724AE" w:rsidP="006724AE">
      <w:pPr>
        <w:pStyle w:val="FootnoteText"/>
        <w:rPr>
          <w:rFonts w:cs="Aptos"/>
          <w:szCs w:val="18"/>
        </w:rPr>
      </w:pPr>
      <w:r w:rsidRPr="008C69BB">
        <w:rPr>
          <w:rStyle w:val="FootnoteReference"/>
          <w:rFonts w:cs="Arial"/>
          <w:szCs w:val="18"/>
        </w:rPr>
        <w:footnoteRef/>
      </w:r>
      <w:r w:rsidRPr="008C69BB">
        <w:rPr>
          <w:rFonts w:cs="Arial"/>
          <w:szCs w:val="18"/>
        </w:rPr>
        <w:t xml:space="preserve"> Safe Work Australia</w:t>
      </w:r>
      <w:r w:rsidRPr="008C69BB">
        <w:rPr>
          <w:rFonts w:eastAsia="Aptos" w:cs="Arial"/>
        </w:rPr>
        <w:t xml:space="preserve">, </w:t>
      </w:r>
      <w:hyperlink r:id="rId26" w:history="1">
        <w:r w:rsidRPr="008C69BB">
          <w:rPr>
            <w:rStyle w:val="Hyperlink"/>
            <w:rFonts w:eastAsia="Aptos" w:cs="Arial"/>
            <w:i/>
          </w:rPr>
          <w:t>Review of the model Work Health and Safety laws</w:t>
        </w:r>
        <w:r w:rsidR="00226857" w:rsidRPr="008C69BB">
          <w:rPr>
            <w:rStyle w:val="Hyperlink"/>
            <w:rFonts w:eastAsia="Aptos" w:cs="Arial"/>
            <w:i/>
          </w:rPr>
          <w:t>:</w:t>
        </w:r>
        <w:r w:rsidRPr="008C69BB">
          <w:rPr>
            <w:rStyle w:val="Hyperlink"/>
            <w:rFonts w:eastAsia="Aptos" w:cs="Arial"/>
            <w:i/>
          </w:rPr>
          <w:t xml:space="preserve"> </w:t>
        </w:r>
        <w:r w:rsidRPr="008C69BB">
          <w:rPr>
            <w:rStyle w:val="Hyperlink"/>
            <w:rFonts w:eastAsia="Symbol" w:cs="Symbol"/>
            <w:i/>
          </w:rPr>
          <w:t>-</w:t>
        </w:r>
        <w:r w:rsidRPr="008C69BB">
          <w:rPr>
            <w:rStyle w:val="Hyperlink"/>
            <w:rFonts w:eastAsia="Aptos" w:cs="Arial"/>
            <w:i/>
          </w:rPr>
          <w:t xml:space="preserve"> Final report</w:t>
        </w:r>
      </w:hyperlink>
      <w:r w:rsidRPr="008C69BB">
        <w:rPr>
          <w:rFonts w:eastAsia="Aptos" w:cs="Arial"/>
        </w:rPr>
        <w:t>, 2018,</w:t>
      </w:r>
      <w:r w:rsidRPr="008C69BB">
        <w:rPr>
          <w:rFonts w:cs="Arial"/>
          <w:szCs w:val="18"/>
        </w:rPr>
        <w:t xml:space="preserve"> p 6.</w:t>
      </w:r>
    </w:p>
  </w:footnote>
  <w:footnote w:id="36">
    <w:p w14:paraId="5BA4B717" w14:textId="77777777" w:rsidR="00615608" w:rsidRPr="007333CF" w:rsidRDefault="00615608" w:rsidP="00615608">
      <w:pPr>
        <w:pStyle w:val="FootnoteText"/>
        <w:rPr>
          <w:rFonts w:cs="Arial"/>
          <w:szCs w:val="18"/>
        </w:rPr>
      </w:pPr>
      <w:r w:rsidRPr="007333CF">
        <w:rPr>
          <w:rStyle w:val="FootnoteReference"/>
          <w:rFonts w:cs="Arial"/>
          <w:szCs w:val="18"/>
        </w:rPr>
        <w:footnoteRef/>
      </w:r>
      <w:r w:rsidRPr="007333CF">
        <w:rPr>
          <w:rFonts w:cs="Arial"/>
          <w:szCs w:val="18"/>
        </w:rPr>
        <w:t xml:space="preserve"> </w:t>
      </w:r>
      <w:hyperlink r:id="rId27" w:history="1">
        <w:r w:rsidRPr="007333CF">
          <w:rPr>
            <w:rStyle w:val="Hyperlink"/>
            <w:rFonts w:cs="Arial"/>
            <w:szCs w:val="18"/>
          </w:rPr>
          <w:t>WorkSafe WA</w:t>
        </w:r>
      </w:hyperlink>
      <w:r w:rsidRPr="007333CF">
        <w:rPr>
          <w:rFonts w:cs="Arial"/>
          <w:szCs w:val="18"/>
        </w:rPr>
        <w:t xml:space="preserve">, Submission, pp 8–9; </w:t>
      </w:r>
      <w:hyperlink r:id="rId28" w:history="1">
        <w:r w:rsidRPr="007333CF">
          <w:rPr>
            <w:rStyle w:val="Hyperlink"/>
            <w:szCs w:val="18"/>
          </w:rPr>
          <w:t>AIHS</w:t>
        </w:r>
      </w:hyperlink>
      <w:r w:rsidRPr="007333CF">
        <w:rPr>
          <w:szCs w:val="18"/>
        </w:rPr>
        <w:t>, Submission</w:t>
      </w:r>
      <w:r w:rsidRPr="007333CF">
        <w:rPr>
          <w:rFonts w:cs="Arial"/>
          <w:szCs w:val="18"/>
        </w:rPr>
        <w:t xml:space="preserve">, p 4; </w:t>
      </w:r>
      <w:hyperlink r:id="rId29" w:history="1">
        <w:r w:rsidRPr="007333CF">
          <w:rPr>
            <w:rStyle w:val="Hyperlink"/>
            <w:rFonts w:cs="Arial"/>
            <w:szCs w:val="18"/>
          </w:rPr>
          <w:t>Veyter Pty Ltd</w:t>
        </w:r>
      </w:hyperlink>
      <w:r w:rsidRPr="007333CF">
        <w:rPr>
          <w:rFonts w:cs="Arial"/>
          <w:szCs w:val="18"/>
        </w:rPr>
        <w:t>, Submission, p 5.</w:t>
      </w:r>
    </w:p>
  </w:footnote>
  <w:footnote w:id="37">
    <w:p w14:paraId="5910C7CB" w14:textId="64A1A947" w:rsidR="00615608" w:rsidRPr="007333CF" w:rsidRDefault="00615608" w:rsidP="00615608">
      <w:pPr>
        <w:spacing w:after="0"/>
        <w:rPr>
          <w:rFonts w:asciiTheme="minorHAnsi" w:hAnsiTheme="minorHAnsi"/>
          <w:sz w:val="18"/>
          <w:szCs w:val="18"/>
        </w:rPr>
      </w:pPr>
      <w:r w:rsidRPr="007333CF">
        <w:rPr>
          <w:rFonts w:asciiTheme="minorHAnsi" w:hAnsiTheme="minorHAnsi"/>
          <w:sz w:val="18"/>
          <w:szCs w:val="20"/>
          <w:vertAlign w:val="superscript"/>
        </w:rPr>
        <w:footnoteRef/>
      </w:r>
      <w:r w:rsidRPr="007333CF">
        <w:rPr>
          <w:rFonts w:asciiTheme="minorHAnsi" w:hAnsiTheme="minorHAnsi"/>
          <w:sz w:val="18"/>
          <w:szCs w:val="20"/>
        </w:rPr>
        <w:t xml:space="preserve"> NT WorkSafe, Consultation, September 202</w:t>
      </w:r>
      <w:r w:rsidRPr="007333CF">
        <w:rPr>
          <w:rFonts w:asciiTheme="minorHAnsi" w:hAnsiTheme="minorHAnsi"/>
          <w:sz w:val="18"/>
          <w:szCs w:val="18"/>
        </w:rPr>
        <w:t>5</w:t>
      </w:r>
      <w:r w:rsidR="001B0C27">
        <w:rPr>
          <w:rFonts w:asciiTheme="minorHAnsi" w:hAnsiTheme="minorHAnsi"/>
          <w:sz w:val="18"/>
          <w:szCs w:val="18"/>
        </w:rPr>
        <w:t>.</w:t>
      </w:r>
    </w:p>
  </w:footnote>
  <w:footnote w:id="38">
    <w:p w14:paraId="73CD99CC" w14:textId="77777777" w:rsidR="00615608" w:rsidRPr="007333CF" w:rsidRDefault="00615608" w:rsidP="00615608">
      <w:pPr>
        <w:pStyle w:val="FootnoteText"/>
        <w:rPr>
          <w:rFonts w:cs="Arial"/>
          <w:szCs w:val="18"/>
        </w:rPr>
      </w:pPr>
      <w:r w:rsidRPr="007333CF">
        <w:rPr>
          <w:rStyle w:val="FootnoteReference"/>
          <w:rFonts w:cs="Arial"/>
          <w:szCs w:val="18"/>
        </w:rPr>
        <w:footnoteRef/>
      </w:r>
      <w:r w:rsidRPr="007333CF">
        <w:rPr>
          <w:rFonts w:cs="Arial"/>
          <w:szCs w:val="18"/>
        </w:rPr>
        <w:t xml:space="preserve"> Australian Industry Group, Consultation, October 2025.</w:t>
      </w:r>
    </w:p>
  </w:footnote>
  <w:footnote w:id="39">
    <w:p w14:paraId="31922C42" w14:textId="77777777" w:rsidR="00615608" w:rsidRPr="007333CF" w:rsidRDefault="00615608" w:rsidP="00615608">
      <w:pPr>
        <w:pStyle w:val="FootnoteText"/>
        <w:rPr>
          <w:szCs w:val="18"/>
        </w:rPr>
      </w:pPr>
      <w:r w:rsidRPr="007333CF">
        <w:rPr>
          <w:rStyle w:val="FootnoteReference"/>
          <w:szCs w:val="18"/>
        </w:rPr>
        <w:footnoteRef/>
      </w:r>
      <w:r w:rsidRPr="007333CF">
        <w:rPr>
          <w:szCs w:val="18"/>
        </w:rPr>
        <w:t xml:space="preserve"> </w:t>
      </w:r>
      <w:hyperlink r:id="rId30" w:history="1">
        <w:r w:rsidRPr="007333CF">
          <w:rPr>
            <w:rStyle w:val="Hyperlink"/>
            <w:szCs w:val="18"/>
          </w:rPr>
          <w:t>AIHS</w:t>
        </w:r>
      </w:hyperlink>
      <w:r w:rsidRPr="007333CF">
        <w:rPr>
          <w:szCs w:val="18"/>
        </w:rPr>
        <w:t>, Submission, pp 5–6.</w:t>
      </w:r>
    </w:p>
  </w:footnote>
  <w:footnote w:id="40">
    <w:p w14:paraId="4FB8B146" w14:textId="77777777" w:rsidR="00615608" w:rsidRPr="007333CF" w:rsidRDefault="00615608" w:rsidP="00615608">
      <w:pPr>
        <w:pStyle w:val="FootnoteText"/>
        <w:rPr>
          <w:rFonts w:cs="Arial"/>
          <w:szCs w:val="18"/>
        </w:rPr>
      </w:pPr>
      <w:r w:rsidRPr="007333CF">
        <w:rPr>
          <w:rStyle w:val="FootnoteReference"/>
          <w:rFonts w:cs="Arial"/>
          <w:szCs w:val="18"/>
        </w:rPr>
        <w:footnoteRef/>
      </w:r>
      <w:r w:rsidRPr="007333CF">
        <w:rPr>
          <w:rFonts w:cs="Arial"/>
          <w:szCs w:val="18"/>
        </w:rPr>
        <w:t xml:space="preserve"> </w:t>
      </w:r>
      <w:hyperlink r:id="rId31" w:history="1">
        <w:r w:rsidRPr="007333CF">
          <w:rPr>
            <w:rStyle w:val="Hyperlink"/>
            <w:rFonts w:cs="Arial"/>
            <w:szCs w:val="18"/>
          </w:rPr>
          <w:t>Curran Risk Management</w:t>
        </w:r>
      </w:hyperlink>
      <w:r w:rsidRPr="007333CF">
        <w:rPr>
          <w:rFonts w:cs="Arial"/>
          <w:szCs w:val="18"/>
        </w:rPr>
        <w:t>, Submission, pp 3–6.</w:t>
      </w:r>
    </w:p>
  </w:footnote>
  <w:footnote w:id="41">
    <w:p w14:paraId="7B75A756" w14:textId="77777777" w:rsidR="00615608" w:rsidRPr="007333CF" w:rsidRDefault="00615608" w:rsidP="00615608">
      <w:pPr>
        <w:pStyle w:val="FootnoteText"/>
        <w:rPr>
          <w:rFonts w:cs="Arial"/>
          <w:szCs w:val="18"/>
        </w:rPr>
      </w:pPr>
      <w:r w:rsidRPr="007333CF">
        <w:rPr>
          <w:rStyle w:val="FootnoteReference"/>
          <w:rFonts w:cs="Arial"/>
          <w:szCs w:val="18"/>
        </w:rPr>
        <w:footnoteRef/>
      </w:r>
      <w:r w:rsidRPr="007333CF">
        <w:rPr>
          <w:rFonts w:cs="Arial"/>
          <w:szCs w:val="18"/>
        </w:rPr>
        <w:t xml:space="preserve"> </w:t>
      </w:r>
      <w:hyperlink r:id="rId32" w:history="1">
        <w:r w:rsidRPr="007333CF">
          <w:rPr>
            <w:rStyle w:val="Hyperlink"/>
            <w:rFonts w:cs="Arial"/>
            <w:szCs w:val="18"/>
          </w:rPr>
          <w:t>Andrew Stewart and Peter Thorning</w:t>
        </w:r>
      </w:hyperlink>
      <w:r w:rsidRPr="007333CF">
        <w:rPr>
          <w:rFonts w:cs="Arial"/>
          <w:szCs w:val="18"/>
        </w:rPr>
        <w:t>, Submission, pp 2, 4–8.</w:t>
      </w:r>
    </w:p>
  </w:footnote>
  <w:footnote w:id="42">
    <w:p w14:paraId="6BA1976F" w14:textId="77777777" w:rsidR="00615608" w:rsidRPr="007333CF" w:rsidRDefault="00615608" w:rsidP="00615608">
      <w:pPr>
        <w:pStyle w:val="FootnoteText"/>
        <w:rPr>
          <w:rFonts w:cs="Arial"/>
          <w:szCs w:val="18"/>
        </w:rPr>
      </w:pPr>
      <w:r w:rsidRPr="007333CF">
        <w:rPr>
          <w:rStyle w:val="FootnoteReference"/>
          <w:rFonts w:cs="Arial"/>
          <w:szCs w:val="18"/>
        </w:rPr>
        <w:footnoteRef/>
      </w:r>
      <w:r w:rsidRPr="007333CF">
        <w:rPr>
          <w:rFonts w:cs="Arial"/>
          <w:szCs w:val="18"/>
        </w:rPr>
        <w:t xml:space="preserve"> Anonymous and private, Submission #119, p 2; </w:t>
      </w:r>
      <w:hyperlink r:id="rId33" w:history="1">
        <w:r w:rsidRPr="007333CF">
          <w:rPr>
            <w:rStyle w:val="Hyperlink"/>
            <w:rFonts w:cs="Arial"/>
            <w:szCs w:val="18"/>
          </w:rPr>
          <w:t>MCA</w:t>
        </w:r>
      </w:hyperlink>
      <w:r w:rsidRPr="007333CF">
        <w:rPr>
          <w:rFonts w:cs="Arial"/>
          <w:szCs w:val="18"/>
        </w:rPr>
        <w:t xml:space="preserve">, Submission, p 5; </w:t>
      </w:r>
      <w:hyperlink r:id="rId34" w:history="1">
        <w:r w:rsidRPr="007333CF">
          <w:rPr>
            <w:rStyle w:val="Hyperlink"/>
            <w:rFonts w:cs="Arial"/>
            <w:szCs w:val="18"/>
          </w:rPr>
          <w:t>MBA</w:t>
        </w:r>
      </w:hyperlink>
      <w:r w:rsidRPr="007333CF">
        <w:rPr>
          <w:rFonts w:cs="Arial"/>
          <w:szCs w:val="18"/>
        </w:rPr>
        <w:t xml:space="preserve">, Submission, p 7; </w:t>
      </w:r>
      <w:hyperlink r:id="rId35" w:history="1">
        <w:r w:rsidRPr="007333CF">
          <w:rPr>
            <w:rStyle w:val="Hyperlink"/>
            <w:rFonts w:cs="Arial"/>
            <w:szCs w:val="18"/>
          </w:rPr>
          <w:t>WorkSafe WA</w:t>
        </w:r>
      </w:hyperlink>
      <w:r w:rsidRPr="007333CF">
        <w:rPr>
          <w:rFonts w:cs="Arial"/>
          <w:szCs w:val="18"/>
        </w:rPr>
        <w:t>, Submission, pp</w:t>
      </w:r>
      <w:r>
        <w:rPr>
          <w:rFonts w:cs="Arial"/>
          <w:szCs w:val="18"/>
        </w:rPr>
        <w:t> </w:t>
      </w:r>
      <w:r w:rsidRPr="007333CF">
        <w:rPr>
          <w:rFonts w:cs="Arial"/>
          <w:szCs w:val="18"/>
        </w:rPr>
        <w:t>8–9.</w:t>
      </w:r>
    </w:p>
  </w:footnote>
  <w:footnote w:id="43">
    <w:p w14:paraId="313B6DA5" w14:textId="77777777" w:rsidR="00615608" w:rsidRPr="007333CF" w:rsidRDefault="00615608" w:rsidP="00615608">
      <w:pPr>
        <w:pStyle w:val="FootnoteText"/>
        <w:rPr>
          <w:rFonts w:cs="Arial"/>
          <w:szCs w:val="18"/>
        </w:rPr>
      </w:pPr>
      <w:r w:rsidRPr="007333CF">
        <w:rPr>
          <w:rStyle w:val="FootnoteReference"/>
          <w:rFonts w:cs="Arial"/>
          <w:szCs w:val="18"/>
        </w:rPr>
        <w:footnoteRef/>
      </w:r>
      <w:r w:rsidRPr="007333CF">
        <w:rPr>
          <w:rFonts w:cs="Arial"/>
          <w:szCs w:val="18"/>
        </w:rPr>
        <w:t xml:space="preserve"> </w:t>
      </w:r>
      <w:hyperlink r:id="rId36" w:history="1">
        <w:r w:rsidRPr="007333CF">
          <w:rPr>
            <w:rStyle w:val="Hyperlink"/>
            <w:rFonts w:cs="Arial"/>
            <w:szCs w:val="18"/>
          </w:rPr>
          <w:t>ACTU</w:t>
        </w:r>
      </w:hyperlink>
      <w:r w:rsidRPr="007333CF">
        <w:rPr>
          <w:rFonts w:cs="Arial"/>
          <w:szCs w:val="18"/>
        </w:rPr>
        <w:t>, Submission, pp 4, 12; Anonymous and private, Submission #119, p 3.</w:t>
      </w:r>
    </w:p>
  </w:footnote>
  <w:footnote w:id="44">
    <w:p w14:paraId="4FEA1135" w14:textId="77777777" w:rsidR="00615608" w:rsidRPr="00B81184" w:rsidRDefault="00615608" w:rsidP="00615608">
      <w:pPr>
        <w:pStyle w:val="FootnoteText"/>
        <w:rPr>
          <w:rFonts w:cs="Arial"/>
          <w:szCs w:val="18"/>
        </w:rPr>
      </w:pPr>
      <w:r w:rsidRPr="007333CF">
        <w:rPr>
          <w:rStyle w:val="FootnoteReference"/>
          <w:rFonts w:cs="Arial"/>
          <w:szCs w:val="18"/>
        </w:rPr>
        <w:footnoteRef/>
      </w:r>
      <w:r w:rsidRPr="007333CF">
        <w:rPr>
          <w:rFonts w:cs="Arial"/>
          <w:szCs w:val="18"/>
        </w:rPr>
        <w:t xml:space="preserve"> </w:t>
      </w:r>
      <w:hyperlink r:id="rId37" w:history="1">
        <w:r w:rsidRPr="007333CF">
          <w:rPr>
            <w:rStyle w:val="Hyperlink"/>
            <w:rFonts w:cs="Arial"/>
            <w:szCs w:val="18"/>
          </w:rPr>
          <w:t>MCA</w:t>
        </w:r>
      </w:hyperlink>
      <w:r w:rsidRPr="007333CF">
        <w:rPr>
          <w:rFonts w:cs="Arial"/>
          <w:szCs w:val="18"/>
        </w:rPr>
        <w:t>, Submission, pp 3–5, 11.</w:t>
      </w:r>
    </w:p>
  </w:footnote>
  <w:footnote w:id="45">
    <w:p w14:paraId="374787BE" w14:textId="77777777" w:rsidR="00B21E4B" w:rsidRPr="007333CF" w:rsidRDefault="00B21E4B" w:rsidP="00B21E4B">
      <w:pPr>
        <w:pStyle w:val="FootnoteText"/>
        <w:rPr>
          <w:szCs w:val="18"/>
        </w:rPr>
      </w:pPr>
      <w:r w:rsidRPr="007333CF">
        <w:rPr>
          <w:rStyle w:val="FootnoteReference"/>
          <w:szCs w:val="18"/>
        </w:rPr>
        <w:footnoteRef/>
      </w:r>
      <w:r w:rsidRPr="007333CF">
        <w:rPr>
          <w:szCs w:val="18"/>
        </w:rPr>
        <w:t xml:space="preserve"> </w:t>
      </w:r>
      <w:hyperlink r:id="rId38" w:history="1">
        <w:r w:rsidRPr="007333CF">
          <w:rPr>
            <w:rStyle w:val="Hyperlink"/>
            <w:szCs w:val="18"/>
          </w:rPr>
          <w:t>South Australian Wine Industry Association</w:t>
        </w:r>
      </w:hyperlink>
      <w:r w:rsidRPr="007333CF">
        <w:rPr>
          <w:szCs w:val="18"/>
        </w:rPr>
        <w:t xml:space="preserve">, Submission, p 2; </w:t>
      </w:r>
      <w:hyperlink r:id="rId39" w:history="1">
        <w:r w:rsidRPr="007333CF">
          <w:rPr>
            <w:rStyle w:val="Hyperlink"/>
            <w:szCs w:val="18"/>
          </w:rPr>
          <w:t>ACCI</w:t>
        </w:r>
      </w:hyperlink>
      <w:r w:rsidRPr="007333CF">
        <w:rPr>
          <w:szCs w:val="18"/>
        </w:rPr>
        <w:t xml:space="preserve">, Submission, pp 1–2; </w:t>
      </w:r>
      <w:hyperlink r:id="rId40" w:history="1">
        <w:r w:rsidRPr="00357B6C">
          <w:rPr>
            <w:rStyle w:val="Hyperlink"/>
            <w:rFonts w:cs="Arial"/>
            <w:i/>
            <w:iCs/>
            <w:szCs w:val="18"/>
          </w:rPr>
          <w:t>Intergovernmental Agreement for Regulatory and Operational Reform in Occupational Health and Safety</w:t>
        </w:r>
      </w:hyperlink>
      <w:r w:rsidRPr="007333CF">
        <w:rPr>
          <w:rFonts w:cs="Arial"/>
          <w:szCs w:val="18"/>
        </w:rPr>
        <w:t xml:space="preserve">, 2008, </w:t>
      </w:r>
      <w:r w:rsidRPr="007333CF">
        <w:rPr>
          <w:szCs w:val="18"/>
        </w:rPr>
        <w:t>Part 5.5.</w:t>
      </w:r>
    </w:p>
  </w:footnote>
  <w:footnote w:id="46">
    <w:p w14:paraId="4E2F4A15" w14:textId="77777777" w:rsidR="00B21E4B" w:rsidRPr="007333CF" w:rsidRDefault="00B21E4B" w:rsidP="00B21E4B">
      <w:pPr>
        <w:pStyle w:val="FootnoteText"/>
      </w:pPr>
      <w:r w:rsidRPr="007333CF">
        <w:rPr>
          <w:rStyle w:val="FootnoteReference"/>
        </w:rPr>
        <w:footnoteRef/>
      </w:r>
      <w:r w:rsidRPr="00357B6C">
        <w:rPr>
          <w:i/>
          <w:iCs/>
        </w:rPr>
        <w:t xml:space="preserve"> </w:t>
      </w:r>
      <w:hyperlink r:id="rId41" w:history="1">
        <w:r w:rsidRPr="00357B6C">
          <w:rPr>
            <w:rStyle w:val="Hyperlink"/>
            <w:rFonts w:cs="Arial"/>
            <w:i/>
            <w:iCs/>
            <w:szCs w:val="18"/>
          </w:rPr>
          <w:t>Intergovernmental Agreement for Regulatory and Operational Reform in Occupational Health and Safety</w:t>
        </w:r>
      </w:hyperlink>
      <w:r w:rsidRPr="007333CF">
        <w:rPr>
          <w:rFonts w:cs="Arial"/>
          <w:szCs w:val="18"/>
        </w:rPr>
        <w:t>, 2008,</w:t>
      </w:r>
      <w:r w:rsidRPr="007333CF">
        <w:rPr>
          <w:rFonts w:cs="Arial"/>
        </w:rPr>
        <w:t xml:space="preserve"> </w:t>
      </w:r>
      <w:r w:rsidRPr="007333CF">
        <w:rPr>
          <w:rFonts w:cs="Arial"/>
          <w:szCs w:val="18"/>
        </w:rPr>
        <w:t>p 11.</w:t>
      </w:r>
    </w:p>
  </w:footnote>
  <w:footnote w:id="47">
    <w:p w14:paraId="0739DB1A" w14:textId="77777777" w:rsidR="00B21E4B" w:rsidRPr="007333CF" w:rsidRDefault="00B21E4B" w:rsidP="00B21E4B">
      <w:pPr>
        <w:pStyle w:val="FootnoteText"/>
        <w:rPr>
          <w:rFonts w:cs="Arial"/>
          <w:szCs w:val="18"/>
        </w:rPr>
      </w:pPr>
      <w:r w:rsidRPr="007333CF">
        <w:rPr>
          <w:rStyle w:val="FootnoteReference"/>
          <w:rFonts w:cs="Arial"/>
          <w:szCs w:val="18"/>
        </w:rPr>
        <w:footnoteRef/>
      </w:r>
      <w:r w:rsidRPr="007333CF">
        <w:rPr>
          <w:rFonts w:cs="Arial"/>
          <w:szCs w:val="18"/>
        </w:rPr>
        <w:t xml:space="preserve"> </w:t>
      </w:r>
      <w:hyperlink r:id="rId42" w:history="1">
        <w:r w:rsidRPr="007333CF">
          <w:rPr>
            <w:rStyle w:val="Hyperlink"/>
            <w:rFonts w:cs="Arial"/>
            <w:szCs w:val="18"/>
          </w:rPr>
          <w:t>WorkSafe WA</w:t>
        </w:r>
      </w:hyperlink>
      <w:r w:rsidRPr="007333CF">
        <w:rPr>
          <w:rFonts w:cs="Arial"/>
          <w:szCs w:val="18"/>
        </w:rPr>
        <w:t>, Submission, pp 8–9; Private, Submission #89, p 7.</w:t>
      </w:r>
    </w:p>
  </w:footnote>
  <w:footnote w:id="48">
    <w:p w14:paraId="51973542" w14:textId="77777777" w:rsidR="00B21E4B" w:rsidRPr="007333CF" w:rsidRDefault="00B21E4B" w:rsidP="00B21E4B">
      <w:pPr>
        <w:pStyle w:val="FootnoteText"/>
      </w:pPr>
      <w:r w:rsidRPr="007333CF">
        <w:rPr>
          <w:rStyle w:val="FootnoteReference"/>
        </w:rPr>
        <w:footnoteRef/>
      </w:r>
      <w:r w:rsidRPr="007333CF">
        <w:t xml:space="preserve"> </w:t>
      </w:r>
      <w:r w:rsidRPr="007333CF">
        <w:rPr>
          <w:rFonts w:cs="Arial"/>
          <w:szCs w:val="18"/>
        </w:rPr>
        <w:t>WorkSafe WA, Consultation, September 2025.</w:t>
      </w:r>
    </w:p>
  </w:footnote>
  <w:footnote w:id="49">
    <w:p w14:paraId="30E30363" w14:textId="77777777" w:rsidR="00B21E4B" w:rsidRPr="007333CF" w:rsidRDefault="00B21E4B" w:rsidP="00B21E4B">
      <w:pPr>
        <w:pStyle w:val="FootnoteText"/>
      </w:pPr>
      <w:r w:rsidRPr="007333CF">
        <w:rPr>
          <w:rStyle w:val="FootnoteReference"/>
        </w:rPr>
        <w:footnoteRef/>
      </w:r>
      <w:r w:rsidRPr="007333CF">
        <w:t xml:space="preserve"> </w:t>
      </w:r>
      <w:r w:rsidRPr="007333CF">
        <w:rPr>
          <w:rFonts w:cs="Arial"/>
          <w:i/>
          <w:szCs w:val="18"/>
        </w:rPr>
        <w:t>Safe Work Australia Act 2008</w:t>
      </w:r>
      <w:r w:rsidRPr="007333CF">
        <w:rPr>
          <w:rFonts w:cs="Arial"/>
          <w:szCs w:val="18"/>
        </w:rPr>
        <w:t xml:space="preserve"> (Cth), s 10; Work Health and Safety Council, ACT WHS Act, Sch 2</w:t>
      </w:r>
      <w:r>
        <w:rPr>
          <w:rFonts w:cs="Arial"/>
          <w:szCs w:val="18"/>
        </w:rPr>
        <w:t>,</w:t>
      </w:r>
      <w:r w:rsidRPr="007333CF">
        <w:rPr>
          <w:rFonts w:cs="Arial"/>
          <w:szCs w:val="18"/>
        </w:rPr>
        <w:t xml:space="preserve"> Div 2.1.1; Safety Rehabilitation and Compensation Commission, Cth WHS Act</w:t>
      </w:r>
      <w:r w:rsidRPr="007333CF">
        <w:rPr>
          <w:rStyle w:val="Hyperlink"/>
          <w:szCs w:val="18"/>
        </w:rPr>
        <w:t>,</w:t>
      </w:r>
      <w:r w:rsidRPr="007333CF">
        <w:rPr>
          <w:rFonts w:cs="Arial"/>
          <w:szCs w:val="18"/>
        </w:rPr>
        <w:t xml:space="preserve"> Sch 2</w:t>
      </w:r>
      <w:r>
        <w:rPr>
          <w:rFonts w:cs="Arial"/>
          <w:szCs w:val="18"/>
        </w:rPr>
        <w:t>,</w:t>
      </w:r>
      <w:r w:rsidRPr="007333CF">
        <w:rPr>
          <w:rFonts w:cs="Arial"/>
          <w:szCs w:val="18"/>
        </w:rPr>
        <w:t xml:space="preserve"> Pt 2; Advisory Council, NSW WHS Act</w:t>
      </w:r>
      <w:r w:rsidRPr="007333CF">
        <w:rPr>
          <w:rStyle w:val="Hyperlink"/>
          <w:szCs w:val="18"/>
        </w:rPr>
        <w:t>,</w:t>
      </w:r>
      <w:r w:rsidRPr="007333CF">
        <w:rPr>
          <w:rFonts w:cs="Arial"/>
          <w:szCs w:val="18"/>
        </w:rPr>
        <w:t xml:space="preserve"> Sch 1A; Work Health and Safety Advisory Council, </w:t>
      </w:r>
      <w:r w:rsidRPr="00FA5651">
        <w:rPr>
          <w:rFonts w:cs="Arial"/>
          <w:i/>
          <w:szCs w:val="18"/>
        </w:rPr>
        <w:t>Work Health and Safety (National Uniform Legislation) Act 2011</w:t>
      </w:r>
      <w:r w:rsidRPr="007333CF">
        <w:rPr>
          <w:rFonts w:cs="Arial"/>
          <w:szCs w:val="18"/>
        </w:rPr>
        <w:t xml:space="preserve"> (NT), Sch 2; SafeWork SA Advisory Committee, SA WHS Act, Pt 1</w:t>
      </w:r>
      <w:r>
        <w:rPr>
          <w:rFonts w:cs="Arial"/>
          <w:szCs w:val="18"/>
        </w:rPr>
        <w:t>,</w:t>
      </w:r>
      <w:r w:rsidRPr="007333CF">
        <w:rPr>
          <w:rFonts w:cs="Arial"/>
          <w:szCs w:val="18"/>
        </w:rPr>
        <w:t xml:space="preserve"> Div 5 and Sch 2</w:t>
      </w:r>
      <w:r>
        <w:rPr>
          <w:rFonts w:cs="Arial"/>
          <w:szCs w:val="18"/>
        </w:rPr>
        <w:t>,</w:t>
      </w:r>
      <w:r w:rsidRPr="007333CF">
        <w:rPr>
          <w:rFonts w:cs="Arial"/>
          <w:szCs w:val="18"/>
        </w:rPr>
        <w:t xml:space="preserve"> Pt 2; Work Health and Safety Board, </w:t>
      </w:r>
      <w:hyperlink r:id="rId43" w:anchor="sch.2" w:history="1">
        <w:r w:rsidRPr="007333CF">
          <w:rPr>
            <w:rFonts w:cs="Arial"/>
            <w:szCs w:val="18"/>
          </w:rPr>
          <w:t>Qld WHS Act</w:t>
        </w:r>
      </w:hyperlink>
      <w:r w:rsidRPr="007333CF">
        <w:rPr>
          <w:rFonts w:cs="Arial"/>
          <w:szCs w:val="18"/>
        </w:rPr>
        <w:t>, Sch 2</w:t>
      </w:r>
      <w:r>
        <w:rPr>
          <w:rFonts w:cs="Arial"/>
          <w:szCs w:val="18"/>
        </w:rPr>
        <w:t>,</w:t>
      </w:r>
      <w:r w:rsidRPr="007333CF">
        <w:rPr>
          <w:rFonts w:cs="Arial"/>
          <w:szCs w:val="18"/>
        </w:rPr>
        <w:t xml:space="preserve"> Pt 2</w:t>
      </w:r>
      <w:r>
        <w:rPr>
          <w:rFonts w:cs="Arial"/>
          <w:szCs w:val="18"/>
        </w:rPr>
        <w:t>,</w:t>
      </w:r>
      <w:r w:rsidRPr="007333CF">
        <w:rPr>
          <w:rFonts w:cs="Arial"/>
          <w:szCs w:val="18"/>
        </w:rPr>
        <w:t xml:space="preserve"> Div 2; Workcover Tasmania Board, </w:t>
      </w:r>
      <w:r w:rsidRPr="006F01E0">
        <w:rPr>
          <w:rFonts w:cs="Arial"/>
          <w:i/>
          <w:szCs w:val="18"/>
        </w:rPr>
        <w:t>Work Health and Safety Act 2012</w:t>
      </w:r>
      <w:r w:rsidRPr="007333CF">
        <w:rPr>
          <w:rFonts w:cs="Arial"/>
          <w:szCs w:val="18"/>
        </w:rPr>
        <w:t xml:space="preserve"> (Tas), Sch 2</w:t>
      </w:r>
      <w:r>
        <w:rPr>
          <w:rFonts w:cs="Arial"/>
          <w:szCs w:val="18"/>
        </w:rPr>
        <w:t>,</w:t>
      </w:r>
      <w:r w:rsidRPr="007333CF">
        <w:rPr>
          <w:rFonts w:cs="Arial"/>
          <w:szCs w:val="18"/>
        </w:rPr>
        <w:t xml:space="preserve"> Pt 2; Occupational Health and Safety Advisory Committee, Vic OHS Act, Pt 2</w:t>
      </w:r>
      <w:r>
        <w:rPr>
          <w:rFonts w:cs="Arial"/>
          <w:szCs w:val="18"/>
        </w:rPr>
        <w:t>,</w:t>
      </w:r>
      <w:r w:rsidRPr="007333CF">
        <w:rPr>
          <w:rFonts w:cs="Arial"/>
          <w:szCs w:val="18"/>
        </w:rPr>
        <w:t xml:space="preserve"> Div 6; Work Health and Safety Commission, WA WHS Act</w:t>
      </w:r>
      <w:r>
        <w:rPr>
          <w:rFonts w:cs="Arial"/>
          <w:szCs w:val="18"/>
        </w:rPr>
        <w:t>,</w:t>
      </w:r>
      <w:r w:rsidRPr="007333CF">
        <w:rPr>
          <w:rFonts w:cs="Arial"/>
          <w:szCs w:val="18"/>
        </w:rPr>
        <w:t xml:space="preserve"> Sch 1</w:t>
      </w:r>
      <w:r>
        <w:rPr>
          <w:rFonts w:cs="Arial"/>
          <w:szCs w:val="18"/>
        </w:rPr>
        <w:t>,</w:t>
      </w:r>
      <w:r w:rsidRPr="007333CF">
        <w:rPr>
          <w:rFonts w:cs="Arial"/>
          <w:szCs w:val="18"/>
        </w:rPr>
        <w:t xml:space="preserve"> Div 3.</w:t>
      </w:r>
    </w:p>
  </w:footnote>
  <w:footnote w:id="50">
    <w:p w14:paraId="1005C1B6" w14:textId="77777777" w:rsidR="00B21E4B" w:rsidRPr="007333CF" w:rsidRDefault="00B21E4B" w:rsidP="00B21E4B">
      <w:pPr>
        <w:pStyle w:val="FootnoteText"/>
      </w:pPr>
      <w:r w:rsidRPr="007333CF">
        <w:rPr>
          <w:rStyle w:val="FootnoteReference"/>
        </w:rPr>
        <w:footnoteRef/>
      </w:r>
      <w:r w:rsidRPr="007333CF">
        <w:t xml:space="preserve"> </w:t>
      </w:r>
      <w:hyperlink r:id="rId44" w:history="1">
        <w:r w:rsidRPr="00357B6C">
          <w:rPr>
            <w:rStyle w:val="Hyperlink"/>
            <w:rFonts w:cs="Arial"/>
            <w:i/>
            <w:iCs/>
            <w:szCs w:val="18"/>
          </w:rPr>
          <w:t>Intergovernmental Agreement for Regulatory and Operational Reform in Occupational Health and Safety</w:t>
        </w:r>
      </w:hyperlink>
      <w:r w:rsidRPr="007333CF">
        <w:rPr>
          <w:rFonts w:cs="Arial"/>
          <w:szCs w:val="18"/>
        </w:rPr>
        <w:t>, 2008,</w:t>
      </w:r>
      <w:r w:rsidRPr="007333CF">
        <w:rPr>
          <w:rFonts w:cs="Arial"/>
        </w:rPr>
        <w:t xml:space="preserve"> </w:t>
      </w:r>
      <w:r w:rsidRPr="007333CF">
        <w:rPr>
          <w:rFonts w:cs="Arial"/>
          <w:szCs w:val="18"/>
        </w:rPr>
        <w:t>p 5.</w:t>
      </w:r>
    </w:p>
  </w:footnote>
  <w:footnote w:id="51">
    <w:p w14:paraId="47E5274D" w14:textId="77777777" w:rsidR="00B21E4B" w:rsidRPr="007333CF" w:rsidRDefault="00B21E4B" w:rsidP="00B21E4B">
      <w:pPr>
        <w:pStyle w:val="FootnoteText"/>
        <w:rPr>
          <w:rFonts w:cs="Arial"/>
          <w:szCs w:val="18"/>
        </w:rPr>
      </w:pPr>
      <w:r w:rsidRPr="007333CF">
        <w:rPr>
          <w:rStyle w:val="FootnoteReference"/>
          <w:rFonts w:cs="Arial"/>
          <w:szCs w:val="18"/>
        </w:rPr>
        <w:footnoteRef/>
      </w:r>
      <w:r w:rsidRPr="007333CF">
        <w:rPr>
          <w:rFonts w:cs="Arial"/>
          <w:szCs w:val="18"/>
        </w:rPr>
        <w:t xml:space="preserve"> </w:t>
      </w:r>
      <w:hyperlink r:id="rId45" w:history="1">
        <w:r w:rsidRPr="007333CF">
          <w:rPr>
            <w:rStyle w:val="Hyperlink"/>
            <w:rFonts w:cs="Arial"/>
            <w:szCs w:val="18"/>
          </w:rPr>
          <w:t>ACTU</w:t>
        </w:r>
      </w:hyperlink>
      <w:r w:rsidRPr="007333CF">
        <w:rPr>
          <w:rFonts w:cs="Arial"/>
          <w:szCs w:val="18"/>
        </w:rPr>
        <w:t xml:space="preserve">, Submission, pp 11–12; </w:t>
      </w:r>
      <w:hyperlink r:id="rId46" w:history="1">
        <w:r w:rsidRPr="007333CF">
          <w:rPr>
            <w:rStyle w:val="Hyperlink"/>
            <w:rFonts w:cs="Arial"/>
            <w:szCs w:val="18"/>
          </w:rPr>
          <w:t>Water Services Association of Australia</w:t>
        </w:r>
      </w:hyperlink>
      <w:r w:rsidRPr="007333CF">
        <w:rPr>
          <w:rFonts w:cs="Arial"/>
          <w:szCs w:val="18"/>
        </w:rPr>
        <w:t>, Submission, pp 4, 6.</w:t>
      </w:r>
    </w:p>
  </w:footnote>
  <w:footnote w:id="52">
    <w:p w14:paraId="3D219A0D" w14:textId="1E06CD10" w:rsidR="00B21E4B" w:rsidRPr="007333CF" w:rsidRDefault="00B21E4B" w:rsidP="00B21E4B">
      <w:pPr>
        <w:pStyle w:val="FootnoteText"/>
        <w:rPr>
          <w:rFonts w:cstheme="minorHAnsi"/>
          <w:szCs w:val="18"/>
        </w:rPr>
      </w:pPr>
      <w:r w:rsidRPr="007333CF">
        <w:rPr>
          <w:rStyle w:val="FootnoteReference"/>
          <w:rFonts w:cs="Arial"/>
          <w:szCs w:val="18"/>
        </w:rPr>
        <w:footnoteRef/>
      </w:r>
      <w:r w:rsidRPr="007333CF">
        <w:rPr>
          <w:rFonts w:cs="Arial"/>
          <w:szCs w:val="18"/>
        </w:rPr>
        <w:t xml:space="preserve"> Senate Education and Employment Reference</w:t>
      </w:r>
      <w:r>
        <w:rPr>
          <w:rFonts w:cs="Arial"/>
          <w:szCs w:val="18"/>
        </w:rPr>
        <w:t>s</w:t>
      </w:r>
      <w:r w:rsidRPr="007333CF">
        <w:rPr>
          <w:rFonts w:cs="Arial"/>
          <w:szCs w:val="18"/>
        </w:rPr>
        <w:t xml:space="preserve"> Committee, </w:t>
      </w:r>
      <w:r w:rsidRPr="007333CF">
        <w:rPr>
          <w:rFonts w:cs="Arial"/>
          <w:i/>
          <w:szCs w:val="18"/>
        </w:rPr>
        <w:t xml:space="preserve">They </w:t>
      </w:r>
      <w:r>
        <w:rPr>
          <w:rFonts w:cs="Arial"/>
          <w:i/>
          <w:szCs w:val="18"/>
        </w:rPr>
        <w:t>n</w:t>
      </w:r>
      <w:r w:rsidRPr="007333CF">
        <w:rPr>
          <w:rFonts w:cs="Arial"/>
          <w:i/>
          <w:szCs w:val="18"/>
        </w:rPr>
        <w:t xml:space="preserve">ever </w:t>
      </w:r>
      <w:r>
        <w:rPr>
          <w:rFonts w:cs="Arial"/>
          <w:i/>
          <w:szCs w:val="18"/>
        </w:rPr>
        <w:t>c</w:t>
      </w:r>
      <w:r w:rsidRPr="007333CF">
        <w:rPr>
          <w:rFonts w:cs="Arial"/>
          <w:i/>
          <w:szCs w:val="18"/>
        </w:rPr>
        <w:t xml:space="preserve">ame </w:t>
      </w:r>
      <w:r>
        <w:rPr>
          <w:rFonts w:cs="Arial"/>
          <w:i/>
          <w:szCs w:val="18"/>
        </w:rPr>
        <w:t>h</w:t>
      </w:r>
      <w:r w:rsidRPr="007333CF">
        <w:rPr>
          <w:rFonts w:cs="Arial"/>
          <w:i/>
          <w:szCs w:val="18"/>
        </w:rPr>
        <w:t xml:space="preserve">ome – </w:t>
      </w:r>
      <w:r w:rsidR="00886C75">
        <w:rPr>
          <w:rFonts w:cs="Arial"/>
          <w:i/>
          <w:szCs w:val="18"/>
        </w:rPr>
        <w:t>T</w:t>
      </w:r>
      <w:r w:rsidRPr="007333CF">
        <w:rPr>
          <w:rFonts w:cs="Arial"/>
          <w:i/>
          <w:szCs w:val="18"/>
        </w:rPr>
        <w:t>he framework surrounding the prevention, investigation and prosecution of industrial deaths in Australia</w:t>
      </w:r>
      <w:r w:rsidRPr="007333CF">
        <w:rPr>
          <w:rFonts w:cs="Arial"/>
          <w:szCs w:val="18"/>
        </w:rPr>
        <w:t xml:space="preserve">, </w:t>
      </w:r>
      <w:r>
        <w:rPr>
          <w:rFonts w:cs="Arial"/>
          <w:szCs w:val="18"/>
        </w:rPr>
        <w:t xml:space="preserve">Australian Government, </w:t>
      </w:r>
      <w:r w:rsidRPr="007333CF">
        <w:rPr>
          <w:rFonts w:cs="Arial"/>
          <w:szCs w:val="18"/>
        </w:rPr>
        <w:t>2018.</w:t>
      </w:r>
    </w:p>
  </w:footnote>
  <w:footnote w:id="53">
    <w:p w14:paraId="5B31C2EE" w14:textId="77777777" w:rsidR="00D14A0A" w:rsidRPr="007333CF" w:rsidRDefault="00D14A0A" w:rsidP="00D14A0A">
      <w:pPr>
        <w:pStyle w:val="FootnoteText"/>
        <w:rPr>
          <w:rFonts w:cs="Arial"/>
          <w:szCs w:val="18"/>
        </w:rPr>
      </w:pPr>
      <w:r w:rsidRPr="007333CF">
        <w:rPr>
          <w:rStyle w:val="FootnoteReference"/>
          <w:rFonts w:cs="Arial"/>
          <w:szCs w:val="18"/>
        </w:rPr>
        <w:footnoteRef/>
      </w:r>
      <w:r w:rsidRPr="007333CF">
        <w:rPr>
          <w:rFonts w:cs="Arial"/>
          <w:szCs w:val="18"/>
        </w:rPr>
        <w:t xml:space="preserve"> Safe Work Australia,</w:t>
      </w:r>
      <w:r>
        <w:rPr>
          <w:rFonts w:cs="Arial"/>
          <w:szCs w:val="18"/>
        </w:rPr>
        <w:t xml:space="preserve"> </w:t>
      </w:r>
      <w:hyperlink r:id="rId47" w:history="1">
        <w:r w:rsidRPr="00B951CA">
          <w:rPr>
            <w:rStyle w:val="Hyperlink"/>
          </w:rPr>
          <w:t>NCEP</w:t>
        </w:r>
      </w:hyperlink>
      <w:r w:rsidRPr="007333CF">
        <w:rPr>
          <w:rFonts w:cs="Arial"/>
          <w:szCs w:val="18"/>
        </w:rPr>
        <w:t xml:space="preserve">, </w:t>
      </w:r>
      <w:r>
        <w:rPr>
          <w:rFonts w:cs="Arial"/>
          <w:szCs w:val="18"/>
        </w:rPr>
        <w:t xml:space="preserve">Safe Work Australia, </w:t>
      </w:r>
      <w:r w:rsidRPr="007333CF">
        <w:rPr>
          <w:rFonts w:cs="Arial"/>
          <w:szCs w:val="18"/>
        </w:rPr>
        <w:t>2024, p 4.</w:t>
      </w:r>
    </w:p>
  </w:footnote>
  <w:footnote w:id="54">
    <w:p w14:paraId="1F101E39" w14:textId="4583EBA5" w:rsidR="00D14A0A" w:rsidRPr="007333CF" w:rsidRDefault="00D14A0A" w:rsidP="00D14A0A">
      <w:pPr>
        <w:pStyle w:val="FootnoteText"/>
        <w:rPr>
          <w:rFonts w:cs="Arial"/>
          <w:szCs w:val="18"/>
        </w:rPr>
      </w:pPr>
      <w:r w:rsidRPr="007333CF">
        <w:rPr>
          <w:rStyle w:val="FootnoteReference"/>
          <w:rFonts w:cs="Arial"/>
          <w:szCs w:val="18"/>
        </w:rPr>
        <w:footnoteRef/>
      </w:r>
      <w:r w:rsidRPr="007333CF">
        <w:rPr>
          <w:rFonts w:cs="Arial"/>
          <w:szCs w:val="18"/>
        </w:rPr>
        <w:t xml:space="preserve"> Safe Work </w:t>
      </w:r>
      <w:r w:rsidRPr="006F5016">
        <w:rPr>
          <w:rFonts w:cs="Arial"/>
          <w:szCs w:val="18"/>
        </w:rPr>
        <w:t xml:space="preserve">Australia, </w:t>
      </w:r>
      <w:hyperlink r:id="rId48" w:history="1">
        <w:r w:rsidRPr="006F5016">
          <w:rPr>
            <w:rStyle w:val="Hyperlink"/>
            <w:rFonts w:cs="Arial"/>
            <w:i/>
            <w:szCs w:val="18"/>
          </w:rPr>
          <w:t xml:space="preserve">Review of the model Work </w:t>
        </w:r>
        <w:r w:rsidRPr="006F5016" w:rsidDel="006653D3">
          <w:rPr>
            <w:rStyle w:val="Hyperlink"/>
            <w:rFonts w:cs="Arial"/>
            <w:i/>
            <w:szCs w:val="18"/>
          </w:rPr>
          <w:t>H</w:t>
        </w:r>
        <w:r w:rsidRPr="006F5016">
          <w:rPr>
            <w:rStyle w:val="Hyperlink"/>
            <w:rFonts w:cs="Arial"/>
            <w:i/>
            <w:szCs w:val="18"/>
          </w:rPr>
          <w:t xml:space="preserve">ealth and Safety </w:t>
        </w:r>
        <w:r w:rsidR="00B064D8">
          <w:rPr>
            <w:rStyle w:val="Hyperlink"/>
            <w:rFonts w:cs="Arial"/>
            <w:i/>
            <w:szCs w:val="18"/>
          </w:rPr>
          <w:t>l</w:t>
        </w:r>
        <w:r w:rsidRPr="006F5016">
          <w:rPr>
            <w:rStyle w:val="Hyperlink"/>
            <w:rFonts w:cs="Arial"/>
            <w:i/>
            <w:szCs w:val="18"/>
          </w:rPr>
          <w:t xml:space="preserve">aws: </w:t>
        </w:r>
        <w:r w:rsidR="00226857" w:rsidRPr="006F5016">
          <w:rPr>
            <w:rStyle w:val="Hyperlink"/>
            <w:rFonts w:cs="Arial"/>
            <w:i/>
            <w:szCs w:val="18"/>
          </w:rPr>
          <w:t>f</w:t>
        </w:r>
        <w:r w:rsidRPr="006F5016">
          <w:rPr>
            <w:rStyle w:val="Hyperlink"/>
            <w:rFonts w:cs="Arial"/>
            <w:i/>
            <w:szCs w:val="18"/>
          </w:rPr>
          <w:t>inal report</w:t>
        </w:r>
      </w:hyperlink>
      <w:r w:rsidRPr="006F5016">
        <w:rPr>
          <w:rFonts w:cs="Arial"/>
          <w:szCs w:val="18"/>
        </w:rPr>
        <w:t>, Safe Work</w:t>
      </w:r>
      <w:r>
        <w:rPr>
          <w:rFonts w:cs="Arial"/>
          <w:szCs w:val="18"/>
        </w:rPr>
        <w:t xml:space="preserve"> Australia, </w:t>
      </w:r>
      <w:r w:rsidRPr="007333CF">
        <w:rPr>
          <w:rFonts w:cs="Arial"/>
          <w:szCs w:val="18"/>
        </w:rPr>
        <w:t>2018, p 9.</w:t>
      </w:r>
    </w:p>
  </w:footnote>
  <w:footnote w:id="55">
    <w:p w14:paraId="48642A8D" w14:textId="0EB26F3D" w:rsidR="00D14A0A" w:rsidRPr="007333CF" w:rsidRDefault="00D14A0A" w:rsidP="00D14A0A">
      <w:pPr>
        <w:pStyle w:val="FootnoteText"/>
        <w:rPr>
          <w:rFonts w:cs="Arial"/>
          <w:szCs w:val="18"/>
        </w:rPr>
      </w:pPr>
      <w:r w:rsidRPr="007333CF">
        <w:rPr>
          <w:rStyle w:val="FootnoteReference"/>
          <w:rFonts w:cs="Arial"/>
          <w:szCs w:val="18"/>
        </w:rPr>
        <w:footnoteRef/>
      </w:r>
      <w:r w:rsidRPr="007333CF">
        <w:rPr>
          <w:rFonts w:cs="Arial"/>
          <w:szCs w:val="18"/>
        </w:rPr>
        <w:t xml:space="preserve"> Safe Work Australia, </w:t>
      </w:r>
      <w:hyperlink r:id="rId49" w:history="1">
        <w:r w:rsidRPr="007333CF">
          <w:rPr>
            <w:rStyle w:val="Hyperlink"/>
            <w:rFonts w:cs="Arial"/>
            <w:i/>
            <w:szCs w:val="18"/>
          </w:rPr>
          <w:t xml:space="preserve">Review of the </w:t>
        </w:r>
        <w:r>
          <w:rPr>
            <w:rStyle w:val="Hyperlink"/>
            <w:rFonts w:cs="Arial"/>
            <w:i/>
            <w:szCs w:val="18"/>
          </w:rPr>
          <w:t>m</w:t>
        </w:r>
        <w:r w:rsidRPr="007333CF">
          <w:rPr>
            <w:rStyle w:val="Hyperlink"/>
            <w:rFonts w:cs="Arial"/>
            <w:i/>
            <w:szCs w:val="18"/>
          </w:rPr>
          <w:t xml:space="preserve">odel </w:t>
        </w:r>
        <w:r>
          <w:rPr>
            <w:rStyle w:val="Hyperlink"/>
            <w:rFonts w:cs="Arial"/>
            <w:i/>
            <w:szCs w:val="18"/>
          </w:rPr>
          <w:t>W</w:t>
        </w:r>
        <w:r w:rsidRPr="007333CF">
          <w:rPr>
            <w:rStyle w:val="Hyperlink"/>
            <w:rFonts w:cs="Arial"/>
            <w:i/>
            <w:szCs w:val="18"/>
          </w:rPr>
          <w:t xml:space="preserve">ork </w:t>
        </w:r>
        <w:r w:rsidRPr="007333CF" w:rsidDel="006653D3">
          <w:rPr>
            <w:rStyle w:val="Hyperlink"/>
            <w:rFonts w:cs="Arial"/>
            <w:i/>
            <w:szCs w:val="18"/>
          </w:rPr>
          <w:t>H</w:t>
        </w:r>
        <w:r w:rsidRPr="007333CF">
          <w:rPr>
            <w:rStyle w:val="Hyperlink"/>
            <w:rFonts w:cs="Arial"/>
            <w:i/>
            <w:szCs w:val="18"/>
          </w:rPr>
          <w:t xml:space="preserve">ealth and </w:t>
        </w:r>
        <w:r>
          <w:rPr>
            <w:rStyle w:val="Hyperlink"/>
            <w:rFonts w:cs="Arial"/>
            <w:i/>
            <w:szCs w:val="18"/>
          </w:rPr>
          <w:t>S</w:t>
        </w:r>
        <w:r w:rsidRPr="007333CF">
          <w:rPr>
            <w:rStyle w:val="Hyperlink"/>
            <w:rFonts w:cs="Arial"/>
            <w:i/>
            <w:szCs w:val="18"/>
          </w:rPr>
          <w:t xml:space="preserve">afety </w:t>
        </w:r>
        <w:r w:rsidR="00B064D8">
          <w:rPr>
            <w:rStyle w:val="Hyperlink"/>
            <w:rFonts w:cs="Arial"/>
            <w:i/>
            <w:szCs w:val="18"/>
          </w:rPr>
          <w:t>l</w:t>
        </w:r>
        <w:r w:rsidRPr="007333CF">
          <w:rPr>
            <w:rStyle w:val="Hyperlink"/>
            <w:rFonts w:cs="Arial"/>
            <w:i/>
            <w:szCs w:val="18"/>
          </w:rPr>
          <w:t>aws</w:t>
        </w:r>
        <w:r>
          <w:rPr>
            <w:rStyle w:val="Hyperlink"/>
            <w:rFonts w:cs="Arial"/>
            <w:i/>
            <w:szCs w:val="18"/>
          </w:rPr>
          <w:t>:</w:t>
        </w:r>
        <w:r w:rsidRPr="007333CF" w:rsidDel="006653D3">
          <w:rPr>
            <w:rStyle w:val="Hyperlink"/>
            <w:rFonts w:cs="Arial"/>
            <w:i/>
            <w:szCs w:val="18"/>
          </w:rPr>
          <w:t xml:space="preserve"> </w:t>
        </w:r>
        <w:r w:rsidR="00226857">
          <w:rPr>
            <w:rStyle w:val="Hyperlink"/>
            <w:rFonts w:cs="Arial"/>
            <w:i/>
            <w:szCs w:val="18"/>
          </w:rPr>
          <w:t>f</w:t>
        </w:r>
        <w:r w:rsidRPr="007333CF">
          <w:rPr>
            <w:rStyle w:val="Hyperlink"/>
            <w:rFonts w:cs="Arial"/>
            <w:i/>
            <w:szCs w:val="18"/>
          </w:rPr>
          <w:t>inal report</w:t>
        </w:r>
      </w:hyperlink>
      <w:r w:rsidRPr="007333CF">
        <w:rPr>
          <w:rFonts w:cs="Arial"/>
          <w:szCs w:val="18"/>
        </w:rPr>
        <w:t xml:space="preserve">, </w:t>
      </w:r>
      <w:r>
        <w:rPr>
          <w:rFonts w:cs="Arial"/>
          <w:szCs w:val="18"/>
        </w:rPr>
        <w:t xml:space="preserve">Safe Work Australia, </w:t>
      </w:r>
      <w:r w:rsidRPr="007333CF">
        <w:rPr>
          <w:rFonts w:cs="Arial"/>
          <w:szCs w:val="18"/>
        </w:rPr>
        <w:t>2018, p 110.</w:t>
      </w:r>
    </w:p>
  </w:footnote>
  <w:footnote w:id="56">
    <w:p w14:paraId="0E553132" w14:textId="77777777" w:rsidR="002314AD" w:rsidRPr="007333CF" w:rsidRDefault="002314AD" w:rsidP="002314AD">
      <w:pPr>
        <w:pStyle w:val="FootnoteText"/>
        <w:rPr>
          <w:rFonts w:cs="Arial"/>
          <w:szCs w:val="18"/>
        </w:rPr>
      </w:pPr>
      <w:r w:rsidRPr="007333CF">
        <w:rPr>
          <w:rStyle w:val="FootnoteReference"/>
          <w:rFonts w:cs="Arial"/>
          <w:szCs w:val="18"/>
        </w:rPr>
        <w:footnoteRef/>
      </w:r>
      <w:r w:rsidRPr="007333CF">
        <w:rPr>
          <w:rFonts w:cs="Arial"/>
          <w:szCs w:val="18"/>
        </w:rPr>
        <w:t xml:space="preserve"> </w:t>
      </w:r>
      <w:hyperlink r:id="rId50" w:history="1">
        <w:r w:rsidRPr="007333CF">
          <w:rPr>
            <w:rStyle w:val="Hyperlink"/>
            <w:rFonts w:cs="Arial"/>
            <w:szCs w:val="18"/>
          </w:rPr>
          <w:t>MBA</w:t>
        </w:r>
      </w:hyperlink>
      <w:r w:rsidRPr="007333CF">
        <w:rPr>
          <w:rFonts w:cs="Arial"/>
          <w:szCs w:val="18"/>
        </w:rPr>
        <w:t xml:space="preserve">, Submission, p 26; </w:t>
      </w:r>
      <w:hyperlink r:id="rId51" w:history="1">
        <w:r w:rsidRPr="007333CF">
          <w:rPr>
            <w:rStyle w:val="Hyperlink"/>
            <w:rFonts w:cs="Arial"/>
            <w:szCs w:val="18"/>
          </w:rPr>
          <w:t>WorkSafe WA</w:t>
        </w:r>
      </w:hyperlink>
      <w:r w:rsidRPr="007333CF">
        <w:rPr>
          <w:rFonts w:cs="Arial"/>
          <w:szCs w:val="18"/>
        </w:rPr>
        <w:t xml:space="preserve">, Submission, p 7; </w:t>
      </w:r>
      <w:hyperlink r:id="rId52" w:history="1">
        <w:r w:rsidRPr="007333CF">
          <w:rPr>
            <w:rStyle w:val="Hyperlink"/>
            <w:rFonts w:cs="Arial"/>
            <w:szCs w:val="18"/>
          </w:rPr>
          <w:t>MCA</w:t>
        </w:r>
      </w:hyperlink>
      <w:r w:rsidRPr="007333CF">
        <w:rPr>
          <w:rFonts w:cs="Arial"/>
          <w:szCs w:val="18"/>
        </w:rPr>
        <w:t xml:space="preserve">, Submission, p 4; </w:t>
      </w:r>
      <w:hyperlink r:id="rId53" w:history="1">
        <w:r w:rsidRPr="007333CF">
          <w:rPr>
            <w:rStyle w:val="Hyperlink"/>
            <w:rFonts w:cs="Arial"/>
            <w:szCs w:val="18"/>
          </w:rPr>
          <w:t>AIG</w:t>
        </w:r>
      </w:hyperlink>
      <w:r w:rsidRPr="007333CF">
        <w:rPr>
          <w:rFonts w:cs="Arial"/>
          <w:szCs w:val="18"/>
        </w:rPr>
        <w:t>, Submission, pp 5–6.</w:t>
      </w:r>
    </w:p>
  </w:footnote>
  <w:footnote w:id="57">
    <w:p w14:paraId="754D11F8" w14:textId="77777777" w:rsidR="002314AD" w:rsidRPr="007333CF" w:rsidRDefault="002314AD" w:rsidP="002314AD">
      <w:pPr>
        <w:pStyle w:val="FootnoteText"/>
        <w:rPr>
          <w:rFonts w:cs="Arial"/>
          <w:szCs w:val="18"/>
        </w:rPr>
      </w:pPr>
      <w:r w:rsidRPr="007333CF">
        <w:rPr>
          <w:rStyle w:val="FootnoteReference"/>
          <w:rFonts w:cs="Arial"/>
          <w:szCs w:val="18"/>
        </w:rPr>
        <w:footnoteRef/>
      </w:r>
      <w:r w:rsidRPr="007333CF">
        <w:rPr>
          <w:rFonts w:cs="Arial"/>
          <w:szCs w:val="18"/>
        </w:rPr>
        <w:t xml:space="preserve"> </w:t>
      </w:r>
      <w:hyperlink r:id="rId54" w:history="1">
        <w:r w:rsidRPr="007333CF">
          <w:rPr>
            <w:rStyle w:val="Hyperlink"/>
            <w:rFonts w:cs="Arial"/>
          </w:rPr>
          <w:t>AIHS</w:t>
        </w:r>
      </w:hyperlink>
      <w:r w:rsidRPr="007333CF">
        <w:rPr>
          <w:rFonts w:cs="Arial"/>
          <w:szCs w:val="18"/>
        </w:rPr>
        <w:t xml:space="preserve">, Submission, pp 11, 16, 18; </w:t>
      </w:r>
      <w:hyperlink r:id="rId55" w:history="1">
        <w:r w:rsidRPr="007333CF">
          <w:rPr>
            <w:rStyle w:val="Hyperlink"/>
            <w:rFonts w:cs="Arial"/>
            <w:szCs w:val="18"/>
          </w:rPr>
          <w:t>ACCI</w:t>
        </w:r>
      </w:hyperlink>
      <w:r w:rsidRPr="007333CF">
        <w:rPr>
          <w:rFonts w:cs="Arial"/>
          <w:szCs w:val="18"/>
        </w:rPr>
        <w:t>, Submission, pp 5–6; Victorian Small Business Commission, Consultation, October 2025.</w:t>
      </w:r>
    </w:p>
  </w:footnote>
  <w:footnote w:id="58">
    <w:p w14:paraId="28B749E3" w14:textId="77777777" w:rsidR="002314AD" w:rsidRPr="007333CF" w:rsidRDefault="002314AD" w:rsidP="002314AD">
      <w:pPr>
        <w:pStyle w:val="FootnoteText"/>
        <w:rPr>
          <w:rFonts w:cs="Arial"/>
          <w:szCs w:val="18"/>
        </w:rPr>
      </w:pPr>
      <w:r w:rsidRPr="007333CF">
        <w:rPr>
          <w:rStyle w:val="FootnoteReference"/>
          <w:rFonts w:cs="Arial"/>
          <w:szCs w:val="18"/>
        </w:rPr>
        <w:footnoteRef/>
      </w:r>
      <w:r w:rsidRPr="007333CF">
        <w:rPr>
          <w:rFonts w:cs="Arial"/>
          <w:szCs w:val="18"/>
        </w:rPr>
        <w:t xml:space="preserve"> </w:t>
      </w:r>
      <w:hyperlink r:id="rId56" w:history="1">
        <w:r w:rsidRPr="007333CF">
          <w:rPr>
            <w:rStyle w:val="Hyperlink"/>
            <w:rFonts w:cs="Arial"/>
            <w:szCs w:val="18"/>
          </w:rPr>
          <w:t>ACCI</w:t>
        </w:r>
      </w:hyperlink>
      <w:r w:rsidRPr="007333CF">
        <w:rPr>
          <w:rFonts w:cs="Arial"/>
          <w:szCs w:val="18"/>
        </w:rPr>
        <w:t xml:space="preserve">, Submission, pp 7–8; </w:t>
      </w:r>
      <w:hyperlink r:id="rId57" w:history="1">
        <w:r w:rsidRPr="007333CF">
          <w:rPr>
            <w:rStyle w:val="Hyperlink"/>
            <w:rFonts w:cs="Arial"/>
            <w:szCs w:val="18"/>
          </w:rPr>
          <w:t>MBA</w:t>
        </w:r>
      </w:hyperlink>
      <w:r w:rsidRPr="007333CF">
        <w:rPr>
          <w:rFonts w:cs="Arial"/>
          <w:szCs w:val="18"/>
        </w:rPr>
        <w:t xml:space="preserve">, Submission, pp 26, 32–33; </w:t>
      </w:r>
      <w:hyperlink r:id="rId58" w:history="1">
        <w:r w:rsidRPr="007333CF">
          <w:rPr>
            <w:rStyle w:val="Hyperlink"/>
            <w:rFonts w:cs="Arial"/>
            <w:szCs w:val="18"/>
          </w:rPr>
          <w:t>MCA</w:t>
        </w:r>
      </w:hyperlink>
      <w:r w:rsidRPr="007333CF">
        <w:t xml:space="preserve">, </w:t>
      </w:r>
      <w:r w:rsidRPr="007333CF">
        <w:rPr>
          <w:rFonts w:cs="Arial"/>
          <w:szCs w:val="18"/>
        </w:rPr>
        <w:t>Submission, p 4.</w:t>
      </w:r>
    </w:p>
  </w:footnote>
  <w:footnote w:id="59">
    <w:p w14:paraId="1A9A476F" w14:textId="5903E368" w:rsidR="002314AD" w:rsidRPr="007333CF" w:rsidRDefault="002314AD" w:rsidP="002314AD">
      <w:pPr>
        <w:pStyle w:val="FootnoteText"/>
        <w:rPr>
          <w:rFonts w:cs="Arial"/>
          <w:szCs w:val="18"/>
        </w:rPr>
      </w:pPr>
      <w:r w:rsidRPr="007333CF">
        <w:rPr>
          <w:rStyle w:val="FootnoteReference"/>
          <w:rFonts w:cs="Arial"/>
          <w:szCs w:val="18"/>
        </w:rPr>
        <w:footnoteRef/>
      </w:r>
      <w:r w:rsidRPr="007333CF">
        <w:rPr>
          <w:rFonts w:cs="Arial"/>
          <w:szCs w:val="18"/>
        </w:rPr>
        <w:t xml:space="preserve"> </w:t>
      </w:r>
      <w:hyperlink r:id="rId59" w:history="1">
        <w:r w:rsidRPr="007333CF">
          <w:rPr>
            <w:rStyle w:val="Hyperlink"/>
            <w:rFonts w:cs="Arial"/>
            <w:szCs w:val="18"/>
          </w:rPr>
          <w:t>ACTU</w:t>
        </w:r>
      </w:hyperlink>
      <w:r w:rsidRPr="007333CF">
        <w:rPr>
          <w:szCs w:val="18"/>
        </w:rPr>
        <w:t>,</w:t>
      </w:r>
      <w:r w:rsidRPr="007333CF">
        <w:rPr>
          <w:rFonts w:cs="Arial"/>
          <w:szCs w:val="18"/>
        </w:rPr>
        <w:t xml:space="preserve"> Submission, p 11; </w:t>
      </w:r>
      <w:hyperlink r:id="rId60" w:history="1">
        <w:r w:rsidRPr="007333CF">
          <w:rPr>
            <w:rStyle w:val="Hyperlink"/>
            <w:rFonts w:cs="Arial"/>
            <w:szCs w:val="18"/>
          </w:rPr>
          <w:t>NSW Nurses and Midwives</w:t>
        </w:r>
        <w:r w:rsidR="001B0C27">
          <w:rPr>
            <w:rStyle w:val="Hyperlink"/>
            <w:rFonts w:cs="Arial"/>
            <w:szCs w:val="18"/>
          </w:rPr>
          <w:t>’</w:t>
        </w:r>
        <w:r w:rsidRPr="007333CF">
          <w:rPr>
            <w:rStyle w:val="Hyperlink"/>
            <w:rFonts w:cs="Arial"/>
            <w:szCs w:val="18"/>
          </w:rPr>
          <w:t xml:space="preserve"> Association/Australian Nursing and Midwifery Federation NSW Branch</w:t>
        </w:r>
      </w:hyperlink>
      <w:r w:rsidRPr="007333CF">
        <w:rPr>
          <w:szCs w:val="18"/>
        </w:rPr>
        <w:t>,</w:t>
      </w:r>
      <w:r w:rsidRPr="007333CF">
        <w:rPr>
          <w:rFonts w:cs="Arial"/>
          <w:szCs w:val="18"/>
        </w:rPr>
        <w:t xml:space="preserve"> Submission, pp 15–16.</w:t>
      </w:r>
    </w:p>
  </w:footnote>
  <w:footnote w:id="60">
    <w:p w14:paraId="2BB3291E" w14:textId="77777777" w:rsidR="002314AD" w:rsidRPr="007333CF" w:rsidRDefault="002314AD" w:rsidP="002314AD">
      <w:pPr>
        <w:pStyle w:val="FootnoteText"/>
        <w:rPr>
          <w:rFonts w:cs="Arial"/>
          <w:szCs w:val="18"/>
        </w:rPr>
      </w:pPr>
      <w:r w:rsidRPr="007333CF">
        <w:rPr>
          <w:rStyle w:val="FootnoteReference"/>
          <w:rFonts w:cs="Arial"/>
          <w:szCs w:val="18"/>
        </w:rPr>
        <w:footnoteRef/>
      </w:r>
      <w:r w:rsidRPr="007333CF">
        <w:rPr>
          <w:rFonts w:cs="Arial"/>
          <w:szCs w:val="18"/>
        </w:rPr>
        <w:t xml:space="preserve"> BCA, Consultation, September 2025; Anonymous, Consultation, March 2026.</w:t>
      </w:r>
    </w:p>
  </w:footnote>
  <w:footnote w:id="61">
    <w:p w14:paraId="133D3BCB" w14:textId="77777777" w:rsidR="002314AD" w:rsidRPr="007333CF" w:rsidRDefault="002314AD" w:rsidP="002314AD">
      <w:pPr>
        <w:pStyle w:val="FootnoteText"/>
      </w:pPr>
      <w:r w:rsidRPr="007333CF">
        <w:rPr>
          <w:rStyle w:val="FootnoteReference"/>
        </w:rPr>
        <w:footnoteRef/>
      </w:r>
      <w:r w:rsidRPr="007333CF">
        <w:t xml:space="preserve"> Private, Consultation, March 2026</w:t>
      </w:r>
      <w:r>
        <w:t>.</w:t>
      </w:r>
    </w:p>
  </w:footnote>
  <w:footnote w:id="62">
    <w:p w14:paraId="2F2B90B2" w14:textId="77777777" w:rsidR="002314AD" w:rsidRPr="007333CF" w:rsidRDefault="002314AD" w:rsidP="002314AD">
      <w:pPr>
        <w:pStyle w:val="FootnoteText"/>
        <w:rPr>
          <w:rFonts w:cs="Arial"/>
          <w:szCs w:val="18"/>
        </w:rPr>
      </w:pPr>
      <w:r w:rsidRPr="007333CF">
        <w:rPr>
          <w:rStyle w:val="FootnoteReference"/>
          <w:rFonts w:cs="Arial"/>
          <w:szCs w:val="18"/>
        </w:rPr>
        <w:footnoteRef/>
      </w:r>
      <w:r w:rsidRPr="007333CF">
        <w:rPr>
          <w:rFonts w:cs="Arial"/>
          <w:szCs w:val="18"/>
        </w:rPr>
        <w:t xml:space="preserve"> </w:t>
      </w:r>
      <w:hyperlink r:id="rId61" w:history="1">
        <w:r w:rsidRPr="007333CF">
          <w:rPr>
            <w:rStyle w:val="Hyperlink"/>
            <w:rFonts w:cs="Arial"/>
            <w:szCs w:val="18"/>
          </w:rPr>
          <w:t>AIHS</w:t>
        </w:r>
      </w:hyperlink>
      <w:r w:rsidRPr="007333CF">
        <w:t>,</w:t>
      </w:r>
      <w:r w:rsidRPr="007333CF">
        <w:rPr>
          <w:rFonts w:cs="Arial"/>
          <w:szCs w:val="18"/>
        </w:rPr>
        <w:t xml:space="preserve"> Submission, p 11.</w:t>
      </w:r>
    </w:p>
  </w:footnote>
  <w:footnote w:id="63">
    <w:p w14:paraId="355ACE1D" w14:textId="77777777" w:rsidR="002314AD" w:rsidRPr="007333CF" w:rsidRDefault="002314AD" w:rsidP="002314AD">
      <w:pPr>
        <w:pStyle w:val="FootnoteText"/>
      </w:pPr>
      <w:r w:rsidRPr="007333CF">
        <w:rPr>
          <w:rStyle w:val="FootnoteReference"/>
        </w:rPr>
        <w:footnoteRef/>
      </w:r>
      <w:r w:rsidRPr="007333CF">
        <w:t xml:space="preserve"> Chamber of Minerals and Energy Western Australia, Consultation, September 2025</w:t>
      </w:r>
      <w:r>
        <w:t>.</w:t>
      </w:r>
    </w:p>
  </w:footnote>
  <w:footnote w:id="64">
    <w:p w14:paraId="77A1F304" w14:textId="77777777" w:rsidR="002314AD" w:rsidRPr="007333CF" w:rsidRDefault="002314AD" w:rsidP="002314AD">
      <w:pPr>
        <w:pStyle w:val="FootnoteText"/>
      </w:pPr>
      <w:r w:rsidRPr="007333CF">
        <w:rPr>
          <w:rStyle w:val="FootnoteReference"/>
        </w:rPr>
        <w:footnoteRef/>
      </w:r>
      <w:r w:rsidRPr="007333CF">
        <w:t xml:space="preserve"> Master Builders Tasmania, Consultation, September 2025</w:t>
      </w:r>
      <w:r>
        <w:t>.</w:t>
      </w:r>
    </w:p>
  </w:footnote>
  <w:footnote w:id="65">
    <w:p w14:paraId="1AF4E168" w14:textId="77777777" w:rsidR="002314AD" w:rsidRPr="007333CF" w:rsidRDefault="002314AD" w:rsidP="002314AD">
      <w:pPr>
        <w:pStyle w:val="FootnoteText"/>
        <w:rPr>
          <w:szCs w:val="18"/>
          <w:highlight w:val="yellow"/>
        </w:rPr>
      </w:pPr>
      <w:r w:rsidRPr="007333CF">
        <w:rPr>
          <w:rStyle w:val="FootnoteReference"/>
          <w:szCs w:val="18"/>
        </w:rPr>
        <w:footnoteRef/>
      </w:r>
      <w:r w:rsidRPr="007333CF">
        <w:rPr>
          <w:szCs w:val="18"/>
        </w:rPr>
        <w:t xml:space="preserve"> Workplace Health and Safety Qld, Consultation, September 2025</w:t>
      </w:r>
      <w:r>
        <w:rPr>
          <w:szCs w:val="18"/>
        </w:rPr>
        <w:t>.</w:t>
      </w:r>
    </w:p>
  </w:footnote>
  <w:footnote w:id="66">
    <w:p w14:paraId="3F781D7C" w14:textId="77777777" w:rsidR="002314AD" w:rsidRPr="007333CF" w:rsidRDefault="002314AD" w:rsidP="002314AD">
      <w:pPr>
        <w:pStyle w:val="FootnoteText"/>
        <w:rPr>
          <w:szCs w:val="18"/>
        </w:rPr>
      </w:pPr>
      <w:r w:rsidRPr="007333CF">
        <w:rPr>
          <w:rStyle w:val="FootnoteReference"/>
          <w:szCs w:val="18"/>
        </w:rPr>
        <w:footnoteRef/>
      </w:r>
      <w:r w:rsidRPr="007333CF">
        <w:rPr>
          <w:szCs w:val="18"/>
        </w:rPr>
        <w:t xml:space="preserve"> </w:t>
      </w:r>
      <w:hyperlink r:id="rId62" w:history="1">
        <w:r w:rsidRPr="007333CF">
          <w:rPr>
            <w:rStyle w:val="Hyperlink"/>
            <w:szCs w:val="18"/>
          </w:rPr>
          <w:t>CSA</w:t>
        </w:r>
      </w:hyperlink>
      <w:r w:rsidRPr="007333CF">
        <w:rPr>
          <w:szCs w:val="18"/>
        </w:rPr>
        <w:t xml:space="preserve">, Submission, p 4; </w:t>
      </w:r>
      <w:hyperlink r:id="rId63" w:history="1">
        <w:r w:rsidRPr="007333CF">
          <w:rPr>
            <w:rStyle w:val="Hyperlink"/>
            <w:szCs w:val="18"/>
          </w:rPr>
          <w:t>HIA</w:t>
        </w:r>
      </w:hyperlink>
      <w:r w:rsidRPr="007333CF">
        <w:rPr>
          <w:szCs w:val="18"/>
        </w:rPr>
        <w:t xml:space="preserve">, Submission, p 1; </w:t>
      </w:r>
      <w:hyperlink r:id="rId64" w:history="1">
        <w:r w:rsidRPr="007333CF">
          <w:rPr>
            <w:rStyle w:val="Hyperlink"/>
            <w:szCs w:val="18"/>
          </w:rPr>
          <w:t>Australian Retailers Association and National Retail Association</w:t>
        </w:r>
      </w:hyperlink>
      <w:r w:rsidRPr="007333CF">
        <w:rPr>
          <w:szCs w:val="18"/>
        </w:rPr>
        <w:t>, Submission, p</w:t>
      </w:r>
      <w:r>
        <w:rPr>
          <w:szCs w:val="18"/>
        </w:rPr>
        <w:t> </w:t>
      </w:r>
      <w:r w:rsidRPr="007333CF">
        <w:rPr>
          <w:szCs w:val="18"/>
        </w:rPr>
        <w:t>4;</w:t>
      </w:r>
      <w:r>
        <w:rPr>
          <w:szCs w:val="18"/>
        </w:rPr>
        <w:t xml:space="preserve"> </w:t>
      </w:r>
      <w:hyperlink r:id="rId65" w:history="1">
        <w:r w:rsidRPr="0067680D">
          <w:rPr>
            <w:rStyle w:val="Hyperlink"/>
            <w:szCs w:val="18"/>
          </w:rPr>
          <w:t>ACFA</w:t>
        </w:r>
      </w:hyperlink>
      <w:r w:rsidRPr="007333CF">
        <w:rPr>
          <w:szCs w:val="18"/>
        </w:rPr>
        <w:t>, Submission, p 9.</w:t>
      </w:r>
    </w:p>
  </w:footnote>
  <w:footnote w:id="67">
    <w:p w14:paraId="7E0FFB8E" w14:textId="77777777" w:rsidR="002314AD" w:rsidRPr="007333CF" w:rsidRDefault="002314AD" w:rsidP="002314AD">
      <w:pPr>
        <w:pStyle w:val="FootnoteText"/>
        <w:rPr>
          <w:rFonts w:cs="Arial"/>
          <w:szCs w:val="18"/>
        </w:rPr>
      </w:pPr>
      <w:r w:rsidRPr="007333CF">
        <w:rPr>
          <w:rStyle w:val="FootnoteReference"/>
          <w:rFonts w:cs="Arial"/>
          <w:szCs w:val="18"/>
        </w:rPr>
        <w:footnoteRef/>
      </w:r>
      <w:r w:rsidRPr="007333CF">
        <w:rPr>
          <w:rFonts w:cs="Arial"/>
          <w:szCs w:val="18"/>
        </w:rPr>
        <w:t xml:space="preserve"> WorkSafe ACT, Consultation, September 2025.</w:t>
      </w:r>
    </w:p>
  </w:footnote>
  <w:footnote w:id="68">
    <w:p w14:paraId="46326ACD" w14:textId="77777777" w:rsidR="002314AD" w:rsidRPr="007333CF" w:rsidRDefault="002314AD" w:rsidP="002314AD">
      <w:pPr>
        <w:pStyle w:val="FootnoteText"/>
        <w:rPr>
          <w:rFonts w:cs="Arial"/>
          <w:szCs w:val="18"/>
        </w:rPr>
      </w:pPr>
      <w:r w:rsidRPr="007333CF">
        <w:rPr>
          <w:rStyle w:val="FootnoteReference"/>
          <w:rFonts w:cs="Arial"/>
          <w:szCs w:val="18"/>
        </w:rPr>
        <w:footnoteRef/>
      </w:r>
      <w:r w:rsidRPr="007333CF">
        <w:rPr>
          <w:rFonts w:cs="Arial"/>
          <w:szCs w:val="18"/>
        </w:rPr>
        <w:t xml:space="preserve"> </w:t>
      </w:r>
      <w:hyperlink r:id="rId66" w:history="1">
        <w:r w:rsidRPr="007333CF">
          <w:rPr>
            <w:rStyle w:val="Hyperlink"/>
            <w:rFonts w:cs="Arial"/>
            <w:szCs w:val="18"/>
          </w:rPr>
          <w:t>Comcare</w:t>
        </w:r>
      </w:hyperlink>
      <w:r w:rsidRPr="007333CF">
        <w:rPr>
          <w:rFonts w:cs="Arial"/>
          <w:szCs w:val="18"/>
        </w:rPr>
        <w:t>, Submission, p 2.</w:t>
      </w:r>
    </w:p>
  </w:footnote>
  <w:footnote w:id="69">
    <w:p w14:paraId="173809D3" w14:textId="77777777" w:rsidR="002314AD" w:rsidRPr="007333CF" w:rsidRDefault="002314AD" w:rsidP="002314AD">
      <w:pPr>
        <w:pStyle w:val="FootnoteText"/>
        <w:rPr>
          <w:rFonts w:cs="Arial"/>
          <w:szCs w:val="18"/>
        </w:rPr>
      </w:pPr>
      <w:r w:rsidRPr="007333CF">
        <w:rPr>
          <w:rStyle w:val="FootnoteReference"/>
          <w:rFonts w:cs="Arial"/>
          <w:szCs w:val="18"/>
        </w:rPr>
        <w:footnoteRef/>
      </w:r>
      <w:r w:rsidRPr="007333CF">
        <w:rPr>
          <w:rFonts w:cs="Arial"/>
          <w:szCs w:val="18"/>
        </w:rPr>
        <w:t xml:space="preserve"> Affected Family and Workers Advisory Committee, Consultation, December 2025; Workplace Incidents Consultative Committee, Consultation, December 2025; Consultative Committee for Work-related Fatalities and Serious Incidents, Consultation, February 2026.</w:t>
      </w:r>
    </w:p>
  </w:footnote>
  <w:footnote w:id="70">
    <w:p w14:paraId="5BDDA4D7" w14:textId="77777777" w:rsidR="002314AD" w:rsidRPr="007333CF" w:rsidRDefault="002314AD" w:rsidP="002314AD">
      <w:pPr>
        <w:pStyle w:val="FootnoteText"/>
        <w:rPr>
          <w:rFonts w:cs="Arial"/>
          <w:szCs w:val="18"/>
        </w:rPr>
      </w:pPr>
      <w:r w:rsidRPr="007333CF">
        <w:rPr>
          <w:rStyle w:val="FootnoteReference"/>
          <w:rFonts w:cs="Arial"/>
          <w:szCs w:val="18"/>
        </w:rPr>
        <w:footnoteRef/>
      </w:r>
      <w:r w:rsidRPr="007333CF">
        <w:rPr>
          <w:rFonts w:cs="Arial"/>
          <w:szCs w:val="18"/>
        </w:rPr>
        <w:t xml:space="preserve"> </w:t>
      </w:r>
      <w:hyperlink r:id="rId67" w:history="1">
        <w:r w:rsidRPr="007333CF">
          <w:rPr>
            <w:rStyle w:val="Hyperlink"/>
            <w:rFonts w:cs="Arial"/>
            <w:szCs w:val="18"/>
          </w:rPr>
          <w:t>Kay Catanzariti</w:t>
        </w:r>
      </w:hyperlink>
      <w:r w:rsidRPr="007333CF">
        <w:rPr>
          <w:rFonts w:cs="Arial"/>
          <w:szCs w:val="18"/>
        </w:rPr>
        <w:t>, Submission, p 2</w:t>
      </w:r>
      <w:hyperlink r:id="rId68" w:history="1">
        <w:r w:rsidRPr="007333CF">
          <w:rPr>
            <w:rStyle w:val="Hyperlink"/>
            <w:rFonts w:cs="Arial"/>
            <w:color w:val="auto"/>
            <w:szCs w:val="18"/>
            <w:u w:val="none"/>
          </w:rPr>
          <w:t>;</w:t>
        </w:r>
        <w:r w:rsidRPr="007333CF">
          <w:rPr>
            <w:rStyle w:val="Hyperlink"/>
            <w:rFonts w:cs="Arial"/>
            <w:szCs w:val="18"/>
            <w:u w:val="none"/>
          </w:rPr>
          <w:t xml:space="preserve"> </w:t>
        </w:r>
        <w:r w:rsidRPr="007333CF">
          <w:rPr>
            <w:rStyle w:val="Hyperlink"/>
            <w:rFonts w:cs="Arial"/>
            <w:szCs w:val="18"/>
          </w:rPr>
          <w:t>Kay Catanzariti and Vincent Pannel</w:t>
        </w:r>
      </w:hyperlink>
      <w:r w:rsidRPr="007333CF">
        <w:t>l</w:t>
      </w:r>
      <w:r w:rsidRPr="007333CF">
        <w:rPr>
          <w:rFonts w:cs="Arial"/>
          <w:szCs w:val="18"/>
        </w:rPr>
        <w:t>, Submission, p 3; Affected Family and Workers Advisory Committee, Consultation, December 2025; Workplace Incidents Consultative Committee, Consultation, December 2025; Consultative Committee for Work-related Fatalities and Serious Incidents, Consultation, February 2026.</w:t>
      </w:r>
    </w:p>
  </w:footnote>
  <w:footnote w:id="71">
    <w:p w14:paraId="6109A6FE" w14:textId="77777777" w:rsidR="002314AD" w:rsidRPr="007333CF" w:rsidRDefault="002314AD" w:rsidP="002314AD">
      <w:pPr>
        <w:pStyle w:val="FootnoteText"/>
        <w:rPr>
          <w:rFonts w:cs="Arial"/>
          <w:szCs w:val="18"/>
        </w:rPr>
      </w:pPr>
      <w:r w:rsidRPr="007333CF">
        <w:rPr>
          <w:rStyle w:val="FootnoteReference"/>
          <w:rFonts w:cs="Arial"/>
          <w:szCs w:val="18"/>
        </w:rPr>
        <w:footnoteRef/>
      </w:r>
      <w:r w:rsidRPr="007333CF">
        <w:rPr>
          <w:rFonts w:cs="Arial"/>
          <w:szCs w:val="18"/>
        </w:rPr>
        <w:t xml:space="preserve"> Affected Family and Workers Advisory Committee, Consultation, December 2025; Workplace Incidents Consultative Committee, Consultation, December 2025; Consultative Committee for Work-related Fatalities and Serious Incidents, Consultation, February 2025.</w:t>
      </w:r>
    </w:p>
  </w:footnote>
  <w:footnote w:id="72">
    <w:p w14:paraId="4A5844C6" w14:textId="77777777" w:rsidR="002314AD" w:rsidRPr="007333CF" w:rsidRDefault="002314AD" w:rsidP="002314AD">
      <w:pPr>
        <w:pStyle w:val="FootnoteText"/>
      </w:pPr>
      <w:r w:rsidRPr="007333CF">
        <w:rPr>
          <w:rStyle w:val="FootnoteReference"/>
        </w:rPr>
        <w:footnoteRef/>
      </w:r>
      <w:r w:rsidRPr="007333CF">
        <w:t xml:space="preserve"> </w:t>
      </w:r>
      <w:hyperlink r:id="rId69" w:history="1">
        <w:r w:rsidRPr="007333CF">
          <w:rPr>
            <w:rStyle w:val="Hyperlink"/>
          </w:rPr>
          <w:t>AIHS</w:t>
        </w:r>
      </w:hyperlink>
      <w:r w:rsidRPr="007333CF">
        <w:t>, Submission</w:t>
      </w:r>
      <w:r>
        <w:t>,</w:t>
      </w:r>
      <w:r w:rsidRPr="007333CF">
        <w:t xml:space="preserve"> pp 12</w:t>
      </w:r>
      <w:r w:rsidRPr="007333CF">
        <w:rPr>
          <w:szCs w:val="18"/>
        </w:rPr>
        <w:t>–</w:t>
      </w:r>
      <w:r w:rsidRPr="007333CF">
        <w:t>13.</w:t>
      </w:r>
    </w:p>
  </w:footnote>
  <w:footnote w:id="73">
    <w:p w14:paraId="37534C5A" w14:textId="77777777" w:rsidR="002314AD" w:rsidRPr="007333CF" w:rsidRDefault="002314AD" w:rsidP="002314AD">
      <w:pPr>
        <w:pStyle w:val="FootnoteText"/>
      </w:pPr>
      <w:r w:rsidRPr="007333CF">
        <w:rPr>
          <w:rStyle w:val="FootnoteReference"/>
        </w:rPr>
        <w:footnoteRef/>
      </w:r>
      <w:r w:rsidRPr="007333CF">
        <w:t xml:space="preserve"> Kevin Jones, Submission</w:t>
      </w:r>
      <w:r>
        <w:t>,</w:t>
      </w:r>
      <w:r w:rsidRPr="007333CF">
        <w:t xml:space="preserve"> p 1.</w:t>
      </w:r>
    </w:p>
  </w:footnote>
  <w:footnote w:id="74">
    <w:p w14:paraId="426D24B2" w14:textId="77777777" w:rsidR="009B136A" w:rsidRPr="007333CF" w:rsidRDefault="009B136A" w:rsidP="009B136A">
      <w:pPr>
        <w:pStyle w:val="FootnoteText"/>
        <w:rPr>
          <w:szCs w:val="18"/>
          <w:highlight w:val="yellow"/>
        </w:rPr>
      </w:pPr>
      <w:r w:rsidRPr="007333CF">
        <w:rPr>
          <w:rStyle w:val="FootnoteReference"/>
          <w:szCs w:val="18"/>
        </w:rPr>
        <w:footnoteRef/>
      </w:r>
      <w:r w:rsidRPr="007333CF">
        <w:rPr>
          <w:szCs w:val="18"/>
        </w:rPr>
        <w:t xml:space="preserve"> </w:t>
      </w:r>
      <w:hyperlink r:id="rId70" w:history="1">
        <w:r w:rsidRPr="007333CF">
          <w:rPr>
            <w:rStyle w:val="Hyperlink"/>
            <w:szCs w:val="18"/>
          </w:rPr>
          <w:t>AIHS</w:t>
        </w:r>
      </w:hyperlink>
      <w:r w:rsidRPr="007333CF">
        <w:rPr>
          <w:szCs w:val="18"/>
        </w:rPr>
        <w:t xml:space="preserve">, Submission, pp 10–11; </w:t>
      </w:r>
      <w:hyperlink r:id="rId71" w:history="1">
        <w:r w:rsidRPr="007333CF">
          <w:rPr>
            <w:rStyle w:val="Hyperlink"/>
            <w:szCs w:val="18"/>
          </w:rPr>
          <w:t>MBA</w:t>
        </w:r>
      </w:hyperlink>
      <w:r w:rsidRPr="007333CF">
        <w:rPr>
          <w:szCs w:val="18"/>
        </w:rPr>
        <w:t xml:space="preserve">, Submission, p 23; </w:t>
      </w:r>
      <w:hyperlink r:id="rId72" w:history="1">
        <w:r w:rsidRPr="007333CF">
          <w:rPr>
            <w:rStyle w:val="Hyperlink"/>
            <w:szCs w:val="18"/>
          </w:rPr>
          <w:t>Water Services Association of Australia</w:t>
        </w:r>
      </w:hyperlink>
      <w:r w:rsidRPr="007333CF">
        <w:rPr>
          <w:szCs w:val="18"/>
        </w:rPr>
        <w:t>, Submission, p 5.</w:t>
      </w:r>
    </w:p>
  </w:footnote>
  <w:footnote w:id="75">
    <w:p w14:paraId="70258692" w14:textId="6F99C3B4" w:rsidR="009B136A" w:rsidRPr="007333CF" w:rsidRDefault="009B136A" w:rsidP="009B136A">
      <w:pPr>
        <w:pStyle w:val="FootnoteText"/>
        <w:rPr>
          <w:szCs w:val="18"/>
        </w:rPr>
      </w:pPr>
      <w:r w:rsidRPr="007333CF">
        <w:rPr>
          <w:rStyle w:val="FootnoteReference"/>
          <w:szCs w:val="18"/>
        </w:rPr>
        <w:footnoteRef/>
      </w:r>
      <w:r w:rsidRPr="007333CF">
        <w:rPr>
          <w:szCs w:val="18"/>
        </w:rPr>
        <w:t xml:space="preserve"> </w:t>
      </w:r>
      <w:r w:rsidRPr="007333CF">
        <w:rPr>
          <w:rFonts w:cstheme="minorHAnsi"/>
          <w:szCs w:val="18"/>
        </w:rPr>
        <w:t>Safe Work Australia</w:t>
      </w:r>
      <w:r w:rsidRPr="007333CF">
        <w:rPr>
          <w:szCs w:val="18"/>
        </w:rPr>
        <w:t>,</w:t>
      </w:r>
      <w:r w:rsidRPr="007333CF">
        <w:rPr>
          <w:i/>
          <w:iCs/>
          <w:szCs w:val="18"/>
        </w:rPr>
        <w:t xml:space="preserve"> </w:t>
      </w:r>
      <w:hyperlink r:id="rId73" w:history="1">
        <w:r w:rsidRPr="006F5016">
          <w:rPr>
            <w:rStyle w:val="Hyperlink"/>
            <w:i/>
            <w:iCs/>
            <w:szCs w:val="18"/>
          </w:rPr>
          <w:t xml:space="preserve">Review of the </w:t>
        </w:r>
        <w:r w:rsidR="00B64D09">
          <w:rPr>
            <w:rStyle w:val="Hyperlink"/>
            <w:i/>
            <w:iCs/>
            <w:szCs w:val="18"/>
          </w:rPr>
          <w:t>m</w:t>
        </w:r>
        <w:r w:rsidRPr="006F5016">
          <w:rPr>
            <w:rStyle w:val="Hyperlink"/>
            <w:i/>
            <w:iCs/>
            <w:szCs w:val="18"/>
          </w:rPr>
          <w:t xml:space="preserve">odel Work Health and Safety </w:t>
        </w:r>
        <w:r w:rsidR="004D0580">
          <w:rPr>
            <w:rStyle w:val="Hyperlink"/>
            <w:i/>
            <w:iCs/>
            <w:szCs w:val="18"/>
          </w:rPr>
          <w:t>l</w:t>
        </w:r>
        <w:r w:rsidRPr="006F5016">
          <w:rPr>
            <w:rStyle w:val="Hyperlink"/>
            <w:i/>
            <w:iCs/>
            <w:szCs w:val="18"/>
          </w:rPr>
          <w:t xml:space="preserve">aws: </w:t>
        </w:r>
        <w:r w:rsidR="00226857" w:rsidRPr="006F5016">
          <w:rPr>
            <w:rStyle w:val="Hyperlink"/>
            <w:i/>
            <w:iCs/>
            <w:szCs w:val="18"/>
          </w:rPr>
          <w:t>f</w:t>
        </w:r>
        <w:r w:rsidRPr="006F5016">
          <w:rPr>
            <w:rStyle w:val="Hyperlink"/>
            <w:i/>
            <w:iCs/>
            <w:szCs w:val="18"/>
          </w:rPr>
          <w:t>inal report</w:t>
        </w:r>
      </w:hyperlink>
      <w:r w:rsidRPr="006F5016">
        <w:rPr>
          <w:i/>
          <w:iCs/>
          <w:szCs w:val="18"/>
        </w:rPr>
        <w:t xml:space="preserve">, </w:t>
      </w:r>
      <w:r w:rsidRPr="006F5016">
        <w:rPr>
          <w:szCs w:val="18"/>
        </w:rPr>
        <w:t>Safe Work</w:t>
      </w:r>
      <w:r>
        <w:rPr>
          <w:szCs w:val="18"/>
        </w:rPr>
        <w:t xml:space="preserve"> Australia, </w:t>
      </w:r>
      <w:r w:rsidRPr="007333CF">
        <w:rPr>
          <w:szCs w:val="18"/>
        </w:rPr>
        <w:t>2018, pp 107–110.</w:t>
      </w:r>
    </w:p>
  </w:footnote>
  <w:footnote w:id="76">
    <w:p w14:paraId="6AA87AEF" w14:textId="77777777" w:rsidR="003674F0" w:rsidRPr="007333CF" w:rsidRDefault="003674F0" w:rsidP="003674F0">
      <w:pPr>
        <w:pStyle w:val="FootnoteText"/>
        <w:rPr>
          <w:szCs w:val="18"/>
        </w:rPr>
      </w:pPr>
      <w:r w:rsidRPr="007333CF">
        <w:rPr>
          <w:rStyle w:val="FootnoteReference"/>
          <w:szCs w:val="18"/>
        </w:rPr>
        <w:footnoteRef/>
      </w:r>
      <w:r w:rsidRPr="007333CF">
        <w:rPr>
          <w:szCs w:val="18"/>
        </w:rPr>
        <w:t xml:space="preserve"> </w:t>
      </w:r>
      <w:hyperlink r:id="rId74" w:history="1">
        <w:r w:rsidRPr="007333CF">
          <w:rPr>
            <w:rStyle w:val="Hyperlink"/>
            <w:szCs w:val="18"/>
          </w:rPr>
          <w:t>WorkSafe WA</w:t>
        </w:r>
      </w:hyperlink>
      <w:r w:rsidRPr="007333CF">
        <w:rPr>
          <w:szCs w:val="18"/>
        </w:rPr>
        <w:t>, Submission, p 7.</w:t>
      </w:r>
    </w:p>
  </w:footnote>
  <w:footnote w:id="77">
    <w:p w14:paraId="5C81123E" w14:textId="77777777" w:rsidR="003674F0" w:rsidRPr="007333CF" w:rsidRDefault="003674F0" w:rsidP="003674F0">
      <w:pPr>
        <w:pStyle w:val="FootnoteText"/>
        <w:rPr>
          <w:szCs w:val="18"/>
        </w:rPr>
      </w:pPr>
      <w:r w:rsidRPr="007333CF">
        <w:rPr>
          <w:rStyle w:val="FootnoteReference"/>
          <w:szCs w:val="18"/>
        </w:rPr>
        <w:footnoteRef/>
      </w:r>
      <w:r w:rsidRPr="007333CF">
        <w:rPr>
          <w:szCs w:val="18"/>
        </w:rPr>
        <w:t xml:space="preserve"> </w:t>
      </w:r>
      <w:hyperlink r:id="rId75" w:history="1">
        <w:r w:rsidRPr="007333CF">
          <w:rPr>
            <w:rStyle w:val="Hyperlink"/>
            <w:szCs w:val="18"/>
          </w:rPr>
          <w:t>Safety Forward</w:t>
        </w:r>
      </w:hyperlink>
      <w:r w:rsidRPr="007333CF">
        <w:rPr>
          <w:szCs w:val="18"/>
        </w:rPr>
        <w:t xml:space="preserve">, Submission, p 3; </w:t>
      </w:r>
      <w:hyperlink r:id="rId76" w:history="1">
        <w:r>
          <w:rPr>
            <w:rStyle w:val="Hyperlink"/>
            <w:szCs w:val="18"/>
          </w:rPr>
          <w:t>ACFA</w:t>
        </w:r>
      </w:hyperlink>
      <w:r w:rsidRPr="007333CF">
        <w:rPr>
          <w:szCs w:val="18"/>
        </w:rPr>
        <w:t>, Submission, p 9.</w:t>
      </w:r>
    </w:p>
  </w:footnote>
  <w:footnote w:id="78">
    <w:p w14:paraId="5EA5B22F" w14:textId="77777777" w:rsidR="003674F0" w:rsidRPr="007333CF" w:rsidRDefault="003674F0" w:rsidP="003674F0">
      <w:pPr>
        <w:pStyle w:val="FootnoteText"/>
        <w:rPr>
          <w:szCs w:val="18"/>
        </w:rPr>
      </w:pPr>
      <w:r w:rsidRPr="007333CF">
        <w:rPr>
          <w:rStyle w:val="FootnoteReference"/>
          <w:szCs w:val="18"/>
        </w:rPr>
        <w:footnoteRef/>
      </w:r>
      <w:r w:rsidRPr="007333CF">
        <w:rPr>
          <w:szCs w:val="18"/>
        </w:rPr>
        <w:t xml:space="preserve"> </w:t>
      </w:r>
      <w:hyperlink r:id="rId77" w:history="1">
        <w:r w:rsidRPr="007333CF">
          <w:rPr>
            <w:rStyle w:val="Hyperlink"/>
            <w:szCs w:val="18"/>
          </w:rPr>
          <w:t>WorkSafe WA</w:t>
        </w:r>
      </w:hyperlink>
      <w:r w:rsidRPr="007333CF">
        <w:rPr>
          <w:szCs w:val="18"/>
        </w:rPr>
        <w:t>, Submission, p 7; WorkSafe ACT, Consultation, September 2025, WorkSafe Victoria, Consultation, September 2025.</w:t>
      </w:r>
    </w:p>
  </w:footnote>
  <w:footnote w:id="79">
    <w:p w14:paraId="15B190DD" w14:textId="77777777" w:rsidR="003674F0" w:rsidRPr="007333CF" w:rsidRDefault="003674F0" w:rsidP="003674F0">
      <w:pPr>
        <w:pStyle w:val="FootnoteText"/>
        <w:rPr>
          <w:szCs w:val="18"/>
        </w:rPr>
      </w:pPr>
      <w:r w:rsidRPr="007333CF">
        <w:rPr>
          <w:rStyle w:val="FootnoteReference"/>
          <w:szCs w:val="18"/>
        </w:rPr>
        <w:footnoteRef/>
      </w:r>
      <w:r w:rsidRPr="007333CF">
        <w:rPr>
          <w:szCs w:val="18"/>
        </w:rPr>
        <w:t xml:space="preserve"> </w:t>
      </w:r>
      <w:hyperlink r:id="rId78" w:history="1">
        <w:r w:rsidRPr="007333CF">
          <w:rPr>
            <w:rStyle w:val="Hyperlink"/>
            <w:szCs w:val="18"/>
          </w:rPr>
          <w:t>ACTU</w:t>
        </w:r>
      </w:hyperlink>
      <w:r w:rsidRPr="007333CF">
        <w:rPr>
          <w:szCs w:val="18"/>
        </w:rPr>
        <w:t>, Submission, p 11.</w:t>
      </w:r>
    </w:p>
  </w:footnote>
  <w:footnote w:id="80">
    <w:p w14:paraId="580F3551" w14:textId="77777777" w:rsidR="003674F0" w:rsidRPr="00D97023" w:rsidRDefault="003674F0" w:rsidP="003674F0">
      <w:pPr>
        <w:pStyle w:val="FootnoteText"/>
        <w:rPr>
          <w:szCs w:val="18"/>
        </w:rPr>
      </w:pPr>
      <w:r w:rsidRPr="007333CF">
        <w:rPr>
          <w:rStyle w:val="FootnoteReference"/>
          <w:szCs w:val="18"/>
        </w:rPr>
        <w:footnoteRef/>
      </w:r>
      <w:r w:rsidRPr="007333CF">
        <w:rPr>
          <w:szCs w:val="18"/>
        </w:rPr>
        <w:t xml:space="preserve"> </w:t>
      </w:r>
      <w:hyperlink r:id="rId79" w:history="1">
        <w:r w:rsidRPr="0067680D">
          <w:rPr>
            <w:rStyle w:val="Hyperlink"/>
            <w:szCs w:val="18"/>
          </w:rPr>
          <w:t>ACFA</w:t>
        </w:r>
      </w:hyperlink>
      <w:r w:rsidRPr="007333CF">
        <w:rPr>
          <w:szCs w:val="18"/>
        </w:rPr>
        <w:t>, Submission, p 5.</w:t>
      </w:r>
    </w:p>
  </w:footnote>
  <w:footnote w:id="81">
    <w:p w14:paraId="5A7D45C2" w14:textId="77777777" w:rsidR="00E57D02" w:rsidRPr="007333CF" w:rsidRDefault="00E57D02" w:rsidP="00E57D02">
      <w:pPr>
        <w:pStyle w:val="FootnoteText"/>
        <w:rPr>
          <w:szCs w:val="18"/>
        </w:rPr>
      </w:pPr>
      <w:r w:rsidRPr="007333CF">
        <w:rPr>
          <w:rStyle w:val="FootnoteReference"/>
        </w:rPr>
        <w:footnoteRef/>
      </w:r>
      <w:r w:rsidRPr="007333CF">
        <w:rPr>
          <w:szCs w:val="18"/>
        </w:rPr>
        <w:t xml:space="preserve"> The issues arising from co</w:t>
      </w:r>
      <w:r w:rsidRPr="007333CF">
        <w:rPr>
          <w:szCs w:val="18"/>
        </w:rPr>
        <w:noBreakHyphen/>
        <w:t>regulated workplaces are discussed further in Chapter 1.</w:t>
      </w:r>
      <w:r>
        <w:rPr>
          <w:szCs w:val="18"/>
        </w:rPr>
        <w:t>5</w:t>
      </w:r>
      <w:r w:rsidRPr="007333CF">
        <w:rPr>
          <w:szCs w:val="18"/>
        </w:rPr>
        <w:t xml:space="preserve"> – Overlapping safety frameworks.</w:t>
      </w:r>
    </w:p>
  </w:footnote>
  <w:footnote w:id="82">
    <w:p w14:paraId="1AE6D2BC" w14:textId="77777777" w:rsidR="00B769A5" w:rsidRPr="007333CF" w:rsidRDefault="00B769A5" w:rsidP="00B769A5">
      <w:pPr>
        <w:pStyle w:val="FootnoteText"/>
      </w:pPr>
      <w:r w:rsidRPr="007333CF">
        <w:rPr>
          <w:szCs w:val="18"/>
          <w:vertAlign w:val="superscript"/>
        </w:rPr>
        <w:footnoteRef/>
      </w:r>
      <w:r w:rsidRPr="007333CF">
        <w:rPr>
          <w:szCs w:val="18"/>
          <w:vertAlign w:val="superscript"/>
        </w:rPr>
        <w:t xml:space="preserve"> </w:t>
      </w:r>
      <w:r w:rsidRPr="007333CF">
        <w:rPr>
          <w:szCs w:val="18"/>
        </w:rPr>
        <w:t>Family and</w:t>
      </w:r>
      <w:r w:rsidRPr="007333CF">
        <w:t xml:space="preserve"> Injured Workers Support and Advisory Group (NSW), Consultation, November 2025; Families and Injured Workers Advisory Committee (Cth), Consultation, November 2025; Affected Families and Workers Advisory Committee (WA), Consultation December 2025; Workplace Incident Consultative Committee (Vic), Consultation, December 2025; Consultative Committee for Work-Related Fatalities and Serious Incidents (Qld), Consultation, February 2026.</w:t>
      </w:r>
    </w:p>
  </w:footnote>
  <w:footnote w:id="83">
    <w:p w14:paraId="242F4054" w14:textId="77777777" w:rsidR="00B769A5" w:rsidRPr="007333CF" w:rsidRDefault="00B769A5" w:rsidP="00B769A5">
      <w:pPr>
        <w:pStyle w:val="FootnoteText"/>
      </w:pPr>
      <w:r w:rsidRPr="007333CF">
        <w:rPr>
          <w:rStyle w:val="FootnoteReference"/>
          <w:szCs w:val="18"/>
        </w:rPr>
        <w:footnoteRef/>
      </w:r>
      <w:r w:rsidRPr="007333CF">
        <w:rPr>
          <w:szCs w:val="18"/>
        </w:rPr>
        <w:t xml:space="preserve"> </w:t>
      </w:r>
      <w:hyperlink r:id="rId80" w:history="1">
        <w:r w:rsidRPr="007333CF">
          <w:rPr>
            <w:rStyle w:val="Hyperlink"/>
            <w:szCs w:val="18"/>
          </w:rPr>
          <w:t>MCA</w:t>
        </w:r>
      </w:hyperlink>
      <w:r w:rsidRPr="007333CF">
        <w:rPr>
          <w:szCs w:val="18"/>
        </w:rPr>
        <w:t>, Submission, p 3.</w:t>
      </w:r>
    </w:p>
  </w:footnote>
  <w:footnote w:id="84">
    <w:p w14:paraId="43C39BAD" w14:textId="77777777" w:rsidR="00B769A5" w:rsidRPr="007333CF" w:rsidRDefault="00B769A5" w:rsidP="00B769A5">
      <w:pPr>
        <w:pStyle w:val="FootnoteText"/>
        <w:rPr>
          <w:szCs w:val="18"/>
        </w:rPr>
      </w:pPr>
      <w:r w:rsidRPr="007333CF">
        <w:rPr>
          <w:rStyle w:val="FootnoteReference"/>
          <w:szCs w:val="18"/>
        </w:rPr>
        <w:footnoteRef/>
      </w:r>
      <w:r w:rsidRPr="007333CF">
        <w:rPr>
          <w:szCs w:val="18"/>
        </w:rPr>
        <w:t xml:space="preserve"> </w:t>
      </w:r>
      <w:hyperlink r:id="rId81" w:history="1">
        <w:r w:rsidRPr="007333CF">
          <w:rPr>
            <w:rStyle w:val="Hyperlink"/>
            <w:szCs w:val="18"/>
          </w:rPr>
          <w:t>CSA</w:t>
        </w:r>
      </w:hyperlink>
      <w:r w:rsidRPr="007333CF">
        <w:rPr>
          <w:szCs w:val="18"/>
        </w:rPr>
        <w:t>, Submission, p 5.</w:t>
      </w:r>
    </w:p>
  </w:footnote>
  <w:footnote w:id="85">
    <w:p w14:paraId="4238086D" w14:textId="77777777" w:rsidR="00B769A5" w:rsidRPr="007333CF" w:rsidRDefault="00B769A5" w:rsidP="00B769A5">
      <w:pPr>
        <w:pStyle w:val="FootnoteText"/>
        <w:rPr>
          <w:szCs w:val="18"/>
        </w:rPr>
      </w:pPr>
      <w:r w:rsidRPr="007333CF">
        <w:rPr>
          <w:rStyle w:val="FootnoteReference"/>
          <w:szCs w:val="18"/>
        </w:rPr>
        <w:footnoteRef/>
      </w:r>
      <w:r w:rsidRPr="007333CF">
        <w:rPr>
          <w:szCs w:val="18"/>
        </w:rPr>
        <w:t xml:space="preserve"> </w:t>
      </w:r>
      <w:hyperlink r:id="rId82" w:history="1">
        <w:r w:rsidRPr="007333CF">
          <w:rPr>
            <w:rStyle w:val="Hyperlink"/>
            <w:szCs w:val="18"/>
          </w:rPr>
          <w:t>NFF</w:t>
        </w:r>
      </w:hyperlink>
      <w:r w:rsidRPr="007333CF">
        <w:rPr>
          <w:szCs w:val="18"/>
        </w:rPr>
        <w:t>, Submission, p 7.</w:t>
      </w:r>
    </w:p>
  </w:footnote>
  <w:footnote w:id="86">
    <w:p w14:paraId="7AA8097F" w14:textId="77777777" w:rsidR="00B769A5" w:rsidRPr="007333CF" w:rsidRDefault="00B769A5" w:rsidP="00B769A5">
      <w:pPr>
        <w:pStyle w:val="FootnoteText"/>
        <w:rPr>
          <w:szCs w:val="18"/>
        </w:rPr>
      </w:pPr>
      <w:r w:rsidRPr="007333CF">
        <w:rPr>
          <w:rStyle w:val="FootnoteReference"/>
          <w:szCs w:val="18"/>
        </w:rPr>
        <w:footnoteRef/>
      </w:r>
      <w:r w:rsidRPr="007333CF">
        <w:rPr>
          <w:szCs w:val="18"/>
        </w:rPr>
        <w:t xml:space="preserve"> </w:t>
      </w:r>
      <w:hyperlink r:id="rId83" w:history="1">
        <w:r w:rsidRPr="007333CF">
          <w:rPr>
            <w:rStyle w:val="Hyperlink"/>
            <w:szCs w:val="18"/>
          </w:rPr>
          <w:t>Water Services Association of Australia</w:t>
        </w:r>
      </w:hyperlink>
      <w:r w:rsidRPr="007333CF">
        <w:rPr>
          <w:szCs w:val="18"/>
        </w:rPr>
        <w:t>, Submission, p 5.</w:t>
      </w:r>
    </w:p>
  </w:footnote>
  <w:footnote w:id="87">
    <w:p w14:paraId="77B7DF04" w14:textId="77777777" w:rsidR="00696293" w:rsidRPr="007333CF" w:rsidRDefault="00696293" w:rsidP="00696293">
      <w:pPr>
        <w:pStyle w:val="FootnoteText"/>
      </w:pPr>
      <w:r w:rsidRPr="007333CF">
        <w:rPr>
          <w:rStyle w:val="FootnoteReference"/>
        </w:rPr>
        <w:footnoteRef/>
      </w:r>
      <w:r w:rsidRPr="007333CF">
        <w:t xml:space="preserve"> Safe Work Australia, </w:t>
      </w:r>
      <w:hyperlink r:id="rId84" w:history="1">
        <w:r w:rsidRPr="007333CF">
          <w:rPr>
            <w:rStyle w:val="Hyperlink"/>
            <w:i/>
            <w:iCs/>
          </w:rPr>
          <w:t>Australian Work Health and Safety (WHS) Strategy 2023</w:t>
        </w:r>
        <w:r>
          <w:rPr>
            <w:rStyle w:val="Hyperlink"/>
            <w:i/>
            <w:iCs/>
          </w:rPr>
          <w:t>–</w:t>
        </w:r>
        <w:r w:rsidRPr="007333CF">
          <w:rPr>
            <w:rStyle w:val="Hyperlink"/>
            <w:i/>
            <w:iCs/>
          </w:rPr>
          <w:t>2033</w:t>
        </w:r>
      </w:hyperlink>
      <w:r w:rsidRPr="007333CF">
        <w:t xml:space="preserve">, </w:t>
      </w:r>
      <w:r>
        <w:t xml:space="preserve">Safe Work Australia, </w:t>
      </w:r>
      <w:r w:rsidRPr="007333CF">
        <w:t>2023, p 12.</w:t>
      </w:r>
    </w:p>
  </w:footnote>
  <w:footnote w:id="88">
    <w:p w14:paraId="63F3A68B" w14:textId="025B14A5" w:rsidR="00696293" w:rsidRPr="007333CF" w:rsidRDefault="00696293" w:rsidP="00696293">
      <w:pPr>
        <w:pStyle w:val="FootnoteText"/>
        <w:rPr>
          <w:rFonts w:cs="Arial"/>
          <w:szCs w:val="18"/>
        </w:rPr>
      </w:pPr>
      <w:r w:rsidRPr="007333CF">
        <w:rPr>
          <w:rStyle w:val="FootnoteReference"/>
          <w:rFonts w:cs="Arial"/>
          <w:szCs w:val="18"/>
        </w:rPr>
        <w:footnoteRef/>
      </w:r>
      <w:r w:rsidRPr="007333CF">
        <w:rPr>
          <w:rFonts w:cs="Arial"/>
          <w:szCs w:val="18"/>
        </w:rPr>
        <w:t xml:space="preserve"> Safe Work Australia, </w:t>
      </w:r>
      <w:hyperlink r:id="rId85" w:history="1">
        <w:r w:rsidRPr="007333CF">
          <w:rPr>
            <w:rStyle w:val="Hyperlink"/>
            <w:rFonts w:cs="Arial"/>
            <w:i/>
            <w:szCs w:val="18"/>
          </w:rPr>
          <w:t xml:space="preserve">Key </w:t>
        </w:r>
        <w:r w:rsidR="00C16287">
          <w:rPr>
            <w:rStyle w:val="Hyperlink"/>
            <w:rFonts w:cs="Arial"/>
            <w:i/>
            <w:szCs w:val="18"/>
          </w:rPr>
          <w:t>w</w:t>
        </w:r>
        <w:r w:rsidRPr="007333CF">
          <w:rPr>
            <w:rStyle w:val="Hyperlink"/>
            <w:rFonts w:cs="Arial"/>
            <w:i/>
            <w:szCs w:val="18"/>
          </w:rPr>
          <w:t xml:space="preserve">ork </w:t>
        </w:r>
        <w:r w:rsidR="00C16287">
          <w:rPr>
            <w:rStyle w:val="Hyperlink"/>
            <w:rFonts w:cs="Arial"/>
            <w:i/>
            <w:szCs w:val="18"/>
          </w:rPr>
          <w:t>h</w:t>
        </w:r>
        <w:r w:rsidRPr="007333CF">
          <w:rPr>
            <w:rStyle w:val="Hyperlink"/>
            <w:rFonts w:cs="Arial"/>
            <w:i/>
            <w:szCs w:val="18"/>
          </w:rPr>
          <w:t xml:space="preserve">ealth and </w:t>
        </w:r>
        <w:r w:rsidR="00C16287">
          <w:rPr>
            <w:rStyle w:val="Hyperlink"/>
            <w:rFonts w:cs="Arial"/>
            <w:i/>
            <w:szCs w:val="18"/>
          </w:rPr>
          <w:t>s</w:t>
        </w:r>
        <w:r w:rsidRPr="007333CF">
          <w:rPr>
            <w:rStyle w:val="Hyperlink"/>
            <w:rFonts w:cs="Arial"/>
            <w:i/>
            <w:szCs w:val="18"/>
          </w:rPr>
          <w:t xml:space="preserve">afety </w:t>
        </w:r>
        <w:r w:rsidR="00C16287">
          <w:rPr>
            <w:rStyle w:val="Hyperlink"/>
            <w:rFonts w:cs="Arial"/>
            <w:i/>
            <w:szCs w:val="18"/>
          </w:rPr>
          <w:t>s</w:t>
        </w:r>
        <w:r w:rsidRPr="007333CF">
          <w:rPr>
            <w:rStyle w:val="Hyperlink"/>
            <w:rFonts w:cs="Arial"/>
            <w:i/>
            <w:szCs w:val="18"/>
          </w:rPr>
          <w:t>tatistics Australia</w:t>
        </w:r>
      </w:hyperlink>
      <w:r w:rsidRPr="007333CF">
        <w:rPr>
          <w:rFonts w:cs="Arial"/>
          <w:szCs w:val="18"/>
        </w:rPr>
        <w:t xml:space="preserve">, </w:t>
      </w:r>
      <w:r>
        <w:rPr>
          <w:rFonts w:cs="Arial"/>
          <w:szCs w:val="18"/>
        </w:rPr>
        <w:t xml:space="preserve">Insights, Safe Work Australia, </w:t>
      </w:r>
      <w:r w:rsidRPr="007333CF">
        <w:rPr>
          <w:rFonts w:cs="Arial"/>
          <w:szCs w:val="18"/>
        </w:rPr>
        <w:t>October 2025, accessed 13 May 2026.</w:t>
      </w:r>
    </w:p>
  </w:footnote>
  <w:footnote w:id="89">
    <w:p w14:paraId="154919B6" w14:textId="77777777" w:rsidR="00696293" w:rsidRPr="007333CF" w:rsidRDefault="00696293" w:rsidP="00696293">
      <w:pPr>
        <w:pStyle w:val="FootnoteText"/>
      </w:pPr>
      <w:r w:rsidRPr="007333CF">
        <w:rPr>
          <w:rStyle w:val="FootnoteReference"/>
          <w:szCs w:val="18"/>
        </w:rPr>
        <w:footnoteRef/>
      </w:r>
      <w:r w:rsidRPr="007333CF">
        <w:rPr>
          <w:szCs w:val="18"/>
        </w:rPr>
        <w:t xml:space="preserve"> T </w:t>
      </w:r>
      <w:r w:rsidRPr="007333CF">
        <w:rPr>
          <w:rFonts w:cs="Arial"/>
          <w:szCs w:val="18"/>
        </w:rPr>
        <w:t xml:space="preserve">Lyons, </w:t>
      </w:r>
      <w:hyperlink r:id="rId86" w:history="1">
        <w:r w:rsidRPr="007333CF">
          <w:rPr>
            <w:rStyle w:val="Hyperlink"/>
            <w:rFonts w:cs="Arial"/>
            <w:i/>
            <w:szCs w:val="18"/>
          </w:rPr>
          <w:t xml:space="preserve">Best </w:t>
        </w:r>
        <w:r>
          <w:rPr>
            <w:rStyle w:val="Hyperlink"/>
            <w:rFonts w:cs="Arial"/>
            <w:i/>
            <w:szCs w:val="18"/>
          </w:rPr>
          <w:t>P</w:t>
        </w:r>
        <w:r w:rsidRPr="007333CF">
          <w:rPr>
            <w:rStyle w:val="Hyperlink"/>
            <w:rFonts w:cs="Arial"/>
            <w:i/>
            <w:szCs w:val="18"/>
          </w:rPr>
          <w:t xml:space="preserve">ractice </w:t>
        </w:r>
        <w:r w:rsidRPr="007333CF" w:rsidDel="00EF24AA">
          <w:rPr>
            <w:rStyle w:val="Hyperlink"/>
            <w:rFonts w:cs="Arial"/>
            <w:i/>
            <w:szCs w:val="18"/>
          </w:rPr>
          <w:t>R</w:t>
        </w:r>
        <w:r w:rsidRPr="007333CF">
          <w:rPr>
            <w:rStyle w:val="Hyperlink"/>
            <w:rFonts w:cs="Arial"/>
            <w:i/>
            <w:szCs w:val="18"/>
          </w:rPr>
          <w:t xml:space="preserve">eview of </w:t>
        </w:r>
        <w:r>
          <w:rPr>
            <w:rStyle w:val="Hyperlink"/>
            <w:rFonts w:cs="Arial"/>
            <w:i/>
            <w:szCs w:val="18"/>
          </w:rPr>
          <w:t>W</w:t>
        </w:r>
        <w:r w:rsidRPr="007333CF">
          <w:rPr>
            <w:rStyle w:val="Hyperlink"/>
            <w:rFonts w:cs="Arial"/>
            <w:i/>
            <w:szCs w:val="18"/>
          </w:rPr>
          <w:t xml:space="preserve">orkplace </w:t>
        </w:r>
        <w:r w:rsidRPr="007333CF" w:rsidDel="00EF24AA">
          <w:rPr>
            <w:rStyle w:val="Hyperlink"/>
            <w:rFonts w:cs="Arial"/>
            <w:i/>
            <w:szCs w:val="18"/>
          </w:rPr>
          <w:t>H</w:t>
        </w:r>
        <w:r w:rsidRPr="007333CF">
          <w:rPr>
            <w:rStyle w:val="Hyperlink"/>
            <w:rFonts w:cs="Arial"/>
            <w:i/>
            <w:szCs w:val="18"/>
          </w:rPr>
          <w:t xml:space="preserve">ealth and </w:t>
        </w:r>
        <w:r w:rsidRPr="007333CF" w:rsidDel="00EF24AA">
          <w:rPr>
            <w:rStyle w:val="Hyperlink"/>
            <w:rFonts w:cs="Arial"/>
            <w:i/>
            <w:szCs w:val="18"/>
          </w:rPr>
          <w:t>S</w:t>
        </w:r>
        <w:r w:rsidRPr="007333CF">
          <w:rPr>
            <w:rStyle w:val="Hyperlink"/>
            <w:rFonts w:cs="Arial"/>
            <w:i/>
            <w:szCs w:val="18"/>
          </w:rPr>
          <w:t xml:space="preserve">afety in the Northern Territory: </w:t>
        </w:r>
        <w:r>
          <w:rPr>
            <w:rStyle w:val="Hyperlink"/>
            <w:rFonts w:cs="Arial"/>
            <w:i/>
            <w:szCs w:val="18"/>
          </w:rPr>
          <w:t>f</w:t>
        </w:r>
        <w:r w:rsidRPr="007333CF">
          <w:rPr>
            <w:rStyle w:val="Hyperlink"/>
            <w:rFonts w:cs="Arial"/>
            <w:i/>
            <w:szCs w:val="18"/>
          </w:rPr>
          <w:t xml:space="preserve">inal </w:t>
        </w:r>
        <w:r>
          <w:rPr>
            <w:rStyle w:val="Hyperlink"/>
            <w:rFonts w:cs="Arial"/>
            <w:i/>
            <w:szCs w:val="18"/>
          </w:rPr>
          <w:t>r</w:t>
        </w:r>
        <w:r w:rsidRPr="007333CF">
          <w:rPr>
            <w:rStyle w:val="Hyperlink"/>
            <w:rFonts w:cs="Arial"/>
            <w:i/>
            <w:szCs w:val="18"/>
          </w:rPr>
          <w:t>eport</w:t>
        </w:r>
      </w:hyperlink>
      <w:r w:rsidRPr="007333CF">
        <w:rPr>
          <w:rFonts w:cs="Arial"/>
          <w:szCs w:val="18"/>
        </w:rPr>
        <w:t>, NT Government, 2019, pp</w:t>
      </w:r>
      <w:r>
        <w:rPr>
          <w:rFonts w:cs="Arial"/>
          <w:szCs w:val="18"/>
        </w:rPr>
        <w:t> </w:t>
      </w:r>
      <w:r w:rsidRPr="007333CF">
        <w:rPr>
          <w:rFonts w:cs="Arial"/>
          <w:szCs w:val="18"/>
        </w:rPr>
        <w:t>48–49.</w:t>
      </w:r>
    </w:p>
  </w:footnote>
  <w:footnote w:id="90">
    <w:p w14:paraId="0363E0E3" w14:textId="45E5E807" w:rsidR="00DA639D" w:rsidRPr="007333CF" w:rsidRDefault="00DA639D" w:rsidP="00DA639D">
      <w:pPr>
        <w:pStyle w:val="FootnoteText"/>
        <w:rPr>
          <w:rFonts w:cs="Arial"/>
          <w:szCs w:val="18"/>
        </w:rPr>
      </w:pPr>
      <w:r w:rsidRPr="007333CF">
        <w:rPr>
          <w:rStyle w:val="FootnoteReference"/>
          <w:rFonts w:cs="Arial"/>
          <w:szCs w:val="18"/>
        </w:rPr>
        <w:footnoteRef/>
      </w:r>
      <w:r w:rsidRPr="007333CF">
        <w:rPr>
          <w:rFonts w:cs="Arial"/>
          <w:szCs w:val="18"/>
        </w:rPr>
        <w:t xml:space="preserve"> For example, in NSW mining is regulated through both its WHS Act and its </w:t>
      </w:r>
      <w:r w:rsidRPr="007333CF">
        <w:rPr>
          <w:i/>
          <w:szCs w:val="18"/>
        </w:rPr>
        <w:t>Work Health and Safety (Mines and Petroleum Sites) Act 2013</w:t>
      </w:r>
      <w:r w:rsidRPr="007333CF">
        <w:rPr>
          <w:rFonts w:cs="Arial"/>
          <w:i/>
          <w:szCs w:val="18"/>
        </w:rPr>
        <w:t xml:space="preserve"> </w:t>
      </w:r>
      <w:r>
        <w:rPr>
          <w:rFonts w:cs="Arial"/>
          <w:iCs/>
          <w:szCs w:val="18"/>
        </w:rPr>
        <w:t xml:space="preserve">(NSW) </w:t>
      </w:r>
      <w:r w:rsidRPr="007333CF">
        <w:rPr>
          <w:rFonts w:cs="Arial"/>
          <w:szCs w:val="18"/>
        </w:rPr>
        <w:t>– the latter and its regulations are to be interpreted as if they formed part of the WHS Act and Regulations.</w:t>
      </w:r>
    </w:p>
  </w:footnote>
  <w:footnote w:id="91">
    <w:p w14:paraId="29B7213C" w14:textId="544052D9" w:rsidR="00DA639D" w:rsidRPr="007333CF" w:rsidRDefault="00DA639D" w:rsidP="00DA639D">
      <w:pPr>
        <w:pStyle w:val="FootnoteText"/>
        <w:rPr>
          <w:rFonts w:cs="Arial"/>
          <w:szCs w:val="18"/>
        </w:rPr>
      </w:pPr>
      <w:r w:rsidRPr="007333CF">
        <w:rPr>
          <w:rStyle w:val="FootnoteReference"/>
          <w:rFonts w:cs="Arial"/>
          <w:szCs w:val="18"/>
        </w:rPr>
        <w:footnoteRef/>
      </w:r>
      <w:r w:rsidRPr="007333CF">
        <w:rPr>
          <w:rFonts w:cs="Arial"/>
          <w:szCs w:val="18"/>
        </w:rPr>
        <w:t xml:space="preserve"> For example, </w:t>
      </w:r>
      <w:r>
        <w:rPr>
          <w:rFonts w:cs="Arial"/>
          <w:szCs w:val="18"/>
        </w:rPr>
        <w:t xml:space="preserve">Queensland </w:t>
      </w:r>
      <w:r w:rsidRPr="007333CF">
        <w:rPr>
          <w:rFonts w:cs="Arial"/>
          <w:szCs w:val="18"/>
        </w:rPr>
        <w:t xml:space="preserve">maintains separate legislation for electrical safety under </w:t>
      </w:r>
      <w:r w:rsidRPr="007333CF">
        <w:rPr>
          <w:rFonts w:cs="Arial"/>
          <w:i/>
          <w:szCs w:val="18"/>
        </w:rPr>
        <w:t>the Electrical Safety Act 2002</w:t>
      </w:r>
      <w:r w:rsidRPr="007333CF">
        <w:rPr>
          <w:rFonts w:cs="Arial"/>
          <w:szCs w:val="18"/>
        </w:rPr>
        <w:t xml:space="preserve"> (Qld) and has a range of industry</w:t>
      </w:r>
      <w:r>
        <w:rPr>
          <w:rFonts w:cs="Arial"/>
          <w:szCs w:val="18"/>
        </w:rPr>
        <w:t>-</w:t>
      </w:r>
      <w:r w:rsidRPr="007333CF">
        <w:rPr>
          <w:rFonts w:cs="Arial"/>
          <w:szCs w:val="18"/>
        </w:rPr>
        <w:t>specific overlapping safety frameworks covering dangerous goods, and mining, some of which apply to the exclusion of the Qld WHS Act</w:t>
      </w:r>
      <w:r>
        <w:rPr>
          <w:rFonts w:cs="Arial"/>
          <w:szCs w:val="18"/>
        </w:rPr>
        <w:t>:</w:t>
      </w:r>
      <w:r w:rsidRPr="007333CF">
        <w:rPr>
          <w:rFonts w:cs="Arial"/>
          <w:szCs w:val="18"/>
        </w:rPr>
        <w:t xml:space="preserve"> see Sch 1</w:t>
      </w:r>
      <w:r>
        <w:rPr>
          <w:rFonts w:cs="Arial"/>
          <w:szCs w:val="18"/>
        </w:rPr>
        <w:t>,</w:t>
      </w:r>
      <w:r w:rsidRPr="007333CF">
        <w:rPr>
          <w:rFonts w:cs="Arial"/>
          <w:szCs w:val="18"/>
        </w:rPr>
        <w:t xml:space="preserve"> Pt 2.</w:t>
      </w:r>
    </w:p>
  </w:footnote>
  <w:footnote w:id="92">
    <w:p w14:paraId="7182BA2F" w14:textId="4336F8FF" w:rsidR="00DA639D" w:rsidRPr="007333CF" w:rsidRDefault="00DA639D" w:rsidP="00DA639D">
      <w:pPr>
        <w:pStyle w:val="FootnoteText"/>
        <w:rPr>
          <w:rFonts w:cs="Arial"/>
          <w:szCs w:val="18"/>
        </w:rPr>
      </w:pPr>
      <w:r w:rsidRPr="007333CF">
        <w:rPr>
          <w:rStyle w:val="FootnoteReference"/>
          <w:rFonts w:cs="Arial"/>
          <w:szCs w:val="18"/>
        </w:rPr>
        <w:footnoteRef/>
      </w:r>
      <w:r w:rsidRPr="007333CF">
        <w:rPr>
          <w:rFonts w:cs="Arial"/>
          <w:szCs w:val="18"/>
        </w:rPr>
        <w:t xml:space="preserve"> </w:t>
      </w:r>
      <w:hyperlink r:id="rId87" w:history="1">
        <w:r w:rsidRPr="007333CF">
          <w:rPr>
            <w:rStyle w:val="Hyperlink"/>
            <w:rFonts w:cs="Arial"/>
            <w:szCs w:val="18"/>
          </w:rPr>
          <w:t>Model Act on the Transport of Dangerous Goods by Road or Rail</w:t>
        </w:r>
      </w:hyperlink>
      <w:r w:rsidRPr="007333CF">
        <w:rPr>
          <w:rFonts w:cs="Arial"/>
          <w:szCs w:val="18"/>
        </w:rPr>
        <w:t xml:space="preserve">. The </w:t>
      </w:r>
      <w:hyperlink r:id="rId88" w:history="1">
        <w:r w:rsidRPr="007333CF">
          <w:rPr>
            <w:rStyle w:val="Hyperlink"/>
            <w:rFonts w:cs="Arial"/>
            <w:szCs w:val="18"/>
          </w:rPr>
          <w:t>Heavy Vehicle National Law</w:t>
        </w:r>
      </w:hyperlink>
      <w:r w:rsidRPr="007333CF">
        <w:rPr>
          <w:rFonts w:cs="Arial"/>
          <w:szCs w:val="18"/>
        </w:rPr>
        <w:t xml:space="preserve"> and </w:t>
      </w:r>
      <w:hyperlink r:id="rId89" w:history="1">
        <w:r w:rsidRPr="007333CF">
          <w:rPr>
            <w:rStyle w:val="Hyperlink"/>
            <w:rFonts w:cs="Arial"/>
            <w:szCs w:val="18"/>
          </w:rPr>
          <w:t>Rail Safety National Law</w:t>
        </w:r>
      </w:hyperlink>
      <w:r w:rsidRPr="007333CF">
        <w:rPr>
          <w:rFonts w:cs="Arial"/>
          <w:szCs w:val="18"/>
        </w:rPr>
        <w:t xml:space="preserve"> are implemented in participating jurisdictions as mirror legislation.</w:t>
      </w:r>
    </w:p>
  </w:footnote>
  <w:footnote w:id="93">
    <w:p w14:paraId="3F2D908A" w14:textId="44DDC2A8" w:rsidR="00DA639D" w:rsidRPr="007333CF" w:rsidRDefault="00DA639D" w:rsidP="00DA639D">
      <w:pPr>
        <w:pStyle w:val="FootnoteText"/>
        <w:rPr>
          <w:rFonts w:cs="Arial"/>
          <w:szCs w:val="18"/>
        </w:rPr>
      </w:pPr>
      <w:r w:rsidRPr="007333CF">
        <w:rPr>
          <w:rStyle w:val="FootnoteReference"/>
          <w:rFonts w:cs="Arial"/>
          <w:szCs w:val="18"/>
        </w:rPr>
        <w:footnoteRef/>
      </w:r>
      <w:r w:rsidRPr="007333CF">
        <w:rPr>
          <w:rFonts w:cs="Arial"/>
          <w:szCs w:val="18"/>
        </w:rPr>
        <w:t xml:space="preserve"> For example, the </w:t>
      </w:r>
      <w:r w:rsidR="00C16287" w:rsidRPr="00C16287">
        <w:rPr>
          <w:rFonts w:cs="Arial"/>
          <w:szCs w:val="18"/>
        </w:rPr>
        <w:t xml:space="preserve">Offshore Petroleum and Greenhouse Gas Storage Act 2006 </w:t>
      </w:r>
      <w:r w:rsidR="00C16287">
        <w:rPr>
          <w:rFonts w:cs="Arial"/>
          <w:szCs w:val="18"/>
        </w:rPr>
        <w:t>(</w:t>
      </w:r>
      <w:r w:rsidRPr="00041FE5">
        <w:rPr>
          <w:rFonts w:cs="Arial"/>
          <w:szCs w:val="18"/>
        </w:rPr>
        <w:t>OPGGS</w:t>
      </w:r>
      <w:r w:rsidR="00C16287">
        <w:rPr>
          <w:rFonts w:cs="Arial"/>
          <w:szCs w:val="18"/>
        </w:rPr>
        <w:t>)</w:t>
      </w:r>
      <w:r w:rsidRPr="00041FE5">
        <w:rPr>
          <w:rFonts w:cs="Arial"/>
          <w:szCs w:val="18"/>
        </w:rPr>
        <w:t xml:space="preserve"> Safety Regulations 2024</w:t>
      </w:r>
      <w:r w:rsidRPr="00465C4C">
        <w:rPr>
          <w:rFonts w:cs="Arial"/>
          <w:szCs w:val="18"/>
        </w:rPr>
        <w:t xml:space="preserve"> </w:t>
      </w:r>
      <w:r w:rsidRPr="007333CF">
        <w:rPr>
          <w:rFonts w:cs="Arial"/>
          <w:szCs w:val="18"/>
        </w:rPr>
        <w:t xml:space="preserve">(Cth) </w:t>
      </w:r>
      <w:r>
        <w:rPr>
          <w:rFonts w:cs="Arial"/>
          <w:szCs w:val="18"/>
        </w:rPr>
        <w:t>replaced</w:t>
      </w:r>
      <w:r w:rsidRPr="007333CF">
        <w:rPr>
          <w:rFonts w:cs="Arial"/>
          <w:szCs w:val="18"/>
        </w:rPr>
        <w:t xml:space="preserve"> the </w:t>
      </w:r>
      <w:r>
        <w:rPr>
          <w:rFonts w:cs="Arial"/>
          <w:szCs w:val="18"/>
        </w:rPr>
        <w:t>2009</w:t>
      </w:r>
      <w:r w:rsidRPr="007333CF">
        <w:rPr>
          <w:rFonts w:cs="Arial"/>
          <w:szCs w:val="18"/>
        </w:rPr>
        <w:t xml:space="preserve"> Regulations to more closely align with some elements with the </w:t>
      </w:r>
      <w:r w:rsidR="003F6A37">
        <w:rPr>
          <w:rFonts w:cs="Arial"/>
          <w:szCs w:val="18"/>
        </w:rPr>
        <w:t xml:space="preserve">Commonwealth </w:t>
      </w:r>
      <w:r w:rsidRPr="007333CF">
        <w:rPr>
          <w:rFonts w:cs="Arial"/>
          <w:szCs w:val="18"/>
        </w:rPr>
        <w:t>WHS Act.</w:t>
      </w:r>
    </w:p>
  </w:footnote>
  <w:footnote w:id="94">
    <w:p w14:paraId="69372924" w14:textId="494F48FA" w:rsidR="008F68CF" w:rsidRPr="007333CF" w:rsidRDefault="008F68CF" w:rsidP="008F68CF">
      <w:pPr>
        <w:pStyle w:val="FootnoteText"/>
        <w:rPr>
          <w:rFonts w:cs="Arial"/>
          <w:szCs w:val="18"/>
        </w:rPr>
      </w:pPr>
      <w:r w:rsidRPr="007333CF">
        <w:rPr>
          <w:rStyle w:val="FootnoteReference"/>
          <w:rFonts w:cs="Arial"/>
          <w:szCs w:val="18"/>
        </w:rPr>
        <w:footnoteRef/>
      </w:r>
      <w:r w:rsidRPr="007333CF">
        <w:rPr>
          <w:rFonts w:cs="Arial"/>
          <w:szCs w:val="18"/>
        </w:rPr>
        <w:t xml:space="preserve"> </w:t>
      </w:r>
      <w:hyperlink r:id="rId90" w:history="1">
        <w:r w:rsidRPr="007333CF">
          <w:rPr>
            <w:rStyle w:val="Hyperlink"/>
            <w:rFonts w:cs="Arial"/>
            <w:szCs w:val="18"/>
          </w:rPr>
          <w:t>Acran</w:t>
        </w:r>
        <w:r w:rsidRPr="007333CF">
          <w:rPr>
            <w:rStyle w:val="Hyperlink"/>
            <w:szCs w:val="18"/>
          </w:rPr>
          <w:t xml:space="preserve"> Sound Control</w:t>
        </w:r>
      </w:hyperlink>
      <w:r w:rsidRPr="007333CF">
        <w:rPr>
          <w:rFonts w:cs="Arial"/>
          <w:szCs w:val="18"/>
        </w:rPr>
        <w:t xml:space="preserve">, Submission, p 5; </w:t>
      </w:r>
      <w:hyperlink r:id="rId91" w:history="1">
        <w:r w:rsidRPr="007333CF">
          <w:rPr>
            <w:rStyle w:val="Hyperlink"/>
            <w:rFonts w:cs="Arial"/>
            <w:szCs w:val="18"/>
          </w:rPr>
          <w:t>MCA</w:t>
        </w:r>
      </w:hyperlink>
      <w:r w:rsidRPr="007333CF">
        <w:rPr>
          <w:rFonts w:cs="Arial"/>
          <w:szCs w:val="18"/>
        </w:rPr>
        <w:t xml:space="preserve">, Submission, p </w:t>
      </w:r>
      <w:r w:rsidRPr="007333CF">
        <w:rPr>
          <w:rFonts w:cs="Arial"/>
          <w:color w:val="000000" w:themeColor="text1"/>
          <w:szCs w:val="18"/>
        </w:rPr>
        <w:t>7</w:t>
      </w:r>
      <w:r w:rsidRPr="007333CF">
        <w:rPr>
          <w:rFonts w:cs="Arial"/>
          <w:szCs w:val="18"/>
        </w:rPr>
        <w:t>.</w:t>
      </w:r>
    </w:p>
  </w:footnote>
  <w:footnote w:id="95">
    <w:p w14:paraId="043234B4" w14:textId="77D7030B" w:rsidR="008F68CF" w:rsidRPr="007333CF" w:rsidRDefault="008F68CF" w:rsidP="008F68CF">
      <w:pPr>
        <w:pStyle w:val="FootnoteText"/>
        <w:rPr>
          <w:szCs w:val="18"/>
        </w:rPr>
      </w:pPr>
      <w:r w:rsidRPr="007333CF">
        <w:rPr>
          <w:rStyle w:val="FootnoteReference"/>
          <w:szCs w:val="18"/>
        </w:rPr>
        <w:footnoteRef/>
      </w:r>
      <w:r w:rsidRPr="007333CF">
        <w:rPr>
          <w:szCs w:val="18"/>
        </w:rPr>
        <w:t xml:space="preserve"> </w:t>
      </w:r>
      <w:hyperlink r:id="rId92" w:history="1">
        <w:r w:rsidRPr="007333CF">
          <w:rPr>
            <w:rStyle w:val="Hyperlink"/>
            <w:rFonts w:cs="Arial"/>
            <w:szCs w:val="18"/>
          </w:rPr>
          <w:t>Anonymous</w:t>
        </w:r>
      </w:hyperlink>
      <w:r w:rsidRPr="007333CF">
        <w:rPr>
          <w:szCs w:val="18"/>
        </w:rPr>
        <w:t>,</w:t>
      </w:r>
      <w:r w:rsidRPr="007333CF">
        <w:rPr>
          <w:rFonts w:cs="Arial"/>
          <w:szCs w:val="18"/>
        </w:rPr>
        <w:t xml:space="preserve"> Submission #175, p 1; </w:t>
      </w:r>
      <w:hyperlink r:id="rId93" w:history="1">
        <w:r w:rsidRPr="007333CF">
          <w:rPr>
            <w:rStyle w:val="Hyperlink"/>
            <w:rFonts w:cs="Arial"/>
            <w:szCs w:val="18"/>
          </w:rPr>
          <w:t>MCA</w:t>
        </w:r>
      </w:hyperlink>
      <w:r w:rsidRPr="007333CF">
        <w:rPr>
          <w:rFonts w:cs="Arial"/>
          <w:szCs w:val="18"/>
        </w:rPr>
        <w:t>, Submission, p 6; Private, Submission #136, p 8.</w:t>
      </w:r>
    </w:p>
  </w:footnote>
  <w:footnote w:id="96">
    <w:p w14:paraId="151CA314" w14:textId="77777777" w:rsidR="008F68CF" w:rsidRPr="007333CF" w:rsidRDefault="008F68CF" w:rsidP="008F68CF">
      <w:pPr>
        <w:pStyle w:val="FootnoteText"/>
        <w:rPr>
          <w:szCs w:val="18"/>
        </w:rPr>
      </w:pPr>
      <w:r w:rsidRPr="007333CF">
        <w:rPr>
          <w:rStyle w:val="FootnoteReference"/>
          <w:szCs w:val="18"/>
        </w:rPr>
        <w:footnoteRef/>
      </w:r>
      <w:r w:rsidRPr="007333CF">
        <w:rPr>
          <w:szCs w:val="18"/>
        </w:rPr>
        <w:t xml:space="preserve"> Private, Submission #89, p 16.</w:t>
      </w:r>
    </w:p>
  </w:footnote>
  <w:footnote w:id="97">
    <w:p w14:paraId="06A8E6E6" w14:textId="77777777" w:rsidR="008F68CF" w:rsidRPr="007333CF" w:rsidRDefault="008F68CF" w:rsidP="008F68CF">
      <w:pPr>
        <w:pStyle w:val="FootnoteText"/>
        <w:rPr>
          <w:rFonts w:cstheme="minorHAnsi"/>
          <w:szCs w:val="18"/>
        </w:rPr>
      </w:pPr>
      <w:r w:rsidRPr="007333CF">
        <w:rPr>
          <w:rStyle w:val="FootnoteReference"/>
          <w:rFonts w:cs="Arial"/>
          <w:szCs w:val="18"/>
        </w:rPr>
        <w:footnoteRef/>
      </w:r>
      <w:r w:rsidRPr="007333CF">
        <w:rPr>
          <w:rFonts w:cs="Arial"/>
          <w:szCs w:val="18"/>
        </w:rPr>
        <w:t xml:space="preserve"> </w:t>
      </w:r>
      <w:hyperlink r:id="rId94" w:history="1">
        <w:r w:rsidRPr="007333CF">
          <w:rPr>
            <w:rStyle w:val="Hyperlink"/>
            <w:rFonts w:cs="Arial"/>
            <w:szCs w:val="18"/>
          </w:rPr>
          <w:t>Maritime Union of Australia</w:t>
        </w:r>
      </w:hyperlink>
      <w:r w:rsidRPr="007333CF">
        <w:rPr>
          <w:rFonts w:cs="Arial"/>
          <w:szCs w:val="18"/>
        </w:rPr>
        <w:t xml:space="preserve">, Submission, p 11; </w:t>
      </w:r>
      <w:hyperlink r:id="rId95" w:history="1">
        <w:r w:rsidRPr="007333CF">
          <w:rPr>
            <w:rStyle w:val="Hyperlink"/>
            <w:rFonts w:cs="Arial"/>
            <w:szCs w:val="18"/>
          </w:rPr>
          <w:t>ACTU</w:t>
        </w:r>
      </w:hyperlink>
      <w:r w:rsidRPr="007333CF">
        <w:rPr>
          <w:rFonts w:cs="Arial"/>
          <w:szCs w:val="18"/>
        </w:rPr>
        <w:t xml:space="preserve">, Submission, p 12. The offshore safety regimes are provided by the </w:t>
      </w:r>
      <w:r w:rsidRPr="00C16287">
        <w:rPr>
          <w:rFonts w:cs="Arial"/>
          <w:szCs w:val="18"/>
        </w:rPr>
        <w:t>OHS(MI) Act</w:t>
      </w:r>
      <w:r w:rsidRPr="00C16287" w:rsidDel="00822602">
        <w:rPr>
          <w:rFonts w:cs="Arial"/>
          <w:i/>
          <w:szCs w:val="18"/>
        </w:rPr>
        <w:t xml:space="preserve"> </w:t>
      </w:r>
      <w:r w:rsidRPr="00C16287">
        <w:rPr>
          <w:rFonts w:cs="Arial"/>
          <w:iCs/>
          <w:szCs w:val="18"/>
        </w:rPr>
        <w:t>(Cth)</w:t>
      </w:r>
      <w:r w:rsidRPr="00C16287">
        <w:rPr>
          <w:rFonts w:cs="Arial"/>
          <w:i/>
          <w:szCs w:val="18"/>
        </w:rPr>
        <w:t xml:space="preserve">, </w:t>
      </w:r>
      <w:r w:rsidRPr="00C16287">
        <w:t>OPGGS Act</w:t>
      </w:r>
      <w:r w:rsidRPr="00C16287" w:rsidDel="004E5408">
        <w:rPr>
          <w:rFonts w:cs="Arial"/>
          <w:i/>
          <w:szCs w:val="18"/>
        </w:rPr>
        <w:t xml:space="preserve"> </w:t>
      </w:r>
      <w:r w:rsidRPr="00C16287">
        <w:rPr>
          <w:rFonts w:cs="Arial"/>
          <w:iCs/>
          <w:szCs w:val="18"/>
        </w:rPr>
        <w:t xml:space="preserve">(Cth) </w:t>
      </w:r>
      <w:r w:rsidRPr="00C16287">
        <w:rPr>
          <w:rFonts w:cs="Arial"/>
          <w:szCs w:val="18"/>
        </w:rPr>
        <w:t xml:space="preserve">and </w:t>
      </w:r>
      <w:r w:rsidRPr="00C16287">
        <w:rPr>
          <w:rFonts w:cs="Arial"/>
          <w:i/>
          <w:szCs w:val="18"/>
        </w:rPr>
        <w:t>Offshore Electricity Act 2011</w:t>
      </w:r>
      <w:r w:rsidRPr="00C16287">
        <w:rPr>
          <w:rFonts w:cs="Arial"/>
          <w:iCs/>
          <w:szCs w:val="18"/>
        </w:rPr>
        <w:t xml:space="preserve"> (Cth)</w:t>
      </w:r>
      <w:r w:rsidRPr="00C16287">
        <w:rPr>
          <w:rFonts w:cs="Arial"/>
          <w:i/>
          <w:szCs w:val="18"/>
        </w:rPr>
        <w:t>.</w:t>
      </w:r>
    </w:p>
  </w:footnote>
  <w:footnote w:id="98">
    <w:p w14:paraId="18AEB49D" w14:textId="77777777" w:rsidR="008F68CF" w:rsidRPr="007333CF" w:rsidRDefault="008F68CF" w:rsidP="008F68CF">
      <w:pPr>
        <w:pStyle w:val="FootnoteText"/>
      </w:pPr>
      <w:r w:rsidRPr="007333CF">
        <w:rPr>
          <w:rStyle w:val="FootnoteReference"/>
        </w:rPr>
        <w:footnoteRef/>
      </w:r>
      <w:r w:rsidRPr="007333CF">
        <w:t xml:space="preserve"> </w:t>
      </w:r>
      <w:hyperlink r:id="rId96" w:history="1">
        <w:r w:rsidRPr="007333CF">
          <w:rPr>
            <w:rStyle w:val="Hyperlink"/>
            <w:rFonts w:cstheme="minorHAnsi"/>
            <w:szCs w:val="18"/>
          </w:rPr>
          <w:t>DCCEEW</w:t>
        </w:r>
      </w:hyperlink>
      <w:r w:rsidRPr="007333CF">
        <w:rPr>
          <w:rFonts w:cstheme="minorHAnsi"/>
          <w:szCs w:val="18"/>
        </w:rPr>
        <w:t>, Submission, p 2.</w:t>
      </w:r>
    </w:p>
  </w:footnote>
  <w:footnote w:id="99">
    <w:p w14:paraId="0153A136" w14:textId="77777777" w:rsidR="008F68CF" w:rsidRPr="007333CF" w:rsidRDefault="008F68CF" w:rsidP="008F68CF">
      <w:pPr>
        <w:pStyle w:val="FootnoteText"/>
      </w:pPr>
      <w:r w:rsidRPr="007333CF">
        <w:rPr>
          <w:rStyle w:val="FootnoteReference"/>
        </w:rPr>
        <w:footnoteRef/>
      </w:r>
      <w:r w:rsidRPr="007333CF">
        <w:t xml:space="preserve"> </w:t>
      </w:r>
      <w:r w:rsidRPr="007333CF">
        <w:rPr>
          <w:rFonts w:eastAsia="Aptos"/>
        </w:rPr>
        <w:t xml:space="preserve">See also Chapter 7 – </w:t>
      </w:r>
      <w:r>
        <w:rPr>
          <w:rFonts w:eastAsia="Aptos"/>
        </w:rPr>
        <w:t>The model WHS Regulations: modernisation project</w:t>
      </w:r>
      <w:r w:rsidRPr="007333CF">
        <w:rPr>
          <w:rFonts w:eastAsia="Aptos"/>
        </w:rPr>
        <w:t>.</w:t>
      </w:r>
    </w:p>
  </w:footnote>
  <w:footnote w:id="100">
    <w:p w14:paraId="6BAB5959" w14:textId="185ECFD2" w:rsidR="0068115F" w:rsidRPr="007333CF" w:rsidRDefault="0068115F" w:rsidP="0068115F">
      <w:pPr>
        <w:pStyle w:val="FootnoteText"/>
        <w:rPr>
          <w:rFonts w:cs="Arial"/>
          <w:szCs w:val="18"/>
        </w:rPr>
      </w:pPr>
      <w:r w:rsidRPr="007333CF">
        <w:rPr>
          <w:rStyle w:val="FootnoteReference"/>
          <w:rFonts w:cs="Arial"/>
          <w:szCs w:val="18"/>
        </w:rPr>
        <w:footnoteRef/>
      </w:r>
      <w:r w:rsidRPr="007333CF">
        <w:rPr>
          <w:rFonts w:cs="Arial"/>
          <w:szCs w:val="18"/>
        </w:rPr>
        <w:t xml:space="preserve"> R Stewart-Crompton, S Mayman </w:t>
      </w:r>
      <w:r>
        <w:rPr>
          <w:rFonts w:cs="Arial"/>
          <w:szCs w:val="18"/>
        </w:rPr>
        <w:t>and</w:t>
      </w:r>
      <w:r w:rsidRPr="007333CF">
        <w:rPr>
          <w:rFonts w:cs="Arial"/>
          <w:szCs w:val="18"/>
        </w:rPr>
        <w:t xml:space="preserve"> B Sherriff, </w:t>
      </w:r>
      <w:hyperlink r:id="rId97" w:history="1">
        <w:r w:rsidRPr="007333CF">
          <w:rPr>
            <w:rStyle w:val="Hyperlink"/>
            <w:rFonts w:cs="Arial"/>
            <w:i/>
            <w:szCs w:val="18"/>
          </w:rPr>
          <w:t xml:space="preserve">National </w:t>
        </w:r>
        <w:r>
          <w:rPr>
            <w:rStyle w:val="Hyperlink"/>
            <w:rFonts w:cs="Arial"/>
            <w:i/>
            <w:szCs w:val="18"/>
          </w:rPr>
          <w:t>R</w:t>
        </w:r>
        <w:r w:rsidRPr="007333CF">
          <w:rPr>
            <w:rStyle w:val="Hyperlink"/>
            <w:rFonts w:cs="Arial"/>
            <w:i/>
            <w:szCs w:val="18"/>
          </w:rPr>
          <w:t xml:space="preserve">eview into </w:t>
        </w:r>
        <w:r>
          <w:rPr>
            <w:rStyle w:val="Hyperlink"/>
            <w:rFonts w:cs="Arial"/>
            <w:i/>
            <w:szCs w:val="18"/>
          </w:rPr>
          <w:t>M</w:t>
        </w:r>
        <w:r w:rsidRPr="007333CF">
          <w:rPr>
            <w:rStyle w:val="Hyperlink"/>
            <w:rFonts w:cs="Arial"/>
            <w:i/>
            <w:szCs w:val="18"/>
          </w:rPr>
          <w:t xml:space="preserve">odel </w:t>
        </w:r>
        <w:r>
          <w:rPr>
            <w:rStyle w:val="Hyperlink"/>
            <w:rFonts w:cs="Arial"/>
            <w:i/>
            <w:szCs w:val="18"/>
          </w:rPr>
          <w:t>O</w:t>
        </w:r>
        <w:r w:rsidRPr="007333CF">
          <w:rPr>
            <w:rStyle w:val="Hyperlink"/>
            <w:rFonts w:cs="Arial"/>
            <w:i/>
            <w:szCs w:val="18"/>
          </w:rPr>
          <w:t xml:space="preserve">ccupational </w:t>
        </w:r>
        <w:r>
          <w:rPr>
            <w:rStyle w:val="Hyperlink"/>
            <w:rFonts w:cs="Arial"/>
            <w:i/>
            <w:szCs w:val="18"/>
          </w:rPr>
          <w:t>H</w:t>
        </w:r>
        <w:r w:rsidRPr="007333CF">
          <w:rPr>
            <w:rStyle w:val="Hyperlink"/>
            <w:rFonts w:cs="Arial"/>
            <w:i/>
            <w:szCs w:val="18"/>
          </w:rPr>
          <w:t xml:space="preserve">ealth and </w:t>
        </w:r>
        <w:r>
          <w:rPr>
            <w:rStyle w:val="Hyperlink"/>
            <w:rFonts w:cs="Arial"/>
            <w:i/>
            <w:szCs w:val="18"/>
          </w:rPr>
          <w:t>S</w:t>
        </w:r>
        <w:r w:rsidRPr="007333CF">
          <w:rPr>
            <w:rStyle w:val="Hyperlink"/>
            <w:rFonts w:cs="Arial"/>
            <w:i/>
            <w:szCs w:val="18"/>
          </w:rPr>
          <w:t xml:space="preserve">afety </w:t>
        </w:r>
        <w:r>
          <w:rPr>
            <w:rStyle w:val="Hyperlink"/>
            <w:rFonts w:cs="Arial"/>
            <w:i/>
            <w:szCs w:val="18"/>
          </w:rPr>
          <w:t>L</w:t>
        </w:r>
        <w:r w:rsidRPr="007333CF">
          <w:rPr>
            <w:rStyle w:val="Hyperlink"/>
            <w:rFonts w:cs="Arial"/>
            <w:i/>
            <w:szCs w:val="18"/>
          </w:rPr>
          <w:t xml:space="preserve">aws: </w:t>
        </w:r>
        <w:r>
          <w:rPr>
            <w:rStyle w:val="Hyperlink"/>
            <w:rFonts w:cs="Arial"/>
            <w:i/>
            <w:szCs w:val="18"/>
          </w:rPr>
          <w:t>s</w:t>
        </w:r>
        <w:r w:rsidRPr="007333CF">
          <w:rPr>
            <w:rStyle w:val="Hyperlink"/>
            <w:rFonts w:cs="Arial"/>
            <w:i/>
            <w:szCs w:val="18"/>
          </w:rPr>
          <w:t>econd report</w:t>
        </w:r>
      </w:hyperlink>
      <w:r w:rsidRPr="007333CF">
        <w:rPr>
          <w:rFonts w:cs="Arial"/>
          <w:i/>
          <w:szCs w:val="18"/>
        </w:rPr>
        <w:t xml:space="preserve">, </w:t>
      </w:r>
      <w:r w:rsidRPr="007333CF">
        <w:rPr>
          <w:rFonts w:cs="Arial"/>
          <w:szCs w:val="18"/>
        </w:rPr>
        <w:t xml:space="preserve">Department of Employment and Workplace Relations, </w:t>
      </w:r>
      <w:r>
        <w:rPr>
          <w:rFonts w:cs="Arial"/>
          <w:szCs w:val="18"/>
        </w:rPr>
        <w:t xml:space="preserve">Australian Government, </w:t>
      </w:r>
      <w:r w:rsidRPr="007333CF">
        <w:rPr>
          <w:rFonts w:cs="Arial"/>
          <w:szCs w:val="18"/>
        </w:rPr>
        <w:t>2009, p 17.</w:t>
      </w:r>
    </w:p>
  </w:footnote>
  <w:footnote w:id="101">
    <w:p w14:paraId="278FA491" w14:textId="77777777" w:rsidR="0068115F" w:rsidRPr="007333CF" w:rsidRDefault="0068115F" w:rsidP="0068115F">
      <w:pPr>
        <w:pStyle w:val="FootnoteText"/>
        <w:rPr>
          <w:szCs w:val="18"/>
        </w:rPr>
      </w:pPr>
      <w:r w:rsidRPr="007333CF">
        <w:rPr>
          <w:rStyle w:val="FootnoteReference"/>
          <w:szCs w:val="18"/>
        </w:rPr>
        <w:footnoteRef/>
      </w:r>
      <w:r w:rsidRPr="007333CF">
        <w:rPr>
          <w:szCs w:val="18"/>
        </w:rPr>
        <w:t xml:space="preserve"> </w:t>
      </w:r>
      <w:hyperlink r:id="rId98" w:history="1">
        <w:r w:rsidRPr="007333CF">
          <w:rPr>
            <w:rStyle w:val="Hyperlink"/>
            <w:rFonts w:cstheme="minorHAnsi"/>
            <w:szCs w:val="18"/>
          </w:rPr>
          <w:t>Australian Maritime Safety A</w:t>
        </w:r>
        <w:r w:rsidRPr="007333CF">
          <w:rPr>
            <w:rStyle w:val="Hyperlink"/>
          </w:rPr>
          <w:t>uthority</w:t>
        </w:r>
      </w:hyperlink>
      <w:r w:rsidRPr="007333CF">
        <w:rPr>
          <w:szCs w:val="18"/>
        </w:rPr>
        <w:t>,</w:t>
      </w:r>
      <w:r w:rsidRPr="007333CF">
        <w:rPr>
          <w:rFonts w:cstheme="minorHAnsi"/>
          <w:szCs w:val="18"/>
        </w:rPr>
        <w:t> Submission, p 2</w:t>
      </w:r>
      <w:r w:rsidRPr="007333CF">
        <w:rPr>
          <w:color w:val="000000" w:themeColor="text1"/>
          <w:szCs w:val="18"/>
        </w:rPr>
        <w:t>.</w:t>
      </w:r>
    </w:p>
  </w:footnote>
  <w:footnote w:id="102">
    <w:p w14:paraId="4CA9249E" w14:textId="77777777" w:rsidR="0068115F" w:rsidRPr="007333CF" w:rsidRDefault="0068115F" w:rsidP="0068115F">
      <w:pPr>
        <w:pStyle w:val="FootnoteText"/>
        <w:rPr>
          <w:rFonts w:cstheme="minorHAnsi"/>
          <w:szCs w:val="18"/>
        </w:rPr>
      </w:pPr>
      <w:r w:rsidRPr="007333CF">
        <w:rPr>
          <w:rStyle w:val="FootnoteReference"/>
          <w:rFonts w:cstheme="minorHAnsi"/>
          <w:szCs w:val="18"/>
        </w:rPr>
        <w:footnoteRef/>
      </w:r>
      <w:r w:rsidRPr="007333CF">
        <w:rPr>
          <w:rFonts w:cstheme="minorHAnsi"/>
          <w:szCs w:val="18"/>
        </w:rPr>
        <w:t xml:space="preserve"> </w:t>
      </w:r>
      <w:hyperlink r:id="rId99" w:history="1">
        <w:r w:rsidRPr="007333CF">
          <w:rPr>
            <w:rStyle w:val="Hyperlink"/>
            <w:rFonts w:cstheme="minorHAnsi"/>
            <w:szCs w:val="18"/>
          </w:rPr>
          <w:t>Dr Shay Dougall, Dr Rachael Potter and Professor Maureen Dollard</w:t>
        </w:r>
      </w:hyperlink>
      <w:r w:rsidRPr="007333CF">
        <w:rPr>
          <w:rFonts w:cstheme="minorHAnsi"/>
          <w:szCs w:val="18"/>
        </w:rPr>
        <w:t>, Submission, p 1.</w:t>
      </w:r>
    </w:p>
  </w:footnote>
  <w:footnote w:id="103">
    <w:p w14:paraId="0FEEA85A" w14:textId="77777777" w:rsidR="0068115F" w:rsidRPr="007333CF" w:rsidRDefault="0068115F" w:rsidP="0068115F">
      <w:pPr>
        <w:pStyle w:val="FootnoteText"/>
        <w:rPr>
          <w:szCs w:val="18"/>
        </w:rPr>
      </w:pPr>
      <w:r w:rsidRPr="007333CF">
        <w:rPr>
          <w:rStyle w:val="FootnoteReference"/>
          <w:szCs w:val="18"/>
        </w:rPr>
        <w:footnoteRef/>
      </w:r>
      <w:r w:rsidRPr="007333CF">
        <w:rPr>
          <w:szCs w:val="18"/>
        </w:rPr>
        <w:t xml:space="preserve"> Australian Unions, </w:t>
      </w:r>
      <w:hyperlink r:id="rId100" w:history="1">
        <w:r w:rsidRPr="007333CF">
          <w:rPr>
            <w:rStyle w:val="Hyperlink"/>
            <w:i/>
            <w:szCs w:val="18"/>
          </w:rPr>
          <w:t>Clos</w:t>
        </w:r>
        <w:r>
          <w:rPr>
            <w:rStyle w:val="Hyperlink"/>
            <w:i/>
            <w:szCs w:val="18"/>
          </w:rPr>
          <w:t>ing</w:t>
        </w:r>
        <w:r w:rsidRPr="007333CF">
          <w:rPr>
            <w:rStyle w:val="Hyperlink"/>
            <w:i/>
            <w:szCs w:val="18"/>
          </w:rPr>
          <w:t xml:space="preserve"> the </w:t>
        </w:r>
        <w:r>
          <w:rPr>
            <w:rStyle w:val="Hyperlink"/>
            <w:i/>
            <w:szCs w:val="18"/>
          </w:rPr>
          <w:t>h</w:t>
        </w:r>
        <w:r w:rsidRPr="007333CF">
          <w:rPr>
            <w:rStyle w:val="Hyperlink"/>
            <w:i/>
            <w:szCs w:val="18"/>
          </w:rPr>
          <w:t xml:space="preserve">ealth and </w:t>
        </w:r>
        <w:r>
          <w:rPr>
            <w:rStyle w:val="Hyperlink"/>
            <w:i/>
            <w:szCs w:val="18"/>
          </w:rPr>
          <w:t>s</w:t>
        </w:r>
        <w:r w:rsidRPr="007333CF">
          <w:rPr>
            <w:rStyle w:val="Hyperlink"/>
            <w:i/>
            <w:szCs w:val="18"/>
          </w:rPr>
          <w:t xml:space="preserve">afety </w:t>
        </w:r>
        <w:r>
          <w:rPr>
            <w:rStyle w:val="Hyperlink"/>
            <w:i/>
            <w:szCs w:val="18"/>
          </w:rPr>
          <w:t>g</w:t>
        </w:r>
        <w:r w:rsidRPr="007333CF">
          <w:rPr>
            <w:rStyle w:val="Hyperlink"/>
            <w:i/>
            <w:szCs w:val="18"/>
          </w:rPr>
          <w:t xml:space="preserve">aps for </w:t>
        </w:r>
        <w:r>
          <w:rPr>
            <w:rStyle w:val="Hyperlink"/>
            <w:i/>
            <w:szCs w:val="18"/>
          </w:rPr>
          <w:t>w</w:t>
        </w:r>
        <w:r w:rsidRPr="007333CF">
          <w:rPr>
            <w:rStyle w:val="Hyperlink"/>
            <w:i/>
            <w:szCs w:val="18"/>
          </w:rPr>
          <w:t xml:space="preserve">orkers </w:t>
        </w:r>
        <w:r>
          <w:rPr>
            <w:rStyle w:val="Hyperlink"/>
            <w:i/>
            <w:szCs w:val="18"/>
          </w:rPr>
          <w:t>o</w:t>
        </w:r>
        <w:r w:rsidRPr="007333CF">
          <w:rPr>
            <w:rStyle w:val="Hyperlink"/>
            <w:i/>
            <w:szCs w:val="18"/>
          </w:rPr>
          <w:t>ffshore</w:t>
        </w:r>
      </w:hyperlink>
      <w:r w:rsidRPr="007333CF">
        <w:rPr>
          <w:szCs w:val="18"/>
        </w:rPr>
        <w:t>, 2026, accessed 13 May 2026, pp 4, 6.</w:t>
      </w:r>
    </w:p>
  </w:footnote>
  <w:footnote w:id="104">
    <w:p w14:paraId="51BD4E33" w14:textId="6EB7E99A" w:rsidR="0068115F" w:rsidRPr="007333CF" w:rsidRDefault="0068115F" w:rsidP="0068115F">
      <w:pPr>
        <w:pStyle w:val="FootnoteText"/>
      </w:pPr>
      <w:r w:rsidRPr="007333CF">
        <w:rPr>
          <w:rStyle w:val="FootnoteReference"/>
        </w:rPr>
        <w:footnoteRef/>
      </w:r>
      <w:r w:rsidRPr="007333CF">
        <w:t xml:space="preserve"> Model WHS Act, s 3g.</w:t>
      </w:r>
    </w:p>
  </w:footnote>
  <w:footnote w:id="105">
    <w:p w14:paraId="666DDBA2" w14:textId="77777777" w:rsidR="0068115F" w:rsidRPr="007333CF" w:rsidRDefault="0068115F" w:rsidP="0068115F">
      <w:pPr>
        <w:pStyle w:val="FootnoteText"/>
      </w:pPr>
      <w:r w:rsidRPr="007333CF">
        <w:rPr>
          <w:rStyle w:val="FootnoteReference"/>
        </w:rPr>
        <w:footnoteRef/>
      </w:r>
      <w:r w:rsidRPr="007333CF">
        <w:t xml:space="preserve"> M Quinlan and H Jackson, ‘The struggle for protective legislation in Australia, 1871</w:t>
      </w:r>
      <w:r w:rsidRPr="007333CF">
        <w:rPr>
          <w:rFonts w:eastAsia="Aptos"/>
        </w:rPr>
        <w:t>–</w:t>
      </w:r>
      <w:r w:rsidRPr="007333CF">
        <w:t xml:space="preserve">2024’, </w:t>
      </w:r>
      <w:r w:rsidRPr="007333CF">
        <w:rPr>
          <w:i/>
          <w:iCs/>
        </w:rPr>
        <w:t>Australian Journal of Labour Law</w:t>
      </w:r>
      <w:r>
        <w:t>,</w:t>
      </w:r>
      <w:r w:rsidRPr="007333CF">
        <w:rPr>
          <w:i/>
          <w:iCs/>
        </w:rPr>
        <w:t xml:space="preserve"> </w:t>
      </w:r>
      <w:r w:rsidRPr="007333CF">
        <w:t>2026, 39(1)</w:t>
      </w:r>
      <w:r>
        <w:t>:</w:t>
      </w:r>
      <w:r w:rsidRPr="007333CF">
        <w:t>15.</w:t>
      </w:r>
    </w:p>
  </w:footnote>
  <w:footnote w:id="106">
    <w:p w14:paraId="7D2D76B6" w14:textId="77777777" w:rsidR="0035169F" w:rsidRPr="007333CF" w:rsidRDefault="0035169F" w:rsidP="0035169F">
      <w:pPr>
        <w:pStyle w:val="FootnoteText"/>
        <w:rPr>
          <w:rFonts w:cs="Arial"/>
          <w:szCs w:val="18"/>
        </w:rPr>
      </w:pPr>
      <w:r w:rsidRPr="007333CF">
        <w:rPr>
          <w:rStyle w:val="FootnoteReference"/>
          <w:rFonts w:cs="Arial"/>
          <w:szCs w:val="18"/>
        </w:rPr>
        <w:footnoteRef/>
      </w:r>
      <w:r w:rsidRPr="007333CF">
        <w:rPr>
          <w:rFonts w:cs="Arial"/>
          <w:szCs w:val="18"/>
        </w:rPr>
        <w:t xml:space="preserve"> </w:t>
      </w:r>
      <w:hyperlink r:id="rId101" w:history="1">
        <w:r w:rsidRPr="007333CF">
          <w:rPr>
            <w:rStyle w:val="Hyperlink"/>
            <w:rFonts w:cs="Arial"/>
            <w:szCs w:val="18"/>
          </w:rPr>
          <w:t>MBA</w:t>
        </w:r>
      </w:hyperlink>
      <w:r w:rsidRPr="007333CF">
        <w:rPr>
          <w:rFonts w:cs="Arial"/>
          <w:szCs w:val="18"/>
        </w:rPr>
        <w:t>, Submission, p 10.</w:t>
      </w:r>
    </w:p>
  </w:footnote>
  <w:footnote w:id="107">
    <w:p w14:paraId="5430134F" w14:textId="77777777" w:rsidR="0035169F" w:rsidRPr="007333CF" w:rsidRDefault="0035169F" w:rsidP="0035169F">
      <w:pPr>
        <w:pStyle w:val="FootnoteText"/>
        <w:rPr>
          <w:rFonts w:cs="Arial"/>
          <w:szCs w:val="18"/>
        </w:rPr>
      </w:pPr>
      <w:r w:rsidRPr="007333CF">
        <w:rPr>
          <w:rStyle w:val="FootnoteReference"/>
          <w:rFonts w:cs="Arial"/>
          <w:szCs w:val="18"/>
        </w:rPr>
        <w:footnoteRef/>
      </w:r>
      <w:r w:rsidRPr="007333CF">
        <w:rPr>
          <w:rFonts w:cs="Arial"/>
          <w:szCs w:val="18"/>
        </w:rPr>
        <w:t xml:space="preserve"> </w:t>
      </w:r>
      <w:hyperlink r:id="rId102" w:history="1">
        <w:r w:rsidRPr="007333CF">
          <w:rPr>
            <w:rStyle w:val="Hyperlink"/>
            <w:rFonts w:cs="Arial"/>
            <w:szCs w:val="18"/>
          </w:rPr>
          <w:t>ACCI</w:t>
        </w:r>
      </w:hyperlink>
      <w:r w:rsidRPr="007333CF">
        <w:rPr>
          <w:rFonts w:cs="Arial"/>
          <w:szCs w:val="18"/>
        </w:rPr>
        <w:t>, Submission, p 9</w:t>
      </w:r>
      <w:r>
        <w:rPr>
          <w:rFonts w:cs="Arial"/>
          <w:szCs w:val="18"/>
        </w:rPr>
        <w:t>,</w:t>
      </w:r>
      <w:r w:rsidRPr="007333CF">
        <w:rPr>
          <w:rFonts w:cs="Arial"/>
          <w:szCs w:val="18"/>
        </w:rPr>
        <w:t xml:space="preserve"> which quotes its recently published Small Business Conditions Survey</w:t>
      </w:r>
      <w:r>
        <w:rPr>
          <w:rFonts w:cs="Arial"/>
          <w:szCs w:val="18"/>
        </w:rPr>
        <w:t>,</w:t>
      </w:r>
      <w:r w:rsidRPr="007333CF">
        <w:rPr>
          <w:rFonts w:cs="Arial"/>
          <w:szCs w:val="18"/>
        </w:rPr>
        <w:t xml:space="preserve"> which showed that 44% of small business owners and managers are experiencing high levels of stress. One respondent commented that ‘stress and toll on my mental health due to red tape is extremely high’.</w:t>
      </w:r>
    </w:p>
  </w:footnote>
  <w:footnote w:id="108">
    <w:p w14:paraId="5361ACD1" w14:textId="77777777" w:rsidR="0035169F" w:rsidRPr="007333CF" w:rsidRDefault="0035169F" w:rsidP="0035169F">
      <w:pPr>
        <w:pStyle w:val="FootnoteText"/>
        <w:rPr>
          <w:rFonts w:cs="Arial"/>
          <w:szCs w:val="18"/>
        </w:rPr>
      </w:pPr>
      <w:r w:rsidRPr="007333CF">
        <w:rPr>
          <w:rStyle w:val="FootnoteReference"/>
          <w:rFonts w:cs="Arial"/>
          <w:szCs w:val="18"/>
        </w:rPr>
        <w:footnoteRef/>
      </w:r>
      <w:r w:rsidRPr="007333CF">
        <w:rPr>
          <w:rFonts w:cs="Arial"/>
          <w:szCs w:val="18"/>
        </w:rPr>
        <w:t xml:space="preserve"> </w:t>
      </w:r>
      <w:hyperlink r:id="rId103" w:history="1">
        <w:r w:rsidRPr="007333CF">
          <w:rPr>
            <w:rStyle w:val="Hyperlink"/>
            <w:rFonts w:cs="Arial"/>
            <w:szCs w:val="18"/>
          </w:rPr>
          <w:t>MBA</w:t>
        </w:r>
      </w:hyperlink>
      <w:r w:rsidRPr="007333CF">
        <w:rPr>
          <w:rFonts w:cs="Arial"/>
          <w:szCs w:val="18"/>
        </w:rPr>
        <w:t xml:space="preserve">, Submission, pp 8–9; see also </w:t>
      </w:r>
      <w:hyperlink r:id="rId104" w:history="1">
        <w:r w:rsidRPr="007333CF">
          <w:rPr>
            <w:rStyle w:val="Hyperlink"/>
            <w:rFonts w:cs="Arial"/>
            <w:szCs w:val="18"/>
          </w:rPr>
          <w:t>HIA</w:t>
        </w:r>
      </w:hyperlink>
      <w:r w:rsidRPr="007333CF">
        <w:rPr>
          <w:rFonts w:cs="Arial"/>
          <w:szCs w:val="18"/>
        </w:rPr>
        <w:t>, Submission, p 19.</w:t>
      </w:r>
    </w:p>
  </w:footnote>
  <w:footnote w:id="109">
    <w:p w14:paraId="652FB613" w14:textId="77777777" w:rsidR="0035169F" w:rsidRPr="007333CF" w:rsidRDefault="0035169F" w:rsidP="0035169F">
      <w:pPr>
        <w:pStyle w:val="FootnoteText"/>
        <w:rPr>
          <w:rFonts w:cs="Arial"/>
          <w:szCs w:val="18"/>
        </w:rPr>
      </w:pPr>
      <w:r w:rsidRPr="007333CF">
        <w:rPr>
          <w:rStyle w:val="FootnoteReference"/>
          <w:rFonts w:cs="Arial"/>
          <w:szCs w:val="18"/>
        </w:rPr>
        <w:footnoteRef/>
      </w:r>
      <w:r w:rsidRPr="007333CF">
        <w:rPr>
          <w:rFonts w:cs="Arial"/>
          <w:szCs w:val="18"/>
        </w:rPr>
        <w:t xml:space="preserve"> </w:t>
      </w:r>
      <w:hyperlink r:id="rId105" w:history="1">
        <w:r w:rsidRPr="007333CF">
          <w:rPr>
            <w:rStyle w:val="Hyperlink"/>
            <w:rFonts w:cs="Arial"/>
            <w:szCs w:val="18"/>
          </w:rPr>
          <w:t>ACCI</w:t>
        </w:r>
      </w:hyperlink>
      <w:r w:rsidRPr="007333CF">
        <w:rPr>
          <w:rFonts w:cs="Arial"/>
          <w:szCs w:val="18"/>
        </w:rPr>
        <w:t xml:space="preserve">, Submission, p 10; </w:t>
      </w:r>
      <w:hyperlink r:id="rId106" w:history="1">
        <w:r w:rsidRPr="007333CF">
          <w:rPr>
            <w:rStyle w:val="Hyperlink"/>
            <w:rFonts w:cs="Arial"/>
            <w:szCs w:val="18"/>
          </w:rPr>
          <w:t>MCA</w:t>
        </w:r>
      </w:hyperlink>
      <w:r w:rsidRPr="007333CF">
        <w:rPr>
          <w:rFonts w:cs="Arial"/>
          <w:szCs w:val="18"/>
        </w:rPr>
        <w:t>, Submission, p 7.</w:t>
      </w:r>
    </w:p>
  </w:footnote>
  <w:footnote w:id="110">
    <w:p w14:paraId="7268E32C" w14:textId="66C199D6" w:rsidR="0035169F" w:rsidRPr="007333CF" w:rsidRDefault="0035169F" w:rsidP="0035169F">
      <w:pPr>
        <w:pStyle w:val="FootnoteText"/>
        <w:rPr>
          <w:rFonts w:cs="Arial"/>
          <w:szCs w:val="18"/>
        </w:rPr>
      </w:pPr>
      <w:r w:rsidRPr="007333CF">
        <w:rPr>
          <w:rStyle w:val="FootnoteReference"/>
          <w:rFonts w:cs="Arial"/>
          <w:szCs w:val="18"/>
        </w:rPr>
        <w:footnoteRef/>
      </w:r>
      <w:r w:rsidRPr="007333CF">
        <w:rPr>
          <w:rFonts w:cs="Arial"/>
          <w:szCs w:val="18"/>
        </w:rPr>
        <w:t xml:space="preserve"> </w:t>
      </w:r>
      <w:hyperlink r:id="rId107" w:history="1">
        <w:r w:rsidRPr="007333CF">
          <w:rPr>
            <w:rStyle w:val="Hyperlink"/>
            <w:rFonts w:cs="Arial"/>
            <w:szCs w:val="18"/>
          </w:rPr>
          <w:t>HIA</w:t>
        </w:r>
      </w:hyperlink>
      <w:r w:rsidRPr="007333CF">
        <w:rPr>
          <w:rFonts w:cs="Arial"/>
          <w:szCs w:val="18"/>
        </w:rPr>
        <w:t xml:space="preserve">, Submission, p 11; </w:t>
      </w:r>
      <w:hyperlink r:id="rId108" w:history="1">
        <w:r w:rsidRPr="00B43A14">
          <w:rPr>
            <w:rStyle w:val="Hyperlink"/>
            <w:rFonts w:cs="Arial"/>
            <w:szCs w:val="18"/>
          </w:rPr>
          <w:t>ACFA</w:t>
        </w:r>
      </w:hyperlink>
      <w:r w:rsidRPr="007333CF">
        <w:rPr>
          <w:rFonts w:cs="Arial"/>
          <w:szCs w:val="18"/>
        </w:rPr>
        <w:t>, Submission, p 6.</w:t>
      </w:r>
    </w:p>
  </w:footnote>
  <w:footnote w:id="111">
    <w:p w14:paraId="3CDFFAE2" w14:textId="77777777" w:rsidR="0035169F" w:rsidRPr="007333CF" w:rsidRDefault="0035169F" w:rsidP="0035169F">
      <w:pPr>
        <w:pStyle w:val="FootnoteText"/>
        <w:rPr>
          <w:rFonts w:cs="Arial"/>
          <w:szCs w:val="18"/>
        </w:rPr>
      </w:pPr>
      <w:r w:rsidRPr="007333CF">
        <w:rPr>
          <w:rStyle w:val="FootnoteReference"/>
          <w:rFonts w:cs="Arial"/>
          <w:szCs w:val="18"/>
        </w:rPr>
        <w:footnoteRef/>
      </w:r>
      <w:r w:rsidRPr="007333CF">
        <w:rPr>
          <w:rFonts w:cs="Arial"/>
          <w:szCs w:val="18"/>
        </w:rPr>
        <w:t xml:space="preserve"> </w:t>
      </w:r>
      <w:hyperlink r:id="rId109" w:history="1">
        <w:r w:rsidRPr="007333CF">
          <w:rPr>
            <w:rStyle w:val="Hyperlink"/>
            <w:rFonts w:cs="Arial"/>
            <w:szCs w:val="18"/>
          </w:rPr>
          <w:t>National Joint Submission – Safety Regulation for Primary Prevention of Gendered Violence</w:t>
        </w:r>
      </w:hyperlink>
      <w:r w:rsidRPr="007333CF">
        <w:rPr>
          <w:rFonts w:cs="Arial"/>
          <w:szCs w:val="18"/>
        </w:rPr>
        <w:t>, Submission, p</w:t>
      </w:r>
      <w:r>
        <w:rPr>
          <w:rFonts w:cs="Arial"/>
          <w:szCs w:val="18"/>
        </w:rPr>
        <w:t>p</w:t>
      </w:r>
      <w:r w:rsidRPr="007333CF">
        <w:rPr>
          <w:rFonts w:cs="Arial"/>
          <w:szCs w:val="18"/>
        </w:rPr>
        <w:t xml:space="preserve"> 35–36.</w:t>
      </w:r>
    </w:p>
  </w:footnote>
  <w:footnote w:id="112">
    <w:p w14:paraId="1094896D" w14:textId="1A8C7EAD" w:rsidR="009D218F" w:rsidRPr="007333CF" w:rsidRDefault="009D218F" w:rsidP="009D218F">
      <w:pPr>
        <w:pStyle w:val="FootnoteText"/>
        <w:rPr>
          <w:rFonts w:cs="Arial"/>
          <w:szCs w:val="18"/>
        </w:rPr>
      </w:pPr>
      <w:r w:rsidRPr="007333CF">
        <w:rPr>
          <w:rStyle w:val="FootnoteReference"/>
          <w:rFonts w:cs="Arial"/>
          <w:szCs w:val="18"/>
        </w:rPr>
        <w:footnoteRef/>
      </w:r>
      <w:r w:rsidRPr="007333CF">
        <w:rPr>
          <w:rFonts w:cs="Arial"/>
          <w:szCs w:val="18"/>
        </w:rPr>
        <w:t xml:space="preserve"> A Stewart, </w:t>
      </w:r>
      <w:r w:rsidRPr="007333CF">
        <w:rPr>
          <w:rFonts w:cs="Arial"/>
          <w:i/>
          <w:szCs w:val="18"/>
        </w:rPr>
        <w:t xml:space="preserve">Regulating for </w:t>
      </w:r>
      <w:r>
        <w:rPr>
          <w:rFonts w:cs="Arial"/>
          <w:i/>
          <w:szCs w:val="18"/>
        </w:rPr>
        <w:t>w</w:t>
      </w:r>
      <w:r w:rsidRPr="007333CF">
        <w:rPr>
          <w:rFonts w:cs="Arial"/>
          <w:i/>
          <w:szCs w:val="18"/>
        </w:rPr>
        <w:t xml:space="preserve">ork </w:t>
      </w:r>
      <w:r>
        <w:rPr>
          <w:rFonts w:cs="Arial"/>
          <w:i/>
          <w:szCs w:val="18"/>
        </w:rPr>
        <w:t>h</w:t>
      </w:r>
      <w:r w:rsidRPr="007333CF">
        <w:rPr>
          <w:rFonts w:cs="Arial"/>
          <w:i/>
          <w:szCs w:val="18"/>
        </w:rPr>
        <w:t xml:space="preserve">ealth and </w:t>
      </w:r>
      <w:r>
        <w:rPr>
          <w:rFonts w:cs="Arial"/>
          <w:i/>
          <w:szCs w:val="18"/>
        </w:rPr>
        <w:t>s</w:t>
      </w:r>
      <w:r w:rsidRPr="007333CF">
        <w:rPr>
          <w:rFonts w:cs="Arial"/>
          <w:i/>
          <w:szCs w:val="18"/>
        </w:rPr>
        <w:t xml:space="preserve">afety in Australia: </w:t>
      </w:r>
      <w:r>
        <w:rPr>
          <w:rFonts w:cs="Arial"/>
          <w:i/>
          <w:szCs w:val="18"/>
        </w:rPr>
        <w:t>O</w:t>
      </w:r>
      <w:r w:rsidRPr="007333CF">
        <w:rPr>
          <w:rFonts w:cs="Arial"/>
          <w:i/>
          <w:szCs w:val="18"/>
        </w:rPr>
        <w:t xml:space="preserve">vercoming </w:t>
      </w:r>
      <w:r>
        <w:rPr>
          <w:rFonts w:cs="Arial"/>
          <w:i/>
          <w:szCs w:val="18"/>
        </w:rPr>
        <w:t>f</w:t>
      </w:r>
      <w:r w:rsidRPr="007333CF">
        <w:rPr>
          <w:rFonts w:cs="Arial"/>
          <w:i/>
          <w:szCs w:val="18"/>
        </w:rPr>
        <w:t>ragmentation</w:t>
      </w:r>
      <w:r w:rsidRPr="00C742F7">
        <w:rPr>
          <w:rFonts w:cs="Arial"/>
          <w:szCs w:val="18"/>
        </w:rPr>
        <w:t>,</w:t>
      </w:r>
      <w:r w:rsidRPr="007333CF">
        <w:rPr>
          <w:rFonts w:cs="Arial"/>
          <w:i/>
          <w:szCs w:val="18"/>
        </w:rPr>
        <w:t xml:space="preserve"> </w:t>
      </w:r>
      <w:r w:rsidRPr="007333CF">
        <w:rPr>
          <w:rFonts w:cs="Arial"/>
          <w:szCs w:val="18"/>
        </w:rPr>
        <w:t>Queensland University of Technology, 12 Nov</w:t>
      </w:r>
      <w:r>
        <w:rPr>
          <w:rFonts w:cs="Arial"/>
          <w:szCs w:val="18"/>
        </w:rPr>
        <w:t>ember</w:t>
      </w:r>
      <w:r w:rsidRPr="007333CF">
        <w:rPr>
          <w:rFonts w:cs="Arial"/>
          <w:szCs w:val="18"/>
        </w:rPr>
        <w:t xml:space="preserve"> 2025, slide 22.</w:t>
      </w:r>
    </w:p>
  </w:footnote>
  <w:footnote w:id="113">
    <w:p w14:paraId="2D68DAE3" w14:textId="77777777" w:rsidR="009D218F" w:rsidRPr="007333CF" w:rsidRDefault="009D218F" w:rsidP="009D218F">
      <w:pPr>
        <w:pStyle w:val="FootnoteText"/>
        <w:rPr>
          <w:rFonts w:cs="Arial"/>
          <w:szCs w:val="18"/>
        </w:rPr>
      </w:pPr>
      <w:r w:rsidRPr="007333CF">
        <w:rPr>
          <w:rStyle w:val="FootnoteReference"/>
          <w:rFonts w:cs="Arial"/>
          <w:szCs w:val="18"/>
        </w:rPr>
        <w:footnoteRef/>
      </w:r>
      <w:r w:rsidRPr="007333CF">
        <w:rPr>
          <w:rFonts w:cs="Arial"/>
          <w:szCs w:val="18"/>
        </w:rPr>
        <w:t xml:space="preserve"> AHRC, </w:t>
      </w:r>
      <w:hyperlink r:id="rId110" w:history="1">
        <w:r w:rsidRPr="007333CF">
          <w:rPr>
            <w:rStyle w:val="Hyperlink"/>
            <w:rFonts w:cs="Arial"/>
            <w:i/>
            <w:szCs w:val="18"/>
          </w:rPr>
          <w:t>Respect@Work: National Inquiry into Sexual Harassment in Australian Workplaces</w:t>
        </w:r>
      </w:hyperlink>
      <w:r w:rsidRPr="007333CF">
        <w:rPr>
          <w:rFonts w:cs="Arial"/>
          <w:szCs w:val="18"/>
        </w:rPr>
        <w:t xml:space="preserve">, </w:t>
      </w:r>
      <w:r>
        <w:rPr>
          <w:rFonts w:cs="Arial"/>
          <w:szCs w:val="18"/>
        </w:rPr>
        <w:t xml:space="preserve">AHRC, </w:t>
      </w:r>
      <w:r w:rsidRPr="007333CF">
        <w:rPr>
          <w:rFonts w:cs="Arial"/>
          <w:szCs w:val="18"/>
        </w:rPr>
        <w:t>2020, accessed 13 May 2026.</w:t>
      </w:r>
    </w:p>
  </w:footnote>
  <w:footnote w:id="114">
    <w:p w14:paraId="2AA20A76" w14:textId="77777777" w:rsidR="009D218F" w:rsidRPr="007333CF" w:rsidRDefault="009D218F" w:rsidP="009D218F">
      <w:pPr>
        <w:pStyle w:val="FootnoteText"/>
        <w:rPr>
          <w:rFonts w:cs="Arial"/>
          <w:szCs w:val="18"/>
        </w:rPr>
      </w:pPr>
      <w:r w:rsidRPr="007333CF">
        <w:rPr>
          <w:rStyle w:val="FootnoteReference"/>
          <w:rFonts w:cs="Arial"/>
          <w:szCs w:val="18"/>
        </w:rPr>
        <w:footnoteRef/>
      </w:r>
      <w:r w:rsidRPr="007333CF">
        <w:rPr>
          <w:rFonts w:cs="Arial"/>
          <w:szCs w:val="18"/>
        </w:rPr>
        <w:t xml:space="preserve"> </w:t>
      </w:r>
      <w:r w:rsidRPr="007333CF">
        <w:rPr>
          <w:rFonts w:cs="Arial"/>
          <w:kern w:val="2"/>
          <w:szCs w:val="18"/>
          <w14:ligatures w14:val="standardContextual"/>
        </w:rPr>
        <w:t>Requires employers to take reasonable steps to prevent workplace sexual harassment and discrimination.</w:t>
      </w:r>
    </w:p>
  </w:footnote>
  <w:footnote w:id="115">
    <w:p w14:paraId="25781C19" w14:textId="76898B28" w:rsidR="009D218F" w:rsidRPr="007333CF" w:rsidRDefault="009D218F" w:rsidP="009D218F">
      <w:pPr>
        <w:pStyle w:val="FootnoteText"/>
        <w:rPr>
          <w:rFonts w:cs="Arial"/>
          <w:szCs w:val="18"/>
        </w:rPr>
      </w:pPr>
      <w:r w:rsidRPr="007333CF">
        <w:rPr>
          <w:rStyle w:val="FootnoteReference"/>
          <w:rFonts w:cs="Arial"/>
          <w:szCs w:val="18"/>
        </w:rPr>
        <w:footnoteRef/>
      </w:r>
      <w:r w:rsidRPr="007333CF">
        <w:rPr>
          <w:rFonts w:cs="Arial"/>
          <w:szCs w:val="18"/>
        </w:rPr>
        <w:t xml:space="preserve"> AHRC, </w:t>
      </w:r>
      <w:hyperlink r:id="rId111" w:tgtFrame="_blank" w:history="1">
        <w:r w:rsidRPr="007333CF">
          <w:rPr>
            <w:rStyle w:val="Hyperlink"/>
            <w:rFonts w:cs="Arial"/>
            <w:i/>
            <w:szCs w:val="18"/>
          </w:rPr>
          <w:t>The National Anti-Racism Framework</w:t>
        </w:r>
      </w:hyperlink>
      <w:r w:rsidRPr="007333CF">
        <w:rPr>
          <w:rFonts w:cs="Arial"/>
          <w:szCs w:val="18"/>
        </w:rPr>
        <w:t xml:space="preserve">, </w:t>
      </w:r>
      <w:r>
        <w:rPr>
          <w:rFonts w:cs="Arial"/>
          <w:szCs w:val="18"/>
        </w:rPr>
        <w:t xml:space="preserve">AHRC, </w:t>
      </w:r>
      <w:r w:rsidRPr="007333CF">
        <w:rPr>
          <w:rFonts w:cs="Arial"/>
          <w:szCs w:val="18"/>
        </w:rPr>
        <w:t xml:space="preserve">November 2024, </w:t>
      </w:r>
      <w:r>
        <w:rPr>
          <w:rFonts w:cs="Arial"/>
          <w:szCs w:val="18"/>
        </w:rPr>
        <w:t xml:space="preserve">p 16, </w:t>
      </w:r>
      <w:r w:rsidRPr="007333CF">
        <w:rPr>
          <w:rFonts w:cs="Arial"/>
          <w:szCs w:val="18"/>
        </w:rPr>
        <w:t>accessed 11 May 2026; Royal Commission</w:t>
      </w:r>
      <w:r>
        <w:rPr>
          <w:rFonts w:cs="Arial"/>
          <w:szCs w:val="18"/>
        </w:rPr>
        <w:t xml:space="preserve"> into Violence, Abuse, Neglect and Exploitation of People with Disability</w:t>
      </w:r>
      <w:r w:rsidRPr="007333CF">
        <w:rPr>
          <w:rFonts w:cs="Arial"/>
          <w:szCs w:val="18"/>
        </w:rPr>
        <w:t xml:space="preserve">, </w:t>
      </w:r>
      <w:r>
        <w:rPr>
          <w:rFonts w:cs="Arial"/>
          <w:szCs w:val="18"/>
        </w:rPr>
        <w:t>‘</w:t>
      </w:r>
      <w:hyperlink r:id="rId112" w:tgtFrame="_blank" w:history="1">
        <w:r w:rsidRPr="00227B6F">
          <w:rPr>
            <w:rStyle w:val="Hyperlink"/>
            <w:rFonts w:cs="Arial"/>
            <w:szCs w:val="18"/>
          </w:rPr>
          <w:t xml:space="preserve">Executive </w:t>
        </w:r>
        <w:r w:rsidR="00185698">
          <w:rPr>
            <w:rStyle w:val="Hyperlink"/>
            <w:rFonts w:cs="Arial"/>
            <w:szCs w:val="18"/>
          </w:rPr>
          <w:t>s</w:t>
        </w:r>
        <w:r w:rsidRPr="00227B6F">
          <w:rPr>
            <w:rStyle w:val="Hyperlink"/>
            <w:rFonts w:cs="Arial"/>
            <w:szCs w:val="18"/>
          </w:rPr>
          <w:t xml:space="preserve">ummary, Our vision for an </w:t>
        </w:r>
        <w:r>
          <w:rPr>
            <w:rStyle w:val="Hyperlink"/>
            <w:rFonts w:cs="Arial"/>
            <w:szCs w:val="18"/>
          </w:rPr>
          <w:t>I</w:t>
        </w:r>
        <w:r w:rsidRPr="00227B6F">
          <w:rPr>
            <w:rStyle w:val="Hyperlink"/>
            <w:rFonts w:cs="Arial"/>
            <w:szCs w:val="18"/>
          </w:rPr>
          <w:t xml:space="preserve">nclusive Australia and </w:t>
        </w:r>
        <w:r w:rsidR="00185698">
          <w:rPr>
            <w:rStyle w:val="Hyperlink"/>
            <w:rFonts w:cs="Arial"/>
            <w:szCs w:val="18"/>
          </w:rPr>
          <w:t>r</w:t>
        </w:r>
        <w:r w:rsidRPr="00227B6F">
          <w:rPr>
            <w:rStyle w:val="Hyperlink"/>
            <w:rFonts w:cs="Arial"/>
            <w:szCs w:val="18"/>
          </w:rPr>
          <w:t>ecommendations</w:t>
        </w:r>
      </w:hyperlink>
      <w:r>
        <w:t>’</w:t>
      </w:r>
      <w:r w:rsidRPr="007333CF">
        <w:rPr>
          <w:rFonts w:cs="Arial"/>
          <w:szCs w:val="18"/>
        </w:rPr>
        <w:t xml:space="preserve">, </w:t>
      </w:r>
      <w:r w:rsidRPr="00870806">
        <w:rPr>
          <w:rFonts w:cs="Arial"/>
          <w:i/>
          <w:szCs w:val="18"/>
        </w:rPr>
        <w:t xml:space="preserve">Final </w:t>
      </w:r>
      <w:r>
        <w:rPr>
          <w:rFonts w:cs="Arial"/>
          <w:i/>
          <w:iCs/>
          <w:szCs w:val="18"/>
        </w:rPr>
        <w:t>r</w:t>
      </w:r>
      <w:r w:rsidRPr="00870806">
        <w:rPr>
          <w:rFonts w:cs="Arial"/>
          <w:i/>
          <w:szCs w:val="18"/>
        </w:rPr>
        <w:t>eport</w:t>
      </w:r>
      <w:r>
        <w:rPr>
          <w:rFonts w:cs="Arial"/>
          <w:szCs w:val="18"/>
        </w:rPr>
        <w:t xml:space="preserve">, Commonwealth of Australia, </w:t>
      </w:r>
      <w:r w:rsidRPr="007333CF">
        <w:rPr>
          <w:rFonts w:cs="Arial"/>
          <w:szCs w:val="18"/>
        </w:rPr>
        <w:t xml:space="preserve">September 2023, </w:t>
      </w:r>
      <w:r>
        <w:rPr>
          <w:rFonts w:cs="Arial"/>
          <w:szCs w:val="18"/>
        </w:rPr>
        <w:t xml:space="preserve">p 205, </w:t>
      </w:r>
      <w:r w:rsidRPr="007333CF">
        <w:rPr>
          <w:rFonts w:cs="Arial"/>
          <w:szCs w:val="18"/>
        </w:rPr>
        <w:t xml:space="preserve">accessed 11 May 2026; AHRC, </w:t>
      </w:r>
      <w:hyperlink r:id="rId113" w:history="1">
        <w:r w:rsidRPr="007333CF">
          <w:rPr>
            <w:rStyle w:val="Hyperlink"/>
            <w:rFonts w:cs="Arial"/>
            <w:i/>
            <w:szCs w:val="18"/>
          </w:rPr>
          <w:t xml:space="preserve">Equal </w:t>
        </w:r>
        <w:r w:rsidR="00C16287">
          <w:rPr>
            <w:rStyle w:val="Hyperlink"/>
            <w:rFonts w:cs="Arial"/>
            <w:i/>
            <w:szCs w:val="18"/>
          </w:rPr>
          <w:t>i</w:t>
        </w:r>
        <w:r w:rsidRPr="007333CF">
          <w:rPr>
            <w:rStyle w:val="Hyperlink"/>
            <w:rFonts w:cs="Arial"/>
            <w:i/>
            <w:szCs w:val="18"/>
          </w:rPr>
          <w:t>dentities: A human rights review of the experiences of trans and gender diverse people in Australia</w:t>
        </w:r>
      </w:hyperlink>
      <w:r w:rsidRPr="007333CF">
        <w:rPr>
          <w:rFonts w:cs="Arial"/>
          <w:szCs w:val="18"/>
        </w:rPr>
        <w:t xml:space="preserve">, </w:t>
      </w:r>
      <w:r>
        <w:rPr>
          <w:rFonts w:cs="Arial"/>
          <w:szCs w:val="18"/>
        </w:rPr>
        <w:t xml:space="preserve">AHRC, </w:t>
      </w:r>
      <w:r w:rsidRPr="007333CF">
        <w:rPr>
          <w:rFonts w:cs="Arial"/>
          <w:szCs w:val="18"/>
        </w:rPr>
        <w:t xml:space="preserve">March 2026, </w:t>
      </w:r>
      <w:r>
        <w:rPr>
          <w:rFonts w:cs="Arial"/>
          <w:szCs w:val="18"/>
        </w:rPr>
        <w:t xml:space="preserve">p 13, </w:t>
      </w:r>
      <w:r w:rsidRPr="007333CF">
        <w:rPr>
          <w:rFonts w:cs="Arial"/>
          <w:szCs w:val="18"/>
        </w:rPr>
        <w:t>accessed 18 May 2026.</w:t>
      </w:r>
    </w:p>
  </w:footnote>
  <w:footnote w:id="116">
    <w:p w14:paraId="0BDAACA6" w14:textId="77777777" w:rsidR="009D218F" w:rsidRPr="007333CF" w:rsidRDefault="009D218F" w:rsidP="009D218F">
      <w:pPr>
        <w:pStyle w:val="FootnoteText"/>
        <w:rPr>
          <w:rFonts w:cs="Arial"/>
          <w:szCs w:val="18"/>
        </w:rPr>
      </w:pPr>
      <w:r w:rsidRPr="007333CF">
        <w:rPr>
          <w:rStyle w:val="FootnoteReference"/>
          <w:rFonts w:cs="Arial"/>
          <w:szCs w:val="18"/>
        </w:rPr>
        <w:footnoteRef/>
      </w:r>
      <w:r w:rsidRPr="007333CF">
        <w:rPr>
          <w:rFonts w:cs="Arial"/>
          <w:szCs w:val="18"/>
        </w:rPr>
        <w:t xml:space="preserve"> FW Act, </w:t>
      </w:r>
      <w:r>
        <w:rPr>
          <w:rFonts w:cs="Arial"/>
          <w:szCs w:val="18"/>
        </w:rPr>
        <w:t>P</w:t>
      </w:r>
      <w:r w:rsidRPr="007333CF">
        <w:rPr>
          <w:rFonts w:cs="Arial"/>
          <w:szCs w:val="18"/>
        </w:rPr>
        <w:t>t</w:t>
      </w:r>
      <w:r w:rsidRPr="007333CF">
        <w:rPr>
          <w:rFonts w:eastAsia="Times New Roman" w:cs="Arial"/>
          <w:kern w:val="2"/>
          <w:szCs w:val="18"/>
          <w:lang w:eastAsia="en-AU"/>
          <w14:ligatures w14:val="standardContextual"/>
        </w:rPr>
        <w:t xml:space="preserve"> 2</w:t>
      </w:r>
      <w:r w:rsidRPr="007333CF">
        <w:t>–</w:t>
      </w:r>
      <w:r w:rsidRPr="007333CF">
        <w:rPr>
          <w:rFonts w:eastAsia="Times New Roman" w:cs="Arial"/>
          <w:kern w:val="2"/>
          <w:szCs w:val="18"/>
          <w:lang w:eastAsia="en-AU"/>
          <w14:ligatures w14:val="standardContextual"/>
        </w:rPr>
        <w:t xml:space="preserve">2, </w:t>
      </w:r>
      <w:r>
        <w:rPr>
          <w:rFonts w:eastAsia="Times New Roman" w:cs="Arial"/>
          <w:kern w:val="2"/>
          <w:szCs w:val="18"/>
          <w:lang w:eastAsia="en-AU"/>
          <w14:ligatures w14:val="standardContextual"/>
        </w:rPr>
        <w:t>D</w:t>
      </w:r>
      <w:r w:rsidRPr="007333CF">
        <w:rPr>
          <w:rFonts w:eastAsia="Times New Roman" w:cs="Arial"/>
          <w:kern w:val="2"/>
          <w:szCs w:val="18"/>
          <w:lang w:eastAsia="en-AU"/>
          <w14:ligatures w14:val="standardContextual"/>
        </w:rPr>
        <w:t>iv 10A.</w:t>
      </w:r>
    </w:p>
  </w:footnote>
  <w:footnote w:id="117">
    <w:p w14:paraId="5F1E0D4E" w14:textId="77777777" w:rsidR="009D218F" w:rsidRPr="007333CF" w:rsidRDefault="009D218F" w:rsidP="009D218F">
      <w:pPr>
        <w:spacing w:after="0"/>
        <w:rPr>
          <w:rFonts w:asciiTheme="minorHAnsi" w:hAnsiTheme="minorHAnsi" w:cs="Arial"/>
          <w:sz w:val="18"/>
          <w:szCs w:val="18"/>
        </w:rPr>
      </w:pPr>
      <w:r w:rsidRPr="007333CF">
        <w:rPr>
          <w:rStyle w:val="FootnoteReference"/>
          <w:rFonts w:asciiTheme="minorHAnsi" w:hAnsiTheme="minorHAnsi" w:cs="Arial"/>
          <w:sz w:val="18"/>
          <w:szCs w:val="18"/>
        </w:rPr>
        <w:footnoteRef/>
      </w:r>
      <w:r w:rsidRPr="007333CF">
        <w:rPr>
          <w:rFonts w:asciiTheme="minorHAnsi" w:hAnsiTheme="minorHAnsi" w:cs="Arial"/>
          <w:sz w:val="18"/>
          <w:szCs w:val="18"/>
        </w:rPr>
        <w:t xml:space="preserve"> For</w:t>
      </w:r>
      <w:r w:rsidRPr="007333CF">
        <w:rPr>
          <w:rFonts w:asciiTheme="minorHAnsi" w:hAnsiTheme="minorHAnsi"/>
          <w:sz w:val="18"/>
          <w:szCs w:val="20"/>
        </w:rPr>
        <w:t xml:space="preserve"> further discussion of harmful workplace behaviours see Chapter 7 – Broader considerations of the model</w:t>
      </w:r>
      <w:r w:rsidRPr="007333CF">
        <w:rPr>
          <w:rFonts w:asciiTheme="minorHAnsi" w:eastAsia="Aptos" w:hAnsiTheme="minorHAnsi" w:cs="Arial"/>
          <w:sz w:val="18"/>
          <w:szCs w:val="18"/>
        </w:rPr>
        <w:t xml:space="preserve"> WHS </w:t>
      </w:r>
      <w:r w:rsidRPr="007333CF">
        <w:rPr>
          <w:rFonts w:asciiTheme="minorHAnsi" w:hAnsiTheme="minorHAnsi"/>
          <w:sz w:val="18"/>
          <w:szCs w:val="20"/>
        </w:rPr>
        <w:t>Regulations</w:t>
      </w:r>
      <w:r>
        <w:rPr>
          <w:rFonts w:asciiTheme="minorHAnsi" w:hAnsiTheme="minorHAnsi"/>
          <w:sz w:val="18"/>
          <w:szCs w:val="20"/>
        </w:rPr>
        <w:t>;</w:t>
      </w:r>
      <w:r w:rsidRPr="007333CF">
        <w:rPr>
          <w:rFonts w:asciiTheme="minorHAnsi" w:hAnsiTheme="minorHAnsi"/>
          <w:sz w:val="18"/>
          <w:szCs w:val="20"/>
        </w:rPr>
        <w:t xml:space="preserve"> and Chapter 8.3</w:t>
      </w:r>
      <w:r w:rsidRPr="007333CF">
        <w:rPr>
          <w:rFonts w:asciiTheme="minorHAnsi" w:hAnsiTheme="minorHAnsi" w:cs="Arial"/>
          <w:sz w:val="18"/>
          <w:szCs w:val="18"/>
        </w:rPr>
        <w:t xml:space="preserve"> –</w:t>
      </w:r>
      <w:r w:rsidRPr="007333CF">
        <w:rPr>
          <w:rFonts w:asciiTheme="minorHAnsi" w:hAnsiTheme="minorHAnsi"/>
          <w:sz w:val="18"/>
          <w:szCs w:val="20"/>
        </w:rPr>
        <w:t xml:space="preserve"> Harmful workplace behaviours.</w:t>
      </w:r>
    </w:p>
  </w:footnote>
  <w:footnote w:id="118">
    <w:p w14:paraId="2E13C1E3" w14:textId="77777777" w:rsidR="0052488A" w:rsidRPr="007333CF" w:rsidRDefault="0052488A" w:rsidP="0052488A">
      <w:pPr>
        <w:pStyle w:val="FootnoteText"/>
      </w:pPr>
      <w:r w:rsidRPr="007333CF">
        <w:rPr>
          <w:rStyle w:val="FootnoteReference"/>
        </w:rPr>
        <w:footnoteRef/>
      </w:r>
      <w:r w:rsidRPr="007333CF">
        <w:t xml:space="preserve"> Model WHS Act, s 271A.</w:t>
      </w:r>
    </w:p>
  </w:footnote>
  <w:footnote w:id="119">
    <w:p w14:paraId="4701FC5A" w14:textId="77777777" w:rsidR="0052488A" w:rsidRPr="007333CF" w:rsidRDefault="0052488A" w:rsidP="0052488A">
      <w:pPr>
        <w:pStyle w:val="FootnoteText"/>
      </w:pPr>
      <w:r w:rsidRPr="007333CF">
        <w:rPr>
          <w:rStyle w:val="FootnoteReference"/>
        </w:rPr>
        <w:footnoteRef/>
      </w:r>
      <w:r w:rsidRPr="007333CF">
        <w:t xml:space="preserve"> Safe Work Australia, </w:t>
      </w:r>
      <w:hyperlink r:id="rId114" w:history="1">
        <w:r w:rsidRPr="00441079">
          <w:rPr>
            <w:rStyle w:val="Hyperlink"/>
          </w:rPr>
          <w:t>NCEP</w:t>
        </w:r>
      </w:hyperlink>
      <w:r w:rsidRPr="007333CF">
        <w:rPr>
          <w:i/>
          <w:iCs/>
        </w:rPr>
        <w:t>,</w:t>
      </w:r>
      <w:r w:rsidRPr="007333CF">
        <w:t xml:space="preserve"> </w:t>
      </w:r>
      <w:r>
        <w:t xml:space="preserve">Safe Work Australia, </w:t>
      </w:r>
      <w:r w:rsidRPr="007333CF">
        <w:t>2020,</w:t>
      </w:r>
      <w:r w:rsidRPr="007333CF">
        <w:rPr>
          <w:i/>
          <w:iCs/>
        </w:rPr>
        <w:t xml:space="preserve"> </w:t>
      </w:r>
      <w:r w:rsidRPr="007333CF">
        <w:t>p 7.</w:t>
      </w:r>
    </w:p>
  </w:footnote>
  <w:footnote w:id="120">
    <w:p w14:paraId="323AEF33" w14:textId="77777777" w:rsidR="0052488A" w:rsidRPr="007333CF" w:rsidRDefault="0052488A" w:rsidP="0052488A">
      <w:pPr>
        <w:pStyle w:val="FootnoteText"/>
      </w:pPr>
      <w:r w:rsidRPr="007333CF">
        <w:rPr>
          <w:rStyle w:val="FootnoteReference"/>
        </w:rPr>
        <w:footnoteRef/>
      </w:r>
      <w:r w:rsidRPr="007333CF">
        <w:t xml:space="preserve"> Safe Work Australia,</w:t>
      </w:r>
      <w:r>
        <w:t xml:space="preserve"> </w:t>
      </w:r>
      <w:hyperlink r:id="rId115" w:history="1">
        <w:r w:rsidRPr="00441079">
          <w:rPr>
            <w:rStyle w:val="Hyperlink"/>
          </w:rPr>
          <w:t>NCEP</w:t>
        </w:r>
      </w:hyperlink>
      <w:r w:rsidRPr="007333CF">
        <w:t xml:space="preserve">, </w:t>
      </w:r>
      <w:r>
        <w:t xml:space="preserve">Safe Work Australia, </w:t>
      </w:r>
      <w:r w:rsidRPr="007333CF">
        <w:t>2020, p 6.</w:t>
      </w:r>
    </w:p>
  </w:footnote>
  <w:footnote w:id="121">
    <w:p w14:paraId="19F73D97" w14:textId="7AA61A93" w:rsidR="0052488A" w:rsidRPr="007333CF" w:rsidRDefault="0052488A" w:rsidP="0052488A">
      <w:pPr>
        <w:pStyle w:val="FootnoteText"/>
        <w:rPr>
          <w:rFonts w:cs="Arial"/>
          <w:szCs w:val="18"/>
        </w:rPr>
      </w:pPr>
      <w:r w:rsidRPr="007333CF">
        <w:rPr>
          <w:rStyle w:val="FootnoteReference"/>
          <w:rFonts w:cs="Arial"/>
          <w:szCs w:val="18"/>
        </w:rPr>
        <w:footnoteRef/>
      </w:r>
      <w:r w:rsidRPr="007333CF">
        <w:rPr>
          <w:rFonts w:cs="Arial"/>
          <w:szCs w:val="18"/>
        </w:rPr>
        <w:t xml:space="preserve"> </w:t>
      </w:r>
      <w:hyperlink r:id="rId116" w:history="1">
        <w:r w:rsidRPr="007333CF">
          <w:rPr>
            <w:rStyle w:val="Hyperlink"/>
            <w:rFonts w:cs="Arial"/>
            <w:szCs w:val="18"/>
          </w:rPr>
          <w:t>Comcare</w:t>
        </w:r>
      </w:hyperlink>
      <w:r w:rsidRPr="007333CF">
        <w:rPr>
          <w:rFonts w:cs="Arial"/>
          <w:szCs w:val="18"/>
        </w:rPr>
        <w:t>, Submission, p 1; Comcare, Consultation, September 2025.</w:t>
      </w:r>
    </w:p>
  </w:footnote>
  <w:footnote w:id="122">
    <w:p w14:paraId="64B4BC63" w14:textId="77777777" w:rsidR="00602206" w:rsidRPr="007333CF" w:rsidRDefault="00602206" w:rsidP="00602206">
      <w:pPr>
        <w:pStyle w:val="FootnoteText"/>
        <w:rPr>
          <w:szCs w:val="18"/>
        </w:rPr>
      </w:pPr>
      <w:r w:rsidRPr="007333CF">
        <w:rPr>
          <w:rStyle w:val="FootnoteReference"/>
          <w:szCs w:val="18"/>
        </w:rPr>
        <w:footnoteRef/>
      </w:r>
      <w:r w:rsidRPr="007333CF">
        <w:rPr>
          <w:szCs w:val="18"/>
        </w:rPr>
        <w:t xml:space="preserve"> Heads of Workplace Safety Authorities, Consultation, April 2026.</w:t>
      </w:r>
    </w:p>
  </w:footnote>
  <w:footnote w:id="123">
    <w:p w14:paraId="04AC01CD" w14:textId="77777777" w:rsidR="00602206" w:rsidRPr="007333CF" w:rsidRDefault="00602206" w:rsidP="00602206">
      <w:pPr>
        <w:pStyle w:val="FootnoteText"/>
      </w:pPr>
      <w:r w:rsidRPr="007333CF">
        <w:rPr>
          <w:rStyle w:val="FootnoteReference"/>
          <w:szCs w:val="18"/>
        </w:rPr>
        <w:footnoteRef/>
      </w:r>
      <w:r w:rsidRPr="007333CF">
        <w:rPr>
          <w:szCs w:val="18"/>
        </w:rPr>
        <w:t xml:space="preserve"> SafeWork NSW, Consultation, May 2026.</w:t>
      </w:r>
    </w:p>
  </w:footnote>
  <w:footnote w:id="124">
    <w:p w14:paraId="55CDD529" w14:textId="5444C38B" w:rsidR="00602206" w:rsidRPr="007333CF" w:rsidRDefault="00602206" w:rsidP="00602206">
      <w:pPr>
        <w:pStyle w:val="FootnoteText"/>
        <w:rPr>
          <w:szCs w:val="18"/>
        </w:rPr>
      </w:pPr>
      <w:r w:rsidRPr="007333CF">
        <w:rPr>
          <w:rStyle w:val="FootnoteReference"/>
          <w:szCs w:val="18"/>
        </w:rPr>
        <w:footnoteRef/>
      </w:r>
      <w:r w:rsidRPr="007333CF" w:rsidDel="00105C80">
        <w:rPr>
          <w:szCs w:val="18"/>
        </w:rPr>
        <w:t xml:space="preserve"> </w:t>
      </w:r>
      <w:r w:rsidRPr="007333CF">
        <w:rPr>
          <w:szCs w:val="18"/>
        </w:rPr>
        <w:t xml:space="preserve">HWSA Chair, </w:t>
      </w:r>
      <w:r>
        <w:rPr>
          <w:szCs w:val="18"/>
        </w:rPr>
        <w:t xml:space="preserve">Correspondence, </w:t>
      </w:r>
      <w:r w:rsidRPr="007333CF">
        <w:rPr>
          <w:szCs w:val="18"/>
        </w:rPr>
        <w:t>February 2026.</w:t>
      </w:r>
    </w:p>
  </w:footnote>
  <w:footnote w:id="125">
    <w:p w14:paraId="54776EDE" w14:textId="77777777" w:rsidR="00602206" w:rsidRPr="007333CF" w:rsidRDefault="00602206" w:rsidP="00602206">
      <w:pPr>
        <w:pStyle w:val="FootnoteText"/>
      </w:pPr>
      <w:r w:rsidRPr="007333CF">
        <w:rPr>
          <w:rStyle w:val="FootnoteReference"/>
          <w:szCs w:val="18"/>
        </w:rPr>
        <w:footnoteRef/>
      </w:r>
      <w:r w:rsidRPr="007333CF">
        <w:rPr>
          <w:szCs w:val="18"/>
        </w:rPr>
        <w:t xml:space="preserve"> Heads of Workplace Safety Authorities, Consultation, April 2026.</w:t>
      </w:r>
    </w:p>
  </w:footnote>
  <w:footnote w:id="126">
    <w:p w14:paraId="04E526D9" w14:textId="77777777" w:rsidR="00602206" w:rsidRPr="007333CF" w:rsidRDefault="00602206" w:rsidP="00602206">
      <w:pPr>
        <w:pStyle w:val="FootnoteText"/>
        <w:rPr>
          <w:rFonts w:cs="Arial"/>
          <w:szCs w:val="18"/>
        </w:rPr>
      </w:pPr>
      <w:r w:rsidRPr="007333CF">
        <w:rPr>
          <w:rStyle w:val="FootnoteReference"/>
          <w:rFonts w:cs="Arial"/>
          <w:szCs w:val="18"/>
        </w:rPr>
        <w:footnoteRef/>
      </w:r>
      <w:r w:rsidRPr="007333CF">
        <w:rPr>
          <w:rFonts w:cs="Arial"/>
          <w:szCs w:val="18"/>
        </w:rPr>
        <w:t xml:space="preserve"> </w:t>
      </w:r>
      <w:hyperlink r:id="rId117" w:history="1">
        <w:r w:rsidRPr="007333CF">
          <w:rPr>
            <w:rStyle w:val="Hyperlink"/>
            <w:rFonts w:cs="Arial"/>
            <w:szCs w:val="18"/>
          </w:rPr>
          <w:t>AMSA</w:t>
        </w:r>
      </w:hyperlink>
      <w:r w:rsidRPr="007333CF">
        <w:rPr>
          <w:rFonts w:cs="Arial"/>
          <w:szCs w:val="18"/>
        </w:rPr>
        <w:t>, Submission, p 3.</w:t>
      </w:r>
    </w:p>
  </w:footnote>
  <w:footnote w:id="127">
    <w:p w14:paraId="66101165" w14:textId="642404F3" w:rsidR="00602206" w:rsidRPr="007333CF" w:rsidRDefault="00602206" w:rsidP="00602206">
      <w:pPr>
        <w:pStyle w:val="FootnoteText"/>
        <w:rPr>
          <w:rFonts w:cs="Arial"/>
          <w:szCs w:val="18"/>
        </w:rPr>
      </w:pPr>
      <w:r w:rsidRPr="007333CF">
        <w:rPr>
          <w:rStyle w:val="FootnoteReference"/>
          <w:rFonts w:cs="Arial"/>
          <w:szCs w:val="18"/>
        </w:rPr>
        <w:footnoteRef/>
      </w:r>
      <w:r w:rsidRPr="007333CF">
        <w:rPr>
          <w:rFonts w:cs="Arial"/>
          <w:szCs w:val="18"/>
        </w:rPr>
        <w:t xml:space="preserve"> </w:t>
      </w:r>
      <w:hyperlink r:id="rId118" w:history="1">
        <w:r w:rsidRPr="007333CF">
          <w:rPr>
            <w:rStyle w:val="Hyperlink"/>
            <w:rFonts w:cs="Arial"/>
            <w:szCs w:val="18"/>
          </w:rPr>
          <w:t>NHVR</w:t>
        </w:r>
      </w:hyperlink>
      <w:r w:rsidRPr="007333CF">
        <w:rPr>
          <w:rFonts w:cs="Arial"/>
          <w:szCs w:val="18"/>
        </w:rPr>
        <w:t>, Submission, p 6.</w:t>
      </w:r>
    </w:p>
  </w:footnote>
  <w:footnote w:id="128">
    <w:p w14:paraId="1178433C" w14:textId="77777777" w:rsidR="00602206" w:rsidRPr="007333CF" w:rsidRDefault="00602206" w:rsidP="00602206">
      <w:pPr>
        <w:pStyle w:val="FootnoteText"/>
        <w:rPr>
          <w:szCs w:val="18"/>
        </w:rPr>
      </w:pPr>
      <w:r w:rsidRPr="007333CF">
        <w:rPr>
          <w:rStyle w:val="FootnoteReference"/>
          <w:szCs w:val="18"/>
        </w:rPr>
        <w:footnoteRef/>
      </w:r>
      <w:r w:rsidRPr="007333CF">
        <w:rPr>
          <w:szCs w:val="18"/>
        </w:rPr>
        <w:t xml:space="preserve"> Regulators, Consultation, April 2026.</w:t>
      </w:r>
    </w:p>
  </w:footnote>
  <w:footnote w:id="129">
    <w:p w14:paraId="4DB80BB8" w14:textId="77777777" w:rsidR="00602206" w:rsidRPr="007333CF" w:rsidRDefault="00602206" w:rsidP="00602206">
      <w:pPr>
        <w:pStyle w:val="FootnoteText"/>
        <w:rPr>
          <w:rFonts w:cstheme="minorHAnsi"/>
          <w:szCs w:val="18"/>
        </w:rPr>
      </w:pPr>
      <w:r w:rsidRPr="007333CF">
        <w:rPr>
          <w:rStyle w:val="FootnoteReference"/>
          <w:rFonts w:cs="Arial"/>
          <w:szCs w:val="18"/>
        </w:rPr>
        <w:footnoteRef/>
      </w:r>
      <w:r w:rsidRPr="007333CF">
        <w:rPr>
          <w:rFonts w:cs="Arial"/>
          <w:szCs w:val="18"/>
        </w:rPr>
        <w:t xml:space="preserve"> </w:t>
      </w:r>
      <w:hyperlink r:id="rId119" w:history="1">
        <w:r w:rsidRPr="007333CF">
          <w:rPr>
            <w:rStyle w:val="Hyperlink"/>
            <w:rFonts w:cs="Arial"/>
            <w:szCs w:val="18"/>
          </w:rPr>
          <w:t>MCA</w:t>
        </w:r>
      </w:hyperlink>
      <w:r w:rsidRPr="007333CF">
        <w:rPr>
          <w:rFonts w:cs="Arial"/>
          <w:szCs w:val="18"/>
        </w:rPr>
        <w:t>, Submission, p 6.</w:t>
      </w:r>
    </w:p>
  </w:footnote>
  <w:footnote w:id="130">
    <w:p w14:paraId="28A67127" w14:textId="77777777" w:rsidR="00602206" w:rsidRPr="007333CF" w:rsidRDefault="00602206" w:rsidP="00602206">
      <w:pPr>
        <w:pStyle w:val="FootnoteText"/>
        <w:rPr>
          <w:szCs w:val="18"/>
        </w:rPr>
      </w:pPr>
      <w:r w:rsidRPr="007333CF">
        <w:rPr>
          <w:rStyle w:val="FootnoteReference"/>
          <w:szCs w:val="18"/>
        </w:rPr>
        <w:footnoteRef/>
      </w:r>
      <w:r w:rsidRPr="007333CF">
        <w:rPr>
          <w:szCs w:val="18"/>
        </w:rPr>
        <w:t xml:space="preserve"> Flight Attendants’ Association of Australia, Private Submission, p 4.</w:t>
      </w:r>
    </w:p>
  </w:footnote>
  <w:footnote w:id="131">
    <w:p w14:paraId="144FC0CF" w14:textId="77777777" w:rsidR="00602206" w:rsidRPr="007333CF" w:rsidRDefault="00602206" w:rsidP="00602206">
      <w:pPr>
        <w:pStyle w:val="FootnoteText"/>
      </w:pPr>
      <w:r w:rsidRPr="007333CF">
        <w:rPr>
          <w:rStyle w:val="FootnoteReference"/>
        </w:rPr>
        <w:footnoteRef/>
      </w:r>
      <w:r w:rsidRPr="007333CF">
        <w:t xml:space="preserve"> </w:t>
      </w:r>
      <w:r w:rsidRPr="007333CF">
        <w:rPr>
          <w:rFonts w:cs="Arial"/>
          <w:szCs w:val="18"/>
        </w:rPr>
        <w:t>Affected Family and Workers Advisory Committee, Consultation, December 2025; Workplace Incidents Consultative Committee, Consultation, December 2025; Consultative Committee for Work-related Fatalities and Serious Incidents, Consultation, February 2026.</w:t>
      </w:r>
    </w:p>
  </w:footnote>
  <w:footnote w:id="132">
    <w:p w14:paraId="52A47E4B" w14:textId="77777777" w:rsidR="00602206" w:rsidRPr="007333CF" w:rsidRDefault="00602206" w:rsidP="00602206">
      <w:pPr>
        <w:pStyle w:val="FootnoteText"/>
        <w:rPr>
          <w:rFonts w:cs="Arial"/>
          <w:szCs w:val="18"/>
        </w:rPr>
      </w:pPr>
      <w:r w:rsidRPr="007333CF">
        <w:rPr>
          <w:rStyle w:val="FootnoteReference"/>
          <w:rFonts w:cs="Arial"/>
          <w:szCs w:val="18"/>
        </w:rPr>
        <w:footnoteRef/>
      </w:r>
      <w:r w:rsidRPr="007333CF">
        <w:rPr>
          <w:rFonts w:cs="Arial"/>
          <w:szCs w:val="18"/>
        </w:rPr>
        <w:t xml:space="preserve"> Comcare, Consultation, September 2025; </w:t>
      </w:r>
      <w:hyperlink r:id="rId120" w:history="1">
        <w:r>
          <w:rPr>
            <w:rStyle w:val="Hyperlink"/>
            <w:rFonts w:cs="Arial"/>
            <w:szCs w:val="18"/>
          </w:rPr>
          <w:t>ACFA</w:t>
        </w:r>
      </w:hyperlink>
      <w:r w:rsidRPr="007333CF">
        <w:rPr>
          <w:rFonts w:cs="Arial"/>
          <w:szCs w:val="18"/>
        </w:rPr>
        <w:t xml:space="preserve">, Submission, p 6; </w:t>
      </w:r>
      <w:hyperlink r:id="rId121" w:history="1">
        <w:r w:rsidRPr="007333CF">
          <w:rPr>
            <w:rStyle w:val="Hyperlink"/>
            <w:rFonts w:cs="Arial"/>
            <w:szCs w:val="18"/>
          </w:rPr>
          <w:t>AIHS</w:t>
        </w:r>
      </w:hyperlink>
      <w:r w:rsidRPr="007333CF">
        <w:rPr>
          <w:rFonts w:cs="Arial"/>
          <w:szCs w:val="18"/>
        </w:rPr>
        <w:t>, Submission, p 13.</w:t>
      </w:r>
    </w:p>
  </w:footnote>
  <w:footnote w:id="133">
    <w:p w14:paraId="78372B66" w14:textId="77777777" w:rsidR="00193D5D" w:rsidRPr="007333CF" w:rsidRDefault="00193D5D" w:rsidP="00193D5D">
      <w:pPr>
        <w:pStyle w:val="FootnoteText"/>
        <w:rPr>
          <w:rFonts w:cs="Arial"/>
          <w:szCs w:val="18"/>
        </w:rPr>
      </w:pPr>
      <w:r w:rsidRPr="007333CF">
        <w:rPr>
          <w:rStyle w:val="FootnoteReference"/>
          <w:rFonts w:cs="Arial"/>
          <w:szCs w:val="18"/>
        </w:rPr>
        <w:footnoteRef/>
      </w:r>
      <w:r w:rsidRPr="007333CF">
        <w:rPr>
          <w:rFonts w:cs="Arial"/>
          <w:szCs w:val="18"/>
        </w:rPr>
        <w:t xml:space="preserve"> </w:t>
      </w:r>
      <w:hyperlink r:id="rId122" w:history="1">
        <w:r w:rsidRPr="007333CF">
          <w:rPr>
            <w:rStyle w:val="Hyperlink"/>
            <w:rFonts w:cs="Arial"/>
            <w:szCs w:val="18"/>
          </w:rPr>
          <w:t>AIHS</w:t>
        </w:r>
      </w:hyperlink>
      <w:r w:rsidRPr="007333CF">
        <w:rPr>
          <w:rFonts w:cs="Arial"/>
          <w:szCs w:val="18"/>
        </w:rPr>
        <w:t>, Submission, p 21.</w:t>
      </w:r>
    </w:p>
  </w:footnote>
  <w:footnote w:id="134">
    <w:p w14:paraId="7788D586" w14:textId="77777777" w:rsidR="00193D5D" w:rsidRPr="007333CF" w:rsidRDefault="00193D5D" w:rsidP="00193D5D">
      <w:pPr>
        <w:pStyle w:val="FootnoteText"/>
      </w:pPr>
      <w:r w:rsidRPr="007333CF">
        <w:rPr>
          <w:rStyle w:val="FootnoteReference"/>
        </w:rPr>
        <w:footnoteRef/>
      </w:r>
      <w:r w:rsidRPr="007333CF">
        <w:t xml:space="preserve"> See Chapter 1.3 </w:t>
      </w:r>
      <w:r w:rsidRPr="007333CF">
        <w:rPr>
          <w:rFonts w:eastAsia="Aptos"/>
        </w:rPr>
        <w:t>– Harmonisation in the approach to compliance and enforcement</w:t>
      </w:r>
      <w:r w:rsidRPr="007333CF">
        <w:rPr>
          <w:rFonts w:eastAsia="Aptos"/>
          <w:szCs w:val="18"/>
        </w:rPr>
        <w:t>.</w:t>
      </w:r>
    </w:p>
  </w:footnote>
  <w:footnote w:id="135">
    <w:p w14:paraId="57745E0E" w14:textId="4732DBF1" w:rsidR="00193D5D" w:rsidRPr="007333CF" w:rsidRDefault="00193D5D" w:rsidP="00193D5D">
      <w:pPr>
        <w:pStyle w:val="FootnoteText"/>
        <w:rPr>
          <w:rFonts w:cstheme="minorHAnsi"/>
          <w:szCs w:val="18"/>
        </w:rPr>
      </w:pPr>
      <w:r w:rsidRPr="007333CF">
        <w:rPr>
          <w:rStyle w:val="FootnoteReference"/>
          <w:szCs w:val="18"/>
        </w:rPr>
        <w:footnoteRef/>
      </w:r>
      <w:r w:rsidRPr="007333CF">
        <w:rPr>
          <w:szCs w:val="18"/>
        </w:rPr>
        <w:t xml:space="preserve"> </w:t>
      </w:r>
      <w:r w:rsidRPr="007333CF">
        <w:rPr>
          <w:rFonts w:cs="Arial"/>
          <w:szCs w:val="18"/>
        </w:rPr>
        <w:t>Heads of Workplace Safety Authorities, Consultation, September 2025.</w:t>
      </w:r>
    </w:p>
  </w:footnote>
  <w:footnote w:id="136">
    <w:p w14:paraId="57FFB837" w14:textId="77777777" w:rsidR="00CC2AA2" w:rsidRPr="00546E90" w:rsidDel="00CE189E" w:rsidRDefault="00CC2AA2" w:rsidP="00CC2AA2">
      <w:pPr>
        <w:pStyle w:val="FootnoteText"/>
        <w:rPr>
          <w:rFonts w:cs="Arial"/>
          <w:szCs w:val="18"/>
        </w:rPr>
      </w:pPr>
      <w:r w:rsidRPr="00546E90">
        <w:rPr>
          <w:rStyle w:val="FootnoteReference"/>
          <w:rFonts w:cs="Arial"/>
          <w:szCs w:val="18"/>
        </w:rPr>
        <w:footnoteRef/>
      </w:r>
      <w:r w:rsidRPr="00546E90">
        <w:rPr>
          <w:rFonts w:cs="Arial"/>
          <w:szCs w:val="18"/>
        </w:rPr>
        <w:t xml:space="preserve"> Tas ACCI, Consultation, October 2025; Acran Sound Control, Consultation, December 2025.</w:t>
      </w:r>
    </w:p>
  </w:footnote>
  <w:footnote w:id="137">
    <w:p w14:paraId="1EFD2EBE" w14:textId="77777777" w:rsidR="007438F1" w:rsidRPr="00546E90" w:rsidRDefault="007438F1" w:rsidP="007438F1">
      <w:pPr>
        <w:pStyle w:val="FootnoteText"/>
        <w:rPr>
          <w:rFonts w:cs="Arial"/>
          <w:szCs w:val="18"/>
        </w:rPr>
      </w:pPr>
      <w:r w:rsidRPr="00546E90">
        <w:rPr>
          <w:rStyle w:val="FootnoteReference"/>
          <w:rFonts w:cs="Arial"/>
          <w:szCs w:val="18"/>
        </w:rPr>
        <w:footnoteRef/>
      </w:r>
      <w:r w:rsidRPr="00546E90">
        <w:rPr>
          <w:rFonts w:cs="Arial"/>
          <w:szCs w:val="18"/>
        </w:rPr>
        <w:t xml:space="preserve"> SA WHS Act, s 17(2).</w:t>
      </w:r>
    </w:p>
  </w:footnote>
  <w:footnote w:id="138">
    <w:p w14:paraId="71F6DF93" w14:textId="77777777" w:rsidR="007438F1" w:rsidRPr="00546E90" w:rsidRDefault="007438F1" w:rsidP="007438F1">
      <w:pPr>
        <w:pStyle w:val="FootnoteText"/>
      </w:pPr>
      <w:r w:rsidRPr="00546E90">
        <w:rPr>
          <w:rStyle w:val="FootnoteReference"/>
        </w:rPr>
        <w:footnoteRef/>
      </w:r>
      <w:r w:rsidRPr="00546E90">
        <w:t xml:space="preserve"> </w:t>
      </w:r>
      <w:hyperlink r:id="rId123" w:history="1">
        <w:r w:rsidRPr="00546E90">
          <w:rPr>
            <w:rStyle w:val="Hyperlink"/>
            <w:rFonts w:cs="Arial"/>
            <w:szCs w:val="18"/>
          </w:rPr>
          <w:t>Anonymous</w:t>
        </w:r>
      </w:hyperlink>
      <w:r w:rsidRPr="00546E90">
        <w:rPr>
          <w:rFonts w:cs="Arial"/>
          <w:szCs w:val="18"/>
        </w:rPr>
        <w:t>, Submission #137, p 9.</w:t>
      </w:r>
    </w:p>
  </w:footnote>
  <w:footnote w:id="139">
    <w:p w14:paraId="26EBFF38" w14:textId="77777777" w:rsidR="007438F1" w:rsidRPr="00546E90" w:rsidRDefault="007438F1" w:rsidP="007438F1">
      <w:pPr>
        <w:pStyle w:val="FootnoteText"/>
      </w:pPr>
      <w:r w:rsidRPr="00546E90">
        <w:rPr>
          <w:rStyle w:val="FootnoteReference"/>
        </w:rPr>
        <w:footnoteRef/>
      </w:r>
      <w:r w:rsidRPr="00546E90">
        <w:t xml:space="preserve"> </w:t>
      </w:r>
      <w:hyperlink r:id="rId124" w:history="1">
        <w:r w:rsidRPr="00546E90">
          <w:rPr>
            <w:rStyle w:val="Hyperlink"/>
            <w:rFonts w:cs="Arial"/>
            <w:szCs w:val="18"/>
          </w:rPr>
          <w:t>WorkSafe WA</w:t>
        </w:r>
      </w:hyperlink>
      <w:r w:rsidRPr="00546E90">
        <w:rPr>
          <w:rFonts w:cs="Arial"/>
          <w:szCs w:val="18"/>
        </w:rPr>
        <w:t>, Submission, p 11.</w:t>
      </w:r>
    </w:p>
  </w:footnote>
  <w:footnote w:id="140">
    <w:p w14:paraId="7F90D91C" w14:textId="77777777" w:rsidR="00530FF5" w:rsidRPr="00546E90" w:rsidRDefault="00530FF5" w:rsidP="00530FF5">
      <w:pPr>
        <w:pStyle w:val="FootnoteText"/>
      </w:pPr>
      <w:r w:rsidRPr="00546E90">
        <w:rPr>
          <w:rStyle w:val="FootnoteReference"/>
        </w:rPr>
        <w:footnoteRef/>
      </w:r>
      <w:r w:rsidRPr="00546E90">
        <w:t xml:space="preserve"> Model WHS Act</w:t>
      </w:r>
      <w:r>
        <w:t>,</w:t>
      </w:r>
      <w:r w:rsidRPr="00546E90">
        <w:t xml:space="preserve"> s 16.</w:t>
      </w:r>
    </w:p>
  </w:footnote>
  <w:footnote w:id="141">
    <w:p w14:paraId="72E60AF8" w14:textId="77777777" w:rsidR="00530FF5" w:rsidRPr="00546E90" w:rsidRDefault="00530FF5" w:rsidP="00530FF5">
      <w:pPr>
        <w:pStyle w:val="FootnoteText"/>
      </w:pPr>
      <w:r w:rsidRPr="00546E90">
        <w:rPr>
          <w:rStyle w:val="FootnoteReference"/>
        </w:rPr>
        <w:footnoteRef/>
      </w:r>
      <w:r w:rsidRPr="00546E90">
        <w:t xml:space="preserve"> Model WHS Act</w:t>
      </w:r>
      <w:r>
        <w:t>,</w:t>
      </w:r>
      <w:r w:rsidRPr="00546E90">
        <w:t xml:space="preserve"> s 46.</w:t>
      </w:r>
    </w:p>
  </w:footnote>
  <w:footnote w:id="142">
    <w:p w14:paraId="59C3B88B" w14:textId="77777777" w:rsidR="00CD008B" w:rsidRPr="00546E90" w:rsidRDefault="00CD008B" w:rsidP="00CD008B">
      <w:pPr>
        <w:pStyle w:val="FootnoteText"/>
        <w:rPr>
          <w:rFonts w:cs="Arial"/>
          <w:szCs w:val="18"/>
        </w:rPr>
      </w:pPr>
      <w:r w:rsidRPr="00546E90">
        <w:rPr>
          <w:rStyle w:val="FootnoteReference"/>
          <w:rFonts w:cs="Arial"/>
          <w:szCs w:val="18"/>
        </w:rPr>
        <w:footnoteRef/>
      </w:r>
      <w:r w:rsidRPr="00546E90">
        <w:rPr>
          <w:rFonts w:cs="Arial"/>
          <w:szCs w:val="18"/>
        </w:rPr>
        <w:t xml:space="preserve"> Model WHS Act, s 18.</w:t>
      </w:r>
    </w:p>
  </w:footnote>
  <w:footnote w:id="143">
    <w:p w14:paraId="6DF63539" w14:textId="24029FAD" w:rsidR="00D6064F" w:rsidRPr="00546E90" w:rsidRDefault="00D6064F" w:rsidP="00D6064F">
      <w:pPr>
        <w:pStyle w:val="FootnoteText"/>
        <w:rPr>
          <w:szCs w:val="18"/>
        </w:rPr>
      </w:pPr>
      <w:r w:rsidRPr="00546E90">
        <w:rPr>
          <w:rStyle w:val="FootnoteReference"/>
          <w:szCs w:val="18"/>
        </w:rPr>
        <w:footnoteRef/>
      </w:r>
      <w:r w:rsidRPr="00546E90">
        <w:rPr>
          <w:szCs w:val="18"/>
        </w:rPr>
        <w:t xml:space="preserve"> </w:t>
      </w:r>
      <w:hyperlink r:id="rId125" w:history="1">
        <w:r w:rsidRPr="00546E90">
          <w:rPr>
            <w:rStyle w:val="Hyperlink"/>
            <w:szCs w:val="18"/>
          </w:rPr>
          <w:t>CFMEU</w:t>
        </w:r>
      </w:hyperlink>
      <w:r w:rsidRPr="00546E90">
        <w:rPr>
          <w:szCs w:val="18"/>
        </w:rPr>
        <w:t>, Submission, pp 5–8.</w:t>
      </w:r>
    </w:p>
  </w:footnote>
  <w:footnote w:id="144">
    <w:p w14:paraId="1964CFCF" w14:textId="77777777" w:rsidR="00D6064F" w:rsidRPr="00546E90" w:rsidRDefault="00D6064F" w:rsidP="00D6064F">
      <w:pPr>
        <w:pStyle w:val="FootnoteText"/>
        <w:rPr>
          <w:rFonts w:cs="Arial"/>
          <w:szCs w:val="18"/>
        </w:rPr>
      </w:pPr>
      <w:r w:rsidRPr="00546E90">
        <w:rPr>
          <w:rStyle w:val="FootnoteReference"/>
          <w:rFonts w:cs="Arial"/>
          <w:szCs w:val="18"/>
        </w:rPr>
        <w:footnoteRef/>
      </w:r>
      <w:r w:rsidRPr="00546E90">
        <w:rPr>
          <w:rFonts w:cs="Arial"/>
          <w:szCs w:val="18"/>
        </w:rPr>
        <w:t xml:space="preserve"> </w:t>
      </w:r>
      <w:hyperlink r:id="rId126" w:history="1">
        <w:r w:rsidRPr="00546E90">
          <w:rPr>
            <w:rStyle w:val="Hyperlink"/>
            <w:rFonts w:cs="Arial"/>
            <w:szCs w:val="18"/>
          </w:rPr>
          <w:t>Small Business Development Corporation WA</w:t>
        </w:r>
      </w:hyperlink>
      <w:r w:rsidRPr="00546E90">
        <w:rPr>
          <w:rFonts w:cs="Arial"/>
          <w:szCs w:val="18"/>
        </w:rPr>
        <w:t xml:space="preserve">, Submission, p 2; </w:t>
      </w:r>
      <w:hyperlink r:id="rId127" w:history="1">
        <w:r w:rsidRPr="00546E90">
          <w:rPr>
            <w:rStyle w:val="Hyperlink"/>
            <w:rFonts w:cs="Arial"/>
            <w:szCs w:val="18"/>
          </w:rPr>
          <w:t>AIH</w:t>
        </w:r>
        <w:r w:rsidRPr="00546E90">
          <w:rPr>
            <w:rStyle w:val="Hyperlink"/>
          </w:rPr>
          <w:t>S</w:t>
        </w:r>
      </w:hyperlink>
      <w:r w:rsidRPr="00546E90">
        <w:rPr>
          <w:rFonts w:cs="Arial"/>
          <w:szCs w:val="18"/>
        </w:rPr>
        <w:t>, Submission, p 15; Submission #30 (survey response).</w:t>
      </w:r>
    </w:p>
  </w:footnote>
  <w:footnote w:id="145">
    <w:p w14:paraId="4B84F4AA" w14:textId="77777777" w:rsidR="00D6064F" w:rsidRPr="00546E90" w:rsidRDefault="00D6064F" w:rsidP="00D6064F">
      <w:pPr>
        <w:pStyle w:val="FootnoteText"/>
        <w:rPr>
          <w:rFonts w:cstheme="minorHAnsi"/>
          <w:szCs w:val="18"/>
        </w:rPr>
      </w:pPr>
      <w:r w:rsidRPr="00546E90">
        <w:rPr>
          <w:rStyle w:val="FootnoteReference"/>
          <w:rFonts w:cs="Arial"/>
          <w:szCs w:val="18"/>
        </w:rPr>
        <w:footnoteRef/>
      </w:r>
      <w:r w:rsidRPr="00546E90">
        <w:rPr>
          <w:rFonts w:cs="Arial"/>
          <w:szCs w:val="18"/>
        </w:rPr>
        <w:t xml:space="preserve"> Submission #30 (survey response).</w:t>
      </w:r>
    </w:p>
  </w:footnote>
  <w:footnote w:id="146">
    <w:p w14:paraId="117CC4A4" w14:textId="77777777" w:rsidR="00B13697" w:rsidRPr="00546E90" w:rsidRDefault="00B13697" w:rsidP="00B13697">
      <w:pPr>
        <w:pStyle w:val="FootnoteText"/>
      </w:pPr>
      <w:r w:rsidRPr="00546E90">
        <w:rPr>
          <w:rStyle w:val="FootnoteReference"/>
        </w:rPr>
        <w:footnoteRef/>
      </w:r>
      <w:r w:rsidRPr="00546E90">
        <w:t xml:space="preserve"> R Stewart-Crompton, S Mayman </w:t>
      </w:r>
      <w:r>
        <w:t>and</w:t>
      </w:r>
      <w:r w:rsidRPr="00546E90">
        <w:t xml:space="preserve"> B Sherriff, </w:t>
      </w:r>
      <w:hyperlink r:id="rId128" w:history="1">
        <w:r w:rsidRPr="00546E90">
          <w:rPr>
            <w:rStyle w:val="Hyperlink"/>
            <w:i/>
            <w:iCs/>
          </w:rPr>
          <w:t xml:space="preserve">National </w:t>
        </w:r>
        <w:r>
          <w:rPr>
            <w:rStyle w:val="Hyperlink"/>
            <w:i/>
            <w:iCs/>
          </w:rPr>
          <w:t>R</w:t>
        </w:r>
        <w:r w:rsidRPr="00546E90">
          <w:rPr>
            <w:rStyle w:val="Hyperlink"/>
            <w:i/>
            <w:iCs/>
          </w:rPr>
          <w:t xml:space="preserve">eview into </w:t>
        </w:r>
        <w:r>
          <w:rPr>
            <w:rStyle w:val="Hyperlink"/>
            <w:i/>
            <w:iCs/>
          </w:rPr>
          <w:t>M</w:t>
        </w:r>
        <w:r w:rsidRPr="00546E90">
          <w:rPr>
            <w:rStyle w:val="Hyperlink"/>
            <w:i/>
            <w:iCs/>
          </w:rPr>
          <w:t xml:space="preserve">odel </w:t>
        </w:r>
        <w:r>
          <w:rPr>
            <w:rStyle w:val="Hyperlink"/>
            <w:i/>
            <w:iCs/>
          </w:rPr>
          <w:t>O</w:t>
        </w:r>
        <w:r w:rsidRPr="00546E90">
          <w:rPr>
            <w:rStyle w:val="Hyperlink"/>
            <w:i/>
            <w:iCs/>
          </w:rPr>
          <w:t xml:space="preserve">ccupational </w:t>
        </w:r>
        <w:r>
          <w:rPr>
            <w:rStyle w:val="Hyperlink"/>
            <w:i/>
            <w:iCs/>
          </w:rPr>
          <w:t>H</w:t>
        </w:r>
        <w:r w:rsidRPr="00546E90">
          <w:rPr>
            <w:rStyle w:val="Hyperlink"/>
            <w:i/>
            <w:iCs/>
          </w:rPr>
          <w:t xml:space="preserve">ealth and </w:t>
        </w:r>
        <w:r>
          <w:rPr>
            <w:rStyle w:val="Hyperlink"/>
            <w:i/>
            <w:iCs/>
          </w:rPr>
          <w:t>S</w:t>
        </w:r>
        <w:r w:rsidRPr="00546E90">
          <w:rPr>
            <w:rStyle w:val="Hyperlink"/>
            <w:i/>
            <w:iCs/>
          </w:rPr>
          <w:t xml:space="preserve">afety </w:t>
        </w:r>
        <w:r>
          <w:rPr>
            <w:rStyle w:val="Hyperlink"/>
            <w:i/>
            <w:iCs/>
          </w:rPr>
          <w:t>L</w:t>
        </w:r>
        <w:r w:rsidRPr="00546E90">
          <w:rPr>
            <w:rStyle w:val="Hyperlink"/>
            <w:i/>
            <w:iCs/>
          </w:rPr>
          <w:t xml:space="preserve">aws: </w:t>
        </w:r>
        <w:r>
          <w:rPr>
            <w:rStyle w:val="Hyperlink"/>
            <w:i/>
            <w:iCs/>
          </w:rPr>
          <w:t>f</w:t>
        </w:r>
        <w:r w:rsidRPr="00546E90">
          <w:rPr>
            <w:rStyle w:val="Hyperlink"/>
            <w:i/>
            <w:iCs/>
          </w:rPr>
          <w:t>irst report</w:t>
        </w:r>
      </w:hyperlink>
      <w:r w:rsidRPr="00546E90">
        <w:t xml:space="preserve">, Department of Employment and Workplace Relations, </w:t>
      </w:r>
      <w:r>
        <w:t xml:space="preserve">Australian Government, </w:t>
      </w:r>
      <w:r w:rsidRPr="00546E90">
        <w:t>2008, Recommendation 37.</w:t>
      </w:r>
    </w:p>
  </w:footnote>
  <w:footnote w:id="147">
    <w:p w14:paraId="0A2CF11B" w14:textId="77777777" w:rsidR="00AA32B4" w:rsidRPr="006B185E" w:rsidRDefault="00AA32B4" w:rsidP="00AA32B4">
      <w:pPr>
        <w:pStyle w:val="FootnoteText"/>
        <w:rPr>
          <w:rFonts w:cs="Arial"/>
          <w:szCs w:val="18"/>
        </w:rPr>
      </w:pPr>
      <w:r w:rsidRPr="00546E90">
        <w:rPr>
          <w:rStyle w:val="FootnoteReference"/>
          <w:rFonts w:cs="Arial"/>
          <w:szCs w:val="18"/>
        </w:rPr>
        <w:footnoteRef/>
      </w:r>
      <w:r w:rsidRPr="00546E90">
        <w:rPr>
          <w:rFonts w:cs="Arial"/>
          <w:szCs w:val="18"/>
        </w:rPr>
        <w:t xml:space="preserve"> </w:t>
      </w:r>
      <w:hyperlink r:id="rId129" w:history="1">
        <w:r w:rsidRPr="00546E90">
          <w:rPr>
            <w:rStyle w:val="Hyperlink"/>
            <w:rFonts w:cs="Arial"/>
            <w:szCs w:val="18"/>
          </w:rPr>
          <w:t>WorkSafe WA</w:t>
        </w:r>
      </w:hyperlink>
      <w:r w:rsidRPr="00546E90">
        <w:rPr>
          <w:rFonts w:cs="Arial"/>
          <w:szCs w:val="18"/>
        </w:rPr>
        <w:t>, Submission, pp 11–12.</w:t>
      </w:r>
    </w:p>
  </w:footnote>
  <w:footnote w:id="148">
    <w:p w14:paraId="25F59801" w14:textId="77777777" w:rsidR="00E05FE5" w:rsidRPr="00546E90" w:rsidRDefault="00E05FE5" w:rsidP="00E05FE5">
      <w:pPr>
        <w:pStyle w:val="FootnoteText"/>
        <w:rPr>
          <w:rFonts w:cs="Arial"/>
          <w:szCs w:val="18"/>
        </w:rPr>
      </w:pPr>
      <w:r w:rsidRPr="00546E90">
        <w:rPr>
          <w:rStyle w:val="FootnoteReference"/>
          <w:rFonts w:cs="Arial"/>
          <w:szCs w:val="18"/>
        </w:rPr>
        <w:footnoteRef/>
      </w:r>
      <w:r w:rsidRPr="00546E90">
        <w:rPr>
          <w:rFonts w:cs="Arial"/>
          <w:szCs w:val="18"/>
        </w:rPr>
        <w:t xml:space="preserve"> Model WHS Regulations, r</w:t>
      </w:r>
      <w:r>
        <w:rPr>
          <w:rFonts w:cs="Arial"/>
          <w:szCs w:val="18"/>
        </w:rPr>
        <w:t>eg</w:t>
      </w:r>
      <w:r w:rsidRPr="00546E90">
        <w:rPr>
          <w:rFonts w:cs="Arial"/>
          <w:szCs w:val="18"/>
        </w:rPr>
        <w:t xml:space="preserve"> 32.</w:t>
      </w:r>
    </w:p>
  </w:footnote>
  <w:footnote w:id="149">
    <w:p w14:paraId="59D530EF" w14:textId="77777777" w:rsidR="00E05FE5" w:rsidRPr="00546E90" w:rsidRDefault="00E05FE5" w:rsidP="00E05FE5">
      <w:pPr>
        <w:pStyle w:val="FootnoteText"/>
        <w:rPr>
          <w:rFonts w:cs="Arial"/>
          <w:szCs w:val="18"/>
        </w:rPr>
      </w:pPr>
      <w:r w:rsidRPr="00546E90">
        <w:rPr>
          <w:rStyle w:val="FootnoteReference"/>
          <w:rFonts w:cs="Arial"/>
          <w:szCs w:val="18"/>
        </w:rPr>
        <w:footnoteRef/>
      </w:r>
      <w:r w:rsidRPr="00546E90">
        <w:rPr>
          <w:rFonts w:cs="Arial"/>
          <w:szCs w:val="18"/>
        </w:rPr>
        <w:t xml:space="preserve"> C Allen, C Massy and D Swan, </w:t>
      </w:r>
      <w:hyperlink r:id="rId130" w:history="1">
        <w:r w:rsidRPr="00546E90">
          <w:rPr>
            <w:rStyle w:val="Hyperlink"/>
            <w:rFonts w:cs="Arial"/>
            <w:i/>
            <w:szCs w:val="18"/>
          </w:rPr>
          <w:t>Review of the Work Health and Safety Act 2011</w:t>
        </w:r>
      </w:hyperlink>
      <w:r w:rsidRPr="00546E90">
        <w:rPr>
          <w:rFonts w:cs="Arial"/>
          <w:szCs w:val="18"/>
        </w:rPr>
        <w:t xml:space="preserve">, </w:t>
      </w:r>
      <w:r>
        <w:rPr>
          <w:rFonts w:cs="Arial"/>
          <w:szCs w:val="18"/>
        </w:rPr>
        <w:t xml:space="preserve">Queensland </w:t>
      </w:r>
      <w:r w:rsidRPr="00546E90">
        <w:rPr>
          <w:rFonts w:cs="Arial"/>
          <w:szCs w:val="18"/>
        </w:rPr>
        <w:t>Government, 2022, p 95.</w:t>
      </w:r>
    </w:p>
  </w:footnote>
  <w:footnote w:id="150">
    <w:p w14:paraId="62C3211B" w14:textId="2F446A82" w:rsidR="00E05FE5" w:rsidRPr="00546E90" w:rsidRDefault="00E05FE5" w:rsidP="00E05FE5">
      <w:pPr>
        <w:pStyle w:val="FootnoteText"/>
        <w:rPr>
          <w:rFonts w:cs="Arial"/>
          <w:szCs w:val="18"/>
        </w:rPr>
      </w:pPr>
      <w:r w:rsidRPr="00546E90">
        <w:rPr>
          <w:rStyle w:val="FootnoteReference"/>
          <w:rFonts w:cs="Arial"/>
          <w:szCs w:val="18"/>
        </w:rPr>
        <w:footnoteRef/>
      </w:r>
      <w:r w:rsidRPr="00546E90">
        <w:rPr>
          <w:rFonts w:cs="Arial"/>
          <w:szCs w:val="18"/>
        </w:rPr>
        <w:t xml:space="preserve"> Safe Work Australia, </w:t>
      </w:r>
      <w:hyperlink r:id="rId131" w:history="1">
        <w:r w:rsidRPr="00546E90">
          <w:rPr>
            <w:rStyle w:val="Hyperlink"/>
            <w:rFonts w:cs="Arial"/>
            <w:i/>
            <w:szCs w:val="18"/>
          </w:rPr>
          <w:t xml:space="preserve">Review of the model </w:t>
        </w:r>
        <w:r>
          <w:rPr>
            <w:rStyle w:val="Hyperlink"/>
            <w:rFonts w:cs="Arial"/>
            <w:i/>
            <w:szCs w:val="18"/>
          </w:rPr>
          <w:t>W</w:t>
        </w:r>
        <w:r w:rsidRPr="00546E90">
          <w:rPr>
            <w:rStyle w:val="Hyperlink"/>
            <w:rFonts w:cs="Arial"/>
            <w:i/>
            <w:szCs w:val="18"/>
          </w:rPr>
          <w:t xml:space="preserve">ork </w:t>
        </w:r>
        <w:r w:rsidRPr="00546E90" w:rsidDel="00667341">
          <w:rPr>
            <w:rStyle w:val="Hyperlink"/>
            <w:rFonts w:cs="Arial"/>
            <w:i/>
            <w:szCs w:val="18"/>
          </w:rPr>
          <w:t>H</w:t>
        </w:r>
        <w:r w:rsidRPr="00546E90">
          <w:rPr>
            <w:rStyle w:val="Hyperlink"/>
            <w:rFonts w:cs="Arial"/>
            <w:i/>
            <w:szCs w:val="18"/>
          </w:rPr>
          <w:t xml:space="preserve">ealth and </w:t>
        </w:r>
        <w:r>
          <w:rPr>
            <w:rStyle w:val="Hyperlink"/>
            <w:rFonts w:cs="Arial"/>
            <w:i/>
            <w:szCs w:val="18"/>
          </w:rPr>
          <w:t>S</w:t>
        </w:r>
        <w:r w:rsidRPr="00546E90">
          <w:rPr>
            <w:rStyle w:val="Hyperlink"/>
            <w:rFonts w:cs="Arial"/>
            <w:i/>
            <w:szCs w:val="18"/>
          </w:rPr>
          <w:t xml:space="preserve">afety </w:t>
        </w:r>
        <w:r w:rsidR="000B2CDD">
          <w:rPr>
            <w:rStyle w:val="Hyperlink"/>
            <w:rFonts w:cs="Arial"/>
            <w:i/>
            <w:szCs w:val="18"/>
          </w:rPr>
          <w:t>l</w:t>
        </w:r>
        <w:r w:rsidR="000B2CDD" w:rsidRPr="00546E90">
          <w:rPr>
            <w:rStyle w:val="Hyperlink"/>
            <w:rFonts w:cs="Arial"/>
            <w:i/>
            <w:szCs w:val="18"/>
          </w:rPr>
          <w:t>aws</w:t>
        </w:r>
        <w:r>
          <w:rPr>
            <w:rStyle w:val="Hyperlink"/>
            <w:rFonts w:cs="Arial"/>
            <w:i/>
            <w:szCs w:val="18"/>
          </w:rPr>
          <w:t>:</w:t>
        </w:r>
        <w:r w:rsidRPr="00546E90">
          <w:rPr>
            <w:rStyle w:val="Hyperlink"/>
            <w:rFonts w:cs="Arial"/>
            <w:i/>
            <w:szCs w:val="18"/>
          </w:rPr>
          <w:t xml:space="preserve"> </w:t>
        </w:r>
        <w:r w:rsidR="00F80599">
          <w:rPr>
            <w:rStyle w:val="Hyperlink"/>
            <w:rFonts w:cs="Arial"/>
            <w:i/>
            <w:szCs w:val="18"/>
          </w:rPr>
          <w:t>F</w:t>
        </w:r>
        <w:r w:rsidRPr="00546E90">
          <w:rPr>
            <w:rStyle w:val="Hyperlink"/>
            <w:rFonts w:cs="Arial"/>
            <w:i/>
            <w:szCs w:val="18"/>
          </w:rPr>
          <w:t>inal report</w:t>
        </w:r>
      </w:hyperlink>
      <w:r w:rsidRPr="00546E90">
        <w:rPr>
          <w:rFonts w:cs="Arial"/>
          <w:szCs w:val="18"/>
        </w:rPr>
        <w:t xml:space="preserve">, </w:t>
      </w:r>
      <w:r>
        <w:rPr>
          <w:rFonts w:cs="Arial"/>
          <w:szCs w:val="18"/>
        </w:rPr>
        <w:t xml:space="preserve">Safe Work Australia, </w:t>
      </w:r>
      <w:r w:rsidRPr="00546E90">
        <w:rPr>
          <w:rFonts w:cs="Arial"/>
          <w:szCs w:val="18"/>
        </w:rPr>
        <w:t>2018, p 140.</w:t>
      </w:r>
    </w:p>
  </w:footnote>
  <w:footnote w:id="151">
    <w:p w14:paraId="48EBF934" w14:textId="77777777" w:rsidR="00C71180" w:rsidRPr="00546E90" w:rsidRDefault="00C71180" w:rsidP="00C71180">
      <w:pPr>
        <w:pStyle w:val="FootnoteText"/>
        <w:rPr>
          <w:rFonts w:cs="Arial"/>
          <w:szCs w:val="18"/>
        </w:rPr>
      </w:pPr>
      <w:r w:rsidRPr="00546E90">
        <w:rPr>
          <w:rStyle w:val="FootnoteReference"/>
          <w:rFonts w:cs="Arial"/>
          <w:szCs w:val="18"/>
        </w:rPr>
        <w:footnoteRef/>
      </w:r>
      <w:r w:rsidRPr="00546E90">
        <w:rPr>
          <w:rFonts w:cs="Arial"/>
          <w:szCs w:val="18"/>
        </w:rPr>
        <w:t xml:space="preserve"> </w:t>
      </w:r>
      <w:hyperlink r:id="rId132" w:history="1">
        <w:r w:rsidRPr="00546E90">
          <w:rPr>
            <w:rStyle w:val="Hyperlink"/>
            <w:rFonts w:cs="Arial"/>
            <w:szCs w:val="18"/>
          </w:rPr>
          <w:t>WorkSafe WA</w:t>
        </w:r>
      </w:hyperlink>
      <w:r w:rsidRPr="00546E90">
        <w:rPr>
          <w:rFonts w:cs="Arial"/>
          <w:szCs w:val="18"/>
        </w:rPr>
        <w:t>, Submission, pp 31–32.</w:t>
      </w:r>
    </w:p>
  </w:footnote>
  <w:footnote w:id="152">
    <w:p w14:paraId="1FC40BCC" w14:textId="77777777" w:rsidR="00C71180" w:rsidRPr="006B185E" w:rsidRDefault="00C71180" w:rsidP="00C71180">
      <w:pPr>
        <w:pStyle w:val="FootnoteText"/>
        <w:rPr>
          <w:rFonts w:cs="Arial"/>
          <w:szCs w:val="18"/>
        </w:rPr>
      </w:pPr>
      <w:r w:rsidRPr="00546E90">
        <w:rPr>
          <w:rStyle w:val="FootnoteReference"/>
          <w:rFonts w:cs="Arial"/>
          <w:szCs w:val="18"/>
        </w:rPr>
        <w:footnoteRef/>
      </w:r>
      <w:r w:rsidRPr="00546E90">
        <w:rPr>
          <w:rFonts w:cs="Arial"/>
          <w:szCs w:val="18"/>
        </w:rPr>
        <w:t xml:space="preserve"> Including the AMWU, Qld Unions, the Victorian Trades Hall, ACTU.</w:t>
      </w:r>
    </w:p>
  </w:footnote>
  <w:footnote w:id="153">
    <w:p w14:paraId="10011B8E" w14:textId="264F9E65" w:rsidR="00A4634E" w:rsidRPr="00546E90" w:rsidDel="004B45B5" w:rsidRDefault="00A4634E" w:rsidP="00A4634E">
      <w:pPr>
        <w:pStyle w:val="FootnoteText"/>
        <w:rPr>
          <w:rFonts w:cs="Arial"/>
          <w:szCs w:val="18"/>
        </w:rPr>
      </w:pPr>
      <w:r w:rsidRPr="00546E90" w:rsidDel="004B45B5">
        <w:rPr>
          <w:rStyle w:val="FootnoteReference"/>
          <w:rFonts w:cs="Arial"/>
          <w:szCs w:val="18"/>
        </w:rPr>
        <w:footnoteRef/>
      </w:r>
      <w:r w:rsidRPr="00546E90" w:rsidDel="004B45B5">
        <w:rPr>
          <w:rFonts w:cs="Arial"/>
          <w:szCs w:val="18"/>
        </w:rPr>
        <w:t xml:space="preserve"> See </w:t>
      </w:r>
      <w:r w:rsidRPr="00546E90">
        <w:rPr>
          <w:rFonts w:cs="Arial"/>
          <w:szCs w:val="18"/>
        </w:rPr>
        <w:t>r</w:t>
      </w:r>
      <w:r>
        <w:rPr>
          <w:rFonts w:cs="Arial"/>
          <w:szCs w:val="18"/>
        </w:rPr>
        <w:t>eg </w:t>
      </w:r>
      <w:r w:rsidRPr="00546E90" w:rsidDel="004B45B5">
        <w:rPr>
          <w:rFonts w:cs="Arial"/>
          <w:szCs w:val="18"/>
        </w:rPr>
        <w:t xml:space="preserve">55D </w:t>
      </w:r>
      <w:r>
        <w:rPr>
          <w:rFonts w:cs="Arial"/>
          <w:szCs w:val="18"/>
        </w:rPr>
        <w:t xml:space="preserve">in </w:t>
      </w:r>
      <w:r w:rsidRPr="00546E90">
        <w:rPr>
          <w:rFonts w:cs="Arial"/>
          <w:szCs w:val="18"/>
        </w:rPr>
        <w:t>each jurisdiction</w:t>
      </w:r>
      <w:r>
        <w:rPr>
          <w:rFonts w:cs="Arial"/>
          <w:szCs w:val="18"/>
        </w:rPr>
        <w:t>’</w:t>
      </w:r>
      <w:r w:rsidRPr="00546E90">
        <w:rPr>
          <w:rFonts w:cs="Arial"/>
          <w:szCs w:val="18"/>
        </w:rPr>
        <w:t>s version of the model</w:t>
      </w:r>
      <w:r w:rsidRPr="00546E90" w:rsidDel="004B45B5">
        <w:rPr>
          <w:rFonts w:cs="Arial"/>
          <w:szCs w:val="18"/>
        </w:rPr>
        <w:t xml:space="preserve"> WHS Regulations.</w:t>
      </w:r>
    </w:p>
  </w:footnote>
  <w:footnote w:id="154">
    <w:p w14:paraId="158ABD40" w14:textId="7A297F85" w:rsidR="00A4634E" w:rsidRPr="00546E90" w:rsidRDefault="00A4634E" w:rsidP="00A4634E">
      <w:pPr>
        <w:pStyle w:val="FootnoteText"/>
        <w:rPr>
          <w:rFonts w:cs="Arial"/>
          <w:szCs w:val="18"/>
        </w:rPr>
      </w:pPr>
      <w:r w:rsidRPr="00546E90">
        <w:rPr>
          <w:rStyle w:val="FootnoteReference"/>
          <w:rFonts w:cs="Arial"/>
          <w:szCs w:val="18"/>
        </w:rPr>
        <w:footnoteRef/>
      </w:r>
      <w:r w:rsidRPr="00546E90">
        <w:rPr>
          <w:rFonts w:cs="Arial"/>
          <w:szCs w:val="18"/>
        </w:rPr>
        <w:t xml:space="preserve"> </w:t>
      </w:r>
      <w:r w:rsidRPr="00F00756">
        <w:rPr>
          <w:rFonts w:cs="Arial"/>
          <w:szCs w:val="18"/>
        </w:rPr>
        <w:t>Occupational Health and Safety (Psychological Health) Regulations 2025</w:t>
      </w:r>
      <w:r w:rsidRPr="00546E90">
        <w:rPr>
          <w:rFonts w:cs="Arial"/>
          <w:i/>
          <w:szCs w:val="18"/>
        </w:rPr>
        <w:t xml:space="preserve"> </w:t>
      </w:r>
      <w:r w:rsidRPr="00546E90">
        <w:rPr>
          <w:rFonts w:cs="Arial"/>
          <w:szCs w:val="18"/>
        </w:rPr>
        <w:t>(Vic), r</w:t>
      </w:r>
      <w:r>
        <w:rPr>
          <w:rFonts w:cs="Arial"/>
          <w:szCs w:val="18"/>
        </w:rPr>
        <w:t>eg</w:t>
      </w:r>
      <w:r w:rsidRPr="00546E90">
        <w:rPr>
          <w:rFonts w:cs="Arial"/>
          <w:szCs w:val="18"/>
        </w:rPr>
        <w:t xml:space="preserve"> 15(2).</w:t>
      </w:r>
    </w:p>
  </w:footnote>
  <w:footnote w:id="155">
    <w:p w14:paraId="068B0F9A" w14:textId="75D7AADF" w:rsidR="00A4634E" w:rsidRPr="00546E90" w:rsidRDefault="00A4634E" w:rsidP="00A4634E">
      <w:pPr>
        <w:pStyle w:val="FootnoteText"/>
      </w:pPr>
      <w:r w:rsidRPr="00546E90">
        <w:rPr>
          <w:rStyle w:val="FootnoteReference"/>
        </w:rPr>
        <w:footnoteRef/>
      </w:r>
      <w:r w:rsidRPr="00546E90">
        <w:t xml:space="preserve"> R Dennis, </w:t>
      </w:r>
      <w:r w:rsidRPr="00546E90">
        <w:rPr>
          <w:i/>
        </w:rPr>
        <w:t xml:space="preserve">Expert advice to the Best Practice Review of the model WHS </w:t>
      </w:r>
      <w:r w:rsidR="00312E4E">
        <w:rPr>
          <w:i/>
        </w:rPr>
        <w:t>l</w:t>
      </w:r>
      <w:r w:rsidRPr="00546E90">
        <w:rPr>
          <w:i/>
        </w:rPr>
        <w:t xml:space="preserve">aws – </w:t>
      </w:r>
      <w:r w:rsidR="00185698">
        <w:rPr>
          <w:i/>
        </w:rPr>
        <w:t>h</w:t>
      </w:r>
      <w:r w:rsidRPr="00546E90">
        <w:rPr>
          <w:i/>
        </w:rPr>
        <w:t xml:space="preserve">ierarchy of </w:t>
      </w:r>
      <w:r w:rsidR="00185698">
        <w:rPr>
          <w:i/>
        </w:rPr>
        <w:t>c</w:t>
      </w:r>
      <w:r w:rsidRPr="00546E90">
        <w:rPr>
          <w:i/>
        </w:rPr>
        <w:t xml:space="preserve">ontrols, </w:t>
      </w:r>
      <w:r w:rsidRPr="00546E90">
        <w:rPr>
          <w:iCs/>
        </w:rPr>
        <w:t>2026,</w:t>
      </w:r>
      <w:r w:rsidRPr="00546E90">
        <w:t xml:space="preserve"> pp 2</w:t>
      </w:r>
      <w:r w:rsidRPr="00546E90">
        <w:rPr>
          <w:rFonts w:cs="Arial"/>
          <w:szCs w:val="18"/>
        </w:rPr>
        <w:t>–</w:t>
      </w:r>
      <w:r w:rsidRPr="00546E90">
        <w:t>4.</w:t>
      </w:r>
    </w:p>
  </w:footnote>
  <w:footnote w:id="156">
    <w:p w14:paraId="34A943E6" w14:textId="77777777" w:rsidR="0053390D" w:rsidRPr="00546E90" w:rsidRDefault="0053390D" w:rsidP="0053390D">
      <w:pPr>
        <w:pStyle w:val="FootnoteText"/>
        <w:rPr>
          <w:szCs w:val="18"/>
        </w:rPr>
      </w:pPr>
      <w:r w:rsidRPr="00546E90">
        <w:rPr>
          <w:rStyle w:val="FootnoteReference"/>
          <w:szCs w:val="18"/>
        </w:rPr>
        <w:footnoteRef/>
      </w:r>
      <w:r w:rsidRPr="00546E90">
        <w:rPr>
          <w:szCs w:val="18"/>
        </w:rPr>
        <w:t xml:space="preserve"> Master Builders Qld, Consultation, September 2025; Safe Work Australia Research Summit, Consultation, September 2025; </w:t>
      </w:r>
      <w:r>
        <w:rPr>
          <w:szCs w:val="18"/>
        </w:rPr>
        <w:t>Queensland Council</w:t>
      </w:r>
      <w:r w:rsidRPr="00A7341A">
        <w:rPr>
          <w:szCs w:val="18"/>
        </w:rPr>
        <w:t xml:space="preserve"> of Unions</w:t>
      </w:r>
      <w:r>
        <w:rPr>
          <w:szCs w:val="18"/>
        </w:rPr>
        <w:t>, Consultation, September 2025</w:t>
      </w:r>
      <w:r w:rsidRPr="00546E90">
        <w:rPr>
          <w:szCs w:val="18"/>
        </w:rPr>
        <w:t xml:space="preserve">; </w:t>
      </w:r>
      <w:hyperlink r:id="rId133" w:history="1">
        <w:r w:rsidRPr="00546E90">
          <w:rPr>
            <w:rStyle w:val="Hyperlink"/>
            <w:szCs w:val="18"/>
          </w:rPr>
          <w:t>Australian Education Union – ACT Branch</w:t>
        </w:r>
      </w:hyperlink>
      <w:r w:rsidRPr="00546E90">
        <w:rPr>
          <w:szCs w:val="18"/>
        </w:rPr>
        <w:t>, Submission, p 2; Tas ACCI, Consultation, October 2025.</w:t>
      </w:r>
    </w:p>
  </w:footnote>
  <w:footnote w:id="157">
    <w:p w14:paraId="28E1D00B" w14:textId="77777777" w:rsidR="0053390D" w:rsidRPr="00546E90" w:rsidRDefault="0053390D" w:rsidP="0053390D">
      <w:pPr>
        <w:pStyle w:val="FootnoteText"/>
        <w:rPr>
          <w:rFonts w:cs="Arial"/>
          <w:szCs w:val="18"/>
        </w:rPr>
      </w:pPr>
      <w:r w:rsidRPr="00546E90">
        <w:rPr>
          <w:rStyle w:val="FootnoteReference"/>
          <w:rFonts w:cs="Arial"/>
          <w:szCs w:val="18"/>
        </w:rPr>
        <w:footnoteRef/>
      </w:r>
      <w:r w:rsidRPr="00546E90">
        <w:rPr>
          <w:rFonts w:cs="Arial"/>
          <w:szCs w:val="18"/>
        </w:rPr>
        <w:t xml:space="preserve"> </w:t>
      </w:r>
      <w:hyperlink r:id="rId134" w:history="1">
        <w:r w:rsidRPr="00546E90">
          <w:rPr>
            <w:rStyle w:val="Hyperlink"/>
            <w:rFonts w:cs="Arial"/>
            <w:szCs w:val="18"/>
          </w:rPr>
          <w:t>AIHS</w:t>
        </w:r>
      </w:hyperlink>
      <w:r w:rsidRPr="00546E90">
        <w:rPr>
          <w:rFonts w:cs="Arial"/>
          <w:szCs w:val="18"/>
        </w:rPr>
        <w:t>, Submission, p 15.</w:t>
      </w:r>
    </w:p>
  </w:footnote>
  <w:footnote w:id="158">
    <w:p w14:paraId="79F6F0E3" w14:textId="77777777" w:rsidR="0053390D" w:rsidRPr="00D662EF" w:rsidRDefault="0053390D" w:rsidP="0053390D">
      <w:pPr>
        <w:pStyle w:val="FootnoteText"/>
        <w:rPr>
          <w:rFonts w:cs="Arial"/>
          <w:szCs w:val="18"/>
        </w:rPr>
      </w:pPr>
      <w:r w:rsidRPr="00546E90">
        <w:rPr>
          <w:rStyle w:val="FootnoteReference"/>
          <w:rFonts w:cs="Arial"/>
          <w:szCs w:val="18"/>
        </w:rPr>
        <w:footnoteRef/>
      </w:r>
      <w:r w:rsidRPr="00546E90">
        <w:rPr>
          <w:rFonts w:cs="Arial"/>
          <w:szCs w:val="18"/>
        </w:rPr>
        <w:t xml:space="preserve"> Safe Work Australia Research Summit, Consultation, September 2025; </w:t>
      </w:r>
      <w:r>
        <w:rPr>
          <w:rFonts w:cs="Arial"/>
          <w:szCs w:val="18"/>
        </w:rPr>
        <w:t>Queensland Council</w:t>
      </w:r>
      <w:r w:rsidRPr="00546E90">
        <w:rPr>
          <w:rFonts w:cs="Arial"/>
          <w:szCs w:val="18"/>
        </w:rPr>
        <w:t xml:space="preserve"> of Unions, Consultation, September 2025;</w:t>
      </w:r>
      <w:r w:rsidRPr="00546E90">
        <w:rPr>
          <w:rFonts w:cs="Arial"/>
          <w:sz w:val="24"/>
          <w14:ligatures w14:val="standardContextual"/>
        </w:rPr>
        <w:t xml:space="preserve"> </w:t>
      </w:r>
      <w:hyperlink r:id="rId135" w:history="1">
        <w:r w:rsidRPr="00546E90">
          <w:rPr>
            <w:rStyle w:val="Hyperlink"/>
            <w:szCs w:val="18"/>
          </w:rPr>
          <w:t>Australian Education Union – ACT Branch</w:t>
        </w:r>
      </w:hyperlink>
      <w:r w:rsidRPr="00546E90">
        <w:rPr>
          <w:szCs w:val="18"/>
        </w:rPr>
        <w:t>, Submission, p 2</w:t>
      </w:r>
      <w:r w:rsidRPr="00546E90">
        <w:rPr>
          <w:rFonts w:cs="Arial"/>
          <w:szCs w:val="18"/>
        </w:rPr>
        <w:t xml:space="preserve">; </w:t>
      </w:r>
      <w:r w:rsidRPr="00546E90">
        <w:rPr>
          <w:szCs w:val="18"/>
        </w:rPr>
        <w:t>Tas ACCI, Consultation, October 2025</w:t>
      </w:r>
      <w:r w:rsidRPr="00546E90">
        <w:rPr>
          <w:rFonts w:cs="Arial"/>
          <w:szCs w:val="18"/>
        </w:rPr>
        <w:t xml:space="preserve">; </w:t>
      </w:r>
      <w:hyperlink r:id="rId136" w:history="1">
        <w:r w:rsidRPr="00546E90">
          <w:rPr>
            <w:rStyle w:val="Hyperlink"/>
            <w:rFonts w:cs="Arial"/>
            <w:szCs w:val="18"/>
          </w:rPr>
          <w:t>The Reckoning Room</w:t>
        </w:r>
      </w:hyperlink>
      <w:r w:rsidRPr="00546E90">
        <w:rPr>
          <w:rFonts w:cs="Arial"/>
          <w:szCs w:val="18"/>
        </w:rPr>
        <w:t>, Submission, p 12.</w:t>
      </w:r>
    </w:p>
  </w:footnote>
  <w:footnote w:id="159">
    <w:p w14:paraId="520952AF" w14:textId="52105ED2" w:rsidR="00FD3816" w:rsidRPr="00546E90" w:rsidRDefault="00FD3816" w:rsidP="00FD3816">
      <w:pPr>
        <w:pStyle w:val="FootnoteText"/>
        <w:rPr>
          <w:rFonts w:cs="Arial"/>
          <w:szCs w:val="18"/>
        </w:rPr>
      </w:pPr>
      <w:r w:rsidRPr="00546E90">
        <w:rPr>
          <w:rStyle w:val="FootnoteReference"/>
          <w:rFonts w:cs="Arial"/>
          <w:szCs w:val="18"/>
        </w:rPr>
        <w:footnoteRef/>
      </w:r>
      <w:r w:rsidRPr="00546E90">
        <w:rPr>
          <w:rFonts w:cs="Arial"/>
          <w:szCs w:val="18"/>
        </w:rPr>
        <w:t xml:space="preserve"> SafeWork NSW, </w:t>
      </w:r>
      <w:hyperlink r:id="rId137" w:history="1">
        <w:r w:rsidRPr="00F00756">
          <w:rPr>
            <w:rStyle w:val="Hyperlink"/>
            <w:rFonts w:cs="Arial"/>
            <w:i/>
            <w:color w:val="auto"/>
            <w:szCs w:val="18"/>
            <w:u w:val="none"/>
          </w:rPr>
          <w:t>Australian WHS Survey Autumn Edition 2024</w:t>
        </w:r>
      </w:hyperlink>
      <w:r w:rsidRPr="00546E90">
        <w:rPr>
          <w:rFonts w:cs="Arial"/>
          <w:szCs w:val="18"/>
        </w:rPr>
        <w:t xml:space="preserve">, </w:t>
      </w:r>
      <w:r>
        <w:rPr>
          <w:rFonts w:cs="Arial"/>
          <w:szCs w:val="18"/>
        </w:rPr>
        <w:t xml:space="preserve">NSW Government, </w:t>
      </w:r>
      <w:r w:rsidRPr="00546E90">
        <w:rPr>
          <w:rFonts w:cs="Arial"/>
          <w:szCs w:val="18"/>
        </w:rPr>
        <w:t>2024. The survey notes that its sample size is not considered to be representative of Australia’s labour force but does contain comparable proportions of participants to labour force data across age groups and membership of some major industries</w:t>
      </w:r>
      <w:r>
        <w:rPr>
          <w:rFonts w:cs="Arial"/>
          <w:szCs w:val="18"/>
        </w:rPr>
        <w:t>:</w:t>
      </w:r>
      <w:r w:rsidRPr="00546E90">
        <w:rPr>
          <w:rFonts w:cs="Arial"/>
          <w:szCs w:val="18"/>
        </w:rPr>
        <w:t xml:space="preserve"> see p 6.</w:t>
      </w:r>
    </w:p>
  </w:footnote>
  <w:footnote w:id="160">
    <w:p w14:paraId="4AB5D28C" w14:textId="6915E5C2" w:rsidR="00FD3816" w:rsidRPr="00546E90" w:rsidRDefault="00FD3816" w:rsidP="00FD3816">
      <w:pPr>
        <w:pStyle w:val="FootnoteText"/>
        <w:rPr>
          <w:rFonts w:cs="Arial"/>
          <w:szCs w:val="18"/>
        </w:rPr>
      </w:pPr>
      <w:r w:rsidRPr="00546E90">
        <w:rPr>
          <w:rStyle w:val="FootnoteReference"/>
          <w:rFonts w:cs="Arial"/>
          <w:szCs w:val="18"/>
        </w:rPr>
        <w:footnoteRef/>
      </w:r>
      <w:r w:rsidRPr="00546E90">
        <w:rPr>
          <w:rFonts w:cs="Arial"/>
          <w:szCs w:val="18"/>
        </w:rPr>
        <w:t xml:space="preserve"> NSW Autumn 2024 Survey, p 38. Declining levels compared to previous Spring 2023 Survey.</w:t>
      </w:r>
    </w:p>
  </w:footnote>
  <w:footnote w:id="161">
    <w:p w14:paraId="3C5B2FEF" w14:textId="77777777" w:rsidR="00FD3816" w:rsidRPr="00546E90" w:rsidRDefault="00FD3816" w:rsidP="00FD3816">
      <w:pPr>
        <w:pStyle w:val="FootnoteText"/>
        <w:rPr>
          <w:rFonts w:cs="Arial"/>
          <w:szCs w:val="18"/>
        </w:rPr>
      </w:pPr>
      <w:r w:rsidRPr="00546E90">
        <w:rPr>
          <w:rStyle w:val="FootnoteReference"/>
          <w:rFonts w:cs="Arial"/>
          <w:szCs w:val="18"/>
        </w:rPr>
        <w:footnoteRef/>
      </w:r>
      <w:r w:rsidRPr="00546E90">
        <w:rPr>
          <w:rFonts w:cs="Arial"/>
          <w:szCs w:val="18"/>
        </w:rPr>
        <w:t xml:space="preserve"> NSW Autumn 2024 Survey, p 38.</w:t>
      </w:r>
    </w:p>
  </w:footnote>
  <w:footnote w:id="162">
    <w:p w14:paraId="114AACF5" w14:textId="77777777" w:rsidR="00FD3816" w:rsidRPr="00546E90" w:rsidRDefault="00FD3816" w:rsidP="00FD3816">
      <w:pPr>
        <w:pStyle w:val="FootnoteText"/>
        <w:rPr>
          <w:rFonts w:cs="Arial"/>
          <w:szCs w:val="18"/>
        </w:rPr>
      </w:pPr>
      <w:r w:rsidRPr="00546E90">
        <w:rPr>
          <w:rStyle w:val="FootnoteReference"/>
          <w:rFonts w:cs="Arial"/>
          <w:szCs w:val="18"/>
        </w:rPr>
        <w:footnoteRef/>
      </w:r>
      <w:r w:rsidRPr="00546E90">
        <w:rPr>
          <w:rFonts w:cs="Arial"/>
          <w:szCs w:val="18"/>
        </w:rPr>
        <w:t xml:space="preserve"> T Bentley, LA Onnis, S O’Neill, Y Brunetto, K Blackwood, P Bezemer, E Franken, B Farr-Warton, AH Grande and L Huuskes, </w:t>
      </w:r>
      <w:hyperlink r:id="rId138" w:history="1">
        <w:r w:rsidRPr="007F2CDD">
          <w:rPr>
            <w:rStyle w:val="Hyperlink"/>
            <w:rFonts w:cs="Arial"/>
            <w:i/>
            <w:szCs w:val="18"/>
          </w:rPr>
          <w:t xml:space="preserve">Strengthening the priority of WHS for business leaders: </w:t>
        </w:r>
        <w:r w:rsidRPr="007F2CDD" w:rsidDel="00667341">
          <w:rPr>
            <w:rStyle w:val="Hyperlink"/>
            <w:rFonts w:cs="Arial"/>
            <w:i/>
            <w:szCs w:val="18"/>
          </w:rPr>
          <w:t>P</w:t>
        </w:r>
        <w:r w:rsidRPr="007F2CDD">
          <w:rPr>
            <w:rStyle w:val="Hyperlink"/>
            <w:rFonts w:cs="Arial"/>
            <w:i/>
            <w:szCs w:val="18"/>
          </w:rPr>
          <w:t>hase 2 summary report</w:t>
        </w:r>
      </w:hyperlink>
      <w:r w:rsidRPr="00546E90">
        <w:rPr>
          <w:rFonts w:cs="Arial"/>
          <w:szCs w:val="18"/>
        </w:rPr>
        <w:t>,</w:t>
      </w:r>
      <w:r w:rsidRPr="00546E90" w:rsidDel="00667341">
        <w:rPr>
          <w:rFonts w:cs="Arial"/>
          <w:szCs w:val="18"/>
        </w:rPr>
        <w:t xml:space="preserve"> </w:t>
      </w:r>
      <w:r w:rsidRPr="00546E90">
        <w:rPr>
          <w:rFonts w:cs="Arial"/>
          <w:szCs w:val="18"/>
        </w:rPr>
        <w:t xml:space="preserve">NSW Centre for WHS and Edith Cowan University, Southern Cross University and University of New South Wales, August 2023, </w:t>
      </w:r>
      <w:r>
        <w:rPr>
          <w:rFonts w:cs="Arial"/>
          <w:szCs w:val="18"/>
        </w:rPr>
        <w:t xml:space="preserve">p 2, </w:t>
      </w:r>
      <w:r w:rsidRPr="00546E90">
        <w:rPr>
          <w:rFonts w:cs="Arial"/>
          <w:szCs w:val="18"/>
        </w:rPr>
        <w:t xml:space="preserve">accessed 13 May 2026; </w:t>
      </w:r>
      <w:r>
        <w:rPr>
          <w:rFonts w:cs="Arial"/>
          <w:szCs w:val="18"/>
        </w:rPr>
        <w:t>s</w:t>
      </w:r>
      <w:r w:rsidRPr="00546E90">
        <w:rPr>
          <w:rFonts w:cs="Arial"/>
          <w:szCs w:val="18"/>
        </w:rPr>
        <w:t xml:space="preserve">ee also </w:t>
      </w:r>
      <w:hyperlink r:id="rId139" w:history="1">
        <w:r w:rsidRPr="007F2CDD">
          <w:rPr>
            <w:rStyle w:val="Hyperlink"/>
            <w:rFonts w:cs="Arial"/>
            <w:i/>
            <w:szCs w:val="18"/>
          </w:rPr>
          <w:t>Strengthening the priority of WHS for business leaders: Phase 2 report</w:t>
        </w:r>
        <w:r w:rsidRPr="00546E90">
          <w:rPr>
            <w:rStyle w:val="Hyperlink"/>
            <w:rFonts w:cs="Arial"/>
            <w:i/>
            <w:color w:val="auto"/>
            <w:szCs w:val="18"/>
          </w:rPr>
          <w:t>,</w:t>
        </w:r>
      </w:hyperlink>
      <w:r w:rsidRPr="00546E90" w:rsidDel="00667341">
        <w:rPr>
          <w:rFonts w:cs="Arial"/>
          <w:szCs w:val="18"/>
        </w:rPr>
        <w:t xml:space="preserve"> </w:t>
      </w:r>
      <w:r w:rsidRPr="00546E90">
        <w:rPr>
          <w:rFonts w:cs="Arial"/>
          <w:szCs w:val="18"/>
        </w:rPr>
        <w:t xml:space="preserve">NSW Centre for WHS and Edith Cowan University, Southern Cross University and University of New South Wales, August 2023, </w:t>
      </w:r>
      <w:r>
        <w:rPr>
          <w:rFonts w:cs="Arial"/>
          <w:szCs w:val="18"/>
        </w:rPr>
        <w:t>pp 17</w:t>
      </w:r>
      <w:r w:rsidRPr="00546E90">
        <w:rPr>
          <w:rFonts w:eastAsia="Times New Roman" w:cs="Arial"/>
          <w:szCs w:val="18"/>
          <w:lang w:eastAsia="en-AU"/>
        </w:rPr>
        <w:t>–</w:t>
      </w:r>
      <w:r>
        <w:rPr>
          <w:rFonts w:cs="Arial"/>
          <w:szCs w:val="18"/>
        </w:rPr>
        <w:t xml:space="preserve">18, </w:t>
      </w:r>
      <w:r w:rsidRPr="00546E90">
        <w:rPr>
          <w:rFonts w:cs="Arial"/>
          <w:szCs w:val="18"/>
        </w:rPr>
        <w:t>accessed 13 May 2026</w:t>
      </w:r>
      <w:r>
        <w:rPr>
          <w:rFonts w:cs="Arial"/>
          <w:szCs w:val="18"/>
        </w:rPr>
        <w:t>.</w:t>
      </w:r>
      <w:r w:rsidRPr="00546E90" w:rsidDel="00667341">
        <w:rPr>
          <w:rFonts w:cs="Arial"/>
          <w:szCs w:val="18"/>
        </w:rPr>
        <w:t xml:space="preserve"> </w:t>
      </w:r>
      <w:r w:rsidRPr="00546E90">
        <w:rPr>
          <w:rFonts w:cs="Arial"/>
          <w:szCs w:val="18"/>
        </w:rPr>
        <w:t xml:space="preserve">The project found business leaders </w:t>
      </w:r>
      <w:r w:rsidRPr="00546E90">
        <w:rPr>
          <w:rFonts w:eastAsia="Times New Roman" w:cs="Arial"/>
          <w:szCs w:val="18"/>
          <w:lang w:eastAsia="en-AU"/>
        </w:rPr>
        <w:t>prioritise WHS along a continuum</w:t>
      </w:r>
      <w:r>
        <w:rPr>
          <w:rFonts w:eastAsia="Times New Roman" w:cs="Arial"/>
          <w:szCs w:val="18"/>
          <w:lang w:eastAsia="en-AU"/>
        </w:rPr>
        <w:t>:</w:t>
      </w:r>
      <w:r w:rsidRPr="00546E90">
        <w:rPr>
          <w:rFonts w:eastAsia="Times New Roman" w:cs="Arial"/>
          <w:szCs w:val="18"/>
          <w:lang w:eastAsia="en-AU"/>
        </w:rPr>
        <w:t xml:space="preserve"> compliance approach; commercially</w:t>
      </w:r>
      <w:r w:rsidRPr="00546E90">
        <w:rPr>
          <w:rFonts w:eastAsia="Times New Roman" w:cs="Arial"/>
          <w:szCs w:val="18"/>
          <w:lang w:eastAsia="en-AU"/>
        </w:rPr>
        <w:noBreakHyphen/>
        <w:t>driven (influenced by reputational risk, investor expectations, ESG considerations and workforce pressures, with WHS viewed as important to business performance rather than solely compliance)</w:t>
      </w:r>
      <w:r>
        <w:rPr>
          <w:rFonts w:eastAsia="Times New Roman" w:cs="Arial"/>
          <w:szCs w:val="18"/>
          <w:lang w:eastAsia="en-AU"/>
        </w:rPr>
        <w:t>;</w:t>
      </w:r>
      <w:r w:rsidRPr="00546E90">
        <w:rPr>
          <w:rFonts w:eastAsia="Times New Roman" w:cs="Arial"/>
          <w:szCs w:val="18"/>
          <w:lang w:eastAsia="en-AU"/>
        </w:rPr>
        <w:t xml:space="preserve"> and prosocial prioritisation (WHS is pursued because it is </w:t>
      </w:r>
      <w:r>
        <w:rPr>
          <w:rFonts w:eastAsia="Times New Roman" w:cs="Arial"/>
          <w:szCs w:val="18"/>
          <w:lang w:eastAsia="en-AU"/>
        </w:rPr>
        <w:t>‘</w:t>
      </w:r>
      <w:r w:rsidRPr="00546E90">
        <w:rPr>
          <w:rFonts w:eastAsia="Times New Roman" w:cs="Arial"/>
          <w:szCs w:val="18"/>
          <w:lang w:eastAsia="en-AU"/>
        </w:rPr>
        <w:t>the right thing to do</w:t>
      </w:r>
      <w:r>
        <w:rPr>
          <w:rFonts w:eastAsia="Times New Roman" w:cs="Arial"/>
          <w:szCs w:val="18"/>
          <w:lang w:eastAsia="en-AU"/>
        </w:rPr>
        <w:t>’</w:t>
      </w:r>
      <w:r w:rsidRPr="00546E90">
        <w:rPr>
          <w:rFonts w:eastAsia="Times New Roman" w:cs="Arial"/>
          <w:szCs w:val="18"/>
          <w:lang w:eastAsia="en-AU"/>
        </w:rPr>
        <w:t>, is associated with personal values, lived experience and higher organisational WHS maturity, rather than compliance and enforcement alone), pp 25–32.</w:t>
      </w:r>
    </w:p>
  </w:footnote>
  <w:footnote w:id="163">
    <w:p w14:paraId="78D9F144" w14:textId="27C0F9CE" w:rsidR="00FD3816" w:rsidRPr="00546E90" w:rsidRDefault="00FD3816" w:rsidP="00FD3816">
      <w:pPr>
        <w:pStyle w:val="FootnoteText"/>
        <w:rPr>
          <w:rFonts w:cs="Arial"/>
          <w:szCs w:val="18"/>
        </w:rPr>
      </w:pPr>
      <w:r w:rsidRPr="00546E90">
        <w:rPr>
          <w:rStyle w:val="FootnoteReference"/>
          <w:rFonts w:cs="Arial"/>
          <w:szCs w:val="18"/>
        </w:rPr>
        <w:footnoteRef/>
      </w:r>
      <w:r w:rsidRPr="00546E90">
        <w:rPr>
          <w:rFonts w:cs="Arial"/>
          <w:szCs w:val="18"/>
        </w:rPr>
        <w:t xml:space="preserve"> Australian Council of Superannuation Investors, </w:t>
      </w:r>
      <w:hyperlink r:id="rId140" w:history="1">
        <w:r w:rsidRPr="007F2CDD">
          <w:rPr>
            <w:rStyle w:val="Hyperlink"/>
            <w:rFonts w:cs="Arial"/>
            <w:i/>
            <w:szCs w:val="18"/>
          </w:rPr>
          <w:t>2023</w:t>
        </w:r>
        <w:r>
          <w:rPr>
            <w:rStyle w:val="Hyperlink"/>
            <w:rFonts w:cs="Arial"/>
            <w:i/>
            <w:szCs w:val="18"/>
          </w:rPr>
          <w:t>–2024</w:t>
        </w:r>
        <w:r w:rsidRPr="007F2CDD">
          <w:rPr>
            <w:rStyle w:val="Hyperlink"/>
            <w:rFonts w:cs="Arial"/>
            <w:i/>
            <w:szCs w:val="18"/>
          </w:rPr>
          <w:t xml:space="preserve"> Stewardship </w:t>
        </w:r>
        <w:r w:rsidR="00185698">
          <w:rPr>
            <w:rStyle w:val="Hyperlink"/>
            <w:rFonts w:cs="Arial"/>
            <w:i/>
            <w:szCs w:val="18"/>
          </w:rPr>
          <w:t>r</w:t>
        </w:r>
        <w:r w:rsidRPr="007F2CDD">
          <w:rPr>
            <w:rStyle w:val="Hyperlink"/>
            <w:rFonts w:cs="Arial"/>
            <w:i/>
            <w:szCs w:val="18"/>
          </w:rPr>
          <w:t>eport</w:t>
        </w:r>
      </w:hyperlink>
      <w:r w:rsidRPr="00546E90">
        <w:t xml:space="preserve">, </w:t>
      </w:r>
      <w:r>
        <w:t xml:space="preserve">ACSI, </w:t>
      </w:r>
      <w:r w:rsidRPr="00546E90">
        <w:t xml:space="preserve">September 2024, </w:t>
      </w:r>
      <w:r>
        <w:t xml:space="preserve">p 31, </w:t>
      </w:r>
      <w:r w:rsidRPr="00546E90">
        <w:t>accessed 13</w:t>
      </w:r>
      <w:r w:rsidR="00864A1C">
        <w:t> </w:t>
      </w:r>
      <w:r w:rsidRPr="00546E90">
        <w:t>May 2026</w:t>
      </w:r>
      <w:r w:rsidRPr="00546E90">
        <w:rPr>
          <w:rFonts w:cs="Arial"/>
          <w:szCs w:val="18"/>
        </w:rPr>
        <w:t>. The report assessed the disclosures of 78 companies operating in sectors considered to have inherently high safety risks</w:t>
      </w:r>
      <w:r w:rsidR="003F6A37">
        <w:rPr>
          <w:rFonts w:cs="Arial"/>
          <w:szCs w:val="18"/>
        </w:rPr>
        <w:t>.</w:t>
      </w:r>
    </w:p>
  </w:footnote>
  <w:footnote w:id="164">
    <w:p w14:paraId="5C09BBBB" w14:textId="7E1D1715" w:rsidR="00FD3816" w:rsidRPr="00546E90" w:rsidRDefault="00FD3816" w:rsidP="00FD3816">
      <w:pPr>
        <w:pStyle w:val="FootnoteText"/>
      </w:pPr>
      <w:r w:rsidRPr="00546E90">
        <w:rPr>
          <w:rStyle w:val="FootnoteReference"/>
        </w:rPr>
        <w:footnoteRef/>
      </w:r>
      <w:r w:rsidRPr="00546E90">
        <w:t xml:space="preserve"> S Booth, </w:t>
      </w:r>
      <w:hyperlink r:id="rId141" w:history="1">
        <w:r w:rsidRPr="002E140F">
          <w:rPr>
            <w:rStyle w:val="Hyperlink"/>
            <w:rFonts w:cs="Arial"/>
            <w:i/>
          </w:rPr>
          <w:t xml:space="preserve">Closing </w:t>
        </w:r>
        <w:r w:rsidR="002E140F">
          <w:rPr>
            <w:rStyle w:val="Hyperlink"/>
            <w:rFonts w:cs="Arial"/>
            <w:i/>
          </w:rPr>
          <w:t>l</w:t>
        </w:r>
        <w:r w:rsidRPr="002E140F">
          <w:rPr>
            <w:rStyle w:val="Hyperlink"/>
            <w:rFonts w:cs="Arial"/>
            <w:i/>
          </w:rPr>
          <w:t>oopholes: An independent statutory review</w:t>
        </w:r>
      </w:hyperlink>
      <w:r w:rsidRPr="002E140F">
        <w:rPr>
          <w:i/>
        </w:rPr>
        <w:t xml:space="preserve">: </w:t>
      </w:r>
      <w:r w:rsidRPr="002E140F">
        <w:rPr>
          <w:i/>
          <w:iCs/>
        </w:rPr>
        <w:t xml:space="preserve">Draft </w:t>
      </w:r>
      <w:r w:rsidR="003F6A37" w:rsidRPr="002E140F">
        <w:rPr>
          <w:i/>
          <w:iCs/>
        </w:rPr>
        <w:t>r</w:t>
      </w:r>
      <w:r w:rsidRPr="002E140F">
        <w:rPr>
          <w:i/>
          <w:iCs/>
        </w:rPr>
        <w:t>eport</w:t>
      </w:r>
      <w:r w:rsidRPr="002E140F">
        <w:t>, Department</w:t>
      </w:r>
      <w:r>
        <w:t xml:space="preserve"> of Employment and Workplace Relations, Australian Government, </w:t>
      </w:r>
      <w:r w:rsidRPr="00546E90">
        <w:t xml:space="preserve">2026, </w:t>
      </w:r>
      <w:r>
        <w:t>R</w:t>
      </w:r>
      <w:r w:rsidRPr="00546E90">
        <w:t>ecommendation 44.</w:t>
      </w:r>
    </w:p>
  </w:footnote>
  <w:footnote w:id="165">
    <w:p w14:paraId="7C73E2DA" w14:textId="32AB5C10" w:rsidR="00FD3816" w:rsidRPr="00B510B3" w:rsidRDefault="00FD3816" w:rsidP="00FD3816">
      <w:pPr>
        <w:pStyle w:val="FootnoteText"/>
        <w:rPr>
          <w:rFonts w:cs="Arial"/>
          <w:szCs w:val="18"/>
        </w:rPr>
      </w:pPr>
      <w:r w:rsidRPr="00546E90">
        <w:rPr>
          <w:rStyle w:val="FootnoteReference"/>
          <w:rFonts w:cs="Arial"/>
          <w:szCs w:val="18"/>
        </w:rPr>
        <w:footnoteRef/>
      </w:r>
      <w:r w:rsidRPr="00546E90">
        <w:rPr>
          <w:rFonts w:cs="Arial"/>
          <w:szCs w:val="18"/>
        </w:rPr>
        <w:t xml:space="preserve"> </w:t>
      </w:r>
      <w:hyperlink r:id="rId142" w:history="1">
        <w:r>
          <w:rPr>
            <w:rStyle w:val="Hyperlink"/>
            <w:rFonts w:cs="Arial"/>
            <w:szCs w:val="18"/>
          </w:rPr>
          <w:t>ACFA</w:t>
        </w:r>
      </w:hyperlink>
      <w:r w:rsidRPr="00546E90">
        <w:rPr>
          <w:rFonts w:cs="Arial"/>
          <w:szCs w:val="18"/>
        </w:rPr>
        <w:t>, Submission, p 8.</w:t>
      </w:r>
    </w:p>
  </w:footnote>
  <w:footnote w:id="166">
    <w:p w14:paraId="6F2DA0E0" w14:textId="3F3A26C8" w:rsidR="00C254A0" w:rsidRPr="00503B2E" w:rsidRDefault="00C254A0" w:rsidP="00C254A0">
      <w:pPr>
        <w:pStyle w:val="FootnoteText"/>
        <w:rPr>
          <w:rFonts w:cs="Arial"/>
          <w:szCs w:val="18"/>
        </w:rPr>
      </w:pPr>
      <w:r w:rsidRPr="00503B2E">
        <w:rPr>
          <w:rStyle w:val="FootnoteReference"/>
          <w:rFonts w:cs="Arial"/>
          <w:szCs w:val="18"/>
        </w:rPr>
        <w:footnoteRef/>
      </w:r>
      <w:r w:rsidRPr="00503B2E">
        <w:rPr>
          <w:rFonts w:cs="Arial"/>
          <w:szCs w:val="18"/>
        </w:rPr>
        <w:t xml:space="preserve"> FW Act 2009</w:t>
      </w:r>
      <w:r>
        <w:rPr>
          <w:rFonts w:cs="Arial"/>
          <w:szCs w:val="18"/>
        </w:rPr>
        <w:t>,</w:t>
      </w:r>
      <w:r w:rsidRPr="00503B2E">
        <w:rPr>
          <w:rFonts w:cs="Arial"/>
          <w:szCs w:val="18"/>
        </w:rPr>
        <w:t> s</w:t>
      </w:r>
      <w:r>
        <w:rPr>
          <w:rFonts w:cs="Arial"/>
          <w:szCs w:val="18"/>
        </w:rPr>
        <w:t>s</w:t>
      </w:r>
      <w:r w:rsidRPr="00503B2E">
        <w:rPr>
          <w:rFonts w:cs="Arial"/>
          <w:szCs w:val="18"/>
        </w:rPr>
        <w:t xml:space="preserve"> 124 and</w:t>
      </w:r>
      <w:r w:rsidRPr="00503B2E" w:rsidDel="00667341">
        <w:rPr>
          <w:rFonts w:cs="Arial"/>
          <w:szCs w:val="18"/>
        </w:rPr>
        <w:t xml:space="preserve"> </w:t>
      </w:r>
      <w:r w:rsidRPr="00503B2E">
        <w:rPr>
          <w:rFonts w:cs="Arial"/>
          <w:szCs w:val="18"/>
        </w:rPr>
        <w:t xml:space="preserve">125; </w:t>
      </w:r>
      <w:hyperlink r:id="rId143" w:history="1">
        <w:r w:rsidRPr="00265B27">
          <w:rPr>
            <w:rStyle w:val="Hyperlink"/>
            <w:rFonts w:cs="Arial"/>
            <w:szCs w:val="18"/>
          </w:rPr>
          <w:t xml:space="preserve">Fair Work Regulations </w:t>
        </w:r>
        <w:bookmarkStart w:id="35" w:name="_Hlt236147341"/>
        <w:bookmarkStart w:id="36" w:name="_Hlt236147342"/>
        <w:r w:rsidRPr="00265B27">
          <w:rPr>
            <w:rStyle w:val="Hyperlink"/>
            <w:rFonts w:cs="Arial"/>
            <w:szCs w:val="18"/>
          </w:rPr>
          <w:t>2</w:t>
        </w:r>
        <w:bookmarkEnd w:id="35"/>
        <w:bookmarkEnd w:id="36"/>
        <w:r w:rsidRPr="00265B27">
          <w:rPr>
            <w:rStyle w:val="Hyperlink"/>
            <w:rFonts w:cs="Arial"/>
            <w:szCs w:val="18"/>
          </w:rPr>
          <w:t>009</w:t>
        </w:r>
      </w:hyperlink>
      <w:r w:rsidRPr="00265B27">
        <w:t xml:space="preserve">, regs </w:t>
      </w:r>
      <w:r w:rsidRPr="00503B2E">
        <w:rPr>
          <w:rFonts w:cs="Arial"/>
          <w:szCs w:val="18"/>
        </w:rPr>
        <w:t xml:space="preserve">2.01 and 2.02; </w:t>
      </w:r>
      <w:hyperlink r:id="rId144" w:history="1">
        <w:r w:rsidRPr="00B91768">
          <w:rPr>
            <w:rStyle w:val="Hyperlink"/>
            <w:rFonts w:cs="Arial"/>
            <w:i/>
            <w:iCs/>
            <w:szCs w:val="18"/>
          </w:rPr>
          <w:t>Fair Work Information Statement</w:t>
        </w:r>
      </w:hyperlink>
      <w:r w:rsidRPr="00503B2E">
        <w:rPr>
          <w:rFonts w:cs="Arial"/>
          <w:szCs w:val="18"/>
        </w:rPr>
        <w:t>.</w:t>
      </w:r>
    </w:p>
  </w:footnote>
  <w:footnote w:id="167">
    <w:p w14:paraId="2A2EFF2F" w14:textId="77777777" w:rsidR="00D57199" w:rsidRPr="00CE68FA" w:rsidRDefault="00D57199" w:rsidP="00D57199">
      <w:pPr>
        <w:pStyle w:val="FootnoteTextAG1"/>
        <w:rPr>
          <w:rFonts w:ascii="Aptos" w:hAnsi="Aptos"/>
          <w:sz w:val="18"/>
          <w:szCs w:val="18"/>
          <w:lang w:val="en-AU" w:eastAsia="en-US"/>
        </w:rPr>
      </w:pPr>
      <w:r w:rsidRPr="00CE68FA">
        <w:rPr>
          <w:rStyle w:val="FootnoteReference"/>
          <w:rFonts w:ascii="Aptos" w:hAnsi="Aptos"/>
          <w:sz w:val="18"/>
          <w:szCs w:val="18"/>
          <w:lang w:val="en-AU"/>
        </w:rPr>
        <w:footnoteRef/>
      </w:r>
      <w:r w:rsidRPr="00CE68FA">
        <w:rPr>
          <w:rFonts w:ascii="Aptos" w:hAnsi="Aptos"/>
          <w:sz w:val="18"/>
          <w:szCs w:val="18"/>
          <w:lang w:val="en-AU"/>
        </w:rPr>
        <w:t xml:space="preserve"> Model WHS Act, s 47.</w:t>
      </w:r>
    </w:p>
  </w:footnote>
  <w:footnote w:id="168">
    <w:p w14:paraId="680074BB" w14:textId="77777777" w:rsidR="00D57199" w:rsidRPr="00CE68FA" w:rsidRDefault="00D57199" w:rsidP="00D57199">
      <w:pPr>
        <w:pStyle w:val="FootnoteTextAG1"/>
        <w:rPr>
          <w:rFonts w:ascii="Aptos" w:hAnsi="Aptos"/>
          <w:sz w:val="18"/>
          <w:szCs w:val="18"/>
          <w:lang w:val="en-AU"/>
        </w:rPr>
      </w:pPr>
      <w:r w:rsidRPr="00CE68FA">
        <w:rPr>
          <w:rStyle w:val="FootnoteReference"/>
          <w:rFonts w:ascii="Aptos" w:hAnsi="Aptos"/>
          <w:sz w:val="18"/>
          <w:szCs w:val="18"/>
          <w:lang w:val="en-AU"/>
        </w:rPr>
        <w:footnoteRef/>
      </w:r>
      <w:r w:rsidRPr="00CE68FA">
        <w:rPr>
          <w:rFonts w:ascii="Aptos" w:hAnsi="Aptos"/>
          <w:sz w:val="18"/>
          <w:szCs w:val="18"/>
          <w:lang w:val="en-AU"/>
        </w:rPr>
        <w:t xml:space="preserve"> Model WHS Act, Pt 5.</w:t>
      </w:r>
    </w:p>
  </w:footnote>
  <w:footnote w:id="169">
    <w:p w14:paraId="2F8F1D40" w14:textId="77777777" w:rsidR="00DA6C2C" w:rsidRPr="00503B2E" w:rsidRDefault="00DA6C2C" w:rsidP="00DA6C2C">
      <w:pPr>
        <w:rPr>
          <w:rFonts w:asciiTheme="minorHAnsi" w:hAnsiTheme="minorHAnsi"/>
          <w:sz w:val="18"/>
          <w:szCs w:val="18"/>
        </w:rPr>
      </w:pPr>
      <w:r w:rsidRPr="00503B2E">
        <w:rPr>
          <w:rStyle w:val="FootnoteReference"/>
          <w:rFonts w:asciiTheme="minorHAnsi" w:hAnsiTheme="minorHAnsi"/>
          <w:sz w:val="18"/>
          <w:szCs w:val="18"/>
        </w:rPr>
        <w:footnoteRef/>
      </w:r>
      <w:r w:rsidRPr="00503B2E">
        <w:rPr>
          <w:rFonts w:asciiTheme="minorHAnsi" w:hAnsiTheme="minorHAnsi"/>
          <w:sz w:val="18"/>
          <w:szCs w:val="18"/>
        </w:rPr>
        <w:t xml:space="preserve"> Unions NT, Consultation, September 2025; UnionsACT, Consultation, September 2025; </w:t>
      </w:r>
      <w:r>
        <w:rPr>
          <w:rFonts w:asciiTheme="minorHAnsi" w:hAnsiTheme="minorHAnsi"/>
          <w:sz w:val="18"/>
          <w:szCs w:val="18"/>
        </w:rPr>
        <w:t>Queensland Council</w:t>
      </w:r>
      <w:r w:rsidRPr="00503B2E">
        <w:rPr>
          <w:rFonts w:asciiTheme="minorHAnsi" w:hAnsiTheme="minorHAnsi"/>
          <w:sz w:val="18"/>
          <w:szCs w:val="18"/>
        </w:rPr>
        <w:t xml:space="preserve"> of Unions, Consultation, September 2025; Victorian Trades Hall Council, Consultation, September 2025; </w:t>
      </w:r>
      <w:hyperlink r:id="rId145" w:history="1">
        <w:r w:rsidRPr="00503B2E">
          <w:rPr>
            <w:rStyle w:val="Hyperlink"/>
            <w:rFonts w:asciiTheme="minorHAnsi" w:hAnsiTheme="minorHAnsi"/>
            <w:sz w:val="18"/>
            <w:szCs w:val="18"/>
          </w:rPr>
          <w:t>Community and Public Sector Union</w:t>
        </w:r>
      </w:hyperlink>
      <w:r w:rsidRPr="00503B2E">
        <w:rPr>
          <w:rFonts w:asciiTheme="minorHAnsi" w:hAnsiTheme="minorHAnsi"/>
          <w:sz w:val="18"/>
          <w:szCs w:val="18"/>
        </w:rPr>
        <w:t xml:space="preserve">, Submission, p 8; </w:t>
      </w:r>
      <w:hyperlink r:id="rId146" w:history="1">
        <w:r w:rsidRPr="00503B2E">
          <w:rPr>
            <w:rStyle w:val="Hyperlink"/>
            <w:rFonts w:asciiTheme="minorHAnsi" w:hAnsiTheme="minorHAnsi"/>
            <w:sz w:val="18"/>
            <w:szCs w:val="18"/>
          </w:rPr>
          <w:t>Shop, Distributive and Allied Employees' Association</w:t>
        </w:r>
      </w:hyperlink>
      <w:r w:rsidRPr="00503B2E">
        <w:rPr>
          <w:rFonts w:asciiTheme="minorHAnsi" w:hAnsiTheme="minorHAnsi"/>
          <w:sz w:val="18"/>
          <w:szCs w:val="18"/>
        </w:rPr>
        <w:t xml:space="preserve">, Submission, p 6; </w:t>
      </w:r>
      <w:hyperlink r:id="rId147" w:history="1">
        <w:r>
          <w:rPr>
            <w:rStyle w:val="Hyperlink"/>
            <w:rFonts w:asciiTheme="minorHAnsi" w:hAnsiTheme="minorHAnsi"/>
            <w:sz w:val="18"/>
            <w:szCs w:val="18"/>
          </w:rPr>
          <w:t>Queensland Council</w:t>
        </w:r>
        <w:r w:rsidRPr="00503B2E">
          <w:rPr>
            <w:rStyle w:val="Hyperlink"/>
            <w:rFonts w:asciiTheme="minorHAnsi" w:hAnsiTheme="minorHAnsi"/>
            <w:sz w:val="18"/>
            <w:szCs w:val="18"/>
          </w:rPr>
          <w:t xml:space="preserve"> of Unions</w:t>
        </w:r>
      </w:hyperlink>
      <w:r w:rsidRPr="00503B2E">
        <w:rPr>
          <w:rFonts w:asciiTheme="minorHAnsi" w:hAnsiTheme="minorHAnsi"/>
          <w:sz w:val="18"/>
          <w:szCs w:val="18"/>
        </w:rPr>
        <w:t>, Submission, p 16.</w:t>
      </w:r>
    </w:p>
  </w:footnote>
  <w:footnote w:id="170">
    <w:p w14:paraId="2061F43F" w14:textId="1A318DA2" w:rsidR="00DA6C2C" w:rsidRPr="00503B2E" w:rsidRDefault="00DA6C2C" w:rsidP="00DA6C2C">
      <w:pPr>
        <w:rPr>
          <w:rFonts w:asciiTheme="minorHAnsi" w:hAnsiTheme="minorHAnsi"/>
          <w:sz w:val="18"/>
          <w:szCs w:val="18"/>
        </w:rPr>
      </w:pPr>
      <w:r w:rsidRPr="00503B2E">
        <w:rPr>
          <w:rStyle w:val="FootnoteReference"/>
          <w:rFonts w:asciiTheme="minorHAnsi" w:hAnsiTheme="minorHAnsi"/>
          <w:sz w:val="18"/>
          <w:szCs w:val="18"/>
        </w:rPr>
        <w:footnoteRef/>
      </w:r>
      <w:r w:rsidRPr="00503B2E">
        <w:rPr>
          <w:rFonts w:asciiTheme="minorHAnsi" w:hAnsiTheme="minorHAnsi"/>
          <w:sz w:val="18"/>
          <w:szCs w:val="18"/>
        </w:rPr>
        <w:t xml:space="preserve"> HSRs in Bunbury, Consultation, September 2025.</w:t>
      </w:r>
    </w:p>
  </w:footnote>
  <w:footnote w:id="171">
    <w:p w14:paraId="68E3E01D" w14:textId="77777777" w:rsidR="00DA6C2C" w:rsidRPr="00514277" w:rsidRDefault="00DA6C2C" w:rsidP="00DA6C2C">
      <w:pPr>
        <w:rPr>
          <w:sz w:val="18"/>
          <w:szCs w:val="18"/>
        </w:rPr>
      </w:pPr>
      <w:r w:rsidRPr="00503B2E">
        <w:rPr>
          <w:rStyle w:val="FootnoteReference"/>
          <w:rFonts w:asciiTheme="minorHAnsi" w:hAnsiTheme="minorHAnsi"/>
          <w:sz w:val="18"/>
          <w:szCs w:val="18"/>
        </w:rPr>
        <w:footnoteRef/>
      </w:r>
      <w:r w:rsidRPr="00503B2E">
        <w:rPr>
          <w:rFonts w:asciiTheme="minorHAnsi" w:hAnsiTheme="minorHAnsi"/>
          <w:sz w:val="18"/>
          <w:szCs w:val="18"/>
        </w:rPr>
        <w:t xml:space="preserve"> See Appendix J.</w:t>
      </w:r>
    </w:p>
  </w:footnote>
  <w:footnote w:id="172">
    <w:p w14:paraId="0919A077" w14:textId="77777777" w:rsidR="00DA6C2C" w:rsidRPr="00503B2E" w:rsidRDefault="00DA6C2C" w:rsidP="00DA6C2C">
      <w:pPr>
        <w:rPr>
          <w:rFonts w:asciiTheme="minorHAnsi" w:hAnsiTheme="minorHAnsi"/>
          <w:sz w:val="18"/>
          <w:szCs w:val="18"/>
        </w:rPr>
      </w:pPr>
      <w:r w:rsidRPr="00503B2E">
        <w:rPr>
          <w:rStyle w:val="FootnoteReference"/>
          <w:rFonts w:asciiTheme="minorHAnsi" w:hAnsiTheme="minorHAnsi"/>
          <w:sz w:val="18"/>
          <w:szCs w:val="18"/>
        </w:rPr>
        <w:footnoteRef/>
      </w:r>
      <w:r w:rsidRPr="00503B2E">
        <w:rPr>
          <w:rFonts w:asciiTheme="minorHAnsi" w:hAnsiTheme="minorHAnsi"/>
          <w:sz w:val="18"/>
          <w:szCs w:val="18"/>
        </w:rPr>
        <w:t xml:space="preserve"> WorkSafe ACT, Consultation, September 2025.</w:t>
      </w:r>
    </w:p>
  </w:footnote>
  <w:footnote w:id="173">
    <w:p w14:paraId="372DA63C" w14:textId="77777777" w:rsidR="00DA6C2C" w:rsidRPr="00503B2E" w:rsidRDefault="00DA6C2C" w:rsidP="00DA6C2C">
      <w:pPr>
        <w:rPr>
          <w:rFonts w:asciiTheme="minorHAnsi" w:hAnsiTheme="minorHAnsi"/>
          <w:sz w:val="18"/>
          <w:szCs w:val="18"/>
        </w:rPr>
      </w:pPr>
      <w:r w:rsidRPr="00503B2E">
        <w:rPr>
          <w:rStyle w:val="FootnoteReference"/>
          <w:rFonts w:asciiTheme="minorHAnsi" w:hAnsiTheme="minorHAnsi"/>
          <w:sz w:val="18"/>
          <w:szCs w:val="18"/>
        </w:rPr>
        <w:footnoteRef/>
      </w:r>
      <w:r w:rsidRPr="00503B2E">
        <w:rPr>
          <w:rFonts w:asciiTheme="minorHAnsi" w:hAnsiTheme="minorHAnsi"/>
          <w:sz w:val="18"/>
          <w:szCs w:val="18"/>
        </w:rPr>
        <w:t xml:space="preserve"> </w:t>
      </w:r>
      <w:r>
        <w:rPr>
          <w:rFonts w:asciiTheme="minorHAnsi" w:hAnsiTheme="minorHAnsi"/>
          <w:sz w:val="18"/>
          <w:szCs w:val="18"/>
        </w:rPr>
        <w:t>Queensland</w:t>
      </w:r>
      <w:r w:rsidRPr="00503B2E">
        <w:rPr>
          <w:rFonts w:asciiTheme="minorHAnsi" w:hAnsiTheme="minorHAnsi"/>
          <w:sz w:val="18"/>
          <w:szCs w:val="18"/>
        </w:rPr>
        <w:t xml:space="preserve"> Council of Unions, Consultation, September 2025; Unions NT, Consultation, September 2025</w:t>
      </w:r>
      <w:r w:rsidRPr="00503B2E">
        <w:rPr>
          <w:rFonts w:asciiTheme="minorHAnsi" w:hAnsiTheme="minorHAnsi"/>
          <w:color w:val="000000" w:themeColor="text1"/>
          <w:sz w:val="18"/>
          <w:szCs w:val="18"/>
        </w:rPr>
        <w:t>; National HSR meeting, Consultation, October 2025.</w:t>
      </w:r>
    </w:p>
  </w:footnote>
  <w:footnote w:id="174">
    <w:p w14:paraId="6D4F1DB1" w14:textId="6D9CB86A" w:rsidR="00DA6C2C" w:rsidRPr="00503B2E" w:rsidRDefault="00DA6C2C" w:rsidP="00DA6C2C">
      <w:pPr>
        <w:rPr>
          <w:rFonts w:asciiTheme="minorHAnsi" w:hAnsiTheme="minorHAnsi"/>
          <w:sz w:val="18"/>
          <w:szCs w:val="18"/>
        </w:rPr>
      </w:pPr>
      <w:r w:rsidRPr="00503B2E">
        <w:rPr>
          <w:rStyle w:val="FootnoteReference"/>
          <w:rFonts w:asciiTheme="minorHAnsi" w:hAnsiTheme="minorHAnsi"/>
          <w:sz w:val="18"/>
          <w:szCs w:val="18"/>
        </w:rPr>
        <w:footnoteRef/>
      </w:r>
      <w:r w:rsidRPr="00503B2E">
        <w:rPr>
          <w:rFonts w:asciiTheme="minorHAnsi" w:hAnsiTheme="minorHAnsi"/>
          <w:sz w:val="18"/>
          <w:szCs w:val="18"/>
        </w:rPr>
        <w:t xml:space="preserve"> E White, </w:t>
      </w:r>
      <w:hyperlink r:id="rId148" w:history="1">
        <w:r w:rsidRPr="00503B2E">
          <w:rPr>
            <w:rStyle w:val="Hyperlink"/>
            <w:rFonts w:asciiTheme="minorHAnsi" w:hAnsiTheme="minorHAnsi"/>
            <w:i/>
            <w:sz w:val="18"/>
            <w:szCs w:val="18"/>
          </w:rPr>
          <w:t>Independent Review of Employee Representatives</w:t>
        </w:r>
        <w:r>
          <w:rPr>
            <w:rStyle w:val="Hyperlink"/>
            <w:rFonts w:asciiTheme="minorHAnsi" w:hAnsiTheme="minorHAnsi"/>
            <w:i/>
            <w:sz w:val="18"/>
            <w:szCs w:val="18"/>
          </w:rPr>
          <w:t>:</w:t>
        </w:r>
        <w:r w:rsidRPr="00503B2E">
          <w:rPr>
            <w:rStyle w:val="Hyperlink"/>
            <w:rFonts w:asciiTheme="minorHAnsi" w:hAnsiTheme="minorHAnsi"/>
            <w:i/>
            <w:sz w:val="18"/>
            <w:szCs w:val="18"/>
          </w:rPr>
          <w:t xml:space="preserve"> </w:t>
        </w:r>
        <w:r>
          <w:rPr>
            <w:rStyle w:val="Hyperlink"/>
            <w:rFonts w:asciiTheme="minorHAnsi" w:hAnsiTheme="minorHAnsi"/>
            <w:i/>
            <w:sz w:val="18"/>
            <w:szCs w:val="18"/>
          </w:rPr>
          <w:t>I</w:t>
        </w:r>
        <w:r w:rsidRPr="00503B2E">
          <w:rPr>
            <w:rStyle w:val="Hyperlink"/>
            <w:rFonts w:asciiTheme="minorHAnsi" w:hAnsiTheme="minorHAnsi"/>
            <w:i/>
            <w:sz w:val="18"/>
            <w:szCs w:val="18"/>
          </w:rPr>
          <w:t xml:space="preserve">nterim </w:t>
        </w:r>
        <w:r w:rsidR="003F6A37">
          <w:rPr>
            <w:rStyle w:val="Hyperlink"/>
            <w:rFonts w:asciiTheme="minorHAnsi" w:hAnsiTheme="minorHAnsi"/>
            <w:i/>
            <w:sz w:val="18"/>
            <w:szCs w:val="18"/>
          </w:rPr>
          <w:t>r</w:t>
        </w:r>
        <w:r w:rsidRPr="00503B2E">
          <w:rPr>
            <w:rStyle w:val="Hyperlink"/>
            <w:rFonts w:asciiTheme="minorHAnsi" w:hAnsiTheme="minorHAnsi"/>
            <w:i/>
            <w:sz w:val="18"/>
            <w:szCs w:val="18"/>
          </w:rPr>
          <w:t>eport</w:t>
        </w:r>
      </w:hyperlink>
      <w:r w:rsidRPr="00503B2E">
        <w:rPr>
          <w:rFonts w:asciiTheme="minorHAnsi" w:hAnsiTheme="minorHAnsi"/>
          <w:i/>
          <w:sz w:val="18"/>
          <w:szCs w:val="18"/>
        </w:rPr>
        <w:t>,</w:t>
      </w:r>
      <w:r w:rsidRPr="00503B2E">
        <w:rPr>
          <w:rFonts w:asciiTheme="minorHAnsi" w:hAnsiTheme="minorHAnsi"/>
          <w:sz w:val="18"/>
          <w:szCs w:val="18"/>
        </w:rPr>
        <w:t xml:space="preserve"> Victorian Government, 2025, para</w:t>
      </w:r>
      <w:r>
        <w:rPr>
          <w:rFonts w:asciiTheme="minorHAnsi" w:hAnsiTheme="minorHAnsi"/>
          <w:sz w:val="18"/>
          <w:szCs w:val="18"/>
        </w:rPr>
        <w:t xml:space="preserve">s </w:t>
      </w:r>
      <w:r w:rsidRPr="00503B2E">
        <w:rPr>
          <w:rFonts w:asciiTheme="minorHAnsi" w:hAnsiTheme="minorHAnsi"/>
          <w:sz w:val="18"/>
          <w:szCs w:val="18"/>
        </w:rPr>
        <w:t>9, 206–207.</w:t>
      </w:r>
    </w:p>
  </w:footnote>
  <w:footnote w:id="175">
    <w:p w14:paraId="0F32FD99" w14:textId="77777777" w:rsidR="00DA6C2C" w:rsidRPr="00503B2E" w:rsidRDefault="00DA6C2C" w:rsidP="00DA6C2C">
      <w:pPr>
        <w:rPr>
          <w:rFonts w:asciiTheme="minorHAnsi" w:hAnsiTheme="minorHAnsi"/>
          <w:sz w:val="18"/>
          <w:szCs w:val="18"/>
        </w:rPr>
      </w:pPr>
      <w:r w:rsidRPr="00503B2E">
        <w:rPr>
          <w:rStyle w:val="FootnoteReference"/>
          <w:rFonts w:asciiTheme="minorHAnsi" w:hAnsiTheme="minorHAnsi"/>
          <w:sz w:val="18"/>
          <w:szCs w:val="18"/>
        </w:rPr>
        <w:footnoteRef/>
      </w:r>
      <w:r w:rsidRPr="00503B2E">
        <w:rPr>
          <w:rFonts w:asciiTheme="minorHAnsi" w:hAnsiTheme="minorHAnsi"/>
          <w:sz w:val="18"/>
          <w:szCs w:val="18"/>
        </w:rPr>
        <w:t xml:space="preserve"> National HSR meeting, Consultation, October 2025.</w:t>
      </w:r>
    </w:p>
  </w:footnote>
  <w:footnote w:id="176">
    <w:p w14:paraId="32379872" w14:textId="77777777" w:rsidR="00DA6C2C" w:rsidRPr="00503B2E" w:rsidRDefault="00DA6C2C" w:rsidP="00DA6C2C">
      <w:pPr>
        <w:rPr>
          <w:rFonts w:asciiTheme="minorHAnsi" w:hAnsiTheme="minorHAnsi"/>
          <w:sz w:val="18"/>
          <w:szCs w:val="18"/>
        </w:rPr>
      </w:pPr>
      <w:r w:rsidRPr="00503B2E">
        <w:rPr>
          <w:rStyle w:val="FootnoteReference"/>
          <w:rFonts w:asciiTheme="minorHAnsi" w:hAnsiTheme="minorHAnsi"/>
          <w:sz w:val="18"/>
          <w:szCs w:val="18"/>
        </w:rPr>
        <w:footnoteRef/>
      </w:r>
      <w:r w:rsidRPr="00503B2E">
        <w:rPr>
          <w:rFonts w:asciiTheme="minorHAnsi" w:hAnsiTheme="minorHAnsi"/>
          <w:sz w:val="18"/>
          <w:szCs w:val="18"/>
        </w:rPr>
        <w:t xml:space="preserve"> Unions NT, Consultation, September 2025.</w:t>
      </w:r>
    </w:p>
  </w:footnote>
  <w:footnote w:id="177">
    <w:p w14:paraId="19E01A4B" w14:textId="77777777" w:rsidR="00DA6C2C" w:rsidRPr="00503B2E" w:rsidRDefault="00DA6C2C" w:rsidP="00DA6C2C">
      <w:pPr>
        <w:rPr>
          <w:rFonts w:asciiTheme="minorHAnsi" w:hAnsiTheme="minorHAnsi"/>
          <w:sz w:val="18"/>
          <w:szCs w:val="18"/>
        </w:rPr>
      </w:pPr>
      <w:r w:rsidRPr="00503B2E">
        <w:rPr>
          <w:rStyle w:val="FootnoteReference"/>
          <w:rFonts w:asciiTheme="minorHAnsi" w:hAnsiTheme="minorHAnsi"/>
          <w:sz w:val="18"/>
          <w:szCs w:val="18"/>
        </w:rPr>
        <w:footnoteRef/>
      </w:r>
      <w:r w:rsidRPr="00503B2E">
        <w:rPr>
          <w:rFonts w:asciiTheme="minorHAnsi" w:hAnsiTheme="minorHAnsi"/>
          <w:sz w:val="18"/>
          <w:szCs w:val="18"/>
        </w:rPr>
        <w:t xml:space="preserve"> HSRs in Bunbury, Consultation, September 2025.</w:t>
      </w:r>
    </w:p>
  </w:footnote>
  <w:footnote w:id="178">
    <w:p w14:paraId="455D70A9" w14:textId="77777777" w:rsidR="00DA6C2C" w:rsidRPr="00503B2E" w:rsidRDefault="00DA6C2C" w:rsidP="00DA6C2C">
      <w:pPr>
        <w:rPr>
          <w:rFonts w:asciiTheme="minorHAnsi" w:hAnsiTheme="minorHAnsi"/>
          <w:sz w:val="18"/>
          <w:szCs w:val="18"/>
        </w:rPr>
      </w:pPr>
      <w:r w:rsidRPr="00503B2E">
        <w:rPr>
          <w:rStyle w:val="FootnoteReference"/>
          <w:rFonts w:asciiTheme="minorHAnsi" w:hAnsiTheme="minorHAnsi"/>
          <w:sz w:val="18"/>
          <w:szCs w:val="18"/>
        </w:rPr>
        <w:footnoteRef/>
      </w:r>
      <w:r w:rsidRPr="00503B2E">
        <w:rPr>
          <w:rFonts w:asciiTheme="minorHAnsi" w:hAnsiTheme="minorHAnsi"/>
          <w:sz w:val="18"/>
          <w:szCs w:val="18"/>
        </w:rPr>
        <w:t xml:space="preserve"> Victorian Trades Hall Council, Consultation, September 2025.</w:t>
      </w:r>
    </w:p>
  </w:footnote>
  <w:footnote w:id="179">
    <w:p w14:paraId="2CB7CCD3" w14:textId="77777777" w:rsidR="00DA6C2C" w:rsidRPr="00503B2E" w:rsidRDefault="00DA6C2C" w:rsidP="00DA6C2C">
      <w:pPr>
        <w:rPr>
          <w:rFonts w:asciiTheme="minorHAnsi" w:hAnsiTheme="minorHAnsi"/>
          <w:sz w:val="18"/>
          <w:szCs w:val="18"/>
        </w:rPr>
      </w:pPr>
      <w:r w:rsidRPr="00503B2E">
        <w:rPr>
          <w:rStyle w:val="FootnoteReference"/>
          <w:rFonts w:asciiTheme="minorHAnsi" w:hAnsiTheme="minorHAnsi"/>
          <w:sz w:val="18"/>
          <w:szCs w:val="18"/>
        </w:rPr>
        <w:footnoteRef/>
      </w:r>
      <w:r w:rsidRPr="00503B2E">
        <w:rPr>
          <w:rFonts w:asciiTheme="minorHAnsi" w:hAnsiTheme="minorHAnsi"/>
          <w:sz w:val="18"/>
          <w:szCs w:val="18"/>
        </w:rPr>
        <w:t xml:space="preserve"> WorkSafe ACT, Consultation, September 2025; Unions NT, Consultation, September 2025; also raised by Chamber of Minerals and Energy in Bunbury, Consultation, September 2025.</w:t>
      </w:r>
    </w:p>
  </w:footnote>
  <w:footnote w:id="180">
    <w:p w14:paraId="223994CB" w14:textId="77777777" w:rsidR="00DA6C2C" w:rsidRPr="00503B2E" w:rsidRDefault="00DA6C2C" w:rsidP="00DA6C2C">
      <w:pPr>
        <w:rPr>
          <w:rFonts w:asciiTheme="minorHAnsi" w:hAnsiTheme="minorHAnsi"/>
          <w:sz w:val="18"/>
          <w:szCs w:val="18"/>
        </w:rPr>
      </w:pPr>
      <w:r w:rsidRPr="00503B2E">
        <w:rPr>
          <w:rStyle w:val="FootnoteReference"/>
          <w:rFonts w:asciiTheme="minorHAnsi" w:hAnsiTheme="minorHAnsi"/>
          <w:sz w:val="18"/>
          <w:szCs w:val="18"/>
        </w:rPr>
        <w:footnoteRef/>
      </w:r>
      <w:r w:rsidRPr="00503B2E">
        <w:rPr>
          <w:rFonts w:asciiTheme="minorHAnsi" w:hAnsiTheme="minorHAnsi"/>
          <w:sz w:val="18"/>
          <w:szCs w:val="18"/>
        </w:rPr>
        <w:t xml:space="preserve"> Unions NT, Consultation, September 2025.</w:t>
      </w:r>
    </w:p>
  </w:footnote>
  <w:footnote w:id="181">
    <w:p w14:paraId="160DF6EE" w14:textId="77777777" w:rsidR="00DA6C2C" w:rsidRPr="00503B2E" w:rsidRDefault="00DA6C2C" w:rsidP="00DA6C2C">
      <w:pPr>
        <w:rPr>
          <w:rFonts w:asciiTheme="minorHAnsi" w:hAnsiTheme="minorHAnsi"/>
          <w:sz w:val="18"/>
          <w:szCs w:val="18"/>
        </w:rPr>
      </w:pPr>
      <w:r w:rsidRPr="00503B2E">
        <w:rPr>
          <w:rStyle w:val="FootnoteReference"/>
          <w:rFonts w:asciiTheme="minorHAnsi" w:hAnsiTheme="minorHAnsi"/>
          <w:sz w:val="18"/>
          <w:szCs w:val="18"/>
        </w:rPr>
        <w:footnoteRef/>
      </w:r>
      <w:r w:rsidRPr="00503B2E">
        <w:rPr>
          <w:rFonts w:asciiTheme="minorHAnsi" w:hAnsiTheme="minorHAnsi"/>
          <w:sz w:val="18"/>
          <w:szCs w:val="18"/>
        </w:rPr>
        <w:t xml:space="preserve"> </w:t>
      </w:r>
      <w:hyperlink r:id="rId149" w:history="1">
        <w:r w:rsidRPr="00503B2E">
          <w:rPr>
            <w:rStyle w:val="Hyperlink"/>
            <w:rFonts w:asciiTheme="minorHAnsi" w:hAnsiTheme="minorHAnsi"/>
            <w:sz w:val="18"/>
            <w:szCs w:val="18"/>
          </w:rPr>
          <w:t>Community and Public Sector Union</w:t>
        </w:r>
      </w:hyperlink>
      <w:r w:rsidRPr="00503B2E">
        <w:rPr>
          <w:rFonts w:asciiTheme="minorHAnsi" w:hAnsiTheme="minorHAnsi"/>
          <w:sz w:val="18"/>
          <w:szCs w:val="18"/>
        </w:rPr>
        <w:t>, Submission, p 8; National HSR meeting, Consultation, October 2025; HSRs in Bunbury, Consultation, September 2025.</w:t>
      </w:r>
    </w:p>
  </w:footnote>
  <w:footnote w:id="182">
    <w:p w14:paraId="30C6D15E" w14:textId="77777777" w:rsidR="00DA6C2C" w:rsidRPr="00503B2E" w:rsidRDefault="00DA6C2C" w:rsidP="00DA6C2C">
      <w:pPr>
        <w:rPr>
          <w:rFonts w:asciiTheme="minorHAnsi" w:hAnsiTheme="minorHAnsi"/>
          <w:sz w:val="18"/>
          <w:szCs w:val="18"/>
        </w:rPr>
      </w:pPr>
      <w:r w:rsidRPr="00503B2E">
        <w:rPr>
          <w:rStyle w:val="FootnoteReference"/>
          <w:rFonts w:asciiTheme="minorHAnsi" w:hAnsiTheme="minorHAnsi"/>
          <w:sz w:val="18"/>
          <w:szCs w:val="18"/>
        </w:rPr>
        <w:footnoteRef/>
      </w:r>
      <w:r w:rsidRPr="00503B2E">
        <w:rPr>
          <w:rFonts w:asciiTheme="minorHAnsi" w:hAnsiTheme="minorHAnsi"/>
          <w:sz w:val="18"/>
          <w:szCs w:val="18"/>
        </w:rPr>
        <w:t xml:space="preserve"> Private, Submission #150, p 9; Unions NT, Consultation, September 2025; National HSR meeting, Consultation, October 2025; HSRs in Bunbury, Consultation, September 2025.</w:t>
      </w:r>
    </w:p>
  </w:footnote>
  <w:footnote w:id="183">
    <w:p w14:paraId="565AD2DF" w14:textId="77777777" w:rsidR="00DA6C2C" w:rsidRPr="00503B2E" w:rsidRDefault="00DA6C2C" w:rsidP="00DA6C2C">
      <w:pPr>
        <w:rPr>
          <w:rFonts w:asciiTheme="minorHAnsi" w:hAnsiTheme="minorHAnsi"/>
          <w:sz w:val="18"/>
          <w:szCs w:val="18"/>
        </w:rPr>
      </w:pPr>
      <w:r w:rsidRPr="00503B2E">
        <w:rPr>
          <w:rStyle w:val="FootnoteReference"/>
          <w:rFonts w:asciiTheme="minorHAnsi" w:hAnsiTheme="minorHAnsi"/>
          <w:sz w:val="18"/>
          <w:szCs w:val="18"/>
        </w:rPr>
        <w:footnoteRef/>
      </w:r>
      <w:r w:rsidRPr="00503B2E">
        <w:rPr>
          <w:rFonts w:asciiTheme="minorHAnsi" w:hAnsiTheme="minorHAnsi"/>
          <w:sz w:val="18"/>
          <w:szCs w:val="18"/>
        </w:rPr>
        <w:t xml:space="preserve"> </w:t>
      </w:r>
      <w:hyperlink r:id="rId150" w:history="1">
        <w:r w:rsidRPr="00503B2E">
          <w:rPr>
            <w:rStyle w:val="Hyperlink"/>
            <w:rFonts w:asciiTheme="minorHAnsi" w:hAnsiTheme="minorHAnsi"/>
            <w:sz w:val="18"/>
            <w:szCs w:val="18"/>
          </w:rPr>
          <w:t>ACTU</w:t>
        </w:r>
      </w:hyperlink>
      <w:r w:rsidRPr="00503B2E">
        <w:rPr>
          <w:rFonts w:asciiTheme="minorHAnsi" w:hAnsiTheme="minorHAnsi"/>
          <w:sz w:val="18"/>
          <w:szCs w:val="18"/>
        </w:rPr>
        <w:t>, Submission, pp 38–44.</w:t>
      </w:r>
    </w:p>
  </w:footnote>
  <w:footnote w:id="184">
    <w:p w14:paraId="7558990A" w14:textId="77777777" w:rsidR="00DA6C2C" w:rsidRPr="00503B2E" w:rsidRDefault="00DA6C2C" w:rsidP="00BE4AD0">
      <w:pPr>
        <w:spacing w:after="0"/>
        <w:rPr>
          <w:rFonts w:asciiTheme="minorHAnsi" w:hAnsiTheme="minorHAnsi"/>
          <w:sz w:val="18"/>
          <w:szCs w:val="18"/>
        </w:rPr>
      </w:pPr>
      <w:r w:rsidRPr="00503B2E">
        <w:rPr>
          <w:rStyle w:val="FootnoteReference"/>
          <w:rFonts w:asciiTheme="minorHAnsi" w:hAnsiTheme="minorHAnsi"/>
          <w:sz w:val="18"/>
          <w:szCs w:val="18"/>
        </w:rPr>
        <w:footnoteRef/>
      </w:r>
      <w:r w:rsidRPr="00503B2E">
        <w:rPr>
          <w:rFonts w:asciiTheme="minorHAnsi" w:hAnsiTheme="minorHAnsi"/>
          <w:sz w:val="18"/>
          <w:szCs w:val="18"/>
        </w:rPr>
        <w:t xml:space="preserve"> </w:t>
      </w:r>
      <w:r w:rsidRPr="00503B2E">
        <w:rPr>
          <w:rFonts w:asciiTheme="minorHAnsi" w:hAnsiTheme="minorHAnsi"/>
          <w:color w:val="000000" w:themeColor="text1"/>
          <w:sz w:val="18"/>
          <w:szCs w:val="18"/>
        </w:rPr>
        <w:t xml:space="preserve">National HSR meeting, </w:t>
      </w:r>
      <w:r w:rsidRPr="00503B2E">
        <w:rPr>
          <w:rFonts w:asciiTheme="minorHAnsi" w:hAnsiTheme="minorHAnsi"/>
          <w:sz w:val="18"/>
          <w:szCs w:val="18"/>
        </w:rPr>
        <w:t>Consultation, October 2025.</w:t>
      </w:r>
    </w:p>
  </w:footnote>
  <w:footnote w:id="185">
    <w:p w14:paraId="62F40147" w14:textId="77777777" w:rsidR="00DA6C2C" w:rsidRPr="00503B2E" w:rsidRDefault="00DA6C2C" w:rsidP="00DA6C2C">
      <w:pPr>
        <w:pStyle w:val="FootnoteText"/>
        <w:rPr>
          <w:szCs w:val="18"/>
        </w:rPr>
      </w:pPr>
      <w:r w:rsidRPr="00503B2E">
        <w:rPr>
          <w:rStyle w:val="FootnoteReference"/>
          <w:szCs w:val="18"/>
        </w:rPr>
        <w:footnoteRef/>
      </w:r>
      <w:r w:rsidRPr="00503B2E">
        <w:rPr>
          <w:szCs w:val="18"/>
        </w:rPr>
        <w:t xml:space="preserve"> </w:t>
      </w:r>
      <w:hyperlink r:id="rId151" w:history="1">
        <w:r w:rsidRPr="00503B2E">
          <w:rPr>
            <w:rStyle w:val="Hyperlink"/>
            <w:szCs w:val="18"/>
          </w:rPr>
          <w:t>Australian Industry Group</w:t>
        </w:r>
      </w:hyperlink>
      <w:r w:rsidRPr="00503B2E">
        <w:rPr>
          <w:szCs w:val="18"/>
        </w:rPr>
        <w:t xml:space="preserve">, Submission, p 9; </w:t>
      </w:r>
      <w:hyperlink r:id="rId152" w:history="1">
        <w:r w:rsidRPr="00503B2E">
          <w:rPr>
            <w:rStyle w:val="Hyperlink"/>
          </w:rPr>
          <w:t>MBA</w:t>
        </w:r>
      </w:hyperlink>
      <w:r w:rsidRPr="00503B2E">
        <w:rPr>
          <w:szCs w:val="18"/>
        </w:rPr>
        <w:t>, Submission, pp 15–16 and 24.</w:t>
      </w:r>
    </w:p>
  </w:footnote>
  <w:footnote w:id="186">
    <w:p w14:paraId="45E1E951" w14:textId="77777777" w:rsidR="00DA6C2C" w:rsidRPr="00503B2E" w:rsidRDefault="00DA6C2C" w:rsidP="00DA6C2C">
      <w:pPr>
        <w:pStyle w:val="FootnoteText"/>
        <w:rPr>
          <w:szCs w:val="18"/>
        </w:rPr>
      </w:pPr>
      <w:r w:rsidRPr="00503B2E">
        <w:rPr>
          <w:rStyle w:val="FootnoteReference"/>
          <w:szCs w:val="18"/>
        </w:rPr>
        <w:footnoteRef/>
      </w:r>
      <w:r w:rsidRPr="00503B2E">
        <w:rPr>
          <w:szCs w:val="18"/>
        </w:rPr>
        <w:t xml:space="preserve"> </w:t>
      </w:r>
      <w:hyperlink r:id="rId153" w:history="1">
        <w:r w:rsidRPr="00503B2E">
          <w:rPr>
            <w:rStyle w:val="Hyperlink"/>
            <w:szCs w:val="18"/>
          </w:rPr>
          <w:t>Australian Constructors Association</w:t>
        </w:r>
      </w:hyperlink>
      <w:r w:rsidRPr="00503B2E">
        <w:rPr>
          <w:szCs w:val="18"/>
        </w:rPr>
        <w:t>, Submission, p 2.</w:t>
      </w:r>
    </w:p>
  </w:footnote>
  <w:footnote w:id="187">
    <w:p w14:paraId="06C0B12E" w14:textId="77777777" w:rsidR="00DA6C2C" w:rsidRPr="00503B2E" w:rsidRDefault="00DA6C2C" w:rsidP="00DA6C2C">
      <w:pPr>
        <w:pStyle w:val="FootnoteText"/>
      </w:pPr>
      <w:r w:rsidRPr="00503B2E">
        <w:rPr>
          <w:rStyle w:val="FootnoteReference"/>
        </w:rPr>
        <w:footnoteRef/>
      </w:r>
      <w:r w:rsidRPr="00503B2E">
        <w:t xml:space="preserve"> Model WHS Act, s 68(2)(g).</w:t>
      </w:r>
    </w:p>
  </w:footnote>
  <w:footnote w:id="188">
    <w:p w14:paraId="2959E2A4" w14:textId="77777777" w:rsidR="00DA6C2C" w:rsidRPr="00503B2E" w:rsidRDefault="00DA6C2C" w:rsidP="00DA6C2C">
      <w:pPr>
        <w:pStyle w:val="FootnoteText"/>
      </w:pPr>
      <w:r w:rsidRPr="00503B2E">
        <w:rPr>
          <w:rStyle w:val="FootnoteReference"/>
        </w:rPr>
        <w:footnoteRef/>
      </w:r>
      <w:r w:rsidRPr="00503B2E">
        <w:t xml:space="preserve"> </w:t>
      </w:r>
      <w:hyperlink r:id="rId154" w:history="1">
        <w:r w:rsidRPr="00503B2E">
          <w:rPr>
            <w:rStyle w:val="Hyperlink"/>
          </w:rPr>
          <w:t>MBA</w:t>
        </w:r>
      </w:hyperlink>
      <w:r w:rsidRPr="00503B2E">
        <w:t>, Submission, p 30.</w:t>
      </w:r>
    </w:p>
  </w:footnote>
  <w:footnote w:id="189">
    <w:p w14:paraId="78587881" w14:textId="77777777" w:rsidR="00DA6C2C" w:rsidRPr="00503B2E" w:rsidRDefault="00DA6C2C" w:rsidP="00DA6C2C">
      <w:pPr>
        <w:pStyle w:val="FootnoteText"/>
      </w:pPr>
      <w:r w:rsidRPr="00503B2E">
        <w:rPr>
          <w:rStyle w:val="FootnoteReference"/>
        </w:rPr>
        <w:footnoteRef/>
      </w:r>
      <w:r w:rsidRPr="00503B2E">
        <w:t xml:space="preserve"> Business Chamber Qld, Consultation, September 2025.</w:t>
      </w:r>
    </w:p>
  </w:footnote>
  <w:footnote w:id="190">
    <w:p w14:paraId="7513DF47" w14:textId="77777777" w:rsidR="00DA6C2C" w:rsidRPr="00503B2E" w:rsidRDefault="00DA6C2C" w:rsidP="00DA6C2C">
      <w:pPr>
        <w:pStyle w:val="FootnoteText"/>
      </w:pPr>
      <w:r w:rsidRPr="00503B2E">
        <w:rPr>
          <w:rStyle w:val="FootnoteReference"/>
        </w:rPr>
        <w:footnoteRef/>
      </w:r>
      <w:r w:rsidRPr="00503B2E">
        <w:rPr>
          <w:szCs w:val="18"/>
        </w:rPr>
        <w:t xml:space="preserve"> </w:t>
      </w:r>
      <w:hyperlink r:id="rId155" w:history="1">
        <w:r w:rsidRPr="00503B2E">
          <w:rPr>
            <w:rStyle w:val="Hyperlink"/>
            <w:szCs w:val="18"/>
          </w:rPr>
          <w:t>Australian</w:t>
        </w:r>
        <w:r w:rsidRPr="00503B2E">
          <w:rPr>
            <w:rStyle w:val="Hyperlink"/>
          </w:rPr>
          <w:t xml:space="preserve"> Industry Group</w:t>
        </w:r>
      </w:hyperlink>
      <w:r w:rsidRPr="00503B2E">
        <w:rPr>
          <w:szCs w:val="18"/>
        </w:rPr>
        <w:t>, Submission, pp 8–9.</w:t>
      </w:r>
    </w:p>
  </w:footnote>
  <w:footnote w:id="191">
    <w:p w14:paraId="16698EB9" w14:textId="77777777" w:rsidR="00DA6C2C" w:rsidRPr="00503B2E" w:rsidRDefault="00DA6C2C" w:rsidP="00DA6C2C">
      <w:pPr>
        <w:rPr>
          <w:rFonts w:asciiTheme="minorHAnsi" w:hAnsiTheme="minorHAnsi"/>
          <w:sz w:val="18"/>
          <w:szCs w:val="18"/>
        </w:rPr>
      </w:pPr>
      <w:r w:rsidRPr="00503B2E">
        <w:rPr>
          <w:rStyle w:val="FootnoteReference"/>
          <w:rFonts w:asciiTheme="minorHAnsi" w:hAnsiTheme="minorHAnsi"/>
          <w:sz w:val="18"/>
          <w:szCs w:val="18"/>
        </w:rPr>
        <w:footnoteRef/>
      </w:r>
      <w:r w:rsidRPr="00503B2E">
        <w:rPr>
          <w:rFonts w:asciiTheme="minorHAnsi" w:hAnsiTheme="minorHAnsi"/>
          <w:sz w:val="18"/>
          <w:szCs w:val="18"/>
        </w:rPr>
        <w:t xml:space="preserve"> See Appendix J.</w:t>
      </w:r>
    </w:p>
  </w:footnote>
  <w:footnote w:id="192">
    <w:p w14:paraId="6A950048" w14:textId="77777777" w:rsidR="00DA6C2C" w:rsidRPr="00503B2E" w:rsidRDefault="00DA6C2C" w:rsidP="00DA6C2C">
      <w:pPr>
        <w:rPr>
          <w:rFonts w:asciiTheme="minorHAnsi" w:hAnsiTheme="minorHAnsi"/>
          <w:sz w:val="18"/>
          <w:szCs w:val="18"/>
        </w:rPr>
      </w:pPr>
      <w:r w:rsidRPr="00503B2E">
        <w:rPr>
          <w:rStyle w:val="FootnoteReference"/>
          <w:rFonts w:asciiTheme="minorHAnsi" w:hAnsiTheme="minorHAnsi"/>
          <w:sz w:val="18"/>
          <w:szCs w:val="18"/>
        </w:rPr>
        <w:footnoteRef/>
      </w:r>
      <w:r w:rsidRPr="00503B2E">
        <w:rPr>
          <w:rFonts w:asciiTheme="minorHAnsi" w:hAnsiTheme="minorHAnsi"/>
          <w:sz w:val="18"/>
          <w:szCs w:val="18"/>
        </w:rPr>
        <w:t xml:space="preserve"> </w:t>
      </w:r>
      <w:hyperlink r:id="rId156" w:history="1">
        <w:r w:rsidRPr="00503B2E">
          <w:rPr>
            <w:rStyle w:val="Hyperlink"/>
            <w:rFonts w:asciiTheme="minorHAnsi" w:hAnsiTheme="minorHAnsi"/>
            <w:sz w:val="18"/>
            <w:szCs w:val="16"/>
          </w:rPr>
          <w:t>Australian</w:t>
        </w:r>
        <w:r w:rsidRPr="00503B2E">
          <w:rPr>
            <w:rStyle w:val="Hyperlink"/>
            <w:rFonts w:asciiTheme="minorHAnsi" w:hAnsiTheme="minorHAnsi"/>
            <w:sz w:val="18"/>
            <w:szCs w:val="18"/>
          </w:rPr>
          <w:t xml:space="preserve"> Industry Group</w:t>
        </w:r>
      </w:hyperlink>
      <w:r w:rsidRPr="00503B2E">
        <w:rPr>
          <w:rFonts w:asciiTheme="minorHAnsi" w:hAnsiTheme="minorHAnsi"/>
          <w:sz w:val="18"/>
          <w:szCs w:val="16"/>
        </w:rPr>
        <w:t xml:space="preserve">, </w:t>
      </w:r>
      <w:r w:rsidRPr="00503B2E">
        <w:rPr>
          <w:rFonts w:asciiTheme="minorHAnsi" w:hAnsiTheme="minorHAnsi"/>
          <w:sz w:val="18"/>
          <w:szCs w:val="18"/>
        </w:rPr>
        <w:t>Submission, pp 8–9.</w:t>
      </w:r>
    </w:p>
  </w:footnote>
  <w:footnote w:id="193">
    <w:p w14:paraId="7138C962" w14:textId="77777777" w:rsidR="00DA6C2C" w:rsidRPr="00503B2E" w:rsidRDefault="00DA6C2C" w:rsidP="00DA6C2C">
      <w:pPr>
        <w:rPr>
          <w:rFonts w:asciiTheme="minorHAnsi" w:hAnsiTheme="minorHAnsi"/>
          <w:sz w:val="18"/>
          <w:szCs w:val="18"/>
        </w:rPr>
      </w:pPr>
      <w:r w:rsidRPr="00503B2E">
        <w:rPr>
          <w:rStyle w:val="FootnoteReference"/>
          <w:rFonts w:asciiTheme="minorHAnsi" w:hAnsiTheme="minorHAnsi"/>
          <w:sz w:val="18"/>
          <w:szCs w:val="18"/>
        </w:rPr>
        <w:footnoteRef/>
      </w:r>
      <w:r w:rsidRPr="00503B2E">
        <w:rPr>
          <w:rFonts w:asciiTheme="minorHAnsi" w:hAnsiTheme="minorHAnsi"/>
          <w:sz w:val="18"/>
          <w:szCs w:val="18"/>
        </w:rPr>
        <w:t xml:space="preserve"> </w:t>
      </w:r>
      <w:hyperlink r:id="rId157" w:history="1">
        <w:r w:rsidRPr="00503B2E">
          <w:rPr>
            <w:rStyle w:val="Hyperlink"/>
            <w:rFonts w:asciiTheme="minorHAnsi" w:hAnsiTheme="minorHAnsi"/>
            <w:sz w:val="18"/>
            <w:szCs w:val="18"/>
          </w:rPr>
          <w:t>MBA</w:t>
        </w:r>
      </w:hyperlink>
      <w:r w:rsidRPr="00503B2E">
        <w:rPr>
          <w:rFonts w:asciiTheme="minorHAnsi" w:hAnsiTheme="minorHAnsi"/>
          <w:sz w:val="18"/>
          <w:szCs w:val="18"/>
        </w:rPr>
        <w:t xml:space="preserve">, Submission, p 11; </w:t>
      </w:r>
      <w:hyperlink r:id="rId158" w:history="1">
        <w:r w:rsidRPr="00503B2E">
          <w:rPr>
            <w:rStyle w:val="Hyperlink"/>
            <w:rFonts w:asciiTheme="minorHAnsi" w:hAnsiTheme="minorHAnsi"/>
            <w:sz w:val="18"/>
            <w:szCs w:val="18"/>
          </w:rPr>
          <w:t>HIA</w:t>
        </w:r>
      </w:hyperlink>
      <w:r w:rsidRPr="00503B2E">
        <w:rPr>
          <w:rFonts w:asciiTheme="minorHAnsi" w:hAnsiTheme="minorHAnsi"/>
          <w:sz w:val="18"/>
          <w:szCs w:val="18"/>
        </w:rPr>
        <w:t xml:space="preserve">, Submission, p 13, </w:t>
      </w:r>
      <w:hyperlink r:id="rId159" w:history="1">
        <w:r>
          <w:rPr>
            <w:rStyle w:val="Hyperlink"/>
            <w:rFonts w:asciiTheme="minorHAnsi" w:hAnsiTheme="minorHAnsi"/>
            <w:sz w:val="18"/>
            <w:szCs w:val="18"/>
          </w:rPr>
          <w:t>ACFA</w:t>
        </w:r>
      </w:hyperlink>
      <w:r w:rsidRPr="00503B2E">
        <w:rPr>
          <w:rFonts w:asciiTheme="minorHAnsi" w:hAnsiTheme="minorHAnsi"/>
          <w:sz w:val="18"/>
          <w:szCs w:val="18"/>
        </w:rPr>
        <w:t>, Submission, pp 4, 8.</w:t>
      </w:r>
    </w:p>
  </w:footnote>
  <w:footnote w:id="194">
    <w:p w14:paraId="2A929EC7" w14:textId="77777777" w:rsidR="00DA6C2C" w:rsidRPr="00740A19" w:rsidRDefault="00DA6C2C" w:rsidP="00B91768">
      <w:pPr>
        <w:spacing w:line="240" w:lineRule="auto"/>
        <w:rPr>
          <w:rFonts w:asciiTheme="minorHAnsi" w:hAnsiTheme="minorHAnsi"/>
          <w:sz w:val="18"/>
          <w:szCs w:val="18"/>
        </w:rPr>
      </w:pPr>
      <w:r w:rsidRPr="00503B2E">
        <w:rPr>
          <w:rStyle w:val="FootnoteReference"/>
          <w:rFonts w:asciiTheme="minorHAnsi" w:hAnsiTheme="minorHAnsi"/>
          <w:sz w:val="18"/>
          <w:szCs w:val="18"/>
        </w:rPr>
        <w:footnoteRef/>
      </w:r>
      <w:r w:rsidRPr="00503B2E">
        <w:rPr>
          <w:rFonts w:asciiTheme="minorHAnsi" w:hAnsiTheme="minorHAnsi"/>
          <w:sz w:val="18"/>
          <w:szCs w:val="18"/>
        </w:rPr>
        <w:t xml:space="preserve"> Master Builders SA, Consultation, September 2025.</w:t>
      </w:r>
      <w:r w:rsidRPr="00503B2E">
        <w:rPr>
          <w:rFonts w:asciiTheme="minorHAnsi" w:eastAsia="Times New Roman" w:hAnsiTheme="minorHAnsi"/>
          <w:i/>
          <w:sz w:val="18"/>
          <w:szCs w:val="18"/>
          <w14:ligatures w14:val="standardContextual"/>
        </w:rPr>
        <w:t xml:space="preserve"> </w:t>
      </w:r>
      <w:r w:rsidRPr="00503B2E">
        <w:rPr>
          <w:rFonts w:asciiTheme="minorHAnsi" w:hAnsiTheme="minorHAnsi"/>
          <w:sz w:val="18"/>
          <w:szCs w:val="18"/>
        </w:rPr>
        <w:t xml:space="preserve">This comment was made in the context of other feedback around the </w:t>
      </w:r>
      <w:r w:rsidRPr="00740A19">
        <w:rPr>
          <w:rFonts w:asciiTheme="minorHAnsi" w:hAnsiTheme="minorHAnsi"/>
          <w:sz w:val="18"/>
          <w:szCs w:val="18"/>
        </w:rPr>
        <w:t>primary function of HSRs as opposed to regulators under WHS laws and instances of misuse of powers by WHS EPHs.</w:t>
      </w:r>
    </w:p>
  </w:footnote>
  <w:footnote w:id="195">
    <w:p w14:paraId="55E1FA9A" w14:textId="77777777" w:rsidR="00DA6C2C" w:rsidRPr="00503B2E" w:rsidRDefault="00DA6C2C" w:rsidP="00B91768">
      <w:pPr>
        <w:spacing w:line="240" w:lineRule="auto"/>
        <w:rPr>
          <w:rFonts w:asciiTheme="minorHAnsi" w:hAnsiTheme="minorHAnsi"/>
          <w:sz w:val="18"/>
          <w:szCs w:val="18"/>
        </w:rPr>
      </w:pPr>
      <w:r w:rsidRPr="00503B2E">
        <w:rPr>
          <w:rStyle w:val="FootnoteReference"/>
          <w:rFonts w:asciiTheme="minorHAnsi" w:hAnsiTheme="minorHAnsi"/>
        </w:rPr>
        <w:footnoteRef/>
      </w:r>
      <w:r w:rsidRPr="00503B2E">
        <w:rPr>
          <w:rFonts w:asciiTheme="minorHAnsi" w:hAnsiTheme="minorHAnsi"/>
        </w:rPr>
        <w:t xml:space="preserve"> </w:t>
      </w:r>
      <w:r w:rsidRPr="00503B2E">
        <w:rPr>
          <w:rFonts w:asciiTheme="minorHAnsi" w:hAnsiTheme="minorHAnsi"/>
          <w:sz w:val="18"/>
          <w:szCs w:val="18"/>
        </w:rPr>
        <w:t xml:space="preserve">The </w:t>
      </w:r>
      <w:hyperlink r:id="rId160" w:history="1">
        <w:r w:rsidRPr="00503B2E">
          <w:rPr>
            <w:rStyle w:val="Hyperlink"/>
            <w:rFonts w:asciiTheme="minorHAnsi" w:hAnsiTheme="minorHAnsi"/>
            <w:sz w:val="18"/>
            <w:szCs w:val="18"/>
          </w:rPr>
          <w:t>Shop, Distributive and Allied Employees Association</w:t>
        </w:r>
      </w:hyperlink>
      <w:r w:rsidRPr="00503B2E">
        <w:rPr>
          <w:rFonts w:asciiTheme="minorHAnsi" w:hAnsiTheme="minorHAnsi"/>
          <w:sz w:val="18"/>
          <w:szCs w:val="18"/>
        </w:rPr>
        <w:t xml:space="preserve"> (Submission, pp 2 and 6) recommended amending the consultation duties to create a positive duty to consult with workers, similar to that found in the </w:t>
      </w:r>
      <w:r w:rsidRPr="00503B2E">
        <w:rPr>
          <w:rFonts w:asciiTheme="minorHAnsi" w:hAnsiTheme="minorHAnsi"/>
          <w:i/>
          <w:sz w:val="18"/>
          <w:szCs w:val="18"/>
        </w:rPr>
        <w:t>Sex Discrimination Act 1984</w:t>
      </w:r>
      <w:r w:rsidRPr="00503B2E">
        <w:rPr>
          <w:rFonts w:asciiTheme="minorHAnsi" w:hAnsiTheme="minorHAnsi"/>
          <w:sz w:val="18"/>
          <w:szCs w:val="18"/>
        </w:rPr>
        <w:t xml:space="preserve"> (Cth) </w:t>
      </w:r>
      <w:r w:rsidRPr="00503B2E" w:rsidDel="00667341">
        <w:rPr>
          <w:rFonts w:asciiTheme="minorHAnsi" w:hAnsiTheme="minorHAnsi"/>
          <w:sz w:val="18"/>
          <w:szCs w:val="18"/>
        </w:rPr>
        <w:t>-</w:t>
      </w:r>
      <w:r w:rsidRPr="00503B2E">
        <w:rPr>
          <w:rFonts w:asciiTheme="minorHAnsi" w:hAnsiTheme="minorHAnsi"/>
          <w:sz w:val="18"/>
          <w:szCs w:val="18"/>
        </w:rPr>
        <w:t xml:space="preserve"> see </w:t>
      </w:r>
      <w:r>
        <w:rPr>
          <w:rFonts w:asciiTheme="minorHAnsi" w:hAnsiTheme="minorHAnsi"/>
          <w:sz w:val="18"/>
          <w:szCs w:val="18"/>
        </w:rPr>
        <w:t>R</w:t>
      </w:r>
      <w:r w:rsidRPr="00503B2E">
        <w:rPr>
          <w:rFonts w:asciiTheme="minorHAnsi" w:hAnsiTheme="minorHAnsi"/>
          <w:sz w:val="18"/>
          <w:szCs w:val="18"/>
        </w:rPr>
        <w:t>ecommendation 5.</w:t>
      </w:r>
    </w:p>
  </w:footnote>
  <w:footnote w:id="196">
    <w:p w14:paraId="5957DCA1" w14:textId="77777777" w:rsidR="00DA6C2C" w:rsidRPr="00503B2E" w:rsidRDefault="00DA6C2C" w:rsidP="00DA6C2C">
      <w:pPr>
        <w:rPr>
          <w:rFonts w:asciiTheme="minorHAnsi" w:hAnsiTheme="minorHAnsi"/>
          <w:sz w:val="18"/>
          <w:szCs w:val="18"/>
        </w:rPr>
      </w:pPr>
      <w:r w:rsidRPr="00503B2E">
        <w:rPr>
          <w:rStyle w:val="FootnoteReference"/>
          <w:rFonts w:asciiTheme="minorHAnsi" w:hAnsiTheme="minorHAnsi"/>
          <w:sz w:val="18"/>
          <w:szCs w:val="18"/>
        </w:rPr>
        <w:footnoteRef/>
      </w:r>
      <w:r w:rsidRPr="00503B2E">
        <w:rPr>
          <w:rFonts w:asciiTheme="minorHAnsi" w:hAnsiTheme="minorHAnsi"/>
          <w:sz w:val="18"/>
          <w:szCs w:val="18"/>
        </w:rPr>
        <w:t xml:space="preserve"> </w:t>
      </w:r>
      <w:hyperlink r:id="rId161" w:history="1">
        <w:r w:rsidRPr="00503B2E">
          <w:rPr>
            <w:rStyle w:val="Hyperlink"/>
            <w:rFonts w:asciiTheme="minorHAnsi" w:hAnsiTheme="minorHAnsi"/>
            <w:sz w:val="18"/>
            <w:szCs w:val="18"/>
          </w:rPr>
          <w:t>Occupational Therapy Australia</w:t>
        </w:r>
      </w:hyperlink>
      <w:r w:rsidRPr="00503B2E">
        <w:rPr>
          <w:rFonts w:asciiTheme="minorHAnsi" w:hAnsiTheme="minorHAnsi"/>
          <w:sz w:val="18"/>
          <w:szCs w:val="18"/>
        </w:rPr>
        <w:t xml:space="preserve">, Submission, pp 5–6. Also see </w:t>
      </w:r>
      <w:hyperlink r:id="rId162" w:history="1">
        <w:r w:rsidRPr="00503B2E">
          <w:rPr>
            <w:rStyle w:val="Hyperlink"/>
            <w:rFonts w:asciiTheme="minorHAnsi" w:hAnsiTheme="minorHAnsi"/>
            <w:sz w:val="18"/>
            <w:szCs w:val="18"/>
          </w:rPr>
          <w:t>AIHS</w:t>
        </w:r>
      </w:hyperlink>
      <w:r w:rsidRPr="00503B2E">
        <w:rPr>
          <w:rFonts w:asciiTheme="minorHAnsi" w:hAnsiTheme="minorHAnsi"/>
          <w:sz w:val="18"/>
          <w:szCs w:val="18"/>
        </w:rPr>
        <w:t>, Submission, pp 15–16.</w:t>
      </w:r>
    </w:p>
  </w:footnote>
  <w:footnote w:id="197">
    <w:p w14:paraId="1AB801E7" w14:textId="77777777" w:rsidR="00DA6C2C" w:rsidRPr="00503B2E" w:rsidRDefault="00DA6C2C" w:rsidP="00BE4AD0">
      <w:pPr>
        <w:spacing w:after="0"/>
        <w:rPr>
          <w:rFonts w:asciiTheme="minorHAnsi" w:hAnsiTheme="minorHAnsi"/>
          <w:sz w:val="18"/>
          <w:szCs w:val="18"/>
        </w:rPr>
      </w:pPr>
      <w:r w:rsidRPr="00503B2E">
        <w:rPr>
          <w:rStyle w:val="FootnoteReference"/>
          <w:rFonts w:asciiTheme="minorHAnsi" w:hAnsiTheme="minorHAnsi"/>
          <w:sz w:val="18"/>
          <w:szCs w:val="18"/>
        </w:rPr>
        <w:footnoteRef/>
      </w:r>
      <w:r w:rsidRPr="00503B2E">
        <w:rPr>
          <w:rFonts w:asciiTheme="minorHAnsi" w:hAnsiTheme="minorHAnsi"/>
          <w:sz w:val="18"/>
          <w:szCs w:val="18"/>
        </w:rPr>
        <w:t xml:space="preserve"> See s 108 of the </w:t>
      </w:r>
      <w:r w:rsidRPr="00503B2E">
        <w:rPr>
          <w:rFonts w:asciiTheme="minorHAnsi" w:hAnsiTheme="minorHAnsi"/>
          <w:i/>
          <w:sz w:val="18"/>
          <w:szCs w:val="18"/>
        </w:rPr>
        <w:t>Mining and Quarrying Safety and Health Act 1999</w:t>
      </w:r>
      <w:r w:rsidRPr="00503B2E">
        <w:rPr>
          <w:rFonts w:asciiTheme="minorHAnsi" w:hAnsiTheme="minorHAnsi"/>
          <w:sz w:val="18"/>
          <w:szCs w:val="18"/>
        </w:rPr>
        <w:t xml:space="preserve"> (Qld) as pertaining to district workers’ representatives</w:t>
      </w:r>
      <w:r>
        <w:rPr>
          <w:rFonts w:asciiTheme="minorHAnsi" w:hAnsiTheme="minorHAnsi"/>
          <w:sz w:val="18"/>
          <w:szCs w:val="18"/>
        </w:rPr>
        <w:t>;</w:t>
      </w:r>
      <w:r w:rsidRPr="00503B2E">
        <w:rPr>
          <w:rFonts w:asciiTheme="minorHAnsi" w:hAnsiTheme="minorHAnsi"/>
          <w:sz w:val="18"/>
          <w:szCs w:val="18"/>
        </w:rPr>
        <w:t xml:space="preserve"> and </w:t>
      </w:r>
      <w:r>
        <w:rPr>
          <w:rFonts w:asciiTheme="minorHAnsi" w:hAnsiTheme="minorHAnsi"/>
          <w:sz w:val="18"/>
          <w:szCs w:val="18"/>
        </w:rPr>
        <w:t>P</w:t>
      </w:r>
      <w:r w:rsidRPr="00503B2E">
        <w:rPr>
          <w:rFonts w:asciiTheme="minorHAnsi" w:hAnsiTheme="minorHAnsi"/>
          <w:sz w:val="18"/>
          <w:szCs w:val="18"/>
        </w:rPr>
        <w:t xml:space="preserve">t 7 regarding site safety and health representatives. Also, NSW’s </w:t>
      </w:r>
      <w:r w:rsidRPr="00503B2E">
        <w:rPr>
          <w:rFonts w:asciiTheme="minorHAnsi" w:hAnsiTheme="minorHAnsi"/>
          <w:i/>
          <w:sz w:val="18"/>
          <w:szCs w:val="18"/>
        </w:rPr>
        <w:t>Work Health and Safety (Mines and Petroleum Sites) Act 2013</w:t>
      </w:r>
      <w:r w:rsidRPr="00503B2E">
        <w:rPr>
          <w:rFonts w:asciiTheme="minorHAnsi" w:hAnsiTheme="minorHAnsi"/>
          <w:sz w:val="18"/>
          <w:szCs w:val="18"/>
        </w:rPr>
        <w:t xml:space="preserve"> </w:t>
      </w:r>
      <w:r w:rsidRPr="00503B2E">
        <w:rPr>
          <w:rFonts w:asciiTheme="minorHAnsi" w:hAnsiTheme="minorHAnsi"/>
          <w:iCs/>
          <w:sz w:val="18"/>
          <w:szCs w:val="18"/>
        </w:rPr>
        <w:t xml:space="preserve">(NSW) </w:t>
      </w:r>
      <w:r w:rsidRPr="00503B2E">
        <w:rPr>
          <w:rFonts w:asciiTheme="minorHAnsi" w:hAnsiTheme="minorHAnsi"/>
          <w:sz w:val="18"/>
          <w:szCs w:val="18"/>
        </w:rPr>
        <w:t xml:space="preserve">includes provisions for industry safety and health representatives and site safety and health representatives. </w:t>
      </w:r>
      <w:hyperlink r:id="rId163" w:history="1">
        <w:r w:rsidRPr="00503B2E">
          <w:rPr>
            <w:rStyle w:val="Hyperlink"/>
            <w:rFonts w:asciiTheme="minorHAnsi" w:hAnsiTheme="minorHAnsi"/>
            <w:sz w:val="18"/>
            <w:szCs w:val="18"/>
          </w:rPr>
          <w:t>M</w:t>
        </w:r>
        <w:r>
          <w:rPr>
            <w:rStyle w:val="Hyperlink"/>
            <w:rFonts w:asciiTheme="minorHAnsi" w:hAnsiTheme="minorHAnsi"/>
            <w:sz w:val="18"/>
            <w:szCs w:val="18"/>
          </w:rPr>
          <w:t> </w:t>
        </w:r>
        <w:r w:rsidRPr="00503B2E">
          <w:rPr>
            <w:rStyle w:val="Hyperlink"/>
            <w:rFonts w:asciiTheme="minorHAnsi" w:hAnsiTheme="minorHAnsi"/>
            <w:sz w:val="18"/>
            <w:szCs w:val="18"/>
          </w:rPr>
          <w:t>Quinlan</w:t>
        </w:r>
      </w:hyperlink>
      <w:r w:rsidRPr="00503B2E">
        <w:rPr>
          <w:rFonts w:asciiTheme="minorHAnsi" w:hAnsiTheme="minorHAnsi"/>
          <w:sz w:val="18"/>
          <w:szCs w:val="18"/>
        </w:rPr>
        <w:t xml:space="preserve"> (Submission, pp 2–13) highlighted representative roles specific to the mining industry in certain jurisdictions.</w:t>
      </w:r>
    </w:p>
  </w:footnote>
  <w:footnote w:id="198">
    <w:p w14:paraId="205690B6" w14:textId="77777777" w:rsidR="00393662" w:rsidRPr="00503B2E" w:rsidRDefault="00393662" w:rsidP="00393662">
      <w:pPr>
        <w:pStyle w:val="FootnoteText"/>
        <w:rPr>
          <w:szCs w:val="18"/>
        </w:rPr>
      </w:pPr>
      <w:r w:rsidRPr="00503B2E">
        <w:rPr>
          <w:rStyle w:val="FootnoteReference"/>
          <w:szCs w:val="18"/>
        </w:rPr>
        <w:footnoteRef/>
      </w:r>
      <w:r w:rsidRPr="00503B2E">
        <w:rPr>
          <w:szCs w:val="18"/>
        </w:rPr>
        <w:t xml:space="preserve"> Victorian Chamber of Commerce and Industry, Consultation, September 2025.</w:t>
      </w:r>
    </w:p>
  </w:footnote>
  <w:footnote w:id="199">
    <w:p w14:paraId="33FA6325" w14:textId="77777777" w:rsidR="00393662" w:rsidRPr="00CB35D2" w:rsidRDefault="00393662" w:rsidP="00393662">
      <w:pPr>
        <w:pStyle w:val="FootnoteTextAG1"/>
        <w:rPr>
          <w:rFonts w:ascii="Aptos" w:hAnsi="Aptos"/>
          <w:sz w:val="18"/>
          <w:szCs w:val="18"/>
          <w:lang w:val="en-AU"/>
        </w:rPr>
      </w:pPr>
      <w:r w:rsidRPr="00CB35D2">
        <w:rPr>
          <w:rStyle w:val="FootnoteReference"/>
          <w:rFonts w:ascii="Aptos" w:hAnsi="Aptos"/>
          <w:sz w:val="18"/>
          <w:szCs w:val="18"/>
          <w:lang w:val="en-AU"/>
        </w:rPr>
        <w:footnoteRef/>
      </w:r>
      <w:r w:rsidRPr="00CB35D2">
        <w:rPr>
          <w:rFonts w:ascii="Aptos" w:hAnsi="Aptos"/>
          <w:sz w:val="18"/>
          <w:szCs w:val="18"/>
          <w:lang w:val="en-AU"/>
        </w:rPr>
        <w:t xml:space="preserve"> Model WHS Act, s 3(1)(c).</w:t>
      </w:r>
    </w:p>
  </w:footnote>
  <w:footnote w:id="200">
    <w:p w14:paraId="27BA51CB" w14:textId="77777777" w:rsidR="00393662" w:rsidRPr="00291703" w:rsidRDefault="00393662" w:rsidP="00393662">
      <w:pPr>
        <w:pStyle w:val="FootnoteText"/>
        <w:rPr>
          <w:lang w:eastAsia="ja-JP"/>
        </w:rPr>
      </w:pPr>
      <w:r w:rsidRPr="00503B2E">
        <w:rPr>
          <w:rStyle w:val="FootnoteReference"/>
          <w:szCs w:val="18"/>
        </w:rPr>
        <w:footnoteRef/>
      </w:r>
      <w:r w:rsidRPr="00503B2E">
        <w:rPr>
          <w:szCs w:val="18"/>
        </w:rPr>
        <w:t xml:space="preserve"> Safe Work Australia Research Summit, Consultation, September 2025; </w:t>
      </w:r>
      <w:r>
        <w:rPr>
          <w:szCs w:val="18"/>
        </w:rPr>
        <w:t>Queensland Council</w:t>
      </w:r>
      <w:r w:rsidRPr="00503B2E">
        <w:rPr>
          <w:szCs w:val="18"/>
        </w:rPr>
        <w:t xml:space="preserve"> of Unions, Consultation, September 2025.</w:t>
      </w:r>
    </w:p>
  </w:footnote>
  <w:footnote w:id="201">
    <w:p w14:paraId="31E099EF" w14:textId="5C8F311D" w:rsidR="00393662" w:rsidRPr="00CB35D2" w:rsidRDefault="00393662" w:rsidP="00393662">
      <w:pPr>
        <w:pStyle w:val="FootnoteTextAG1"/>
        <w:rPr>
          <w:rFonts w:ascii="Aptos" w:hAnsi="Aptos"/>
          <w:sz w:val="18"/>
          <w:szCs w:val="18"/>
          <w:lang w:val="en-AU"/>
        </w:rPr>
      </w:pPr>
      <w:r w:rsidRPr="00CB35D2">
        <w:rPr>
          <w:rStyle w:val="FootnoteReference"/>
          <w:rFonts w:ascii="Aptos" w:hAnsi="Aptos"/>
          <w:sz w:val="18"/>
          <w:szCs w:val="18"/>
          <w:lang w:val="en-AU"/>
        </w:rPr>
        <w:footnoteRef/>
      </w:r>
      <w:r w:rsidRPr="00CB35D2">
        <w:rPr>
          <w:rFonts w:ascii="Aptos" w:hAnsi="Aptos"/>
          <w:sz w:val="18"/>
          <w:szCs w:val="18"/>
          <w:lang w:val="en-AU"/>
        </w:rPr>
        <w:t xml:space="preserve"> C Allen, C Massy and D Swan, </w:t>
      </w:r>
      <w:hyperlink r:id="rId164" w:history="1">
        <w:r w:rsidRPr="00CB35D2">
          <w:rPr>
            <w:rStyle w:val="Hyperlink"/>
            <w:rFonts w:ascii="Aptos" w:hAnsi="Aptos"/>
            <w:i/>
            <w:sz w:val="18"/>
            <w:szCs w:val="18"/>
            <w:lang w:val="en-AU"/>
          </w:rPr>
          <w:t>Review of the Work Health and Safety Act 2011</w:t>
        </w:r>
      </w:hyperlink>
      <w:r w:rsidRPr="00CB35D2">
        <w:rPr>
          <w:rFonts w:ascii="Aptos" w:hAnsi="Aptos"/>
          <w:sz w:val="18"/>
          <w:szCs w:val="18"/>
          <w:lang w:val="en-AU"/>
        </w:rPr>
        <w:t>, Queensland Government, 2022, pp 7–9; E White</w:t>
      </w:r>
      <w:r w:rsidRPr="002E140F">
        <w:rPr>
          <w:rFonts w:ascii="Aptos" w:hAnsi="Aptos"/>
          <w:sz w:val="18"/>
          <w:szCs w:val="18"/>
          <w:lang w:val="en-AU"/>
        </w:rPr>
        <w:t xml:space="preserve">, </w:t>
      </w:r>
      <w:hyperlink r:id="rId165" w:history="1">
        <w:r w:rsidRPr="002E140F">
          <w:rPr>
            <w:rStyle w:val="Hyperlink"/>
            <w:rFonts w:ascii="Aptos" w:hAnsi="Aptos"/>
            <w:i/>
            <w:sz w:val="18"/>
            <w:szCs w:val="18"/>
            <w:lang w:val="en-AU"/>
          </w:rPr>
          <w:t xml:space="preserve">Independent Review of Employee Representatives: Interim </w:t>
        </w:r>
        <w:r w:rsidR="003F6A37" w:rsidRPr="002E140F">
          <w:rPr>
            <w:rStyle w:val="Hyperlink"/>
            <w:rFonts w:ascii="Aptos" w:hAnsi="Aptos"/>
            <w:i/>
            <w:sz w:val="18"/>
            <w:szCs w:val="18"/>
            <w:lang w:val="en-AU"/>
          </w:rPr>
          <w:t>r</w:t>
        </w:r>
        <w:r w:rsidRPr="002E140F">
          <w:rPr>
            <w:rStyle w:val="Hyperlink"/>
            <w:rFonts w:ascii="Aptos" w:hAnsi="Aptos"/>
            <w:i/>
            <w:sz w:val="18"/>
            <w:szCs w:val="18"/>
            <w:lang w:val="en-AU"/>
          </w:rPr>
          <w:t>eport</w:t>
        </w:r>
      </w:hyperlink>
      <w:r w:rsidRPr="002E140F">
        <w:rPr>
          <w:rFonts w:ascii="Aptos" w:hAnsi="Aptos"/>
          <w:i/>
          <w:sz w:val="18"/>
          <w:szCs w:val="18"/>
          <w:lang w:val="en-AU"/>
        </w:rPr>
        <w:t>,</w:t>
      </w:r>
      <w:r w:rsidRPr="002E140F">
        <w:rPr>
          <w:rFonts w:ascii="Aptos" w:hAnsi="Aptos"/>
          <w:sz w:val="18"/>
          <w:szCs w:val="18"/>
          <w:lang w:val="en-AU"/>
        </w:rPr>
        <w:t xml:space="preserve"> Victorian Government</w:t>
      </w:r>
      <w:r w:rsidRPr="00CB35D2">
        <w:rPr>
          <w:rFonts w:ascii="Aptos" w:hAnsi="Aptos"/>
          <w:sz w:val="18"/>
          <w:szCs w:val="18"/>
          <w:lang w:val="en-AU"/>
        </w:rPr>
        <w:t>, 2025, p 68, para 196.</w:t>
      </w:r>
    </w:p>
  </w:footnote>
  <w:footnote w:id="202">
    <w:p w14:paraId="107E40B7" w14:textId="01330DCB" w:rsidR="00393662" w:rsidRPr="00CB35D2" w:rsidRDefault="00393662" w:rsidP="00393662">
      <w:pPr>
        <w:pStyle w:val="FootnoteTextAG1"/>
        <w:rPr>
          <w:rFonts w:ascii="Aptos" w:hAnsi="Aptos"/>
          <w:sz w:val="18"/>
          <w:szCs w:val="18"/>
          <w:lang w:val="en-AU"/>
        </w:rPr>
      </w:pPr>
      <w:r w:rsidRPr="00CB35D2">
        <w:rPr>
          <w:rStyle w:val="FootnoteReference"/>
          <w:rFonts w:ascii="Aptos" w:hAnsi="Aptos"/>
          <w:sz w:val="18"/>
          <w:szCs w:val="18"/>
          <w:lang w:val="en-AU"/>
        </w:rPr>
        <w:footnoteRef/>
      </w:r>
      <w:r w:rsidRPr="00CB35D2">
        <w:rPr>
          <w:rFonts w:ascii="Aptos" w:hAnsi="Aptos"/>
          <w:sz w:val="18"/>
          <w:szCs w:val="18"/>
          <w:lang w:val="en-AU"/>
        </w:rPr>
        <w:t xml:space="preserve"> T Lyons, </w:t>
      </w:r>
      <w:hyperlink r:id="rId166" w:history="1">
        <w:r w:rsidRPr="00CB35D2">
          <w:rPr>
            <w:rStyle w:val="Hyperlink"/>
            <w:rFonts w:ascii="Aptos" w:hAnsi="Aptos"/>
            <w:i/>
            <w:sz w:val="18"/>
            <w:szCs w:val="18"/>
            <w:lang w:val="en-AU"/>
          </w:rPr>
          <w:t>Best Practice Review of Workplace Health and Safety Queensland</w:t>
        </w:r>
      </w:hyperlink>
      <w:r w:rsidRPr="00CB35D2">
        <w:rPr>
          <w:rFonts w:ascii="Aptos" w:hAnsi="Aptos"/>
          <w:sz w:val="18"/>
          <w:szCs w:val="18"/>
          <w:lang w:val="en-AU"/>
        </w:rPr>
        <w:t xml:space="preserve">, Queensland Government, 2017; </w:t>
      </w:r>
      <w:r w:rsidRPr="00CB35D2">
        <w:rPr>
          <w:rFonts w:ascii="Aptos" w:hAnsi="Aptos"/>
          <w:sz w:val="18"/>
          <w:szCs w:val="18"/>
        </w:rPr>
        <w:t xml:space="preserve">Western Australian Government, </w:t>
      </w:r>
      <w:r w:rsidRPr="00CB35D2">
        <w:rPr>
          <w:rFonts w:ascii="Aptos" w:hAnsi="Aptos"/>
          <w:i/>
          <w:sz w:val="18"/>
          <w:szCs w:val="18"/>
        </w:rPr>
        <w:t>Modernising work health and safety laws in Western Australia</w:t>
      </w:r>
      <w:r w:rsidRPr="00CB35D2">
        <w:rPr>
          <w:rFonts w:ascii="Aptos" w:hAnsi="Aptos"/>
          <w:sz w:val="18"/>
          <w:szCs w:val="18"/>
        </w:rPr>
        <w:t>, Ministerial Advisory Panel, 2017</w:t>
      </w:r>
      <w:r w:rsidRPr="00CB35D2">
        <w:rPr>
          <w:rFonts w:ascii="Aptos" w:hAnsi="Aptos"/>
          <w:sz w:val="18"/>
          <w:szCs w:val="18"/>
          <w:lang w:val="en-AU"/>
        </w:rPr>
        <w:t xml:space="preserve">; </w:t>
      </w:r>
      <w:r w:rsidRPr="00CB35D2">
        <w:rPr>
          <w:rFonts w:ascii="Aptos" w:hAnsi="Aptos"/>
          <w:sz w:val="18"/>
          <w:szCs w:val="18"/>
        </w:rPr>
        <w:t xml:space="preserve">Safe Work Australia, </w:t>
      </w:r>
      <w:hyperlink r:id="rId167" w:history="1">
        <w:r w:rsidRPr="00CB35D2">
          <w:rPr>
            <w:rStyle w:val="Hyperlink"/>
            <w:rFonts w:ascii="Aptos" w:hAnsi="Aptos"/>
            <w:i/>
            <w:sz w:val="18"/>
            <w:szCs w:val="18"/>
          </w:rPr>
          <w:t xml:space="preserve">Review of the model Work Health and Safety </w:t>
        </w:r>
        <w:r w:rsidR="008A3F8A">
          <w:rPr>
            <w:rStyle w:val="Hyperlink"/>
            <w:rFonts w:ascii="Aptos" w:hAnsi="Aptos"/>
            <w:i/>
            <w:sz w:val="18"/>
            <w:szCs w:val="18"/>
          </w:rPr>
          <w:t>l</w:t>
        </w:r>
        <w:r w:rsidRPr="00CB35D2">
          <w:rPr>
            <w:rStyle w:val="Hyperlink"/>
            <w:rFonts w:ascii="Aptos" w:hAnsi="Aptos"/>
            <w:i/>
            <w:sz w:val="18"/>
            <w:szCs w:val="18"/>
          </w:rPr>
          <w:t>aws: Final report</w:t>
        </w:r>
      </w:hyperlink>
      <w:r w:rsidRPr="00CB35D2">
        <w:rPr>
          <w:rFonts w:ascii="Aptos" w:hAnsi="Aptos"/>
          <w:sz w:val="18"/>
          <w:szCs w:val="18"/>
        </w:rPr>
        <w:t>, Safe Work Australia, 2018</w:t>
      </w:r>
      <w:r w:rsidRPr="00CB35D2">
        <w:rPr>
          <w:rFonts w:ascii="Aptos" w:hAnsi="Aptos"/>
          <w:sz w:val="18"/>
          <w:szCs w:val="18"/>
          <w:lang w:val="en-AU"/>
        </w:rPr>
        <w:t xml:space="preserve">; C Allen, C Massy and D Swan, </w:t>
      </w:r>
      <w:hyperlink r:id="rId168" w:history="1">
        <w:r w:rsidRPr="00CB35D2">
          <w:rPr>
            <w:rStyle w:val="Hyperlink"/>
            <w:rFonts w:ascii="Aptos" w:hAnsi="Aptos"/>
            <w:i/>
            <w:sz w:val="18"/>
            <w:szCs w:val="18"/>
            <w:lang w:val="en-AU"/>
          </w:rPr>
          <w:t>Review of the Work Health and Safety Act 2011</w:t>
        </w:r>
      </w:hyperlink>
      <w:r w:rsidRPr="00CB35D2">
        <w:rPr>
          <w:rFonts w:ascii="Aptos" w:hAnsi="Aptos"/>
          <w:sz w:val="18"/>
          <w:szCs w:val="18"/>
          <w:lang w:val="en-AU"/>
        </w:rPr>
        <w:t xml:space="preserve">, Queensland Government, 2022; J Merritt, </w:t>
      </w:r>
      <w:hyperlink r:id="rId169" w:history="1">
        <w:r w:rsidRPr="00CB35D2">
          <w:rPr>
            <w:rStyle w:val="Hyperlink"/>
            <w:rFonts w:ascii="Aptos" w:hAnsi="Aptos"/>
            <w:i/>
            <w:sz w:val="18"/>
            <w:szCs w:val="18"/>
            <w:lang w:val="en-AU"/>
          </w:rPr>
          <w:t>Independent Review of SafeWork SA</w:t>
        </w:r>
      </w:hyperlink>
      <w:r w:rsidRPr="00CB35D2">
        <w:rPr>
          <w:rFonts w:ascii="Aptos" w:hAnsi="Aptos"/>
          <w:sz w:val="18"/>
          <w:szCs w:val="18"/>
          <w:lang w:val="en-AU"/>
        </w:rPr>
        <w:t xml:space="preserve">, SafeWork SA, 2022; R McDougall KC, </w:t>
      </w:r>
      <w:hyperlink r:id="rId170" w:history="1">
        <w:r w:rsidRPr="00CB35D2">
          <w:rPr>
            <w:rStyle w:val="Hyperlink"/>
            <w:rFonts w:ascii="Aptos" w:hAnsi="Aptos"/>
            <w:i/>
            <w:sz w:val="18"/>
            <w:szCs w:val="18"/>
            <w:lang w:val="en-AU"/>
          </w:rPr>
          <w:t>Independent Review of SafeWork NSW</w:t>
        </w:r>
      </w:hyperlink>
      <w:r w:rsidRPr="00CB35D2">
        <w:rPr>
          <w:rFonts w:ascii="Aptos" w:hAnsi="Aptos"/>
          <w:sz w:val="18"/>
          <w:szCs w:val="18"/>
          <w:lang w:val="en-AU"/>
        </w:rPr>
        <w:t xml:space="preserve">, SafeWork NSW, 2023; E White, </w:t>
      </w:r>
      <w:hyperlink r:id="rId171" w:history="1">
        <w:r w:rsidRPr="00CB35D2">
          <w:rPr>
            <w:rStyle w:val="Hyperlink"/>
            <w:rFonts w:ascii="Aptos" w:hAnsi="Aptos"/>
            <w:i/>
            <w:sz w:val="18"/>
            <w:szCs w:val="18"/>
            <w:lang w:val="en-AU"/>
          </w:rPr>
          <w:t xml:space="preserve">Independent Review of Employee Representatives: </w:t>
        </w:r>
        <w:r w:rsidR="00B91768">
          <w:rPr>
            <w:rStyle w:val="Hyperlink"/>
            <w:rFonts w:ascii="Aptos" w:hAnsi="Aptos"/>
            <w:i/>
            <w:sz w:val="18"/>
            <w:szCs w:val="18"/>
            <w:lang w:val="en-AU"/>
          </w:rPr>
          <w:t>I</w:t>
        </w:r>
        <w:r w:rsidRPr="00CB35D2">
          <w:rPr>
            <w:rStyle w:val="Hyperlink"/>
            <w:rFonts w:ascii="Aptos" w:hAnsi="Aptos"/>
            <w:i/>
            <w:sz w:val="18"/>
            <w:szCs w:val="18"/>
            <w:lang w:val="en-AU"/>
          </w:rPr>
          <w:t xml:space="preserve">nterim </w:t>
        </w:r>
        <w:r w:rsidR="00EB3AD4">
          <w:rPr>
            <w:rStyle w:val="Hyperlink"/>
            <w:rFonts w:ascii="Aptos" w:hAnsi="Aptos"/>
            <w:i/>
            <w:sz w:val="18"/>
            <w:szCs w:val="18"/>
            <w:lang w:val="en-AU"/>
          </w:rPr>
          <w:t>r</w:t>
        </w:r>
        <w:r w:rsidRPr="00CB35D2">
          <w:rPr>
            <w:rStyle w:val="Hyperlink"/>
            <w:rFonts w:ascii="Aptos" w:hAnsi="Aptos"/>
            <w:i/>
            <w:sz w:val="18"/>
            <w:szCs w:val="18"/>
            <w:lang w:val="en-AU"/>
          </w:rPr>
          <w:t>eport</w:t>
        </w:r>
      </w:hyperlink>
      <w:r w:rsidRPr="00CB35D2">
        <w:rPr>
          <w:rFonts w:ascii="Aptos" w:hAnsi="Aptos"/>
          <w:i/>
          <w:sz w:val="18"/>
          <w:szCs w:val="18"/>
          <w:lang w:val="en-AU"/>
        </w:rPr>
        <w:t>,</w:t>
      </w:r>
      <w:r w:rsidRPr="00CB35D2">
        <w:rPr>
          <w:rFonts w:ascii="Aptos" w:hAnsi="Aptos"/>
          <w:sz w:val="18"/>
          <w:szCs w:val="18"/>
          <w:lang w:val="en-AU"/>
        </w:rPr>
        <w:t xml:space="preserve"> Victorian Government, 2025.</w:t>
      </w:r>
    </w:p>
  </w:footnote>
  <w:footnote w:id="203">
    <w:p w14:paraId="56856C9E" w14:textId="2B7784FF" w:rsidR="00393662" w:rsidRPr="00503B2E" w:rsidRDefault="00393662" w:rsidP="00393662">
      <w:pPr>
        <w:pStyle w:val="FootnoteText"/>
      </w:pPr>
      <w:r w:rsidRPr="00503B2E">
        <w:rPr>
          <w:rStyle w:val="FootnoteReference"/>
        </w:rPr>
        <w:footnoteRef/>
      </w:r>
      <w:r w:rsidRPr="00503B2E">
        <w:t xml:space="preserve"> </w:t>
      </w:r>
      <w:r w:rsidRPr="00503B2E">
        <w:rPr>
          <w:rFonts w:cs="Arial"/>
          <w:szCs w:val="18"/>
        </w:rPr>
        <w:t>Safe Work Australia,</w:t>
      </w:r>
      <w:r w:rsidRPr="00503B2E">
        <w:t xml:space="preserve"> </w:t>
      </w:r>
      <w:hyperlink r:id="rId172" w:history="1">
        <w:r w:rsidRPr="00503B2E">
          <w:rPr>
            <w:rStyle w:val="Hyperlink"/>
            <w:rFonts w:eastAsia="Aptos"/>
            <w:i/>
            <w:iCs/>
          </w:rPr>
          <w:t xml:space="preserve">Review of the model </w:t>
        </w:r>
        <w:r>
          <w:rPr>
            <w:rStyle w:val="Hyperlink"/>
            <w:rFonts w:eastAsia="Aptos"/>
            <w:i/>
            <w:iCs/>
          </w:rPr>
          <w:t>W</w:t>
        </w:r>
        <w:r w:rsidRPr="00503B2E">
          <w:rPr>
            <w:rStyle w:val="Hyperlink"/>
            <w:rFonts w:eastAsia="Aptos"/>
            <w:i/>
            <w:iCs/>
          </w:rPr>
          <w:t xml:space="preserve">ork </w:t>
        </w:r>
        <w:r w:rsidRPr="00503B2E" w:rsidDel="00667341">
          <w:rPr>
            <w:rStyle w:val="Hyperlink"/>
            <w:rFonts w:eastAsia="Aptos"/>
            <w:i/>
            <w:iCs/>
          </w:rPr>
          <w:t>H</w:t>
        </w:r>
        <w:r w:rsidRPr="00503B2E">
          <w:rPr>
            <w:rStyle w:val="Hyperlink"/>
            <w:rFonts w:eastAsia="Aptos"/>
            <w:i/>
            <w:iCs/>
          </w:rPr>
          <w:t xml:space="preserve">ealth and </w:t>
        </w:r>
        <w:r>
          <w:rPr>
            <w:rStyle w:val="Hyperlink"/>
            <w:rFonts w:eastAsia="Aptos"/>
            <w:i/>
            <w:iCs/>
          </w:rPr>
          <w:t>S</w:t>
        </w:r>
        <w:r w:rsidRPr="00503B2E">
          <w:rPr>
            <w:rStyle w:val="Hyperlink"/>
            <w:rFonts w:eastAsia="Aptos"/>
            <w:i/>
            <w:iCs/>
          </w:rPr>
          <w:t xml:space="preserve">afety </w:t>
        </w:r>
        <w:r w:rsidR="00757A1E">
          <w:rPr>
            <w:rStyle w:val="Hyperlink"/>
            <w:rFonts w:eastAsia="Aptos"/>
            <w:i/>
            <w:iCs/>
          </w:rPr>
          <w:t>l</w:t>
        </w:r>
        <w:r w:rsidR="00757A1E" w:rsidRPr="00503B2E">
          <w:rPr>
            <w:rStyle w:val="Hyperlink"/>
            <w:rFonts w:eastAsia="Aptos"/>
            <w:i/>
            <w:iCs/>
          </w:rPr>
          <w:t>aws</w:t>
        </w:r>
        <w:r>
          <w:rPr>
            <w:rStyle w:val="Hyperlink"/>
            <w:rFonts w:eastAsia="Aptos"/>
            <w:i/>
            <w:iCs/>
          </w:rPr>
          <w:t>:</w:t>
        </w:r>
        <w:r w:rsidRPr="00503B2E">
          <w:rPr>
            <w:rStyle w:val="Hyperlink"/>
            <w:rFonts w:eastAsia="Aptos"/>
            <w:i/>
            <w:iCs/>
          </w:rPr>
          <w:t xml:space="preserve"> Final report</w:t>
        </w:r>
      </w:hyperlink>
      <w:r w:rsidRPr="00503B2E">
        <w:rPr>
          <w:rFonts w:eastAsia="Aptos"/>
        </w:rPr>
        <w:t xml:space="preserve">, </w:t>
      </w:r>
      <w:r>
        <w:rPr>
          <w:rFonts w:eastAsia="Aptos"/>
        </w:rPr>
        <w:t xml:space="preserve">Safe Work Australia, </w:t>
      </w:r>
      <w:r w:rsidRPr="00503B2E">
        <w:rPr>
          <w:rFonts w:eastAsia="Aptos"/>
        </w:rPr>
        <w:t>2018</w:t>
      </w:r>
      <w:r w:rsidRPr="00503B2E">
        <w:t xml:space="preserve">, pp 65–68, </w:t>
      </w:r>
      <w:r>
        <w:t>R</w:t>
      </w:r>
      <w:r w:rsidRPr="00503B2E">
        <w:t>ecommendation 8;</w:t>
      </w:r>
      <w:r w:rsidRPr="00503B2E">
        <w:rPr>
          <w:sz w:val="22"/>
          <w:szCs w:val="24"/>
        </w:rPr>
        <w:t xml:space="preserve"> </w:t>
      </w:r>
      <w:r w:rsidRPr="00503B2E">
        <w:rPr>
          <w:szCs w:val="18"/>
        </w:rPr>
        <w:t>FW Act</w:t>
      </w:r>
      <w:r w:rsidRPr="00503B2E">
        <w:rPr>
          <w:i/>
          <w:iCs/>
        </w:rPr>
        <w:t xml:space="preserve"> 2009</w:t>
      </w:r>
      <w:r w:rsidRPr="00503B2E">
        <w:t xml:space="preserve"> (Cth), s 494(4); </w:t>
      </w:r>
      <w:r w:rsidRPr="00503B2E">
        <w:rPr>
          <w:i/>
        </w:rPr>
        <w:t>Fair Work Legislation Amendment (Closing Loopholes) Act</w:t>
      </w:r>
      <w:r w:rsidRPr="00503B2E">
        <w:t xml:space="preserve"> 2023 (Cth)</w:t>
      </w:r>
      <w:r>
        <w:t>,</w:t>
      </w:r>
      <w:r w:rsidRPr="00503B2E">
        <w:t xml:space="preserve"> s</w:t>
      </w:r>
      <w:r>
        <w:t>s </w:t>
      </w:r>
      <w:r w:rsidRPr="00503B2E">
        <w:t>2(1)</w:t>
      </w:r>
      <w:r>
        <w:t>,</w:t>
      </w:r>
      <w:r w:rsidRPr="00503B2E">
        <w:t xml:space="preserve"> 22A.</w:t>
      </w:r>
    </w:p>
  </w:footnote>
  <w:footnote w:id="204">
    <w:p w14:paraId="57A4D5D2" w14:textId="77777777" w:rsidR="00393662" w:rsidRPr="00503B2E" w:rsidRDefault="00393662" w:rsidP="00393662">
      <w:pPr>
        <w:pStyle w:val="FootnoteText"/>
        <w:rPr>
          <w:szCs w:val="18"/>
        </w:rPr>
      </w:pPr>
      <w:r w:rsidRPr="00503B2E">
        <w:rPr>
          <w:rStyle w:val="FootnoteReference"/>
          <w:szCs w:val="18"/>
        </w:rPr>
        <w:footnoteRef/>
      </w:r>
      <w:r w:rsidRPr="00503B2E">
        <w:rPr>
          <w:szCs w:val="18"/>
        </w:rPr>
        <w:t xml:space="preserve"> </w:t>
      </w:r>
      <w:r w:rsidRPr="00503B2E">
        <w:rPr>
          <w:rFonts w:eastAsia="MS PGothic"/>
          <w:szCs w:val="18"/>
        </w:rPr>
        <w:t xml:space="preserve">Qld WHS Act, </w:t>
      </w:r>
      <w:r>
        <w:rPr>
          <w:rFonts w:eastAsia="MS PGothic"/>
          <w:szCs w:val="18"/>
        </w:rPr>
        <w:t>P</w:t>
      </w:r>
      <w:r w:rsidRPr="00503B2E">
        <w:rPr>
          <w:rFonts w:eastAsia="MS PGothic"/>
          <w:szCs w:val="18"/>
        </w:rPr>
        <w:t>t 5A.</w:t>
      </w:r>
    </w:p>
  </w:footnote>
  <w:footnote w:id="205">
    <w:p w14:paraId="69ABACC2" w14:textId="77777777" w:rsidR="00393662" w:rsidRPr="00503B2E" w:rsidRDefault="00393662" w:rsidP="00393662">
      <w:pPr>
        <w:pStyle w:val="FootnoteText"/>
        <w:rPr>
          <w:szCs w:val="18"/>
        </w:rPr>
      </w:pPr>
      <w:r w:rsidRPr="00503B2E">
        <w:rPr>
          <w:rStyle w:val="FootnoteReference"/>
          <w:szCs w:val="18"/>
        </w:rPr>
        <w:footnoteRef/>
      </w:r>
      <w:r w:rsidRPr="00503B2E">
        <w:rPr>
          <w:szCs w:val="18"/>
        </w:rPr>
        <w:t xml:space="preserve"> </w:t>
      </w:r>
      <w:r w:rsidRPr="00503B2E">
        <w:rPr>
          <w:rFonts w:eastAsia="MS PGothic"/>
          <w:szCs w:val="18"/>
        </w:rPr>
        <w:t>Vic OHS Act, s 22(2)(b).</w:t>
      </w:r>
    </w:p>
  </w:footnote>
  <w:footnote w:id="206">
    <w:p w14:paraId="7A0F75A6" w14:textId="77777777" w:rsidR="00393662" w:rsidRDefault="00393662" w:rsidP="00393662">
      <w:pPr>
        <w:pStyle w:val="FootnoteText"/>
      </w:pPr>
      <w:r w:rsidRPr="00503B2E">
        <w:rPr>
          <w:rStyle w:val="FootnoteReference"/>
        </w:rPr>
        <w:footnoteRef/>
      </w:r>
      <w:r w:rsidRPr="00503B2E">
        <w:t xml:space="preserve"> Qld WHS Act, s</w:t>
      </w:r>
      <w:r>
        <w:t xml:space="preserve"> </w:t>
      </w:r>
      <w:r w:rsidRPr="00503B2E">
        <w:t>50B</w:t>
      </w:r>
      <w:r>
        <w:t>.</w:t>
      </w:r>
    </w:p>
  </w:footnote>
  <w:footnote w:id="207">
    <w:p w14:paraId="275AACE1" w14:textId="77777777" w:rsidR="004C23C8" w:rsidRPr="00503B2E" w:rsidRDefault="004C23C8" w:rsidP="004C23C8">
      <w:pPr>
        <w:pStyle w:val="FootnoteText"/>
        <w:rPr>
          <w:szCs w:val="18"/>
        </w:rPr>
      </w:pPr>
      <w:r w:rsidRPr="00503B2E">
        <w:rPr>
          <w:rStyle w:val="FootnoteReference"/>
          <w:szCs w:val="18"/>
        </w:rPr>
        <w:footnoteRef/>
      </w:r>
      <w:r w:rsidRPr="00503B2E">
        <w:rPr>
          <w:szCs w:val="18"/>
        </w:rPr>
        <w:t xml:space="preserve"> C Allen, C Massy and D Swan, </w:t>
      </w:r>
      <w:hyperlink r:id="rId173" w:history="1">
        <w:r w:rsidRPr="00503B2E">
          <w:rPr>
            <w:rStyle w:val="Hyperlink"/>
            <w:i/>
            <w:iCs/>
            <w:szCs w:val="18"/>
          </w:rPr>
          <w:t>Review of the Work Health and Safety Act 2011</w:t>
        </w:r>
      </w:hyperlink>
      <w:r w:rsidRPr="00503B2E">
        <w:rPr>
          <w:szCs w:val="18"/>
        </w:rPr>
        <w:t xml:space="preserve">, </w:t>
      </w:r>
      <w:r>
        <w:rPr>
          <w:szCs w:val="18"/>
        </w:rPr>
        <w:t xml:space="preserve">Queensland </w:t>
      </w:r>
      <w:r w:rsidRPr="00503B2E">
        <w:rPr>
          <w:szCs w:val="18"/>
        </w:rPr>
        <w:t>Government, 2022, p 29.</w:t>
      </w:r>
    </w:p>
  </w:footnote>
  <w:footnote w:id="208">
    <w:p w14:paraId="5CA70449" w14:textId="77777777" w:rsidR="004C23C8" w:rsidRPr="00503B2E" w:rsidRDefault="004C23C8" w:rsidP="004C23C8">
      <w:pPr>
        <w:pStyle w:val="FootnoteText"/>
        <w:rPr>
          <w:szCs w:val="18"/>
        </w:rPr>
      </w:pPr>
      <w:r w:rsidRPr="00503B2E">
        <w:rPr>
          <w:rStyle w:val="FootnoteReference"/>
          <w:szCs w:val="18"/>
        </w:rPr>
        <w:footnoteRef/>
      </w:r>
      <w:r w:rsidRPr="00503B2E">
        <w:rPr>
          <w:szCs w:val="18"/>
        </w:rPr>
        <w:t xml:space="preserve"> </w:t>
      </w:r>
      <w:hyperlink r:id="rId174" w:history="1">
        <w:r w:rsidRPr="00503B2E">
          <w:rPr>
            <w:rStyle w:val="Hyperlink"/>
            <w:szCs w:val="18"/>
          </w:rPr>
          <w:t>Unions NT</w:t>
        </w:r>
      </w:hyperlink>
      <w:r w:rsidRPr="00503B2E">
        <w:rPr>
          <w:szCs w:val="18"/>
        </w:rPr>
        <w:t xml:space="preserve"> (Submission, p 1) advocated for mandatory HSRs</w:t>
      </w:r>
      <w:r w:rsidRPr="00503B2E" w:rsidDel="006C464F">
        <w:rPr>
          <w:szCs w:val="18"/>
        </w:rPr>
        <w:t>.</w:t>
      </w:r>
    </w:p>
  </w:footnote>
  <w:footnote w:id="209">
    <w:p w14:paraId="0E5C487A" w14:textId="0A75F8A9" w:rsidR="004C23C8" w:rsidRPr="00503B2E" w:rsidRDefault="004C23C8" w:rsidP="004C23C8">
      <w:pPr>
        <w:pStyle w:val="FootnoteText"/>
      </w:pPr>
      <w:r w:rsidRPr="00503B2E">
        <w:rPr>
          <w:rStyle w:val="FootnoteReference"/>
        </w:rPr>
        <w:footnoteRef/>
      </w:r>
      <w:r w:rsidRPr="00503B2E">
        <w:t xml:space="preserve"> C Allen, C Massy and D Swan, </w:t>
      </w:r>
      <w:hyperlink r:id="rId175" w:history="1">
        <w:r w:rsidRPr="00503B2E">
          <w:rPr>
            <w:rStyle w:val="Hyperlink"/>
            <w:i/>
            <w:iCs/>
          </w:rPr>
          <w:t>Review of the Work Health and Safety Act 2011</w:t>
        </w:r>
      </w:hyperlink>
      <w:r w:rsidRPr="00503B2E">
        <w:t xml:space="preserve">, </w:t>
      </w:r>
      <w:r>
        <w:t xml:space="preserve">Queensland </w:t>
      </w:r>
      <w:r w:rsidRPr="00503B2E">
        <w:t>Government, 2022</w:t>
      </w:r>
      <w:r w:rsidRPr="00503B2E">
        <w:rPr>
          <w:szCs w:val="18"/>
        </w:rPr>
        <w:t xml:space="preserve">, </w:t>
      </w:r>
      <w:r>
        <w:rPr>
          <w:szCs w:val="18"/>
        </w:rPr>
        <w:t>R</w:t>
      </w:r>
      <w:r w:rsidRPr="00503B2E">
        <w:rPr>
          <w:szCs w:val="18"/>
        </w:rPr>
        <w:t>ecommendation 2</w:t>
      </w:r>
      <w:r w:rsidRPr="00503B2E">
        <w:rPr>
          <w:rFonts w:cs="Arial"/>
          <w:szCs w:val="18"/>
        </w:rPr>
        <w:t>; Qld WHS Act, ss 52 and 54.</w:t>
      </w:r>
    </w:p>
  </w:footnote>
  <w:footnote w:id="210">
    <w:p w14:paraId="05552FA3" w14:textId="77777777" w:rsidR="004C23C8" w:rsidRPr="00503B2E" w:rsidRDefault="004C23C8" w:rsidP="004C23C8">
      <w:pPr>
        <w:pStyle w:val="FootnoteText"/>
      </w:pPr>
      <w:r w:rsidRPr="00503B2E">
        <w:rPr>
          <w:rStyle w:val="FootnoteReference"/>
        </w:rPr>
        <w:footnoteRef/>
      </w:r>
      <w:r w:rsidRPr="00503B2E">
        <w:t xml:space="preserve"> Qld WHS Act, s</w:t>
      </w:r>
      <w:r>
        <w:t xml:space="preserve"> </w:t>
      </w:r>
      <w:r w:rsidRPr="00503B2E">
        <w:t>50A</w:t>
      </w:r>
      <w:r>
        <w:t>.</w:t>
      </w:r>
    </w:p>
  </w:footnote>
  <w:footnote w:id="211">
    <w:p w14:paraId="30114659" w14:textId="77777777" w:rsidR="004C23C8" w:rsidRPr="00503B2E" w:rsidRDefault="004C23C8" w:rsidP="004C23C8">
      <w:pPr>
        <w:pStyle w:val="FootnoteText"/>
        <w:rPr>
          <w:szCs w:val="18"/>
        </w:rPr>
      </w:pPr>
      <w:r w:rsidRPr="00503B2E">
        <w:rPr>
          <w:rStyle w:val="FootnoteReference"/>
          <w:szCs w:val="18"/>
        </w:rPr>
        <w:footnoteRef/>
      </w:r>
      <w:r w:rsidRPr="00503B2E">
        <w:rPr>
          <w:szCs w:val="18"/>
        </w:rPr>
        <w:t xml:space="preserve"> </w:t>
      </w:r>
      <w:r w:rsidRPr="00503B2E">
        <w:rPr>
          <w:rFonts w:eastAsia="Arial" w:cs="Arial"/>
          <w:szCs w:val="18"/>
        </w:rPr>
        <w:t>Model WHS Act, ss 50</w:t>
      </w:r>
      <w:r w:rsidRPr="00503B2E">
        <w:rPr>
          <w:szCs w:val="18"/>
        </w:rPr>
        <w:t>–</w:t>
      </w:r>
      <w:r w:rsidRPr="00503B2E">
        <w:rPr>
          <w:rFonts w:eastAsia="Arial" w:cs="Arial"/>
          <w:szCs w:val="18"/>
        </w:rPr>
        <w:t>54.</w:t>
      </w:r>
    </w:p>
  </w:footnote>
  <w:footnote w:id="212">
    <w:p w14:paraId="21C49EC6" w14:textId="77777777" w:rsidR="004C23C8" w:rsidRPr="00503B2E" w:rsidRDefault="004C23C8" w:rsidP="004C23C8">
      <w:pPr>
        <w:pStyle w:val="FootnoteText"/>
        <w:rPr>
          <w:rFonts w:cs="Arial"/>
          <w:szCs w:val="18"/>
        </w:rPr>
      </w:pPr>
      <w:r w:rsidRPr="00503B2E">
        <w:rPr>
          <w:rStyle w:val="FootnoteReference"/>
          <w:rFonts w:cs="Arial"/>
          <w:szCs w:val="18"/>
        </w:rPr>
        <w:footnoteRef/>
      </w:r>
      <w:r w:rsidRPr="00503B2E">
        <w:rPr>
          <w:rFonts w:cs="Arial"/>
          <w:szCs w:val="18"/>
        </w:rPr>
        <w:t xml:space="preserve"> </w:t>
      </w:r>
      <w:r>
        <w:rPr>
          <w:rFonts w:cs="Arial"/>
          <w:szCs w:val="18"/>
        </w:rPr>
        <w:t>Queensland</w:t>
      </w:r>
      <w:r w:rsidRPr="00503B2E">
        <w:rPr>
          <w:rFonts w:cs="Arial"/>
          <w:szCs w:val="18"/>
        </w:rPr>
        <w:t xml:space="preserve"> Council of Unions, Consultation, September 2025; Unions NT, Consultation, September 2025; NT WorkSafe, Consultation, September 2025; </w:t>
      </w:r>
      <w:hyperlink r:id="rId176" w:history="1">
        <w:r>
          <w:rPr>
            <w:rStyle w:val="Hyperlink"/>
            <w:rFonts w:cs="Arial"/>
            <w:szCs w:val="18"/>
          </w:rPr>
          <w:t>Queensland Council</w:t>
        </w:r>
        <w:r w:rsidRPr="00503B2E">
          <w:rPr>
            <w:rStyle w:val="Hyperlink"/>
            <w:rFonts w:cs="Arial"/>
            <w:szCs w:val="18"/>
          </w:rPr>
          <w:t xml:space="preserve"> of Unions</w:t>
        </w:r>
      </w:hyperlink>
      <w:r w:rsidRPr="00503B2E">
        <w:rPr>
          <w:rFonts w:cs="Arial"/>
          <w:szCs w:val="18"/>
        </w:rPr>
        <w:t>, Submission, p 9</w:t>
      </w:r>
      <w:r>
        <w:rPr>
          <w:rFonts w:cs="Arial"/>
          <w:szCs w:val="18"/>
        </w:rPr>
        <w:t>;</w:t>
      </w:r>
      <w:r w:rsidRPr="00503B2E">
        <w:rPr>
          <w:rFonts w:cs="Arial"/>
          <w:sz w:val="22"/>
          <w:szCs w:val="22"/>
        </w:rPr>
        <w:t xml:space="preserve"> </w:t>
      </w:r>
      <w:r w:rsidRPr="00503B2E">
        <w:rPr>
          <w:rFonts w:cs="Arial"/>
          <w:szCs w:val="18"/>
        </w:rPr>
        <w:t xml:space="preserve">C Allen, C Massy and D Swan, </w:t>
      </w:r>
      <w:hyperlink r:id="rId177" w:history="1">
        <w:r w:rsidRPr="00503B2E">
          <w:rPr>
            <w:rStyle w:val="Hyperlink"/>
            <w:rFonts w:cs="Arial"/>
            <w:i/>
            <w:iCs/>
            <w:szCs w:val="18"/>
          </w:rPr>
          <w:t>Review of the Work Health and Safety Act 2011</w:t>
        </w:r>
      </w:hyperlink>
      <w:r w:rsidRPr="00503B2E">
        <w:rPr>
          <w:rFonts w:cs="Arial"/>
          <w:szCs w:val="18"/>
        </w:rPr>
        <w:t xml:space="preserve">, </w:t>
      </w:r>
      <w:r>
        <w:rPr>
          <w:rFonts w:cs="Arial"/>
          <w:szCs w:val="18"/>
        </w:rPr>
        <w:t xml:space="preserve">Queensland </w:t>
      </w:r>
      <w:r w:rsidRPr="00503B2E">
        <w:rPr>
          <w:rFonts w:cs="Arial"/>
          <w:szCs w:val="18"/>
        </w:rPr>
        <w:t>Government, 2022, pp 33–34.</w:t>
      </w:r>
    </w:p>
  </w:footnote>
  <w:footnote w:id="213">
    <w:p w14:paraId="0F0BCEA0" w14:textId="77777777" w:rsidR="004C23C8" w:rsidRPr="00503B2E" w:rsidRDefault="004C23C8" w:rsidP="004C23C8">
      <w:pPr>
        <w:pStyle w:val="FootnoteText"/>
        <w:rPr>
          <w:rFonts w:cs="Arial"/>
          <w:szCs w:val="18"/>
        </w:rPr>
      </w:pPr>
      <w:r w:rsidRPr="00503B2E">
        <w:rPr>
          <w:rStyle w:val="FootnoteReference"/>
          <w:rFonts w:cs="Arial"/>
          <w:szCs w:val="18"/>
        </w:rPr>
        <w:footnoteRef/>
      </w:r>
      <w:r w:rsidRPr="00503B2E">
        <w:rPr>
          <w:rFonts w:cs="Arial"/>
          <w:szCs w:val="18"/>
        </w:rPr>
        <w:t xml:space="preserve"> </w:t>
      </w:r>
      <w:r w:rsidRPr="00503B2E">
        <w:rPr>
          <w:szCs w:val="18"/>
        </w:rPr>
        <w:t xml:space="preserve">C Allen, C Massy and D Swan, </w:t>
      </w:r>
      <w:hyperlink r:id="rId178" w:history="1">
        <w:r w:rsidRPr="00503B2E">
          <w:rPr>
            <w:rStyle w:val="Hyperlink"/>
            <w:i/>
            <w:iCs/>
            <w:szCs w:val="18"/>
          </w:rPr>
          <w:t>Review of the Work Health and Safety Act 2011</w:t>
        </w:r>
      </w:hyperlink>
      <w:r w:rsidRPr="00503B2E">
        <w:rPr>
          <w:szCs w:val="18"/>
        </w:rPr>
        <w:t xml:space="preserve">, </w:t>
      </w:r>
      <w:r>
        <w:rPr>
          <w:szCs w:val="18"/>
        </w:rPr>
        <w:t xml:space="preserve">Queensland </w:t>
      </w:r>
      <w:r w:rsidRPr="00503B2E">
        <w:rPr>
          <w:rFonts w:cs="Arial"/>
          <w:szCs w:val="18"/>
        </w:rPr>
        <w:t>Government, 2022, pp 34–35.</w:t>
      </w:r>
    </w:p>
  </w:footnote>
  <w:footnote w:id="214">
    <w:p w14:paraId="5302888C" w14:textId="77777777" w:rsidR="004C23C8" w:rsidRPr="00503B2E" w:rsidRDefault="004C23C8" w:rsidP="004C23C8">
      <w:pPr>
        <w:pStyle w:val="FootnoteText"/>
        <w:rPr>
          <w:rFonts w:cs="Arial"/>
          <w:szCs w:val="18"/>
        </w:rPr>
      </w:pPr>
      <w:r w:rsidRPr="00503B2E">
        <w:rPr>
          <w:rStyle w:val="FootnoteReference"/>
          <w:rFonts w:cs="Arial"/>
          <w:szCs w:val="18"/>
        </w:rPr>
        <w:footnoteRef/>
      </w:r>
      <w:r w:rsidRPr="00503B2E">
        <w:rPr>
          <w:rFonts w:cs="Arial"/>
          <w:szCs w:val="18"/>
        </w:rPr>
        <w:t xml:space="preserve"> </w:t>
      </w:r>
      <w:r w:rsidRPr="00503B2E">
        <w:rPr>
          <w:szCs w:val="18"/>
        </w:rPr>
        <w:t xml:space="preserve">C Allen, C Massy and D Swan, </w:t>
      </w:r>
      <w:hyperlink r:id="rId179" w:history="1">
        <w:r w:rsidRPr="00503B2E">
          <w:rPr>
            <w:rStyle w:val="Hyperlink"/>
            <w:i/>
            <w:iCs/>
            <w:szCs w:val="18"/>
          </w:rPr>
          <w:t>Review of the Work Health and Safety Act 2011</w:t>
        </w:r>
      </w:hyperlink>
      <w:r w:rsidRPr="00503B2E">
        <w:rPr>
          <w:szCs w:val="18"/>
        </w:rPr>
        <w:t xml:space="preserve">, </w:t>
      </w:r>
      <w:r>
        <w:rPr>
          <w:szCs w:val="18"/>
        </w:rPr>
        <w:t xml:space="preserve">Queensland </w:t>
      </w:r>
      <w:r w:rsidRPr="00503B2E">
        <w:rPr>
          <w:szCs w:val="18"/>
        </w:rPr>
        <w:t>Government, 2022,</w:t>
      </w:r>
      <w:r w:rsidRPr="00503B2E">
        <w:rPr>
          <w:i/>
          <w:szCs w:val="18"/>
        </w:rPr>
        <w:t xml:space="preserve"> </w:t>
      </w:r>
      <w:r w:rsidRPr="00503B2E">
        <w:rPr>
          <w:szCs w:val="18"/>
        </w:rPr>
        <w:t>p</w:t>
      </w:r>
      <w:r w:rsidRPr="00503B2E">
        <w:rPr>
          <w:rFonts w:cs="Arial"/>
          <w:szCs w:val="18"/>
        </w:rPr>
        <w:t>p 38</w:t>
      </w:r>
      <w:r w:rsidRPr="00503B2E">
        <w:rPr>
          <w:szCs w:val="18"/>
        </w:rPr>
        <w:t>–</w:t>
      </w:r>
      <w:r w:rsidRPr="00503B2E">
        <w:rPr>
          <w:rFonts w:cs="Arial"/>
          <w:szCs w:val="18"/>
        </w:rPr>
        <w:t xml:space="preserve">39; </w:t>
      </w:r>
      <w:r>
        <w:rPr>
          <w:rFonts w:cs="Arial"/>
          <w:szCs w:val="18"/>
        </w:rPr>
        <w:t xml:space="preserve">Queensland </w:t>
      </w:r>
      <w:r w:rsidRPr="00503B2E">
        <w:rPr>
          <w:rFonts w:cs="Arial"/>
          <w:szCs w:val="18"/>
        </w:rPr>
        <w:t xml:space="preserve">implemented these amendments in its WHS Act, ss 52(2) and 54 and </w:t>
      </w:r>
      <w:r w:rsidRPr="00503B2E">
        <w:rPr>
          <w:iCs/>
        </w:rPr>
        <w:t>WHS Regulation</w:t>
      </w:r>
      <w:r w:rsidRPr="00503B2E">
        <w:rPr>
          <w:i/>
        </w:rPr>
        <w:t>,</w:t>
      </w:r>
      <w:r w:rsidRPr="00503B2E">
        <w:t xml:space="preserve"> r</w:t>
      </w:r>
      <w:r w:rsidRPr="00503B2E" w:rsidDel="00667341">
        <w:t>eg</w:t>
      </w:r>
      <w:r w:rsidRPr="00503B2E">
        <w:t xml:space="preserve"> 16(2).</w:t>
      </w:r>
    </w:p>
  </w:footnote>
  <w:footnote w:id="215">
    <w:p w14:paraId="233D3415" w14:textId="1E4BF0B7" w:rsidR="004C23C8" w:rsidRPr="00503B2E" w:rsidRDefault="004C23C8" w:rsidP="004C23C8">
      <w:pPr>
        <w:pStyle w:val="FootnoteText"/>
        <w:rPr>
          <w:szCs w:val="18"/>
        </w:rPr>
      </w:pPr>
      <w:r w:rsidRPr="00503B2E">
        <w:rPr>
          <w:rStyle w:val="FootnoteReference"/>
          <w:szCs w:val="18"/>
        </w:rPr>
        <w:footnoteRef/>
      </w:r>
      <w:r w:rsidRPr="00503B2E">
        <w:rPr>
          <w:szCs w:val="18"/>
        </w:rPr>
        <w:t xml:space="preserve"> Model WHS Act, s 55.</w:t>
      </w:r>
    </w:p>
  </w:footnote>
  <w:footnote w:id="216">
    <w:p w14:paraId="7E03DF91" w14:textId="77777777" w:rsidR="004C23C8" w:rsidRPr="00503B2E" w:rsidRDefault="004C23C8" w:rsidP="004C23C8">
      <w:pPr>
        <w:pStyle w:val="FootnoteText"/>
        <w:rPr>
          <w:szCs w:val="18"/>
        </w:rPr>
      </w:pPr>
      <w:r w:rsidRPr="00503B2E">
        <w:rPr>
          <w:rStyle w:val="FootnoteReference"/>
          <w:szCs w:val="18"/>
        </w:rPr>
        <w:footnoteRef/>
      </w:r>
      <w:r w:rsidRPr="00503B2E">
        <w:rPr>
          <w:szCs w:val="18"/>
        </w:rPr>
        <w:t xml:space="preserve"> </w:t>
      </w:r>
      <w:hyperlink r:id="rId180" w:history="1">
        <w:r w:rsidRPr="00503B2E">
          <w:rPr>
            <w:rStyle w:val="Hyperlink"/>
            <w:szCs w:val="18"/>
          </w:rPr>
          <w:t>ACTU</w:t>
        </w:r>
      </w:hyperlink>
      <w:r w:rsidRPr="00503B2E">
        <w:rPr>
          <w:szCs w:val="18"/>
        </w:rPr>
        <w:t xml:space="preserve">, Submission, p 5; </w:t>
      </w:r>
      <w:hyperlink r:id="rId181" w:history="1">
        <w:r w:rsidRPr="00503B2E">
          <w:rPr>
            <w:rStyle w:val="Hyperlink"/>
            <w:szCs w:val="18"/>
          </w:rPr>
          <w:t>Shop, Distributive and Allied Employees Association</w:t>
        </w:r>
      </w:hyperlink>
      <w:r w:rsidRPr="00503B2E">
        <w:rPr>
          <w:szCs w:val="18"/>
        </w:rPr>
        <w:t>, Submission, p 5.</w:t>
      </w:r>
    </w:p>
  </w:footnote>
  <w:footnote w:id="217">
    <w:p w14:paraId="4BB85A9A" w14:textId="77777777" w:rsidR="008F49F1" w:rsidRPr="00503B2E" w:rsidRDefault="008F49F1" w:rsidP="008F49F1">
      <w:pPr>
        <w:pStyle w:val="FootnoteText"/>
        <w:rPr>
          <w:szCs w:val="18"/>
        </w:rPr>
      </w:pPr>
      <w:r w:rsidRPr="00503B2E">
        <w:rPr>
          <w:rStyle w:val="FootnoteReference"/>
          <w:szCs w:val="18"/>
        </w:rPr>
        <w:footnoteRef/>
      </w:r>
      <w:r w:rsidRPr="00503B2E">
        <w:rPr>
          <w:szCs w:val="18"/>
        </w:rPr>
        <w:t xml:space="preserve"> Model WHS Act, s</w:t>
      </w:r>
      <w:r>
        <w:rPr>
          <w:szCs w:val="18"/>
        </w:rPr>
        <w:t>s</w:t>
      </w:r>
      <w:r w:rsidRPr="00503B2E">
        <w:rPr>
          <w:szCs w:val="18"/>
        </w:rPr>
        <w:t xml:space="preserve"> 75–77.</w:t>
      </w:r>
    </w:p>
  </w:footnote>
  <w:footnote w:id="218">
    <w:p w14:paraId="7A78A374" w14:textId="77777777" w:rsidR="008F49F1" w:rsidRPr="00503B2E" w:rsidRDefault="008F49F1" w:rsidP="008F49F1">
      <w:pPr>
        <w:pStyle w:val="FootnoteText"/>
        <w:rPr>
          <w:szCs w:val="18"/>
        </w:rPr>
      </w:pPr>
      <w:r w:rsidRPr="00503B2E">
        <w:rPr>
          <w:rStyle w:val="FootnoteReference"/>
          <w:szCs w:val="18"/>
        </w:rPr>
        <w:footnoteRef/>
      </w:r>
      <w:r w:rsidRPr="00503B2E">
        <w:rPr>
          <w:szCs w:val="18"/>
        </w:rPr>
        <w:t xml:space="preserve"> C Allen, C Massy and D Swan, </w:t>
      </w:r>
      <w:hyperlink r:id="rId182" w:history="1">
        <w:r w:rsidRPr="00503B2E">
          <w:rPr>
            <w:rStyle w:val="Hyperlink"/>
            <w:i/>
            <w:iCs/>
            <w:szCs w:val="18"/>
          </w:rPr>
          <w:t>Review of the Work Health and Safety Act 2011</w:t>
        </w:r>
      </w:hyperlink>
      <w:r w:rsidRPr="00503B2E">
        <w:rPr>
          <w:szCs w:val="18"/>
        </w:rPr>
        <w:t xml:space="preserve">, </w:t>
      </w:r>
      <w:r>
        <w:rPr>
          <w:szCs w:val="18"/>
        </w:rPr>
        <w:t xml:space="preserve">Queensland </w:t>
      </w:r>
      <w:r w:rsidRPr="00503B2E">
        <w:rPr>
          <w:szCs w:val="18"/>
        </w:rPr>
        <w:t>Government, 2022, pp 60–62.</w:t>
      </w:r>
    </w:p>
  </w:footnote>
  <w:footnote w:id="219">
    <w:p w14:paraId="01238D5C" w14:textId="77777777" w:rsidR="008F49F1" w:rsidRPr="00CC56E7" w:rsidRDefault="008F49F1" w:rsidP="008F49F1">
      <w:pPr>
        <w:pStyle w:val="FootnoteText"/>
        <w:rPr>
          <w:szCs w:val="18"/>
        </w:rPr>
      </w:pPr>
      <w:r w:rsidRPr="00503B2E">
        <w:rPr>
          <w:rStyle w:val="FootnoteReference"/>
          <w:szCs w:val="18"/>
        </w:rPr>
        <w:footnoteRef/>
      </w:r>
      <w:r w:rsidRPr="00503B2E">
        <w:rPr>
          <w:szCs w:val="18"/>
        </w:rPr>
        <w:t xml:space="preserve"> Qld WHS Act, s 75(1).</w:t>
      </w:r>
    </w:p>
  </w:footnote>
  <w:footnote w:id="220">
    <w:p w14:paraId="4BF2AB68" w14:textId="77777777" w:rsidR="008F49F1" w:rsidRPr="00503B2E" w:rsidRDefault="008F49F1" w:rsidP="008F49F1">
      <w:pPr>
        <w:pStyle w:val="FootnoteText"/>
        <w:rPr>
          <w:szCs w:val="18"/>
        </w:rPr>
      </w:pPr>
      <w:r w:rsidRPr="00503B2E">
        <w:rPr>
          <w:rStyle w:val="FootnoteReference"/>
          <w:szCs w:val="18"/>
        </w:rPr>
        <w:footnoteRef/>
      </w:r>
      <w:r w:rsidRPr="00503B2E">
        <w:rPr>
          <w:szCs w:val="18"/>
        </w:rPr>
        <w:t xml:space="preserve"> WA WHS Act, s 76(5).</w:t>
      </w:r>
    </w:p>
  </w:footnote>
  <w:footnote w:id="221">
    <w:p w14:paraId="37A69C56" w14:textId="61101151" w:rsidR="008F49F1" w:rsidRPr="00503B2E" w:rsidRDefault="008F49F1" w:rsidP="008F49F1">
      <w:pPr>
        <w:pStyle w:val="FootnoteText"/>
        <w:rPr>
          <w:szCs w:val="18"/>
        </w:rPr>
      </w:pPr>
      <w:r w:rsidRPr="00503B2E">
        <w:rPr>
          <w:rStyle w:val="FootnoteReference"/>
          <w:szCs w:val="18"/>
        </w:rPr>
        <w:footnoteRef/>
      </w:r>
      <w:r w:rsidRPr="00503B2E">
        <w:rPr>
          <w:szCs w:val="18"/>
        </w:rPr>
        <w:t xml:space="preserve"> </w:t>
      </w:r>
      <w:r w:rsidRPr="00503B2E">
        <w:rPr>
          <w:rFonts w:cs="Arial"/>
          <w:szCs w:val="18"/>
        </w:rPr>
        <w:t xml:space="preserve">See </w:t>
      </w:r>
      <w:r w:rsidRPr="00503B2E">
        <w:rPr>
          <w:rFonts w:cs="Arial"/>
          <w:i/>
          <w:szCs w:val="18"/>
        </w:rPr>
        <w:t>Work Health and Safety Act 2011</w:t>
      </w:r>
      <w:r w:rsidRPr="00503B2E">
        <w:rPr>
          <w:rFonts w:cs="Arial"/>
          <w:szCs w:val="18"/>
        </w:rPr>
        <w:t xml:space="preserve"> (ACT) (ACT WHS Act), ss 50A</w:t>
      </w:r>
      <w:r w:rsidRPr="00503B2E">
        <w:rPr>
          <w:szCs w:val="18"/>
        </w:rPr>
        <w:t>–</w:t>
      </w:r>
      <w:r w:rsidRPr="00503B2E">
        <w:rPr>
          <w:rFonts w:cs="Arial"/>
          <w:szCs w:val="18"/>
        </w:rPr>
        <w:t>50C,</w:t>
      </w:r>
      <w:r w:rsidRPr="00503B2E">
        <w:rPr>
          <w:szCs w:val="18"/>
        </w:rPr>
        <w:t xml:space="preserve"> </w:t>
      </w:r>
      <w:r w:rsidRPr="00503B2E">
        <w:rPr>
          <w:kern w:val="2"/>
          <w:szCs w:val="18"/>
          <w:lang w:eastAsia="en-AU"/>
          <w14:ligatures w14:val="standardContextual"/>
        </w:rPr>
        <w:t>and industry-specific representative roles under jurisdictional mining legislation.</w:t>
      </w:r>
      <w:r w:rsidRPr="00503B2E">
        <w:rPr>
          <w:szCs w:val="18"/>
        </w:rPr>
        <w:t xml:space="preserve"> </w:t>
      </w:r>
      <w:r w:rsidRPr="00503B2E">
        <w:rPr>
          <w:rFonts w:cs="Arial"/>
          <w:szCs w:val="18"/>
        </w:rPr>
        <w:t>See also the </w:t>
      </w:r>
      <w:r w:rsidRPr="00503B2E">
        <w:rPr>
          <w:rFonts w:cs="Arial"/>
          <w:i/>
          <w:szCs w:val="18"/>
        </w:rPr>
        <w:t>Mining and Quarrying Safety and Health Act 1999</w:t>
      </w:r>
      <w:r w:rsidRPr="00503B2E">
        <w:rPr>
          <w:rFonts w:cs="Arial"/>
          <w:szCs w:val="18"/>
        </w:rPr>
        <w:t xml:space="preserve"> (Qld)</w:t>
      </w:r>
      <w:r>
        <w:rPr>
          <w:rFonts w:cs="Arial"/>
          <w:szCs w:val="18"/>
        </w:rPr>
        <w:t>,</w:t>
      </w:r>
      <w:r w:rsidRPr="00503B2E">
        <w:rPr>
          <w:rFonts w:cs="Arial"/>
          <w:szCs w:val="18"/>
        </w:rPr>
        <w:t xml:space="preserve"> s 108</w:t>
      </w:r>
      <w:r>
        <w:rPr>
          <w:rFonts w:cs="Arial"/>
          <w:szCs w:val="18"/>
        </w:rPr>
        <w:t>,</w:t>
      </w:r>
      <w:r w:rsidRPr="00503B2E">
        <w:rPr>
          <w:rFonts w:cs="Arial"/>
          <w:szCs w:val="18"/>
        </w:rPr>
        <w:t xml:space="preserve"> regarding district workers’ representatives</w:t>
      </w:r>
      <w:r>
        <w:rPr>
          <w:rFonts w:cs="Arial"/>
          <w:szCs w:val="18"/>
        </w:rPr>
        <w:t>,</w:t>
      </w:r>
      <w:r w:rsidRPr="00503B2E">
        <w:rPr>
          <w:rFonts w:cs="Arial"/>
          <w:szCs w:val="18"/>
        </w:rPr>
        <w:t xml:space="preserve"> and </w:t>
      </w:r>
      <w:r>
        <w:rPr>
          <w:rFonts w:cs="Arial"/>
          <w:szCs w:val="18"/>
        </w:rPr>
        <w:t>P</w:t>
      </w:r>
      <w:r w:rsidRPr="00503B2E">
        <w:rPr>
          <w:rFonts w:cs="Arial"/>
          <w:szCs w:val="18"/>
        </w:rPr>
        <w:t>t 7</w:t>
      </w:r>
      <w:r>
        <w:rPr>
          <w:rFonts w:cs="Arial"/>
          <w:szCs w:val="18"/>
        </w:rPr>
        <w:t>,</w:t>
      </w:r>
      <w:r w:rsidRPr="00503B2E">
        <w:rPr>
          <w:rFonts w:cs="Arial"/>
          <w:szCs w:val="18"/>
        </w:rPr>
        <w:t xml:space="preserve"> regarding site safety and health representatives. Also, </w:t>
      </w:r>
      <w:r w:rsidRPr="00503B2E">
        <w:rPr>
          <w:rFonts w:cs="Arial"/>
          <w:i/>
          <w:szCs w:val="18"/>
        </w:rPr>
        <w:t>Work Health and Safety (Mines and Petroleum Sites) Act 2013</w:t>
      </w:r>
      <w:r w:rsidRPr="00503B2E">
        <w:rPr>
          <w:rFonts w:cs="Arial"/>
          <w:szCs w:val="18"/>
        </w:rPr>
        <w:t xml:space="preserve"> (NSW) (Pt 5,</w:t>
      </w:r>
      <w:r w:rsidRPr="00503B2E" w:rsidDel="00667341">
        <w:rPr>
          <w:rFonts w:cs="Arial"/>
          <w:szCs w:val="18"/>
        </w:rPr>
        <w:t xml:space="preserve"> </w:t>
      </w:r>
      <w:r w:rsidRPr="00503B2E">
        <w:rPr>
          <w:rFonts w:cs="Arial"/>
          <w:szCs w:val="18"/>
        </w:rPr>
        <w:t>Div</w:t>
      </w:r>
      <w:r>
        <w:rPr>
          <w:rFonts w:cs="Arial"/>
          <w:szCs w:val="18"/>
        </w:rPr>
        <w:t xml:space="preserve"> </w:t>
      </w:r>
      <w:r w:rsidRPr="00503B2E">
        <w:rPr>
          <w:rFonts w:cs="Arial"/>
          <w:szCs w:val="18"/>
        </w:rPr>
        <w:t>2)</w:t>
      </w:r>
      <w:r w:rsidRPr="00503B2E">
        <w:rPr>
          <w:rFonts w:cs="Arial"/>
          <w:i/>
          <w:szCs w:val="18"/>
        </w:rPr>
        <w:t> </w:t>
      </w:r>
      <w:r w:rsidRPr="00503B2E">
        <w:rPr>
          <w:rFonts w:cs="Arial"/>
          <w:szCs w:val="18"/>
        </w:rPr>
        <w:t>includes provisions for industry safety and health representatives and site safety and health representatives.</w:t>
      </w:r>
    </w:p>
  </w:footnote>
  <w:footnote w:id="222">
    <w:p w14:paraId="0DC84F3C" w14:textId="77777777" w:rsidR="008F49F1" w:rsidRPr="00503B2E" w:rsidRDefault="008F49F1" w:rsidP="008F49F1">
      <w:pPr>
        <w:pStyle w:val="FootnoteText"/>
        <w:rPr>
          <w:szCs w:val="18"/>
        </w:rPr>
      </w:pPr>
      <w:r w:rsidRPr="00503B2E">
        <w:rPr>
          <w:rStyle w:val="FootnoteReference"/>
          <w:szCs w:val="18"/>
        </w:rPr>
        <w:footnoteRef/>
      </w:r>
      <w:r w:rsidRPr="00503B2E">
        <w:rPr>
          <w:szCs w:val="18"/>
        </w:rPr>
        <w:t xml:space="preserve"> C Allen, C Massy and D Swan, </w:t>
      </w:r>
      <w:hyperlink r:id="rId183" w:history="1">
        <w:r w:rsidRPr="00503B2E">
          <w:rPr>
            <w:rStyle w:val="Hyperlink"/>
            <w:i/>
            <w:iCs/>
            <w:szCs w:val="18"/>
          </w:rPr>
          <w:t>Review of the Work Health and Safety Act 2011</w:t>
        </w:r>
      </w:hyperlink>
      <w:r w:rsidRPr="00503B2E">
        <w:rPr>
          <w:szCs w:val="18"/>
        </w:rPr>
        <w:t xml:space="preserve">, </w:t>
      </w:r>
      <w:r>
        <w:rPr>
          <w:szCs w:val="18"/>
        </w:rPr>
        <w:t xml:space="preserve">Queensland </w:t>
      </w:r>
      <w:r w:rsidRPr="00503B2E">
        <w:rPr>
          <w:szCs w:val="18"/>
        </w:rPr>
        <w:t>Government, 2022, pp 60–62.</w:t>
      </w:r>
    </w:p>
  </w:footnote>
  <w:footnote w:id="223">
    <w:p w14:paraId="589468EB" w14:textId="77777777" w:rsidR="008F49F1" w:rsidRPr="00B84C8F" w:rsidRDefault="008F49F1" w:rsidP="008F49F1">
      <w:pPr>
        <w:pStyle w:val="FootnoteText"/>
        <w:rPr>
          <w:szCs w:val="18"/>
        </w:rPr>
      </w:pPr>
      <w:r w:rsidRPr="00503B2E">
        <w:rPr>
          <w:rStyle w:val="FootnoteReference"/>
          <w:szCs w:val="18"/>
        </w:rPr>
        <w:footnoteRef/>
      </w:r>
      <w:r w:rsidRPr="00503B2E">
        <w:rPr>
          <w:szCs w:val="18"/>
        </w:rPr>
        <w:t xml:space="preserve"> </w:t>
      </w:r>
      <w:r w:rsidRPr="00503B2E">
        <w:rPr>
          <w:rFonts w:cs="Arial"/>
          <w:szCs w:val="18"/>
        </w:rPr>
        <w:t xml:space="preserve">Private, Submission #150; Media, Entertainment &amp; Arts Alliance as referenced in </w:t>
      </w:r>
      <w:hyperlink r:id="rId184" w:history="1">
        <w:r w:rsidRPr="00503B2E">
          <w:rPr>
            <w:rStyle w:val="Hyperlink"/>
            <w:rFonts w:cs="Arial"/>
            <w:szCs w:val="18"/>
          </w:rPr>
          <w:t>Unions SA</w:t>
        </w:r>
      </w:hyperlink>
      <w:r w:rsidRPr="00503B2E">
        <w:rPr>
          <w:rFonts w:cs="Arial"/>
          <w:szCs w:val="18"/>
        </w:rPr>
        <w:t>, Submission, p 27.</w:t>
      </w:r>
    </w:p>
  </w:footnote>
  <w:footnote w:id="224">
    <w:p w14:paraId="5089DB15" w14:textId="37836198" w:rsidR="008F49F1" w:rsidRPr="00503B2E" w:rsidRDefault="008F49F1" w:rsidP="008F49F1">
      <w:pPr>
        <w:pStyle w:val="FootnoteText"/>
        <w:rPr>
          <w:szCs w:val="18"/>
        </w:rPr>
      </w:pPr>
      <w:r w:rsidRPr="00503B2E">
        <w:rPr>
          <w:rStyle w:val="FootnoteReference"/>
          <w:szCs w:val="18"/>
        </w:rPr>
        <w:footnoteRef/>
      </w:r>
      <w:r w:rsidRPr="00503B2E">
        <w:rPr>
          <w:szCs w:val="18"/>
        </w:rPr>
        <w:t xml:space="preserve"> </w:t>
      </w:r>
      <w:hyperlink r:id="rId185" w:history="1">
        <w:r w:rsidRPr="00503B2E">
          <w:rPr>
            <w:rStyle w:val="Hyperlink"/>
            <w:szCs w:val="18"/>
          </w:rPr>
          <w:t>Anonymous</w:t>
        </w:r>
      </w:hyperlink>
      <w:r w:rsidRPr="00503B2E">
        <w:rPr>
          <w:szCs w:val="18"/>
        </w:rPr>
        <w:t>, Submission #166, p 7.</w:t>
      </w:r>
    </w:p>
  </w:footnote>
  <w:footnote w:id="225">
    <w:p w14:paraId="3098ADB8" w14:textId="0B9B1C2E" w:rsidR="009B7A11" w:rsidRPr="00503B2E" w:rsidRDefault="009B7A11" w:rsidP="009B7A11">
      <w:pPr>
        <w:pStyle w:val="FootnoteText"/>
        <w:rPr>
          <w:szCs w:val="18"/>
        </w:rPr>
      </w:pPr>
      <w:r w:rsidRPr="00503B2E">
        <w:rPr>
          <w:rStyle w:val="FootnoteReference"/>
          <w:szCs w:val="18"/>
        </w:rPr>
        <w:footnoteRef/>
      </w:r>
      <w:r w:rsidRPr="00503B2E">
        <w:rPr>
          <w:szCs w:val="18"/>
        </w:rPr>
        <w:t xml:space="preserve"> Model WHS Act, s 68(1)(b)–(d), (2)(a).</w:t>
      </w:r>
    </w:p>
  </w:footnote>
  <w:footnote w:id="226">
    <w:p w14:paraId="6C4D2DA1" w14:textId="77777777" w:rsidR="009B7A11" w:rsidRPr="00503B2E" w:rsidRDefault="009B7A11" w:rsidP="009B7A11">
      <w:pPr>
        <w:pStyle w:val="FootnoteText"/>
        <w:rPr>
          <w:szCs w:val="18"/>
        </w:rPr>
      </w:pPr>
      <w:r w:rsidRPr="00503B2E">
        <w:rPr>
          <w:rStyle w:val="FootnoteReference"/>
          <w:szCs w:val="18"/>
        </w:rPr>
        <w:footnoteRef/>
      </w:r>
      <w:r w:rsidRPr="00503B2E">
        <w:rPr>
          <w:szCs w:val="18"/>
        </w:rPr>
        <w:t xml:space="preserve"> </w:t>
      </w:r>
      <w:r w:rsidRPr="00503B2E">
        <w:rPr>
          <w:rFonts w:eastAsia="MS PGothic"/>
          <w:szCs w:val="18"/>
        </w:rPr>
        <w:t>Vic OHS Act</w:t>
      </w:r>
      <w:r w:rsidRPr="00503B2E">
        <w:rPr>
          <w:rFonts w:eastAsia="MS PGothic"/>
          <w:i/>
          <w:szCs w:val="18"/>
        </w:rPr>
        <w:t>,</w:t>
      </w:r>
      <w:r w:rsidRPr="00503B2E">
        <w:rPr>
          <w:rFonts w:eastAsia="MS PGothic"/>
          <w:szCs w:val="18"/>
        </w:rPr>
        <w:t xml:space="preserve"> </w:t>
      </w:r>
      <w:r w:rsidRPr="00503B2E">
        <w:rPr>
          <w:rFonts w:eastAsia="Yu Gothic Light" w:cs="Arial"/>
          <w:kern w:val="2"/>
          <w:szCs w:val="18"/>
          <w14:ligatures w14:val="standardContextual"/>
        </w:rPr>
        <w:t>s 58(ab)</w:t>
      </w:r>
      <w:r>
        <w:rPr>
          <w:rFonts w:eastAsia="Yu Gothic Light" w:cs="Arial"/>
          <w:kern w:val="2"/>
          <w:szCs w:val="18"/>
          <w14:ligatures w14:val="standardContextual"/>
        </w:rPr>
        <w:t>,</w:t>
      </w:r>
      <w:r w:rsidRPr="00503B2E">
        <w:rPr>
          <w:rFonts w:eastAsia="Yu Gothic Light" w:cs="Arial"/>
          <w:kern w:val="2"/>
          <w:szCs w:val="18"/>
          <w14:ligatures w14:val="standardContextual"/>
        </w:rPr>
        <w:t xml:space="preserve"> provides HSR powers to take photos or measurements or make sketches or recordings when they are exercising their functions under the Act. The </w:t>
      </w:r>
      <w:r w:rsidRPr="00503B2E">
        <w:rPr>
          <w:rFonts w:eastAsia="Yu Gothic Light" w:cs="Arial"/>
          <w:i/>
          <w:kern w:val="2"/>
          <w:szCs w:val="18"/>
          <w14:ligatures w14:val="standardContextual"/>
        </w:rPr>
        <w:t xml:space="preserve">Electrical Safety and Other Legislation Amendment Act 2024 </w:t>
      </w:r>
      <w:r w:rsidRPr="00503B2E">
        <w:rPr>
          <w:rFonts w:eastAsia="Yu Gothic Light" w:cs="Arial"/>
          <w:kern w:val="2"/>
          <w:szCs w:val="18"/>
          <w14:ligatures w14:val="standardContextual"/>
        </w:rPr>
        <w:t>(Qld), cl 46, amended s 68 of the Qld WHS Act</w:t>
      </w:r>
      <w:r w:rsidRPr="00503B2E">
        <w:rPr>
          <w:rFonts w:eastAsia="Yu Gothic Light" w:cs="Arial"/>
          <w:i/>
          <w:kern w:val="2"/>
          <w:szCs w:val="18"/>
          <w14:ligatures w14:val="standardContextual"/>
        </w:rPr>
        <w:t xml:space="preserve"> </w:t>
      </w:r>
      <w:r w:rsidRPr="00503B2E">
        <w:rPr>
          <w:rFonts w:eastAsia="Yu Gothic Light" w:cs="Arial"/>
          <w:kern w:val="2"/>
          <w:szCs w:val="18"/>
          <w14:ligatures w14:val="standardContextual"/>
        </w:rPr>
        <w:t xml:space="preserve">to clarify the power of HSRs to take measurements, conduct tests and take photos and videos. However, these provisions were removed following concerns raised regarding potential misuse and privacy safeguards – see </w:t>
      </w:r>
      <w:r w:rsidRPr="00503B2E">
        <w:rPr>
          <w:rFonts w:eastAsia="Yu Gothic Light" w:cs="Arial"/>
          <w:i/>
          <w:kern w:val="2"/>
          <w:szCs w:val="18"/>
          <w14:ligatures w14:val="standardContextual"/>
        </w:rPr>
        <w:t xml:space="preserve">Brisbane Olympic and Paralympic Games Arrangements and Other Legislation Amendment Act 2024 </w:t>
      </w:r>
      <w:r w:rsidRPr="00503B2E">
        <w:rPr>
          <w:rFonts w:eastAsia="Yu Gothic Light" w:cs="Arial"/>
          <w:kern w:val="2"/>
          <w:szCs w:val="18"/>
          <w14:ligatures w14:val="standardContextual"/>
        </w:rPr>
        <w:t>(Qld)</w:t>
      </w:r>
      <w:r>
        <w:rPr>
          <w:rFonts w:eastAsia="Yu Gothic Light" w:cs="Arial"/>
          <w:kern w:val="2"/>
          <w:szCs w:val="18"/>
          <w14:ligatures w14:val="standardContextual"/>
        </w:rPr>
        <w:t>,</w:t>
      </w:r>
      <w:r w:rsidRPr="00503B2E">
        <w:rPr>
          <w:rFonts w:eastAsia="Yu Gothic Light" w:cs="Arial"/>
          <w:kern w:val="2"/>
          <w:szCs w:val="18"/>
          <w14:ligatures w14:val="standardContextual"/>
        </w:rPr>
        <w:t xml:space="preserve"> </w:t>
      </w:r>
      <w:r>
        <w:rPr>
          <w:rFonts w:eastAsia="Yu Gothic Light" w:cs="Arial"/>
          <w:kern w:val="2"/>
          <w:szCs w:val="18"/>
          <w14:ligatures w14:val="standardContextual"/>
        </w:rPr>
        <w:t>P</w:t>
      </w:r>
      <w:r w:rsidRPr="00503B2E">
        <w:rPr>
          <w:rFonts w:eastAsia="Yu Gothic Light" w:cs="Arial"/>
          <w:kern w:val="2"/>
          <w:szCs w:val="18"/>
          <w14:ligatures w14:val="standardContextual"/>
        </w:rPr>
        <w:t>t 4</w:t>
      </w:r>
      <w:r>
        <w:rPr>
          <w:rFonts w:eastAsia="Yu Gothic Light" w:cs="Arial"/>
          <w:kern w:val="2"/>
          <w:szCs w:val="18"/>
          <w14:ligatures w14:val="standardContextual"/>
        </w:rPr>
        <w:t>;</w:t>
      </w:r>
      <w:r w:rsidRPr="00503B2E">
        <w:rPr>
          <w:rFonts w:cs="Arial"/>
          <w:sz w:val="22"/>
          <w:szCs w:val="22"/>
        </w:rPr>
        <w:t xml:space="preserve"> </w:t>
      </w:r>
      <w:r w:rsidRPr="00503B2E">
        <w:rPr>
          <w:rFonts w:eastAsia="Yu Gothic Light" w:cs="Arial"/>
          <w:kern w:val="2"/>
          <w:szCs w:val="18"/>
          <w14:ligatures w14:val="standardContextual"/>
        </w:rPr>
        <w:t xml:space="preserve">C Allen, C Massy and D Swan, </w:t>
      </w:r>
      <w:hyperlink r:id="rId186" w:history="1">
        <w:r w:rsidRPr="00503B2E">
          <w:rPr>
            <w:rStyle w:val="Hyperlink"/>
            <w:rFonts w:eastAsia="Yu Gothic Light" w:cs="Arial"/>
            <w:i/>
            <w:kern w:val="2"/>
            <w:szCs w:val="18"/>
            <w14:ligatures w14:val="standardContextual"/>
          </w:rPr>
          <w:t>Review of the Work Health and Safety Act 2011</w:t>
        </w:r>
      </w:hyperlink>
      <w:r w:rsidRPr="00503B2E">
        <w:rPr>
          <w:rFonts w:eastAsia="Yu Gothic Light" w:cs="Arial"/>
          <w:kern w:val="2"/>
          <w:szCs w:val="18"/>
          <w14:ligatures w14:val="standardContextual"/>
        </w:rPr>
        <w:t xml:space="preserve">, </w:t>
      </w:r>
      <w:r>
        <w:rPr>
          <w:rFonts w:eastAsia="Yu Gothic Light" w:cs="Arial"/>
          <w:kern w:val="2"/>
          <w:szCs w:val="18"/>
          <w14:ligatures w14:val="standardContextual"/>
        </w:rPr>
        <w:t xml:space="preserve">Queensland </w:t>
      </w:r>
      <w:r w:rsidRPr="00503B2E">
        <w:rPr>
          <w:rFonts w:eastAsia="Yu Gothic Light" w:cs="Arial"/>
          <w:kern w:val="2"/>
          <w:szCs w:val="18"/>
          <w14:ligatures w14:val="standardContextual"/>
        </w:rPr>
        <w:t>Government, 2022</w:t>
      </w:r>
      <w:r w:rsidRPr="00503B2E">
        <w:rPr>
          <w:szCs w:val="18"/>
        </w:rPr>
        <w:t>,</w:t>
      </w:r>
      <w:r w:rsidRPr="00503B2E">
        <w:rPr>
          <w:rFonts w:eastAsia="Yu Gothic Light" w:cs="Arial"/>
          <w:kern w:val="2"/>
          <w:szCs w:val="18"/>
          <w14:ligatures w14:val="standardContextual"/>
        </w:rPr>
        <w:t xml:space="preserve"> </w:t>
      </w:r>
      <w:r>
        <w:rPr>
          <w:rFonts w:eastAsia="Yu Gothic Light" w:cs="Arial"/>
          <w:kern w:val="2"/>
          <w:szCs w:val="18"/>
          <w14:ligatures w14:val="standardContextual"/>
        </w:rPr>
        <w:t>R</w:t>
      </w:r>
      <w:r w:rsidRPr="00503B2E">
        <w:rPr>
          <w:rFonts w:eastAsia="Yu Gothic Light" w:cs="Arial"/>
          <w:kern w:val="2"/>
          <w:szCs w:val="18"/>
          <w14:ligatures w14:val="standardContextual"/>
        </w:rPr>
        <w:t>ecommendation 3(D).</w:t>
      </w:r>
    </w:p>
  </w:footnote>
  <w:footnote w:id="227">
    <w:p w14:paraId="67DC65C2" w14:textId="77777777" w:rsidR="009B7A11" w:rsidRPr="00503B2E" w:rsidRDefault="009B7A11" w:rsidP="009B7A11">
      <w:pPr>
        <w:pStyle w:val="FootnoteText"/>
        <w:rPr>
          <w:szCs w:val="18"/>
        </w:rPr>
      </w:pPr>
      <w:r w:rsidRPr="00503B2E">
        <w:rPr>
          <w:rStyle w:val="FootnoteReference"/>
          <w:szCs w:val="18"/>
        </w:rPr>
        <w:footnoteRef/>
      </w:r>
      <w:r w:rsidRPr="00503B2E">
        <w:rPr>
          <w:szCs w:val="18"/>
        </w:rPr>
        <w:t xml:space="preserve"> Model WHS Act, </w:t>
      </w:r>
      <w:r>
        <w:rPr>
          <w:szCs w:val="18"/>
        </w:rPr>
        <w:t xml:space="preserve">s </w:t>
      </w:r>
      <w:r w:rsidRPr="00503B2E">
        <w:rPr>
          <w:szCs w:val="18"/>
        </w:rPr>
        <w:t xml:space="preserve">68(2)(f) – </w:t>
      </w:r>
      <w:r>
        <w:rPr>
          <w:szCs w:val="18"/>
        </w:rPr>
        <w:t>i</w:t>
      </w:r>
      <w:r w:rsidRPr="00503B2E">
        <w:rPr>
          <w:szCs w:val="18"/>
        </w:rPr>
        <w:t xml:space="preserve">n exercising a power or performing a function, the HSR may receive information concerning the work health and safety of workers in the work group. Model WHS Act, s 70(1)(c) – </w:t>
      </w:r>
      <w:r>
        <w:rPr>
          <w:szCs w:val="18"/>
        </w:rPr>
        <w:t>t</w:t>
      </w:r>
      <w:r w:rsidRPr="00503B2E">
        <w:rPr>
          <w:szCs w:val="18"/>
        </w:rPr>
        <w:t>he PCBU must allow any HSR for the work group to access to the information that the person has relating to hazards at the workplace affecting workers in the work group; and the health and safety of the workers in the work group. </w:t>
      </w:r>
      <w:hyperlink r:id="rId187" w:history="1">
        <w:r w:rsidRPr="00503B2E">
          <w:rPr>
            <w:rStyle w:val="Hyperlink"/>
            <w:szCs w:val="18"/>
          </w:rPr>
          <w:t>Comcare</w:t>
        </w:r>
      </w:hyperlink>
      <w:r w:rsidRPr="00503B2E">
        <w:rPr>
          <w:szCs w:val="18"/>
        </w:rPr>
        <w:t xml:space="preserve"> (Submission, p 7) submits that this obligation extends to the provision of inspector reports that have direct relevance to the HSR and workers in that work group.</w:t>
      </w:r>
    </w:p>
  </w:footnote>
  <w:footnote w:id="228">
    <w:p w14:paraId="0D38AF74" w14:textId="77777777" w:rsidR="009B7A11" w:rsidRPr="00503B2E" w:rsidRDefault="009B7A11" w:rsidP="009B7A11">
      <w:pPr>
        <w:pStyle w:val="FootnoteText"/>
        <w:rPr>
          <w:szCs w:val="18"/>
        </w:rPr>
      </w:pPr>
      <w:r w:rsidRPr="00503B2E">
        <w:rPr>
          <w:rStyle w:val="FootnoteReference"/>
          <w:szCs w:val="18"/>
        </w:rPr>
        <w:footnoteRef/>
      </w:r>
      <w:r w:rsidRPr="00503B2E">
        <w:rPr>
          <w:szCs w:val="18"/>
        </w:rPr>
        <w:t xml:space="preserve"> The following unions raised concern with the lack of provision of information from the inspector to the HSR: Unions NT, Consultation, September 2025; SA Unions, Consultation, September 2025; </w:t>
      </w:r>
      <w:hyperlink r:id="rId188" w:history="1">
        <w:r w:rsidRPr="00503B2E">
          <w:rPr>
            <w:rStyle w:val="Hyperlink"/>
            <w:rFonts w:eastAsia="Aptos" w:cs="Arial"/>
            <w:szCs w:val="18"/>
          </w:rPr>
          <w:t>Community and Public Sector Union</w:t>
        </w:r>
      </w:hyperlink>
      <w:r w:rsidRPr="00503B2E">
        <w:rPr>
          <w:szCs w:val="18"/>
        </w:rPr>
        <w:t xml:space="preserve">, Submission, pp 7–10; </w:t>
      </w:r>
      <w:hyperlink r:id="rId189" w:history="1">
        <w:r w:rsidRPr="00503B2E">
          <w:rPr>
            <w:rStyle w:val="Hyperlink"/>
            <w:szCs w:val="18"/>
          </w:rPr>
          <w:t>SA Unions</w:t>
        </w:r>
      </w:hyperlink>
      <w:r w:rsidRPr="00503B2E">
        <w:rPr>
          <w:szCs w:val="18"/>
        </w:rPr>
        <w:t>, Submission, pp 19–21.</w:t>
      </w:r>
    </w:p>
  </w:footnote>
  <w:footnote w:id="229">
    <w:p w14:paraId="52AF9ECD" w14:textId="77777777" w:rsidR="009B7A11" w:rsidRPr="00503B2E" w:rsidRDefault="009B7A11" w:rsidP="009B7A11">
      <w:pPr>
        <w:pStyle w:val="FootnoteText"/>
        <w:rPr>
          <w:szCs w:val="18"/>
        </w:rPr>
      </w:pPr>
      <w:r w:rsidRPr="00503B2E">
        <w:rPr>
          <w:rStyle w:val="FootnoteReference"/>
          <w:szCs w:val="18"/>
        </w:rPr>
        <w:footnoteRef/>
      </w:r>
      <w:r w:rsidRPr="00503B2E">
        <w:rPr>
          <w:szCs w:val="18"/>
        </w:rPr>
        <w:t xml:space="preserve"> See Appendix </w:t>
      </w:r>
      <w:r w:rsidRPr="00503B2E">
        <w:rPr>
          <w:rFonts w:cs="Arial"/>
          <w:szCs w:val="18"/>
        </w:rPr>
        <w:t>J</w:t>
      </w:r>
      <w:r w:rsidRPr="00503B2E">
        <w:rPr>
          <w:szCs w:val="18"/>
        </w:rPr>
        <w:t>.</w:t>
      </w:r>
    </w:p>
  </w:footnote>
  <w:footnote w:id="230">
    <w:p w14:paraId="366BF803" w14:textId="5AC34870" w:rsidR="009B7A11" w:rsidRPr="00503B2E" w:rsidRDefault="009B7A11" w:rsidP="009B7A11">
      <w:pPr>
        <w:pStyle w:val="FootnoteText"/>
        <w:rPr>
          <w:szCs w:val="18"/>
        </w:rPr>
      </w:pPr>
      <w:r w:rsidRPr="00503B2E">
        <w:rPr>
          <w:rStyle w:val="FootnoteReference"/>
          <w:szCs w:val="18"/>
        </w:rPr>
        <w:footnoteRef/>
      </w:r>
      <w:r w:rsidRPr="00503B2E">
        <w:rPr>
          <w:szCs w:val="18"/>
        </w:rPr>
        <w:t xml:space="preserve"> C Allen, C Massy and D Swan, </w:t>
      </w:r>
      <w:hyperlink r:id="rId190" w:history="1">
        <w:r w:rsidRPr="00503B2E">
          <w:rPr>
            <w:rStyle w:val="Hyperlink"/>
            <w:i/>
            <w:iCs/>
            <w:szCs w:val="18"/>
          </w:rPr>
          <w:t>Review of the Work Health and Safety Act 2011</w:t>
        </w:r>
      </w:hyperlink>
      <w:r w:rsidRPr="00503B2E">
        <w:rPr>
          <w:szCs w:val="18"/>
        </w:rPr>
        <w:t xml:space="preserve">, </w:t>
      </w:r>
      <w:r>
        <w:rPr>
          <w:szCs w:val="18"/>
        </w:rPr>
        <w:t xml:space="preserve">Queensland </w:t>
      </w:r>
      <w:r w:rsidRPr="00503B2E">
        <w:rPr>
          <w:szCs w:val="18"/>
        </w:rPr>
        <w:t xml:space="preserve">Government, 2022, pp 42–44; Qld WHS Act, </w:t>
      </w:r>
      <w:r>
        <w:rPr>
          <w:szCs w:val="18"/>
        </w:rPr>
        <w:t xml:space="preserve">s </w:t>
      </w:r>
      <w:r w:rsidRPr="00503B2E">
        <w:rPr>
          <w:szCs w:val="18"/>
        </w:rPr>
        <w:t>70(1)(ca)–(cc).</w:t>
      </w:r>
    </w:p>
  </w:footnote>
  <w:footnote w:id="231">
    <w:p w14:paraId="67166740" w14:textId="77777777" w:rsidR="009B7A11" w:rsidRPr="00503B2E" w:rsidRDefault="009B7A11" w:rsidP="009B7A11">
      <w:pPr>
        <w:pStyle w:val="FootnoteText"/>
        <w:rPr>
          <w:szCs w:val="18"/>
        </w:rPr>
      </w:pPr>
      <w:r w:rsidRPr="00503B2E">
        <w:rPr>
          <w:rStyle w:val="FootnoteReference"/>
          <w:szCs w:val="18"/>
        </w:rPr>
        <w:footnoteRef/>
      </w:r>
      <w:r w:rsidRPr="00503B2E">
        <w:rPr>
          <w:szCs w:val="18"/>
        </w:rPr>
        <w:t xml:space="preserve"> C Allen, C Massy and D Swan, </w:t>
      </w:r>
      <w:hyperlink r:id="rId191" w:history="1">
        <w:r w:rsidRPr="00503B2E">
          <w:rPr>
            <w:rStyle w:val="Hyperlink"/>
            <w:i/>
            <w:iCs/>
            <w:szCs w:val="18"/>
          </w:rPr>
          <w:t>Review of the Work Health and Safety Act 2011</w:t>
        </w:r>
      </w:hyperlink>
      <w:r w:rsidRPr="00503B2E">
        <w:rPr>
          <w:szCs w:val="18"/>
        </w:rPr>
        <w:t xml:space="preserve">, </w:t>
      </w:r>
      <w:r>
        <w:rPr>
          <w:szCs w:val="18"/>
        </w:rPr>
        <w:t xml:space="preserve">Queensland </w:t>
      </w:r>
      <w:r w:rsidRPr="00503B2E">
        <w:rPr>
          <w:szCs w:val="18"/>
        </w:rPr>
        <w:t xml:space="preserve">Government, 2022, </w:t>
      </w:r>
      <w:r>
        <w:rPr>
          <w:szCs w:val="18"/>
        </w:rPr>
        <w:t>R</w:t>
      </w:r>
      <w:r w:rsidRPr="00503B2E">
        <w:rPr>
          <w:szCs w:val="18"/>
        </w:rPr>
        <w:t>ecommendation 6.</w:t>
      </w:r>
    </w:p>
  </w:footnote>
  <w:footnote w:id="232">
    <w:p w14:paraId="6183EC1F" w14:textId="77777777" w:rsidR="009B7A11" w:rsidRPr="00503B2E" w:rsidRDefault="009B7A11" w:rsidP="009B7A11">
      <w:pPr>
        <w:pStyle w:val="FootnoteText"/>
        <w:rPr>
          <w:szCs w:val="18"/>
        </w:rPr>
      </w:pPr>
      <w:r w:rsidRPr="00503B2E">
        <w:rPr>
          <w:rStyle w:val="FootnoteReference"/>
          <w:szCs w:val="18"/>
        </w:rPr>
        <w:footnoteRef/>
      </w:r>
      <w:r w:rsidRPr="00503B2E">
        <w:rPr>
          <w:szCs w:val="18"/>
        </w:rPr>
        <w:t xml:space="preserve"> </w:t>
      </w:r>
      <w:hyperlink r:id="rId192" w:history="1">
        <w:r w:rsidRPr="00503B2E">
          <w:rPr>
            <w:rStyle w:val="Hyperlink"/>
            <w:szCs w:val="18"/>
          </w:rPr>
          <w:t>ACTU</w:t>
        </w:r>
      </w:hyperlink>
      <w:r w:rsidRPr="00503B2E">
        <w:rPr>
          <w:szCs w:val="18"/>
        </w:rPr>
        <w:t>, Submission, p 39.</w:t>
      </w:r>
    </w:p>
  </w:footnote>
  <w:footnote w:id="233">
    <w:p w14:paraId="1D06545B" w14:textId="09FFCAB0" w:rsidR="009B7A11" w:rsidRDefault="009B7A11" w:rsidP="009B7A11">
      <w:pPr>
        <w:pStyle w:val="FootnoteText"/>
      </w:pPr>
      <w:r w:rsidRPr="00503B2E">
        <w:rPr>
          <w:rStyle w:val="FootnoteReference"/>
        </w:rPr>
        <w:footnoteRef/>
      </w:r>
      <w:r w:rsidRPr="00503B2E">
        <w:t xml:space="preserve"> Qld WHS Act, s</w:t>
      </w:r>
      <w:r>
        <w:t xml:space="preserve"> </w:t>
      </w:r>
      <w:r w:rsidRPr="00503B2E">
        <w:t>97A; NSW WHS Act, s</w:t>
      </w:r>
      <w:r>
        <w:t xml:space="preserve"> </w:t>
      </w:r>
      <w:r w:rsidRPr="00503B2E">
        <w:t>97A.</w:t>
      </w:r>
      <w:r w:rsidRPr="00503B2E" w:rsidDel="00EB7A12">
        <w:t xml:space="preserve"> </w:t>
      </w:r>
      <w:r>
        <w:t xml:space="preserve">Queensland </w:t>
      </w:r>
      <w:r w:rsidRPr="00503B2E">
        <w:t xml:space="preserve">amended its Act following the 2017 </w:t>
      </w:r>
      <w:r w:rsidRPr="004653EA">
        <w:t>Qld Review</w:t>
      </w:r>
      <w:r>
        <w:t xml:space="preserve"> </w:t>
      </w:r>
      <w:r w:rsidRPr="00503B2E">
        <w:t>as a result of fatalities at Dreamworld and Eagle Farm</w:t>
      </w:r>
      <w:r>
        <w:t xml:space="preserve">: T Lyons, </w:t>
      </w:r>
      <w:hyperlink r:id="rId193" w:history="1">
        <w:r w:rsidRPr="002D4C87">
          <w:rPr>
            <w:rStyle w:val="Hyperlink"/>
            <w:i/>
          </w:rPr>
          <w:t xml:space="preserve">Best </w:t>
        </w:r>
        <w:r w:rsidRPr="00EB7A12">
          <w:rPr>
            <w:rStyle w:val="Hyperlink"/>
            <w:i/>
            <w:iCs/>
          </w:rPr>
          <w:t>P</w:t>
        </w:r>
        <w:r w:rsidRPr="002D4C87">
          <w:rPr>
            <w:rStyle w:val="Hyperlink"/>
            <w:i/>
          </w:rPr>
          <w:t xml:space="preserve">ractice </w:t>
        </w:r>
        <w:r w:rsidRPr="00EB7A12">
          <w:rPr>
            <w:rStyle w:val="Hyperlink"/>
            <w:i/>
            <w:iCs/>
          </w:rPr>
          <w:t>R</w:t>
        </w:r>
        <w:r w:rsidRPr="002D4C87">
          <w:rPr>
            <w:rStyle w:val="Hyperlink"/>
            <w:i/>
          </w:rPr>
          <w:t>eview of Workplace Health and Safety Queensland</w:t>
        </w:r>
        <w:r w:rsidRPr="00EB7A12">
          <w:rPr>
            <w:rStyle w:val="Hyperlink"/>
            <w:i/>
            <w:iCs/>
          </w:rPr>
          <w:t>: final report</w:t>
        </w:r>
      </w:hyperlink>
      <w:r>
        <w:t>, Queensland Government</w:t>
      </w:r>
      <w:r w:rsidRPr="00503B2E" w:rsidDel="00EB7A12">
        <w:t>,</w:t>
      </w:r>
      <w:r w:rsidRPr="00503B2E">
        <w:t xml:space="preserve"> </w:t>
      </w:r>
      <w:r>
        <w:t xml:space="preserve">2017, </w:t>
      </w:r>
      <w:r w:rsidRPr="00503B2E">
        <w:t>p 125.</w:t>
      </w:r>
    </w:p>
  </w:footnote>
  <w:footnote w:id="234">
    <w:p w14:paraId="16DEDA8A" w14:textId="77777777" w:rsidR="009B7A11" w:rsidRPr="00503B2E" w:rsidRDefault="009B7A11" w:rsidP="009B7A11">
      <w:pPr>
        <w:pStyle w:val="FootnoteText"/>
        <w:rPr>
          <w:szCs w:val="18"/>
        </w:rPr>
      </w:pPr>
      <w:r w:rsidRPr="00503B2E">
        <w:rPr>
          <w:rStyle w:val="FootnoteReference"/>
          <w:szCs w:val="18"/>
        </w:rPr>
        <w:footnoteRef/>
      </w:r>
      <w:r w:rsidRPr="00503B2E">
        <w:rPr>
          <w:szCs w:val="18"/>
        </w:rPr>
        <w:t xml:space="preserve"> Model WHS Act, ss 68(2)(b) and 70(1)(h).</w:t>
      </w:r>
    </w:p>
  </w:footnote>
  <w:footnote w:id="235">
    <w:p w14:paraId="7E728B70" w14:textId="77777777" w:rsidR="009B7A11" w:rsidRPr="00503B2E" w:rsidRDefault="009B7A11" w:rsidP="009B7A11">
      <w:pPr>
        <w:pStyle w:val="FootnoteText"/>
        <w:rPr>
          <w:szCs w:val="18"/>
        </w:rPr>
      </w:pPr>
      <w:r w:rsidRPr="00503B2E">
        <w:rPr>
          <w:rStyle w:val="FootnoteReference"/>
          <w:szCs w:val="18"/>
        </w:rPr>
        <w:footnoteRef/>
      </w:r>
      <w:r w:rsidRPr="00503B2E">
        <w:rPr>
          <w:szCs w:val="18"/>
        </w:rPr>
        <w:t xml:space="preserve"> Model WHS Act, s 164(2)(c).</w:t>
      </w:r>
    </w:p>
  </w:footnote>
  <w:footnote w:id="236">
    <w:p w14:paraId="0B5C4772" w14:textId="77777777" w:rsidR="009B7A11" w:rsidRPr="00503B2E" w:rsidRDefault="009B7A11" w:rsidP="009B7A11">
      <w:pPr>
        <w:pStyle w:val="FootnoteText"/>
        <w:rPr>
          <w:szCs w:val="18"/>
        </w:rPr>
      </w:pPr>
      <w:r w:rsidRPr="00503B2E">
        <w:rPr>
          <w:rStyle w:val="FootnoteReference"/>
          <w:szCs w:val="18"/>
        </w:rPr>
        <w:footnoteRef/>
      </w:r>
      <w:r w:rsidRPr="00503B2E">
        <w:rPr>
          <w:szCs w:val="18"/>
        </w:rPr>
        <w:t xml:space="preserve"> SA Unions, Consultation, September 2025; National HSRs meeting, Consultation, October 2025.</w:t>
      </w:r>
    </w:p>
  </w:footnote>
  <w:footnote w:id="237">
    <w:p w14:paraId="6E2D8859" w14:textId="77777777" w:rsidR="009B7A11" w:rsidRPr="00503B2E" w:rsidRDefault="009B7A11" w:rsidP="009B7A11">
      <w:pPr>
        <w:pStyle w:val="FootnoteText"/>
        <w:rPr>
          <w:szCs w:val="18"/>
        </w:rPr>
      </w:pPr>
      <w:r w:rsidRPr="00503B2E">
        <w:rPr>
          <w:rStyle w:val="FootnoteReference"/>
          <w:szCs w:val="18"/>
        </w:rPr>
        <w:footnoteRef/>
      </w:r>
      <w:r w:rsidRPr="00503B2E">
        <w:rPr>
          <w:szCs w:val="18"/>
        </w:rPr>
        <w:t xml:space="preserve"> NT WorkSafe, Consultation, September 2025; SafeWork SA, Consultation, September 2025.</w:t>
      </w:r>
    </w:p>
  </w:footnote>
  <w:footnote w:id="238">
    <w:p w14:paraId="63D4B76A" w14:textId="3A112BC6" w:rsidR="009B7A11" w:rsidRPr="00503B2E" w:rsidRDefault="009B7A11" w:rsidP="009B7A11">
      <w:pPr>
        <w:pStyle w:val="FootnoteText"/>
        <w:rPr>
          <w:szCs w:val="18"/>
        </w:rPr>
      </w:pPr>
      <w:r w:rsidRPr="00503B2E">
        <w:rPr>
          <w:rStyle w:val="FootnoteReference"/>
          <w:szCs w:val="18"/>
        </w:rPr>
        <w:footnoteRef/>
      </w:r>
      <w:r w:rsidR="00304F1A">
        <w:rPr>
          <w:szCs w:val="18"/>
        </w:rPr>
        <w:t xml:space="preserve">  </w:t>
      </w:r>
      <w:r w:rsidRPr="00503B2E">
        <w:rPr>
          <w:szCs w:val="18"/>
        </w:rPr>
        <w:t xml:space="preserve">In 2016, the model WHS Act was amended to remove the requirement for PCBUs to provide a list of HSRs to the regulator, retaining the requirement for them to maintain and display the list at the workplace (Safe Work Australia, </w:t>
      </w:r>
      <w:hyperlink r:id="rId194" w:history="1">
        <w:r w:rsidRPr="00503B2E">
          <w:rPr>
            <w:rStyle w:val="Hyperlink"/>
            <w:i/>
            <w:szCs w:val="18"/>
          </w:rPr>
          <w:t>Amendments to the model WHS laws</w:t>
        </w:r>
      </w:hyperlink>
      <w:r w:rsidRPr="00503B2E">
        <w:rPr>
          <w:szCs w:val="18"/>
        </w:rPr>
        <w:t xml:space="preserve">, Safe Work Australia website, n.d., accessed 12 May 2026 – see 2016 Amendments (21 March 2016) Item 3). Only WA has implemented this amendment. In </w:t>
      </w:r>
      <w:r>
        <w:rPr>
          <w:szCs w:val="18"/>
        </w:rPr>
        <w:t>Queensland</w:t>
      </w:r>
      <w:r w:rsidRPr="00503B2E">
        <w:rPr>
          <w:szCs w:val="18"/>
        </w:rPr>
        <w:t xml:space="preserve">, the requirement was removed in 2014 – see Explanatory Note, </w:t>
      </w:r>
      <w:r w:rsidRPr="00033778">
        <w:rPr>
          <w:i/>
          <w:iCs/>
          <w:szCs w:val="18"/>
        </w:rPr>
        <w:t>Work Health and Safety and Other Legislation Amendment Act 2014</w:t>
      </w:r>
      <w:r w:rsidRPr="00503B2E">
        <w:rPr>
          <w:szCs w:val="18"/>
        </w:rPr>
        <w:t xml:space="preserve"> (Qld). The requirement was then reintroduced in 2017 – see </w:t>
      </w:r>
      <w:r w:rsidRPr="00503B2E">
        <w:rPr>
          <w:i/>
          <w:szCs w:val="18"/>
        </w:rPr>
        <w:t xml:space="preserve">Work Health and Safety and Other Legislation Amendment Act 2017 </w:t>
      </w:r>
      <w:r w:rsidRPr="00503B2E">
        <w:rPr>
          <w:szCs w:val="18"/>
        </w:rPr>
        <w:t>(Qld), cl 6.</w:t>
      </w:r>
    </w:p>
  </w:footnote>
  <w:footnote w:id="239">
    <w:p w14:paraId="728D4BB9" w14:textId="77777777" w:rsidR="009B7A11" w:rsidRPr="00503B2E" w:rsidRDefault="009B7A11" w:rsidP="009B7A11">
      <w:pPr>
        <w:pStyle w:val="FootnoteText"/>
        <w:rPr>
          <w:szCs w:val="18"/>
        </w:rPr>
      </w:pPr>
      <w:r w:rsidRPr="00503B2E">
        <w:rPr>
          <w:rStyle w:val="FootnoteReference"/>
          <w:szCs w:val="18"/>
        </w:rPr>
        <w:footnoteRef/>
      </w:r>
      <w:r w:rsidRPr="00503B2E">
        <w:rPr>
          <w:szCs w:val="18"/>
        </w:rPr>
        <w:t xml:space="preserve"> C Allen, C Massy and D Swan, </w:t>
      </w:r>
      <w:hyperlink r:id="rId195" w:history="1">
        <w:r w:rsidRPr="00503B2E">
          <w:rPr>
            <w:rStyle w:val="Hyperlink"/>
            <w:i/>
            <w:iCs/>
            <w:szCs w:val="18"/>
          </w:rPr>
          <w:t>Review of the Work Health and Safety Act 2011</w:t>
        </w:r>
      </w:hyperlink>
      <w:r w:rsidRPr="00503B2E">
        <w:rPr>
          <w:szCs w:val="18"/>
        </w:rPr>
        <w:t xml:space="preserve">, </w:t>
      </w:r>
      <w:r>
        <w:rPr>
          <w:szCs w:val="18"/>
        </w:rPr>
        <w:t xml:space="preserve">Queensland </w:t>
      </w:r>
      <w:r w:rsidRPr="00503B2E">
        <w:rPr>
          <w:szCs w:val="18"/>
        </w:rPr>
        <w:t xml:space="preserve">Government, 2022, p 14, </w:t>
      </w:r>
      <w:r>
        <w:rPr>
          <w:szCs w:val="18"/>
        </w:rPr>
        <w:t>R</w:t>
      </w:r>
      <w:r w:rsidRPr="00503B2E">
        <w:rPr>
          <w:szCs w:val="18"/>
        </w:rPr>
        <w:t>ecommendation 3A.</w:t>
      </w:r>
    </w:p>
  </w:footnote>
  <w:footnote w:id="240">
    <w:p w14:paraId="319EFFD4" w14:textId="2610D16C" w:rsidR="009B7A11" w:rsidRPr="00503B2E" w:rsidRDefault="009B7A11" w:rsidP="009B7A11">
      <w:pPr>
        <w:pStyle w:val="FootnoteText"/>
        <w:rPr>
          <w:szCs w:val="18"/>
        </w:rPr>
      </w:pPr>
      <w:r w:rsidRPr="00503B2E">
        <w:rPr>
          <w:rStyle w:val="FootnoteReference"/>
          <w:szCs w:val="18"/>
        </w:rPr>
        <w:footnoteRef/>
      </w:r>
      <w:r w:rsidRPr="00503B2E">
        <w:rPr>
          <w:szCs w:val="18"/>
        </w:rPr>
        <w:t xml:space="preserve"> SafeWork SA, Consultation, September 2025; </w:t>
      </w:r>
      <w:r w:rsidRPr="00503B2E">
        <w:t>Department of Employment and Workplace Relations</w:t>
      </w:r>
      <w:r w:rsidRPr="00503B2E">
        <w:rPr>
          <w:szCs w:val="18"/>
        </w:rPr>
        <w:t>, Office of the Federal Safety Commissioner and Comcare, Consultation, September 2025.</w:t>
      </w:r>
    </w:p>
  </w:footnote>
  <w:footnote w:id="241">
    <w:p w14:paraId="3BC9392A" w14:textId="440FF35E" w:rsidR="009B7A11" w:rsidRPr="00503B2E" w:rsidRDefault="009B7A11" w:rsidP="009B7A11">
      <w:pPr>
        <w:pStyle w:val="FootnoteText"/>
        <w:rPr>
          <w:rFonts w:cs="Arial"/>
          <w:szCs w:val="18"/>
        </w:rPr>
      </w:pPr>
      <w:r w:rsidRPr="00503B2E">
        <w:rPr>
          <w:rStyle w:val="FootnoteReference"/>
          <w:rFonts w:cs="Arial"/>
          <w:szCs w:val="18"/>
        </w:rPr>
        <w:footnoteRef/>
      </w:r>
      <w:r w:rsidRPr="00503B2E">
        <w:rPr>
          <w:rFonts w:cs="Arial"/>
          <w:szCs w:val="18"/>
        </w:rPr>
        <w:t xml:space="preserve"> C Allen, C Massy and D Swan, </w:t>
      </w:r>
      <w:hyperlink r:id="rId196" w:history="1">
        <w:r w:rsidRPr="00503B2E">
          <w:rPr>
            <w:rStyle w:val="Hyperlink"/>
            <w:rFonts w:cs="Arial"/>
            <w:i/>
            <w:szCs w:val="18"/>
          </w:rPr>
          <w:t>Review of the Work Health and Safety Act 2011</w:t>
        </w:r>
      </w:hyperlink>
      <w:r w:rsidRPr="00503B2E">
        <w:rPr>
          <w:rFonts w:cs="Arial"/>
          <w:szCs w:val="18"/>
        </w:rPr>
        <w:t xml:space="preserve">, </w:t>
      </w:r>
      <w:r>
        <w:rPr>
          <w:rFonts w:cs="Arial"/>
          <w:szCs w:val="18"/>
        </w:rPr>
        <w:t xml:space="preserve">Queensland </w:t>
      </w:r>
      <w:r w:rsidRPr="00503B2E">
        <w:rPr>
          <w:rFonts w:cs="Arial"/>
          <w:szCs w:val="18"/>
        </w:rPr>
        <w:t xml:space="preserve">Government, 2022, p 43, </w:t>
      </w:r>
      <w:r>
        <w:rPr>
          <w:rFonts w:cs="Arial"/>
          <w:szCs w:val="18"/>
        </w:rPr>
        <w:t>R</w:t>
      </w:r>
      <w:r w:rsidRPr="00503B2E">
        <w:rPr>
          <w:rFonts w:cs="Arial"/>
          <w:szCs w:val="18"/>
        </w:rPr>
        <w:t xml:space="preserve">ecommendation 3E; Safe Work Australia, </w:t>
      </w:r>
      <w:r w:rsidRPr="003D5344">
        <w:rPr>
          <w:rFonts w:cs="Arial"/>
          <w:i/>
          <w:szCs w:val="18"/>
        </w:rPr>
        <w:t xml:space="preserve">Worker </w:t>
      </w:r>
      <w:r w:rsidR="002E140F">
        <w:rPr>
          <w:rFonts w:cs="Arial"/>
          <w:i/>
          <w:szCs w:val="18"/>
        </w:rPr>
        <w:t>r</w:t>
      </w:r>
      <w:r w:rsidRPr="003D5344">
        <w:rPr>
          <w:rFonts w:cs="Arial"/>
          <w:i/>
          <w:szCs w:val="18"/>
        </w:rPr>
        <w:t xml:space="preserve">epresentation and </w:t>
      </w:r>
      <w:r w:rsidR="002E140F">
        <w:rPr>
          <w:rFonts w:cs="Arial"/>
          <w:i/>
          <w:szCs w:val="18"/>
        </w:rPr>
        <w:t>p</w:t>
      </w:r>
      <w:r w:rsidRPr="003D5344">
        <w:rPr>
          <w:rFonts w:cs="Arial"/>
          <w:i/>
          <w:szCs w:val="18"/>
        </w:rPr>
        <w:t xml:space="preserve">articipation </w:t>
      </w:r>
      <w:r w:rsidR="002E140F">
        <w:rPr>
          <w:rFonts w:cs="Arial"/>
          <w:i/>
          <w:szCs w:val="18"/>
        </w:rPr>
        <w:t>g</w:t>
      </w:r>
      <w:r w:rsidRPr="003D5344">
        <w:rPr>
          <w:rFonts w:cs="Arial"/>
          <w:i/>
          <w:szCs w:val="18"/>
        </w:rPr>
        <w:t>uide</w:t>
      </w:r>
      <w:r w:rsidRPr="00503B2E">
        <w:rPr>
          <w:rFonts w:cs="Arial"/>
          <w:szCs w:val="18"/>
        </w:rPr>
        <w:t>, Safe Work Australia website, 2024, accessed 12 May 2026, p 26.</w:t>
      </w:r>
    </w:p>
  </w:footnote>
  <w:footnote w:id="242">
    <w:p w14:paraId="31A2CF3C" w14:textId="77777777" w:rsidR="009B7A11" w:rsidRPr="00503B2E" w:rsidRDefault="009B7A11" w:rsidP="009B7A11">
      <w:pPr>
        <w:pStyle w:val="FootnoteText"/>
        <w:rPr>
          <w:rFonts w:cs="Arial"/>
          <w:szCs w:val="18"/>
        </w:rPr>
      </w:pPr>
      <w:r w:rsidRPr="00503B2E">
        <w:rPr>
          <w:rStyle w:val="FootnoteReference"/>
          <w:rFonts w:cs="Arial"/>
          <w:szCs w:val="18"/>
        </w:rPr>
        <w:footnoteRef/>
      </w:r>
      <w:r w:rsidRPr="00503B2E">
        <w:rPr>
          <w:rFonts w:cs="Arial"/>
          <w:szCs w:val="18"/>
        </w:rPr>
        <w:t xml:space="preserve"> Qld WHS Regulations, r</w:t>
      </w:r>
      <w:r w:rsidRPr="00503B2E" w:rsidDel="00EB7A12">
        <w:rPr>
          <w:rFonts w:cs="Arial"/>
          <w:szCs w:val="18"/>
        </w:rPr>
        <w:t>eg</w:t>
      </w:r>
      <w:r w:rsidRPr="00503B2E">
        <w:rPr>
          <w:rFonts w:cs="Arial"/>
          <w:szCs w:val="18"/>
        </w:rPr>
        <w:t xml:space="preserve"> 20A.</w:t>
      </w:r>
    </w:p>
  </w:footnote>
  <w:footnote w:id="243">
    <w:p w14:paraId="4DF4F581" w14:textId="77777777" w:rsidR="009B7A11" w:rsidRPr="00077C91" w:rsidRDefault="009B7A11" w:rsidP="009B7A11">
      <w:pPr>
        <w:spacing w:after="0" w:line="240" w:lineRule="auto"/>
        <w:rPr>
          <w:rFonts w:cs="Arial"/>
          <w:sz w:val="18"/>
          <w:szCs w:val="18"/>
        </w:rPr>
      </w:pPr>
      <w:r w:rsidRPr="009A144F">
        <w:rPr>
          <w:rStyle w:val="FootnoteReference"/>
          <w:rFonts w:ascii="Aptos" w:hAnsi="Aptos" w:cs="Arial"/>
          <w:sz w:val="18"/>
          <w:szCs w:val="18"/>
        </w:rPr>
        <w:footnoteRef/>
      </w:r>
      <w:r w:rsidRPr="009A144F">
        <w:rPr>
          <w:rFonts w:ascii="Aptos" w:hAnsi="Aptos" w:cs="Arial"/>
          <w:sz w:val="18"/>
          <w:szCs w:val="18"/>
        </w:rPr>
        <w:t xml:space="preserve"> </w:t>
      </w:r>
      <w:hyperlink r:id="rId197" w:history="1">
        <w:r w:rsidRPr="009A144F">
          <w:rPr>
            <w:rStyle w:val="Hyperlink"/>
            <w:rFonts w:ascii="Aptos" w:hAnsi="Aptos" w:cs="Arial"/>
            <w:sz w:val="18"/>
            <w:szCs w:val="18"/>
          </w:rPr>
          <w:t>ACFA</w:t>
        </w:r>
      </w:hyperlink>
      <w:r w:rsidRPr="009A144F">
        <w:rPr>
          <w:rFonts w:ascii="Aptos" w:hAnsi="Aptos" w:cs="Arial"/>
          <w:sz w:val="18"/>
          <w:szCs w:val="18"/>
        </w:rPr>
        <w:t>, Submission, p 8;</w:t>
      </w:r>
      <w:hyperlink r:id="rId198" w:history="1">
        <w:r w:rsidRPr="009A144F">
          <w:rPr>
            <w:rStyle w:val="Hyperlink"/>
            <w:rFonts w:ascii="Aptos" w:hAnsi="Aptos" w:cs="Arial"/>
            <w:sz w:val="18"/>
            <w:szCs w:val="18"/>
          </w:rPr>
          <w:t xml:space="preserve"> HIA</w:t>
        </w:r>
      </w:hyperlink>
      <w:r w:rsidRPr="009A144F">
        <w:rPr>
          <w:rFonts w:ascii="Aptos" w:hAnsi="Aptos" w:cs="Arial"/>
          <w:sz w:val="18"/>
          <w:szCs w:val="18"/>
        </w:rPr>
        <w:t>, Submission, pp 3 and 5.</w:t>
      </w:r>
    </w:p>
  </w:footnote>
  <w:footnote w:id="244">
    <w:p w14:paraId="4610F64B" w14:textId="31BA0B33" w:rsidR="00FD785F" w:rsidRPr="00503B2E" w:rsidRDefault="00FD785F" w:rsidP="00FD785F">
      <w:pPr>
        <w:pStyle w:val="FootnoteText"/>
        <w:rPr>
          <w:rFonts w:cs="Arial"/>
        </w:rPr>
      </w:pPr>
      <w:r w:rsidRPr="00503B2E">
        <w:rPr>
          <w:rStyle w:val="FootnoteReference"/>
          <w:rFonts w:cs="Arial"/>
        </w:rPr>
        <w:footnoteRef/>
      </w:r>
      <w:r w:rsidRPr="00503B2E">
        <w:rPr>
          <w:rFonts w:cs="Arial"/>
        </w:rPr>
        <w:t xml:space="preserve"> </w:t>
      </w:r>
      <w:r w:rsidRPr="00503B2E">
        <w:rPr>
          <w:rFonts w:cs="Arial"/>
          <w:szCs w:val="18"/>
        </w:rPr>
        <w:t>Model WHS Regulations, r</w:t>
      </w:r>
      <w:r w:rsidRPr="00503B2E" w:rsidDel="00EB7A12">
        <w:rPr>
          <w:rFonts w:cs="Arial"/>
          <w:szCs w:val="18"/>
        </w:rPr>
        <w:t>eg</w:t>
      </w:r>
      <w:r w:rsidRPr="00503B2E">
        <w:rPr>
          <w:rFonts w:cs="Arial"/>
          <w:szCs w:val="18"/>
        </w:rPr>
        <w:t xml:space="preserve"> 21(1): </w:t>
      </w:r>
      <w:r>
        <w:rPr>
          <w:rFonts w:cs="Arial"/>
          <w:szCs w:val="18"/>
        </w:rPr>
        <w:t>i</w:t>
      </w:r>
      <w:r w:rsidRPr="00503B2E">
        <w:rPr>
          <w:rFonts w:cs="Arial"/>
          <w:szCs w:val="18"/>
        </w:rPr>
        <w:t>f the HSR or deputy HSR is re-elected in the same work group and ha</w:t>
      </w:r>
      <w:r>
        <w:rPr>
          <w:rFonts w:cs="Arial"/>
          <w:szCs w:val="18"/>
        </w:rPr>
        <w:t>s</w:t>
      </w:r>
      <w:r w:rsidRPr="00503B2E">
        <w:rPr>
          <w:rFonts w:cs="Arial"/>
          <w:szCs w:val="18"/>
        </w:rPr>
        <w:t xml:space="preserve"> already participated in initial HSR training, they do not have an entitlement to take time off work with pay to attend the initial training course again – see Safe Work Australia, </w:t>
      </w:r>
      <w:hyperlink r:id="rId199" w:history="1">
        <w:r>
          <w:rPr>
            <w:rStyle w:val="Hyperlink"/>
            <w:rFonts w:cs="Arial"/>
            <w:i/>
            <w:szCs w:val="18"/>
          </w:rPr>
          <w:t xml:space="preserve">Worker </w:t>
        </w:r>
        <w:r w:rsidR="00185698">
          <w:rPr>
            <w:rStyle w:val="Hyperlink"/>
            <w:rFonts w:cs="Arial"/>
            <w:i/>
            <w:szCs w:val="18"/>
          </w:rPr>
          <w:t>r</w:t>
        </w:r>
        <w:r>
          <w:rPr>
            <w:rStyle w:val="Hyperlink"/>
            <w:rFonts w:cs="Arial"/>
            <w:i/>
            <w:szCs w:val="18"/>
          </w:rPr>
          <w:t xml:space="preserve">epresentation and </w:t>
        </w:r>
        <w:r w:rsidR="00185698">
          <w:rPr>
            <w:rStyle w:val="Hyperlink"/>
            <w:rFonts w:cs="Arial"/>
            <w:i/>
            <w:szCs w:val="18"/>
          </w:rPr>
          <w:t>p</w:t>
        </w:r>
        <w:r>
          <w:rPr>
            <w:rStyle w:val="Hyperlink"/>
            <w:rFonts w:cs="Arial"/>
            <w:i/>
            <w:szCs w:val="18"/>
          </w:rPr>
          <w:t xml:space="preserve">articipation </w:t>
        </w:r>
        <w:r w:rsidR="00185698">
          <w:rPr>
            <w:rStyle w:val="Hyperlink"/>
            <w:rFonts w:cs="Arial"/>
            <w:i/>
            <w:szCs w:val="18"/>
          </w:rPr>
          <w:t>g</w:t>
        </w:r>
        <w:r>
          <w:rPr>
            <w:rStyle w:val="Hyperlink"/>
            <w:rFonts w:cs="Arial"/>
            <w:i/>
            <w:szCs w:val="18"/>
          </w:rPr>
          <w:t>uide</w:t>
        </w:r>
      </w:hyperlink>
      <w:r w:rsidRPr="00503B2E">
        <w:rPr>
          <w:rFonts w:cs="Arial"/>
          <w:szCs w:val="18"/>
        </w:rPr>
        <w:t>, 2024, p 31.</w:t>
      </w:r>
    </w:p>
  </w:footnote>
  <w:footnote w:id="245">
    <w:p w14:paraId="13C57A09" w14:textId="77777777" w:rsidR="00FD785F" w:rsidRPr="00503B2E" w:rsidRDefault="00FD785F" w:rsidP="00FD785F">
      <w:pPr>
        <w:pStyle w:val="FootnoteText"/>
        <w:rPr>
          <w:rFonts w:cs="Arial"/>
          <w:szCs w:val="18"/>
        </w:rPr>
      </w:pPr>
      <w:r w:rsidRPr="00503B2E">
        <w:rPr>
          <w:rStyle w:val="FootnoteReference"/>
          <w:rFonts w:cs="Arial"/>
          <w:szCs w:val="18"/>
        </w:rPr>
        <w:footnoteRef/>
      </w:r>
      <w:r w:rsidRPr="00503B2E">
        <w:rPr>
          <w:rFonts w:cs="Arial"/>
          <w:szCs w:val="18"/>
        </w:rPr>
        <w:t xml:space="preserve"> Model WHS Act, ss 85(6) and 90(4</w:t>
      </w:r>
      <w:r w:rsidRPr="00503B2E" w:rsidDel="00DC550F">
        <w:rPr>
          <w:rFonts w:cs="Arial"/>
          <w:szCs w:val="18"/>
        </w:rPr>
        <w:t>).</w:t>
      </w:r>
    </w:p>
  </w:footnote>
  <w:footnote w:id="246">
    <w:p w14:paraId="19E75622" w14:textId="77777777" w:rsidR="00FD785F" w:rsidRPr="00503B2E" w:rsidRDefault="00FD785F" w:rsidP="00FD785F">
      <w:pPr>
        <w:pStyle w:val="FootnoteText"/>
        <w:rPr>
          <w:rFonts w:cs="Arial"/>
          <w:szCs w:val="18"/>
        </w:rPr>
      </w:pPr>
      <w:r w:rsidRPr="00503B2E">
        <w:rPr>
          <w:rStyle w:val="FootnoteReference"/>
          <w:rFonts w:cs="Arial"/>
          <w:szCs w:val="18"/>
        </w:rPr>
        <w:footnoteRef/>
      </w:r>
      <w:r w:rsidRPr="00503B2E">
        <w:rPr>
          <w:rFonts w:cs="Arial"/>
          <w:szCs w:val="18"/>
        </w:rPr>
        <w:t xml:space="preserve"> The Vic OHS Act does not require an HSR to receive training before performing their powers – see ss 60 and 74.</w:t>
      </w:r>
    </w:p>
  </w:footnote>
  <w:footnote w:id="247">
    <w:p w14:paraId="2E089BEB" w14:textId="77777777" w:rsidR="008C53E8" w:rsidRPr="00503B2E" w:rsidRDefault="008C53E8" w:rsidP="008C53E8">
      <w:pPr>
        <w:pStyle w:val="FootnoteText"/>
        <w:rPr>
          <w:rFonts w:cs="Arial"/>
          <w:szCs w:val="18"/>
        </w:rPr>
      </w:pPr>
      <w:r w:rsidRPr="00503B2E">
        <w:rPr>
          <w:rStyle w:val="FootnoteReference"/>
          <w:rFonts w:cs="Arial"/>
          <w:szCs w:val="18"/>
        </w:rPr>
        <w:footnoteRef/>
      </w:r>
      <w:r w:rsidRPr="00503B2E">
        <w:rPr>
          <w:rFonts w:cs="Arial"/>
          <w:szCs w:val="18"/>
        </w:rPr>
        <w:t xml:space="preserve"> </w:t>
      </w:r>
      <w:hyperlink r:id="rId200" w:history="1">
        <w:r w:rsidRPr="00503B2E">
          <w:rPr>
            <w:rStyle w:val="Hyperlink"/>
            <w:rFonts w:cs="Arial"/>
            <w:szCs w:val="18"/>
          </w:rPr>
          <w:t>ACTU</w:t>
        </w:r>
      </w:hyperlink>
      <w:r w:rsidRPr="00503B2E">
        <w:rPr>
          <w:rFonts w:cs="Arial"/>
          <w:szCs w:val="18"/>
        </w:rPr>
        <w:t>, Submission, p</w:t>
      </w:r>
      <w:r>
        <w:rPr>
          <w:rFonts w:cs="Arial"/>
          <w:szCs w:val="18"/>
        </w:rPr>
        <w:t>p</w:t>
      </w:r>
      <w:r w:rsidRPr="00503B2E">
        <w:rPr>
          <w:rFonts w:cs="Arial"/>
          <w:szCs w:val="18"/>
        </w:rPr>
        <w:t xml:space="preserve"> 18–19.</w:t>
      </w:r>
    </w:p>
  </w:footnote>
  <w:footnote w:id="248">
    <w:p w14:paraId="1B5256FF" w14:textId="77777777" w:rsidR="008C53E8" w:rsidRPr="00503B2E" w:rsidRDefault="008C53E8" w:rsidP="008C53E8">
      <w:pPr>
        <w:pStyle w:val="FootnoteText"/>
        <w:rPr>
          <w:rFonts w:cs="Arial"/>
          <w:szCs w:val="18"/>
          <w:highlight w:val="yellow"/>
        </w:rPr>
      </w:pPr>
      <w:r w:rsidRPr="00503B2E">
        <w:rPr>
          <w:rStyle w:val="FootnoteReference"/>
          <w:rFonts w:cs="Arial"/>
          <w:szCs w:val="18"/>
        </w:rPr>
        <w:footnoteRef/>
      </w:r>
      <w:r w:rsidRPr="00503B2E">
        <w:rPr>
          <w:rFonts w:cs="Arial"/>
          <w:szCs w:val="18"/>
        </w:rPr>
        <w:t xml:space="preserve"> </w:t>
      </w:r>
      <w:r w:rsidRPr="00503B2E" w:rsidDel="00D47717">
        <w:rPr>
          <w:rFonts w:cs="Arial"/>
          <w:szCs w:val="18"/>
        </w:rPr>
        <w:t xml:space="preserve">Limited coverage of psychosocial hazards in HSR training was raised by the </w:t>
      </w:r>
      <w:hyperlink r:id="rId201" w:history="1">
        <w:r w:rsidRPr="00503B2E" w:rsidDel="00D47717">
          <w:rPr>
            <w:rStyle w:val="Hyperlink"/>
            <w:rFonts w:cs="Arial"/>
            <w:szCs w:val="18"/>
          </w:rPr>
          <w:t>ACTU</w:t>
        </w:r>
      </w:hyperlink>
      <w:r w:rsidRPr="00503B2E" w:rsidDel="00D47717">
        <w:rPr>
          <w:rFonts w:cs="Arial"/>
          <w:szCs w:val="18"/>
        </w:rPr>
        <w:t xml:space="preserve"> (Submission, p 18), </w:t>
      </w:r>
      <w:hyperlink r:id="rId202" w:history="1">
        <w:r w:rsidRPr="00503B2E" w:rsidDel="00D47717">
          <w:rPr>
            <w:rStyle w:val="Hyperlink"/>
            <w:rFonts w:cs="Arial"/>
            <w:szCs w:val="18"/>
          </w:rPr>
          <w:t>SA Unions</w:t>
        </w:r>
      </w:hyperlink>
      <w:r w:rsidRPr="00503B2E" w:rsidDel="00D47717">
        <w:rPr>
          <w:rFonts w:cs="Arial"/>
          <w:szCs w:val="18"/>
        </w:rPr>
        <w:t xml:space="preserve"> (Submission, p 21) and HWSA (Consultation, September 2025). </w:t>
      </w:r>
      <w:r w:rsidRPr="00503B2E">
        <w:rPr>
          <w:rFonts w:cs="Arial"/>
          <w:szCs w:val="18"/>
        </w:rPr>
        <w:t xml:space="preserve">Requests for HSR training tailored to specific industries was raised by the Maritime Union of Australia (Consultation, September 2025) and </w:t>
      </w:r>
      <w:hyperlink r:id="rId203" w:history="1">
        <w:r w:rsidRPr="00503B2E">
          <w:rPr>
            <w:rStyle w:val="Hyperlink"/>
            <w:rFonts w:cs="Arial"/>
            <w:szCs w:val="18"/>
          </w:rPr>
          <w:t>ANMF (Vic</w:t>
        </w:r>
        <w:r w:rsidRPr="00503B2E">
          <w:rPr>
            <w:rStyle w:val="Hyperlink"/>
            <w:rFonts w:cs="Arial"/>
          </w:rPr>
          <w:t xml:space="preserve"> Branch)</w:t>
        </w:r>
      </w:hyperlink>
      <w:r w:rsidRPr="00503B2E">
        <w:rPr>
          <w:rFonts w:cs="Arial"/>
          <w:szCs w:val="18"/>
        </w:rPr>
        <w:t xml:space="preserve"> (Submission, p 17).</w:t>
      </w:r>
    </w:p>
  </w:footnote>
  <w:footnote w:id="249">
    <w:p w14:paraId="40E03932" w14:textId="77777777" w:rsidR="008C53E8" w:rsidRPr="00503B2E" w:rsidRDefault="008C53E8" w:rsidP="008C53E8">
      <w:pPr>
        <w:pStyle w:val="FootnoteText"/>
        <w:rPr>
          <w:rFonts w:cs="Arial"/>
          <w:szCs w:val="18"/>
        </w:rPr>
      </w:pPr>
      <w:r w:rsidRPr="00503B2E">
        <w:rPr>
          <w:rStyle w:val="FootnoteReference"/>
          <w:rFonts w:cs="Arial"/>
          <w:szCs w:val="18"/>
        </w:rPr>
        <w:footnoteRef/>
      </w:r>
      <w:r w:rsidRPr="00503B2E">
        <w:rPr>
          <w:rFonts w:cs="Arial"/>
          <w:szCs w:val="18"/>
        </w:rPr>
        <w:t xml:space="preserve"> UnionsWA, Consultation, September 2025; Unions NT, Consultation, September 2025.</w:t>
      </w:r>
    </w:p>
  </w:footnote>
  <w:footnote w:id="250">
    <w:p w14:paraId="74B0E3C3" w14:textId="77777777" w:rsidR="007133B0" w:rsidRPr="00503B2E" w:rsidRDefault="007133B0" w:rsidP="007133B0">
      <w:pPr>
        <w:pStyle w:val="FootnoteText"/>
        <w:rPr>
          <w:rFonts w:cs="Arial"/>
          <w:szCs w:val="18"/>
        </w:rPr>
      </w:pPr>
      <w:r w:rsidRPr="00503B2E">
        <w:rPr>
          <w:rStyle w:val="FootnoteReference"/>
          <w:rFonts w:cs="Arial"/>
          <w:szCs w:val="18"/>
        </w:rPr>
        <w:footnoteRef/>
      </w:r>
      <w:r w:rsidRPr="00503B2E">
        <w:rPr>
          <w:rFonts w:cs="Arial"/>
          <w:szCs w:val="18"/>
        </w:rPr>
        <w:t xml:space="preserve"> Under the SA WHS Act</w:t>
      </w:r>
      <w:r w:rsidRPr="00503B2E">
        <w:rPr>
          <w:rFonts w:cs="Arial"/>
          <w:i/>
          <w:szCs w:val="18"/>
        </w:rPr>
        <w:t>,</w:t>
      </w:r>
      <w:r w:rsidRPr="00503B2E">
        <w:rPr>
          <w:rFonts w:cs="Arial"/>
          <w:szCs w:val="18"/>
        </w:rPr>
        <w:t xml:space="preserve"> HSRs are entitled to minimum prescribed training days – see s 72(1) and (9). Under the model WHS laws, this requirement is included in the model WHS Regulations – see r</w:t>
      </w:r>
      <w:r w:rsidRPr="00503B2E" w:rsidDel="00EB7A12">
        <w:rPr>
          <w:rFonts w:cs="Arial"/>
          <w:szCs w:val="18"/>
        </w:rPr>
        <w:t>eg</w:t>
      </w:r>
      <w:r w:rsidRPr="00503B2E">
        <w:rPr>
          <w:rFonts w:cs="Arial"/>
          <w:szCs w:val="18"/>
        </w:rPr>
        <w:t xml:space="preserve"> 21.</w:t>
      </w:r>
    </w:p>
  </w:footnote>
  <w:footnote w:id="251">
    <w:p w14:paraId="411E96DE" w14:textId="77777777" w:rsidR="007133B0" w:rsidRPr="00503B2E" w:rsidRDefault="007133B0" w:rsidP="007133B0">
      <w:pPr>
        <w:pStyle w:val="FootnoteText"/>
      </w:pPr>
      <w:r w:rsidRPr="00503B2E">
        <w:rPr>
          <w:rStyle w:val="FootnoteReference"/>
        </w:rPr>
        <w:footnoteRef/>
      </w:r>
      <w:r w:rsidRPr="00503B2E">
        <w:t xml:space="preserve"> C Allen, C Massy and D Swan, </w:t>
      </w:r>
      <w:hyperlink r:id="rId204" w:history="1">
        <w:r w:rsidRPr="00503B2E">
          <w:rPr>
            <w:rStyle w:val="Hyperlink"/>
            <w:i/>
            <w:iCs/>
          </w:rPr>
          <w:t>Review of the Work Health and Safety Act 2011</w:t>
        </w:r>
      </w:hyperlink>
      <w:r w:rsidRPr="00503B2E">
        <w:t xml:space="preserve">, </w:t>
      </w:r>
      <w:r>
        <w:t xml:space="preserve">Queensland </w:t>
      </w:r>
      <w:r w:rsidRPr="00503B2E">
        <w:t xml:space="preserve">Government, 2022, p 49, </w:t>
      </w:r>
      <w:r>
        <w:t>R</w:t>
      </w:r>
      <w:r w:rsidRPr="00503B2E">
        <w:t xml:space="preserve">ecommendation 4B; </w:t>
      </w:r>
      <w:r w:rsidRPr="00503B2E">
        <w:rPr>
          <w:iCs/>
        </w:rPr>
        <w:t>Qld WHS Regulation</w:t>
      </w:r>
      <w:r>
        <w:rPr>
          <w:iCs/>
        </w:rPr>
        <w:t>, reg</w:t>
      </w:r>
      <w:r w:rsidRPr="00503B2E">
        <w:rPr>
          <w:iCs/>
        </w:rPr>
        <w:t xml:space="preserve"> 21(2).</w:t>
      </w:r>
    </w:p>
  </w:footnote>
  <w:footnote w:id="252">
    <w:p w14:paraId="4D8E9332" w14:textId="7ACCD494" w:rsidR="007133B0" w:rsidRPr="000D336D" w:rsidRDefault="007133B0" w:rsidP="007133B0">
      <w:pPr>
        <w:spacing w:after="0" w:line="240" w:lineRule="auto"/>
        <w:rPr>
          <w:sz w:val="18"/>
          <w:szCs w:val="18"/>
        </w:rPr>
      </w:pPr>
      <w:r w:rsidRPr="00863165">
        <w:rPr>
          <w:rStyle w:val="FootnoteReference"/>
          <w:rFonts w:ascii="Aptos" w:hAnsi="Aptos"/>
          <w:sz w:val="18"/>
          <w:szCs w:val="18"/>
        </w:rPr>
        <w:footnoteRef/>
      </w:r>
      <w:r w:rsidRPr="00863165">
        <w:rPr>
          <w:rFonts w:ascii="Aptos" w:hAnsi="Aptos"/>
          <w:sz w:val="18"/>
          <w:szCs w:val="18"/>
        </w:rPr>
        <w:t xml:space="preserve"> In Queensland, PCBUs must ensure HSRs undertake training </w:t>
      </w:r>
      <w:r w:rsidR="0083013F">
        <w:rPr>
          <w:rFonts w:ascii="Symbol" w:eastAsia="Symbol" w:hAnsi="Symbol" w:cs="Symbol"/>
          <w:sz w:val="18"/>
          <w:szCs w:val="18"/>
        </w:rPr>
        <w:t>-</w:t>
      </w:r>
      <w:r w:rsidRPr="00863165">
        <w:rPr>
          <w:rFonts w:ascii="Aptos" w:hAnsi="Aptos"/>
          <w:sz w:val="18"/>
          <w:szCs w:val="18"/>
        </w:rPr>
        <w:t xml:space="preserve"> see Qld WHS Act, s 72(1). Mandatory HSR training is not required under the model WHS laws. Also see Qld WHS Regulation, reg 21(2</w:t>
      </w:r>
      <w:r w:rsidRPr="00863165" w:rsidDel="00EB7A12">
        <w:rPr>
          <w:rFonts w:ascii="Aptos" w:hAnsi="Aptos"/>
          <w:sz w:val="18"/>
          <w:szCs w:val="18"/>
        </w:rPr>
        <w:t>)</w:t>
      </w:r>
      <w:r w:rsidRPr="00863165">
        <w:rPr>
          <w:rFonts w:ascii="Aptos" w:hAnsi="Aptos"/>
          <w:sz w:val="18"/>
          <w:szCs w:val="18"/>
        </w:rPr>
        <w:t xml:space="preserve"> and Vic OHS Act, ss 60 and 74.</w:t>
      </w:r>
    </w:p>
  </w:footnote>
  <w:footnote w:id="253">
    <w:p w14:paraId="71B1C91E" w14:textId="18464B2E" w:rsidR="007133B0" w:rsidRPr="00503B2E" w:rsidRDefault="007133B0" w:rsidP="007133B0">
      <w:pPr>
        <w:pStyle w:val="FootnoteText"/>
        <w:rPr>
          <w:szCs w:val="18"/>
        </w:rPr>
      </w:pPr>
      <w:r w:rsidRPr="00503B2E">
        <w:rPr>
          <w:rStyle w:val="FootnoteReference"/>
          <w:szCs w:val="18"/>
        </w:rPr>
        <w:footnoteRef/>
      </w:r>
      <w:r w:rsidRPr="00503B2E">
        <w:rPr>
          <w:szCs w:val="18"/>
        </w:rPr>
        <w:t xml:space="preserve"> In consultation with </w:t>
      </w:r>
      <w:r w:rsidRPr="00503B2E">
        <w:rPr>
          <w:rFonts w:eastAsia="MS Mincho"/>
          <w:szCs w:val="18"/>
        </w:rPr>
        <w:t xml:space="preserve">Unions NT (Consultation, September 2025), an attendee raised that PCBUs have specifically delayed training to prevent HSRs from issuing PINs. A similar sentiment of PCBU unwillingness to train HSRs was raised by the following stakeholders: </w:t>
      </w:r>
      <w:hyperlink r:id="rId205" w:history="1">
        <w:r w:rsidRPr="00503B2E">
          <w:rPr>
            <w:rStyle w:val="Hyperlink"/>
            <w:rFonts w:eastAsia="MS Mincho"/>
            <w:szCs w:val="18"/>
          </w:rPr>
          <w:t>SA Unions</w:t>
        </w:r>
      </w:hyperlink>
      <w:r w:rsidRPr="00503B2E">
        <w:rPr>
          <w:rFonts w:eastAsia="MS Mincho"/>
          <w:szCs w:val="18"/>
        </w:rPr>
        <w:t>, Submission, p 21; HSRs in Bunbury, Consultation, September 2025.</w:t>
      </w:r>
    </w:p>
  </w:footnote>
  <w:footnote w:id="254">
    <w:p w14:paraId="4C7D6993" w14:textId="77777777" w:rsidR="007133B0" w:rsidRPr="00503B2E" w:rsidRDefault="007133B0" w:rsidP="007133B0">
      <w:pPr>
        <w:pStyle w:val="FootnoteText"/>
        <w:rPr>
          <w:szCs w:val="18"/>
        </w:rPr>
      </w:pPr>
      <w:r w:rsidRPr="00503B2E">
        <w:rPr>
          <w:rStyle w:val="FootnoteReference"/>
          <w:szCs w:val="18"/>
        </w:rPr>
        <w:footnoteRef/>
      </w:r>
      <w:r w:rsidRPr="00503B2E">
        <w:rPr>
          <w:szCs w:val="18"/>
        </w:rPr>
        <w:t xml:space="preserve"> Model WHS Act, s 72(2)(b).</w:t>
      </w:r>
    </w:p>
  </w:footnote>
  <w:footnote w:id="255">
    <w:p w14:paraId="024818FA" w14:textId="1F01FC22" w:rsidR="007133B0" w:rsidRPr="00503B2E" w:rsidRDefault="007133B0" w:rsidP="007133B0">
      <w:pPr>
        <w:pStyle w:val="FootnoteText"/>
        <w:rPr>
          <w:szCs w:val="18"/>
        </w:rPr>
      </w:pPr>
      <w:r w:rsidRPr="00503B2E">
        <w:rPr>
          <w:rStyle w:val="FootnoteReference"/>
          <w:szCs w:val="18"/>
        </w:rPr>
        <w:footnoteRef/>
      </w:r>
      <w:r w:rsidRPr="00503B2E">
        <w:rPr>
          <w:szCs w:val="18"/>
        </w:rPr>
        <w:t xml:space="preserve"> </w:t>
      </w:r>
      <w:hyperlink r:id="rId206" w:history="1">
        <w:r w:rsidRPr="00503B2E">
          <w:rPr>
            <w:rStyle w:val="Hyperlink"/>
            <w:szCs w:val="18"/>
          </w:rPr>
          <w:t>ANMF Vic</w:t>
        </w:r>
      </w:hyperlink>
      <w:r w:rsidRPr="00503B2E">
        <w:t>,</w:t>
      </w:r>
      <w:r w:rsidRPr="00503B2E">
        <w:rPr>
          <w:szCs w:val="18"/>
        </w:rPr>
        <w:t xml:space="preserve"> Submission, p 17</w:t>
      </w:r>
      <w:r>
        <w:rPr>
          <w:szCs w:val="18"/>
        </w:rPr>
        <w:t>,</w:t>
      </w:r>
      <w:r w:rsidRPr="00503B2E">
        <w:rPr>
          <w:szCs w:val="18"/>
        </w:rPr>
        <w:t xml:space="preserve"> highlighted their survey results, which identified a lack of employer willingness to fund travel or time off for training, which is a particular barrier for HSRs in regional and remote areas. UnionsWA (Consultation, September 2025) noted HSRs are reluctant to attend courses if there is no payment or delayed reimbursement of attendance costs</w:t>
      </w:r>
      <w:r>
        <w:rPr>
          <w:szCs w:val="18"/>
        </w:rPr>
        <w:t xml:space="preserve"> </w:t>
      </w:r>
      <w:r w:rsidR="0083013F">
        <w:rPr>
          <w:rFonts w:ascii="Symbol" w:eastAsia="Symbol" w:hAnsi="Symbol" w:cs="Symbol"/>
          <w:szCs w:val="18"/>
        </w:rPr>
        <w:t>-</w:t>
      </w:r>
      <w:r>
        <w:rPr>
          <w:szCs w:val="18"/>
        </w:rPr>
        <w:t xml:space="preserve"> f</w:t>
      </w:r>
      <w:r w:rsidRPr="00503B2E">
        <w:rPr>
          <w:szCs w:val="18"/>
        </w:rPr>
        <w:t xml:space="preserve">or example, HSRs not being paid the </w:t>
      </w:r>
      <w:r>
        <w:rPr>
          <w:szCs w:val="18"/>
        </w:rPr>
        <w:t xml:space="preserve">fifth </w:t>
      </w:r>
      <w:r w:rsidRPr="00503B2E">
        <w:rPr>
          <w:szCs w:val="18"/>
        </w:rPr>
        <w:t xml:space="preserve">day of training because they are only rostered to work 4 days and workers on night shift not being paid allowances because they attend a training course during the day. A similar sentiment was raised by the </w:t>
      </w:r>
      <w:hyperlink r:id="rId207" w:history="1">
        <w:r w:rsidRPr="00503B2E">
          <w:rPr>
            <w:rStyle w:val="Hyperlink"/>
            <w:szCs w:val="18"/>
          </w:rPr>
          <w:t>ACTU</w:t>
        </w:r>
      </w:hyperlink>
      <w:r w:rsidRPr="00503B2E">
        <w:rPr>
          <w:szCs w:val="18"/>
        </w:rPr>
        <w:t xml:space="preserve"> (Submission, p 19).</w:t>
      </w:r>
    </w:p>
  </w:footnote>
  <w:footnote w:id="256">
    <w:p w14:paraId="22F2E9DE" w14:textId="77777777" w:rsidR="007133B0" w:rsidRPr="00503B2E" w:rsidRDefault="007133B0" w:rsidP="007133B0">
      <w:pPr>
        <w:pStyle w:val="FootnoteText"/>
        <w:rPr>
          <w:szCs w:val="18"/>
        </w:rPr>
      </w:pPr>
      <w:r w:rsidRPr="00503B2E">
        <w:rPr>
          <w:rStyle w:val="FootnoteReference"/>
          <w:szCs w:val="18"/>
        </w:rPr>
        <w:footnoteRef/>
      </w:r>
      <w:r w:rsidRPr="00503B2E">
        <w:rPr>
          <w:szCs w:val="18"/>
        </w:rPr>
        <w:t xml:space="preserve"> Model WHS Act, s</w:t>
      </w:r>
      <w:r>
        <w:rPr>
          <w:szCs w:val="18"/>
        </w:rPr>
        <w:t xml:space="preserve">s </w:t>
      </w:r>
      <w:r w:rsidRPr="00503B2E">
        <w:rPr>
          <w:szCs w:val="18"/>
        </w:rPr>
        <w:t>70(3) and</w:t>
      </w:r>
      <w:r w:rsidRPr="00503B2E" w:rsidDel="00E20E48">
        <w:rPr>
          <w:szCs w:val="18"/>
        </w:rPr>
        <w:t xml:space="preserve"> </w:t>
      </w:r>
      <w:r w:rsidRPr="00503B2E">
        <w:rPr>
          <w:szCs w:val="18"/>
        </w:rPr>
        <w:t>72(4).</w:t>
      </w:r>
    </w:p>
  </w:footnote>
  <w:footnote w:id="257">
    <w:p w14:paraId="5C02A238" w14:textId="77777777" w:rsidR="007133B0" w:rsidRPr="00503B2E" w:rsidRDefault="007133B0" w:rsidP="007133B0">
      <w:pPr>
        <w:pStyle w:val="FootnoteText"/>
        <w:rPr>
          <w:szCs w:val="18"/>
        </w:rPr>
      </w:pPr>
      <w:r w:rsidRPr="00503B2E">
        <w:rPr>
          <w:rStyle w:val="FootnoteReference"/>
          <w:szCs w:val="18"/>
        </w:rPr>
        <w:footnoteRef/>
      </w:r>
      <w:r w:rsidRPr="00503B2E">
        <w:rPr>
          <w:szCs w:val="18"/>
        </w:rPr>
        <w:t xml:space="preserve"> C Allen, C Massy and D Swan, </w:t>
      </w:r>
      <w:hyperlink r:id="rId208" w:history="1">
        <w:r w:rsidRPr="00503B2E">
          <w:rPr>
            <w:rStyle w:val="Hyperlink"/>
            <w:i/>
            <w:iCs/>
            <w:szCs w:val="18"/>
          </w:rPr>
          <w:t>Review of the Work Health and Safety Act 2011</w:t>
        </w:r>
      </w:hyperlink>
      <w:r w:rsidRPr="00503B2E">
        <w:rPr>
          <w:szCs w:val="18"/>
        </w:rPr>
        <w:t xml:space="preserve">, </w:t>
      </w:r>
      <w:r>
        <w:rPr>
          <w:szCs w:val="18"/>
        </w:rPr>
        <w:t xml:space="preserve">Queensland </w:t>
      </w:r>
      <w:r w:rsidRPr="00503B2E">
        <w:rPr>
          <w:szCs w:val="18"/>
        </w:rPr>
        <w:t xml:space="preserve">Government, 2022, p 49, </w:t>
      </w:r>
      <w:r>
        <w:rPr>
          <w:szCs w:val="18"/>
        </w:rPr>
        <w:t>R</w:t>
      </w:r>
      <w:r w:rsidRPr="00503B2E">
        <w:rPr>
          <w:szCs w:val="18"/>
        </w:rPr>
        <w:t xml:space="preserve">ecommendation 4D; </w:t>
      </w:r>
      <w:r w:rsidRPr="00BD4830">
        <w:rPr>
          <w:szCs w:val="18"/>
        </w:rPr>
        <w:t>Qld WHS Act</w:t>
      </w:r>
      <w:r w:rsidRPr="00503B2E">
        <w:rPr>
          <w:szCs w:val="18"/>
        </w:rPr>
        <w:t>, s</w:t>
      </w:r>
      <w:r>
        <w:rPr>
          <w:szCs w:val="18"/>
        </w:rPr>
        <w:t xml:space="preserve">s </w:t>
      </w:r>
      <w:r w:rsidRPr="00503B2E">
        <w:rPr>
          <w:szCs w:val="18"/>
        </w:rPr>
        <w:t>70(3) and 72(4).</w:t>
      </w:r>
    </w:p>
  </w:footnote>
  <w:footnote w:id="258">
    <w:p w14:paraId="6C163481" w14:textId="77777777" w:rsidR="007133B0" w:rsidRPr="00503B2E" w:rsidRDefault="007133B0" w:rsidP="007133B0">
      <w:pPr>
        <w:pStyle w:val="FootnoteText"/>
        <w:rPr>
          <w:rFonts w:cs="Arial"/>
          <w:szCs w:val="18"/>
        </w:rPr>
      </w:pPr>
      <w:r w:rsidRPr="00503B2E">
        <w:rPr>
          <w:rStyle w:val="FootnoteReference"/>
          <w:rFonts w:cs="Arial"/>
          <w:szCs w:val="18"/>
        </w:rPr>
        <w:footnoteRef/>
      </w:r>
      <w:r w:rsidRPr="00503B2E">
        <w:rPr>
          <w:rFonts w:cs="Arial"/>
          <w:szCs w:val="18"/>
        </w:rPr>
        <w:t xml:space="preserve"> M</w:t>
      </w:r>
      <w:r w:rsidRPr="00503B2E">
        <w:rPr>
          <w:szCs w:val="18"/>
        </w:rPr>
        <w:t>odel WHS Act</w:t>
      </w:r>
      <w:r w:rsidRPr="00503B2E">
        <w:rPr>
          <w:rFonts w:cs="Arial"/>
          <w:szCs w:val="18"/>
        </w:rPr>
        <w:t>, s</w:t>
      </w:r>
      <w:r>
        <w:rPr>
          <w:rFonts w:cs="Arial"/>
          <w:szCs w:val="18"/>
        </w:rPr>
        <w:t xml:space="preserve"> </w:t>
      </w:r>
      <w:r w:rsidRPr="00503B2E">
        <w:rPr>
          <w:rFonts w:cs="Arial"/>
          <w:szCs w:val="18"/>
        </w:rPr>
        <w:t>72(2).</w:t>
      </w:r>
    </w:p>
  </w:footnote>
  <w:footnote w:id="259">
    <w:p w14:paraId="2AE923DD" w14:textId="77777777" w:rsidR="007133B0" w:rsidRPr="00503B2E" w:rsidRDefault="007133B0" w:rsidP="007133B0">
      <w:pPr>
        <w:pStyle w:val="FootnoteText"/>
        <w:rPr>
          <w:rFonts w:cs="Arial"/>
          <w:szCs w:val="18"/>
        </w:rPr>
      </w:pPr>
      <w:r w:rsidRPr="00503B2E">
        <w:rPr>
          <w:rStyle w:val="FootnoteReference"/>
          <w:rFonts w:cs="Arial"/>
          <w:szCs w:val="18"/>
        </w:rPr>
        <w:footnoteRef/>
      </w:r>
      <w:r w:rsidRPr="00503B2E">
        <w:rPr>
          <w:rFonts w:cs="Arial"/>
          <w:szCs w:val="18"/>
        </w:rPr>
        <w:t xml:space="preserve"> UnionsWA, Consultation, September 2025; Unions NT, Consultation, September 2025.</w:t>
      </w:r>
    </w:p>
  </w:footnote>
  <w:footnote w:id="260">
    <w:p w14:paraId="4D119772" w14:textId="77777777" w:rsidR="007133B0" w:rsidRPr="00503B2E" w:rsidRDefault="007133B0" w:rsidP="007133B0">
      <w:pPr>
        <w:pStyle w:val="FootnoteText"/>
        <w:rPr>
          <w:rFonts w:cs="Arial"/>
          <w:szCs w:val="18"/>
        </w:rPr>
      </w:pPr>
      <w:r w:rsidRPr="00503B2E">
        <w:rPr>
          <w:rStyle w:val="FootnoteReference"/>
          <w:rFonts w:cs="Arial"/>
          <w:szCs w:val="18"/>
        </w:rPr>
        <w:footnoteRef/>
      </w:r>
      <w:r w:rsidRPr="00503B2E">
        <w:rPr>
          <w:rFonts w:cs="Arial"/>
          <w:szCs w:val="18"/>
        </w:rPr>
        <w:t xml:space="preserve"> For example</w:t>
      </w:r>
      <w:r>
        <w:rPr>
          <w:rFonts w:cs="Arial"/>
          <w:szCs w:val="18"/>
        </w:rPr>
        <w:t>,</w:t>
      </w:r>
      <w:r w:rsidRPr="00503B2E">
        <w:rPr>
          <w:rFonts w:cs="Arial"/>
          <w:szCs w:val="18"/>
        </w:rPr>
        <w:t xml:space="preserve"> Comcare, </w:t>
      </w:r>
      <w:hyperlink r:id="rId209" w:history="1">
        <w:r w:rsidRPr="00503B2E">
          <w:rPr>
            <w:rStyle w:val="Hyperlink"/>
            <w:rFonts w:cs="Arial"/>
            <w:i/>
            <w:szCs w:val="18"/>
          </w:rPr>
          <w:t xml:space="preserve">Health and </w:t>
        </w:r>
        <w:r>
          <w:rPr>
            <w:rStyle w:val="Hyperlink"/>
            <w:rFonts w:cs="Arial"/>
            <w:i/>
            <w:szCs w:val="18"/>
          </w:rPr>
          <w:t>s</w:t>
        </w:r>
        <w:r w:rsidRPr="00503B2E">
          <w:rPr>
            <w:rStyle w:val="Hyperlink"/>
            <w:rFonts w:cs="Arial"/>
            <w:i/>
            <w:szCs w:val="18"/>
          </w:rPr>
          <w:t xml:space="preserve">afety </w:t>
        </w:r>
        <w:r>
          <w:rPr>
            <w:rStyle w:val="Hyperlink"/>
            <w:rFonts w:cs="Arial"/>
            <w:i/>
            <w:szCs w:val="18"/>
          </w:rPr>
          <w:t>r</w:t>
        </w:r>
        <w:r w:rsidRPr="00503B2E">
          <w:rPr>
            <w:rStyle w:val="Hyperlink"/>
            <w:rFonts w:cs="Arial"/>
            <w:i/>
            <w:szCs w:val="18"/>
          </w:rPr>
          <w:t xml:space="preserve">epresentative (HSR) </w:t>
        </w:r>
        <w:r>
          <w:rPr>
            <w:rStyle w:val="Hyperlink"/>
            <w:rFonts w:cs="Arial"/>
            <w:i/>
            <w:szCs w:val="18"/>
          </w:rPr>
          <w:t>t</w:t>
        </w:r>
        <w:r w:rsidRPr="00503B2E">
          <w:rPr>
            <w:rStyle w:val="Hyperlink"/>
            <w:rFonts w:cs="Arial"/>
            <w:i/>
            <w:szCs w:val="18"/>
          </w:rPr>
          <w:t xml:space="preserve">raining </w:t>
        </w:r>
        <w:r>
          <w:rPr>
            <w:rStyle w:val="Hyperlink"/>
            <w:rFonts w:cs="Arial"/>
            <w:i/>
            <w:szCs w:val="18"/>
          </w:rPr>
          <w:t>c</w:t>
        </w:r>
        <w:r w:rsidRPr="00503B2E">
          <w:rPr>
            <w:rStyle w:val="Hyperlink"/>
            <w:rFonts w:cs="Arial"/>
            <w:i/>
            <w:szCs w:val="18"/>
          </w:rPr>
          <w:t xml:space="preserve">ourse </w:t>
        </w:r>
        <w:r>
          <w:rPr>
            <w:rStyle w:val="Hyperlink"/>
            <w:rFonts w:cs="Arial"/>
            <w:i/>
            <w:szCs w:val="18"/>
          </w:rPr>
          <w:t>r</w:t>
        </w:r>
        <w:r w:rsidRPr="00503B2E">
          <w:rPr>
            <w:rStyle w:val="Hyperlink"/>
            <w:rFonts w:cs="Arial"/>
            <w:i/>
            <w:szCs w:val="18"/>
          </w:rPr>
          <w:t>equirements</w:t>
        </w:r>
        <w:r>
          <w:rPr>
            <w:rStyle w:val="Hyperlink"/>
            <w:rFonts w:cs="Arial"/>
            <w:i/>
            <w:szCs w:val="18"/>
          </w:rPr>
          <w:t>:</w:t>
        </w:r>
        <w:r w:rsidRPr="00503B2E">
          <w:rPr>
            <w:rStyle w:val="Hyperlink"/>
            <w:rFonts w:cs="Arial"/>
            <w:i/>
            <w:szCs w:val="18"/>
          </w:rPr>
          <w:t xml:space="preserve"> </w:t>
        </w:r>
        <w:r>
          <w:rPr>
            <w:rStyle w:val="Hyperlink"/>
            <w:rFonts w:cs="Arial"/>
            <w:i/>
            <w:szCs w:val="18"/>
          </w:rPr>
          <w:t>guidance 2</w:t>
        </w:r>
      </w:hyperlink>
      <w:r>
        <w:rPr>
          <w:rFonts w:cs="Arial"/>
          <w:szCs w:val="18"/>
        </w:rPr>
        <w:t xml:space="preserve">, Comcare, </w:t>
      </w:r>
      <w:r w:rsidRPr="00503B2E">
        <w:rPr>
          <w:rFonts w:cs="Arial"/>
          <w:szCs w:val="18"/>
        </w:rPr>
        <w:t>December 2017</w:t>
      </w:r>
      <w:r>
        <w:rPr>
          <w:rFonts w:cs="Arial"/>
          <w:szCs w:val="18"/>
        </w:rPr>
        <w:t>, accessed 21 May 2026</w:t>
      </w:r>
      <w:r w:rsidRPr="00503B2E">
        <w:rPr>
          <w:rFonts w:cs="Arial"/>
          <w:szCs w:val="18"/>
        </w:rPr>
        <w:t xml:space="preserve">; and WorkSafe ACT, </w:t>
      </w:r>
      <w:hyperlink r:id="rId210" w:history="1">
        <w:r w:rsidRPr="00503B2E">
          <w:rPr>
            <w:rStyle w:val="Hyperlink"/>
            <w:rFonts w:cs="Arial"/>
            <w:i/>
            <w:szCs w:val="18"/>
          </w:rPr>
          <w:t>Underpinning principles and learning outcomes for development of a regulator-approved health and safety representatives training curriculum</w:t>
        </w:r>
      </w:hyperlink>
      <w:r w:rsidRPr="00503B2E">
        <w:t xml:space="preserve">, </w:t>
      </w:r>
      <w:r>
        <w:t xml:space="preserve">WorkSafe ACT, </w:t>
      </w:r>
      <w:r w:rsidRPr="00503B2E">
        <w:t>August 2025</w:t>
      </w:r>
      <w:r>
        <w:t>,</w:t>
      </w:r>
      <w:r w:rsidRPr="00503B2E" w:rsidDel="00147699">
        <w:t xml:space="preserve"> </w:t>
      </w:r>
      <w:r w:rsidRPr="00503B2E">
        <w:t>accessed 21 May 2026.</w:t>
      </w:r>
    </w:p>
  </w:footnote>
  <w:footnote w:id="261">
    <w:p w14:paraId="36EBD92A" w14:textId="0EC4E0AB" w:rsidR="007133B0" w:rsidRPr="003517DF" w:rsidRDefault="007133B0" w:rsidP="007133B0">
      <w:pPr>
        <w:pStyle w:val="FootnoteText"/>
        <w:rPr>
          <w:rFonts w:cs="Arial"/>
          <w:szCs w:val="18"/>
        </w:rPr>
      </w:pPr>
      <w:r w:rsidRPr="00503B2E">
        <w:rPr>
          <w:rStyle w:val="FootnoteReference"/>
          <w:rFonts w:cs="Arial"/>
          <w:szCs w:val="18"/>
        </w:rPr>
        <w:footnoteRef/>
      </w:r>
      <w:r w:rsidRPr="00503B2E">
        <w:rPr>
          <w:rFonts w:cs="Arial"/>
          <w:szCs w:val="18"/>
        </w:rPr>
        <w:t xml:space="preserve"> Comcare, </w:t>
      </w:r>
      <w:hyperlink r:id="rId211" w:history="1">
        <w:r w:rsidRPr="00503B2E">
          <w:rPr>
            <w:rStyle w:val="Hyperlink"/>
            <w:rFonts w:cs="Arial"/>
            <w:i/>
            <w:szCs w:val="18"/>
          </w:rPr>
          <w:t>Training providers</w:t>
        </w:r>
      </w:hyperlink>
      <w:r w:rsidRPr="00503B2E">
        <w:rPr>
          <w:rFonts w:cs="Arial"/>
          <w:szCs w:val="18"/>
        </w:rPr>
        <w:t>, Comcare website, n.d., accessed 8 May 2026; WorkSafe ACT</w:t>
      </w:r>
      <w:r w:rsidRPr="00503B2E">
        <w:rPr>
          <w:rFonts w:cs="Arial"/>
          <w:i/>
          <w:szCs w:val="18"/>
        </w:rPr>
        <w:t xml:space="preserve">, </w:t>
      </w:r>
      <w:hyperlink r:id="rId212" w:history="1">
        <w:r w:rsidRPr="002E140F">
          <w:rPr>
            <w:rStyle w:val="Hyperlink"/>
            <w:rFonts w:cs="Arial"/>
            <w:i/>
            <w:szCs w:val="18"/>
          </w:rPr>
          <w:t xml:space="preserve">Health and </w:t>
        </w:r>
        <w:r w:rsidR="00E81A10">
          <w:rPr>
            <w:rStyle w:val="Hyperlink"/>
            <w:rFonts w:cs="Arial"/>
            <w:i/>
            <w:szCs w:val="18"/>
          </w:rPr>
          <w:t>S</w:t>
        </w:r>
        <w:r w:rsidRPr="002E140F">
          <w:rPr>
            <w:rStyle w:val="Hyperlink"/>
            <w:rFonts w:cs="Arial"/>
            <w:i/>
            <w:szCs w:val="18"/>
          </w:rPr>
          <w:t xml:space="preserve">afety </w:t>
        </w:r>
        <w:r w:rsidR="00E81A10">
          <w:rPr>
            <w:rStyle w:val="Hyperlink"/>
            <w:rFonts w:cs="Arial"/>
            <w:i/>
            <w:szCs w:val="18"/>
          </w:rPr>
          <w:t>R</w:t>
        </w:r>
        <w:r w:rsidRPr="002E140F">
          <w:rPr>
            <w:rStyle w:val="Hyperlink"/>
            <w:rFonts w:cs="Arial"/>
            <w:i/>
            <w:szCs w:val="18"/>
          </w:rPr>
          <w:t xml:space="preserve">epresentative </w:t>
        </w:r>
        <w:r w:rsidR="00185698" w:rsidRPr="004215D6">
          <w:rPr>
            <w:rStyle w:val="Hyperlink"/>
            <w:rFonts w:cs="Arial"/>
            <w:i/>
            <w:szCs w:val="18"/>
          </w:rPr>
          <w:t>t</w:t>
        </w:r>
        <w:r w:rsidRPr="002E140F">
          <w:rPr>
            <w:rStyle w:val="Hyperlink"/>
            <w:rFonts w:cs="Arial"/>
            <w:i/>
            <w:szCs w:val="18"/>
          </w:rPr>
          <w:t>raining</w:t>
        </w:r>
      </w:hyperlink>
      <w:r w:rsidRPr="002E140F">
        <w:rPr>
          <w:rFonts w:cs="Arial"/>
          <w:szCs w:val="18"/>
        </w:rPr>
        <w:t>, WorkSafe</w:t>
      </w:r>
      <w:r w:rsidRPr="00503B2E">
        <w:rPr>
          <w:rFonts w:cs="Arial"/>
          <w:szCs w:val="18"/>
        </w:rPr>
        <w:t xml:space="preserve"> ACT website, n.d., accessed 8 May 2026; WorkSafe WA, </w:t>
      </w:r>
      <w:hyperlink r:id="rId213" w:history="1">
        <w:r w:rsidRPr="00503B2E">
          <w:rPr>
            <w:rStyle w:val="Hyperlink"/>
            <w:i/>
            <w:szCs w:val="18"/>
          </w:rPr>
          <w:t>Information for training providers</w:t>
        </w:r>
      </w:hyperlink>
      <w:r w:rsidRPr="00503B2E">
        <w:rPr>
          <w:rFonts w:cs="Arial"/>
          <w:szCs w:val="18"/>
        </w:rPr>
        <w:t xml:space="preserve">, WorkSafe WA website, 2025, accessed 8 May 2025; SafeWork NSW, </w:t>
      </w:r>
      <w:hyperlink r:id="rId214" w:history="1">
        <w:r w:rsidRPr="00503B2E">
          <w:rPr>
            <w:rStyle w:val="Hyperlink"/>
            <w:rFonts w:cs="Arial"/>
            <w:i/>
            <w:szCs w:val="18"/>
          </w:rPr>
          <w:t>HSR training providers</w:t>
        </w:r>
      </w:hyperlink>
      <w:r w:rsidRPr="00503B2E">
        <w:rPr>
          <w:rFonts w:cs="Arial"/>
          <w:szCs w:val="18"/>
        </w:rPr>
        <w:t>, SafeWork NSW website, n.d.</w:t>
      </w:r>
      <w:r>
        <w:rPr>
          <w:rFonts w:cs="Arial"/>
          <w:szCs w:val="18"/>
        </w:rPr>
        <w:t>,</w:t>
      </w:r>
      <w:r w:rsidRPr="00503B2E">
        <w:rPr>
          <w:rFonts w:cs="Arial"/>
          <w:szCs w:val="18"/>
        </w:rPr>
        <w:t xml:space="preserve"> accessed 8 May 2025.</w:t>
      </w:r>
    </w:p>
  </w:footnote>
  <w:footnote w:id="262">
    <w:p w14:paraId="2E3F7796" w14:textId="77777777" w:rsidR="008E4E91" w:rsidRPr="00503B2E" w:rsidRDefault="008E4E91" w:rsidP="008E4E91">
      <w:pPr>
        <w:pStyle w:val="FootnoteText"/>
      </w:pPr>
      <w:r w:rsidRPr="00503B2E">
        <w:rPr>
          <w:rStyle w:val="FootnoteReference"/>
        </w:rPr>
        <w:footnoteRef/>
      </w:r>
      <w:r w:rsidRPr="00503B2E">
        <w:t xml:space="preserve"> C Allen, C Massy and D Swan, </w:t>
      </w:r>
      <w:hyperlink r:id="rId215" w:history="1">
        <w:r w:rsidRPr="00503B2E">
          <w:rPr>
            <w:rStyle w:val="Hyperlink"/>
            <w:i/>
            <w:iCs/>
          </w:rPr>
          <w:t>Review of the Work Health and Safety Act 2011</w:t>
        </w:r>
      </w:hyperlink>
      <w:r w:rsidRPr="00503B2E">
        <w:t xml:space="preserve">, </w:t>
      </w:r>
      <w:r>
        <w:t xml:space="preserve">Queensland </w:t>
      </w:r>
      <w:r w:rsidRPr="00503B2E">
        <w:t>Government, 2022</w:t>
      </w:r>
      <w:r w:rsidRPr="00503B2E">
        <w:rPr>
          <w:szCs w:val="18"/>
        </w:rPr>
        <w:t>,</w:t>
      </w:r>
      <w:r w:rsidRPr="00503B2E">
        <w:rPr>
          <w:i/>
          <w:szCs w:val="18"/>
        </w:rPr>
        <w:t xml:space="preserve"> </w:t>
      </w:r>
      <w:r w:rsidRPr="00503B2E">
        <w:rPr>
          <w:rFonts w:eastAsia="Aptos" w:cstheme="minorHAnsi"/>
          <w:kern w:val="2"/>
          <w:szCs w:val="18"/>
          <w14:ligatures w14:val="standardContextual"/>
        </w:rPr>
        <w:t>p</w:t>
      </w:r>
      <w:r w:rsidRPr="00503B2E">
        <w:t xml:space="preserve"> 89.</w:t>
      </w:r>
    </w:p>
  </w:footnote>
  <w:footnote w:id="263">
    <w:p w14:paraId="0847F1CE" w14:textId="77777777" w:rsidR="00851147" w:rsidRPr="00503B2E" w:rsidRDefault="00851147" w:rsidP="00851147">
      <w:pPr>
        <w:pStyle w:val="FootnoteText"/>
        <w:rPr>
          <w:szCs w:val="18"/>
        </w:rPr>
      </w:pPr>
      <w:r w:rsidRPr="00503B2E">
        <w:rPr>
          <w:rStyle w:val="FootnoteReference"/>
          <w:szCs w:val="18"/>
        </w:rPr>
        <w:footnoteRef/>
      </w:r>
      <w:r w:rsidRPr="00503B2E">
        <w:rPr>
          <w:szCs w:val="18"/>
        </w:rPr>
        <w:t xml:space="preserve"> </w:t>
      </w:r>
      <w:hyperlink r:id="rId216" w:history="1">
        <w:r w:rsidRPr="00503B2E">
          <w:rPr>
            <w:rStyle w:val="Hyperlink"/>
            <w:rFonts w:cstheme="minorHAnsi"/>
            <w:szCs w:val="18"/>
          </w:rPr>
          <w:t>ACTU</w:t>
        </w:r>
      </w:hyperlink>
      <w:r w:rsidRPr="00503B2E">
        <w:rPr>
          <w:rFonts w:cstheme="minorHAnsi"/>
          <w:szCs w:val="18"/>
        </w:rPr>
        <w:t>, Submission, p 27.</w:t>
      </w:r>
    </w:p>
  </w:footnote>
  <w:footnote w:id="264">
    <w:p w14:paraId="4B1418B8" w14:textId="77777777" w:rsidR="00851147" w:rsidRPr="00503B2E" w:rsidRDefault="00851147" w:rsidP="00851147">
      <w:pPr>
        <w:pStyle w:val="FootnoteText"/>
        <w:rPr>
          <w:szCs w:val="18"/>
        </w:rPr>
      </w:pPr>
      <w:r w:rsidRPr="00503B2E">
        <w:rPr>
          <w:rStyle w:val="FootnoteReference"/>
          <w:szCs w:val="18"/>
        </w:rPr>
        <w:footnoteRef/>
      </w:r>
      <w:r w:rsidRPr="00503B2E">
        <w:rPr>
          <w:szCs w:val="18"/>
        </w:rPr>
        <w:t xml:space="preserve"> </w:t>
      </w:r>
      <w:hyperlink r:id="rId217" w:history="1">
        <w:r w:rsidRPr="00503B2E">
          <w:rPr>
            <w:rStyle w:val="Hyperlink"/>
            <w:rFonts w:cstheme="minorHAnsi"/>
            <w:szCs w:val="18"/>
          </w:rPr>
          <w:t>ACTU</w:t>
        </w:r>
      </w:hyperlink>
      <w:r w:rsidRPr="00503B2E">
        <w:rPr>
          <w:rFonts w:cstheme="minorHAnsi"/>
          <w:szCs w:val="18"/>
        </w:rPr>
        <w:t>, Submission, p</w:t>
      </w:r>
      <w:r>
        <w:rPr>
          <w:rFonts w:cstheme="minorHAnsi"/>
          <w:szCs w:val="18"/>
        </w:rPr>
        <w:t>p</w:t>
      </w:r>
      <w:r w:rsidRPr="00503B2E">
        <w:rPr>
          <w:rFonts w:cstheme="minorHAnsi"/>
          <w:szCs w:val="18"/>
        </w:rPr>
        <w:t xml:space="preserve"> 27–28.</w:t>
      </w:r>
    </w:p>
  </w:footnote>
  <w:footnote w:id="265">
    <w:p w14:paraId="5036BE36" w14:textId="77777777" w:rsidR="00C30DE4" w:rsidRPr="00503B2E" w:rsidRDefault="00C30DE4" w:rsidP="00C30DE4">
      <w:pPr>
        <w:pStyle w:val="FootnoteText"/>
        <w:rPr>
          <w:rFonts w:cstheme="minorHAnsi"/>
          <w:szCs w:val="18"/>
        </w:rPr>
      </w:pPr>
      <w:r w:rsidRPr="00503B2E">
        <w:rPr>
          <w:rStyle w:val="FootnoteReference"/>
          <w:rFonts w:cstheme="minorHAnsi"/>
          <w:szCs w:val="18"/>
        </w:rPr>
        <w:footnoteRef/>
      </w:r>
      <w:r w:rsidRPr="00503B2E">
        <w:rPr>
          <w:rFonts w:cstheme="minorHAnsi"/>
          <w:szCs w:val="18"/>
        </w:rPr>
        <w:t xml:space="preserve"> Model WHS Act, s 3(1)(c).</w:t>
      </w:r>
    </w:p>
  </w:footnote>
  <w:footnote w:id="266">
    <w:p w14:paraId="5F2BFCA1" w14:textId="65976D15" w:rsidR="00C30DE4" w:rsidRPr="00503B2E" w:rsidRDefault="00C30DE4" w:rsidP="00C30DE4">
      <w:pPr>
        <w:pStyle w:val="FootnoteText"/>
        <w:rPr>
          <w:rFonts w:cstheme="minorHAnsi"/>
          <w:szCs w:val="18"/>
        </w:rPr>
      </w:pPr>
      <w:r w:rsidRPr="00503B2E">
        <w:rPr>
          <w:rStyle w:val="FootnoteReference"/>
          <w:rFonts w:cstheme="minorHAnsi"/>
          <w:szCs w:val="18"/>
        </w:rPr>
        <w:footnoteRef/>
      </w:r>
      <w:r w:rsidRPr="00503B2E">
        <w:rPr>
          <w:rFonts w:cstheme="minorHAnsi"/>
          <w:szCs w:val="18"/>
        </w:rPr>
        <w:t xml:space="preserve"> Department of Employment and Workplace Relations, </w:t>
      </w:r>
      <w:hyperlink r:id="rId218" w:history="1">
        <w:r w:rsidRPr="00503B2E">
          <w:rPr>
            <w:rStyle w:val="Hyperlink"/>
            <w:rFonts w:cstheme="minorHAnsi"/>
            <w:i/>
            <w:szCs w:val="18"/>
          </w:rPr>
          <w:t xml:space="preserve">Blueprint for the </w:t>
        </w:r>
        <w:r w:rsidR="00312E4E">
          <w:rPr>
            <w:rStyle w:val="Hyperlink"/>
            <w:rFonts w:cstheme="minorHAnsi"/>
            <w:i/>
            <w:szCs w:val="18"/>
          </w:rPr>
          <w:t>f</w:t>
        </w:r>
        <w:r w:rsidRPr="00503B2E">
          <w:rPr>
            <w:rStyle w:val="Hyperlink"/>
            <w:rFonts w:cstheme="minorHAnsi"/>
            <w:i/>
            <w:szCs w:val="18"/>
          </w:rPr>
          <w:t>uture: A building and construction industry that works for everyone</w:t>
        </w:r>
      </w:hyperlink>
      <w:r w:rsidRPr="00503B2E">
        <w:rPr>
          <w:rFonts w:cstheme="minorHAnsi"/>
          <w:szCs w:val="18"/>
        </w:rPr>
        <w:t>, Australian Government, 2025, p 2.</w:t>
      </w:r>
    </w:p>
  </w:footnote>
  <w:footnote w:id="267">
    <w:p w14:paraId="35878342" w14:textId="124BC984" w:rsidR="00C30DE4" w:rsidRPr="00503B2E" w:rsidRDefault="00C30DE4" w:rsidP="00C30DE4">
      <w:pPr>
        <w:pStyle w:val="FootnoteText"/>
        <w:rPr>
          <w:rFonts w:cstheme="minorHAnsi"/>
          <w:szCs w:val="18"/>
        </w:rPr>
      </w:pPr>
      <w:r w:rsidRPr="00503B2E">
        <w:rPr>
          <w:rStyle w:val="FootnoteReference"/>
          <w:rFonts w:cstheme="minorHAnsi"/>
          <w:szCs w:val="18"/>
        </w:rPr>
        <w:footnoteRef/>
      </w:r>
      <w:r w:rsidRPr="00503B2E">
        <w:rPr>
          <w:rFonts w:cstheme="minorHAnsi"/>
          <w:szCs w:val="18"/>
        </w:rPr>
        <w:t xml:space="preserve"> Qld WHS Act, s 48</w:t>
      </w:r>
      <w:r>
        <w:rPr>
          <w:rFonts w:cstheme="minorHAnsi"/>
          <w:szCs w:val="18"/>
        </w:rPr>
        <w:t>,</w:t>
      </w:r>
      <w:r w:rsidRPr="00503B2E">
        <w:rPr>
          <w:rFonts w:cstheme="minorHAnsi"/>
          <w:szCs w:val="18"/>
        </w:rPr>
        <w:t xml:space="preserve"> as amended by </w:t>
      </w:r>
      <w:r w:rsidRPr="0077317D">
        <w:rPr>
          <w:i/>
          <w:iCs/>
          <w:szCs w:val="18"/>
        </w:rPr>
        <w:t xml:space="preserve">Work Health and Safety and Other Legislation Amendment </w:t>
      </w:r>
      <w:r w:rsidR="001B478A" w:rsidRPr="0077317D">
        <w:rPr>
          <w:i/>
          <w:iCs/>
          <w:szCs w:val="18"/>
        </w:rPr>
        <w:t xml:space="preserve">Act </w:t>
      </w:r>
      <w:r w:rsidRPr="0077317D">
        <w:rPr>
          <w:i/>
          <w:iCs/>
          <w:szCs w:val="18"/>
        </w:rPr>
        <w:t>202</w:t>
      </w:r>
      <w:r w:rsidR="001B478A" w:rsidRPr="0077317D">
        <w:rPr>
          <w:i/>
          <w:iCs/>
          <w:szCs w:val="18"/>
        </w:rPr>
        <w:t>4</w:t>
      </w:r>
      <w:r w:rsidRPr="00503B2E">
        <w:rPr>
          <w:rFonts w:cstheme="minorHAnsi"/>
          <w:szCs w:val="18"/>
        </w:rPr>
        <w:t xml:space="preserve"> </w:t>
      </w:r>
      <w:r w:rsidRPr="00503B2E">
        <w:rPr>
          <w:rFonts w:eastAsia="Aptos" w:cstheme="minorHAnsi"/>
          <w:kern w:val="2"/>
          <w:szCs w:val="18"/>
          <w14:ligatures w14:val="standardContextual"/>
        </w:rPr>
        <w:t xml:space="preserve">(Qld), cl 18; C Allen, C Massy and D Swan, </w:t>
      </w:r>
      <w:hyperlink r:id="rId219" w:history="1">
        <w:r w:rsidRPr="00503B2E">
          <w:rPr>
            <w:rStyle w:val="Hyperlink"/>
            <w:rFonts w:eastAsia="Aptos" w:cstheme="minorHAnsi"/>
            <w:i/>
            <w:iCs/>
            <w:kern w:val="2"/>
            <w:szCs w:val="18"/>
            <w14:ligatures w14:val="standardContextual"/>
          </w:rPr>
          <w:t>Review of the Work Health and Safety Act 2011</w:t>
        </w:r>
      </w:hyperlink>
      <w:r w:rsidRPr="00503B2E">
        <w:rPr>
          <w:rFonts w:eastAsia="Aptos" w:cstheme="minorHAnsi"/>
          <w:kern w:val="2"/>
          <w:szCs w:val="18"/>
          <w14:ligatures w14:val="standardContextual"/>
        </w:rPr>
        <w:t xml:space="preserve">, </w:t>
      </w:r>
      <w:r>
        <w:rPr>
          <w:rFonts w:eastAsia="Aptos" w:cstheme="minorHAnsi"/>
          <w:kern w:val="2"/>
          <w:szCs w:val="18"/>
          <w14:ligatures w14:val="standardContextual"/>
        </w:rPr>
        <w:t xml:space="preserve">Queensland </w:t>
      </w:r>
      <w:r w:rsidRPr="00503B2E">
        <w:rPr>
          <w:rFonts w:eastAsia="Aptos" w:cstheme="minorHAnsi"/>
          <w:kern w:val="2"/>
          <w:szCs w:val="18"/>
          <w14:ligatures w14:val="standardContextual"/>
        </w:rPr>
        <w:t>Government, 2022, pp 59</w:t>
      </w:r>
      <w:r w:rsidRPr="00503B2E">
        <w:rPr>
          <w:szCs w:val="18"/>
        </w:rPr>
        <w:t>–</w:t>
      </w:r>
      <w:r w:rsidRPr="00503B2E">
        <w:rPr>
          <w:rFonts w:eastAsia="Aptos" w:cstheme="minorHAnsi"/>
          <w:kern w:val="2"/>
          <w:szCs w:val="18"/>
          <w14:ligatures w14:val="standardContextual"/>
        </w:rPr>
        <w:t>60.</w:t>
      </w:r>
    </w:p>
  </w:footnote>
  <w:footnote w:id="268">
    <w:p w14:paraId="2AC33B7E" w14:textId="512A877F" w:rsidR="00C30DE4" w:rsidRPr="00503B2E" w:rsidRDefault="00C30DE4" w:rsidP="00C30DE4">
      <w:pPr>
        <w:pStyle w:val="FootnoteText"/>
        <w:rPr>
          <w:rFonts w:cs="Arial"/>
          <w:szCs w:val="18"/>
        </w:rPr>
      </w:pPr>
      <w:r w:rsidRPr="00503B2E">
        <w:rPr>
          <w:rStyle w:val="FootnoteReference"/>
        </w:rPr>
        <w:footnoteRef/>
      </w:r>
      <w:r w:rsidRPr="00503B2E">
        <w:t xml:space="preserve"> C Allen, C Massy and D Swan, </w:t>
      </w:r>
      <w:hyperlink r:id="rId220" w:history="1">
        <w:r w:rsidRPr="00503B2E">
          <w:rPr>
            <w:rStyle w:val="Hyperlink"/>
            <w:i/>
            <w:iCs/>
          </w:rPr>
          <w:t>Review of the Work Health and Safety Act 2011</w:t>
        </w:r>
      </w:hyperlink>
      <w:r w:rsidRPr="00503B2E">
        <w:t xml:space="preserve">, </w:t>
      </w:r>
      <w:r>
        <w:t xml:space="preserve">Queensland </w:t>
      </w:r>
      <w:r w:rsidRPr="00503B2E">
        <w:t>Government, 2022</w:t>
      </w:r>
      <w:r w:rsidRPr="00503B2E">
        <w:rPr>
          <w:rFonts w:eastAsia="Aptos" w:cs="Arial"/>
          <w:kern w:val="2"/>
          <w:szCs w:val="18"/>
          <w14:ligatures w14:val="standardContextual"/>
        </w:rPr>
        <w:t>, pp 59</w:t>
      </w:r>
      <w:r w:rsidRPr="00503B2E">
        <w:rPr>
          <w:szCs w:val="18"/>
        </w:rPr>
        <w:t>–</w:t>
      </w:r>
      <w:r w:rsidRPr="00503B2E">
        <w:rPr>
          <w:rFonts w:eastAsia="Aptos" w:cs="Arial"/>
          <w:kern w:val="2"/>
          <w:szCs w:val="18"/>
          <w14:ligatures w14:val="standardContextual"/>
        </w:rPr>
        <w:t>60.</w:t>
      </w:r>
    </w:p>
  </w:footnote>
  <w:footnote w:id="269">
    <w:p w14:paraId="1ECE1350" w14:textId="33B19953" w:rsidR="00C30DE4" w:rsidRPr="00503B2E" w:rsidRDefault="00C30DE4" w:rsidP="00C30DE4">
      <w:pPr>
        <w:pStyle w:val="FootnoteText"/>
        <w:rPr>
          <w:rFonts w:cs="Arial"/>
          <w:szCs w:val="18"/>
        </w:rPr>
      </w:pPr>
      <w:r w:rsidRPr="00503B2E">
        <w:rPr>
          <w:rStyle w:val="FootnoteReference"/>
          <w:rFonts w:cs="Arial"/>
          <w:szCs w:val="18"/>
        </w:rPr>
        <w:footnoteRef/>
      </w:r>
      <w:r w:rsidRPr="00503B2E">
        <w:rPr>
          <w:rFonts w:cs="Arial"/>
          <w:szCs w:val="18"/>
        </w:rPr>
        <w:t xml:space="preserve"> Under the model WHS Act, workers, if they choose, can be represented by their representative for work</w:t>
      </w:r>
      <w:r>
        <w:rPr>
          <w:rFonts w:cs="Arial"/>
          <w:szCs w:val="18"/>
        </w:rPr>
        <w:t xml:space="preserve"> </w:t>
      </w:r>
      <w:r w:rsidRPr="00503B2E">
        <w:rPr>
          <w:rFonts w:cs="Arial"/>
          <w:szCs w:val="18"/>
        </w:rPr>
        <w:t>group determination or issue resolution – see ss 52(1)(b) and 80(1)(c). A representative can include an HSR, union official or</w:t>
      </w:r>
      <w:r w:rsidRPr="00802CBD">
        <w:rPr>
          <w:rFonts w:cs="Arial"/>
          <w:szCs w:val="18"/>
        </w:rPr>
        <w:t xml:space="preserve"> other person – see s 4 </w:t>
      </w:r>
      <w:r w:rsidRPr="00503B2E">
        <w:rPr>
          <w:rFonts w:cs="Arial"/>
          <w:szCs w:val="18"/>
        </w:rPr>
        <w:t xml:space="preserve">for the definition of representative. The recommendation to give unions principal party status follows the </w:t>
      </w:r>
      <w:r w:rsidRPr="002F0368">
        <w:rPr>
          <w:szCs w:val="18"/>
        </w:rPr>
        <w:t>Q</w:t>
      </w:r>
      <w:r w:rsidRPr="00612FBA">
        <w:rPr>
          <w:iCs/>
          <w:szCs w:val="18"/>
        </w:rPr>
        <w:t>ld</w:t>
      </w:r>
      <w:r w:rsidR="0077317D">
        <w:rPr>
          <w:szCs w:val="18"/>
        </w:rPr>
        <w:t> </w:t>
      </w:r>
      <w:r w:rsidRPr="002F0368">
        <w:rPr>
          <w:szCs w:val="18"/>
        </w:rPr>
        <w:t>WHS Act</w:t>
      </w:r>
      <w:r w:rsidRPr="00503B2E">
        <w:rPr>
          <w:rFonts w:cs="Arial"/>
          <w:i/>
          <w:szCs w:val="18"/>
        </w:rPr>
        <w:t>,</w:t>
      </w:r>
      <w:r w:rsidRPr="00503B2E">
        <w:rPr>
          <w:rFonts w:cs="Arial"/>
          <w:szCs w:val="18"/>
        </w:rPr>
        <w:t xml:space="preserve"> s 52(4B) and (5B) – see </w:t>
      </w:r>
      <w:r w:rsidRPr="00503B2E">
        <w:rPr>
          <w:szCs w:val="18"/>
        </w:rPr>
        <w:t xml:space="preserve">C Allen, C Massy and D Swan, </w:t>
      </w:r>
      <w:hyperlink r:id="rId221" w:history="1">
        <w:r w:rsidRPr="00503B2E">
          <w:rPr>
            <w:rStyle w:val="Hyperlink"/>
            <w:i/>
            <w:iCs/>
            <w:szCs w:val="18"/>
          </w:rPr>
          <w:t>Review of the Work Health and Safety Act 2011</w:t>
        </w:r>
      </w:hyperlink>
      <w:r w:rsidRPr="00503B2E">
        <w:rPr>
          <w:szCs w:val="18"/>
        </w:rPr>
        <w:t xml:space="preserve">, </w:t>
      </w:r>
      <w:r>
        <w:rPr>
          <w:szCs w:val="18"/>
        </w:rPr>
        <w:t xml:space="preserve">Queensland </w:t>
      </w:r>
      <w:r w:rsidRPr="00503B2E">
        <w:rPr>
          <w:szCs w:val="18"/>
        </w:rPr>
        <w:t xml:space="preserve">Government, 2022, pp 38–39, </w:t>
      </w:r>
      <w:r>
        <w:rPr>
          <w:szCs w:val="18"/>
        </w:rPr>
        <w:t>R</w:t>
      </w:r>
      <w:r w:rsidRPr="00503B2E">
        <w:rPr>
          <w:szCs w:val="18"/>
        </w:rPr>
        <w:t>ecommendation 2.</w:t>
      </w:r>
    </w:p>
  </w:footnote>
  <w:footnote w:id="270">
    <w:p w14:paraId="62C7A2ED" w14:textId="77777777" w:rsidR="00C30DE4" w:rsidRPr="00503B2E" w:rsidRDefault="00C30DE4" w:rsidP="00C30DE4">
      <w:pPr>
        <w:pStyle w:val="FootnoteText"/>
        <w:rPr>
          <w:rFonts w:cs="Arial"/>
          <w:szCs w:val="18"/>
        </w:rPr>
      </w:pPr>
      <w:r w:rsidRPr="00503B2E">
        <w:rPr>
          <w:rStyle w:val="FootnoteReference"/>
          <w:rFonts w:cs="Arial"/>
          <w:szCs w:val="18"/>
        </w:rPr>
        <w:footnoteRef/>
      </w:r>
      <w:r w:rsidRPr="00503B2E">
        <w:rPr>
          <w:rFonts w:cs="Arial"/>
          <w:szCs w:val="18"/>
        </w:rPr>
        <w:t xml:space="preserve"> </w:t>
      </w:r>
      <w:r w:rsidRPr="00503B2E">
        <w:rPr>
          <w:szCs w:val="18"/>
        </w:rPr>
        <w:t>Qld WHS Act</w:t>
      </w:r>
      <w:r w:rsidRPr="00503B2E">
        <w:rPr>
          <w:rFonts w:cs="Arial"/>
          <w:szCs w:val="18"/>
        </w:rPr>
        <w:t>, s 80(1)</w:t>
      </w:r>
      <w:r>
        <w:rPr>
          <w:rFonts w:cs="Arial"/>
          <w:szCs w:val="18"/>
        </w:rPr>
        <w:t>,</w:t>
      </w:r>
      <w:r w:rsidRPr="00503B2E">
        <w:rPr>
          <w:rFonts w:cs="Arial"/>
          <w:szCs w:val="18"/>
        </w:rPr>
        <w:t xml:space="preserve"> as amended by </w:t>
      </w:r>
      <w:r w:rsidRPr="00503B2E">
        <w:rPr>
          <w:rFonts w:cs="Arial"/>
          <w:i/>
          <w:szCs w:val="18"/>
        </w:rPr>
        <w:t xml:space="preserve">Work Health and Safety and Other Legislation Amendment Act 2024 </w:t>
      </w:r>
      <w:r w:rsidRPr="00503B2E">
        <w:rPr>
          <w:rFonts w:cs="Arial"/>
          <w:szCs w:val="18"/>
        </w:rPr>
        <w:t xml:space="preserve">(Qld) cl 30. See also see </w:t>
      </w:r>
      <w:r w:rsidRPr="00503B2E">
        <w:rPr>
          <w:szCs w:val="18"/>
        </w:rPr>
        <w:t xml:space="preserve">C Allen, C Massy and D Swan, </w:t>
      </w:r>
      <w:hyperlink r:id="rId222" w:history="1">
        <w:r w:rsidRPr="00503B2E">
          <w:rPr>
            <w:rStyle w:val="Hyperlink"/>
            <w:i/>
            <w:iCs/>
            <w:szCs w:val="18"/>
          </w:rPr>
          <w:t>Review of the Work Health and Safety Act 2011</w:t>
        </w:r>
      </w:hyperlink>
      <w:r w:rsidRPr="00503B2E">
        <w:rPr>
          <w:szCs w:val="18"/>
        </w:rPr>
        <w:t xml:space="preserve">, </w:t>
      </w:r>
      <w:r>
        <w:rPr>
          <w:szCs w:val="18"/>
        </w:rPr>
        <w:t xml:space="preserve">Queensland </w:t>
      </w:r>
      <w:r w:rsidRPr="00503B2E">
        <w:rPr>
          <w:szCs w:val="18"/>
        </w:rPr>
        <w:t xml:space="preserve">Government, 2022, p 90, </w:t>
      </w:r>
      <w:r>
        <w:rPr>
          <w:szCs w:val="18"/>
        </w:rPr>
        <w:t>R</w:t>
      </w:r>
      <w:r w:rsidRPr="00503B2E">
        <w:rPr>
          <w:szCs w:val="18"/>
        </w:rPr>
        <w:t>ecommendation 18.</w:t>
      </w:r>
    </w:p>
  </w:footnote>
  <w:footnote w:id="271">
    <w:p w14:paraId="1FC24726" w14:textId="77777777" w:rsidR="00C30DE4" w:rsidRPr="00503B2E" w:rsidRDefault="00C30DE4" w:rsidP="00C30DE4">
      <w:pPr>
        <w:pStyle w:val="FootnoteText"/>
      </w:pPr>
      <w:r w:rsidRPr="00503B2E">
        <w:rPr>
          <w:rStyle w:val="FootnoteReference"/>
        </w:rPr>
        <w:footnoteRef/>
      </w:r>
      <w:r w:rsidRPr="00503B2E">
        <w:t xml:space="preserve"> C Allen, C Massy and D Swan, </w:t>
      </w:r>
      <w:hyperlink r:id="rId223" w:history="1">
        <w:r w:rsidRPr="00503B2E">
          <w:rPr>
            <w:rStyle w:val="Hyperlink"/>
            <w:i/>
            <w:iCs/>
          </w:rPr>
          <w:t>Review of the Work Health and Safety Act 2011</w:t>
        </w:r>
      </w:hyperlink>
      <w:r w:rsidRPr="00503B2E">
        <w:t xml:space="preserve">, </w:t>
      </w:r>
      <w:r>
        <w:t xml:space="preserve">Queensland </w:t>
      </w:r>
      <w:r w:rsidRPr="00503B2E">
        <w:t>Government, 2022, p 89.</w:t>
      </w:r>
    </w:p>
  </w:footnote>
  <w:footnote w:id="272">
    <w:p w14:paraId="50C87FCD" w14:textId="77777777" w:rsidR="000747C8" w:rsidRPr="00503B2E" w:rsidRDefault="000747C8" w:rsidP="000747C8">
      <w:pPr>
        <w:pStyle w:val="FootnoteText"/>
      </w:pPr>
      <w:r w:rsidRPr="00503B2E">
        <w:rPr>
          <w:rStyle w:val="FootnoteReference"/>
        </w:rPr>
        <w:footnoteRef/>
      </w:r>
      <w:r w:rsidRPr="00503B2E">
        <w:t xml:space="preserve"> Model WHS Act, s 84</w:t>
      </w:r>
      <w:r>
        <w:t>.</w:t>
      </w:r>
    </w:p>
  </w:footnote>
  <w:footnote w:id="273">
    <w:p w14:paraId="36DBBE14" w14:textId="77777777" w:rsidR="000747C8" w:rsidRPr="00503B2E" w:rsidRDefault="000747C8" w:rsidP="000747C8">
      <w:pPr>
        <w:pStyle w:val="FootnoteText"/>
      </w:pPr>
      <w:r w:rsidRPr="00503B2E">
        <w:rPr>
          <w:rStyle w:val="FootnoteReference"/>
        </w:rPr>
        <w:footnoteRef/>
      </w:r>
      <w:r w:rsidRPr="00503B2E">
        <w:t xml:space="preserve"> WA WHS Act, s 84(1)(b). </w:t>
      </w:r>
      <w:r w:rsidRPr="00503B2E">
        <w:rPr>
          <w:rFonts w:eastAsia="Arial" w:cs="Arial"/>
          <w:szCs w:val="22"/>
          <w:lang w:eastAsia="ja-JP"/>
        </w:rPr>
        <w:t xml:space="preserve">This amendment was examined by this Review following a recommendation of the </w:t>
      </w:r>
      <w:r>
        <w:rPr>
          <w:rFonts w:eastAsia="Arial" w:cs="Arial"/>
          <w:szCs w:val="22"/>
          <w:lang w:eastAsia="ja-JP"/>
        </w:rPr>
        <w:t xml:space="preserve">Ministerial Advisory Panel, </w:t>
      </w:r>
      <w:r w:rsidRPr="00503B2E">
        <w:rPr>
          <w:rFonts w:cs="Arial"/>
          <w:i/>
          <w:color w:val="000000" w:themeColor="text1"/>
        </w:rPr>
        <w:t>Modernising work health and safety laws in Western Australia</w:t>
      </w:r>
      <w:r w:rsidRPr="002F0368">
        <w:rPr>
          <w:rFonts w:cs="Arial"/>
          <w:color w:val="000000" w:themeColor="text1"/>
        </w:rPr>
        <w:t>,</w:t>
      </w:r>
      <w:r w:rsidRPr="00503B2E">
        <w:rPr>
          <w:rFonts w:cs="Arial"/>
          <w:i/>
          <w:color w:val="000000" w:themeColor="text1"/>
        </w:rPr>
        <w:t xml:space="preserve"> </w:t>
      </w:r>
      <w:r>
        <w:rPr>
          <w:rFonts w:cs="Arial"/>
          <w:iCs/>
          <w:color w:val="000000" w:themeColor="text1"/>
        </w:rPr>
        <w:t xml:space="preserve">WA Government, </w:t>
      </w:r>
      <w:r w:rsidRPr="00503B2E">
        <w:rPr>
          <w:rFonts w:cs="Arial"/>
        </w:rPr>
        <w:t>2017</w:t>
      </w:r>
      <w:r>
        <w:rPr>
          <w:rFonts w:cs="Arial"/>
        </w:rPr>
        <w:t>;</w:t>
      </w:r>
      <w:r w:rsidRPr="00503B2E">
        <w:rPr>
          <w:rFonts w:eastAsia="Arial" w:cs="Arial"/>
          <w:i/>
          <w:szCs w:val="22"/>
          <w:lang w:eastAsia="ja-JP"/>
        </w:rPr>
        <w:t xml:space="preserve"> </w:t>
      </w:r>
      <w:r w:rsidRPr="00503B2E">
        <w:rPr>
          <w:rFonts w:eastAsia="Arial" w:cs="Arial"/>
          <w:szCs w:val="22"/>
          <w:lang w:eastAsia="ja-JP"/>
        </w:rPr>
        <w:t xml:space="preserve">and </w:t>
      </w:r>
      <w:r w:rsidRPr="00C24046">
        <w:rPr>
          <w:rFonts w:eastAsia="Arial" w:cs="Arial"/>
          <w:i/>
          <w:iCs/>
          <w:szCs w:val="22"/>
          <w:lang w:eastAsia="ja-JP"/>
        </w:rPr>
        <w:t>2008 National Review</w:t>
      </w:r>
      <w:r w:rsidRPr="00503B2E">
        <w:rPr>
          <w:rFonts w:eastAsia="Arial" w:cs="Arial"/>
          <w:szCs w:val="22"/>
          <w:lang w:eastAsia="ja-JP"/>
        </w:rPr>
        <w:t>.</w:t>
      </w:r>
    </w:p>
  </w:footnote>
  <w:footnote w:id="274">
    <w:p w14:paraId="2717E09B" w14:textId="77777777" w:rsidR="000747C8" w:rsidRPr="00503B2E" w:rsidRDefault="000747C8" w:rsidP="000747C8">
      <w:pPr>
        <w:pStyle w:val="FootnoteText"/>
        <w:rPr>
          <w:rFonts w:cs="Arial"/>
          <w:sz w:val="16"/>
          <w:szCs w:val="16"/>
        </w:rPr>
      </w:pPr>
      <w:r w:rsidRPr="00503B2E">
        <w:rPr>
          <w:rStyle w:val="FootnoteReference"/>
          <w:rFonts w:cs="Arial"/>
        </w:rPr>
        <w:footnoteRef/>
      </w:r>
      <w:r w:rsidRPr="00503B2E">
        <w:rPr>
          <w:rFonts w:cs="Arial"/>
        </w:rPr>
        <w:t xml:space="preserve"> </w:t>
      </w:r>
      <w:r>
        <w:rPr>
          <w:rFonts w:cs="Arial"/>
        </w:rPr>
        <w:t>Ministerial Advisory Panel</w:t>
      </w:r>
      <w:r w:rsidRPr="00503B2E">
        <w:rPr>
          <w:rFonts w:cs="Arial"/>
          <w:szCs w:val="18"/>
        </w:rPr>
        <w:t xml:space="preserve">, </w:t>
      </w:r>
      <w:r w:rsidRPr="00503B2E">
        <w:rPr>
          <w:rFonts w:cs="Arial"/>
          <w:i/>
          <w:color w:val="000000" w:themeColor="text1"/>
          <w:szCs w:val="18"/>
        </w:rPr>
        <w:t>Modernising work health and safety laws in Western Australia</w:t>
      </w:r>
      <w:r w:rsidRPr="002F0368">
        <w:rPr>
          <w:rFonts w:cs="Arial"/>
          <w:color w:val="000000" w:themeColor="text1"/>
          <w:szCs w:val="18"/>
        </w:rPr>
        <w:t xml:space="preserve">, </w:t>
      </w:r>
      <w:r>
        <w:rPr>
          <w:rFonts w:cs="Arial"/>
          <w:iCs/>
          <w:color w:val="000000" w:themeColor="text1"/>
          <w:szCs w:val="18"/>
        </w:rPr>
        <w:t>WA Government</w:t>
      </w:r>
      <w:r w:rsidRPr="00612FBA">
        <w:rPr>
          <w:rFonts w:cs="Arial"/>
          <w:iCs/>
          <w:szCs w:val="18"/>
        </w:rPr>
        <w:t>,</w:t>
      </w:r>
      <w:r w:rsidRPr="00503B2E">
        <w:rPr>
          <w:rFonts w:cs="Arial"/>
          <w:szCs w:val="18"/>
        </w:rPr>
        <w:t xml:space="preserve"> 2017</w:t>
      </w:r>
      <w:r>
        <w:rPr>
          <w:rFonts w:cs="Arial"/>
          <w:szCs w:val="18"/>
        </w:rPr>
        <w:t>,</w:t>
      </w:r>
      <w:r w:rsidRPr="00503B2E">
        <w:rPr>
          <w:rFonts w:cs="Arial"/>
          <w:szCs w:val="18"/>
        </w:rPr>
        <w:t xml:space="preserve"> </w:t>
      </w:r>
      <w:r>
        <w:rPr>
          <w:rFonts w:cs="Arial"/>
          <w:szCs w:val="18"/>
        </w:rPr>
        <w:t>R</w:t>
      </w:r>
      <w:r w:rsidRPr="00503B2E">
        <w:rPr>
          <w:rFonts w:cs="Arial"/>
          <w:szCs w:val="18"/>
        </w:rPr>
        <w:t xml:space="preserve">ecommendation </w:t>
      </w:r>
      <w:r w:rsidRPr="00503B2E">
        <w:rPr>
          <w:rFonts w:cs="Arial"/>
          <w:szCs w:val="18"/>
          <w:lang w:val="en-GB"/>
        </w:rPr>
        <w:t>16.</w:t>
      </w:r>
    </w:p>
  </w:footnote>
  <w:footnote w:id="275">
    <w:p w14:paraId="290AA70F" w14:textId="77777777" w:rsidR="003E50A9" w:rsidRDefault="003E50A9" w:rsidP="003E50A9">
      <w:pPr>
        <w:pStyle w:val="FootnoteText"/>
      </w:pPr>
      <w:r w:rsidRPr="00503B2E">
        <w:rPr>
          <w:rStyle w:val="FootnoteReference"/>
        </w:rPr>
        <w:footnoteRef/>
      </w:r>
      <w:r w:rsidRPr="00503B2E">
        <w:t xml:space="preserve"> </w:t>
      </w:r>
      <w:r w:rsidRPr="00503B2E">
        <w:rPr>
          <w:rFonts w:cs="Arial"/>
          <w:szCs w:val="18"/>
        </w:rPr>
        <w:t>Model WHS Act, s 84.</w:t>
      </w:r>
    </w:p>
  </w:footnote>
  <w:footnote w:id="276">
    <w:p w14:paraId="65483E1F" w14:textId="77777777" w:rsidR="005824A7" w:rsidRPr="00503B2E" w:rsidRDefault="005824A7" w:rsidP="005824A7">
      <w:pPr>
        <w:pStyle w:val="FootnoteText"/>
        <w:rPr>
          <w:rFonts w:cstheme="minorHAnsi"/>
          <w:szCs w:val="18"/>
        </w:rPr>
      </w:pPr>
      <w:r w:rsidRPr="00503B2E">
        <w:rPr>
          <w:rStyle w:val="FootnoteReference"/>
          <w:rFonts w:cstheme="minorHAnsi"/>
          <w:szCs w:val="18"/>
        </w:rPr>
        <w:footnoteRef/>
      </w:r>
      <w:r w:rsidRPr="00503B2E">
        <w:rPr>
          <w:rFonts w:cstheme="minorHAnsi"/>
          <w:szCs w:val="18"/>
        </w:rPr>
        <w:t xml:space="preserve"> Model WHS Act, s 104(1).</w:t>
      </w:r>
    </w:p>
  </w:footnote>
  <w:footnote w:id="277">
    <w:p w14:paraId="1F84173D" w14:textId="77777777" w:rsidR="005824A7" w:rsidRPr="00503B2E" w:rsidRDefault="005824A7" w:rsidP="005824A7">
      <w:pPr>
        <w:pStyle w:val="FootnoteText"/>
        <w:rPr>
          <w:rFonts w:cstheme="minorHAnsi"/>
          <w:szCs w:val="18"/>
        </w:rPr>
      </w:pPr>
      <w:r w:rsidRPr="00503B2E">
        <w:rPr>
          <w:rStyle w:val="FootnoteReference"/>
          <w:rFonts w:cstheme="minorHAnsi"/>
          <w:szCs w:val="18"/>
        </w:rPr>
        <w:footnoteRef/>
      </w:r>
      <w:r w:rsidRPr="00503B2E">
        <w:rPr>
          <w:rFonts w:cstheme="minorHAnsi"/>
          <w:szCs w:val="18"/>
        </w:rPr>
        <w:t xml:space="preserve"> Model WHS Act, ss 105–106.</w:t>
      </w:r>
    </w:p>
  </w:footnote>
  <w:footnote w:id="278">
    <w:p w14:paraId="40A669CA" w14:textId="77777777" w:rsidR="00FB0951" w:rsidRPr="00503B2E" w:rsidRDefault="00FB0951" w:rsidP="00FB0951">
      <w:pPr>
        <w:pStyle w:val="FootnoteText"/>
        <w:rPr>
          <w:rFonts w:cstheme="minorHAnsi"/>
          <w:szCs w:val="18"/>
        </w:rPr>
      </w:pPr>
      <w:r w:rsidRPr="00503B2E">
        <w:rPr>
          <w:rStyle w:val="FootnoteReference"/>
          <w:rFonts w:cstheme="minorHAnsi"/>
          <w:szCs w:val="18"/>
        </w:rPr>
        <w:footnoteRef/>
      </w:r>
      <w:r w:rsidRPr="00503B2E">
        <w:rPr>
          <w:rFonts w:cstheme="minorHAnsi"/>
          <w:szCs w:val="18"/>
        </w:rPr>
        <w:t xml:space="preserve"> </w:t>
      </w:r>
      <w:hyperlink r:id="rId224" w:history="1">
        <w:r w:rsidRPr="00503B2E">
          <w:rPr>
            <w:rStyle w:val="Hyperlink"/>
            <w:rFonts w:cstheme="minorHAnsi"/>
            <w:szCs w:val="18"/>
          </w:rPr>
          <w:t>ACTU</w:t>
        </w:r>
      </w:hyperlink>
      <w:r w:rsidRPr="00503B2E">
        <w:rPr>
          <w:rFonts w:cstheme="minorHAnsi"/>
          <w:szCs w:val="18"/>
        </w:rPr>
        <w:t xml:space="preserve">, Submission, p 21; MUA, Consultation, September 2025; </w:t>
      </w:r>
      <w:hyperlink r:id="rId225" w:history="1">
        <w:r>
          <w:rPr>
            <w:rStyle w:val="Hyperlink"/>
            <w:rFonts w:cstheme="minorHAnsi"/>
            <w:szCs w:val="18"/>
          </w:rPr>
          <w:t>Queensland Council</w:t>
        </w:r>
        <w:r w:rsidRPr="00503B2E">
          <w:rPr>
            <w:rStyle w:val="Hyperlink"/>
            <w:rFonts w:cstheme="minorHAnsi"/>
            <w:szCs w:val="18"/>
          </w:rPr>
          <w:t xml:space="preserve"> of Unions</w:t>
        </w:r>
      </w:hyperlink>
      <w:r w:rsidRPr="00503B2E">
        <w:rPr>
          <w:rFonts w:cstheme="minorHAnsi"/>
          <w:szCs w:val="18"/>
        </w:rPr>
        <w:t xml:space="preserve">, Submission, p 21; VTHC, Consultation, September 2025; AMWU, Consultation, September 2025; </w:t>
      </w:r>
      <w:hyperlink r:id="rId226" w:history="1">
        <w:r w:rsidRPr="00503B2E">
          <w:rPr>
            <w:rStyle w:val="Hyperlink"/>
            <w:rFonts w:cstheme="minorHAnsi"/>
            <w:szCs w:val="18"/>
          </w:rPr>
          <w:t>AMWU</w:t>
        </w:r>
      </w:hyperlink>
      <w:r w:rsidRPr="00503B2E">
        <w:rPr>
          <w:rFonts w:cstheme="minorHAnsi"/>
          <w:szCs w:val="18"/>
        </w:rPr>
        <w:t>, Submission, pp 6</w:t>
      </w:r>
      <w:r w:rsidRPr="00503B2E">
        <w:rPr>
          <w:szCs w:val="18"/>
        </w:rPr>
        <w:t>–</w:t>
      </w:r>
      <w:r w:rsidRPr="00503B2E">
        <w:rPr>
          <w:rFonts w:cstheme="minorHAnsi"/>
          <w:szCs w:val="18"/>
        </w:rPr>
        <w:t xml:space="preserve">7; </w:t>
      </w:r>
      <w:hyperlink r:id="rId227" w:history="1">
        <w:r w:rsidRPr="00503B2E">
          <w:rPr>
            <w:rStyle w:val="Hyperlink"/>
            <w:rFonts w:cstheme="minorHAnsi"/>
            <w:szCs w:val="18"/>
          </w:rPr>
          <w:t>SA Unions</w:t>
        </w:r>
      </w:hyperlink>
      <w:r w:rsidRPr="00503B2E">
        <w:rPr>
          <w:rFonts w:cstheme="minorHAnsi"/>
          <w:szCs w:val="18"/>
        </w:rPr>
        <w:t>, Submission, pp 23</w:t>
      </w:r>
      <w:r w:rsidRPr="00503B2E">
        <w:rPr>
          <w:szCs w:val="18"/>
        </w:rPr>
        <w:t>–</w:t>
      </w:r>
      <w:r w:rsidRPr="00503B2E">
        <w:rPr>
          <w:rFonts w:cstheme="minorHAnsi"/>
          <w:szCs w:val="18"/>
        </w:rPr>
        <w:t xml:space="preserve">24; National HSR meeting, Consultation, October 2025. </w:t>
      </w:r>
      <w:hyperlink r:id="rId228" w:history="1">
        <w:r w:rsidRPr="00503B2E">
          <w:rPr>
            <w:rStyle w:val="Hyperlink"/>
            <w:rFonts w:cstheme="minorHAnsi"/>
            <w:szCs w:val="18"/>
          </w:rPr>
          <w:t>ANMF Vic</w:t>
        </w:r>
        <w:r w:rsidRPr="00503B2E">
          <w:rPr>
            <w:rStyle w:val="Hyperlink"/>
          </w:rPr>
          <w:t xml:space="preserve"> (Branch)</w:t>
        </w:r>
      </w:hyperlink>
      <w:r w:rsidRPr="00503B2E">
        <w:rPr>
          <w:rFonts w:cstheme="minorHAnsi"/>
          <w:szCs w:val="18"/>
        </w:rPr>
        <w:t>, Submission, pp 8</w:t>
      </w:r>
      <w:r w:rsidRPr="00503B2E">
        <w:rPr>
          <w:szCs w:val="18"/>
        </w:rPr>
        <w:t>–</w:t>
      </w:r>
      <w:r w:rsidRPr="002F17B5">
        <w:rPr>
          <w:rFonts w:cstheme="minorHAnsi"/>
          <w:szCs w:val="18"/>
        </w:rPr>
        <w:t>12; UnionsACT,</w:t>
      </w:r>
      <w:r w:rsidRPr="00503B2E">
        <w:rPr>
          <w:rFonts w:cstheme="minorHAnsi"/>
          <w:szCs w:val="18"/>
        </w:rPr>
        <w:t xml:space="preserve"> Consultation, September 2025; </w:t>
      </w:r>
      <w:hyperlink r:id="rId229" w:history="1">
        <w:r w:rsidRPr="00503B2E">
          <w:rPr>
            <w:rStyle w:val="Hyperlink"/>
            <w:szCs w:val="18"/>
          </w:rPr>
          <w:t>Shop, Distributive and Allied Employees Association</w:t>
        </w:r>
      </w:hyperlink>
      <w:r w:rsidRPr="00503B2E">
        <w:rPr>
          <w:rFonts w:cstheme="minorHAnsi"/>
          <w:szCs w:val="18"/>
        </w:rPr>
        <w:t>, Submission, p 5; Unions NT, Consultation, September 2025.</w:t>
      </w:r>
    </w:p>
  </w:footnote>
  <w:footnote w:id="279">
    <w:p w14:paraId="4B354F03" w14:textId="77777777" w:rsidR="00FB0951" w:rsidRPr="00503B2E" w:rsidRDefault="00FB0951" w:rsidP="00FB0951">
      <w:pPr>
        <w:pStyle w:val="FootnoteText"/>
        <w:rPr>
          <w:rFonts w:cstheme="minorHAnsi"/>
          <w:szCs w:val="18"/>
        </w:rPr>
      </w:pPr>
      <w:r w:rsidRPr="00503B2E">
        <w:rPr>
          <w:rStyle w:val="FootnoteReference"/>
          <w:rFonts w:cstheme="minorHAnsi"/>
          <w:szCs w:val="18"/>
        </w:rPr>
        <w:footnoteRef/>
      </w:r>
      <w:r w:rsidRPr="00503B2E">
        <w:rPr>
          <w:rFonts w:cstheme="minorHAnsi"/>
          <w:szCs w:val="18"/>
        </w:rPr>
        <w:t xml:space="preserve"> </w:t>
      </w:r>
      <w:hyperlink r:id="rId230" w:history="1">
        <w:r w:rsidRPr="00503B2E">
          <w:rPr>
            <w:rStyle w:val="Hyperlink"/>
            <w:rFonts w:cstheme="minorHAnsi"/>
            <w:szCs w:val="18"/>
          </w:rPr>
          <w:t>ACTU</w:t>
        </w:r>
      </w:hyperlink>
      <w:r w:rsidRPr="00503B2E">
        <w:rPr>
          <w:rFonts w:cstheme="minorHAnsi"/>
          <w:szCs w:val="18"/>
        </w:rPr>
        <w:t>, Submission, p 21.</w:t>
      </w:r>
    </w:p>
  </w:footnote>
  <w:footnote w:id="280">
    <w:p w14:paraId="5724FDC1" w14:textId="77777777" w:rsidR="00FB0951" w:rsidRPr="00503B2E" w:rsidRDefault="00FB0951" w:rsidP="00FB0951">
      <w:pPr>
        <w:pStyle w:val="FootnoteText"/>
        <w:rPr>
          <w:szCs w:val="18"/>
        </w:rPr>
      </w:pPr>
      <w:r w:rsidRPr="00503B2E">
        <w:rPr>
          <w:rStyle w:val="FootnoteReference"/>
          <w:szCs w:val="18"/>
        </w:rPr>
        <w:footnoteRef/>
      </w:r>
      <w:r w:rsidRPr="00503B2E">
        <w:rPr>
          <w:szCs w:val="18"/>
        </w:rPr>
        <w:t xml:space="preserve"> </w:t>
      </w:r>
      <w:r w:rsidRPr="009A30AA">
        <w:rPr>
          <w:szCs w:val="18"/>
        </w:rPr>
        <w:t>Qld WHS Ac</w:t>
      </w:r>
      <w:r w:rsidRPr="00612FBA">
        <w:rPr>
          <w:iCs/>
          <w:szCs w:val="18"/>
        </w:rPr>
        <w:t>t</w:t>
      </w:r>
      <w:r w:rsidRPr="00503B2E">
        <w:rPr>
          <w:rFonts w:cstheme="minorHAnsi"/>
          <w:szCs w:val="18"/>
        </w:rPr>
        <w:t>, s 105</w:t>
      </w:r>
      <w:r>
        <w:rPr>
          <w:rFonts w:cstheme="minorHAnsi"/>
          <w:szCs w:val="18"/>
        </w:rPr>
        <w:t>,</w:t>
      </w:r>
      <w:r w:rsidRPr="00503B2E">
        <w:rPr>
          <w:rFonts w:cstheme="minorHAnsi"/>
          <w:szCs w:val="18"/>
        </w:rPr>
        <w:t xml:space="preserve"> as amended by </w:t>
      </w:r>
      <w:r w:rsidRPr="00503B2E">
        <w:rPr>
          <w:rFonts w:cstheme="minorHAnsi"/>
          <w:i/>
          <w:szCs w:val="18"/>
        </w:rPr>
        <w:t xml:space="preserve">Work Health and Safety and Other Legislation Amendment Act 2024 </w:t>
      </w:r>
      <w:r w:rsidRPr="00503B2E">
        <w:rPr>
          <w:rFonts w:cstheme="minorHAnsi"/>
          <w:szCs w:val="18"/>
        </w:rPr>
        <w:t>(Qld)</w:t>
      </w:r>
      <w:r>
        <w:rPr>
          <w:rFonts w:cstheme="minorHAnsi"/>
          <w:szCs w:val="18"/>
        </w:rPr>
        <w:t>,</w:t>
      </w:r>
      <w:r w:rsidRPr="00503B2E">
        <w:rPr>
          <w:rFonts w:cstheme="minorHAnsi"/>
          <w:szCs w:val="18"/>
        </w:rPr>
        <w:t xml:space="preserve"> cl 30; C</w:t>
      </w:r>
      <w:r>
        <w:rPr>
          <w:rFonts w:cstheme="minorHAnsi"/>
          <w:szCs w:val="18"/>
        </w:rPr>
        <w:t> </w:t>
      </w:r>
      <w:r w:rsidRPr="00503B2E">
        <w:rPr>
          <w:rFonts w:cstheme="minorHAnsi"/>
          <w:szCs w:val="18"/>
        </w:rPr>
        <w:t xml:space="preserve">Allen, C Massy and D Swan, </w:t>
      </w:r>
      <w:hyperlink r:id="rId231" w:history="1">
        <w:r w:rsidRPr="00503B2E">
          <w:rPr>
            <w:rStyle w:val="Hyperlink"/>
            <w:rFonts w:cstheme="minorHAnsi"/>
            <w:i/>
            <w:iCs/>
            <w:szCs w:val="18"/>
          </w:rPr>
          <w:t>Review of the Work Health and Safety Act 2011</w:t>
        </w:r>
      </w:hyperlink>
      <w:r w:rsidRPr="00503B2E">
        <w:rPr>
          <w:rFonts w:cstheme="minorHAnsi"/>
          <w:szCs w:val="18"/>
        </w:rPr>
        <w:t xml:space="preserve">, </w:t>
      </w:r>
      <w:r>
        <w:rPr>
          <w:rFonts w:cstheme="minorHAnsi"/>
          <w:szCs w:val="18"/>
        </w:rPr>
        <w:t xml:space="preserve">Queensland </w:t>
      </w:r>
      <w:r w:rsidRPr="00503B2E">
        <w:rPr>
          <w:rFonts w:cstheme="minorHAnsi"/>
          <w:szCs w:val="18"/>
        </w:rPr>
        <w:t>Government, 2022</w:t>
      </w:r>
      <w:r w:rsidRPr="00503B2E">
        <w:rPr>
          <w:szCs w:val="18"/>
        </w:rPr>
        <w:t xml:space="preserve">, p 57, </w:t>
      </w:r>
      <w:r>
        <w:rPr>
          <w:rFonts w:cstheme="minorHAnsi"/>
          <w:szCs w:val="18"/>
        </w:rPr>
        <w:t>R</w:t>
      </w:r>
      <w:r w:rsidRPr="00503B2E">
        <w:rPr>
          <w:rFonts w:cstheme="minorHAnsi"/>
          <w:szCs w:val="18"/>
        </w:rPr>
        <w:t>ecommendation 7.</w:t>
      </w:r>
    </w:p>
  </w:footnote>
  <w:footnote w:id="281">
    <w:p w14:paraId="4127C2E2" w14:textId="77777777" w:rsidR="00FB0951" w:rsidRPr="00503B2E" w:rsidRDefault="00FB0951" w:rsidP="00FB0951">
      <w:pPr>
        <w:pStyle w:val="FootnoteText"/>
        <w:rPr>
          <w:szCs w:val="18"/>
        </w:rPr>
      </w:pPr>
      <w:r w:rsidRPr="00503B2E">
        <w:rPr>
          <w:rStyle w:val="FootnoteReference"/>
          <w:szCs w:val="18"/>
        </w:rPr>
        <w:footnoteRef/>
      </w:r>
      <w:r w:rsidRPr="00503B2E">
        <w:rPr>
          <w:szCs w:val="18"/>
        </w:rPr>
        <w:t xml:space="preserve"> </w:t>
      </w:r>
      <w:hyperlink r:id="rId232" w:history="1">
        <w:r w:rsidRPr="00503B2E">
          <w:rPr>
            <w:rStyle w:val="Hyperlink"/>
            <w:rFonts w:cstheme="minorHAnsi"/>
            <w:szCs w:val="18"/>
          </w:rPr>
          <w:t>ACTU</w:t>
        </w:r>
      </w:hyperlink>
      <w:r w:rsidRPr="00503B2E">
        <w:rPr>
          <w:rFonts w:cstheme="minorHAnsi"/>
          <w:szCs w:val="18"/>
        </w:rPr>
        <w:t>, Submission, p 22.</w:t>
      </w:r>
    </w:p>
  </w:footnote>
  <w:footnote w:id="282">
    <w:p w14:paraId="2D6C35EA" w14:textId="77777777" w:rsidR="00FB0951" w:rsidRPr="00503B2E" w:rsidRDefault="00FB0951" w:rsidP="00FB0951">
      <w:pPr>
        <w:pStyle w:val="FootnoteText"/>
        <w:tabs>
          <w:tab w:val="center" w:pos="5233"/>
        </w:tabs>
        <w:rPr>
          <w:rFonts w:cstheme="minorHAnsi"/>
          <w:szCs w:val="18"/>
        </w:rPr>
      </w:pPr>
      <w:r w:rsidRPr="00503B2E">
        <w:rPr>
          <w:rStyle w:val="FootnoteReference"/>
          <w:rFonts w:cstheme="minorHAnsi"/>
          <w:szCs w:val="18"/>
        </w:rPr>
        <w:footnoteRef/>
      </w:r>
      <w:r w:rsidRPr="00503B2E">
        <w:rPr>
          <w:rFonts w:cstheme="minorHAnsi"/>
          <w:szCs w:val="18"/>
        </w:rPr>
        <w:t xml:space="preserve"> </w:t>
      </w:r>
      <w:r w:rsidRPr="00503B2E">
        <w:rPr>
          <w:szCs w:val="18"/>
        </w:rPr>
        <w:t>FW Act (Cth),</w:t>
      </w:r>
      <w:r w:rsidRPr="00503B2E">
        <w:rPr>
          <w:rFonts w:cstheme="minorHAnsi"/>
          <w:szCs w:val="18"/>
        </w:rPr>
        <w:t xml:space="preserve"> s 342.</w:t>
      </w:r>
    </w:p>
  </w:footnote>
  <w:footnote w:id="283">
    <w:p w14:paraId="63EC74A9" w14:textId="77777777" w:rsidR="003577BE" w:rsidRPr="00503B2E" w:rsidRDefault="003577BE" w:rsidP="003577BE">
      <w:pPr>
        <w:pStyle w:val="FootnoteText"/>
        <w:rPr>
          <w:szCs w:val="18"/>
        </w:rPr>
      </w:pPr>
      <w:r w:rsidRPr="00503B2E">
        <w:rPr>
          <w:rStyle w:val="FootnoteReference"/>
          <w:szCs w:val="18"/>
        </w:rPr>
        <w:footnoteRef/>
      </w:r>
      <w:r w:rsidRPr="00503B2E">
        <w:rPr>
          <w:szCs w:val="18"/>
        </w:rPr>
        <w:t xml:space="preserve"> </w:t>
      </w:r>
      <w:hyperlink r:id="rId233" w:history="1">
        <w:r w:rsidRPr="00503B2E">
          <w:rPr>
            <w:rStyle w:val="Hyperlink"/>
            <w:szCs w:val="18"/>
          </w:rPr>
          <w:t>ACTU</w:t>
        </w:r>
      </w:hyperlink>
      <w:r w:rsidRPr="00503B2E">
        <w:rPr>
          <w:szCs w:val="18"/>
        </w:rPr>
        <w:t xml:space="preserve">, Submission, p 21; Victorian Trades Hall Council, Consultation, September 2025; </w:t>
      </w:r>
      <w:hyperlink r:id="rId234" w:history="1">
        <w:r w:rsidRPr="00503B2E">
          <w:rPr>
            <w:rStyle w:val="Hyperlink"/>
            <w:szCs w:val="18"/>
          </w:rPr>
          <w:t>AMWU</w:t>
        </w:r>
      </w:hyperlink>
      <w:r w:rsidRPr="00503B2E">
        <w:rPr>
          <w:szCs w:val="18"/>
        </w:rPr>
        <w:t>, Submission, p</w:t>
      </w:r>
      <w:r>
        <w:rPr>
          <w:szCs w:val="18"/>
        </w:rPr>
        <w:t>p</w:t>
      </w:r>
      <w:r w:rsidRPr="00503B2E">
        <w:rPr>
          <w:szCs w:val="18"/>
        </w:rPr>
        <w:t xml:space="preserve"> 6–7; </w:t>
      </w:r>
      <w:hyperlink r:id="rId235" w:history="1">
        <w:r w:rsidRPr="00503B2E">
          <w:rPr>
            <w:rStyle w:val="Hyperlink"/>
            <w:rFonts w:eastAsia="Aptos" w:cstheme="minorHAnsi"/>
            <w:szCs w:val="18"/>
          </w:rPr>
          <w:t>Community and Public Sector Union</w:t>
        </w:r>
      </w:hyperlink>
      <w:r w:rsidRPr="00503B2E">
        <w:rPr>
          <w:szCs w:val="18"/>
        </w:rPr>
        <w:t>, Submission, p 10.</w:t>
      </w:r>
    </w:p>
  </w:footnote>
  <w:footnote w:id="284">
    <w:p w14:paraId="01445954" w14:textId="77777777" w:rsidR="003577BE" w:rsidRPr="00503B2E" w:rsidRDefault="003577BE" w:rsidP="003577BE">
      <w:pPr>
        <w:pStyle w:val="FootnoteText"/>
        <w:rPr>
          <w:szCs w:val="18"/>
        </w:rPr>
      </w:pPr>
      <w:r w:rsidRPr="00503B2E">
        <w:rPr>
          <w:rStyle w:val="FootnoteReference"/>
          <w:szCs w:val="18"/>
        </w:rPr>
        <w:footnoteRef/>
      </w:r>
      <w:r w:rsidRPr="00503B2E">
        <w:rPr>
          <w:szCs w:val="18"/>
        </w:rPr>
        <w:t xml:space="preserve"> Qld IR Act, s</w:t>
      </w:r>
      <w:r>
        <w:rPr>
          <w:szCs w:val="18"/>
        </w:rPr>
        <w:t xml:space="preserve"> </w:t>
      </w:r>
      <w:r w:rsidRPr="00503B2E">
        <w:rPr>
          <w:szCs w:val="18"/>
        </w:rPr>
        <w:t>282(1)(d).</w:t>
      </w:r>
    </w:p>
  </w:footnote>
  <w:footnote w:id="285">
    <w:p w14:paraId="3623AE81" w14:textId="095789EC" w:rsidR="003577BE" w:rsidRPr="00503B2E" w:rsidRDefault="003577BE" w:rsidP="003577BE">
      <w:pPr>
        <w:pStyle w:val="FootnoteText"/>
        <w:rPr>
          <w:rFonts w:cstheme="minorHAnsi"/>
          <w:szCs w:val="18"/>
        </w:rPr>
      </w:pPr>
      <w:r w:rsidRPr="00503B2E">
        <w:rPr>
          <w:rStyle w:val="FootnoteReference"/>
          <w:rFonts w:cstheme="minorHAnsi"/>
          <w:szCs w:val="18"/>
        </w:rPr>
        <w:footnoteRef/>
      </w:r>
      <w:r w:rsidRPr="00503B2E">
        <w:rPr>
          <w:rFonts w:cstheme="minorHAnsi"/>
          <w:szCs w:val="18"/>
        </w:rPr>
        <w:t xml:space="preserve"> This approach is also applied in other jurisdictions</w:t>
      </w:r>
      <w:r>
        <w:rPr>
          <w:rFonts w:cstheme="minorHAnsi"/>
          <w:szCs w:val="18"/>
        </w:rPr>
        <w:t>:</w:t>
      </w:r>
      <w:r w:rsidRPr="00503B2E" w:rsidDel="00612FBA">
        <w:rPr>
          <w:rFonts w:cstheme="minorHAnsi"/>
          <w:szCs w:val="18"/>
        </w:rPr>
        <w:t xml:space="preserve"> </w:t>
      </w:r>
      <w:r w:rsidRPr="00503B2E">
        <w:rPr>
          <w:rFonts w:cstheme="minorHAnsi"/>
          <w:i/>
          <w:szCs w:val="18"/>
        </w:rPr>
        <w:t xml:space="preserve">Disability Discrimination Act 1991 </w:t>
      </w:r>
      <w:r w:rsidRPr="00503B2E">
        <w:rPr>
          <w:rFonts w:cstheme="minorHAnsi"/>
          <w:szCs w:val="18"/>
        </w:rPr>
        <w:t>(ACT)</w:t>
      </w:r>
      <w:r>
        <w:rPr>
          <w:rFonts w:cstheme="minorHAnsi"/>
          <w:szCs w:val="18"/>
        </w:rPr>
        <w:t>,</w:t>
      </w:r>
      <w:r w:rsidRPr="00503B2E">
        <w:rPr>
          <w:rFonts w:cstheme="minorHAnsi"/>
          <w:szCs w:val="18"/>
        </w:rPr>
        <w:t xml:space="preserve"> s 8;</w:t>
      </w:r>
      <w:r w:rsidRPr="00503B2E" w:rsidDel="00EE6FC8">
        <w:rPr>
          <w:rFonts w:cstheme="minorHAnsi"/>
          <w:szCs w:val="18"/>
        </w:rPr>
        <w:t xml:space="preserve"> </w:t>
      </w:r>
      <w:r w:rsidRPr="00503B2E">
        <w:rPr>
          <w:rFonts w:cstheme="minorHAnsi"/>
          <w:i/>
          <w:szCs w:val="18"/>
        </w:rPr>
        <w:t xml:space="preserve">Equal Opportunity Act 2010 </w:t>
      </w:r>
      <w:r w:rsidRPr="00503B2E">
        <w:rPr>
          <w:rFonts w:cstheme="minorHAnsi"/>
          <w:szCs w:val="18"/>
        </w:rPr>
        <w:t>(Vic)</w:t>
      </w:r>
      <w:r>
        <w:rPr>
          <w:rFonts w:cstheme="minorHAnsi"/>
          <w:szCs w:val="18"/>
        </w:rPr>
        <w:t>,</w:t>
      </w:r>
      <w:r w:rsidRPr="00503B2E">
        <w:rPr>
          <w:rFonts w:cstheme="minorHAnsi"/>
          <w:szCs w:val="18"/>
        </w:rPr>
        <w:t xml:space="preserve"> s 8;</w:t>
      </w:r>
      <w:r w:rsidRPr="00503B2E" w:rsidDel="008500CD">
        <w:rPr>
          <w:rFonts w:cstheme="minorHAnsi"/>
          <w:szCs w:val="18"/>
        </w:rPr>
        <w:t xml:space="preserve"> </w:t>
      </w:r>
      <w:r w:rsidRPr="00503B2E">
        <w:rPr>
          <w:i/>
          <w:szCs w:val="18"/>
        </w:rPr>
        <w:t>Disability Discrimination Act</w:t>
      </w:r>
      <w:r w:rsidRPr="00503B2E">
        <w:rPr>
          <w:rFonts w:cstheme="minorHAnsi"/>
          <w:i/>
          <w:szCs w:val="18"/>
        </w:rPr>
        <w:t xml:space="preserve"> 1992 </w:t>
      </w:r>
      <w:r w:rsidRPr="00503B2E">
        <w:rPr>
          <w:rFonts w:cstheme="minorHAnsi"/>
          <w:szCs w:val="18"/>
        </w:rPr>
        <w:t xml:space="preserve">(Cth), s 5 (as one part of the direct discrimination test); </w:t>
      </w:r>
      <w:r w:rsidRPr="00503B2E">
        <w:rPr>
          <w:rFonts w:cstheme="minorHAnsi"/>
          <w:i/>
          <w:szCs w:val="18"/>
        </w:rPr>
        <w:t xml:space="preserve">Equal Opportunity Act 1984 </w:t>
      </w:r>
      <w:r w:rsidRPr="00503B2E">
        <w:rPr>
          <w:rFonts w:cstheme="minorHAnsi"/>
          <w:szCs w:val="18"/>
        </w:rPr>
        <w:t xml:space="preserve">(WA), s 11 (discrimination against applicants and employees); </w:t>
      </w:r>
      <w:r w:rsidRPr="00503B2E">
        <w:rPr>
          <w:rFonts w:cstheme="minorHAnsi"/>
          <w:i/>
          <w:szCs w:val="18"/>
        </w:rPr>
        <w:t xml:space="preserve">Equal Opportunity Act 1984 </w:t>
      </w:r>
      <w:r w:rsidRPr="00503B2E">
        <w:rPr>
          <w:rFonts w:cstheme="minorHAnsi"/>
          <w:szCs w:val="18"/>
        </w:rPr>
        <w:t>(SA), s 30 (</w:t>
      </w:r>
      <w:r w:rsidR="001B478A">
        <w:rPr>
          <w:rFonts w:cstheme="minorHAnsi"/>
          <w:szCs w:val="18"/>
        </w:rPr>
        <w:t>D</w:t>
      </w:r>
      <w:r w:rsidRPr="00503B2E">
        <w:rPr>
          <w:rFonts w:cstheme="minorHAnsi"/>
          <w:szCs w:val="18"/>
        </w:rPr>
        <w:t xml:space="preserve">iscrimination against applicants and employees), </w:t>
      </w:r>
      <w:r w:rsidRPr="00503B2E">
        <w:rPr>
          <w:rFonts w:cstheme="minorHAnsi"/>
          <w:i/>
          <w:szCs w:val="18"/>
        </w:rPr>
        <w:t xml:space="preserve">Anti-Discrimination Act 1977 </w:t>
      </w:r>
      <w:r w:rsidRPr="00503B2E">
        <w:rPr>
          <w:rFonts w:cstheme="minorHAnsi"/>
          <w:szCs w:val="18"/>
        </w:rPr>
        <w:t>(NSW), s 8 (</w:t>
      </w:r>
      <w:r w:rsidR="001B478A">
        <w:rPr>
          <w:rFonts w:cstheme="minorHAnsi"/>
          <w:szCs w:val="18"/>
        </w:rPr>
        <w:t>D</w:t>
      </w:r>
      <w:r w:rsidRPr="00503B2E">
        <w:rPr>
          <w:rFonts w:cstheme="minorHAnsi"/>
          <w:szCs w:val="18"/>
        </w:rPr>
        <w:t xml:space="preserve">iscrimination against applicants and employees). </w:t>
      </w:r>
      <w:r w:rsidRPr="00503B2E" w:rsidDel="000B75F6">
        <w:rPr>
          <w:rFonts w:cstheme="minorHAnsi"/>
          <w:szCs w:val="18"/>
        </w:rPr>
        <w:t>Notably, most states and territories apply the ‘detriment test’ for discrimination against applicants and employees under their discrimination laws.</w:t>
      </w:r>
    </w:p>
  </w:footnote>
  <w:footnote w:id="286">
    <w:p w14:paraId="11EA4D2E" w14:textId="77777777" w:rsidR="003577BE" w:rsidRPr="00503B2E" w:rsidRDefault="003577BE" w:rsidP="003577BE">
      <w:pPr>
        <w:pStyle w:val="FootnoteText"/>
        <w:rPr>
          <w:szCs w:val="18"/>
        </w:rPr>
      </w:pPr>
      <w:r w:rsidRPr="00503B2E">
        <w:rPr>
          <w:rStyle w:val="FootnoteReference"/>
          <w:szCs w:val="18"/>
        </w:rPr>
        <w:footnoteRef/>
      </w:r>
      <w:r w:rsidRPr="00503B2E">
        <w:rPr>
          <w:szCs w:val="18"/>
        </w:rPr>
        <w:t xml:space="preserve"> Model WHS Act, s 106.</w:t>
      </w:r>
    </w:p>
  </w:footnote>
  <w:footnote w:id="287">
    <w:p w14:paraId="649F9322" w14:textId="77777777" w:rsidR="003577BE" w:rsidRPr="00857DC6" w:rsidRDefault="003577BE" w:rsidP="003577BE">
      <w:pPr>
        <w:pStyle w:val="FootnoteText"/>
        <w:rPr>
          <w:rFonts w:cstheme="minorHAnsi"/>
          <w:szCs w:val="18"/>
        </w:rPr>
      </w:pPr>
      <w:r w:rsidRPr="00503B2E">
        <w:rPr>
          <w:rStyle w:val="FootnoteReference"/>
          <w:rFonts w:cstheme="minorHAnsi"/>
          <w:szCs w:val="18"/>
        </w:rPr>
        <w:footnoteRef/>
      </w:r>
      <w:r w:rsidRPr="00503B2E">
        <w:rPr>
          <w:rFonts w:cstheme="minorHAnsi"/>
          <w:szCs w:val="18"/>
        </w:rPr>
        <w:t xml:space="preserve"> </w:t>
      </w:r>
      <w:r w:rsidRPr="00503B2E">
        <w:rPr>
          <w:szCs w:val="18"/>
        </w:rPr>
        <w:t>Model WHS Act</w:t>
      </w:r>
      <w:r w:rsidRPr="00503B2E">
        <w:rPr>
          <w:rFonts w:cstheme="minorHAnsi"/>
          <w:szCs w:val="18"/>
        </w:rPr>
        <w:t>, s</w:t>
      </w:r>
      <w:r>
        <w:rPr>
          <w:rFonts w:cstheme="minorHAnsi"/>
          <w:szCs w:val="18"/>
        </w:rPr>
        <w:t> </w:t>
      </w:r>
      <w:r w:rsidRPr="00503B2E">
        <w:rPr>
          <w:rFonts w:cstheme="minorHAnsi"/>
          <w:szCs w:val="18"/>
        </w:rPr>
        <w:t>110(2).</w:t>
      </w:r>
    </w:p>
  </w:footnote>
  <w:footnote w:id="288">
    <w:p w14:paraId="58DC6CBF" w14:textId="77777777" w:rsidR="003577BE" w:rsidRPr="00503B2E" w:rsidRDefault="003577BE" w:rsidP="003577BE">
      <w:pPr>
        <w:pStyle w:val="FootnoteText"/>
        <w:rPr>
          <w:rFonts w:cs="Arial"/>
          <w:szCs w:val="18"/>
        </w:rPr>
      </w:pPr>
      <w:r w:rsidRPr="00503B2E">
        <w:rPr>
          <w:rStyle w:val="FootnoteReference"/>
          <w:rFonts w:cs="Arial"/>
          <w:szCs w:val="18"/>
        </w:rPr>
        <w:footnoteRef/>
      </w:r>
      <w:r w:rsidRPr="00503B2E">
        <w:rPr>
          <w:rFonts w:cs="Arial"/>
          <w:szCs w:val="18"/>
        </w:rPr>
        <w:t xml:space="preserve"> </w:t>
      </w:r>
      <w:r w:rsidRPr="009A30AA">
        <w:rPr>
          <w:rFonts w:cs="Arial"/>
          <w:szCs w:val="18"/>
        </w:rPr>
        <w:t>Qld WHS Ac</w:t>
      </w:r>
      <w:r w:rsidRPr="00612FBA">
        <w:rPr>
          <w:rFonts w:cs="Arial"/>
          <w:iCs/>
          <w:szCs w:val="18"/>
        </w:rPr>
        <w:t>t</w:t>
      </w:r>
      <w:r w:rsidRPr="00503B2E">
        <w:rPr>
          <w:rFonts w:cs="Arial"/>
          <w:szCs w:val="18"/>
        </w:rPr>
        <w:t>, s 105</w:t>
      </w:r>
      <w:r>
        <w:rPr>
          <w:rFonts w:cs="Arial"/>
          <w:szCs w:val="18"/>
        </w:rPr>
        <w:t>,</w:t>
      </w:r>
      <w:r w:rsidRPr="00503B2E">
        <w:rPr>
          <w:rFonts w:cs="Arial"/>
          <w:szCs w:val="18"/>
        </w:rPr>
        <w:t xml:space="preserve"> as amended by </w:t>
      </w:r>
      <w:r w:rsidRPr="00503B2E">
        <w:rPr>
          <w:rFonts w:cs="Arial"/>
          <w:i/>
          <w:szCs w:val="18"/>
        </w:rPr>
        <w:t xml:space="preserve">Work Health and Safety and Other Legislation Amendment Act 2024 </w:t>
      </w:r>
      <w:r w:rsidRPr="00503B2E">
        <w:rPr>
          <w:rFonts w:cs="Arial"/>
          <w:szCs w:val="18"/>
        </w:rPr>
        <w:t>(Qld)</w:t>
      </w:r>
      <w:r>
        <w:rPr>
          <w:rFonts w:cs="Arial"/>
          <w:szCs w:val="18"/>
        </w:rPr>
        <w:t>,</w:t>
      </w:r>
      <w:r w:rsidRPr="00503B2E">
        <w:rPr>
          <w:rFonts w:cs="Arial"/>
          <w:szCs w:val="18"/>
        </w:rPr>
        <w:t xml:space="preserve"> cl 42; C</w:t>
      </w:r>
      <w:r>
        <w:rPr>
          <w:rFonts w:cs="Arial"/>
          <w:szCs w:val="18"/>
        </w:rPr>
        <w:t> </w:t>
      </w:r>
      <w:r w:rsidRPr="00503B2E">
        <w:rPr>
          <w:rFonts w:cs="Arial"/>
          <w:szCs w:val="18"/>
        </w:rPr>
        <w:t xml:space="preserve">Allen, C Massy and D Swan, </w:t>
      </w:r>
      <w:hyperlink r:id="rId236" w:history="1">
        <w:r w:rsidRPr="00503B2E">
          <w:rPr>
            <w:rStyle w:val="Hyperlink"/>
            <w:rFonts w:cs="Arial"/>
            <w:i/>
            <w:szCs w:val="18"/>
          </w:rPr>
          <w:t>Review of the Work Health and Safety Act 2011</w:t>
        </w:r>
      </w:hyperlink>
      <w:r w:rsidRPr="00503B2E">
        <w:rPr>
          <w:rFonts w:cs="Arial"/>
          <w:szCs w:val="18"/>
        </w:rPr>
        <w:t xml:space="preserve">, </w:t>
      </w:r>
      <w:r>
        <w:rPr>
          <w:rFonts w:cs="Arial"/>
          <w:szCs w:val="18"/>
        </w:rPr>
        <w:t xml:space="preserve">Queensland </w:t>
      </w:r>
      <w:r w:rsidRPr="00503B2E">
        <w:rPr>
          <w:rFonts w:cs="Arial"/>
          <w:szCs w:val="18"/>
        </w:rPr>
        <w:t xml:space="preserve">Government, 2022, p 57, </w:t>
      </w:r>
      <w:r>
        <w:rPr>
          <w:rFonts w:cs="Arial"/>
          <w:szCs w:val="18"/>
        </w:rPr>
        <w:t>R</w:t>
      </w:r>
      <w:r w:rsidRPr="00503B2E">
        <w:rPr>
          <w:rFonts w:cs="Arial"/>
          <w:szCs w:val="18"/>
        </w:rPr>
        <w:t>ecommendation 7.</w:t>
      </w:r>
    </w:p>
  </w:footnote>
  <w:footnote w:id="289">
    <w:p w14:paraId="1B44BCB9" w14:textId="77777777" w:rsidR="003577BE" w:rsidRPr="00503B2E" w:rsidRDefault="003577BE" w:rsidP="003577BE">
      <w:pPr>
        <w:pStyle w:val="FootnoteText"/>
        <w:rPr>
          <w:rFonts w:cs="Arial"/>
          <w:szCs w:val="18"/>
        </w:rPr>
      </w:pPr>
      <w:r w:rsidRPr="00503B2E">
        <w:rPr>
          <w:rStyle w:val="FootnoteReference"/>
          <w:rFonts w:cs="Arial"/>
          <w:szCs w:val="18"/>
        </w:rPr>
        <w:footnoteRef/>
      </w:r>
      <w:r w:rsidRPr="00503B2E">
        <w:rPr>
          <w:rFonts w:cs="Arial"/>
          <w:szCs w:val="18"/>
        </w:rPr>
        <w:t xml:space="preserve"> FW Act 2009</w:t>
      </w:r>
      <w:r w:rsidRPr="00503B2E">
        <w:rPr>
          <w:rFonts w:cs="Arial"/>
          <w:i/>
          <w:szCs w:val="18"/>
        </w:rPr>
        <w:t xml:space="preserve"> </w:t>
      </w:r>
      <w:r w:rsidRPr="00503B2E">
        <w:rPr>
          <w:rFonts w:cs="Arial"/>
          <w:szCs w:val="18"/>
        </w:rPr>
        <w:t>(Cth), s 342.</w:t>
      </w:r>
    </w:p>
  </w:footnote>
  <w:footnote w:id="290">
    <w:p w14:paraId="3708B6CF" w14:textId="04C00765" w:rsidR="003577BE" w:rsidRPr="00503B2E" w:rsidRDefault="003577BE" w:rsidP="003577BE">
      <w:pPr>
        <w:pStyle w:val="FootnoteText"/>
        <w:rPr>
          <w:rFonts w:cs="Arial"/>
          <w:szCs w:val="18"/>
        </w:rPr>
      </w:pPr>
      <w:r w:rsidRPr="00503B2E">
        <w:rPr>
          <w:rStyle w:val="FootnoteReference"/>
          <w:rFonts w:cs="Arial"/>
          <w:szCs w:val="18"/>
        </w:rPr>
        <w:footnoteRef/>
      </w:r>
      <w:r w:rsidRPr="00503B2E">
        <w:rPr>
          <w:rFonts w:cs="Arial"/>
          <w:szCs w:val="18"/>
        </w:rPr>
        <w:t xml:space="preserve"> AHRC, </w:t>
      </w:r>
      <w:hyperlink r:id="rId237" w:history="1">
        <w:r w:rsidRPr="00503B2E">
          <w:rPr>
            <w:rStyle w:val="Hyperlink"/>
            <w:rFonts w:cs="Arial"/>
            <w:i/>
            <w:szCs w:val="18"/>
          </w:rPr>
          <w:t>How can the test for direct discrimination be simplified?</w:t>
        </w:r>
      </w:hyperlink>
      <w:r w:rsidRPr="00503B2E">
        <w:rPr>
          <w:rFonts w:cs="Arial"/>
          <w:szCs w:val="18"/>
        </w:rPr>
        <w:t xml:space="preserve">, AHRC website, 2025, accessed 11 May 2026; </w:t>
      </w:r>
      <w:r>
        <w:rPr>
          <w:rFonts w:cs="Arial"/>
          <w:szCs w:val="18"/>
        </w:rPr>
        <w:t xml:space="preserve">I </w:t>
      </w:r>
      <w:r w:rsidRPr="00503B2E">
        <w:rPr>
          <w:rFonts w:cs="Arial"/>
          <w:szCs w:val="18"/>
        </w:rPr>
        <w:t>Wainwright, ‘</w:t>
      </w:r>
      <w:hyperlink r:id="rId238" w:history="1">
        <w:r w:rsidRPr="00503B2E">
          <w:rPr>
            <w:rStyle w:val="Hyperlink"/>
            <w:rFonts w:cs="Arial"/>
            <w:szCs w:val="18"/>
          </w:rPr>
          <w:t>Pushing Australia’s federal discrimination</w:t>
        </w:r>
        <w:bookmarkStart w:id="40" w:name="_Hlt236148974"/>
        <w:bookmarkStart w:id="41" w:name="_Hlt236148975"/>
        <w:r w:rsidRPr="00503B2E">
          <w:rPr>
            <w:rStyle w:val="Hyperlink"/>
            <w:rFonts w:cs="Arial"/>
            <w:szCs w:val="18"/>
          </w:rPr>
          <w:t xml:space="preserve"> </w:t>
        </w:r>
        <w:bookmarkEnd w:id="40"/>
        <w:bookmarkEnd w:id="41"/>
        <w:r w:rsidRPr="00503B2E">
          <w:rPr>
            <w:rStyle w:val="Hyperlink"/>
            <w:rFonts w:cs="Arial"/>
            <w:szCs w:val="18"/>
          </w:rPr>
          <w:t>laws into the 21st Century: Time for a practical and intersectional approach</w:t>
        </w:r>
      </w:hyperlink>
      <w:r w:rsidRPr="00503B2E">
        <w:rPr>
          <w:rFonts w:cs="Arial"/>
          <w:szCs w:val="18"/>
        </w:rPr>
        <w:t xml:space="preserve">’, </w:t>
      </w:r>
      <w:r w:rsidRPr="00503B2E">
        <w:rPr>
          <w:rFonts w:cs="Arial"/>
          <w:i/>
          <w:szCs w:val="18"/>
        </w:rPr>
        <w:t>Australian Human Rights Institute Blog,</w:t>
      </w:r>
      <w:r w:rsidRPr="00503B2E">
        <w:rPr>
          <w:rFonts w:cs="Arial"/>
          <w:szCs w:val="18"/>
        </w:rPr>
        <w:t xml:space="preserve"> n.d., accessed 11 May 2025; AHRC, </w:t>
      </w:r>
      <w:hyperlink r:id="rId239" w:history="1">
        <w:r w:rsidRPr="00503B2E">
          <w:rPr>
            <w:rStyle w:val="Hyperlink"/>
            <w:rFonts w:cs="Arial"/>
            <w:i/>
            <w:szCs w:val="18"/>
          </w:rPr>
          <w:t xml:space="preserve">Free </w:t>
        </w:r>
        <w:r>
          <w:rPr>
            <w:rStyle w:val="Hyperlink"/>
            <w:rFonts w:cs="Arial"/>
            <w:i/>
            <w:szCs w:val="18"/>
          </w:rPr>
          <w:t>and</w:t>
        </w:r>
        <w:r w:rsidRPr="00503B2E">
          <w:rPr>
            <w:rStyle w:val="Hyperlink"/>
            <w:rFonts w:cs="Arial"/>
            <w:i/>
            <w:szCs w:val="18"/>
          </w:rPr>
          <w:t xml:space="preserve"> </w:t>
        </w:r>
        <w:r w:rsidR="00185698">
          <w:rPr>
            <w:rStyle w:val="Hyperlink"/>
            <w:rFonts w:cs="Arial"/>
            <w:i/>
            <w:szCs w:val="18"/>
          </w:rPr>
          <w:t>e</w:t>
        </w:r>
        <w:r w:rsidRPr="00503B2E">
          <w:rPr>
            <w:rStyle w:val="Hyperlink"/>
            <w:rFonts w:cs="Arial"/>
            <w:i/>
            <w:szCs w:val="18"/>
          </w:rPr>
          <w:t>qual: A reform agenda for federal discrimination laws</w:t>
        </w:r>
      </w:hyperlink>
      <w:r w:rsidRPr="00503B2E">
        <w:rPr>
          <w:rFonts w:cs="Arial"/>
          <w:i/>
          <w:szCs w:val="18"/>
        </w:rPr>
        <w:t xml:space="preserve">, </w:t>
      </w:r>
      <w:r w:rsidRPr="00503B2E">
        <w:rPr>
          <w:rFonts w:cs="Arial"/>
          <w:szCs w:val="18"/>
        </w:rPr>
        <w:t xml:space="preserve">AHRC website, 2021, accessed 11 May 2026, pp 279–281. P Spyrou, A Taylor and R Banks, </w:t>
      </w:r>
      <w:hyperlink r:id="rId240" w:history="1">
        <w:r w:rsidRPr="00503B2E">
          <w:rPr>
            <w:rStyle w:val="Hyperlink"/>
            <w:rFonts w:cs="Arial"/>
            <w:szCs w:val="18"/>
          </w:rPr>
          <w:t>‘Confusion about disability discrimination law is weakening its power to protect people’</w:t>
        </w:r>
      </w:hyperlink>
      <w:r w:rsidRPr="00503B2E">
        <w:rPr>
          <w:rFonts w:cs="Arial"/>
          <w:szCs w:val="18"/>
        </w:rPr>
        <w:t xml:space="preserve">, </w:t>
      </w:r>
      <w:r w:rsidRPr="00503B2E">
        <w:rPr>
          <w:rFonts w:cs="Arial"/>
          <w:i/>
          <w:szCs w:val="18"/>
        </w:rPr>
        <w:t>ABC</w:t>
      </w:r>
      <w:r w:rsidRPr="00503B2E">
        <w:rPr>
          <w:rFonts w:cs="Arial"/>
          <w:szCs w:val="18"/>
        </w:rPr>
        <w:t>, 2 December 2025, accessed 11 May 2026.</w:t>
      </w:r>
    </w:p>
  </w:footnote>
  <w:footnote w:id="291">
    <w:p w14:paraId="224361E9" w14:textId="77777777" w:rsidR="00F01378" w:rsidRPr="00503B2E" w:rsidRDefault="00F01378" w:rsidP="00F01378">
      <w:pPr>
        <w:pStyle w:val="FootnoteText"/>
        <w:rPr>
          <w:rFonts w:cs="Arial"/>
        </w:rPr>
      </w:pPr>
      <w:r w:rsidRPr="00503B2E">
        <w:rPr>
          <w:rStyle w:val="FootnoteReference"/>
          <w:rFonts w:cs="Arial"/>
        </w:rPr>
        <w:footnoteRef/>
      </w:r>
      <w:r w:rsidRPr="00503B2E">
        <w:rPr>
          <w:rFonts w:cs="Arial"/>
        </w:rPr>
        <w:t xml:space="preserve"> Model WHS Act, s 131.</w:t>
      </w:r>
    </w:p>
  </w:footnote>
  <w:footnote w:id="292">
    <w:p w14:paraId="0E0FE683" w14:textId="77777777" w:rsidR="00F01378" w:rsidRPr="00503B2E" w:rsidRDefault="00F01378" w:rsidP="00F01378">
      <w:pPr>
        <w:pStyle w:val="FootnoteText"/>
        <w:rPr>
          <w:rFonts w:cs="Arial"/>
        </w:rPr>
      </w:pPr>
      <w:r w:rsidRPr="00503B2E">
        <w:rPr>
          <w:rStyle w:val="FootnoteReference"/>
          <w:rFonts w:cs="Arial"/>
        </w:rPr>
        <w:footnoteRef/>
      </w:r>
      <w:r w:rsidRPr="00503B2E">
        <w:rPr>
          <w:rFonts w:cs="Arial"/>
        </w:rPr>
        <w:t xml:space="preserve"> Model WHS Act, s 133; model WHS Regulations, r</w:t>
      </w:r>
      <w:r w:rsidRPr="00503B2E" w:rsidDel="00612FBA">
        <w:rPr>
          <w:rFonts w:cs="Arial"/>
        </w:rPr>
        <w:t>eg</w:t>
      </w:r>
      <w:r w:rsidRPr="00503B2E">
        <w:rPr>
          <w:rFonts w:cs="Arial"/>
        </w:rPr>
        <w:t xml:space="preserve"> 25.</w:t>
      </w:r>
    </w:p>
  </w:footnote>
  <w:footnote w:id="293">
    <w:p w14:paraId="130AF247" w14:textId="77777777" w:rsidR="00F01378" w:rsidRPr="00F169ED" w:rsidRDefault="00F01378" w:rsidP="00F01378">
      <w:pPr>
        <w:pStyle w:val="FootnoteText"/>
        <w:rPr>
          <w:rFonts w:cs="Arial"/>
        </w:rPr>
      </w:pPr>
      <w:r w:rsidRPr="00503B2E">
        <w:rPr>
          <w:rStyle w:val="FootnoteReference"/>
          <w:rFonts w:cs="Arial"/>
        </w:rPr>
        <w:footnoteRef/>
      </w:r>
      <w:r w:rsidRPr="00503B2E">
        <w:rPr>
          <w:rFonts w:cs="Arial"/>
        </w:rPr>
        <w:t xml:space="preserve"> Model WHS Act, ss 117, 120, 121.</w:t>
      </w:r>
    </w:p>
  </w:footnote>
  <w:footnote w:id="294">
    <w:p w14:paraId="25FD5A99" w14:textId="77777777" w:rsidR="00F01378" w:rsidRPr="00503B2E" w:rsidRDefault="00F01378" w:rsidP="00F01378">
      <w:pPr>
        <w:pStyle w:val="FootnoteText"/>
        <w:rPr>
          <w:rFonts w:cs="Arial"/>
          <w:szCs w:val="18"/>
        </w:rPr>
      </w:pPr>
      <w:r w:rsidRPr="00503B2E">
        <w:rPr>
          <w:rStyle w:val="FootnoteReference"/>
          <w:rFonts w:cs="Arial"/>
          <w:szCs w:val="18"/>
        </w:rPr>
        <w:footnoteRef/>
      </w:r>
      <w:r w:rsidRPr="00503B2E">
        <w:rPr>
          <w:rFonts w:cs="Arial"/>
          <w:szCs w:val="18"/>
        </w:rPr>
        <w:t xml:space="preserve"> </w:t>
      </w:r>
      <w:r w:rsidRPr="00503B2E">
        <w:rPr>
          <w:rStyle w:val="Hyperlink1"/>
          <w:rFonts w:cs="Arial"/>
          <w:color w:val="auto"/>
          <w:szCs w:val="18"/>
          <w:u w:val="none"/>
        </w:rPr>
        <w:t>Model WHS Act</w:t>
      </w:r>
      <w:r w:rsidRPr="00503B2E">
        <w:rPr>
          <w:rFonts w:cs="Arial"/>
          <w:szCs w:val="18"/>
        </w:rPr>
        <w:t>, s 118.</w:t>
      </w:r>
    </w:p>
  </w:footnote>
  <w:footnote w:id="295">
    <w:p w14:paraId="03895A08" w14:textId="77777777" w:rsidR="00F01378" w:rsidRPr="00503B2E" w:rsidRDefault="00F01378" w:rsidP="00F01378">
      <w:pPr>
        <w:pStyle w:val="FootnoteText"/>
      </w:pPr>
      <w:r w:rsidRPr="00503B2E">
        <w:rPr>
          <w:rStyle w:val="FootnoteReference"/>
        </w:rPr>
        <w:footnoteRef/>
      </w:r>
      <w:r w:rsidRPr="00503B2E">
        <w:t xml:space="preserve"> Model WHS Regulations, r</w:t>
      </w:r>
      <w:r w:rsidRPr="00503B2E" w:rsidDel="00612FBA">
        <w:t>eg</w:t>
      </w:r>
      <w:r w:rsidRPr="00503B2E">
        <w:t xml:space="preserve"> 27.</w:t>
      </w:r>
    </w:p>
  </w:footnote>
  <w:footnote w:id="296">
    <w:p w14:paraId="474F8C18" w14:textId="77777777" w:rsidR="00F01378" w:rsidRPr="00503B2E" w:rsidRDefault="00F01378" w:rsidP="00F01378">
      <w:pPr>
        <w:pStyle w:val="FootnoteText"/>
      </w:pPr>
      <w:r w:rsidRPr="00503B2E">
        <w:rPr>
          <w:rStyle w:val="FootnoteReference"/>
        </w:rPr>
        <w:footnoteRef/>
      </w:r>
      <w:r w:rsidRPr="00503B2E">
        <w:t xml:space="preserve"> Model WHS Act, s 119; Model WHS Regulations, regs 27</w:t>
      </w:r>
      <w:r w:rsidRPr="00503B2E">
        <w:rPr>
          <w:szCs w:val="18"/>
        </w:rPr>
        <w:t>–</w:t>
      </w:r>
      <w:r w:rsidRPr="00503B2E">
        <w:t>28.</w:t>
      </w:r>
    </w:p>
  </w:footnote>
  <w:footnote w:id="297">
    <w:p w14:paraId="51BE4E7B" w14:textId="605C9336" w:rsidR="00F01378" w:rsidRPr="00503B2E" w:rsidRDefault="00F01378" w:rsidP="00F01378">
      <w:pPr>
        <w:pStyle w:val="FootnoteText"/>
      </w:pPr>
      <w:r w:rsidRPr="00503B2E">
        <w:rPr>
          <w:rStyle w:val="FootnoteReference"/>
        </w:rPr>
        <w:footnoteRef/>
      </w:r>
      <w:r w:rsidRPr="00503B2E">
        <w:t xml:space="preserve"> Model WHS Act, ss 120</w:t>
      </w:r>
      <w:r w:rsidRPr="00503B2E">
        <w:rPr>
          <w:szCs w:val="18"/>
        </w:rPr>
        <w:t>–</w:t>
      </w:r>
      <w:r w:rsidRPr="00503B2E">
        <w:t>122.</w:t>
      </w:r>
    </w:p>
  </w:footnote>
  <w:footnote w:id="298">
    <w:p w14:paraId="0CD5B5C1" w14:textId="77777777" w:rsidR="00F01378" w:rsidRPr="00503B2E" w:rsidRDefault="00F01378" w:rsidP="00F01378">
      <w:pPr>
        <w:pStyle w:val="FootnoteText"/>
        <w:rPr>
          <w:rFonts w:cs="Arial"/>
        </w:rPr>
      </w:pPr>
      <w:r w:rsidRPr="00503B2E">
        <w:rPr>
          <w:rStyle w:val="FootnoteReference"/>
        </w:rPr>
        <w:footnoteRef/>
      </w:r>
      <w:r w:rsidRPr="00503B2E">
        <w:t xml:space="preserve"> Model </w:t>
      </w:r>
      <w:r w:rsidRPr="00503B2E">
        <w:rPr>
          <w:rFonts w:cs="Arial"/>
        </w:rPr>
        <w:t>WHS Act, s</w:t>
      </w:r>
      <w:r>
        <w:rPr>
          <w:rFonts w:cs="Arial"/>
        </w:rPr>
        <w:t xml:space="preserve"> </w:t>
      </w:r>
      <w:r w:rsidRPr="00503B2E">
        <w:rPr>
          <w:rFonts w:cs="Arial"/>
        </w:rPr>
        <w:t>146.</w:t>
      </w:r>
    </w:p>
  </w:footnote>
  <w:footnote w:id="299">
    <w:p w14:paraId="7DAA6442" w14:textId="77777777" w:rsidR="00F01378" w:rsidRPr="00503B2E" w:rsidRDefault="00F01378" w:rsidP="00F01378">
      <w:pPr>
        <w:pStyle w:val="FootnoteText"/>
        <w:rPr>
          <w:rFonts w:cs="Arial"/>
        </w:rPr>
      </w:pPr>
      <w:r w:rsidRPr="00503B2E">
        <w:rPr>
          <w:rStyle w:val="FootnoteReference"/>
          <w:rFonts w:cs="Arial"/>
        </w:rPr>
        <w:footnoteRef/>
      </w:r>
      <w:r w:rsidRPr="00503B2E">
        <w:rPr>
          <w:rFonts w:cs="Arial"/>
        </w:rPr>
        <w:t xml:space="preserve"> Model WHS Act, ss 144</w:t>
      </w:r>
      <w:r w:rsidRPr="00503B2E">
        <w:rPr>
          <w:rFonts w:cs="Arial"/>
          <w:szCs w:val="18"/>
        </w:rPr>
        <w:t>–</w:t>
      </w:r>
      <w:r w:rsidRPr="00503B2E">
        <w:rPr>
          <w:rFonts w:cs="Arial"/>
        </w:rPr>
        <w:t>145.</w:t>
      </w:r>
    </w:p>
  </w:footnote>
  <w:footnote w:id="300">
    <w:p w14:paraId="0CD52C32" w14:textId="77777777" w:rsidR="00F01378" w:rsidRPr="00503B2E" w:rsidRDefault="00F01378" w:rsidP="00F01378">
      <w:pPr>
        <w:pStyle w:val="FootnoteText"/>
        <w:rPr>
          <w:rFonts w:cs="Arial"/>
        </w:rPr>
      </w:pPr>
      <w:r w:rsidRPr="00503B2E">
        <w:rPr>
          <w:rStyle w:val="FootnoteReference"/>
          <w:rFonts w:cs="Arial"/>
        </w:rPr>
        <w:footnoteRef/>
      </w:r>
      <w:r w:rsidRPr="00503B2E">
        <w:rPr>
          <w:rFonts w:cs="Arial"/>
        </w:rPr>
        <w:t xml:space="preserve"> Model WHS Act, s 147.</w:t>
      </w:r>
    </w:p>
  </w:footnote>
  <w:footnote w:id="301">
    <w:p w14:paraId="690D2326" w14:textId="28E335C3" w:rsidR="00F01378" w:rsidRPr="00503B2E" w:rsidRDefault="00F01378" w:rsidP="00F01378">
      <w:pPr>
        <w:pStyle w:val="FootnoteText"/>
        <w:rPr>
          <w:rFonts w:cs="Arial"/>
        </w:rPr>
      </w:pPr>
      <w:r w:rsidRPr="00503B2E">
        <w:rPr>
          <w:rStyle w:val="FootnoteReference"/>
          <w:rFonts w:cs="Arial"/>
        </w:rPr>
        <w:footnoteRef/>
      </w:r>
      <w:r w:rsidRPr="00503B2E">
        <w:rPr>
          <w:rFonts w:cs="Arial"/>
        </w:rPr>
        <w:t xml:space="preserve"> Model WHS Act, s 148.</w:t>
      </w:r>
    </w:p>
  </w:footnote>
  <w:footnote w:id="302">
    <w:p w14:paraId="380A505B" w14:textId="08A3D9E5" w:rsidR="00F01378" w:rsidRPr="00503B2E" w:rsidRDefault="00F01378" w:rsidP="00F01378">
      <w:pPr>
        <w:pStyle w:val="FootnoteText"/>
        <w:rPr>
          <w:rFonts w:cs="Arial"/>
        </w:rPr>
      </w:pPr>
      <w:r w:rsidRPr="00503B2E">
        <w:rPr>
          <w:rStyle w:val="FootnoteReference"/>
          <w:rFonts w:cs="Arial"/>
        </w:rPr>
        <w:footnoteRef/>
      </w:r>
      <w:r w:rsidRPr="00503B2E">
        <w:rPr>
          <w:rFonts w:cs="Arial"/>
        </w:rPr>
        <w:t xml:space="preserve"> FW Act, </w:t>
      </w:r>
      <w:r>
        <w:rPr>
          <w:rFonts w:cs="Arial"/>
        </w:rPr>
        <w:t>P</w:t>
      </w:r>
      <w:r w:rsidRPr="00503B2E">
        <w:rPr>
          <w:rFonts w:cs="Arial"/>
        </w:rPr>
        <w:t>t 3</w:t>
      </w:r>
      <w:r w:rsidRPr="00503B2E">
        <w:rPr>
          <w:rFonts w:cs="Arial"/>
          <w:szCs w:val="18"/>
        </w:rPr>
        <w:t>–</w:t>
      </w:r>
      <w:r w:rsidRPr="00503B2E">
        <w:rPr>
          <w:rFonts w:cs="Arial"/>
        </w:rPr>
        <w:t xml:space="preserve">4, </w:t>
      </w:r>
      <w:r>
        <w:rPr>
          <w:rFonts w:cs="Arial"/>
        </w:rPr>
        <w:t>D</w:t>
      </w:r>
      <w:r w:rsidRPr="00503B2E">
        <w:rPr>
          <w:rFonts w:cs="Arial"/>
        </w:rPr>
        <w:t>iv 3.</w:t>
      </w:r>
    </w:p>
  </w:footnote>
  <w:footnote w:id="303">
    <w:p w14:paraId="5295DB61" w14:textId="77777777" w:rsidR="006C1A9C" w:rsidRPr="00503B2E" w:rsidRDefault="006C1A9C" w:rsidP="006C1A9C">
      <w:pPr>
        <w:pStyle w:val="FootnoteText"/>
        <w:rPr>
          <w:rFonts w:cs="Arial"/>
          <w:szCs w:val="18"/>
        </w:rPr>
      </w:pPr>
      <w:r w:rsidRPr="00503B2E">
        <w:rPr>
          <w:rStyle w:val="FootnoteReference"/>
          <w:rFonts w:cs="Arial"/>
          <w:szCs w:val="18"/>
        </w:rPr>
        <w:footnoteRef/>
      </w:r>
      <w:r w:rsidRPr="00503B2E">
        <w:rPr>
          <w:rFonts w:cs="Arial"/>
          <w:szCs w:val="18"/>
        </w:rPr>
        <w:t xml:space="preserve"> </w:t>
      </w:r>
      <w:hyperlink r:id="rId241" w:history="1">
        <w:r w:rsidRPr="00503B2E">
          <w:rPr>
            <w:rStyle w:val="Hyperlink"/>
            <w:rFonts w:cs="Arial"/>
            <w:szCs w:val="18"/>
          </w:rPr>
          <w:t>ACTU</w:t>
        </w:r>
      </w:hyperlink>
      <w:r w:rsidRPr="00503B2E">
        <w:rPr>
          <w:rFonts w:cs="Arial"/>
          <w:szCs w:val="18"/>
        </w:rPr>
        <w:t xml:space="preserve">, Submission, p 23; </w:t>
      </w:r>
      <w:hyperlink r:id="rId242" w:history="1">
        <w:r w:rsidRPr="00503B2E">
          <w:rPr>
            <w:rStyle w:val="Hyperlink"/>
            <w:rFonts w:cs="Arial"/>
            <w:szCs w:val="18"/>
          </w:rPr>
          <w:t>Electrical</w:t>
        </w:r>
        <w:r w:rsidRPr="00503B2E">
          <w:rPr>
            <w:rStyle w:val="Hyperlink"/>
            <w:rFonts w:cs="Arial"/>
          </w:rPr>
          <w:t xml:space="preserve"> Trades Union</w:t>
        </w:r>
      </w:hyperlink>
      <w:r w:rsidRPr="00503B2E">
        <w:rPr>
          <w:rFonts w:cs="Arial"/>
          <w:szCs w:val="18"/>
        </w:rPr>
        <w:t xml:space="preserve">, Submission, pp 4–7, </w:t>
      </w:r>
      <w:hyperlink r:id="rId243" w:history="1">
        <w:r w:rsidRPr="00503B2E">
          <w:rPr>
            <w:rStyle w:val="Hyperlink"/>
            <w:rFonts w:cs="Arial"/>
            <w:szCs w:val="18"/>
          </w:rPr>
          <w:t>CFMEU</w:t>
        </w:r>
      </w:hyperlink>
      <w:r w:rsidRPr="00503B2E">
        <w:rPr>
          <w:rFonts w:cs="Arial"/>
          <w:szCs w:val="18"/>
        </w:rPr>
        <w:t xml:space="preserve">, Submission, pp 3–4; </w:t>
      </w:r>
      <w:hyperlink r:id="rId244" w:history="1">
        <w:r w:rsidRPr="00503B2E">
          <w:rPr>
            <w:rStyle w:val="Hyperlink"/>
            <w:rFonts w:cs="Arial"/>
            <w:szCs w:val="18"/>
          </w:rPr>
          <w:t>ANMF</w:t>
        </w:r>
        <w:r w:rsidRPr="00503B2E">
          <w:rPr>
            <w:rStyle w:val="Hyperlink"/>
            <w:rFonts w:cs="Arial"/>
          </w:rPr>
          <w:t xml:space="preserve"> (Vic Branch)</w:t>
        </w:r>
      </w:hyperlink>
      <w:r w:rsidRPr="00503B2E">
        <w:rPr>
          <w:rFonts w:cs="Arial"/>
          <w:szCs w:val="18"/>
        </w:rPr>
        <w:t xml:space="preserve">, Submission, p 13; </w:t>
      </w:r>
      <w:hyperlink r:id="rId245" w:history="1">
        <w:r w:rsidRPr="00503B2E">
          <w:rPr>
            <w:rStyle w:val="Hyperlink"/>
            <w:rFonts w:cs="Arial"/>
            <w:szCs w:val="18"/>
          </w:rPr>
          <w:t>SA Unions,</w:t>
        </w:r>
      </w:hyperlink>
      <w:r w:rsidRPr="00503B2E">
        <w:rPr>
          <w:rFonts w:cs="Arial"/>
          <w:szCs w:val="18"/>
        </w:rPr>
        <w:t xml:space="preserve"> Submission, pp 27–29.</w:t>
      </w:r>
    </w:p>
  </w:footnote>
  <w:footnote w:id="304">
    <w:p w14:paraId="5A0E00C3" w14:textId="77777777" w:rsidR="006C1A9C" w:rsidRPr="00503B2E" w:rsidRDefault="006C1A9C" w:rsidP="006C1A9C">
      <w:pPr>
        <w:pStyle w:val="FootnoteText"/>
        <w:rPr>
          <w:rFonts w:cs="Arial"/>
          <w:sz w:val="16"/>
          <w:szCs w:val="16"/>
        </w:rPr>
      </w:pPr>
      <w:r w:rsidRPr="00503B2E">
        <w:rPr>
          <w:rStyle w:val="FootnoteReference"/>
          <w:rFonts w:cs="Arial"/>
          <w:szCs w:val="18"/>
        </w:rPr>
        <w:footnoteRef/>
      </w:r>
      <w:r w:rsidRPr="00503B2E">
        <w:rPr>
          <w:rFonts w:cs="Arial"/>
          <w:szCs w:val="18"/>
        </w:rPr>
        <w:t xml:space="preserve"> </w:t>
      </w:r>
      <w:hyperlink r:id="rId246" w:history="1">
        <w:r w:rsidRPr="00503B2E">
          <w:rPr>
            <w:rStyle w:val="Hyperlink"/>
            <w:rFonts w:cs="Arial"/>
            <w:szCs w:val="18"/>
          </w:rPr>
          <w:t>HIA</w:t>
        </w:r>
      </w:hyperlink>
      <w:r w:rsidRPr="00503B2E">
        <w:rPr>
          <w:rFonts w:cs="Arial"/>
          <w:szCs w:val="18"/>
        </w:rPr>
        <w:t xml:space="preserve">, Submission, pp 13–14; </w:t>
      </w:r>
      <w:hyperlink r:id="rId247" w:history="1">
        <w:r w:rsidRPr="00503B2E">
          <w:rPr>
            <w:rStyle w:val="Hyperlink"/>
            <w:rFonts w:cs="Arial"/>
            <w:szCs w:val="18"/>
          </w:rPr>
          <w:t>MBA</w:t>
        </w:r>
      </w:hyperlink>
      <w:r w:rsidRPr="00503B2E">
        <w:rPr>
          <w:rFonts w:cs="Arial"/>
          <w:szCs w:val="18"/>
        </w:rPr>
        <w:t xml:space="preserve">, Submission, pp 31–32; </w:t>
      </w:r>
      <w:hyperlink r:id="rId248" w:history="1">
        <w:r w:rsidRPr="00503B2E">
          <w:rPr>
            <w:rStyle w:val="Hyperlink"/>
            <w:rFonts w:cs="Arial"/>
            <w:szCs w:val="18"/>
          </w:rPr>
          <w:t>Australian</w:t>
        </w:r>
        <w:r w:rsidRPr="00503B2E">
          <w:rPr>
            <w:rStyle w:val="Hyperlink"/>
            <w:rFonts w:cs="Arial"/>
          </w:rPr>
          <w:t xml:space="preserve"> Industry Group</w:t>
        </w:r>
      </w:hyperlink>
      <w:r w:rsidRPr="00503B2E">
        <w:rPr>
          <w:rFonts w:cs="Arial"/>
          <w:szCs w:val="18"/>
        </w:rPr>
        <w:t>, Submission, pp 9–11</w:t>
      </w:r>
      <w:r w:rsidRPr="00503B2E" w:rsidDel="00AC4351">
        <w:rPr>
          <w:rFonts w:cs="Arial"/>
          <w:szCs w:val="18"/>
        </w:rPr>
        <w:t>.</w:t>
      </w:r>
    </w:p>
  </w:footnote>
  <w:footnote w:id="305">
    <w:p w14:paraId="66402196" w14:textId="77777777" w:rsidR="006C1A9C" w:rsidRPr="00503B2E" w:rsidRDefault="006C1A9C" w:rsidP="006C1A9C">
      <w:pPr>
        <w:pStyle w:val="FootnoteText"/>
        <w:rPr>
          <w:rFonts w:cs="Arial"/>
        </w:rPr>
      </w:pPr>
      <w:r w:rsidRPr="00503B2E">
        <w:rPr>
          <w:rStyle w:val="FootnoteReference"/>
          <w:rFonts w:cs="Arial"/>
        </w:rPr>
        <w:footnoteRef/>
      </w:r>
      <w:r w:rsidRPr="00503B2E">
        <w:rPr>
          <w:rFonts w:cs="Arial"/>
        </w:rPr>
        <w:t xml:space="preserve"> </w:t>
      </w:r>
      <w:hyperlink r:id="rId249" w:history="1">
        <w:r w:rsidRPr="00503B2E">
          <w:rPr>
            <w:rStyle w:val="Hyperlink"/>
            <w:rFonts w:cs="Arial"/>
          </w:rPr>
          <w:t>MBA</w:t>
        </w:r>
      </w:hyperlink>
      <w:r w:rsidRPr="00503B2E">
        <w:rPr>
          <w:rFonts w:cs="Arial"/>
        </w:rPr>
        <w:t>, Submission, p 29.</w:t>
      </w:r>
    </w:p>
  </w:footnote>
  <w:footnote w:id="306">
    <w:p w14:paraId="45557526" w14:textId="77777777" w:rsidR="006C1A9C" w:rsidRPr="00503B2E" w:rsidRDefault="006C1A9C" w:rsidP="006C1A9C">
      <w:pPr>
        <w:pStyle w:val="FootnoteText"/>
        <w:rPr>
          <w:rFonts w:cs="Arial"/>
        </w:rPr>
      </w:pPr>
      <w:r w:rsidRPr="00503B2E">
        <w:rPr>
          <w:rStyle w:val="FootnoteReference"/>
          <w:rFonts w:cs="Arial"/>
        </w:rPr>
        <w:footnoteRef/>
      </w:r>
      <w:r w:rsidRPr="00503B2E">
        <w:rPr>
          <w:rFonts w:cs="Arial"/>
        </w:rPr>
        <w:t xml:space="preserve"> </w:t>
      </w:r>
      <w:hyperlink r:id="rId250" w:history="1">
        <w:r w:rsidRPr="00503B2E">
          <w:rPr>
            <w:rStyle w:val="Hyperlink"/>
            <w:rFonts w:cs="Arial"/>
          </w:rPr>
          <w:t>MBA</w:t>
        </w:r>
      </w:hyperlink>
      <w:r w:rsidRPr="00503B2E">
        <w:rPr>
          <w:rFonts w:cs="Arial"/>
        </w:rPr>
        <w:t>, Submission, p 18.</w:t>
      </w:r>
    </w:p>
  </w:footnote>
  <w:footnote w:id="307">
    <w:p w14:paraId="7A7BFDBB" w14:textId="7E1368B1" w:rsidR="006C1A9C" w:rsidRPr="00802CBD" w:rsidRDefault="006C1A9C" w:rsidP="006C1A9C">
      <w:pPr>
        <w:pStyle w:val="FootnoteText"/>
        <w:rPr>
          <w:rFonts w:cs="Arial"/>
          <w:szCs w:val="18"/>
        </w:rPr>
      </w:pPr>
      <w:r w:rsidRPr="00503B2E">
        <w:rPr>
          <w:rStyle w:val="FootnoteReference"/>
          <w:rFonts w:cs="Arial"/>
          <w:szCs w:val="18"/>
        </w:rPr>
        <w:footnoteRef/>
      </w:r>
      <w:r w:rsidRPr="00503B2E">
        <w:rPr>
          <w:rFonts w:cs="Arial"/>
          <w:szCs w:val="18"/>
        </w:rPr>
        <w:t xml:space="preserve"> </w:t>
      </w:r>
      <w:hyperlink r:id="rId251" w:history="1">
        <w:r w:rsidRPr="00503B2E">
          <w:rPr>
            <w:rStyle w:val="Hyperlink"/>
            <w:rFonts w:cs="Arial"/>
            <w:szCs w:val="18"/>
          </w:rPr>
          <w:t>MBA</w:t>
        </w:r>
      </w:hyperlink>
      <w:r w:rsidRPr="00503B2E">
        <w:rPr>
          <w:rFonts w:cs="Arial"/>
          <w:szCs w:val="18"/>
        </w:rPr>
        <w:t xml:space="preserve">, Submission, p 24. Also see MBA, </w:t>
      </w:r>
      <w:hyperlink r:id="rId252" w:history="1">
        <w:r w:rsidRPr="00503B2E">
          <w:rPr>
            <w:rStyle w:val="Hyperlink"/>
            <w:rFonts w:cs="Arial"/>
            <w:i/>
            <w:szCs w:val="18"/>
          </w:rPr>
          <w:t xml:space="preserve">Breaking </w:t>
        </w:r>
        <w:r w:rsidR="00185698">
          <w:rPr>
            <w:rStyle w:val="Hyperlink"/>
            <w:rFonts w:cs="Arial"/>
            <w:i/>
            <w:szCs w:val="18"/>
          </w:rPr>
          <w:t>b</w:t>
        </w:r>
        <w:r w:rsidRPr="00503B2E">
          <w:rPr>
            <w:rStyle w:val="Hyperlink"/>
            <w:rFonts w:cs="Arial"/>
            <w:i/>
            <w:szCs w:val="18"/>
          </w:rPr>
          <w:t xml:space="preserve">uilding </w:t>
        </w:r>
        <w:r w:rsidR="00185698">
          <w:rPr>
            <w:rStyle w:val="Hyperlink"/>
            <w:rFonts w:cs="Arial"/>
            <w:i/>
            <w:szCs w:val="18"/>
          </w:rPr>
          <w:t>b</w:t>
        </w:r>
        <w:r w:rsidRPr="00503B2E">
          <w:rPr>
            <w:rStyle w:val="Hyperlink"/>
            <w:rFonts w:cs="Arial"/>
            <w:i/>
            <w:szCs w:val="18"/>
          </w:rPr>
          <w:t>ad</w:t>
        </w:r>
      </w:hyperlink>
      <w:r w:rsidRPr="00503B2E">
        <w:rPr>
          <w:rFonts w:cs="Arial"/>
          <w:szCs w:val="18"/>
        </w:rPr>
        <w:t xml:space="preserve">, </w:t>
      </w:r>
      <w:r>
        <w:rPr>
          <w:rFonts w:cs="Arial"/>
          <w:szCs w:val="18"/>
        </w:rPr>
        <w:t xml:space="preserve">MBA, </w:t>
      </w:r>
      <w:r w:rsidRPr="00503B2E">
        <w:rPr>
          <w:rFonts w:cs="Arial"/>
          <w:szCs w:val="18"/>
        </w:rPr>
        <w:t>July 2024, accessed 11 May 2026.</w:t>
      </w:r>
    </w:p>
  </w:footnote>
  <w:footnote w:id="308">
    <w:p w14:paraId="01C1E15A" w14:textId="77777777" w:rsidR="006C1A9C" w:rsidRPr="00503B2E" w:rsidRDefault="006C1A9C" w:rsidP="006C1A9C">
      <w:pPr>
        <w:pStyle w:val="FootnoteText"/>
        <w:rPr>
          <w:rFonts w:cs="Arial"/>
        </w:rPr>
      </w:pPr>
      <w:r w:rsidRPr="00503B2E">
        <w:rPr>
          <w:rStyle w:val="FootnoteReference"/>
          <w:rFonts w:cs="Arial"/>
        </w:rPr>
        <w:footnoteRef/>
      </w:r>
      <w:r w:rsidRPr="00503B2E">
        <w:rPr>
          <w:rFonts w:cs="Arial"/>
        </w:rPr>
        <w:t xml:space="preserve"> </w:t>
      </w:r>
      <w:hyperlink r:id="rId253" w:history="1">
        <w:r w:rsidRPr="00503B2E">
          <w:rPr>
            <w:rStyle w:val="Hyperlink"/>
            <w:rFonts w:cs="Arial"/>
          </w:rPr>
          <w:t>HIA</w:t>
        </w:r>
      </w:hyperlink>
      <w:r w:rsidRPr="00503B2E">
        <w:rPr>
          <w:rFonts w:cs="Arial"/>
        </w:rPr>
        <w:t xml:space="preserve"> Submission, p 13.</w:t>
      </w:r>
    </w:p>
  </w:footnote>
  <w:footnote w:id="309">
    <w:p w14:paraId="05EEFB43" w14:textId="77777777" w:rsidR="006C1A9C" w:rsidRPr="00503B2E" w:rsidRDefault="006C1A9C" w:rsidP="006C1A9C">
      <w:pPr>
        <w:pStyle w:val="FootnoteText"/>
        <w:rPr>
          <w:rFonts w:cs="Arial"/>
          <w:szCs w:val="18"/>
        </w:rPr>
      </w:pPr>
      <w:r w:rsidRPr="00503B2E">
        <w:rPr>
          <w:rStyle w:val="FootnoteReference"/>
          <w:rFonts w:cs="Arial"/>
          <w:szCs w:val="18"/>
        </w:rPr>
        <w:footnoteRef/>
      </w:r>
      <w:r w:rsidRPr="00503B2E">
        <w:rPr>
          <w:rFonts w:cs="Arial"/>
          <w:szCs w:val="18"/>
        </w:rPr>
        <w:t xml:space="preserve"> </w:t>
      </w:r>
      <w:hyperlink r:id="rId254" w:history="1">
        <w:r w:rsidRPr="00503B2E">
          <w:rPr>
            <w:rStyle w:val="Hyperlink"/>
            <w:rFonts w:cs="Arial"/>
            <w:szCs w:val="18"/>
          </w:rPr>
          <w:t>MCA</w:t>
        </w:r>
      </w:hyperlink>
      <w:r w:rsidRPr="00503B2E">
        <w:rPr>
          <w:rFonts w:cs="Arial"/>
          <w:szCs w:val="18"/>
        </w:rPr>
        <w:t>, Submission, p 6</w:t>
      </w:r>
      <w:r w:rsidRPr="00503B2E" w:rsidDel="00ED0716">
        <w:rPr>
          <w:rFonts w:cs="Arial"/>
          <w:szCs w:val="18"/>
        </w:rPr>
        <w:t>.</w:t>
      </w:r>
    </w:p>
  </w:footnote>
  <w:footnote w:id="310">
    <w:p w14:paraId="6B191FF9" w14:textId="2503A4E0" w:rsidR="009E47FD" w:rsidRPr="00503B2E" w:rsidRDefault="009E47FD" w:rsidP="009E47FD">
      <w:pPr>
        <w:pStyle w:val="FootnoteText"/>
      </w:pPr>
      <w:r w:rsidRPr="00503B2E">
        <w:rPr>
          <w:rStyle w:val="FootnoteReference"/>
        </w:rPr>
        <w:footnoteRef/>
      </w:r>
      <w:r w:rsidRPr="00503B2E">
        <w:t xml:space="preserve"> S Booth, </w:t>
      </w:r>
      <w:hyperlink r:id="rId255" w:history="1">
        <w:r w:rsidRPr="003F0249">
          <w:rPr>
            <w:rStyle w:val="Hyperlink"/>
            <w:i/>
            <w:iCs/>
          </w:rPr>
          <w:t xml:space="preserve">Closing </w:t>
        </w:r>
        <w:r w:rsidR="003F0249">
          <w:rPr>
            <w:rStyle w:val="Hyperlink"/>
            <w:i/>
            <w:iCs/>
          </w:rPr>
          <w:t>l</w:t>
        </w:r>
        <w:r w:rsidRPr="003F0249">
          <w:rPr>
            <w:rStyle w:val="Hyperlink"/>
            <w:i/>
            <w:iCs/>
          </w:rPr>
          <w:t xml:space="preserve">oopholes: An independent statutory review: Draft </w:t>
        </w:r>
        <w:r w:rsidR="001B478A" w:rsidRPr="003F0249">
          <w:rPr>
            <w:rStyle w:val="Hyperlink"/>
            <w:i/>
            <w:iCs/>
          </w:rPr>
          <w:t>r</w:t>
        </w:r>
        <w:r w:rsidRPr="003F0249">
          <w:rPr>
            <w:rStyle w:val="Hyperlink"/>
            <w:i/>
            <w:iCs/>
          </w:rPr>
          <w:t>eport</w:t>
        </w:r>
      </w:hyperlink>
      <w:r w:rsidRPr="003F0249">
        <w:t>, Department</w:t>
      </w:r>
      <w:r>
        <w:t xml:space="preserve"> of Employment and Workplace Relations, Australian Government, </w:t>
      </w:r>
      <w:r w:rsidRPr="00503B2E">
        <w:t>May 2026</w:t>
      </w:r>
      <w:r>
        <w:t>,</w:t>
      </w:r>
      <w:r w:rsidRPr="00503B2E">
        <w:t xml:space="preserve"> p 38</w:t>
      </w:r>
      <w:r w:rsidR="00752208">
        <w:t>1</w:t>
      </w:r>
      <w:r w:rsidRPr="00503B2E">
        <w:t>.</w:t>
      </w:r>
    </w:p>
  </w:footnote>
  <w:footnote w:id="311">
    <w:p w14:paraId="3DEC831A" w14:textId="7A17C611" w:rsidR="009E47FD" w:rsidRPr="00503B2E" w:rsidRDefault="009E47FD" w:rsidP="009E47FD">
      <w:pPr>
        <w:pStyle w:val="FootnoteText"/>
      </w:pPr>
      <w:r w:rsidRPr="00503B2E">
        <w:rPr>
          <w:rStyle w:val="FootnoteReference"/>
        </w:rPr>
        <w:footnoteRef/>
      </w:r>
      <w:r w:rsidRPr="00503B2E">
        <w:t xml:space="preserve"> CFMEU, </w:t>
      </w:r>
      <w:hyperlink r:id="rId256" w:history="1">
        <w:r w:rsidRPr="009A30AA">
          <w:rPr>
            <w:rStyle w:val="Hyperlink"/>
            <w:i/>
          </w:rPr>
          <w:t xml:space="preserve">Announcement of </w:t>
        </w:r>
        <w:r w:rsidRPr="009A30AA">
          <w:rPr>
            <w:rStyle w:val="Hyperlink"/>
            <w:i/>
            <w:iCs/>
          </w:rPr>
          <w:t>appointment</w:t>
        </w:r>
        <w:r w:rsidRPr="009A30AA">
          <w:rPr>
            <w:rStyle w:val="Hyperlink"/>
            <w:i/>
          </w:rPr>
          <w:t xml:space="preserve"> of Michael Crosby as CFMEU Administrator</w:t>
        </w:r>
      </w:hyperlink>
      <w:r w:rsidRPr="00503B2E">
        <w:t xml:space="preserve"> </w:t>
      </w:r>
      <w:r>
        <w:t xml:space="preserve">[media release], CFMEU, </w:t>
      </w:r>
      <w:r w:rsidRPr="00503B2E">
        <w:t>22 May 2026, accessed 25 May 2026.</w:t>
      </w:r>
    </w:p>
  </w:footnote>
  <w:footnote w:id="312">
    <w:p w14:paraId="356E48CC" w14:textId="620BB56B" w:rsidR="009E47FD" w:rsidRPr="00503B2E" w:rsidRDefault="009E47FD" w:rsidP="009E47FD">
      <w:pPr>
        <w:pStyle w:val="FootnoteText"/>
        <w:rPr>
          <w:szCs w:val="18"/>
        </w:rPr>
      </w:pPr>
      <w:r w:rsidRPr="00503B2E">
        <w:rPr>
          <w:rStyle w:val="FootnoteReference"/>
          <w:szCs w:val="18"/>
        </w:rPr>
        <w:footnoteRef/>
      </w:r>
      <w:r w:rsidRPr="00503B2E">
        <w:rPr>
          <w:szCs w:val="18"/>
        </w:rPr>
        <w:t xml:space="preserve"> Department of Employment and Workplace Relations</w:t>
      </w:r>
      <w:r w:rsidRPr="003F0249">
        <w:rPr>
          <w:szCs w:val="18"/>
        </w:rPr>
        <w:t xml:space="preserve">, </w:t>
      </w:r>
      <w:hyperlink r:id="rId257" w:history="1">
        <w:r w:rsidRPr="003F0249">
          <w:rPr>
            <w:rStyle w:val="Hyperlink"/>
            <w:i/>
            <w:szCs w:val="18"/>
          </w:rPr>
          <w:t xml:space="preserve">Blueprint for the </w:t>
        </w:r>
        <w:r w:rsidR="00185698" w:rsidRPr="005E7597">
          <w:rPr>
            <w:rStyle w:val="Hyperlink"/>
            <w:i/>
            <w:iCs/>
            <w:szCs w:val="18"/>
          </w:rPr>
          <w:t>f</w:t>
        </w:r>
        <w:r w:rsidRPr="003F0249">
          <w:rPr>
            <w:rStyle w:val="Hyperlink"/>
            <w:i/>
            <w:iCs/>
            <w:szCs w:val="18"/>
          </w:rPr>
          <w:t>uture</w:t>
        </w:r>
      </w:hyperlink>
      <w:r w:rsidRPr="003F0249">
        <w:t>, Australian Government</w:t>
      </w:r>
      <w:r w:rsidRPr="009A30AA">
        <w:t xml:space="preserve">, </w:t>
      </w:r>
      <w:r w:rsidRPr="00503B2E">
        <w:t>March 2025. T</w:t>
      </w:r>
      <w:r w:rsidRPr="00503B2E">
        <w:rPr>
          <w:rFonts w:eastAsia="Arial" w:cs="Arial"/>
          <w:lang w:eastAsia="ja-JP"/>
        </w:rPr>
        <w:t xml:space="preserve">he </w:t>
      </w:r>
      <w:r>
        <w:rPr>
          <w:rFonts w:eastAsia="Arial" w:cs="Arial"/>
          <w:lang w:eastAsia="ja-JP"/>
        </w:rPr>
        <w:t>NCIF</w:t>
      </w:r>
      <w:r w:rsidRPr="00503B2E">
        <w:rPr>
          <w:rFonts w:eastAsia="Arial" w:cs="Arial"/>
          <w:lang w:eastAsia="ja-JP"/>
        </w:rPr>
        <w:t xml:space="preserve"> endorsed the </w:t>
      </w:r>
      <w:r w:rsidRPr="00503B2E">
        <w:rPr>
          <w:rFonts w:eastAsia="Arial" w:cs="Arial"/>
          <w:i/>
          <w:iCs/>
          <w:lang w:eastAsia="ja-JP"/>
        </w:rPr>
        <w:t xml:space="preserve">Blueprint for the </w:t>
      </w:r>
      <w:r w:rsidR="00312E4E">
        <w:rPr>
          <w:rFonts w:eastAsia="Arial" w:cs="Arial"/>
          <w:i/>
          <w:iCs/>
          <w:lang w:eastAsia="ja-JP"/>
        </w:rPr>
        <w:t>f</w:t>
      </w:r>
      <w:r w:rsidRPr="009A30AA">
        <w:rPr>
          <w:rFonts w:eastAsia="Arial" w:cs="Arial"/>
          <w:i/>
          <w:iCs/>
          <w:lang w:eastAsia="ja-JP"/>
        </w:rPr>
        <w:t>uture</w:t>
      </w:r>
      <w:r w:rsidR="00312E4E">
        <w:rPr>
          <w:rFonts w:eastAsia="Arial" w:cs="Arial"/>
          <w:i/>
          <w:iCs/>
          <w:lang w:eastAsia="ja-JP"/>
        </w:rPr>
        <w:t xml:space="preserve">: </w:t>
      </w:r>
      <w:hyperlink r:id="rId258" w:history="1">
        <w:r w:rsidR="00C54549">
          <w:rPr>
            <w:rStyle w:val="Hyperlink"/>
            <w:rFonts w:cstheme="minorHAnsi"/>
            <w:i/>
            <w:szCs w:val="18"/>
          </w:rPr>
          <w:t>A</w:t>
        </w:r>
        <w:r w:rsidR="00312E4E" w:rsidRPr="00503B2E">
          <w:rPr>
            <w:rStyle w:val="Hyperlink"/>
            <w:rFonts w:cstheme="minorHAnsi"/>
            <w:i/>
            <w:szCs w:val="18"/>
          </w:rPr>
          <w:t xml:space="preserve"> building and construction industry that works for everyone</w:t>
        </w:r>
      </w:hyperlink>
      <w:r w:rsidRPr="00503B2E">
        <w:rPr>
          <w:rFonts w:eastAsia="Arial" w:cs="Arial"/>
          <w:lang w:eastAsia="ja-JP"/>
        </w:rPr>
        <w:t>, providing tripartite advice to government to address cultural, governance and compliance challenges in the building and construction industry.</w:t>
      </w:r>
    </w:p>
  </w:footnote>
  <w:footnote w:id="313">
    <w:p w14:paraId="62EB9778" w14:textId="70D43380" w:rsidR="009E47FD" w:rsidRPr="00503B2E" w:rsidRDefault="009E47FD" w:rsidP="009E47FD">
      <w:pPr>
        <w:pStyle w:val="FootnoteText"/>
      </w:pPr>
      <w:r w:rsidRPr="00503B2E">
        <w:rPr>
          <w:rStyle w:val="FootnoteReference"/>
        </w:rPr>
        <w:footnoteRef/>
      </w:r>
      <w:r w:rsidRPr="00503B2E">
        <w:t xml:space="preserve"> Department of Employment and Workplace Relations</w:t>
      </w:r>
      <w:r w:rsidRPr="003F0249">
        <w:t xml:space="preserve">, </w:t>
      </w:r>
      <w:hyperlink r:id="rId259" w:history="1">
        <w:r w:rsidRPr="003F0249">
          <w:rPr>
            <w:rStyle w:val="Hyperlink"/>
            <w:i/>
          </w:rPr>
          <w:t xml:space="preserve">Blueprint for the </w:t>
        </w:r>
        <w:r w:rsidR="00185698" w:rsidRPr="005E7597">
          <w:rPr>
            <w:rStyle w:val="Hyperlink"/>
            <w:i/>
          </w:rPr>
          <w:t>f</w:t>
        </w:r>
        <w:r w:rsidRPr="003F0249">
          <w:rPr>
            <w:rStyle w:val="Hyperlink"/>
            <w:i/>
          </w:rPr>
          <w:t>uture</w:t>
        </w:r>
      </w:hyperlink>
      <w:r w:rsidR="00312E4E" w:rsidRPr="003C3271">
        <w:rPr>
          <w:i/>
          <w:iCs/>
        </w:rPr>
        <w:t>:</w:t>
      </w:r>
      <w:hyperlink r:id="rId260" w:history="1">
        <w:r w:rsidR="00312E4E" w:rsidRPr="00503B2E">
          <w:rPr>
            <w:rStyle w:val="Hyperlink"/>
            <w:rFonts w:cstheme="minorHAnsi"/>
            <w:i/>
            <w:szCs w:val="18"/>
          </w:rPr>
          <w:t xml:space="preserve"> </w:t>
        </w:r>
        <w:r w:rsidR="00C54549">
          <w:rPr>
            <w:rStyle w:val="Hyperlink"/>
            <w:rFonts w:cstheme="minorHAnsi"/>
            <w:i/>
            <w:szCs w:val="18"/>
          </w:rPr>
          <w:t>A</w:t>
        </w:r>
        <w:r w:rsidR="00312E4E" w:rsidRPr="00503B2E">
          <w:rPr>
            <w:rStyle w:val="Hyperlink"/>
            <w:rFonts w:cstheme="minorHAnsi"/>
            <w:i/>
            <w:szCs w:val="18"/>
          </w:rPr>
          <w:t xml:space="preserve"> building and construction industry that works for everyone</w:t>
        </w:r>
      </w:hyperlink>
      <w:r w:rsidRPr="003F0249">
        <w:t>, Australian Government</w:t>
      </w:r>
      <w:r>
        <w:t xml:space="preserve">, </w:t>
      </w:r>
      <w:r w:rsidRPr="00503B2E">
        <w:t>March 2025, p 8.</w:t>
      </w:r>
    </w:p>
  </w:footnote>
  <w:footnote w:id="314">
    <w:p w14:paraId="031EBCE0" w14:textId="77777777" w:rsidR="009E47FD" w:rsidRPr="00503B2E" w:rsidRDefault="009E47FD" w:rsidP="009E47FD">
      <w:pPr>
        <w:pStyle w:val="FootnoteText"/>
        <w:rPr>
          <w:szCs w:val="18"/>
        </w:rPr>
      </w:pPr>
      <w:r w:rsidRPr="00503B2E">
        <w:rPr>
          <w:rStyle w:val="FootnoteReference"/>
          <w:szCs w:val="18"/>
        </w:rPr>
        <w:footnoteRef/>
      </w:r>
      <w:r w:rsidRPr="00503B2E" w:rsidDel="00063377">
        <w:rPr>
          <w:szCs w:val="18"/>
        </w:rPr>
        <w:t xml:space="preserve"> </w:t>
      </w:r>
      <w:r w:rsidRPr="00503B2E">
        <w:rPr>
          <w:szCs w:val="18"/>
        </w:rPr>
        <w:t>ACT WHS Act, s 118(1)(da); SA WHS Act, s</w:t>
      </w:r>
      <w:r>
        <w:rPr>
          <w:szCs w:val="18"/>
        </w:rPr>
        <w:t xml:space="preserve"> </w:t>
      </w:r>
      <w:r w:rsidRPr="00503B2E">
        <w:rPr>
          <w:szCs w:val="18"/>
        </w:rPr>
        <w:t>118(1)(ab); Vic OHS Act</w:t>
      </w:r>
      <w:r w:rsidRPr="00503B2E">
        <w:rPr>
          <w:i/>
          <w:szCs w:val="18"/>
        </w:rPr>
        <w:t xml:space="preserve">, </w:t>
      </w:r>
      <w:r w:rsidRPr="00503B2E">
        <w:rPr>
          <w:szCs w:val="18"/>
        </w:rPr>
        <w:t>ss 58 and 89(1)(ba).</w:t>
      </w:r>
    </w:p>
  </w:footnote>
  <w:footnote w:id="315">
    <w:p w14:paraId="4D408E87" w14:textId="77777777" w:rsidR="009E47FD" w:rsidRPr="00F86751" w:rsidRDefault="009E47FD" w:rsidP="009E47FD">
      <w:pPr>
        <w:pStyle w:val="FootnoteText"/>
        <w:rPr>
          <w:rFonts w:cs="Arial"/>
          <w:szCs w:val="18"/>
        </w:rPr>
      </w:pPr>
      <w:r w:rsidRPr="00503B2E">
        <w:rPr>
          <w:rStyle w:val="FootnoteReference"/>
          <w:rFonts w:cs="Arial"/>
          <w:szCs w:val="18"/>
        </w:rPr>
        <w:footnoteRef/>
      </w:r>
      <w:r w:rsidRPr="00503B2E">
        <w:rPr>
          <w:rFonts w:cs="Arial"/>
          <w:szCs w:val="18"/>
        </w:rPr>
        <w:t xml:space="preserve"> </w:t>
      </w:r>
      <w:r w:rsidRPr="00503B2E">
        <w:rPr>
          <w:rFonts w:eastAsia="MS Gothic" w:cs="Arial"/>
          <w:color w:val="000000"/>
          <w:szCs w:val="18"/>
          <w:lang w:eastAsia="ja-JP"/>
        </w:rPr>
        <w:t xml:space="preserve">SA has a number of additional safeguards on expanded information-gathering powers. The EPH must take account of </w:t>
      </w:r>
      <w:r w:rsidRPr="00503B2E">
        <w:rPr>
          <w:rFonts w:eastAsia="MS Gothic" w:cs="Arial"/>
          <w:szCs w:val="18"/>
          <w:lang w:eastAsia="ja-JP"/>
        </w:rPr>
        <w:t>the</w:t>
      </w:r>
      <w:r w:rsidRPr="00503B2E">
        <w:rPr>
          <w:rFonts w:eastAsia="MS Gothic" w:cs="Arial"/>
          <w:color w:val="000000"/>
          <w:szCs w:val="18"/>
          <w:lang w:eastAsia="ja-JP"/>
        </w:rPr>
        <w:t xml:space="preserve"> need to take the measurements and conduct tests in compliance with the Act and other relevant laws. In addition, a photo or video must not be live streamed and there are restrictions on which people may be captured by a photo or video.</w:t>
      </w:r>
    </w:p>
  </w:footnote>
  <w:footnote w:id="316">
    <w:p w14:paraId="40A8B0E1" w14:textId="77777777" w:rsidR="009E47FD" w:rsidRPr="00503B2E" w:rsidRDefault="009E47FD" w:rsidP="009E47FD">
      <w:pPr>
        <w:pStyle w:val="FootnoteText"/>
        <w:rPr>
          <w:szCs w:val="18"/>
        </w:rPr>
      </w:pPr>
      <w:r w:rsidRPr="00503B2E">
        <w:rPr>
          <w:rStyle w:val="FootnoteReference"/>
          <w:szCs w:val="18"/>
        </w:rPr>
        <w:footnoteRef/>
      </w:r>
      <w:r w:rsidRPr="00503B2E">
        <w:rPr>
          <w:szCs w:val="18"/>
        </w:rPr>
        <w:t xml:space="preserve"> </w:t>
      </w:r>
      <w:r w:rsidRPr="00503B2E">
        <w:rPr>
          <w:rFonts w:eastAsia="Aptos" w:cs="Arial"/>
          <w:kern w:val="2"/>
          <w:szCs w:val="18"/>
          <w14:ligatures w14:val="standardContextual"/>
        </w:rPr>
        <w:t>Qld WHS Act, s 118(1)(f)</w:t>
      </w:r>
      <w:r>
        <w:rPr>
          <w:rFonts w:eastAsia="Aptos" w:cs="Arial"/>
          <w:kern w:val="2"/>
          <w:szCs w:val="18"/>
          <w14:ligatures w14:val="standardContextual"/>
        </w:rPr>
        <w:t>,</w:t>
      </w:r>
      <w:r w:rsidRPr="00503B2E">
        <w:rPr>
          <w:rFonts w:eastAsia="Aptos" w:cs="Arial"/>
          <w:kern w:val="2"/>
          <w:szCs w:val="18"/>
          <w14:ligatures w14:val="standardContextual"/>
        </w:rPr>
        <w:t xml:space="preserve"> as amended by </w:t>
      </w:r>
      <w:r w:rsidRPr="00503B2E">
        <w:rPr>
          <w:rFonts w:eastAsia="Aptos" w:cs="Arial"/>
          <w:i/>
          <w:kern w:val="2"/>
          <w:szCs w:val="18"/>
          <w14:ligatures w14:val="standardContextual"/>
        </w:rPr>
        <w:t>Work Health and Safety and Other Legislation Amendment Act 2024 (</w:t>
      </w:r>
      <w:r w:rsidRPr="00503B2E">
        <w:rPr>
          <w:rFonts w:eastAsia="Aptos" w:cs="Arial"/>
          <w:kern w:val="2"/>
          <w:szCs w:val="18"/>
          <w14:ligatures w14:val="standardContextual"/>
        </w:rPr>
        <w:t xml:space="preserve">Qld). See </w:t>
      </w:r>
      <w:r w:rsidRPr="00503B2E">
        <w:rPr>
          <w:szCs w:val="18"/>
        </w:rPr>
        <w:t>C</w:t>
      </w:r>
      <w:r>
        <w:rPr>
          <w:szCs w:val="18"/>
        </w:rPr>
        <w:t> </w:t>
      </w:r>
      <w:r w:rsidRPr="00503B2E">
        <w:rPr>
          <w:szCs w:val="18"/>
        </w:rPr>
        <w:t xml:space="preserve">Allen, C Massy and D Swan, </w:t>
      </w:r>
      <w:hyperlink r:id="rId261" w:history="1">
        <w:r w:rsidRPr="00503B2E">
          <w:rPr>
            <w:rStyle w:val="Hyperlink"/>
            <w:i/>
            <w:iCs/>
            <w:szCs w:val="18"/>
          </w:rPr>
          <w:t>Review of the Work Health and Safety Act 2011</w:t>
        </w:r>
      </w:hyperlink>
      <w:r w:rsidRPr="00503B2E">
        <w:rPr>
          <w:szCs w:val="18"/>
        </w:rPr>
        <w:t xml:space="preserve">, </w:t>
      </w:r>
      <w:r>
        <w:rPr>
          <w:szCs w:val="18"/>
        </w:rPr>
        <w:t xml:space="preserve">Queensland </w:t>
      </w:r>
      <w:r w:rsidRPr="00503B2E">
        <w:rPr>
          <w:szCs w:val="18"/>
        </w:rPr>
        <w:t>Government, 2022</w:t>
      </w:r>
      <w:r w:rsidRPr="00503B2E">
        <w:rPr>
          <w:i/>
          <w:szCs w:val="18"/>
        </w:rPr>
        <w:t xml:space="preserve">, </w:t>
      </w:r>
      <w:r w:rsidRPr="00503B2E">
        <w:rPr>
          <w:szCs w:val="18"/>
        </w:rPr>
        <w:t>p 69,</w:t>
      </w:r>
      <w:r w:rsidRPr="00503B2E">
        <w:rPr>
          <w:i/>
          <w:szCs w:val="18"/>
        </w:rPr>
        <w:t xml:space="preserve"> </w:t>
      </w:r>
      <w:r>
        <w:rPr>
          <w:rFonts w:eastAsia="Aptos" w:cs="Arial"/>
          <w:kern w:val="2"/>
          <w:szCs w:val="18"/>
          <w14:ligatures w14:val="standardContextual"/>
        </w:rPr>
        <w:t>R</w:t>
      </w:r>
      <w:r w:rsidRPr="00503B2E">
        <w:rPr>
          <w:rFonts w:eastAsia="Aptos" w:cs="Arial"/>
          <w:kern w:val="2"/>
          <w:szCs w:val="18"/>
          <w14:ligatures w14:val="standardContextual"/>
        </w:rPr>
        <w:t>ecommendation 11.</w:t>
      </w:r>
    </w:p>
  </w:footnote>
  <w:footnote w:id="317">
    <w:p w14:paraId="22967E6F" w14:textId="77777777" w:rsidR="009E47FD" w:rsidRPr="00503B2E" w:rsidRDefault="009E47FD" w:rsidP="009E47FD">
      <w:pPr>
        <w:pStyle w:val="FootnoteText"/>
        <w:rPr>
          <w:rFonts w:cs="Arial"/>
          <w:szCs w:val="18"/>
        </w:rPr>
      </w:pPr>
      <w:r w:rsidRPr="00503B2E">
        <w:rPr>
          <w:rStyle w:val="FootnoteReference"/>
          <w:rFonts w:cs="Arial"/>
          <w:szCs w:val="18"/>
        </w:rPr>
        <w:footnoteRef/>
      </w:r>
      <w:r w:rsidRPr="00503B2E">
        <w:rPr>
          <w:rFonts w:cs="Arial"/>
          <w:szCs w:val="18"/>
        </w:rPr>
        <w:t xml:space="preserve"> </w:t>
      </w:r>
      <w:r w:rsidRPr="00503B2E">
        <w:rPr>
          <w:rFonts w:eastAsia="Aptos" w:cs="Arial"/>
          <w:kern w:val="2"/>
          <w:szCs w:val="18"/>
          <w14:ligatures w14:val="standardContextual"/>
        </w:rPr>
        <w:t>In 2020, s 118(5) was inserted into the ACT WHS Act</w:t>
      </w:r>
      <w:r>
        <w:rPr>
          <w:rFonts w:eastAsia="Aptos" w:cs="Arial"/>
          <w:kern w:val="2"/>
          <w:szCs w:val="18"/>
          <w14:ligatures w14:val="standardContextual"/>
        </w:rPr>
        <w:t>,</w:t>
      </w:r>
      <w:r w:rsidRPr="00503B2E">
        <w:rPr>
          <w:rFonts w:eastAsia="Aptos" w:cs="Arial"/>
          <w:kern w:val="2"/>
          <w:szCs w:val="18"/>
          <w14:ligatures w14:val="standardContextual"/>
        </w:rPr>
        <w:t xml:space="preserve"> which specifies that if, in the course of inquiring into a suspected contravention of the Act, the EPH reasonably suspects that another contravention has occurred, the WHS EPH may exercise the same rights in relation to the other contravention. Similarly, the NSW WHS Act was amended in 2025 to insert s 118(5), which includes that the EPH may exercise the same functions in relation to another contravention relating to, or affecting, a relevant worker the EPH comes to reasonably suspect while at the workplace.</w:t>
      </w:r>
    </w:p>
  </w:footnote>
  <w:footnote w:id="318">
    <w:p w14:paraId="027D21E0" w14:textId="77777777" w:rsidR="009E47FD" w:rsidRPr="00503B2E" w:rsidRDefault="009E47FD" w:rsidP="009E47FD">
      <w:pPr>
        <w:pStyle w:val="FootnoteText"/>
        <w:rPr>
          <w:rFonts w:cs="Arial"/>
          <w:szCs w:val="18"/>
        </w:rPr>
      </w:pPr>
      <w:r w:rsidRPr="00503B2E">
        <w:rPr>
          <w:rStyle w:val="FootnoteReference"/>
          <w:rFonts w:cs="Arial"/>
          <w:szCs w:val="18"/>
        </w:rPr>
        <w:footnoteRef/>
      </w:r>
      <w:r w:rsidRPr="00503B2E">
        <w:rPr>
          <w:rFonts w:cs="Arial"/>
          <w:szCs w:val="18"/>
        </w:rPr>
        <w:t xml:space="preserve"> Qld WHS Act, s 119</w:t>
      </w:r>
      <w:r>
        <w:rPr>
          <w:rFonts w:cs="Arial"/>
          <w:szCs w:val="18"/>
        </w:rPr>
        <w:t>,</w:t>
      </w:r>
      <w:r w:rsidRPr="00503B2E">
        <w:rPr>
          <w:rFonts w:cs="Arial"/>
          <w:szCs w:val="18"/>
        </w:rPr>
        <w:t xml:space="preserve"> as amended by </w:t>
      </w:r>
      <w:r w:rsidRPr="00503B2E">
        <w:rPr>
          <w:rFonts w:cs="Arial"/>
          <w:i/>
          <w:szCs w:val="18"/>
        </w:rPr>
        <w:t>Work Health and Safety and Other Legislation Amendment Act 2024</w:t>
      </w:r>
      <w:r w:rsidRPr="00503B2E">
        <w:rPr>
          <w:rFonts w:cs="Arial"/>
          <w:szCs w:val="18"/>
        </w:rPr>
        <w:t xml:space="preserve"> (Qld). Section 119 was further amended by the </w:t>
      </w:r>
      <w:r w:rsidRPr="00503B2E">
        <w:rPr>
          <w:rFonts w:cs="Arial"/>
          <w:i/>
          <w:szCs w:val="18"/>
        </w:rPr>
        <w:t>Brisbane Olympic and Paralympic Games Arrangements and Other Legislation Amendment Act 2024</w:t>
      </w:r>
      <w:r w:rsidRPr="00503B2E">
        <w:rPr>
          <w:rFonts w:cs="Arial"/>
          <w:szCs w:val="18"/>
        </w:rPr>
        <w:t xml:space="preserve"> (Qld)</w:t>
      </w:r>
      <w:r>
        <w:rPr>
          <w:rFonts w:cs="Arial"/>
          <w:szCs w:val="18"/>
        </w:rPr>
        <w:t>.</w:t>
      </w:r>
      <w:r w:rsidRPr="00503B2E">
        <w:rPr>
          <w:rFonts w:cs="Arial"/>
          <w:szCs w:val="18"/>
        </w:rPr>
        <w:t xml:space="preserve"> </w:t>
      </w:r>
      <w:r w:rsidRPr="00503B2E">
        <w:rPr>
          <w:rFonts w:eastAsia="Aptos" w:cs="Arial"/>
          <w:kern w:val="2"/>
          <w:szCs w:val="18"/>
          <w14:ligatures w14:val="standardContextual"/>
        </w:rPr>
        <w:t xml:space="preserve">See </w:t>
      </w:r>
      <w:r w:rsidRPr="00503B2E">
        <w:rPr>
          <w:rFonts w:cs="Arial"/>
          <w:szCs w:val="18"/>
        </w:rPr>
        <w:t xml:space="preserve">C Allen, C Massy and D Swan, </w:t>
      </w:r>
      <w:hyperlink r:id="rId262" w:history="1">
        <w:r w:rsidRPr="00503B2E">
          <w:rPr>
            <w:rStyle w:val="Hyperlink"/>
            <w:rFonts w:cs="Arial"/>
            <w:i/>
            <w:szCs w:val="18"/>
          </w:rPr>
          <w:t>Review of the Work Health and Safety Act 2011</w:t>
        </w:r>
      </w:hyperlink>
      <w:r w:rsidRPr="00503B2E">
        <w:rPr>
          <w:rFonts w:cs="Arial"/>
          <w:szCs w:val="18"/>
        </w:rPr>
        <w:t xml:space="preserve">, </w:t>
      </w:r>
      <w:r>
        <w:rPr>
          <w:rFonts w:cs="Arial"/>
          <w:szCs w:val="18"/>
        </w:rPr>
        <w:t xml:space="preserve">Queensland </w:t>
      </w:r>
      <w:r w:rsidRPr="00503B2E">
        <w:rPr>
          <w:rFonts w:cs="Arial"/>
          <w:szCs w:val="18"/>
        </w:rPr>
        <w:t>Government, 2022</w:t>
      </w:r>
      <w:r w:rsidRPr="00503B2E">
        <w:rPr>
          <w:rFonts w:cs="Arial"/>
          <w:i/>
          <w:szCs w:val="18"/>
        </w:rPr>
        <w:t xml:space="preserve">, </w:t>
      </w:r>
      <w:r w:rsidRPr="00503B2E">
        <w:rPr>
          <w:rFonts w:cs="Arial"/>
          <w:szCs w:val="18"/>
        </w:rPr>
        <w:t xml:space="preserve">pp 69–71, </w:t>
      </w:r>
      <w:r>
        <w:rPr>
          <w:rFonts w:cs="Arial"/>
          <w:szCs w:val="18"/>
        </w:rPr>
        <w:t>R</w:t>
      </w:r>
      <w:r w:rsidRPr="00503B2E">
        <w:rPr>
          <w:rFonts w:cs="Arial"/>
          <w:szCs w:val="18"/>
        </w:rPr>
        <w:t>ecommendation 13.</w:t>
      </w:r>
    </w:p>
  </w:footnote>
  <w:footnote w:id="319">
    <w:p w14:paraId="15892EAC" w14:textId="77777777" w:rsidR="009E47FD" w:rsidRPr="00503B2E" w:rsidRDefault="009E47FD" w:rsidP="009E47FD">
      <w:pPr>
        <w:pStyle w:val="FootnoteText"/>
        <w:rPr>
          <w:rFonts w:cs="Arial"/>
        </w:rPr>
      </w:pPr>
      <w:r w:rsidRPr="00503B2E">
        <w:rPr>
          <w:rStyle w:val="FootnoteReference"/>
          <w:rFonts w:cs="Arial"/>
        </w:rPr>
        <w:footnoteRef/>
      </w:r>
      <w:r w:rsidRPr="00503B2E">
        <w:rPr>
          <w:rFonts w:cs="Arial"/>
        </w:rPr>
        <w:t xml:space="preserve"> Model WHS Act, s 130 (</w:t>
      </w:r>
      <w:r w:rsidRPr="007B6B95">
        <w:rPr>
          <w:rFonts w:cs="Arial"/>
        </w:rPr>
        <w:t>WHS entry permit holder not required to disclose names of workers</w:t>
      </w:r>
      <w:r w:rsidRPr="00503B2E">
        <w:rPr>
          <w:rFonts w:cs="Arial"/>
        </w:rPr>
        <w:t>).</w:t>
      </w:r>
    </w:p>
  </w:footnote>
  <w:footnote w:id="320">
    <w:p w14:paraId="4AD03AFA" w14:textId="77777777" w:rsidR="009E47FD" w:rsidRPr="00763BFE" w:rsidRDefault="009E47FD" w:rsidP="009E47FD">
      <w:pPr>
        <w:pStyle w:val="FootnoteText"/>
        <w:rPr>
          <w:rFonts w:cs="Arial"/>
        </w:rPr>
      </w:pPr>
      <w:r w:rsidRPr="00503B2E">
        <w:rPr>
          <w:rStyle w:val="FootnoteReference"/>
          <w:rFonts w:cs="Arial"/>
        </w:rPr>
        <w:footnoteRef/>
      </w:r>
      <w:r w:rsidRPr="00503B2E">
        <w:rPr>
          <w:rFonts w:cs="Arial"/>
        </w:rPr>
        <w:t xml:space="preserve"> C Allen, C Massy and D Swan, </w:t>
      </w:r>
      <w:hyperlink r:id="rId263" w:history="1">
        <w:r w:rsidRPr="00503B2E">
          <w:rPr>
            <w:rStyle w:val="Hyperlink"/>
            <w:rFonts w:cs="Arial"/>
            <w:i/>
          </w:rPr>
          <w:t>Review of the Work Health and Safety Act 2011</w:t>
        </w:r>
      </w:hyperlink>
      <w:r w:rsidRPr="00503B2E">
        <w:rPr>
          <w:rFonts w:cs="Arial"/>
        </w:rPr>
        <w:t xml:space="preserve">, </w:t>
      </w:r>
      <w:r>
        <w:rPr>
          <w:rFonts w:cs="Arial"/>
        </w:rPr>
        <w:t xml:space="preserve">Queensland </w:t>
      </w:r>
      <w:r w:rsidRPr="00503B2E">
        <w:rPr>
          <w:rFonts w:cs="Arial"/>
        </w:rPr>
        <w:t>Government, 2022</w:t>
      </w:r>
      <w:r w:rsidRPr="00503B2E">
        <w:rPr>
          <w:rFonts w:cs="Arial"/>
          <w:szCs w:val="18"/>
        </w:rPr>
        <w:t>,</w:t>
      </w:r>
      <w:r w:rsidRPr="00503B2E">
        <w:rPr>
          <w:rFonts w:cs="Arial"/>
          <w:i/>
          <w:szCs w:val="18"/>
        </w:rPr>
        <w:t xml:space="preserve"> </w:t>
      </w:r>
      <w:r>
        <w:rPr>
          <w:rFonts w:eastAsia="Aptos" w:cs="Arial"/>
          <w:kern w:val="2"/>
          <w:szCs w:val="18"/>
          <w14:ligatures w14:val="standardContextual"/>
        </w:rPr>
        <w:t>R</w:t>
      </w:r>
      <w:r w:rsidRPr="00503B2E">
        <w:rPr>
          <w:rFonts w:eastAsia="Aptos" w:cs="Arial"/>
          <w:kern w:val="2"/>
          <w:szCs w:val="18"/>
          <w14:ligatures w14:val="standardContextual"/>
        </w:rPr>
        <w:t>ecommendation 15.</w:t>
      </w:r>
    </w:p>
  </w:footnote>
  <w:footnote w:id="321">
    <w:p w14:paraId="315B8C6C" w14:textId="77777777" w:rsidR="00CD1226" w:rsidRPr="00503B2E" w:rsidRDefault="00CD1226" w:rsidP="00CD1226">
      <w:pPr>
        <w:pStyle w:val="FootnoteText"/>
      </w:pPr>
      <w:r w:rsidRPr="00503B2E">
        <w:rPr>
          <w:rStyle w:val="FootnoteReference"/>
        </w:rPr>
        <w:footnoteRef/>
      </w:r>
      <w:r w:rsidRPr="00503B2E">
        <w:t xml:space="preserve"> </w:t>
      </w:r>
      <w:r w:rsidRPr="00503B2E">
        <w:rPr>
          <w:rFonts w:cs="Arial"/>
          <w:szCs w:val="18"/>
        </w:rPr>
        <w:t>Schedule 2 may be used to establish the regulator</w:t>
      </w:r>
      <w:r>
        <w:rPr>
          <w:rFonts w:eastAsia="Arial"/>
        </w:rPr>
        <w:t>:</w:t>
      </w:r>
      <w:r w:rsidRPr="00503B2E">
        <w:rPr>
          <w:rFonts w:eastAsia="Arial"/>
        </w:rPr>
        <w:t xml:space="preserve"> model WHS Act, s 152.</w:t>
      </w:r>
    </w:p>
  </w:footnote>
  <w:footnote w:id="322">
    <w:p w14:paraId="2026CED2" w14:textId="485620E7" w:rsidR="00CD1226" w:rsidRPr="00503B2E" w:rsidRDefault="00CD1226" w:rsidP="00CD1226">
      <w:pPr>
        <w:pStyle w:val="FootnoteText"/>
        <w:rPr>
          <w:rFonts w:cs="Arial"/>
          <w:szCs w:val="18"/>
        </w:rPr>
      </w:pPr>
      <w:r w:rsidRPr="00503B2E">
        <w:rPr>
          <w:rStyle w:val="FootnoteReference"/>
        </w:rPr>
        <w:footnoteRef/>
      </w:r>
      <w:r w:rsidRPr="00503B2E">
        <w:rPr>
          <w:rFonts w:cs="Arial"/>
          <w:szCs w:val="18"/>
        </w:rPr>
        <w:t xml:space="preserve"> Model WHS Act, Appendix, Sch 2, p 239.</w:t>
      </w:r>
    </w:p>
  </w:footnote>
  <w:footnote w:id="323">
    <w:p w14:paraId="0BD921FD" w14:textId="4FF40118" w:rsidR="00CD1226" w:rsidRPr="00503B2E" w:rsidRDefault="00CD1226" w:rsidP="00CD1226">
      <w:pPr>
        <w:pStyle w:val="FootnoteText"/>
        <w:widowControl w:val="0"/>
        <w:contextualSpacing w:val="0"/>
        <w:rPr>
          <w:rFonts w:cs="Arial"/>
          <w:szCs w:val="18"/>
        </w:rPr>
      </w:pPr>
      <w:r w:rsidRPr="00503B2E">
        <w:rPr>
          <w:rStyle w:val="FootnoteReference"/>
        </w:rPr>
        <w:footnoteRef/>
      </w:r>
      <w:r w:rsidRPr="00503B2E">
        <w:t xml:space="preserve"> </w:t>
      </w:r>
      <w:r w:rsidRPr="00503B2E">
        <w:rPr>
          <w:rFonts w:cs="Arial"/>
          <w:szCs w:val="18"/>
        </w:rPr>
        <w:t>Work Health and Safety Council, ACT WHS Act, Sch 2</w:t>
      </w:r>
      <w:r>
        <w:rPr>
          <w:rFonts w:cs="Arial"/>
          <w:szCs w:val="18"/>
        </w:rPr>
        <w:t>,</w:t>
      </w:r>
      <w:r w:rsidRPr="00503B2E">
        <w:rPr>
          <w:rFonts w:cs="Arial"/>
          <w:szCs w:val="18"/>
        </w:rPr>
        <w:t xml:space="preserve"> Div 2.1.1; Safety Rehabilitation and Compensation Commission, Cth</w:t>
      </w:r>
      <w:r w:rsidR="003C3271">
        <w:rPr>
          <w:rFonts w:cs="Arial"/>
          <w:szCs w:val="18"/>
        </w:rPr>
        <w:t> </w:t>
      </w:r>
      <w:r w:rsidRPr="00503B2E">
        <w:rPr>
          <w:rFonts w:cs="Arial"/>
          <w:szCs w:val="18"/>
        </w:rPr>
        <w:t>WHS Act</w:t>
      </w:r>
      <w:r w:rsidRPr="00503B2E">
        <w:rPr>
          <w:rStyle w:val="Hyperlink"/>
          <w:szCs w:val="18"/>
        </w:rPr>
        <w:t>,</w:t>
      </w:r>
      <w:r w:rsidRPr="00503B2E">
        <w:rPr>
          <w:rFonts w:cs="Arial"/>
          <w:szCs w:val="18"/>
        </w:rPr>
        <w:t xml:space="preserve"> Sch 2</w:t>
      </w:r>
      <w:r>
        <w:rPr>
          <w:rFonts w:cs="Arial"/>
          <w:szCs w:val="18"/>
        </w:rPr>
        <w:t>,</w:t>
      </w:r>
      <w:r w:rsidRPr="00503B2E">
        <w:rPr>
          <w:rFonts w:cs="Arial"/>
          <w:szCs w:val="18"/>
        </w:rPr>
        <w:t xml:space="preserve"> Pt 2; Advisory Council, NSW WHS Act</w:t>
      </w:r>
      <w:r w:rsidRPr="00503B2E">
        <w:rPr>
          <w:rStyle w:val="Hyperlink"/>
          <w:szCs w:val="18"/>
        </w:rPr>
        <w:t>,</w:t>
      </w:r>
      <w:r w:rsidRPr="00503B2E">
        <w:rPr>
          <w:rFonts w:cs="Arial"/>
          <w:szCs w:val="18"/>
        </w:rPr>
        <w:t xml:space="preserve"> Sch</w:t>
      </w:r>
      <w:r>
        <w:rPr>
          <w:rFonts w:cs="Arial"/>
          <w:szCs w:val="18"/>
        </w:rPr>
        <w:t xml:space="preserve"> </w:t>
      </w:r>
      <w:r w:rsidRPr="00503B2E">
        <w:rPr>
          <w:rFonts w:cs="Arial"/>
          <w:szCs w:val="18"/>
        </w:rPr>
        <w:t xml:space="preserve">1A; Work Health and Safety Advisory Council, </w:t>
      </w:r>
      <w:r w:rsidRPr="00B11E9D">
        <w:rPr>
          <w:rFonts w:cs="Arial"/>
          <w:i/>
          <w:szCs w:val="18"/>
        </w:rPr>
        <w:t>Work Health and Safety (National Uniform Legislation) Act 2011</w:t>
      </w:r>
      <w:r w:rsidRPr="00503B2E">
        <w:rPr>
          <w:rFonts w:cs="Arial"/>
          <w:szCs w:val="18"/>
        </w:rPr>
        <w:t xml:space="preserve"> (NT), Sch</w:t>
      </w:r>
      <w:r>
        <w:rPr>
          <w:rFonts w:cs="Arial"/>
          <w:szCs w:val="18"/>
        </w:rPr>
        <w:t xml:space="preserve"> </w:t>
      </w:r>
      <w:r w:rsidRPr="00503B2E">
        <w:rPr>
          <w:rFonts w:cs="Arial"/>
          <w:szCs w:val="18"/>
        </w:rPr>
        <w:t>2; SafeWork SA Advisory Committee, SA WHS Act, Pt 1</w:t>
      </w:r>
      <w:r>
        <w:rPr>
          <w:rFonts w:cs="Arial"/>
          <w:szCs w:val="18"/>
        </w:rPr>
        <w:t>,</w:t>
      </w:r>
      <w:r w:rsidRPr="00503B2E">
        <w:rPr>
          <w:rFonts w:cs="Arial"/>
          <w:szCs w:val="18"/>
        </w:rPr>
        <w:t xml:space="preserve"> Div 5</w:t>
      </w:r>
      <w:r>
        <w:rPr>
          <w:rFonts w:cs="Arial"/>
          <w:szCs w:val="18"/>
        </w:rPr>
        <w:t>,</w:t>
      </w:r>
      <w:r w:rsidRPr="00503B2E">
        <w:rPr>
          <w:rFonts w:cs="Arial"/>
          <w:szCs w:val="18"/>
        </w:rPr>
        <w:t xml:space="preserve"> and Sch</w:t>
      </w:r>
      <w:r w:rsidR="003C3271">
        <w:rPr>
          <w:rFonts w:cs="Arial"/>
          <w:szCs w:val="18"/>
        </w:rPr>
        <w:t> </w:t>
      </w:r>
      <w:r w:rsidRPr="00503B2E">
        <w:rPr>
          <w:rFonts w:cs="Arial"/>
          <w:szCs w:val="18"/>
        </w:rPr>
        <w:t>2</w:t>
      </w:r>
      <w:r>
        <w:rPr>
          <w:rFonts w:cs="Arial"/>
          <w:szCs w:val="18"/>
        </w:rPr>
        <w:t>,</w:t>
      </w:r>
      <w:r w:rsidRPr="00503B2E">
        <w:rPr>
          <w:rFonts w:cs="Arial"/>
          <w:szCs w:val="18"/>
        </w:rPr>
        <w:t xml:space="preserve"> Pt 2; Work Health and Safety Board, </w:t>
      </w:r>
      <w:hyperlink r:id="rId264" w:anchor="sch.2" w:history="1">
        <w:r w:rsidRPr="00503B2E">
          <w:rPr>
            <w:rFonts w:cs="Arial"/>
            <w:szCs w:val="18"/>
          </w:rPr>
          <w:t>Qld WHS Act</w:t>
        </w:r>
      </w:hyperlink>
      <w:r w:rsidRPr="00503B2E">
        <w:rPr>
          <w:rFonts w:cs="Arial"/>
          <w:szCs w:val="18"/>
        </w:rPr>
        <w:t>, Sch</w:t>
      </w:r>
      <w:r>
        <w:rPr>
          <w:rFonts w:cs="Arial"/>
          <w:szCs w:val="18"/>
        </w:rPr>
        <w:t xml:space="preserve"> </w:t>
      </w:r>
      <w:r w:rsidRPr="00503B2E">
        <w:rPr>
          <w:rFonts w:cs="Arial"/>
          <w:szCs w:val="18"/>
        </w:rPr>
        <w:t>2</w:t>
      </w:r>
      <w:r>
        <w:rPr>
          <w:rFonts w:cs="Arial"/>
          <w:szCs w:val="18"/>
        </w:rPr>
        <w:t>,</w:t>
      </w:r>
      <w:r w:rsidRPr="00503B2E">
        <w:rPr>
          <w:rFonts w:cs="Arial"/>
          <w:szCs w:val="18"/>
        </w:rPr>
        <w:t xml:space="preserve"> Pt 2</w:t>
      </w:r>
      <w:r>
        <w:rPr>
          <w:rFonts w:cs="Arial"/>
          <w:szCs w:val="18"/>
        </w:rPr>
        <w:t>,</w:t>
      </w:r>
      <w:r w:rsidRPr="00503B2E">
        <w:rPr>
          <w:rFonts w:cs="Arial"/>
          <w:szCs w:val="18"/>
        </w:rPr>
        <w:t xml:space="preserve"> Div 2; Workcover Tasmania Board, </w:t>
      </w:r>
      <w:r w:rsidRPr="0004368C">
        <w:rPr>
          <w:rFonts w:cs="Arial"/>
          <w:i/>
          <w:szCs w:val="18"/>
        </w:rPr>
        <w:t>Work Health and Safety Act 2012</w:t>
      </w:r>
      <w:r w:rsidRPr="00503B2E">
        <w:rPr>
          <w:rFonts w:cs="Arial"/>
          <w:szCs w:val="18"/>
        </w:rPr>
        <w:t xml:space="preserve"> (Tas), Sch</w:t>
      </w:r>
      <w:r>
        <w:rPr>
          <w:rFonts w:cs="Arial"/>
          <w:szCs w:val="18"/>
        </w:rPr>
        <w:t xml:space="preserve"> </w:t>
      </w:r>
      <w:r w:rsidRPr="00503B2E">
        <w:rPr>
          <w:rFonts w:cs="Arial"/>
          <w:szCs w:val="18"/>
        </w:rPr>
        <w:t>2</w:t>
      </w:r>
      <w:r>
        <w:rPr>
          <w:rFonts w:cs="Arial"/>
          <w:szCs w:val="18"/>
        </w:rPr>
        <w:t>,</w:t>
      </w:r>
      <w:r w:rsidRPr="00503B2E">
        <w:rPr>
          <w:rFonts w:cs="Arial"/>
          <w:szCs w:val="18"/>
        </w:rPr>
        <w:t xml:space="preserve"> Pt 2; Occupational Health and Safety Advisory Committee, Vic OHS Act, Pt 2</w:t>
      </w:r>
      <w:r>
        <w:rPr>
          <w:rFonts w:cs="Arial"/>
          <w:szCs w:val="18"/>
        </w:rPr>
        <w:t>,</w:t>
      </w:r>
      <w:r w:rsidRPr="00503B2E">
        <w:rPr>
          <w:rFonts w:cs="Arial"/>
          <w:szCs w:val="18"/>
        </w:rPr>
        <w:t xml:space="preserve"> Div 6; Work Health and Safety Commission, WA WHS Act</w:t>
      </w:r>
      <w:r>
        <w:rPr>
          <w:rFonts w:cs="Arial"/>
          <w:szCs w:val="18"/>
        </w:rPr>
        <w:t>,</w:t>
      </w:r>
      <w:r w:rsidRPr="00503B2E">
        <w:rPr>
          <w:rFonts w:cs="Arial"/>
          <w:szCs w:val="18"/>
        </w:rPr>
        <w:t xml:space="preserve"> Sch</w:t>
      </w:r>
      <w:r>
        <w:rPr>
          <w:rFonts w:cs="Arial"/>
          <w:szCs w:val="18"/>
        </w:rPr>
        <w:t xml:space="preserve"> </w:t>
      </w:r>
      <w:r w:rsidRPr="00503B2E">
        <w:rPr>
          <w:rFonts w:cs="Arial"/>
          <w:szCs w:val="18"/>
        </w:rPr>
        <w:t>1</w:t>
      </w:r>
      <w:r>
        <w:rPr>
          <w:rFonts w:cs="Arial"/>
          <w:szCs w:val="18"/>
        </w:rPr>
        <w:t>,</w:t>
      </w:r>
      <w:r w:rsidRPr="00503B2E">
        <w:rPr>
          <w:rFonts w:cs="Arial"/>
          <w:szCs w:val="18"/>
        </w:rPr>
        <w:t xml:space="preserve"> Div 3.</w:t>
      </w:r>
    </w:p>
  </w:footnote>
  <w:footnote w:id="324">
    <w:p w14:paraId="23F99644" w14:textId="77777777" w:rsidR="00CD1226" w:rsidRPr="00503B2E" w:rsidRDefault="00CD1226" w:rsidP="00CD1226">
      <w:pPr>
        <w:pStyle w:val="FootnoteText"/>
        <w:rPr>
          <w:rFonts w:cs="Arial"/>
          <w:szCs w:val="18"/>
        </w:rPr>
      </w:pPr>
      <w:r w:rsidRPr="00503B2E">
        <w:rPr>
          <w:rStyle w:val="FootnoteReference"/>
          <w:rFonts w:cs="Arial"/>
          <w:szCs w:val="18"/>
        </w:rPr>
        <w:footnoteRef/>
      </w:r>
      <w:r w:rsidRPr="00503B2E">
        <w:rPr>
          <w:rFonts w:cs="Arial"/>
          <w:szCs w:val="18"/>
        </w:rPr>
        <w:t xml:space="preserve"> ACT WHS Act, Sch</w:t>
      </w:r>
      <w:r>
        <w:rPr>
          <w:rFonts w:cs="Arial"/>
          <w:szCs w:val="18"/>
        </w:rPr>
        <w:t xml:space="preserve"> </w:t>
      </w:r>
      <w:r w:rsidRPr="00503B2E">
        <w:rPr>
          <w:rFonts w:cs="Arial"/>
          <w:szCs w:val="18"/>
        </w:rPr>
        <w:t xml:space="preserve">2, </w:t>
      </w:r>
      <w:r>
        <w:rPr>
          <w:rFonts w:cs="Arial"/>
          <w:szCs w:val="18"/>
        </w:rPr>
        <w:t xml:space="preserve">s </w:t>
      </w:r>
      <w:r w:rsidRPr="00503B2E">
        <w:rPr>
          <w:rFonts w:cs="Arial"/>
          <w:szCs w:val="18"/>
        </w:rPr>
        <w:t>2.2(2)(a); Tas WHS Act, Sch</w:t>
      </w:r>
      <w:r>
        <w:rPr>
          <w:rFonts w:cs="Arial"/>
          <w:szCs w:val="18"/>
        </w:rPr>
        <w:t xml:space="preserve"> </w:t>
      </w:r>
      <w:r w:rsidRPr="00503B2E">
        <w:rPr>
          <w:rFonts w:cs="Arial"/>
          <w:szCs w:val="18"/>
        </w:rPr>
        <w:t>2, s 2(b)–(c). See also WA WHS Act, Sch</w:t>
      </w:r>
      <w:r>
        <w:rPr>
          <w:rFonts w:cs="Arial"/>
          <w:szCs w:val="18"/>
        </w:rPr>
        <w:t xml:space="preserve"> </w:t>
      </w:r>
      <w:r w:rsidRPr="00503B2E">
        <w:rPr>
          <w:rFonts w:cs="Arial"/>
          <w:szCs w:val="18"/>
        </w:rPr>
        <w:t>1</w:t>
      </w:r>
      <w:r>
        <w:rPr>
          <w:rFonts w:cs="Arial"/>
          <w:szCs w:val="18"/>
        </w:rPr>
        <w:t>,</w:t>
      </w:r>
      <w:r w:rsidRPr="00503B2E">
        <w:rPr>
          <w:rFonts w:cs="Arial"/>
          <w:szCs w:val="18"/>
        </w:rPr>
        <w:t xml:space="preserve"> s</w:t>
      </w:r>
      <w:r>
        <w:rPr>
          <w:rFonts w:cs="Arial"/>
          <w:szCs w:val="18"/>
        </w:rPr>
        <w:t xml:space="preserve"> </w:t>
      </w:r>
      <w:r w:rsidRPr="00503B2E">
        <w:rPr>
          <w:rFonts w:cs="Arial"/>
          <w:szCs w:val="18"/>
        </w:rPr>
        <w:t>18(1)(b).</w:t>
      </w:r>
    </w:p>
  </w:footnote>
  <w:footnote w:id="325">
    <w:p w14:paraId="390680C0" w14:textId="77777777" w:rsidR="00CD1226" w:rsidRPr="00503B2E" w:rsidRDefault="00CD1226" w:rsidP="00CD1226">
      <w:pPr>
        <w:pStyle w:val="FootnoteText"/>
        <w:rPr>
          <w:rFonts w:cs="Arial"/>
          <w:szCs w:val="18"/>
        </w:rPr>
      </w:pPr>
      <w:r w:rsidRPr="00503B2E">
        <w:rPr>
          <w:rStyle w:val="FootnoteReference"/>
          <w:rFonts w:cs="Arial"/>
          <w:szCs w:val="18"/>
        </w:rPr>
        <w:footnoteRef/>
      </w:r>
      <w:r w:rsidRPr="00503B2E">
        <w:rPr>
          <w:rFonts w:cs="Arial"/>
          <w:szCs w:val="18"/>
        </w:rPr>
        <w:t xml:space="preserve"> Qld WHS Act, Sch</w:t>
      </w:r>
      <w:r>
        <w:rPr>
          <w:rFonts w:cs="Arial"/>
          <w:szCs w:val="18"/>
        </w:rPr>
        <w:t xml:space="preserve"> </w:t>
      </w:r>
      <w:r w:rsidRPr="00503B2E">
        <w:rPr>
          <w:rFonts w:cs="Arial"/>
          <w:szCs w:val="18"/>
        </w:rPr>
        <w:t>2, s</w:t>
      </w:r>
      <w:r>
        <w:rPr>
          <w:rFonts w:cs="Arial"/>
          <w:szCs w:val="18"/>
        </w:rPr>
        <w:t xml:space="preserve"> </w:t>
      </w:r>
      <w:r w:rsidRPr="00503B2E">
        <w:rPr>
          <w:rFonts w:cs="Arial"/>
          <w:szCs w:val="18"/>
        </w:rPr>
        <w:t>4(e).</w:t>
      </w:r>
    </w:p>
  </w:footnote>
  <w:footnote w:id="326">
    <w:p w14:paraId="39BA1D24" w14:textId="44BA16D5" w:rsidR="00EB3C05" w:rsidRPr="00503B2E" w:rsidRDefault="00EB3C05" w:rsidP="00EB3C05">
      <w:pPr>
        <w:widowControl w:val="0"/>
        <w:spacing w:after="0" w:line="240" w:lineRule="auto"/>
        <w:contextualSpacing w:val="0"/>
        <w:rPr>
          <w:rFonts w:asciiTheme="minorHAnsi" w:hAnsiTheme="minorHAnsi" w:cs="Arial"/>
          <w:sz w:val="18"/>
          <w:szCs w:val="18"/>
        </w:rPr>
      </w:pPr>
      <w:r w:rsidRPr="00503B2E">
        <w:rPr>
          <w:rStyle w:val="FootnoteReference"/>
          <w:rFonts w:asciiTheme="minorHAnsi" w:hAnsiTheme="minorHAnsi" w:cs="Arial"/>
          <w:sz w:val="18"/>
          <w:szCs w:val="18"/>
        </w:rPr>
        <w:footnoteRef/>
      </w:r>
      <w:r w:rsidRPr="00503B2E">
        <w:rPr>
          <w:rFonts w:asciiTheme="minorHAnsi" w:hAnsiTheme="minorHAnsi" w:cs="Arial"/>
          <w:sz w:val="18"/>
          <w:szCs w:val="18"/>
        </w:rPr>
        <w:t xml:space="preserve"> </w:t>
      </w:r>
      <w:hyperlink r:id="rId265" w:history="1">
        <w:r w:rsidRPr="00503B2E">
          <w:rPr>
            <w:rStyle w:val="Hyperlink"/>
            <w:rFonts w:asciiTheme="minorHAnsi" w:hAnsiTheme="minorHAnsi" w:cs="Arial"/>
            <w:sz w:val="18"/>
            <w:szCs w:val="18"/>
          </w:rPr>
          <w:t>WorkSafe WA</w:t>
        </w:r>
      </w:hyperlink>
      <w:r>
        <w:rPr>
          <w:rFonts w:asciiTheme="minorHAnsi" w:hAnsiTheme="minorHAnsi" w:cs="Arial"/>
          <w:sz w:val="18"/>
          <w:szCs w:val="18"/>
        </w:rPr>
        <w:t xml:space="preserve">, </w:t>
      </w:r>
      <w:r w:rsidRPr="00503B2E">
        <w:rPr>
          <w:rFonts w:asciiTheme="minorHAnsi" w:hAnsiTheme="minorHAnsi" w:cs="Arial"/>
          <w:sz w:val="18"/>
          <w:szCs w:val="18"/>
        </w:rPr>
        <w:t xml:space="preserve">Submission, p 15; </w:t>
      </w:r>
      <w:hyperlink r:id="rId266" w:history="1">
        <w:r w:rsidRPr="00503B2E">
          <w:rPr>
            <w:rStyle w:val="Hyperlink"/>
            <w:rFonts w:asciiTheme="minorHAnsi" w:hAnsiTheme="minorHAnsi" w:cs="Arial"/>
            <w:sz w:val="18"/>
            <w:szCs w:val="18"/>
          </w:rPr>
          <w:t>Office of WHS Commissioner ACT</w:t>
        </w:r>
      </w:hyperlink>
      <w:r w:rsidRPr="00503B2E">
        <w:rPr>
          <w:rFonts w:asciiTheme="minorHAnsi" w:hAnsiTheme="minorHAnsi" w:cs="Arial"/>
          <w:sz w:val="18"/>
          <w:szCs w:val="18"/>
        </w:rPr>
        <w:t xml:space="preserve">, Submission, p 15; </w:t>
      </w:r>
      <w:hyperlink r:id="rId267" w:history="1">
        <w:r w:rsidRPr="00503B2E">
          <w:rPr>
            <w:rStyle w:val="Hyperlink"/>
            <w:rFonts w:asciiTheme="minorHAnsi" w:hAnsiTheme="minorHAnsi" w:cs="Arial"/>
            <w:sz w:val="18"/>
            <w:szCs w:val="18"/>
          </w:rPr>
          <w:t>NFF</w:t>
        </w:r>
      </w:hyperlink>
      <w:r w:rsidRPr="00503B2E">
        <w:rPr>
          <w:rFonts w:asciiTheme="minorHAnsi" w:hAnsiTheme="minorHAnsi" w:cs="Arial"/>
          <w:sz w:val="18"/>
          <w:szCs w:val="18"/>
        </w:rPr>
        <w:t xml:space="preserve">, Submission, p 8; </w:t>
      </w:r>
      <w:hyperlink r:id="rId268" w:history="1">
        <w:r w:rsidRPr="00503B2E">
          <w:rPr>
            <w:rStyle w:val="Hyperlink"/>
            <w:rFonts w:asciiTheme="minorHAnsi" w:eastAsia="Aptos" w:hAnsiTheme="minorHAnsi" w:cs="Arial"/>
            <w:sz w:val="18"/>
            <w:szCs w:val="18"/>
          </w:rPr>
          <w:t>CFMEU</w:t>
        </w:r>
      </w:hyperlink>
      <w:r w:rsidRPr="00503B2E">
        <w:rPr>
          <w:rFonts w:asciiTheme="minorHAnsi" w:eastAsia="Aptos" w:hAnsiTheme="minorHAnsi" w:cs="Arial"/>
          <w:sz w:val="18"/>
          <w:szCs w:val="18"/>
        </w:rPr>
        <w:t>, Submission, p 9</w:t>
      </w:r>
      <w:r w:rsidRPr="00503B2E">
        <w:rPr>
          <w:rFonts w:asciiTheme="minorHAnsi" w:hAnsiTheme="minorHAnsi" w:cs="Arial"/>
          <w:sz w:val="18"/>
          <w:szCs w:val="18"/>
        </w:rPr>
        <w:t>; Unions Tasmania, Consultation, September 2025; Queensland Council of Unions, Consultation, September 2025.</w:t>
      </w:r>
    </w:p>
  </w:footnote>
  <w:footnote w:id="327">
    <w:p w14:paraId="33FCB782" w14:textId="77777777" w:rsidR="00EB3C05" w:rsidRPr="00503B2E" w:rsidRDefault="00EB3C05" w:rsidP="00EB3C05">
      <w:pPr>
        <w:pStyle w:val="FootnoteText"/>
        <w:rPr>
          <w:rFonts w:cs="Arial"/>
          <w:szCs w:val="18"/>
        </w:rPr>
      </w:pPr>
      <w:r w:rsidRPr="00503B2E">
        <w:rPr>
          <w:rStyle w:val="FootnoteReference"/>
          <w:rFonts w:cs="Arial"/>
          <w:szCs w:val="18"/>
        </w:rPr>
        <w:footnoteRef/>
      </w:r>
      <w:r w:rsidRPr="00503B2E">
        <w:rPr>
          <w:rFonts w:cs="Arial"/>
          <w:szCs w:val="18"/>
        </w:rPr>
        <w:t xml:space="preserve"> Queensland Council of Unions, Consultation, September 2025; Unions Tasmania Consultation, September 2025; Unions NSW Consultation, October 2025, </w:t>
      </w:r>
      <w:hyperlink r:id="rId269" w:history="1">
        <w:r w:rsidRPr="00503B2E">
          <w:rPr>
            <w:rStyle w:val="Hyperlink"/>
            <w:rFonts w:cs="Arial"/>
            <w:szCs w:val="18"/>
          </w:rPr>
          <w:t>New South Wales Nurses and Midwives Association</w:t>
        </w:r>
      </w:hyperlink>
      <w:r w:rsidRPr="00503B2E">
        <w:rPr>
          <w:rFonts w:cs="Arial"/>
          <w:szCs w:val="18"/>
        </w:rPr>
        <w:t>, Submission, pp 23–25.</w:t>
      </w:r>
    </w:p>
  </w:footnote>
  <w:footnote w:id="328">
    <w:p w14:paraId="0118D05F" w14:textId="77777777" w:rsidR="00EB3C05" w:rsidRPr="0056492B" w:rsidRDefault="00EB3C05" w:rsidP="00EB3C05">
      <w:pPr>
        <w:pStyle w:val="FootnoteText"/>
        <w:rPr>
          <w:szCs w:val="18"/>
        </w:rPr>
      </w:pPr>
      <w:r w:rsidRPr="00503B2E">
        <w:rPr>
          <w:rStyle w:val="FootnoteReference"/>
          <w:szCs w:val="18"/>
        </w:rPr>
        <w:footnoteRef/>
      </w:r>
      <w:r w:rsidRPr="00503B2E">
        <w:rPr>
          <w:szCs w:val="18"/>
        </w:rPr>
        <w:t xml:space="preserve"> NSW Department of Premier and Cabinet, </w:t>
      </w:r>
      <w:hyperlink r:id="rId270" w:history="1">
        <w:r w:rsidRPr="00503B2E">
          <w:rPr>
            <w:rStyle w:val="Hyperlink"/>
            <w:szCs w:val="18"/>
          </w:rPr>
          <w:t>M1997-26 Litigation Involving Government Authorities</w:t>
        </w:r>
      </w:hyperlink>
      <w:r w:rsidRPr="00503B2E">
        <w:rPr>
          <w:szCs w:val="18"/>
        </w:rPr>
        <w:t>, Memorandum, 1997.</w:t>
      </w:r>
    </w:p>
  </w:footnote>
  <w:footnote w:id="329">
    <w:p w14:paraId="54E643A4" w14:textId="574DD00D" w:rsidR="000073ED" w:rsidRPr="00503B2E" w:rsidRDefault="000073ED" w:rsidP="000073ED">
      <w:pPr>
        <w:pStyle w:val="FootnoteText"/>
        <w:rPr>
          <w:rFonts w:cs="Arial"/>
          <w:i/>
          <w:szCs w:val="18"/>
        </w:rPr>
      </w:pPr>
      <w:r w:rsidRPr="00503B2E">
        <w:rPr>
          <w:rStyle w:val="FootnoteReference"/>
          <w:rFonts w:cs="Arial"/>
          <w:szCs w:val="18"/>
        </w:rPr>
        <w:footnoteRef/>
      </w:r>
      <w:r w:rsidRPr="00503B2E">
        <w:rPr>
          <w:rFonts w:cs="Arial"/>
          <w:szCs w:val="18"/>
        </w:rPr>
        <w:t xml:space="preserve"> See also Organisation for Economic Co-operation and Development, </w:t>
      </w:r>
      <w:hyperlink r:id="rId271" w:history="1">
        <w:r w:rsidRPr="00FB493E">
          <w:rPr>
            <w:rStyle w:val="Hyperlink"/>
            <w:rFonts w:cs="Arial"/>
            <w:i/>
            <w:iCs/>
            <w:szCs w:val="18"/>
          </w:rPr>
          <w:t>Being an independent regulator</w:t>
        </w:r>
      </w:hyperlink>
      <w:r w:rsidRPr="00503B2E">
        <w:rPr>
          <w:rFonts w:cs="Arial"/>
          <w:szCs w:val="18"/>
        </w:rPr>
        <w:t>,</w:t>
      </w:r>
      <w:r>
        <w:rPr>
          <w:rFonts w:cs="Arial"/>
          <w:szCs w:val="18"/>
        </w:rPr>
        <w:t xml:space="preserve"> Governance of Regulators, OECD, </w:t>
      </w:r>
      <w:r w:rsidRPr="00503B2E">
        <w:rPr>
          <w:rFonts w:cs="Arial"/>
          <w:szCs w:val="18"/>
        </w:rPr>
        <w:t>2016, accessed 8 May 2026, pp 34–35.</w:t>
      </w:r>
    </w:p>
  </w:footnote>
  <w:footnote w:id="330">
    <w:p w14:paraId="20BDD4E7" w14:textId="240FCE84" w:rsidR="000073ED" w:rsidRPr="00503B2E" w:rsidRDefault="000073ED" w:rsidP="000073ED">
      <w:pPr>
        <w:pStyle w:val="FootnoteText"/>
        <w:rPr>
          <w:rFonts w:cs="Arial"/>
          <w:szCs w:val="18"/>
        </w:rPr>
      </w:pPr>
      <w:r w:rsidRPr="00503B2E">
        <w:rPr>
          <w:rStyle w:val="FootnoteReference"/>
          <w:rFonts w:cs="Arial"/>
          <w:szCs w:val="18"/>
        </w:rPr>
        <w:footnoteRef/>
      </w:r>
      <w:r w:rsidRPr="00503B2E">
        <w:rPr>
          <w:rFonts w:cs="Arial"/>
          <w:szCs w:val="18"/>
        </w:rPr>
        <w:t xml:space="preserve"> R McDougall KC, </w:t>
      </w:r>
      <w:hyperlink r:id="rId272" w:history="1">
        <w:r w:rsidRPr="00503B2E">
          <w:rPr>
            <w:rStyle w:val="Hyperlink"/>
            <w:rFonts w:cs="Arial"/>
            <w:i/>
            <w:szCs w:val="18"/>
          </w:rPr>
          <w:t>Independent Review of SafeWork NSW</w:t>
        </w:r>
      </w:hyperlink>
      <w:r w:rsidRPr="00503B2E">
        <w:rPr>
          <w:rFonts w:cs="Arial"/>
          <w:szCs w:val="18"/>
        </w:rPr>
        <w:t>, SafeWork NSW, 2023, p 294.</w:t>
      </w:r>
    </w:p>
  </w:footnote>
  <w:footnote w:id="331">
    <w:p w14:paraId="2D9D7218" w14:textId="77777777" w:rsidR="000073ED" w:rsidRPr="00503B2E" w:rsidRDefault="000073ED" w:rsidP="000073ED">
      <w:pPr>
        <w:pStyle w:val="FootnoteText"/>
        <w:rPr>
          <w:rFonts w:cs="Arial"/>
          <w:szCs w:val="18"/>
        </w:rPr>
      </w:pPr>
      <w:r w:rsidRPr="00503B2E">
        <w:rPr>
          <w:rStyle w:val="FootnoteReference"/>
          <w:rFonts w:cs="Arial"/>
          <w:szCs w:val="18"/>
        </w:rPr>
        <w:footnoteRef/>
      </w:r>
      <w:r w:rsidRPr="00503B2E">
        <w:rPr>
          <w:rFonts w:cs="Arial"/>
          <w:szCs w:val="18"/>
        </w:rPr>
        <w:t xml:space="preserve"> T Lyons, </w:t>
      </w:r>
      <w:hyperlink r:id="rId273" w:history="1">
        <w:r w:rsidRPr="00503B2E">
          <w:rPr>
            <w:rStyle w:val="Hyperlink"/>
            <w:rFonts w:cs="Arial"/>
            <w:i/>
            <w:szCs w:val="18"/>
          </w:rPr>
          <w:t xml:space="preserve">Best Practice Review of Workplace Health and Safety in the Northern Territory: </w:t>
        </w:r>
        <w:r>
          <w:rPr>
            <w:rStyle w:val="Hyperlink"/>
            <w:rFonts w:cs="Arial"/>
            <w:i/>
            <w:szCs w:val="18"/>
          </w:rPr>
          <w:t>f</w:t>
        </w:r>
        <w:r w:rsidRPr="00503B2E">
          <w:rPr>
            <w:rStyle w:val="Hyperlink"/>
            <w:rFonts w:cs="Arial"/>
            <w:i/>
            <w:szCs w:val="18"/>
          </w:rPr>
          <w:t xml:space="preserve">inal </w:t>
        </w:r>
        <w:r>
          <w:rPr>
            <w:rStyle w:val="Hyperlink"/>
            <w:rFonts w:cs="Arial"/>
            <w:i/>
            <w:szCs w:val="18"/>
          </w:rPr>
          <w:t>r</w:t>
        </w:r>
        <w:r w:rsidRPr="00503B2E">
          <w:rPr>
            <w:rStyle w:val="Hyperlink"/>
            <w:rFonts w:cs="Arial"/>
            <w:i/>
            <w:szCs w:val="18"/>
          </w:rPr>
          <w:t>eport</w:t>
        </w:r>
      </w:hyperlink>
      <w:r w:rsidRPr="00503B2E">
        <w:rPr>
          <w:rFonts w:cs="Arial"/>
          <w:szCs w:val="18"/>
        </w:rPr>
        <w:t>, NT Government, 2019, p 5. See also C Maxwell</w:t>
      </w:r>
      <w:r w:rsidRPr="00503B2E">
        <w:rPr>
          <w:rFonts w:cs="Arial"/>
          <w:i/>
          <w:szCs w:val="18"/>
        </w:rPr>
        <w:t xml:space="preserve">, Occupational Health and Safety Act </w:t>
      </w:r>
      <w:r>
        <w:rPr>
          <w:rFonts w:cs="Arial"/>
          <w:i/>
          <w:szCs w:val="18"/>
        </w:rPr>
        <w:t>R</w:t>
      </w:r>
      <w:r w:rsidRPr="00503B2E">
        <w:rPr>
          <w:rFonts w:cs="Arial"/>
          <w:i/>
          <w:szCs w:val="18"/>
        </w:rPr>
        <w:t>eview</w:t>
      </w:r>
      <w:r w:rsidRPr="00503B2E">
        <w:rPr>
          <w:rFonts w:cs="Arial"/>
          <w:szCs w:val="18"/>
        </w:rPr>
        <w:t>, Victorian Government, 2004, p 56.</w:t>
      </w:r>
    </w:p>
  </w:footnote>
  <w:footnote w:id="332">
    <w:p w14:paraId="0C2EC3D6" w14:textId="77777777" w:rsidR="000073ED" w:rsidRPr="00503B2E" w:rsidRDefault="000073ED" w:rsidP="000073ED">
      <w:pPr>
        <w:pStyle w:val="FootnoteText"/>
      </w:pPr>
      <w:r w:rsidRPr="00503B2E">
        <w:rPr>
          <w:rStyle w:val="FootnoteReference"/>
        </w:rPr>
        <w:footnoteRef/>
      </w:r>
      <w:r w:rsidRPr="00503B2E">
        <w:t xml:space="preserve"> WA WHS Act, s 152.</w:t>
      </w:r>
    </w:p>
  </w:footnote>
  <w:footnote w:id="333">
    <w:p w14:paraId="791B964C" w14:textId="77777777" w:rsidR="000073ED" w:rsidRPr="00503B2E" w:rsidRDefault="000073ED" w:rsidP="000073ED">
      <w:pPr>
        <w:pStyle w:val="FootnoteText"/>
      </w:pPr>
      <w:r w:rsidRPr="00503B2E">
        <w:rPr>
          <w:rStyle w:val="FootnoteReference"/>
        </w:rPr>
        <w:footnoteRef/>
      </w:r>
      <w:r w:rsidRPr="00503B2E">
        <w:t xml:space="preserve"> WA WHS Act, s 155B.</w:t>
      </w:r>
    </w:p>
  </w:footnote>
  <w:footnote w:id="334">
    <w:p w14:paraId="3261CC3C" w14:textId="77777777" w:rsidR="000073ED" w:rsidRPr="00503B2E" w:rsidRDefault="000073ED" w:rsidP="000073ED">
      <w:pPr>
        <w:pStyle w:val="FootnoteText"/>
      </w:pPr>
      <w:r w:rsidRPr="00503B2E">
        <w:rPr>
          <w:rStyle w:val="FootnoteReference"/>
        </w:rPr>
        <w:footnoteRef/>
      </w:r>
      <w:r w:rsidRPr="00503B2E">
        <w:t xml:space="preserve"> WA WHS Act, s 155C.</w:t>
      </w:r>
    </w:p>
  </w:footnote>
  <w:footnote w:id="335">
    <w:p w14:paraId="6CE4DF8D" w14:textId="77777777" w:rsidR="000073ED" w:rsidRPr="00503B2E" w:rsidRDefault="000073ED" w:rsidP="000073ED">
      <w:pPr>
        <w:pStyle w:val="FootnoteText"/>
      </w:pPr>
      <w:r w:rsidRPr="00503B2E">
        <w:rPr>
          <w:rStyle w:val="FootnoteReference"/>
        </w:rPr>
        <w:footnoteRef/>
      </w:r>
      <w:r w:rsidRPr="00503B2E">
        <w:t xml:space="preserve"> Cth WHS Act, s 12B.</w:t>
      </w:r>
    </w:p>
  </w:footnote>
  <w:footnote w:id="336">
    <w:p w14:paraId="2361288C" w14:textId="4277B917" w:rsidR="0093510B" w:rsidRPr="00503B2E" w:rsidRDefault="0093510B" w:rsidP="0093510B">
      <w:pPr>
        <w:pStyle w:val="FootnoteText"/>
        <w:rPr>
          <w:rFonts w:cs="Arial"/>
          <w:szCs w:val="18"/>
        </w:rPr>
      </w:pPr>
      <w:r w:rsidRPr="00503B2E">
        <w:rPr>
          <w:rStyle w:val="FootnoteReference"/>
          <w:rFonts w:cs="Arial"/>
          <w:szCs w:val="18"/>
        </w:rPr>
        <w:footnoteRef/>
      </w:r>
      <w:r w:rsidRPr="00503B2E">
        <w:rPr>
          <w:rFonts w:cs="Arial"/>
          <w:szCs w:val="18"/>
        </w:rPr>
        <w:t xml:space="preserve"> </w:t>
      </w:r>
      <w:hyperlink r:id="rId274" w:history="1">
        <w:r w:rsidRPr="00503B2E">
          <w:rPr>
            <w:rStyle w:val="Hyperlink"/>
            <w:rFonts w:cs="Arial"/>
            <w:szCs w:val="18"/>
          </w:rPr>
          <w:t>Master Electricians Australia</w:t>
        </w:r>
      </w:hyperlink>
      <w:r w:rsidRPr="00503B2E">
        <w:rPr>
          <w:rFonts w:cs="Arial"/>
          <w:szCs w:val="18"/>
        </w:rPr>
        <w:t>, Submission, p 8.</w:t>
      </w:r>
    </w:p>
  </w:footnote>
  <w:footnote w:id="337">
    <w:p w14:paraId="615D544E" w14:textId="77777777" w:rsidR="0093510B" w:rsidRPr="00503B2E" w:rsidRDefault="0093510B" w:rsidP="0093510B">
      <w:pPr>
        <w:pStyle w:val="FootnoteText"/>
      </w:pPr>
      <w:r w:rsidRPr="00503B2E">
        <w:rPr>
          <w:rStyle w:val="FootnoteReference"/>
        </w:rPr>
        <w:footnoteRef/>
      </w:r>
      <w:r w:rsidRPr="00503B2E">
        <w:t xml:space="preserve"> </w:t>
      </w:r>
      <w:hyperlink r:id="rId275" w:history="1">
        <w:r w:rsidRPr="00503B2E">
          <w:rPr>
            <w:rStyle w:val="Hyperlink"/>
            <w:rFonts w:cs="Arial"/>
            <w:szCs w:val="18"/>
          </w:rPr>
          <w:t>WorkSafe WA</w:t>
        </w:r>
      </w:hyperlink>
      <w:r w:rsidRPr="00503B2E">
        <w:rPr>
          <w:rFonts w:cs="Arial"/>
          <w:szCs w:val="18"/>
        </w:rPr>
        <w:t>, Submission, p 16.</w:t>
      </w:r>
    </w:p>
  </w:footnote>
  <w:footnote w:id="338">
    <w:p w14:paraId="54781F2F" w14:textId="77777777" w:rsidR="0093510B" w:rsidRPr="00503B2E" w:rsidRDefault="0093510B" w:rsidP="0093510B">
      <w:pPr>
        <w:pStyle w:val="FootnoteText"/>
      </w:pPr>
      <w:r w:rsidRPr="00503B2E">
        <w:rPr>
          <w:rStyle w:val="FootnoteReference"/>
        </w:rPr>
        <w:footnoteRef/>
      </w:r>
      <w:r w:rsidRPr="00503B2E">
        <w:t xml:space="preserve"> </w:t>
      </w:r>
      <w:hyperlink r:id="rId276" w:history="1">
        <w:r w:rsidRPr="00503B2E">
          <w:rPr>
            <w:rStyle w:val="Hyperlink"/>
            <w:rFonts w:cs="Arial"/>
            <w:szCs w:val="18"/>
          </w:rPr>
          <w:t>Office of WHS Commissioner ACT</w:t>
        </w:r>
      </w:hyperlink>
      <w:r w:rsidRPr="00503B2E">
        <w:rPr>
          <w:rFonts w:cs="Arial"/>
          <w:szCs w:val="18"/>
        </w:rPr>
        <w:t>, Submission, pp 15–16.</w:t>
      </w:r>
    </w:p>
  </w:footnote>
  <w:footnote w:id="339">
    <w:p w14:paraId="0367F468" w14:textId="77777777" w:rsidR="000073ED" w:rsidRPr="00503B2E" w:rsidRDefault="000073ED" w:rsidP="000073ED">
      <w:pPr>
        <w:pStyle w:val="FootnoteText"/>
        <w:rPr>
          <w:rFonts w:cs="Arial"/>
          <w:szCs w:val="18"/>
        </w:rPr>
      </w:pPr>
      <w:r w:rsidRPr="00503B2E">
        <w:rPr>
          <w:rStyle w:val="FootnoteReference"/>
          <w:rFonts w:cs="Arial"/>
          <w:szCs w:val="18"/>
        </w:rPr>
        <w:footnoteRef/>
      </w:r>
      <w:r w:rsidRPr="00503B2E">
        <w:rPr>
          <w:rFonts w:cs="Arial"/>
          <w:szCs w:val="18"/>
        </w:rPr>
        <w:t xml:space="preserve"> WA WHS Act, s 155B.</w:t>
      </w:r>
    </w:p>
  </w:footnote>
  <w:footnote w:id="340">
    <w:p w14:paraId="4617DDE6" w14:textId="77777777" w:rsidR="000073ED" w:rsidRPr="00503B2E" w:rsidRDefault="000073ED" w:rsidP="000073ED">
      <w:pPr>
        <w:pStyle w:val="FootnoteText"/>
        <w:rPr>
          <w:rFonts w:cs="Arial"/>
          <w:szCs w:val="18"/>
        </w:rPr>
      </w:pPr>
      <w:r w:rsidRPr="00503B2E">
        <w:rPr>
          <w:rStyle w:val="FootnoteReference"/>
          <w:rFonts w:cs="Arial"/>
          <w:szCs w:val="18"/>
        </w:rPr>
        <w:footnoteRef/>
      </w:r>
      <w:r w:rsidRPr="00503B2E">
        <w:rPr>
          <w:rFonts w:cs="Arial"/>
          <w:szCs w:val="18"/>
        </w:rPr>
        <w:t xml:space="preserve"> </w:t>
      </w:r>
      <w:hyperlink r:id="rId277" w:history="1">
        <w:r w:rsidRPr="00503B2E">
          <w:rPr>
            <w:rStyle w:val="Hyperlink"/>
            <w:rFonts w:cs="Arial"/>
            <w:szCs w:val="18"/>
          </w:rPr>
          <w:t>WorkSafe WA</w:t>
        </w:r>
      </w:hyperlink>
      <w:r w:rsidRPr="00503B2E">
        <w:rPr>
          <w:rFonts w:cs="Arial"/>
          <w:szCs w:val="18"/>
        </w:rPr>
        <w:t>, Submission, p 16.</w:t>
      </w:r>
    </w:p>
  </w:footnote>
  <w:footnote w:id="341">
    <w:p w14:paraId="1CA8892A" w14:textId="4BAF199C" w:rsidR="000073ED" w:rsidRPr="00503B2E" w:rsidRDefault="000073ED" w:rsidP="000073ED">
      <w:pPr>
        <w:pStyle w:val="FootnoteText"/>
        <w:rPr>
          <w:rFonts w:cs="Arial"/>
          <w:szCs w:val="18"/>
        </w:rPr>
      </w:pPr>
      <w:r w:rsidRPr="00503B2E">
        <w:rPr>
          <w:rStyle w:val="FootnoteReference"/>
          <w:rFonts w:cs="Arial"/>
          <w:szCs w:val="18"/>
        </w:rPr>
        <w:footnoteRef/>
      </w:r>
      <w:r w:rsidRPr="00503B2E">
        <w:rPr>
          <w:rFonts w:cs="Arial"/>
          <w:szCs w:val="18"/>
        </w:rPr>
        <w:t xml:space="preserve"> </w:t>
      </w:r>
      <w:hyperlink r:id="rId278" w:history="1">
        <w:r w:rsidRPr="00503B2E">
          <w:rPr>
            <w:rStyle w:val="Hyperlink"/>
            <w:rFonts w:cs="Arial"/>
            <w:szCs w:val="18"/>
          </w:rPr>
          <w:t>Office of the Work Health and Safety Commissioner ACT,</w:t>
        </w:r>
      </w:hyperlink>
      <w:r w:rsidRPr="00503B2E">
        <w:rPr>
          <w:rFonts w:cs="Arial"/>
          <w:szCs w:val="18"/>
        </w:rPr>
        <w:t xml:space="preserve"> Submission, p 18.</w:t>
      </w:r>
    </w:p>
  </w:footnote>
  <w:footnote w:id="342">
    <w:p w14:paraId="08A2C41D" w14:textId="77777777" w:rsidR="000073ED" w:rsidRPr="00503B2E" w:rsidRDefault="000073ED" w:rsidP="000073ED">
      <w:pPr>
        <w:pStyle w:val="FootnoteText"/>
        <w:rPr>
          <w:rFonts w:cs="Arial"/>
          <w:szCs w:val="18"/>
        </w:rPr>
      </w:pPr>
      <w:r w:rsidRPr="00503B2E">
        <w:rPr>
          <w:rStyle w:val="FootnoteReference"/>
          <w:rFonts w:cs="Arial"/>
          <w:szCs w:val="18"/>
        </w:rPr>
        <w:footnoteRef/>
      </w:r>
      <w:r w:rsidRPr="00503B2E">
        <w:rPr>
          <w:rFonts w:cs="Arial"/>
          <w:szCs w:val="18"/>
        </w:rPr>
        <w:t xml:space="preserve"> </w:t>
      </w:r>
      <w:r w:rsidRPr="00503B2E">
        <w:rPr>
          <w:rFonts w:cs="Arial"/>
          <w:i/>
          <w:szCs w:val="18"/>
        </w:rPr>
        <w:t>Dial A Tow Australia Pty Ltd v Campbell</w:t>
      </w:r>
      <w:r w:rsidRPr="00503B2E">
        <w:rPr>
          <w:rFonts w:cs="Arial"/>
          <w:szCs w:val="18"/>
        </w:rPr>
        <w:t xml:space="preserve"> [2023] SAET 4 [26].</w:t>
      </w:r>
    </w:p>
  </w:footnote>
  <w:footnote w:id="343">
    <w:p w14:paraId="674A3452" w14:textId="77777777" w:rsidR="000073ED" w:rsidRPr="00503B2E" w:rsidRDefault="000073ED" w:rsidP="000073ED">
      <w:pPr>
        <w:pStyle w:val="FootnoteText"/>
        <w:rPr>
          <w:rFonts w:cs="Arial"/>
          <w:szCs w:val="18"/>
        </w:rPr>
      </w:pPr>
      <w:r w:rsidRPr="00503B2E">
        <w:rPr>
          <w:rStyle w:val="FootnoteReference"/>
          <w:rFonts w:cs="Arial"/>
          <w:szCs w:val="18"/>
        </w:rPr>
        <w:footnoteRef/>
      </w:r>
      <w:r w:rsidRPr="00503B2E">
        <w:rPr>
          <w:rFonts w:cs="Arial"/>
          <w:szCs w:val="18"/>
        </w:rPr>
        <w:t xml:space="preserve"> </w:t>
      </w:r>
      <w:hyperlink r:id="rId279" w:history="1">
        <w:r w:rsidRPr="00503B2E">
          <w:rPr>
            <w:rStyle w:val="Hyperlink"/>
            <w:rFonts w:cs="Arial"/>
            <w:szCs w:val="18"/>
          </w:rPr>
          <w:t>Comcare</w:t>
        </w:r>
      </w:hyperlink>
      <w:r w:rsidRPr="00503B2E">
        <w:rPr>
          <w:rFonts w:cs="Arial"/>
          <w:szCs w:val="18"/>
        </w:rPr>
        <w:t>, Submission, pp 4–5.</w:t>
      </w:r>
    </w:p>
  </w:footnote>
  <w:footnote w:id="344">
    <w:p w14:paraId="53DE1D71" w14:textId="77777777" w:rsidR="000073ED" w:rsidRPr="00503B2E" w:rsidRDefault="000073ED" w:rsidP="000073ED">
      <w:pPr>
        <w:pStyle w:val="FootnoteText"/>
        <w:rPr>
          <w:rFonts w:cs="Arial"/>
          <w:szCs w:val="18"/>
        </w:rPr>
      </w:pPr>
      <w:r w:rsidRPr="00503B2E">
        <w:rPr>
          <w:rStyle w:val="FootnoteReference"/>
          <w:rFonts w:cs="Arial"/>
          <w:szCs w:val="18"/>
        </w:rPr>
        <w:footnoteRef/>
      </w:r>
      <w:r w:rsidRPr="00503B2E">
        <w:rPr>
          <w:rFonts w:cs="Arial"/>
          <w:szCs w:val="18"/>
        </w:rPr>
        <w:t xml:space="preserve"> Model WHS Act, ss</w:t>
      </w:r>
      <w:r w:rsidRPr="00503B2E">
        <w:rPr>
          <w:rFonts w:eastAsia="Aptos" w:cs="Arial"/>
          <w:color w:val="000000" w:themeColor="text1"/>
          <w:szCs w:val="18"/>
        </w:rPr>
        <w:t xml:space="preserve"> 156, 160, 163.</w:t>
      </w:r>
    </w:p>
  </w:footnote>
  <w:footnote w:id="345">
    <w:p w14:paraId="0B1C6394" w14:textId="77777777" w:rsidR="000073ED" w:rsidRPr="00400AFA" w:rsidRDefault="000073ED" w:rsidP="000073ED">
      <w:pPr>
        <w:pStyle w:val="FootnoteText"/>
        <w:rPr>
          <w:rFonts w:cs="Arial"/>
          <w:szCs w:val="18"/>
        </w:rPr>
      </w:pPr>
      <w:r w:rsidRPr="00503B2E">
        <w:rPr>
          <w:rStyle w:val="FootnoteReference"/>
          <w:rFonts w:cs="Arial"/>
          <w:szCs w:val="18"/>
        </w:rPr>
        <w:footnoteRef/>
      </w:r>
      <w:r w:rsidRPr="00503B2E">
        <w:rPr>
          <w:rFonts w:cs="Arial"/>
          <w:szCs w:val="18"/>
        </w:rPr>
        <w:t xml:space="preserve"> SafeWork NSW, Correspondence, April 2026.</w:t>
      </w:r>
    </w:p>
  </w:footnote>
  <w:footnote w:id="346">
    <w:p w14:paraId="5B24CAFA" w14:textId="02139E3D" w:rsidR="0093510B" w:rsidRPr="00503B2E" w:rsidRDefault="0093510B" w:rsidP="0093510B">
      <w:pPr>
        <w:pStyle w:val="FootnoteText"/>
        <w:rPr>
          <w:rFonts w:cs="Arial"/>
          <w:szCs w:val="18"/>
        </w:rPr>
      </w:pPr>
      <w:r w:rsidRPr="00503B2E">
        <w:rPr>
          <w:rStyle w:val="FootnoteReference"/>
          <w:rFonts w:cs="Arial"/>
          <w:szCs w:val="18"/>
        </w:rPr>
        <w:footnoteRef/>
      </w:r>
      <w:r w:rsidRPr="00503B2E">
        <w:rPr>
          <w:rFonts w:cs="Arial"/>
          <w:szCs w:val="18"/>
        </w:rPr>
        <w:t xml:space="preserve"> </w:t>
      </w:r>
      <w:hyperlink r:id="rId280" w:history="1">
        <w:r w:rsidRPr="00503B2E">
          <w:rPr>
            <w:rStyle w:val="Hyperlink"/>
            <w:rFonts w:cs="Arial"/>
            <w:szCs w:val="18"/>
          </w:rPr>
          <w:t>Safety Forward</w:t>
        </w:r>
      </w:hyperlink>
      <w:r w:rsidRPr="00503B2E">
        <w:rPr>
          <w:rFonts w:cs="Arial"/>
          <w:szCs w:val="18"/>
        </w:rPr>
        <w:t xml:space="preserve">, Submission, p 3; </w:t>
      </w:r>
      <w:hyperlink r:id="rId281" w:history="1">
        <w:r w:rsidRPr="00503B2E">
          <w:rPr>
            <w:rStyle w:val="Hyperlink"/>
            <w:rFonts w:cs="Arial"/>
            <w:szCs w:val="18"/>
          </w:rPr>
          <w:t>Australian Industry Group</w:t>
        </w:r>
      </w:hyperlink>
      <w:r w:rsidRPr="00503B2E">
        <w:rPr>
          <w:rFonts w:cs="Arial"/>
          <w:szCs w:val="18"/>
        </w:rPr>
        <w:t xml:space="preserve">, Submission, pp 5–6. </w:t>
      </w:r>
      <w:hyperlink r:id="rId282" w:history="1">
        <w:r>
          <w:rPr>
            <w:rStyle w:val="Hyperlink"/>
            <w:rFonts w:cs="Arial"/>
            <w:szCs w:val="18"/>
          </w:rPr>
          <w:t>ACFA</w:t>
        </w:r>
      </w:hyperlink>
      <w:r w:rsidRPr="00503B2E">
        <w:rPr>
          <w:rFonts w:cs="Arial"/>
          <w:szCs w:val="18"/>
        </w:rPr>
        <w:t>, Submission, p 9.</w:t>
      </w:r>
    </w:p>
  </w:footnote>
  <w:footnote w:id="347">
    <w:p w14:paraId="2D8BCB16" w14:textId="5EB271D4" w:rsidR="0093510B" w:rsidRPr="00503B2E" w:rsidRDefault="0093510B" w:rsidP="0093510B">
      <w:pPr>
        <w:pStyle w:val="FootnoteText"/>
        <w:rPr>
          <w:rFonts w:cs="Arial"/>
          <w:szCs w:val="18"/>
        </w:rPr>
      </w:pPr>
      <w:r w:rsidRPr="00503B2E">
        <w:rPr>
          <w:rStyle w:val="FootnoteReference"/>
          <w:rFonts w:cs="Arial"/>
          <w:szCs w:val="18"/>
        </w:rPr>
        <w:footnoteRef/>
      </w:r>
      <w:r w:rsidRPr="00503B2E">
        <w:rPr>
          <w:rFonts w:cs="Arial"/>
          <w:szCs w:val="18"/>
        </w:rPr>
        <w:t xml:space="preserve"> </w:t>
      </w:r>
      <w:hyperlink r:id="rId283" w:history="1">
        <w:r w:rsidRPr="00503B2E">
          <w:rPr>
            <w:rStyle w:val="Hyperlink"/>
            <w:rFonts w:cs="Arial"/>
            <w:szCs w:val="18"/>
          </w:rPr>
          <w:t>Australian Industry Group</w:t>
        </w:r>
      </w:hyperlink>
      <w:r w:rsidRPr="00503B2E">
        <w:rPr>
          <w:rFonts w:cs="Arial"/>
          <w:szCs w:val="18"/>
        </w:rPr>
        <w:t>, Submission, pp 5–6.</w:t>
      </w:r>
    </w:p>
  </w:footnote>
  <w:footnote w:id="348">
    <w:p w14:paraId="66FAE4E7" w14:textId="77777777" w:rsidR="0093510B" w:rsidRPr="00503B2E" w:rsidRDefault="0093510B" w:rsidP="0093510B">
      <w:pPr>
        <w:pStyle w:val="FootnoteText"/>
        <w:rPr>
          <w:rFonts w:cs="Arial"/>
          <w:szCs w:val="18"/>
        </w:rPr>
      </w:pPr>
      <w:r w:rsidRPr="00503B2E">
        <w:rPr>
          <w:rStyle w:val="FootnoteReference"/>
          <w:rFonts w:cs="Arial"/>
          <w:szCs w:val="18"/>
        </w:rPr>
        <w:footnoteRef/>
      </w:r>
      <w:r w:rsidRPr="00503B2E">
        <w:rPr>
          <w:rFonts w:cs="Arial"/>
          <w:szCs w:val="18"/>
        </w:rPr>
        <w:t xml:space="preserve"> </w:t>
      </w:r>
      <w:hyperlink r:id="rId284" w:history="1">
        <w:r w:rsidRPr="00503B2E">
          <w:rPr>
            <w:rStyle w:val="Hyperlink"/>
            <w:rFonts w:cs="Arial"/>
            <w:szCs w:val="18"/>
          </w:rPr>
          <w:t>NFF</w:t>
        </w:r>
      </w:hyperlink>
      <w:r w:rsidRPr="00503B2E">
        <w:rPr>
          <w:rFonts w:cs="Arial"/>
          <w:szCs w:val="18"/>
        </w:rPr>
        <w:t xml:space="preserve">, Submission, p 1; </w:t>
      </w:r>
      <w:hyperlink r:id="rId285" w:history="1">
        <w:r w:rsidRPr="00503B2E">
          <w:rPr>
            <w:rStyle w:val="Hyperlink"/>
            <w:rFonts w:cs="Arial"/>
            <w:szCs w:val="18"/>
          </w:rPr>
          <w:t>MBA</w:t>
        </w:r>
      </w:hyperlink>
      <w:r w:rsidRPr="00503B2E">
        <w:rPr>
          <w:rFonts w:cs="Arial"/>
          <w:szCs w:val="18"/>
        </w:rPr>
        <w:t xml:space="preserve">, Submission, pp 27, 32; </w:t>
      </w:r>
      <w:hyperlink r:id="rId286" w:history="1">
        <w:r w:rsidRPr="00503B2E">
          <w:rPr>
            <w:rStyle w:val="Hyperlink"/>
            <w:rFonts w:cs="Arial"/>
            <w:szCs w:val="18"/>
          </w:rPr>
          <w:t>Master Electricians Australia</w:t>
        </w:r>
      </w:hyperlink>
      <w:r w:rsidRPr="00503B2E">
        <w:rPr>
          <w:rFonts w:cs="Arial"/>
          <w:szCs w:val="18"/>
        </w:rPr>
        <w:t xml:space="preserve">, Submission, p 6; </w:t>
      </w:r>
      <w:hyperlink r:id="rId287" w:history="1">
        <w:r w:rsidRPr="00503B2E">
          <w:rPr>
            <w:rStyle w:val="Hyperlink"/>
            <w:rFonts w:cs="Arial"/>
            <w:szCs w:val="18"/>
          </w:rPr>
          <w:t>National Disability Services</w:t>
        </w:r>
      </w:hyperlink>
      <w:r w:rsidRPr="00503B2E">
        <w:rPr>
          <w:rFonts w:cs="Arial"/>
          <w:szCs w:val="18"/>
        </w:rPr>
        <w:t xml:space="preserve">, Submission, p 6; </w:t>
      </w:r>
      <w:hyperlink r:id="rId288" w:history="1">
        <w:r w:rsidRPr="00503B2E">
          <w:rPr>
            <w:rStyle w:val="Hyperlink"/>
            <w:rFonts w:cs="Arial"/>
            <w:szCs w:val="18"/>
          </w:rPr>
          <w:t>CSA</w:t>
        </w:r>
      </w:hyperlink>
      <w:r w:rsidRPr="00503B2E">
        <w:rPr>
          <w:rFonts w:cs="Arial"/>
          <w:szCs w:val="18"/>
        </w:rPr>
        <w:t>, Submission, p 3.</w:t>
      </w:r>
    </w:p>
  </w:footnote>
  <w:footnote w:id="349">
    <w:p w14:paraId="422C70EC" w14:textId="37EBE617" w:rsidR="0093510B" w:rsidRPr="00503B2E" w:rsidRDefault="0093510B" w:rsidP="0093510B">
      <w:pPr>
        <w:pStyle w:val="FootnoteText"/>
        <w:rPr>
          <w:rFonts w:cs="Arial"/>
          <w:szCs w:val="18"/>
        </w:rPr>
      </w:pPr>
      <w:r w:rsidRPr="00503B2E">
        <w:rPr>
          <w:rStyle w:val="FootnoteReference"/>
          <w:rFonts w:cs="Arial"/>
          <w:szCs w:val="18"/>
        </w:rPr>
        <w:footnoteRef/>
      </w:r>
      <w:r w:rsidRPr="00503B2E">
        <w:rPr>
          <w:rFonts w:cs="Arial"/>
          <w:szCs w:val="18"/>
        </w:rPr>
        <w:t xml:space="preserve"> </w:t>
      </w:r>
      <w:hyperlink r:id="rId289" w:history="1">
        <w:r w:rsidRPr="00503B2E">
          <w:rPr>
            <w:rStyle w:val="Hyperlink"/>
            <w:rFonts w:cs="Arial"/>
            <w:szCs w:val="18"/>
          </w:rPr>
          <w:t>AAL</w:t>
        </w:r>
        <w:r>
          <w:rPr>
            <w:rStyle w:val="Hyperlink"/>
            <w:rFonts w:cs="Arial"/>
            <w:szCs w:val="18"/>
          </w:rPr>
          <w:t>A</w:t>
        </w:r>
        <w:r w:rsidRPr="00503B2E">
          <w:rPr>
            <w:rStyle w:val="Hyperlink"/>
            <w:rFonts w:cs="Arial"/>
            <w:szCs w:val="18"/>
          </w:rPr>
          <w:t>RA</w:t>
        </w:r>
      </w:hyperlink>
      <w:r w:rsidRPr="00503B2E">
        <w:rPr>
          <w:rFonts w:cs="Arial"/>
          <w:szCs w:val="18"/>
        </w:rPr>
        <w:t xml:space="preserve">, Submission, p 2; </w:t>
      </w:r>
      <w:hyperlink r:id="rId290" w:history="1">
        <w:r w:rsidRPr="00503B2E">
          <w:rPr>
            <w:rStyle w:val="Hyperlink"/>
            <w:rFonts w:cs="Arial"/>
            <w:szCs w:val="18"/>
          </w:rPr>
          <w:t>ACCI</w:t>
        </w:r>
      </w:hyperlink>
      <w:r w:rsidRPr="00503B2E">
        <w:rPr>
          <w:rFonts w:cs="Arial"/>
          <w:szCs w:val="18"/>
        </w:rPr>
        <w:t xml:space="preserve">, Submission, p 5; </w:t>
      </w:r>
      <w:hyperlink r:id="rId291" w:history="1">
        <w:r w:rsidRPr="00503B2E">
          <w:rPr>
            <w:rStyle w:val="Hyperlink"/>
            <w:rFonts w:cs="Arial"/>
            <w:szCs w:val="18"/>
          </w:rPr>
          <w:t>NFF</w:t>
        </w:r>
      </w:hyperlink>
      <w:r w:rsidRPr="00503B2E">
        <w:rPr>
          <w:rFonts w:cs="Arial"/>
          <w:szCs w:val="18"/>
        </w:rPr>
        <w:t xml:space="preserve">, Submission; </w:t>
      </w:r>
      <w:hyperlink r:id="rId292" w:history="1">
        <w:r w:rsidRPr="00503B2E">
          <w:rPr>
            <w:rStyle w:val="Hyperlink"/>
            <w:rFonts w:cs="Arial"/>
            <w:szCs w:val="18"/>
          </w:rPr>
          <w:t>ACTU</w:t>
        </w:r>
      </w:hyperlink>
      <w:r w:rsidRPr="00503B2E">
        <w:rPr>
          <w:rFonts w:cs="Arial"/>
          <w:szCs w:val="18"/>
        </w:rPr>
        <w:t>, Submission, p 11.</w:t>
      </w:r>
    </w:p>
  </w:footnote>
  <w:footnote w:id="350">
    <w:p w14:paraId="3DF4E301" w14:textId="77777777" w:rsidR="0093510B" w:rsidRPr="00503B2E" w:rsidRDefault="0093510B" w:rsidP="0093510B">
      <w:pPr>
        <w:pStyle w:val="FootnoteText"/>
        <w:rPr>
          <w:rFonts w:cs="Arial"/>
          <w:szCs w:val="18"/>
        </w:rPr>
      </w:pPr>
      <w:r w:rsidRPr="00503B2E">
        <w:rPr>
          <w:rStyle w:val="FootnoteReference"/>
          <w:rFonts w:cs="Arial"/>
          <w:szCs w:val="18"/>
        </w:rPr>
        <w:footnoteRef/>
      </w:r>
      <w:r w:rsidRPr="00503B2E">
        <w:rPr>
          <w:rFonts w:cs="Arial"/>
          <w:szCs w:val="18"/>
        </w:rPr>
        <w:t xml:space="preserve"> </w:t>
      </w:r>
      <w:hyperlink r:id="rId293" w:history="1">
        <w:r w:rsidRPr="00503B2E">
          <w:rPr>
            <w:rStyle w:val="Hyperlink"/>
            <w:rFonts w:cs="Arial"/>
            <w:szCs w:val="18"/>
          </w:rPr>
          <w:t>NFF</w:t>
        </w:r>
      </w:hyperlink>
      <w:r w:rsidRPr="00503B2E">
        <w:rPr>
          <w:rFonts w:cs="Arial"/>
          <w:szCs w:val="18"/>
        </w:rPr>
        <w:t xml:space="preserve">, Submission, p 8; </w:t>
      </w:r>
      <w:hyperlink r:id="rId294" w:history="1">
        <w:r w:rsidRPr="00503B2E">
          <w:rPr>
            <w:rStyle w:val="Hyperlink"/>
            <w:rFonts w:cs="Arial"/>
            <w:szCs w:val="18"/>
          </w:rPr>
          <w:t>Electrical Trades Union of Australia</w:t>
        </w:r>
      </w:hyperlink>
      <w:r w:rsidRPr="00503B2E">
        <w:rPr>
          <w:rFonts w:cs="Arial"/>
          <w:szCs w:val="18"/>
        </w:rPr>
        <w:t xml:space="preserve">, Submission, p 4; </w:t>
      </w:r>
      <w:hyperlink r:id="rId295" w:history="1">
        <w:r w:rsidRPr="00503B2E">
          <w:rPr>
            <w:rStyle w:val="Hyperlink"/>
            <w:rFonts w:cs="Arial"/>
            <w:szCs w:val="18"/>
          </w:rPr>
          <w:t>Safety Forward</w:t>
        </w:r>
      </w:hyperlink>
      <w:r w:rsidRPr="00503B2E">
        <w:rPr>
          <w:rFonts w:cs="Arial"/>
          <w:szCs w:val="18"/>
        </w:rPr>
        <w:t>, Submission, p 3.</w:t>
      </w:r>
    </w:p>
  </w:footnote>
  <w:footnote w:id="351">
    <w:p w14:paraId="76B56BF6" w14:textId="7D995BBB" w:rsidR="0093510B" w:rsidRPr="00503B2E" w:rsidRDefault="0093510B" w:rsidP="0093510B">
      <w:pPr>
        <w:pStyle w:val="FootnoteText"/>
        <w:rPr>
          <w:rFonts w:cs="Arial"/>
          <w:szCs w:val="18"/>
        </w:rPr>
      </w:pPr>
      <w:r w:rsidRPr="00503B2E">
        <w:rPr>
          <w:rStyle w:val="FootnoteReference"/>
          <w:rFonts w:cs="Arial"/>
          <w:szCs w:val="18"/>
        </w:rPr>
        <w:footnoteRef/>
      </w:r>
      <w:r w:rsidRPr="00503B2E">
        <w:rPr>
          <w:rFonts w:cs="Arial"/>
          <w:szCs w:val="18"/>
        </w:rPr>
        <w:t xml:space="preserve"> </w:t>
      </w:r>
      <w:hyperlink r:id="rId296" w:history="1">
        <w:r w:rsidRPr="00503B2E">
          <w:rPr>
            <w:rStyle w:val="Hyperlink"/>
            <w:rFonts w:cs="Arial"/>
            <w:szCs w:val="18"/>
          </w:rPr>
          <w:t>Australian Midwifery and Nursing Federation (Victorian Branch)</w:t>
        </w:r>
      </w:hyperlink>
      <w:r w:rsidRPr="00503B2E">
        <w:rPr>
          <w:rFonts w:cs="Arial"/>
          <w:szCs w:val="18"/>
        </w:rPr>
        <w:t>, Submission, pp 7–8.</w:t>
      </w:r>
    </w:p>
  </w:footnote>
  <w:footnote w:id="352">
    <w:p w14:paraId="28FBAAF7" w14:textId="77777777" w:rsidR="0093510B" w:rsidRPr="00503B2E" w:rsidRDefault="0093510B" w:rsidP="0093510B">
      <w:pPr>
        <w:pStyle w:val="FootnoteText"/>
        <w:rPr>
          <w:rFonts w:cs="Arial"/>
          <w:szCs w:val="18"/>
        </w:rPr>
      </w:pPr>
      <w:r w:rsidRPr="00503B2E">
        <w:rPr>
          <w:rStyle w:val="FootnoteReference"/>
          <w:rFonts w:cs="Arial"/>
          <w:szCs w:val="18"/>
        </w:rPr>
        <w:footnoteRef/>
      </w:r>
      <w:r w:rsidRPr="00503B2E">
        <w:rPr>
          <w:rFonts w:cs="Arial"/>
          <w:szCs w:val="18"/>
        </w:rPr>
        <w:t xml:space="preserve"> </w:t>
      </w:r>
      <w:hyperlink r:id="rId297" w:history="1">
        <w:r w:rsidRPr="00503B2E">
          <w:rPr>
            <w:rStyle w:val="Hyperlink"/>
            <w:rFonts w:cs="Arial"/>
            <w:szCs w:val="18"/>
          </w:rPr>
          <w:t>Kay Catanzariti and Vince Pannell</w:t>
        </w:r>
      </w:hyperlink>
      <w:r w:rsidRPr="00503B2E">
        <w:rPr>
          <w:rFonts w:cs="Arial"/>
          <w:szCs w:val="18"/>
        </w:rPr>
        <w:t>, Submission; AMNF Vic Branch, Consultation, September 2025; ACCI Tas, Consultation, September 2025.</w:t>
      </w:r>
    </w:p>
  </w:footnote>
  <w:footnote w:id="353">
    <w:p w14:paraId="59DA7D1A" w14:textId="77777777" w:rsidR="0093510B" w:rsidRPr="00503B2E" w:rsidRDefault="0093510B" w:rsidP="0093510B">
      <w:pPr>
        <w:pStyle w:val="FootnoteText"/>
        <w:rPr>
          <w:rFonts w:cs="Arial"/>
          <w:szCs w:val="18"/>
        </w:rPr>
      </w:pPr>
      <w:r w:rsidRPr="00503B2E">
        <w:rPr>
          <w:rStyle w:val="FootnoteReference"/>
          <w:rFonts w:cs="Arial"/>
          <w:szCs w:val="18"/>
        </w:rPr>
        <w:footnoteRef/>
      </w:r>
      <w:r w:rsidRPr="00503B2E">
        <w:rPr>
          <w:rFonts w:cs="Arial"/>
          <w:szCs w:val="18"/>
        </w:rPr>
        <w:t xml:space="preserve"> </w:t>
      </w:r>
      <w:hyperlink r:id="rId298" w:history="1">
        <w:r w:rsidRPr="00503B2E">
          <w:rPr>
            <w:rStyle w:val="Hyperlink"/>
            <w:rFonts w:cs="Arial"/>
            <w:szCs w:val="18"/>
          </w:rPr>
          <w:t>Australian Indust</w:t>
        </w:r>
        <w:bookmarkStart w:id="54" w:name="_Hlt230185682"/>
        <w:bookmarkStart w:id="55" w:name="_Hlt230185683"/>
        <w:r w:rsidRPr="00503B2E">
          <w:rPr>
            <w:rStyle w:val="Hyperlink"/>
            <w:rFonts w:cs="Arial"/>
            <w:szCs w:val="18"/>
          </w:rPr>
          <w:t>r</w:t>
        </w:r>
        <w:bookmarkEnd w:id="54"/>
        <w:bookmarkEnd w:id="55"/>
        <w:r w:rsidRPr="00503B2E">
          <w:rPr>
            <w:rStyle w:val="Hyperlink"/>
            <w:rFonts w:cs="Arial"/>
            <w:szCs w:val="18"/>
          </w:rPr>
          <w:t>y Group</w:t>
        </w:r>
      </w:hyperlink>
      <w:r w:rsidRPr="00503B2E">
        <w:rPr>
          <w:rFonts w:cs="Arial"/>
          <w:szCs w:val="18"/>
        </w:rPr>
        <w:t>, Submission, pp 5–6.</w:t>
      </w:r>
    </w:p>
  </w:footnote>
  <w:footnote w:id="354">
    <w:p w14:paraId="2DFE3134" w14:textId="1BE6324B" w:rsidR="000073ED" w:rsidRPr="00503B2E" w:rsidRDefault="000073ED" w:rsidP="000073ED">
      <w:pPr>
        <w:pStyle w:val="FootnoteText"/>
        <w:rPr>
          <w:rFonts w:cs="Arial"/>
          <w:szCs w:val="18"/>
        </w:rPr>
      </w:pPr>
      <w:r w:rsidRPr="00503B2E">
        <w:rPr>
          <w:rStyle w:val="FootnoteReference"/>
          <w:rFonts w:cs="Arial"/>
          <w:szCs w:val="18"/>
        </w:rPr>
        <w:footnoteRef/>
      </w:r>
      <w:r w:rsidRPr="00503B2E">
        <w:rPr>
          <w:rFonts w:cs="Arial"/>
          <w:szCs w:val="18"/>
        </w:rPr>
        <w:t xml:space="preserve"> Note</w:t>
      </w:r>
      <w:r>
        <w:rPr>
          <w:rFonts w:cs="Arial"/>
          <w:szCs w:val="18"/>
        </w:rPr>
        <w:t xml:space="preserve"> that </w:t>
      </w:r>
      <w:r w:rsidRPr="00503B2E">
        <w:rPr>
          <w:rFonts w:cs="Arial"/>
          <w:szCs w:val="18"/>
        </w:rPr>
        <w:t>some regulators do align their internal guidance for inspectors exercising discretion to the NCEP</w:t>
      </w:r>
      <w:r>
        <w:rPr>
          <w:rFonts w:cs="Arial"/>
          <w:szCs w:val="18"/>
        </w:rPr>
        <w:t xml:space="preserve"> </w:t>
      </w:r>
      <w:r w:rsidR="001B478A">
        <w:rPr>
          <w:rFonts w:ascii="Symbol" w:eastAsia="Symbol" w:hAnsi="Symbol" w:cs="Symbol"/>
          <w:szCs w:val="18"/>
        </w:rPr>
        <w:t>-</w:t>
      </w:r>
      <w:r>
        <w:rPr>
          <w:rFonts w:cs="Arial"/>
          <w:szCs w:val="18"/>
        </w:rPr>
        <w:t xml:space="preserve"> f</w:t>
      </w:r>
      <w:r w:rsidRPr="00503B2E">
        <w:rPr>
          <w:rFonts w:cs="Arial"/>
          <w:szCs w:val="18"/>
        </w:rPr>
        <w:t>or example, WorkSafe Tasmania: WorkSafe Tasmania</w:t>
      </w:r>
      <w:r>
        <w:rPr>
          <w:rFonts w:cs="Arial"/>
          <w:szCs w:val="18"/>
        </w:rPr>
        <w:t>, C</w:t>
      </w:r>
      <w:r w:rsidRPr="00503B2E">
        <w:rPr>
          <w:rFonts w:cs="Arial"/>
          <w:szCs w:val="18"/>
        </w:rPr>
        <w:t>orrespondence, 24 April 2026.</w:t>
      </w:r>
    </w:p>
  </w:footnote>
  <w:footnote w:id="355">
    <w:p w14:paraId="0BB25ACE" w14:textId="279DE08E" w:rsidR="000073ED" w:rsidRDefault="000073ED" w:rsidP="000073ED">
      <w:pPr>
        <w:pStyle w:val="FootnoteText"/>
      </w:pPr>
      <w:r w:rsidRPr="00503B2E">
        <w:rPr>
          <w:rStyle w:val="FootnoteReference"/>
        </w:rPr>
        <w:footnoteRef/>
      </w:r>
      <w:r w:rsidRPr="00503B2E">
        <w:t xml:space="preserve"> See discussion in Chapter 1, 1.3 </w:t>
      </w:r>
      <w:r w:rsidR="001B478A">
        <w:rPr>
          <w:rFonts w:ascii="Symbol" w:eastAsia="Symbol" w:hAnsi="Symbol" w:cs="Symbol"/>
        </w:rPr>
        <w:t>-</w:t>
      </w:r>
      <w:r>
        <w:t xml:space="preserve"> </w:t>
      </w:r>
      <w:r w:rsidRPr="00503B2E">
        <w:t>Harmonisation in the approach to compliance and enforcement.</w:t>
      </w:r>
    </w:p>
  </w:footnote>
  <w:footnote w:id="356">
    <w:p w14:paraId="54524C2E" w14:textId="77777777" w:rsidR="000073ED" w:rsidRPr="00503B2E" w:rsidRDefault="000073ED" w:rsidP="000073ED">
      <w:pPr>
        <w:pStyle w:val="FootnoteText"/>
      </w:pPr>
      <w:r w:rsidRPr="00503B2E">
        <w:rPr>
          <w:rStyle w:val="FootnoteReference"/>
        </w:rPr>
        <w:footnoteRef/>
      </w:r>
      <w:r w:rsidRPr="00503B2E">
        <w:t xml:space="preserve"> While the NCEP requires written confirmation of an oral prohibition direction, it is otherwise silent on verbal directions given during inspections.</w:t>
      </w:r>
    </w:p>
  </w:footnote>
  <w:footnote w:id="357">
    <w:p w14:paraId="74415527" w14:textId="77777777" w:rsidR="000073ED" w:rsidRPr="00503B2E" w:rsidRDefault="000073ED" w:rsidP="000073ED">
      <w:pPr>
        <w:pStyle w:val="FootnoteText"/>
      </w:pPr>
      <w:r w:rsidRPr="00503B2E">
        <w:rPr>
          <w:rStyle w:val="FootnoteReference"/>
        </w:rPr>
        <w:footnoteRef/>
      </w:r>
      <w:r w:rsidRPr="00503B2E">
        <w:t xml:space="preserve"> See the discussion of the NCEP in Chapter 1.3.</w:t>
      </w:r>
    </w:p>
  </w:footnote>
  <w:footnote w:id="358">
    <w:p w14:paraId="096CAE36" w14:textId="118ABE5E" w:rsidR="000073ED" w:rsidRPr="00503B2E" w:rsidRDefault="000073ED" w:rsidP="000073ED">
      <w:pPr>
        <w:pStyle w:val="FootnoteText"/>
        <w:rPr>
          <w:rFonts w:cs="Arial"/>
          <w:szCs w:val="18"/>
        </w:rPr>
      </w:pPr>
      <w:r w:rsidRPr="00503B2E">
        <w:rPr>
          <w:rStyle w:val="FootnoteReference"/>
          <w:rFonts w:cs="Arial"/>
          <w:szCs w:val="18"/>
        </w:rPr>
        <w:footnoteRef/>
      </w:r>
      <w:r w:rsidRPr="00503B2E">
        <w:rPr>
          <w:rFonts w:cs="Arial"/>
          <w:szCs w:val="18"/>
        </w:rPr>
        <w:t xml:space="preserve"> SafeWork NSW, </w:t>
      </w:r>
      <w:hyperlink r:id="rId299" w:history="1">
        <w:r w:rsidRPr="00503B2E">
          <w:rPr>
            <w:rStyle w:val="Hyperlink"/>
            <w:rFonts w:cs="Arial"/>
            <w:i/>
            <w:szCs w:val="18"/>
          </w:rPr>
          <w:t xml:space="preserve">Customer </w:t>
        </w:r>
        <w:r w:rsidR="003F0249">
          <w:rPr>
            <w:rStyle w:val="Hyperlink"/>
            <w:rFonts w:cs="Arial"/>
            <w:i/>
            <w:szCs w:val="18"/>
          </w:rPr>
          <w:t>s</w:t>
        </w:r>
        <w:r w:rsidRPr="00503B2E">
          <w:rPr>
            <w:rStyle w:val="Hyperlink"/>
            <w:rFonts w:cs="Arial"/>
            <w:i/>
            <w:szCs w:val="18"/>
          </w:rPr>
          <w:t xml:space="preserve">ervice </w:t>
        </w:r>
        <w:r w:rsidR="003F0249">
          <w:rPr>
            <w:rStyle w:val="Hyperlink"/>
            <w:rFonts w:cs="Arial"/>
            <w:i/>
            <w:szCs w:val="18"/>
          </w:rPr>
          <w:t>s</w:t>
        </w:r>
        <w:r w:rsidRPr="00503B2E">
          <w:rPr>
            <w:rStyle w:val="Hyperlink"/>
            <w:rFonts w:cs="Arial"/>
            <w:i/>
            <w:szCs w:val="18"/>
          </w:rPr>
          <w:t>tandard – Raisin</w:t>
        </w:r>
        <w:bookmarkStart w:id="56" w:name="_Hlt230263558"/>
        <w:bookmarkStart w:id="57" w:name="_Hlt230263559"/>
        <w:r w:rsidRPr="00503B2E">
          <w:rPr>
            <w:rStyle w:val="Hyperlink"/>
            <w:rFonts w:cs="Arial"/>
            <w:i/>
            <w:szCs w:val="18"/>
          </w:rPr>
          <w:t>g</w:t>
        </w:r>
        <w:bookmarkEnd w:id="56"/>
        <w:bookmarkEnd w:id="57"/>
        <w:r w:rsidRPr="00503B2E">
          <w:rPr>
            <w:rStyle w:val="Hyperlink"/>
            <w:rFonts w:cs="Arial"/>
            <w:i/>
            <w:szCs w:val="18"/>
          </w:rPr>
          <w:t xml:space="preserve"> a work health and safety concern</w:t>
        </w:r>
      </w:hyperlink>
      <w:r w:rsidRPr="00503B2E">
        <w:rPr>
          <w:rFonts w:cs="Arial"/>
          <w:i/>
          <w:szCs w:val="18"/>
        </w:rPr>
        <w:t>,</w:t>
      </w:r>
      <w:r w:rsidRPr="00503B2E">
        <w:rPr>
          <w:rFonts w:cs="Arial"/>
          <w:szCs w:val="18"/>
        </w:rPr>
        <w:t xml:space="preserve"> SafeWork NSW Gosford, NSW, </w:t>
      </w:r>
      <w:r w:rsidR="003F0249">
        <w:rPr>
          <w:rFonts w:cs="Arial"/>
          <w:szCs w:val="18"/>
        </w:rPr>
        <w:t xml:space="preserve">2017, </w:t>
      </w:r>
      <w:r>
        <w:rPr>
          <w:rFonts w:cs="Arial"/>
          <w:szCs w:val="18"/>
        </w:rPr>
        <w:t xml:space="preserve">accessed </w:t>
      </w:r>
      <w:r w:rsidRPr="00503B2E">
        <w:rPr>
          <w:rFonts w:cs="Arial"/>
          <w:szCs w:val="18"/>
        </w:rPr>
        <w:t>22 April 2026.</w:t>
      </w:r>
    </w:p>
  </w:footnote>
  <w:footnote w:id="359">
    <w:p w14:paraId="2963F69B" w14:textId="54D6B04E" w:rsidR="000073ED" w:rsidRPr="00503B2E" w:rsidRDefault="000073ED" w:rsidP="000073ED">
      <w:pPr>
        <w:pStyle w:val="FootnoteText"/>
        <w:rPr>
          <w:rFonts w:cstheme="minorHAnsi"/>
          <w:szCs w:val="18"/>
        </w:rPr>
      </w:pPr>
      <w:r w:rsidRPr="00503B2E">
        <w:rPr>
          <w:rStyle w:val="FootnoteReference"/>
          <w:rFonts w:cs="Arial"/>
          <w:szCs w:val="18"/>
        </w:rPr>
        <w:footnoteRef/>
      </w:r>
      <w:r w:rsidRPr="00503B2E">
        <w:rPr>
          <w:rFonts w:cs="Arial"/>
          <w:szCs w:val="18"/>
        </w:rPr>
        <w:t xml:space="preserve"> WorkSafe Victoria, </w:t>
      </w:r>
      <w:hyperlink r:id="rId300" w:history="1">
        <w:r w:rsidRPr="003F0249">
          <w:rPr>
            <w:rStyle w:val="Hyperlink"/>
            <w:rFonts w:cs="Arial"/>
            <w:i/>
            <w:szCs w:val="18"/>
          </w:rPr>
          <w:t xml:space="preserve">A </w:t>
        </w:r>
        <w:r w:rsidR="001B478A" w:rsidRPr="00F83DFE">
          <w:rPr>
            <w:rStyle w:val="Hyperlink"/>
            <w:rFonts w:cs="Arial"/>
            <w:i/>
            <w:szCs w:val="18"/>
          </w:rPr>
          <w:t>g</w:t>
        </w:r>
        <w:r w:rsidRPr="003F0249">
          <w:rPr>
            <w:rStyle w:val="Hyperlink"/>
            <w:rFonts w:cs="Arial"/>
            <w:i/>
            <w:szCs w:val="18"/>
          </w:rPr>
          <w:t>uide for employers</w:t>
        </w:r>
        <w:r w:rsidRPr="00503B2E">
          <w:rPr>
            <w:rStyle w:val="Hyperlink"/>
            <w:rFonts w:cs="Arial"/>
            <w:i/>
            <w:szCs w:val="18"/>
          </w:rPr>
          <w:t>: Occupational health and safety compliance and enforcement policy</w:t>
        </w:r>
      </w:hyperlink>
      <w:r w:rsidRPr="00503B2E">
        <w:rPr>
          <w:rFonts w:cs="Arial"/>
          <w:i/>
          <w:szCs w:val="18"/>
        </w:rPr>
        <w:t>,</w:t>
      </w:r>
      <w:r w:rsidRPr="00503B2E">
        <w:rPr>
          <w:rFonts w:cs="Arial"/>
          <w:szCs w:val="18"/>
        </w:rPr>
        <w:t> WorkSafe Victoria, Geelong, Victoria, 2021</w:t>
      </w:r>
      <w:r>
        <w:rPr>
          <w:rFonts w:cs="Arial"/>
          <w:szCs w:val="18"/>
        </w:rPr>
        <w:t>,</w:t>
      </w:r>
      <w:r w:rsidRPr="00503B2E" w:rsidDel="00F73CC7">
        <w:rPr>
          <w:rFonts w:cs="Arial"/>
          <w:szCs w:val="18"/>
        </w:rPr>
        <w:t xml:space="preserve"> </w:t>
      </w:r>
      <w:r>
        <w:rPr>
          <w:rFonts w:cs="Arial"/>
          <w:szCs w:val="18"/>
        </w:rPr>
        <w:t xml:space="preserve">accessed </w:t>
      </w:r>
      <w:r w:rsidRPr="00503B2E">
        <w:rPr>
          <w:rFonts w:cs="Arial"/>
          <w:szCs w:val="18"/>
        </w:rPr>
        <w:t>22 April 2026.</w:t>
      </w:r>
    </w:p>
  </w:footnote>
  <w:footnote w:id="360">
    <w:p w14:paraId="7AF8597E" w14:textId="116E3EFD" w:rsidR="000073ED" w:rsidRPr="00503B2E" w:rsidRDefault="000073ED" w:rsidP="000073ED">
      <w:pPr>
        <w:pStyle w:val="FootnoteText"/>
        <w:rPr>
          <w:rFonts w:cs="Arial"/>
          <w:szCs w:val="18"/>
        </w:rPr>
      </w:pPr>
      <w:r w:rsidRPr="00503B2E">
        <w:rPr>
          <w:rStyle w:val="FootnoteReference"/>
          <w:rFonts w:cs="Arial"/>
          <w:szCs w:val="18"/>
        </w:rPr>
        <w:footnoteRef/>
      </w:r>
      <w:r w:rsidRPr="00503B2E">
        <w:rPr>
          <w:rFonts w:cs="Arial"/>
          <w:szCs w:val="18"/>
        </w:rPr>
        <w:t xml:space="preserve"> For example</w:t>
      </w:r>
      <w:r>
        <w:rPr>
          <w:rFonts w:cs="Arial"/>
          <w:szCs w:val="18"/>
        </w:rPr>
        <w:t>,</w:t>
      </w:r>
      <w:r w:rsidRPr="00503B2E">
        <w:rPr>
          <w:rFonts w:cs="Arial"/>
          <w:szCs w:val="18"/>
        </w:rPr>
        <w:t xml:space="preserve"> Senate Education and Employment References Committee, </w:t>
      </w:r>
      <w:r w:rsidRPr="00503B2E">
        <w:rPr>
          <w:rFonts w:cs="Arial"/>
          <w:i/>
          <w:szCs w:val="18"/>
        </w:rPr>
        <w:t xml:space="preserve">They </w:t>
      </w:r>
      <w:r w:rsidR="006F5016">
        <w:rPr>
          <w:rFonts w:cs="Arial"/>
          <w:i/>
          <w:szCs w:val="18"/>
        </w:rPr>
        <w:t>n</w:t>
      </w:r>
      <w:r w:rsidRPr="00503B2E">
        <w:rPr>
          <w:rFonts w:cs="Arial"/>
          <w:i/>
          <w:szCs w:val="18"/>
        </w:rPr>
        <w:t xml:space="preserve">ever </w:t>
      </w:r>
      <w:r w:rsidR="006F5016">
        <w:rPr>
          <w:rFonts w:cs="Arial"/>
          <w:i/>
          <w:szCs w:val="18"/>
        </w:rPr>
        <w:t>c</w:t>
      </w:r>
      <w:r w:rsidRPr="00503B2E">
        <w:rPr>
          <w:rFonts w:cs="Arial"/>
          <w:i/>
          <w:szCs w:val="18"/>
        </w:rPr>
        <w:t xml:space="preserve">ame </w:t>
      </w:r>
      <w:r w:rsidR="006F5016">
        <w:rPr>
          <w:rFonts w:cs="Arial"/>
          <w:i/>
          <w:szCs w:val="18"/>
        </w:rPr>
        <w:t>h</w:t>
      </w:r>
      <w:r w:rsidRPr="00503B2E">
        <w:rPr>
          <w:rFonts w:cs="Arial"/>
          <w:i/>
          <w:szCs w:val="18"/>
        </w:rPr>
        <w:t>ome</w:t>
      </w:r>
      <w:r w:rsidR="001B478A">
        <w:rPr>
          <w:rFonts w:cs="Arial"/>
          <w:i/>
          <w:szCs w:val="18"/>
        </w:rPr>
        <w:t xml:space="preserve"> </w:t>
      </w:r>
      <w:r w:rsidR="001B478A">
        <w:rPr>
          <w:rFonts w:ascii="Symbol" w:eastAsia="Symbol" w:hAnsi="Symbol" w:cs="Symbol"/>
          <w:i/>
          <w:szCs w:val="18"/>
        </w:rPr>
        <w:t>-</w:t>
      </w:r>
      <w:r>
        <w:rPr>
          <w:rFonts w:cs="Arial"/>
          <w:i/>
          <w:szCs w:val="18"/>
        </w:rPr>
        <w:t xml:space="preserve"> </w:t>
      </w:r>
      <w:r w:rsidR="00D94848">
        <w:rPr>
          <w:rFonts w:cs="Arial"/>
          <w:i/>
          <w:szCs w:val="18"/>
        </w:rPr>
        <w:t>T</w:t>
      </w:r>
      <w:r w:rsidRPr="00503B2E">
        <w:rPr>
          <w:rFonts w:cs="Arial"/>
          <w:i/>
          <w:szCs w:val="18"/>
        </w:rPr>
        <w:t>he framework surrounding the prevention, investigation and prosecution of industrial deaths in Australia</w:t>
      </w:r>
      <w:r w:rsidRPr="00503B2E">
        <w:rPr>
          <w:rFonts w:cs="Arial"/>
          <w:szCs w:val="18"/>
        </w:rPr>
        <w:t xml:space="preserve">, </w:t>
      </w:r>
      <w:r>
        <w:rPr>
          <w:rFonts w:cs="Arial"/>
          <w:szCs w:val="18"/>
        </w:rPr>
        <w:t xml:space="preserve">Australian Government, </w:t>
      </w:r>
      <w:r w:rsidRPr="00503B2E">
        <w:rPr>
          <w:rFonts w:cs="Arial"/>
          <w:szCs w:val="18"/>
        </w:rPr>
        <w:t>2018</w:t>
      </w:r>
      <w:r>
        <w:rPr>
          <w:rFonts w:cs="Arial"/>
          <w:szCs w:val="18"/>
        </w:rPr>
        <w:t xml:space="preserve">, </w:t>
      </w:r>
      <w:r w:rsidRPr="00503B2E">
        <w:rPr>
          <w:rFonts w:cs="Arial"/>
          <w:szCs w:val="18"/>
        </w:rPr>
        <w:t xml:space="preserve">Ch 4; </w:t>
      </w:r>
      <w:r>
        <w:rPr>
          <w:rFonts w:cs="Arial"/>
          <w:szCs w:val="18"/>
        </w:rPr>
        <w:t xml:space="preserve">R McDougall KC, </w:t>
      </w:r>
      <w:r w:rsidRPr="008C6351">
        <w:rPr>
          <w:rFonts w:cs="Arial"/>
          <w:i/>
          <w:szCs w:val="18"/>
        </w:rPr>
        <w:t>Independent Review of SafeWork NSW</w:t>
      </w:r>
      <w:r w:rsidRPr="00503B2E">
        <w:rPr>
          <w:rFonts w:cs="Arial"/>
          <w:szCs w:val="18"/>
        </w:rPr>
        <w:t xml:space="preserve">, </w:t>
      </w:r>
      <w:r>
        <w:rPr>
          <w:rFonts w:cs="Arial"/>
          <w:szCs w:val="18"/>
        </w:rPr>
        <w:t xml:space="preserve">SafeWork NSW, </w:t>
      </w:r>
      <w:r w:rsidRPr="00503B2E">
        <w:rPr>
          <w:rFonts w:cs="Arial"/>
          <w:szCs w:val="18"/>
        </w:rPr>
        <w:t>2023</w:t>
      </w:r>
      <w:r>
        <w:rPr>
          <w:rFonts w:cs="Arial"/>
          <w:szCs w:val="18"/>
        </w:rPr>
        <w:t>,</w:t>
      </w:r>
      <w:r w:rsidRPr="00503B2E">
        <w:rPr>
          <w:rFonts w:cs="Arial"/>
          <w:szCs w:val="18"/>
        </w:rPr>
        <w:t xml:space="preserve"> pp 33–35.</w:t>
      </w:r>
    </w:p>
  </w:footnote>
  <w:footnote w:id="361">
    <w:p w14:paraId="248E3807" w14:textId="7742427A" w:rsidR="000073ED" w:rsidRPr="00503B2E" w:rsidRDefault="000073ED" w:rsidP="000073ED">
      <w:pPr>
        <w:pStyle w:val="FootnoteText"/>
        <w:rPr>
          <w:rFonts w:cs="Arial"/>
          <w:szCs w:val="18"/>
        </w:rPr>
      </w:pPr>
      <w:r w:rsidRPr="00503B2E">
        <w:rPr>
          <w:rStyle w:val="FootnoteReference"/>
          <w:rFonts w:cs="Arial"/>
          <w:szCs w:val="18"/>
        </w:rPr>
        <w:footnoteRef/>
      </w:r>
      <w:r w:rsidRPr="00503B2E">
        <w:rPr>
          <w:rFonts w:cs="Arial"/>
          <w:szCs w:val="18"/>
        </w:rPr>
        <w:t xml:space="preserve"> C Allen, C Massy and D Swan, </w:t>
      </w:r>
      <w:hyperlink r:id="rId301" w:history="1">
        <w:r w:rsidRPr="00503B2E">
          <w:rPr>
            <w:rStyle w:val="Hyperlink"/>
            <w:rFonts w:cs="Arial"/>
            <w:i/>
            <w:szCs w:val="18"/>
          </w:rPr>
          <w:t>Review of the Work Health and Safety Act 2011</w:t>
        </w:r>
      </w:hyperlink>
      <w:r w:rsidRPr="00503B2E">
        <w:rPr>
          <w:rFonts w:cs="Arial"/>
          <w:szCs w:val="18"/>
        </w:rPr>
        <w:t xml:space="preserve">, </w:t>
      </w:r>
      <w:r>
        <w:rPr>
          <w:rFonts w:cs="Arial"/>
          <w:szCs w:val="18"/>
        </w:rPr>
        <w:t xml:space="preserve">Queensland </w:t>
      </w:r>
      <w:r w:rsidRPr="00503B2E">
        <w:rPr>
          <w:rFonts w:cs="Arial"/>
          <w:szCs w:val="18"/>
        </w:rPr>
        <w:t>Government, 2022, p 48; WorkSafe Tasmania</w:t>
      </w:r>
      <w:r>
        <w:rPr>
          <w:rFonts w:cs="Arial"/>
          <w:szCs w:val="18"/>
        </w:rPr>
        <w:t>,</w:t>
      </w:r>
      <w:r w:rsidRPr="00503B2E">
        <w:rPr>
          <w:rFonts w:cs="Arial"/>
          <w:szCs w:val="18"/>
        </w:rPr>
        <w:t xml:space="preserve"> </w:t>
      </w:r>
      <w:r>
        <w:rPr>
          <w:rFonts w:cs="Arial"/>
          <w:szCs w:val="18"/>
        </w:rPr>
        <w:t>C</w:t>
      </w:r>
      <w:r w:rsidRPr="00503B2E">
        <w:rPr>
          <w:rFonts w:cs="Arial"/>
          <w:szCs w:val="18"/>
        </w:rPr>
        <w:t>orrespondence</w:t>
      </w:r>
      <w:r>
        <w:rPr>
          <w:rFonts w:cs="Arial"/>
          <w:szCs w:val="18"/>
        </w:rPr>
        <w:t>,</w:t>
      </w:r>
      <w:r w:rsidRPr="00503B2E">
        <w:rPr>
          <w:rFonts w:cs="Arial"/>
          <w:szCs w:val="18"/>
        </w:rPr>
        <w:t xml:space="preserve"> 24 April 2026; WorkSafe ACT</w:t>
      </w:r>
      <w:r>
        <w:rPr>
          <w:rFonts w:cs="Arial"/>
          <w:szCs w:val="18"/>
        </w:rPr>
        <w:t>,</w:t>
      </w:r>
      <w:r w:rsidRPr="00503B2E">
        <w:rPr>
          <w:rFonts w:cs="Arial"/>
          <w:szCs w:val="18"/>
        </w:rPr>
        <w:t xml:space="preserve"> </w:t>
      </w:r>
      <w:r>
        <w:rPr>
          <w:rFonts w:cs="Arial"/>
          <w:szCs w:val="18"/>
        </w:rPr>
        <w:t>C</w:t>
      </w:r>
      <w:r w:rsidRPr="00503B2E">
        <w:rPr>
          <w:rFonts w:cs="Arial"/>
          <w:szCs w:val="18"/>
        </w:rPr>
        <w:t>orrespondence</w:t>
      </w:r>
      <w:r>
        <w:rPr>
          <w:rFonts w:cs="Arial"/>
          <w:szCs w:val="18"/>
        </w:rPr>
        <w:t>,</w:t>
      </w:r>
      <w:r w:rsidRPr="00503B2E">
        <w:rPr>
          <w:rFonts w:cs="Arial"/>
          <w:szCs w:val="18"/>
        </w:rPr>
        <w:t xml:space="preserve"> 21 April 2026.</w:t>
      </w:r>
    </w:p>
  </w:footnote>
  <w:footnote w:id="362">
    <w:p w14:paraId="7F0824C1" w14:textId="77777777" w:rsidR="000073ED" w:rsidRPr="00503B2E" w:rsidRDefault="000073ED" w:rsidP="000073ED">
      <w:pPr>
        <w:pStyle w:val="FootnoteText"/>
        <w:rPr>
          <w:rFonts w:cs="Arial"/>
          <w:szCs w:val="18"/>
        </w:rPr>
      </w:pPr>
      <w:r w:rsidRPr="00503B2E">
        <w:rPr>
          <w:rStyle w:val="FootnoteReference"/>
          <w:rFonts w:cs="Arial"/>
          <w:szCs w:val="18"/>
        </w:rPr>
        <w:footnoteRef/>
      </w:r>
      <w:r w:rsidRPr="00503B2E">
        <w:rPr>
          <w:rFonts w:cs="Arial"/>
          <w:szCs w:val="18"/>
        </w:rPr>
        <w:t xml:space="preserve"> </w:t>
      </w:r>
      <w:hyperlink r:id="rId302" w:history="1">
        <w:r w:rsidRPr="00503B2E">
          <w:rPr>
            <w:rStyle w:val="Hyperlink"/>
            <w:rFonts w:cs="Arial"/>
            <w:szCs w:val="18"/>
          </w:rPr>
          <w:t>Office of WHS Commissioner ACT</w:t>
        </w:r>
      </w:hyperlink>
      <w:r w:rsidRPr="00503B2E">
        <w:rPr>
          <w:rFonts w:cs="Arial"/>
          <w:szCs w:val="18"/>
        </w:rPr>
        <w:t>, Submission, pp 17–18; HWSA, Consultation, September 2025.</w:t>
      </w:r>
    </w:p>
  </w:footnote>
  <w:footnote w:id="363">
    <w:p w14:paraId="7676F380" w14:textId="101A2B0D" w:rsidR="000073ED" w:rsidRPr="00400AFA" w:rsidRDefault="000073ED" w:rsidP="000073ED">
      <w:pPr>
        <w:pStyle w:val="FootnoteText"/>
        <w:rPr>
          <w:rFonts w:cs="Arial"/>
          <w:szCs w:val="18"/>
        </w:rPr>
      </w:pPr>
      <w:r w:rsidRPr="00503B2E">
        <w:rPr>
          <w:rStyle w:val="FootnoteReference"/>
          <w:rFonts w:cs="Arial"/>
          <w:szCs w:val="18"/>
        </w:rPr>
        <w:footnoteRef/>
      </w:r>
      <w:r w:rsidRPr="00503B2E">
        <w:rPr>
          <w:rFonts w:cs="Arial"/>
          <w:szCs w:val="18"/>
        </w:rPr>
        <w:t xml:space="preserve"> Model WHS Act, s 156(d). See also </w:t>
      </w:r>
      <w:r w:rsidRPr="00503B2E">
        <w:rPr>
          <w:szCs w:val="18"/>
        </w:rPr>
        <w:t xml:space="preserve">T </w:t>
      </w:r>
      <w:r w:rsidRPr="00503B2E">
        <w:rPr>
          <w:rFonts w:cs="Arial"/>
          <w:szCs w:val="18"/>
        </w:rPr>
        <w:t xml:space="preserve">Lyons, </w:t>
      </w:r>
      <w:hyperlink r:id="rId303" w:history="1">
        <w:r w:rsidRPr="00503B2E">
          <w:rPr>
            <w:rStyle w:val="Hyperlink"/>
            <w:rFonts w:cs="Arial"/>
            <w:i/>
            <w:szCs w:val="18"/>
          </w:rPr>
          <w:t xml:space="preserve">Best Practice Review of Workplace Health and Safety in the Northern Territory: </w:t>
        </w:r>
        <w:r>
          <w:rPr>
            <w:rStyle w:val="Hyperlink"/>
            <w:rFonts w:cs="Arial"/>
            <w:i/>
            <w:szCs w:val="18"/>
          </w:rPr>
          <w:t>F</w:t>
        </w:r>
        <w:r w:rsidRPr="00503B2E">
          <w:rPr>
            <w:rStyle w:val="Hyperlink"/>
            <w:rFonts w:cs="Arial"/>
            <w:i/>
            <w:szCs w:val="18"/>
          </w:rPr>
          <w:t xml:space="preserve">inal </w:t>
        </w:r>
        <w:r w:rsidR="001B478A">
          <w:rPr>
            <w:rStyle w:val="Hyperlink"/>
            <w:rFonts w:cs="Arial"/>
            <w:i/>
            <w:szCs w:val="18"/>
          </w:rPr>
          <w:t>r</w:t>
        </w:r>
        <w:r w:rsidRPr="00503B2E">
          <w:rPr>
            <w:rStyle w:val="Hyperlink"/>
            <w:rFonts w:cs="Arial"/>
            <w:i/>
            <w:szCs w:val="18"/>
          </w:rPr>
          <w:t>eport</w:t>
        </w:r>
      </w:hyperlink>
      <w:r w:rsidRPr="00503B2E">
        <w:rPr>
          <w:rFonts w:cs="Arial"/>
          <w:szCs w:val="18"/>
        </w:rPr>
        <w:t>, NT Government, 2019, Recommendation 10.4 and p 47.</w:t>
      </w:r>
    </w:p>
  </w:footnote>
  <w:footnote w:id="364">
    <w:p w14:paraId="4C686B36" w14:textId="77777777" w:rsidR="00625343" w:rsidRPr="00503B2E" w:rsidRDefault="00625343" w:rsidP="00625343">
      <w:pPr>
        <w:pStyle w:val="FootnoteText"/>
      </w:pPr>
      <w:r w:rsidRPr="00503B2E">
        <w:rPr>
          <w:rStyle w:val="FootnoteReference"/>
        </w:rPr>
        <w:footnoteRef/>
      </w:r>
      <w:r w:rsidRPr="00503B2E">
        <w:t xml:space="preserve"> </w:t>
      </w:r>
      <w:r w:rsidRPr="00503B2E">
        <w:rPr>
          <w:rFonts w:eastAsia="Arial"/>
        </w:rPr>
        <w:t>WA WHS Act, s 165.</w:t>
      </w:r>
    </w:p>
  </w:footnote>
  <w:footnote w:id="365">
    <w:p w14:paraId="5CE5DE3E" w14:textId="28B28D82" w:rsidR="00625343" w:rsidRPr="00503B2E" w:rsidRDefault="00625343" w:rsidP="00625343">
      <w:pPr>
        <w:pStyle w:val="FootnoteText"/>
        <w:rPr>
          <w:rFonts w:cs="Arial"/>
        </w:rPr>
      </w:pPr>
      <w:r w:rsidRPr="00503B2E">
        <w:rPr>
          <w:rStyle w:val="FootnoteReference"/>
        </w:rPr>
        <w:footnoteRef/>
      </w:r>
      <w:r w:rsidRPr="00503B2E">
        <w:t xml:space="preserve"> </w:t>
      </w:r>
      <w:r w:rsidRPr="00503B2E">
        <w:rPr>
          <w:rFonts w:eastAsia="Arial" w:cs="Arial"/>
        </w:rPr>
        <w:t>WA WHS Act, s 170(a).</w:t>
      </w:r>
    </w:p>
  </w:footnote>
  <w:footnote w:id="366">
    <w:p w14:paraId="798BD260" w14:textId="77777777" w:rsidR="0093510B" w:rsidRPr="00503B2E" w:rsidRDefault="0093510B" w:rsidP="0093510B">
      <w:pPr>
        <w:pStyle w:val="FootnoteText"/>
        <w:rPr>
          <w:rFonts w:cs="Arial"/>
        </w:rPr>
      </w:pPr>
      <w:r w:rsidRPr="00503B2E">
        <w:rPr>
          <w:rStyle w:val="FootnoteReference"/>
          <w:rFonts w:cs="Arial"/>
        </w:rPr>
        <w:footnoteRef/>
      </w:r>
      <w:r w:rsidRPr="00503B2E">
        <w:rPr>
          <w:rFonts w:cs="Arial"/>
        </w:rPr>
        <w:t xml:space="preserve"> </w:t>
      </w:r>
      <w:r w:rsidRPr="00503B2E">
        <w:rPr>
          <w:rFonts w:eastAsia="Arial" w:cs="Arial"/>
        </w:rPr>
        <w:t>Cth WHS Act, ss 165A and 165B.</w:t>
      </w:r>
    </w:p>
  </w:footnote>
  <w:footnote w:id="367">
    <w:p w14:paraId="0412B5A0" w14:textId="77777777" w:rsidR="0093510B" w:rsidRPr="00503B2E" w:rsidRDefault="0093510B" w:rsidP="0093510B">
      <w:pPr>
        <w:pStyle w:val="FootnoteText"/>
        <w:rPr>
          <w:rFonts w:cs="Arial"/>
        </w:rPr>
      </w:pPr>
      <w:r w:rsidRPr="00503B2E">
        <w:rPr>
          <w:rStyle w:val="FootnoteReference"/>
          <w:rFonts w:cs="Arial"/>
        </w:rPr>
        <w:footnoteRef/>
      </w:r>
      <w:r w:rsidRPr="00503B2E">
        <w:rPr>
          <w:rFonts w:cs="Arial"/>
        </w:rPr>
        <w:t xml:space="preserve"> </w:t>
      </w:r>
      <w:r w:rsidRPr="00503B2E">
        <w:rPr>
          <w:rFonts w:eastAsia="Arial" w:cs="Arial"/>
        </w:rPr>
        <w:t>WA WHS Act, s 171.</w:t>
      </w:r>
    </w:p>
  </w:footnote>
  <w:footnote w:id="368">
    <w:p w14:paraId="5CCE5B45" w14:textId="77777777" w:rsidR="0093510B" w:rsidRPr="00503B2E" w:rsidRDefault="0093510B" w:rsidP="0093510B">
      <w:pPr>
        <w:pStyle w:val="FootnoteText"/>
        <w:rPr>
          <w:rFonts w:cs="Arial"/>
        </w:rPr>
      </w:pPr>
      <w:r w:rsidRPr="00503B2E">
        <w:rPr>
          <w:rStyle w:val="FootnoteReference"/>
          <w:rFonts w:cs="Arial"/>
        </w:rPr>
        <w:footnoteRef/>
      </w:r>
      <w:r w:rsidRPr="00503B2E">
        <w:rPr>
          <w:rFonts w:cs="Arial"/>
        </w:rPr>
        <w:t xml:space="preserve"> </w:t>
      </w:r>
      <w:r w:rsidRPr="00503B2E">
        <w:rPr>
          <w:rFonts w:eastAsia="Arial" w:cs="Arial"/>
        </w:rPr>
        <w:t>WA WHS Act, ss 174 and 181.</w:t>
      </w:r>
    </w:p>
  </w:footnote>
  <w:footnote w:id="369">
    <w:p w14:paraId="73903CFB" w14:textId="77777777" w:rsidR="0093510B" w:rsidRPr="00503B2E" w:rsidRDefault="0093510B" w:rsidP="0093510B">
      <w:pPr>
        <w:pStyle w:val="FootnoteText"/>
        <w:rPr>
          <w:rFonts w:cs="Arial"/>
        </w:rPr>
      </w:pPr>
      <w:r w:rsidRPr="00503B2E">
        <w:rPr>
          <w:rStyle w:val="FootnoteReference"/>
          <w:rFonts w:cs="Arial"/>
        </w:rPr>
        <w:footnoteRef/>
      </w:r>
      <w:r w:rsidRPr="00503B2E">
        <w:rPr>
          <w:rFonts w:cs="Arial"/>
        </w:rPr>
        <w:t xml:space="preserve"> </w:t>
      </w:r>
      <w:r w:rsidRPr="00503B2E">
        <w:rPr>
          <w:rFonts w:eastAsia="Arial" w:cs="Arial"/>
        </w:rPr>
        <w:t>WA WHS Act, s 181.</w:t>
      </w:r>
    </w:p>
  </w:footnote>
  <w:footnote w:id="370">
    <w:p w14:paraId="7F805DFE" w14:textId="77777777" w:rsidR="0093510B" w:rsidRPr="00503B2E" w:rsidRDefault="0093510B" w:rsidP="0093510B">
      <w:pPr>
        <w:pStyle w:val="FootnoteText"/>
        <w:rPr>
          <w:rFonts w:cs="Arial"/>
          <w:szCs w:val="18"/>
        </w:rPr>
      </w:pPr>
      <w:r w:rsidRPr="00503B2E">
        <w:rPr>
          <w:rStyle w:val="FootnoteReference"/>
          <w:rFonts w:cs="Arial"/>
          <w:szCs w:val="18"/>
        </w:rPr>
        <w:footnoteRef/>
      </w:r>
      <w:r w:rsidRPr="00503B2E">
        <w:rPr>
          <w:rFonts w:cs="Arial"/>
          <w:szCs w:val="18"/>
        </w:rPr>
        <w:t xml:space="preserve"> </w:t>
      </w:r>
      <w:hyperlink r:id="rId304" w:history="1">
        <w:r w:rsidRPr="00503B2E">
          <w:rPr>
            <w:rStyle w:val="Hyperlink"/>
            <w:rFonts w:cs="Arial"/>
            <w:szCs w:val="18"/>
          </w:rPr>
          <w:t>Office of the Work Health and Safety Commissioner ACT</w:t>
        </w:r>
      </w:hyperlink>
      <w:r w:rsidRPr="00503B2E">
        <w:rPr>
          <w:rFonts w:cs="Arial"/>
          <w:szCs w:val="18"/>
        </w:rPr>
        <w:t>, Submission, p 13.</w:t>
      </w:r>
    </w:p>
  </w:footnote>
  <w:footnote w:id="371">
    <w:p w14:paraId="7AA2E05E" w14:textId="77777777" w:rsidR="000073ED" w:rsidRPr="00503B2E" w:rsidRDefault="000073ED" w:rsidP="000073ED">
      <w:pPr>
        <w:pStyle w:val="FootnoteText"/>
        <w:rPr>
          <w:rFonts w:cs="Arial"/>
        </w:rPr>
      </w:pPr>
      <w:r w:rsidRPr="00503B2E">
        <w:rPr>
          <w:rStyle w:val="FootnoteReference"/>
          <w:rFonts w:cs="Arial"/>
        </w:rPr>
        <w:footnoteRef/>
      </w:r>
      <w:r w:rsidRPr="00503B2E">
        <w:rPr>
          <w:rFonts w:cs="Arial"/>
        </w:rPr>
        <w:t xml:space="preserve"> SafeWork SA, </w:t>
      </w:r>
      <w:hyperlink r:id="rId305" w:history="1">
        <w:r w:rsidRPr="002B71EF">
          <w:rPr>
            <w:rStyle w:val="Hyperlink"/>
            <w:rFonts w:cs="Arial"/>
            <w:i/>
          </w:rPr>
          <w:t>Body worn cameras</w:t>
        </w:r>
      </w:hyperlink>
      <w:r w:rsidRPr="00503B2E">
        <w:rPr>
          <w:rFonts w:cs="Arial"/>
        </w:rPr>
        <w:t xml:space="preserve">, </w:t>
      </w:r>
      <w:r>
        <w:rPr>
          <w:rFonts w:cs="Arial"/>
        </w:rPr>
        <w:t xml:space="preserve">SafeWork SA </w:t>
      </w:r>
      <w:r w:rsidRPr="00503B2E">
        <w:rPr>
          <w:rFonts w:cs="Arial"/>
        </w:rPr>
        <w:t xml:space="preserve">website, </w:t>
      </w:r>
      <w:r>
        <w:rPr>
          <w:rFonts w:cs="Arial"/>
        </w:rPr>
        <w:t xml:space="preserve">n.d., </w:t>
      </w:r>
      <w:r w:rsidRPr="00503B2E">
        <w:rPr>
          <w:rFonts w:cs="Arial"/>
        </w:rPr>
        <w:t>accessed</w:t>
      </w:r>
      <w:r w:rsidRPr="00503B2E" w:rsidDel="007C3979">
        <w:rPr>
          <w:rFonts w:cs="Arial"/>
        </w:rPr>
        <w:t xml:space="preserve"> </w:t>
      </w:r>
      <w:r w:rsidRPr="00503B2E">
        <w:rPr>
          <w:rFonts w:cs="Arial"/>
        </w:rPr>
        <w:t xml:space="preserve">25 May 2026; SafeWork NSW, </w:t>
      </w:r>
      <w:hyperlink r:id="rId306" w:history="1">
        <w:r w:rsidRPr="002B71EF">
          <w:rPr>
            <w:rStyle w:val="Hyperlink"/>
            <w:rFonts w:cs="Arial"/>
            <w:i/>
          </w:rPr>
          <w:t>Body worn cameras</w:t>
        </w:r>
      </w:hyperlink>
      <w:r w:rsidRPr="00503B2E">
        <w:rPr>
          <w:rFonts w:cs="Arial"/>
        </w:rPr>
        <w:t xml:space="preserve">, </w:t>
      </w:r>
      <w:r>
        <w:rPr>
          <w:rFonts w:cs="Arial"/>
        </w:rPr>
        <w:t xml:space="preserve">SafeWork NSW </w:t>
      </w:r>
      <w:r w:rsidRPr="00503B2E">
        <w:rPr>
          <w:rFonts w:cs="Arial"/>
        </w:rPr>
        <w:t xml:space="preserve">website, </w:t>
      </w:r>
      <w:r>
        <w:rPr>
          <w:rFonts w:cs="Arial"/>
        </w:rPr>
        <w:t xml:space="preserve">n.d., </w:t>
      </w:r>
      <w:r w:rsidRPr="00E04AF8" w:rsidDel="00FA32BF">
        <w:rPr>
          <w:rFonts w:cs="Arial"/>
        </w:rPr>
        <w:t xml:space="preserve">WorkSafe ACT, </w:t>
      </w:r>
      <w:hyperlink r:id="rId307" w:history="1">
        <w:r w:rsidRPr="00E04AF8">
          <w:rPr>
            <w:rStyle w:val="Hyperlink"/>
            <w:rFonts w:cs="Arial"/>
            <w:i/>
          </w:rPr>
          <w:t>Conduct of Work Health and Safety Prosecutions Review (WorkSafe ACT)</w:t>
        </w:r>
      </w:hyperlink>
      <w:r w:rsidRPr="00E04AF8">
        <w:rPr>
          <w:rFonts w:cs="Arial"/>
        </w:rPr>
        <w:t>, WorkSafe ACT, 2022, p 20</w:t>
      </w:r>
      <w:r>
        <w:rPr>
          <w:rFonts w:cs="Arial"/>
        </w:rPr>
        <w:t>,</w:t>
      </w:r>
      <w:r w:rsidRPr="00503B2E" w:rsidDel="007C3979">
        <w:rPr>
          <w:rFonts w:cs="Arial"/>
        </w:rPr>
        <w:t xml:space="preserve"> </w:t>
      </w:r>
      <w:r w:rsidRPr="00503B2E">
        <w:rPr>
          <w:rFonts w:cs="Arial"/>
        </w:rPr>
        <w:t>accessed</w:t>
      </w:r>
      <w:r w:rsidRPr="00503B2E" w:rsidDel="007C3979">
        <w:rPr>
          <w:rFonts w:cs="Arial"/>
        </w:rPr>
        <w:t xml:space="preserve"> </w:t>
      </w:r>
      <w:r w:rsidRPr="00503B2E">
        <w:rPr>
          <w:rFonts w:cs="Arial"/>
        </w:rPr>
        <w:t xml:space="preserve">25 May 2026; SafeWork NT, </w:t>
      </w:r>
      <w:hyperlink r:id="rId308" w:history="1">
        <w:r w:rsidRPr="001216D8">
          <w:rPr>
            <w:rStyle w:val="Hyperlink"/>
            <w:rFonts w:cs="Arial"/>
            <w:i/>
          </w:rPr>
          <w:t>Body worn cameras</w:t>
        </w:r>
      </w:hyperlink>
      <w:r w:rsidRPr="00503B2E">
        <w:rPr>
          <w:rFonts w:cs="Arial"/>
        </w:rPr>
        <w:t xml:space="preserve">, </w:t>
      </w:r>
      <w:r>
        <w:rPr>
          <w:rFonts w:cs="Arial"/>
        </w:rPr>
        <w:t xml:space="preserve">SafeWork NT </w:t>
      </w:r>
      <w:r w:rsidRPr="00503B2E">
        <w:rPr>
          <w:rFonts w:cs="Arial"/>
        </w:rPr>
        <w:t xml:space="preserve">website, </w:t>
      </w:r>
      <w:r>
        <w:rPr>
          <w:rFonts w:cs="Arial"/>
        </w:rPr>
        <w:t xml:space="preserve">n.d., </w:t>
      </w:r>
      <w:r w:rsidRPr="00503B2E">
        <w:rPr>
          <w:rFonts w:cs="Arial"/>
        </w:rPr>
        <w:t>accessed</w:t>
      </w:r>
      <w:r w:rsidRPr="00503B2E" w:rsidDel="007C3979">
        <w:rPr>
          <w:rFonts w:cs="Arial"/>
        </w:rPr>
        <w:t xml:space="preserve"> </w:t>
      </w:r>
      <w:r w:rsidRPr="00503B2E">
        <w:rPr>
          <w:rFonts w:cs="Arial"/>
        </w:rPr>
        <w:t>25 May 2026.</w:t>
      </w:r>
    </w:p>
  </w:footnote>
  <w:footnote w:id="372">
    <w:p w14:paraId="5586632B" w14:textId="77777777" w:rsidR="000073ED" w:rsidRPr="00503B2E" w:rsidRDefault="000073ED" w:rsidP="000073ED">
      <w:pPr>
        <w:pStyle w:val="FootnoteText"/>
        <w:widowControl w:val="0"/>
        <w:contextualSpacing w:val="0"/>
        <w:rPr>
          <w:rFonts w:cs="Arial"/>
          <w:szCs w:val="18"/>
        </w:rPr>
      </w:pPr>
      <w:r w:rsidRPr="00503B2E">
        <w:rPr>
          <w:rStyle w:val="FootnoteReference"/>
          <w:rFonts w:cs="Arial"/>
          <w:szCs w:val="18"/>
        </w:rPr>
        <w:footnoteRef/>
      </w:r>
      <w:r w:rsidRPr="00503B2E">
        <w:rPr>
          <w:rFonts w:cs="Arial"/>
          <w:szCs w:val="18"/>
        </w:rPr>
        <w:t xml:space="preserve"> Model WHS Act, s</w:t>
      </w:r>
      <w:r>
        <w:rPr>
          <w:rFonts w:cs="Arial"/>
          <w:szCs w:val="18"/>
        </w:rPr>
        <w:t xml:space="preserve"> </w:t>
      </w:r>
      <w:r w:rsidRPr="00503B2E">
        <w:rPr>
          <w:rFonts w:cs="Arial"/>
          <w:szCs w:val="18"/>
        </w:rPr>
        <w:t>216(2).</w:t>
      </w:r>
    </w:p>
  </w:footnote>
  <w:footnote w:id="373">
    <w:p w14:paraId="61FE3913" w14:textId="77777777" w:rsidR="00A44DE5" w:rsidRPr="00503B2E" w:rsidRDefault="00A44DE5" w:rsidP="00A44DE5">
      <w:pPr>
        <w:pStyle w:val="FootnoteText"/>
        <w:widowControl w:val="0"/>
        <w:contextualSpacing w:val="0"/>
        <w:rPr>
          <w:rFonts w:cs="Arial"/>
          <w:szCs w:val="18"/>
        </w:rPr>
      </w:pPr>
      <w:r w:rsidRPr="00503B2E">
        <w:rPr>
          <w:rStyle w:val="FootnoteReference"/>
          <w:rFonts w:cs="Arial"/>
          <w:szCs w:val="18"/>
        </w:rPr>
        <w:footnoteRef/>
      </w:r>
      <w:r w:rsidRPr="00503B2E">
        <w:rPr>
          <w:rFonts w:cs="Arial"/>
          <w:szCs w:val="18"/>
        </w:rPr>
        <w:t xml:space="preserve"> Safe Work Australia Research Summit, Consultation, September 2025.</w:t>
      </w:r>
    </w:p>
  </w:footnote>
  <w:footnote w:id="374">
    <w:p w14:paraId="70E06D49" w14:textId="2A363245" w:rsidR="00A44DE5" w:rsidRPr="005A21E6" w:rsidRDefault="00A44DE5" w:rsidP="00A44DE5">
      <w:pPr>
        <w:widowControl w:val="0"/>
        <w:spacing w:after="0" w:line="240" w:lineRule="auto"/>
        <w:contextualSpacing w:val="0"/>
        <w:rPr>
          <w:rFonts w:eastAsia="Times New Roman" w:cs="Arial"/>
          <w:color w:val="000000"/>
          <w:sz w:val="18"/>
          <w:szCs w:val="18"/>
          <w:lang w:eastAsia="en-AU"/>
        </w:rPr>
      </w:pPr>
      <w:r w:rsidRPr="00503B2E">
        <w:rPr>
          <w:rStyle w:val="FootnoteReference"/>
          <w:rFonts w:asciiTheme="minorHAnsi" w:hAnsiTheme="minorHAnsi" w:cs="Arial"/>
          <w:sz w:val="18"/>
          <w:szCs w:val="18"/>
        </w:rPr>
        <w:footnoteRef/>
      </w:r>
      <w:r w:rsidRPr="00503B2E">
        <w:rPr>
          <w:rFonts w:asciiTheme="minorHAnsi" w:hAnsiTheme="minorHAnsi" w:cs="Arial"/>
          <w:sz w:val="18"/>
          <w:szCs w:val="18"/>
        </w:rPr>
        <w:t xml:space="preserve"> </w:t>
      </w:r>
      <w:hyperlink r:id="rId309" w:history="1">
        <w:r w:rsidRPr="00457A73">
          <w:rPr>
            <w:rStyle w:val="Hyperlink"/>
            <w:rFonts w:asciiTheme="minorHAnsi" w:eastAsia="Times New Roman" w:hAnsiTheme="minorHAnsi" w:cs="Arial"/>
            <w:sz w:val="18"/>
            <w:szCs w:val="18"/>
            <w:lang w:eastAsia="en-AU"/>
          </w:rPr>
          <w:t>ACFA</w:t>
        </w:r>
      </w:hyperlink>
      <w:r w:rsidRPr="00503B2E">
        <w:rPr>
          <w:rFonts w:asciiTheme="minorHAnsi" w:hAnsiTheme="minorHAnsi" w:cs="Arial"/>
          <w:sz w:val="18"/>
          <w:szCs w:val="18"/>
        </w:rPr>
        <w:t>, Submission, p 10.</w:t>
      </w:r>
    </w:p>
  </w:footnote>
  <w:footnote w:id="375">
    <w:p w14:paraId="6CCD6C1F" w14:textId="323D0B99" w:rsidR="00A44DE5" w:rsidRPr="00503B2E" w:rsidRDefault="00A44DE5" w:rsidP="00A44DE5">
      <w:pPr>
        <w:pStyle w:val="FootnoteText"/>
        <w:widowControl w:val="0"/>
        <w:contextualSpacing w:val="0"/>
        <w:rPr>
          <w:rFonts w:cs="Arial"/>
          <w:szCs w:val="18"/>
        </w:rPr>
      </w:pPr>
      <w:r w:rsidRPr="003F0249">
        <w:rPr>
          <w:rStyle w:val="FootnoteReference"/>
          <w:rFonts w:cs="Arial"/>
          <w:szCs w:val="18"/>
        </w:rPr>
        <w:footnoteRef/>
      </w:r>
      <w:r w:rsidRPr="003F0249">
        <w:rPr>
          <w:rFonts w:cs="Arial"/>
          <w:szCs w:val="18"/>
        </w:rPr>
        <w:t xml:space="preserve"> Sentencing Advisory Council, </w:t>
      </w:r>
      <w:r w:rsidRPr="003F0249">
        <w:rPr>
          <w:rFonts w:cs="Arial"/>
          <w:i/>
          <w:szCs w:val="18"/>
        </w:rPr>
        <w:t xml:space="preserve">Sentencing </w:t>
      </w:r>
      <w:r w:rsidR="001B478A" w:rsidRPr="003F0249">
        <w:rPr>
          <w:rFonts w:cs="Arial"/>
          <w:i/>
          <w:szCs w:val="18"/>
        </w:rPr>
        <w:t>o</w:t>
      </w:r>
      <w:r w:rsidRPr="003F0249">
        <w:rPr>
          <w:rFonts w:cs="Arial"/>
          <w:i/>
          <w:szCs w:val="18"/>
        </w:rPr>
        <w:t xml:space="preserve">ccupational </w:t>
      </w:r>
      <w:r w:rsidR="001B478A" w:rsidRPr="003F0249">
        <w:rPr>
          <w:rFonts w:cs="Arial"/>
          <w:i/>
          <w:szCs w:val="18"/>
        </w:rPr>
        <w:t>h</w:t>
      </w:r>
      <w:r w:rsidRPr="003F0249">
        <w:rPr>
          <w:rFonts w:cs="Arial"/>
          <w:i/>
          <w:szCs w:val="18"/>
        </w:rPr>
        <w:t xml:space="preserve">ealth and </w:t>
      </w:r>
      <w:r w:rsidR="001B478A" w:rsidRPr="003F0249">
        <w:rPr>
          <w:rFonts w:cs="Arial"/>
          <w:i/>
          <w:szCs w:val="18"/>
        </w:rPr>
        <w:t>s</w:t>
      </w:r>
      <w:r w:rsidRPr="003F0249">
        <w:rPr>
          <w:rFonts w:cs="Arial"/>
          <w:i/>
          <w:szCs w:val="18"/>
        </w:rPr>
        <w:t xml:space="preserve">afety </w:t>
      </w:r>
      <w:r w:rsidR="001B478A" w:rsidRPr="003F0249">
        <w:rPr>
          <w:rFonts w:cs="Arial"/>
          <w:i/>
          <w:szCs w:val="18"/>
        </w:rPr>
        <w:t>o</w:t>
      </w:r>
      <w:r w:rsidRPr="003F0249">
        <w:rPr>
          <w:rFonts w:cs="Arial"/>
          <w:i/>
          <w:szCs w:val="18"/>
        </w:rPr>
        <w:t xml:space="preserve">ffences in Victoria: </w:t>
      </w:r>
      <w:r w:rsidRPr="00F83DFE">
        <w:rPr>
          <w:rFonts w:cs="Arial"/>
          <w:i/>
          <w:szCs w:val="18"/>
        </w:rPr>
        <w:t>R</w:t>
      </w:r>
      <w:r w:rsidRPr="003F0249">
        <w:rPr>
          <w:rFonts w:cs="Arial"/>
          <w:i/>
          <w:szCs w:val="18"/>
        </w:rPr>
        <w:t xml:space="preserve">eport and </w:t>
      </w:r>
      <w:r w:rsidR="001B478A" w:rsidRPr="00F83DFE">
        <w:rPr>
          <w:rFonts w:cs="Arial"/>
          <w:i/>
          <w:szCs w:val="18"/>
        </w:rPr>
        <w:t>r</w:t>
      </w:r>
      <w:r w:rsidRPr="003F0249">
        <w:rPr>
          <w:rFonts w:cs="Arial"/>
          <w:i/>
          <w:szCs w:val="18"/>
        </w:rPr>
        <w:t>ecommendations</w:t>
      </w:r>
      <w:r w:rsidRPr="003F0249">
        <w:rPr>
          <w:rFonts w:cs="Arial"/>
          <w:szCs w:val="18"/>
        </w:rPr>
        <w:t>, 2025, p xix.</w:t>
      </w:r>
    </w:p>
  </w:footnote>
  <w:footnote w:id="376">
    <w:p w14:paraId="1FB9E2F7" w14:textId="77777777" w:rsidR="00A44DE5" w:rsidRPr="00503B2E" w:rsidRDefault="00A44DE5" w:rsidP="00A44DE5">
      <w:pPr>
        <w:pStyle w:val="FootnoteText"/>
        <w:rPr>
          <w:rFonts w:cs="Arial"/>
          <w:szCs w:val="18"/>
        </w:rPr>
      </w:pPr>
      <w:r w:rsidRPr="00503B2E">
        <w:rPr>
          <w:rStyle w:val="FootnoteReference"/>
          <w:rFonts w:cs="Arial"/>
          <w:szCs w:val="18"/>
        </w:rPr>
        <w:footnoteRef/>
      </w:r>
      <w:r w:rsidRPr="00503B2E">
        <w:rPr>
          <w:rFonts w:cs="Arial"/>
          <w:szCs w:val="18"/>
        </w:rPr>
        <w:t xml:space="preserve"> </w:t>
      </w:r>
      <w:hyperlink r:id="rId310" w:history="1">
        <w:r w:rsidRPr="00503B2E">
          <w:rPr>
            <w:rStyle w:val="Hyperlink"/>
            <w:rFonts w:eastAsia="Arial" w:cs="Arial"/>
            <w:szCs w:val="18"/>
          </w:rPr>
          <w:t>AIHS</w:t>
        </w:r>
      </w:hyperlink>
      <w:r w:rsidRPr="00503B2E">
        <w:rPr>
          <w:rFonts w:eastAsia="Arial" w:cs="Arial"/>
          <w:szCs w:val="18"/>
        </w:rPr>
        <w:t>, Submission, p 9.</w:t>
      </w:r>
    </w:p>
  </w:footnote>
  <w:footnote w:id="377">
    <w:p w14:paraId="3944E164" w14:textId="6AAE922D" w:rsidR="00A44DE5" w:rsidRPr="00503B2E" w:rsidRDefault="00A44DE5" w:rsidP="00A44DE5">
      <w:pPr>
        <w:pStyle w:val="FootnoteText"/>
        <w:rPr>
          <w:rFonts w:cs="Arial"/>
          <w:szCs w:val="18"/>
        </w:rPr>
      </w:pPr>
      <w:r w:rsidRPr="00503B2E">
        <w:rPr>
          <w:rStyle w:val="FootnoteReference"/>
          <w:rFonts w:cs="Arial"/>
          <w:szCs w:val="18"/>
        </w:rPr>
        <w:footnoteRef/>
      </w:r>
      <w:r w:rsidRPr="00503B2E">
        <w:rPr>
          <w:rFonts w:cs="Arial"/>
          <w:szCs w:val="18"/>
        </w:rPr>
        <w:t xml:space="preserve"> SafeWork NSW, </w:t>
      </w:r>
      <w:hyperlink r:id="rId311" w:history="1">
        <w:r w:rsidRPr="003B6658">
          <w:rPr>
            <w:rStyle w:val="Hyperlink"/>
            <w:rFonts w:cs="Arial"/>
            <w:i/>
            <w:szCs w:val="18"/>
          </w:rPr>
          <w:t xml:space="preserve">Enforceable </w:t>
        </w:r>
        <w:r w:rsidR="008F64F5">
          <w:rPr>
            <w:rStyle w:val="Hyperlink"/>
            <w:rFonts w:cs="Arial"/>
            <w:i/>
            <w:iCs/>
            <w:szCs w:val="18"/>
          </w:rPr>
          <w:t>u</w:t>
        </w:r>
        <w:r w:rsidRPr="003B6658">
          <w:rPr>
            <w:rStyle w:val="Hyperlink"/>
            <w:rFonts w:cs="Arial"/>
            <w:i/>
            <w:iCs/>
            <w:szCs w:val="18"/>
          </w:rPr>
          <w:t xml:space="preserve">ndertakings </w:t>
        </w:r>
        <w:r w:rsidR="008F64F5">
          <w:rPr>
            <w:rStyle w:val="Hyperlink"/>
            <w:rFonts w:cs="Arial"/>
            <w:i/>
            <w:szCs w:val="18"/>
          </w:rPr>
          <w:t>g</w:t>
        </w:r>
        <w:r w:rsidRPr="003B6658">
          <w:rPr>
            <w:rStyle w:val="Hyperlink"/>
            <w:rFonts w:cs="Arial"/>
            <w:i/>
            <w:szCs w:val="18"/>
          </w:rPr>
          <w:t>uidelines</w:t>
        </w:r>
      </w:hyperlink>
      <w:r w:rsidRPr="00503B2E">
        <w:rPr>
          <w:rFonts w:cs="Arial"/>
          <w:szCs w:val="18"/>
        </w:rPr>
        <w:t xml:space="preserve">, </w:t>
      </w:r>
      <w:r>
        <w:rPr>
          <w:rFonts w:cs="Arial"/>
          <w:szCs w:val="18"/>
        </w:rPr>
        <w:t xml:space="preserve">SafeWork NSW </w:t>
      </w:r>
      <w:r w:rsidRPr="00503B2E">
        <w:rPr>
          <w:rFonts w:cs="Arial"/>
          <w:szCs w:val="18"/>
        </w:rPr>
        <w:t xml:space="preserve">website, </w:t>
      </w:r>
      <w:r>
        <w:rPr>
          <w:rFonts w:cs="Arial"/>
          <w:szCs w:val="18"/>
        </w:rPr>
        <w:t xml:space="preserve">n.d., </w:t>
      </w:r>
      <w:r w:rsidRPr="00503B2E">
        <w:rPr>
          <w:rFonts w:cs="Arial"/>
          <w:szCs w:val="18"/>
        </w:rPr>
        <w:t>accessed 1 May 2026.</w:t>
      </w:r>
    </w:p>
  </w:footnote>
  <w:footnote w:id="378">
    <w:p w14:paraId="228793FE" w14:textId="7DD37A9C" w:rsidR="00A44DE5" w:rsidRPr="00503B2E" w:rsidRDefault="00A44DE5" w:rsidP="00A44DE5">
      <w:pPr>
        <w:pStyle w:val="FootnoteText"/>
        <w:rPr>
          <w:rFonts w:cs="Arial"/>
          <w:szCs w:val="18"/>
        </w:rPr>
      </w:pPr>
      <w:r w:rsidRPr="00503B2E">
        <w:rPr>
          <w:rStyle w:val="FootnoteReference"/>
          <w:rFonts w:cs="Arial"/>
          <w:szCs w:val="18"/>
        </w:rPr>
        <w:footnoteRef/>
      </w:r>
      <w:r w:rsidRPr="00503B2E">
        <w:rPr>
          <w:rFonts w:cs="Arial"/>
          <w:szCs w:val="18"/>
        </w:rPr>
        <w:t xml:space="preserve"> SafeWork NSW, </w:t>
      </w:r>
      <w:hyperlink r:id="rId312" w:history="1">
        <w:r w:rsidRPr="003B6658">
          <w:rPr>
            <w:rStyle w:val="Hyperlink"/>
            <w:rFonts w:cs="Arial"/>
            <w:i/>
            <w:szCs w:val="18"/>
          </w:rPr>
          <w:t xml:space="preserve">Enforceable </w:t>
        </w:r>
        <w:r w:rsidR="008F64F5">
          <w:rPr>
            <w:rStyle w:val="Hyperlink"/>
            <w:rFonts w:cs="Arial"/>
            <w:i/>
            <w:iCs/>
            <w:szCs w:val="18"/>
          </w:rPr>
          <w:t>u</w:t>
        </w:r>
        <w:r w:rsidRPr="003B6658">
          <w:rPr>
            <w:rStyle w:val="Hyperlink"/>
            <w:rFonts w:cs="Arial"/>
            <w:i/>
            <w:iCs/>
            <w:szCs w:val="18"/>
          </w:rPr>
          <w:t xml:space="preserve">ndertakings </w:t>
        </w:r>
        <w:r w:rsidR="008F64F5">
          <w:rPr>
            <w:rStyle w:val="Hyperlink"/>
            <w:rFonts w:cs="Arial"/>
            <w:i/>
            <w:szCs w:val="18"/>
          </w:rPr>
          <w:t>g</w:t>
        </w:r>
        <w:r w:rsidRPr="005C4874">
          <w:rPr>
            <w:rStyle w:val="Hyperlink"/>
            <w:rFonts w:cs="Arial"/>
            <w:i/>
            <w:szCs w:val="18"/>
          </w:rPr>
          <w:t>uidelines</w:t>
        </w:r>
      </w:hyperlink>
      <w:r w:rsidRPr="00503B2E">
        <w:rPr>
          <w:rFonts w:cs="Arial"/>
          <w:szCs w:val="18"/>
        </w:rPr>
        <w:t xml:space="preserve">, </w:t>
      </w:r>
      <w:r>
        <w:rPr>
          <w:rFonts w:cs="Arial"/>
          <w:szCs w:val="18"/>
        </w:rPr>
        <w:t xml:space="preserve">SafeWork NSW </w:t>
      </w:r>
      <w:r w:rsidRPr="00503B2E">
        <w:rPr>
          <w:rFonts w:cs="Arial"/>
          <w:szCs w:val="18"/>
        </w:rPr>
        <w:t xml:space="preserve">website, </w:t>
      </w:r>
      <w:r>
        <w:rPr>
          <w:rFonts w:cs="Arial"/>
          <w:szCs w:val="18"/>
        </w:rPr>
        <w:t xml:space="preserve">n.d., </w:t>
      </w:r>
      <w:r w:rsidRPr="00503B2E">
        <w:rPr>
          <w:rFonts w:cs="Arial"/>
          <w:szCs w:val="18"/>
        </w:rPr>
        <w:t>accessed 1 May 2026.</w:t>
      </w:r>
    </w:p>
  </w:footnote>
  <w:footnote w:id="379">
    <w:p w14:paraId="464548DF" w14:textId="3C564D04" w:rsidR="00A44DE5" w:rsidRPr="00503B2E" w:rsidRDefault="00A44DE5" w:rsidP="00A44DE5">
      <w:pPr>
        <w:pStyle w:val="FootnoteText"/>
        <w:rPr>
          <w:rFonts w:eastAsia="Arial" w:cs="Arial"/>
          <w:szCs w:val="18"/>
        </w:rPr>
      </w:pPr>
      <w:r w:rsidRPr="00503B2E">
        <w:rPr>
          <w:rStyle w:val="FootnoteReference"/>
          <w:rFonts w:cs="Arial"/>
          <w:szCs w:val="18"/>
        </w:rPr>
        <w:footnoteRef/>
      </w:r>
      <w:r w:rsidRPr="00503B2E">
        <w:rPr>
          <w:rFonts w:cs="Arial"/>
          <w:szCs w:val="18"/>
        </w:rPr>
        <w:t xml:space="preserve"> Workplace Health and Safety Queensland, </w:t>
      </w:r>
      <w:hyperlink r:id="rId313" w:history="1">
        <w:r w:rsidRPr="005C4874">
          <w:rPr>
            <w:rStyle w:val="Hyperlink"/>
            <w:rFonts w:eastAsia="Arial" w:cs="Arial"/>
            <w:i/>
            <w:szCs w:val="18"/>
          </w:rPr>
          <w:t xml:space="preserve">Enforceable undertakings: </w:t>
        </w:r>
        <w:r>
          <w:rPr>
            <w:rStyle w:val="Hyperlink"/>
            <w:rFonts w:eastAsia="Arial" w:cs="Arial"/>
            <w:i/>
            <w:szCs w:val="18"/>
          </w:rPr>
          <w:t>H</w:t>
        </w:r>
        <w:r w:rsidRPr="005C4874">
          <w:rPr>
            <w:rStyle w:val="Hyperlink"/>
            <w:rFonts w:eastAsia="Arial" w:cs="Arial"/>
            <w:i/>
            <w:szCs w:val="18"/>
          </w:rPr>
          <w:t>elping improve worker safety for industry and community</w:t>
        </w:r>
      </w:hyperlink>
      <w:r w:rsidRPr="00503B2E">
        <w:rPr>
          <w:rFonts w:eastAsia="Arial" w:cs="Arial"/>
          <w:szCs w:val="18"/>
        </w:rPr>
        <w:t xml:space="preserve">, </w:t>
      </w:r>
      <w:r>
        <w:rPr>
          <w:rFonts w:eastAsia="Arial" w:cs="Arial"/>
          <w:szCs w:val="18"/>
        </w:rPr>
        <w:t xml:space="preserve">Workplace Health and Safety Queensland </w:t>
      </w:r>
      <w:r w:rsidRPr="00503B2E">
        <w:rPr>
          <w:rFonts w:eastAsia="Arial" w:cs="Arial"/>
          <w:szCs w:val="18"/>
        </w:rPr>
        <w:t xml:space="preserve">website, </w:t>
      </w:r>
      <w:r>
        <w:rPr>
          <w:rFonts w:eastAsia="Arial" w:cs="Arial"/>
          <w:szCs w:val="18"/>
        </w:rPr>
        <w:t xml:space="preserve">31 October 2023, </w:t>
      </w:r>
      <w:r w:rsidRPr="00503B2E">
        <w:rPr>
          <w:rFonts w:eastAsia="Arial" w:cs="Arial"/>
          <w:szCs w:val="18"/>
        </w:rPr>
        <w:t>accessed 1 May 2026.</w:t>
      </w:r>
    </w:p>
  </w:footnote>
  <w:footnote w:id="380">
    <w:p w14:paraId="24EB03B5" w14:textId="010F7C36" w:rsidR="000073ED" w:rsidRPr="00503B2E" w:rsidRDefault="000073ED" w:rsidP="000073ED">
      <w:pPr>
        <w:pStyle w:val="FootnoteText"/>
        <w:rPr>
          <w:rFonts w:cs="Arial"/>
        </w:rPr>
      </w:pPr>
      <w:r w:rsidRPr="00503B2E">
        <w:rPr>
          <w:rStyle w:val="FootnoteReference"/>
          <w:rFonts w:cs="Arial"/>
        </w:rPr>
        <w:footnoteRef/>
      </w:r>
      <w:r w:rsidRPr="00503B2E">
        <w:rPr>
          <w:rFonts w:cs="Arial"/>
        </w:rPr>
        <w:t xml:space="preserve"> ACT WHS Act, s</w:t>
      </w:r>
      <w:r>
        <w:rPr>
          <w:rFonts w:cs="Arial"/>
        </w:rPr>
        <w:t xml:space="preserve"> </w:t>
      </w:r>
      <w:r w:rsidRPr="00503B2E">
        <w:rPr>
          <w:rFonts w:cs="Arial"/>
        </w:rPr>
        <w:t>216(2); Cth WHS Act, s</w:t>
      </w:r>
      <w:r>
        <w:rPr>
          <w:rFonts w:cs="Arial"/>
        </w:rPr>
        <w:t xml:space="preserve"> </w:t>
      </w:r>
      <w:r w:rsidRPr="00503B2E">
        <w:rPr>
          <w:rFonts w:cs="Arial"/>
        </w:rPr>
        <w:t>216(2); NSW WHS Act, s</w:t>
      </w:r>
      <w:r>
        <w:rPr>
          <w:rFonts w:cs="Arial"/>
        </w:rPr>
        <w:t xml:space="preserve"> </w:t>
      </w:r>
      <w:r w:rsidRPr="00503B2E">
        <w:rPr>
          <w:rFonts w:cs="Arial"/>
        </w:rPr>
        <w:t>216(2); NT WHS Act, s</w:t>
      </w:r>
      <w:r>
        <w:rPr>
          <w:rFonts w:cs="Arial"/>
        </w:rPr>
        <w:t xml:space="preserve"> </w:t>
      </w:r>
      <w:r w:rsidRPr="00503B2E">
        <w:rPr>
          <w:rFonts w:cs="Arial"/>
        </w:rPr>
        <w:t>34C(b); Qld WHS Act, s</w:t>
      </w:r>
      <w:r>
        <w:rPr>
          <w:rFonts w:cs="Arial"/>
        </w:rPr>
        <w:t xml:space="preserve"> </w:t>
      </w:r>
      <w:r w:rsidRPr="00503B2E">
        <w:rPr>
          <w:rFonts w:cs="Arial"/>
        </w:rPr>
        <w:t>216(2); SA</w:t>
      </w:r>
      <w:r w:rsidR="00B10679">
        <w:rPr>
          <w:rFonts w:cs="Arial"/>
        </w:rPr>
        <w:t> </w:t>
      </w:r>
      <w:r w:rsidRPr="00503B2E">
        <w:rPr>
          <w:rFonts w:cs="Arial"/>
        </w:rPr>
        <w:t>WHS Act, s</w:t>
      </w:r>
      <w:r>
        <w:rPr>
          <w:rFonts w:cs="Arial"/>
        </w:rPr>
        <w:t xml:space="preserve"> </w:t>
      </w:r>
      <w:r w:rsidRPr="00503B2E">
        <w:rPr>
          <w:rFonts w:cs="Arial"/>
        </w:rPr>
        <w:t>216(2); Tas WHS Act, s</w:t>
      </w:r>
      <w:r>
        <w:rPr>
          <w:rFonts w:cs="Arial"/>
        </w:rPr>
        <w:t xml:space="preserve"> </w:t>
      </w:r>
      <w:r w:rsidRPr="00503B2E">
        <w:rPr>
          <w:rFonts w:cs="Arial"/>
        </w:rPr>
        <w:t>216(2); WA WHS Act, s</w:t>
      </w:r>
      <w:r>
        <w:rPr>
          <w:rFonts w:cs="Arial"/>
        </w:rPr>
        <w:t xml:space="preserve"> </w:t>
      </w:r>
      <w:r w:rsidRPr="00503B2E">
        <w:rPr>
          <w:rFonts w:cs="Arial"/>
        </w:rPr>
        <w:t>216(2)</w:t>
      </w:r>
      <w:r>
        <w:rPr>
          <w:rFonts w:cs="Arial"/>
        </w:rPr>
        <w:t>.</w:t>
      </w:r>
    </w:p>
  </w:footnote>
  <w:footnote w:id="381">
    <w:p w14:paraId="66F9FAB6" w14:textId="77777777" w:rsidR="000073ED" w:rsidRPr="00503B2E" w:rsidRDefault="000073ED" w:rsidP="000073ED">
      <w:pPr>
        <w:pStyle w:val="FootnoteText"/>
        <w:rPr>
          <w:rFonts w:cs="Arial"/>
          <w:szCs w:val="18"/>
        </w:rPr>
      </w:pPr>
      <w:r w:rsidRPr="00503B2E">
        <w:rPr>
          <w:rStyle w:val="FootnoteReference"/>
          <w:rFonts w:cs="Arial"/>
          <w:szCs w:val="18"/>
        </w:rPr>
        <w:footnoteRef/>
      </w:r>
      <w:r w:rsidRPr="00503B2E">
        <w:rPr>
          <w:rFonts w:cs="Arial"/>
          <w:szCs w:val="18"/>
        </w:rPr>
        <w:t xml:space="preserve"> See model WHS Act</w:t>
      </w:r>
      <w:r>
        <w:rPr>
          <w:rFonts w:cs="Arial"/>
          <w:szCs w:val="18"/>
        </w:rPr>
        <w:t>,</w:t>
      </w:r>
      <w:r w:rsidRPr="00503B2E">
        <w:rPr>
          <w:rFonts w:cs="Arial"/>
          <w:szCs w:val="18"/>
        </w:rPr>
        <w:t xml:space="preserve"> ss 223, 224 and 229;</w:t>
      </w:r>
      <w:r w:rsidRPr="00503B2E">
        <w:rPr>
          <w:rFonts w:cs="Arial"/>
          <w:kern w:val="2"/>
          <w:szCs w:val="18"/>
          <w14:ligatures w14:val="standardContextual"/>
        </w:rPr>
        <w:t xml:space="preserve"> </w:t>
      </w:r>
      <w:r>
        <w:rPr>
          <w:rFonts w:cs="Arial"/>
          <w:szCs w:val="18"/>
        </w:rPr>
        <w:t xml:space="preserve">reg </w:t>
      </w:r>
      <w:r w:rsidRPr="00503B2E">
        <w:rPr>
          <w:rFonts w:cs="Arial"/>
          <w:szCs w:val="18"/>
        </w:rPr>
        <w:t>676 sets out decisions made under the model WHS Regulations that are reviewable and primarily deal with decisions about licensing, authorisation and exemption applications.</w:t>
      </w:r>
    </w:p>
  </w:footnote>
  <w:footnote w:id="382">
    <w:p w14:paraId="1F140EA8" w14:textId="6AB40D04" w:rsidR="000073ED" w:rsidRPr="00503B2E" w:rsidRDefault="000073ED" w:rsidP="000073ED">
      <w:pPr>
        <w:pStyle w:val="FootnoteText"/>
        <w:rPr>
          <w:rFonts w:cs="Arial"/>
          <w:szCs w:val="18"/>
        </w:rPr>
      </w:pPr>
      <w:r w:rsidRPr="00503B2E">
        <w:rPr>
          <w:rStyle w:val="FootnoteReference"/>
          <w:rFonts w:cs="Arial"/>
          <w:szCs w:val="18"/>
        </w:rPr>
        <w:footnoteRef/>
      </w:r>
      <w:r w:rsidRPr="00503B2E">
        <w:rPr>
          <w:rFonts w:cs="Arial"/>
          <w:szCs w:val="18"/>
        </w:rPr>
        <w:t xml:space="preserve"> Model WHS Act, </w:t>
      </w:r>
      <w:r>
        <w:rPr>
          <w:rFonts w:cs="Arial"/>
          <w:szCs w:val="18"/>
        </w:rPr>
        <w:t>s</w:t>
      </w:r>
      <w:r w:rsidRPr="00503B2E">
        <w:rPr>
          <w:rFonts w:cs="Arial"/>
          <w:szCs w:val="18"/>
        </w:rPr>
        <w:t>s 223</w:t>
      </w:r>
      <w:r w:rsidR="008F64F5">
        <w:rPr>
          <w:rFonts w:ascii="Symbol" w:eastAsia="Symbol" w:hAnsi="Symbol" w:cs="Symbol"/>
          <w:szCs w:val="18"/>
        </w:rPr>
        <w:t>-</w:t>
      </w:r>
      <w:r w:rsidRPr="00503B2E">
        <w:rPr>
          <w:rFonts w:cs="Arial"/>
          <w:szCs w:val="18"/>
        </w:rPr>
        <w:t>224, 229(1).</w:t>
      </w:r>
    </w:p>
  </w:footnote>
  <w:footnote w:id="383">
    <w:p w14:paraId="5F830424" w14:textId="77777777" w:rsidR="000073ED" w:rsidRPr="00503B2E" w:rsidRDefault="000073ED" w:rsidP="000073ED">
      <w:pPr>
        <w:pStyle w:val="FootnoteText"/>
        <w:rPr>
          <w:rFonts w:cs="Arial"/>
          <w:szCs w:val="18"/>
        </w:rPr>
      </w:pPr>
      <w:r w:rsidRPr="00503B2E">
        <w:rPr>
          <w:rStyle w:val="FootnoteReference"/>
          <w:rFonts w:cs="Arial"/>
          <w:szCs w:val="18"/>
        </w:rPr>
        <w:footnoteRef/>
      </w:r>
      <w:r w:rsidRPr="00503B2E">
        <w:rPr>
          <w:rFonts w:cs="Arial"/>
          <w:szCs w:val="18"/>
        </w:rPr>
        <w:t xml:space="preserve"> C Allen, C Massy and D Swan, </w:t>
      </w:r>
      <w:hyperlink r:id="rId314" w:history="1">
        <w:r w:rsidRPr="00503B2E">
          <w:rPr>
            <w:rStyle w:val="Hyperlink"/>
            <w:rFonts w:cs="Arial"/>
            <w:i/>
            <w:szCs w:val="18"/>
          </w:rPr>
          <w:t>Review of the Work Health and Safety Act 2011</w:t>
        </w:r>
      </w:hyperlink>
      <w:r w:rsidRPr="00503B2E">
        <w:rPr>
          <w:rFonts w:cs="Arial"/>
          <w:szCs w:val="18"/>
        </w:rPr>
        <w:t xml:space="preserve">, </w:t>
      </w:r>
      <w:r>
        <w:rPr>
          <w:rFonts w:cs="Arial"/>
          <w:szCs w:val="18"/>
        </w:rPr>
        <w:t xml:space="preserve">Queensland </w:t>
      </w:r>
      <w:r w:rsidRPr="00503B2E">
        <w:rPr>
          <w:rFonts w:cs="Arial"/>
          <w:szCs w:val="18"/>
        </w:rPr>
        <w:t xml:space="preserve">Government, </w:t>
      </w:r>
      <w:r>
        <w:rPr>
          <w:rFonts w:cs="Arial"/>
          <w:szCs w:val="18"/>
        </w:rPr>
        <w:t xml:space="preserve">2022, </w:t>
      </w:r>
      <w:r w:rsidRPr="00503B2E">
        <w:rPr>
          <w:rFonts w:cs="Arial"/>
          <w:szCs w:val="18"/>
        </w:rPr>
        <w:t>Recommendation 2.</w:t>
      </w:r>
    </w:p>
  </w:footnote>
  <w:footnote w:id="384">
    <w:p w14:paraId="4042D35D" w14:textId="77777777" w:rsidR="000073ED" w:rsidRPr="00503B2E" w:rsidRDefault="000073ED" w:rsidP="000073ED">
      <w:pPr>
        <w:pStyle w:val="FootnoteText"/>
        <w:rPr>
          <w:rFonts w:cs="Arial"/>
          <w:szCs w:val="18"/>
        </w:rPr>
      </w:pPr>
      <w:r w:rsidRPr="00503B2E">
        <w:rPr>
          <w:rStyle w:val="FootnoteReference"/>
          <w:rFonts w:cs="Arial"/>
          <w:szCs w:val="18"/>
        </w:rPr>
        <w:footnoteRef/>
      </w:r>
      <w:r w:rsidRPr="00503B2E">
        <w:rPr>
          <w:rFonts w:cs="Arial"/>
          <w:szCs w:val="18"/>
        </w:rPr>
        <w:t xml:space="preserve"> Qld WHS Act, P</w:t>
      </w:r>
      <w:r w:rsidRPr="00503B2E" w:rsidDel="00FA32BF">
        <w:rPr>
          <w:rFonts w:cs="Arial"/>
          <w:szCs w:val="18"/>
        </w:rPr>
        <w:t>ar</w:t>
      </w:r>
      <w:r w:rsidRPr="00503B2E">
        <w:rPr>
          <w:rFonts w:cs="Arial"/>
          <w:szCs w:val="18"/>
        </w:rPr>
        <w:t>t 5, Div</w:t>
      </w:r>
      <w:r>
        <w:rPr>
          <w:rFonts w:cs="Arial"/>
          <w:szCs w:val="18"/>
        </w:rPr>
        <w:t xml:space="preserve"> </w:t>
      </w:r>
      <w:r w:rsidRPr="00503B2E">
        <w:rPr>
          <w:rFonts w:cs="Arial"/>
          <w:szCs w:val="18"/>
        </w:rPr>
        <w:t>7A.</w:t>
      </w:r>
    </w:p>
  </w:footnote>
  <w:footnote w:id="385">
    <w:p w14:paraId="3D0A9ECB" w14:textId="7BD26B94" w:rsidR="00FE76F6" w:rsidRPr="00503B2E" w:rsidRDefault="00FE76F6" w:rsidP="00FE76F6">
      <w:pPr>
        <w:pStyle w:val="FootnoteText"/>
        <w:rPr>
          <w:rFonts w:cs="Arial"/>
          <w:szCs w:val="18"/>
        </w:rPr>
      </w:pPr>
      <w:r w:rsidRPr="00503B2E">
        <w:rPr>
          <w:rStyle w:val="FootnoteReference"/>
          <w:rFonts w:cs="Arial"/>
          <w:szCs w:val="18"/>
        </w:rPr>
        <w:footnoteRef/>
      </w:r>
      <w:r w:rsidRPr="00503B2E">
        <w:rPr>
          <w:rFonts w:cs="Arial"/>
          <w:szCs w:val="18"/>
        </w:rPr>
        <w:t xml:space="preserve"> </w:t>
      </w:r>
      <w:hyperlink r:id="rId315" w:history="1">
        <w:r w:rsidRPr="00503B2E">
          <w:rPr>
            <w:rStyle w:val="Hyperlink"/>
            <w:rFonts w:cs="Arial"/>
            <w:szCs w:val="18"/>
          </w:rPr>
          <w:t>ACTU</w:t>
        </w:r>
      </w:hyperlink>
      <w:r w:rsidRPr="00503B2E">
        <w:rPr>
          <w:rFonts w:cs="Arial"/>
          <w:szCs w:val="18"/>
        </w:rPr>
        <w:t>, Submission, pp 24–25.</w:t>
      </w:r>
    </w:p>
  </w:footnote>
  <w:footnote w:id="386">
    <w:p w14:paraId="5B7AA238" w14:textId="77777777" w:rsidR="00FE76F6" w:rsidRPr="00FE15AF" w:rsidRDefault="00FE76F6" w:rsidP="00FE76F6">
      <w:pPr>
        <w:pStyle w:val="FootnoteText"/>
        <w:rPr>
          <w:rFonts w:cs="Arial"/>
        </w:rPr>
      </w:pPr>
      <w:r w:rsidRPr="00503B2E">
        <w:rPr>
          <w:rStyle w:val="FootnoteReference"/>
          <w:rFonts w:cs="Arial"/>
        </w:rPr>
        <w:footnoteRef/>
      </w:r>
      <w:r w:rsidRPr="00503B2E">
        <w:rPr>
          <w:rFonts w:cs="Arial"/>
        </w:rPr>
        <w:t xml:space="preserve"> SA WHS Act, s 223(1a).</w:t>
      </w:r>
    </w:p>
  </w:footnote>
  <w:footnote w:id="387">
    <w:p w14:paraId="0AAE1B55" w14:textId="77777777" w:rsidR="00FE76F6" w:rsidRPr="00826A05" w:rsidRDefault="00FE76F6" w:rsidP="00FE76F6">
      <w:pPr>
        <w:pStyle w:val="FootnoteText"/>
        <w:rPr>
          <w:rFonts w:cstheme="minorHAnsi"/>
          <w:szCs w:val="18"/>
        </w:rPr>
      </w:pPr>
      <w:r w:rsidRPr="00826A05">
        <w:rPr>
          <w:rStyle w:val="FootnoteReference"/>
          <w:rFonts w:cs="Arial"/>
          <w:szCs w:val="18"/>
        </w:rPr>
        <w:footnoteRef/>
      </w:r>
      <w:r w:rsidRPr="00826A05">
        <w:rPr>
          <w:rFonts w:cs="Arial"/>
          <w:szCs w:val="18"/>
        </w:rPr>
        <w:t xml:space="preserve"> NSW WHS Act, s 223 Table; SA WHS Act, s 223(1a)</w:t>
      </w:r>
      <w:r w:rsidRPr="00826A05">
        <w:rPr>
          <w:rFonts w:cstheme="minorHAnsi"/>
          <w:szCs w:val="18"/>
        </w:rPr>
        <w:t>.</w:t>
      </w:r>
    </w:p>
  </w:footnote>
  <w:footnote w:id="388">
    <w:p w14:paraId="545B4F50" w14:textId="3C6ACA79" w:rsidR="00FE76F6" w:rsidRPr="00826A05" w:rsidRDefault="00FE76F6" w:rsidP="00FE76F6">
      <w:pPr>
        <w:pStyle w:val="FootnoteText"/>
        <w:rPr>
          <w:rFonts w:cs="Arial"/>
          <w:szCs w:val="18"/>
        </w:rPr>
      </w:pPr>
      <w:r w:rsidRPr="00826A05">
        <w:rPr>
          <w:rStyle w:val="FootnoteReference"/>
          <w:rFonts w:cs="Arial"/>
          <w:szCs w:val="18"/>
        </w:rPr>
        <w:footnoteRef/>
      </w:r>
      <w:r w:rsidRPr="00826A05">
        <w:rPr>
          <w:rFonts w:cs="Arial"/>
          <w:szCs w:val="18"/>
        </w:rPr>
        <w:t xml:space="preserve"> </w:t>
      </w:r>
      <w:hyperlink r:id="rId316" w:history="1">
        <w:r w:rsidRPr="00826A05">
          <w:rPr>
            <w:rStyle w:val="Hyperlink"/>
            <w:rFonts w:cs="Arial"/>
            <w:szCs w:val="18"/>
          </w:rPr>
          <w:t>ACTU</w:t>
        </w:r>
      </w:hyperlink>
      <w:r w:rsidRPr="00826A05">
        <w:rPr>
          <w:rFonts w:cs="Arial"/>
          <w:szCs w:val="18"/>
        </w:rPr>
        <w:t>, Submission, pp 24–25.</w:t>
      </w:r>
    </w:p>
  </w:footnote>
  <w:footnote w:id="389">
    <w:p w14:paraId="4DFE9C2F" w14:textId="57B4361D" w:rsidR="00FE76F6" w:rsidRPr="00826A05" w:rsidRDefault="00FE76F6" w:rsidP="00FE76F6">
      <w:pPr>
        <w:pStyle w:val="FootnoteText"/>
        <w:rPr>
          <w:rFonts w:cs="Arial"/>
          <w:szCs w:val="18"/>
        </w:rPr>
      </w:pPr>
      <w:r w:rsidRPr="00826A05">
        <w:rPr>
          <w:rStyle w:val="FootnoteReference"/>
          <w:rFonts w:cs="Arial"/>
          <w:szCs w:val="18"/>
        </w:rPr>
        <w:footnoteRef/>
      </w:r>
      <w:r w:rsidRPr="00826A05">
        <w:rPr>
          <w:rFonts w:cs="Arial"/>
          <w:szCs w:val="18"/>
        </w:rPr>
        <w:t xml:space="preserve"> </w:t>
      </w:r>
      <w:hyperlink r:id="rId317" w:history="1">
        <w:r w:rsidRPr="00826A05">
          <w:rPr>
            <w:rStyle w:val="Hyperlink"/>
            <w:rFonts w:cs="Arial"/>
            <w:szCs w:val="18"/>
          </w:rPr>
          <w:t>ACTU</w:t>
        </w:r>
      </w:hyperlink>
      <w:r w:rsidRPr="00826A05">
        <w:rPr>
          <w:rFonts w:cs="Arial"/>
          <w:szCs w:val="18"/>
        </w:rPr>
        <w:t xml:space="preserve">, Submission, pp 24–25. Also see </w:t>
      </w:r>
      <w:r w:rsidRPr="00826A05">
        <w:rPr>
          <w:rFonts w:cs="Arial"/>
          <w:i/>
          <w:szCs w:val="18"/>
        </w:rPr>
        <w:t xml:space="preserve">South Australian Employment Tribunal Act 2014 </w:t>
      </w:r>
      <w:r w:rsidRPr="00826A05">
        <w:rPr>
          <w:rFonts w:cs="Arial"/>
          <w:szCs w:val="18"/>
        </w:rPr>
        <w:t>(SA), s 49.</w:t>
      </w:r>
    </w:p>
  </w:footnote>
  <w:footnote w:id="390">
    <w:p w14:paraId="3BBA9509" w14:textId="5C1A8489" w:rsidR="00FE76F6" w:rsidRPr="00826A05" w:rsidRDefault="00FE76F6" w:rsidP="00FE76F6">
      <w:pPr>
        <w:pStyle w:val="FootnoteText"/>
        <w:rPr>
          <w:rFonts w:cs="Arial"/>
          <w:szCs w:val="18"/>
        </w:rPr>
      </w:pPr>
      <w:r w:rsidRPr="00826A05">
        <w:rPr>
          <w:rStyle w:val="FootnoteReference"/>
          <w:rFonts w:cs="Arial"/>
          <w:szCs w:val="18"/>
        </w:rPr>
        <w:footnoteRef/>
      </w:r>
      <w:r w:rsidRPr="00826A05">
        <w:rPr>
          <w:rFonts w:cs="Arial"/>
          <w:szCs w:val="18"/>
        </w:rPr>
        <w:t xml:space="preserve"> </w:t>
      </w:r>
      <w:hyperlink r:id="rId318" w:history="1">
        <w:r w:rsidRPr="00826A05">
          <w:rPr>
            <w:rStyle w:val="Hyperlink"/>
            <w:rFonts w:cs="Arial"/>
            <w:szCs w:val="18"/>
          </w:rPr>
          <w:t>Office of the Work Health and Safety Commissioner ACT</w:t>
        </w:r>
      </w:hyperlink>
      <w:r w:rsidRPr="00826A05">
        <w:rPr>
          <w:rFonts w:cs="Arial"/>
          <w:szCs w:val="18"/>
        </w:rPr>
        <w:t xml:space="preserve">, Submission, p 14; </w:t>
      </w:r>
      <w:hyperlink r:id="rId319" w:history="1">
        <w:r w:rsidRPr="00826A05">
          <w:rPr>
            <w:rStyle w:val="Hyperlink"/>
            <w:rFonts w:cs="Arial"/>
            <w:szCs w:val="18"/>
          </w:rPr>
          <w:t>Comcare</w:t>
        </w:r>
      </w:hyperlink>
      <w:r w:rsidRPr="00826A05">
        <w:rPr>
          <w:rFonts w:cs="Arial"/>
          <w:szCs w:val="18"/>
        </w:rPr>
        <w:t>, Submission, pp 9–10.</w:t>
      </w:r>
    </w:p>
  </w:footnote>
  <w:footnote w:id="391">
    <w:p w14:paraId="7FF44B90" w14:textId="77777777" w:rsidR="00FE76F6" w:rsidRPr="00826A05" w:rsidRDefault="00FE76F6" w:rsidP="00FE76F6">
      <w:pPr>
        <w:pStyle w:val="FootnoteText"/>
        <w:rPr>
          <w:rFonts w:cs="Arial"/>
          <w:szCs w:val="18"/>
        </w:rPr>
      </w:pPr>
      <w:r w:rsidRPr="00826A05">
        <w:rPr>
          <w:rStyle w:val="FootnoteReference"/>
          <w:rFonts w:cs="Arial"/>
          <w:szCs w:val="18"/>
        </w:rPr>
        <w:footnoteRef/>
      </w:r>
      <w:r w:rsidRPr="00826A05">
        <w:rPr>
          <w:rFonts w:cs="Arial"/>
          <w:szCs w:val="18"/>
        </w:rPr>
        <w:t xml:space="preserve"> </w:t>
      </w:r>
      <w:hyperlink r:id="rId320" w:history="1">
        <w:r w:rsidRPr="00826A05">
          <w:rPr>
            <w:rStyle w:val="Hyperlink"/>
            <w:rFonts w:cs="Arial"/>
            <w:szCs w:val="18"/>
          </w:rPr>
          <w:t>Office of the Work Health and Safety Commissioner ACT</w:t>
        </w:r>
      </w:hyperlink>
      <w:r w:rsidRPr="00826A05">
        <w:rPr>
          <w:rFonts w:cs="Arial"/>
          <w:szCs w:val="18"/>
        </w:rPr>
        <w:t>, Submission, p 14.</w:t>
      </w:r>
    </w:p>
  </w:footnote>
  <w:footnote w:id="392">
    <w:p w14:paraId="5A03D696" w14:textId="77777777" w:rsidR="00FE76F6" w:rsidRPr="00826A05" w:rsidRDefault="00FE76F6" w:rsidP="00FE76F6">
      <w:pPr>
        <w:pStyle w:val="FootnoteText"/>
        <w:rPr>
          <w:rFonts w:cs="Arial"/>
          <w:szCs w:val="18"/>
        </w:rPr>
      </w:pPr>
      <w:r w:rsidRPr="00826A05">
        <w:rPr>
          <w:rStyle w:val="FootnoteReference"/>
          <w:rFonts w:cs="Arial"/>
          <w:szCs w:val="18"/>
        </w:rPr>
        <w:footnoteRef/>
      </w:r>
      <w:r w:rsidRPr="00826A05">
        <w:rPr>
          <w:rFonts w:cs="Arial"/>
          <w:szCs w:val="18"/>
        </w:rPr>
        <w:t xml:space="preserve"> </w:t>
      </w:r>
      <w:hyperlink r:id="rId321" w:history="1">
        <w:r w:rsidRPr="00826A05">
          <w:rPr>
            <w:rStyle w:val="Hyperlink"/>
            <w:rFonts w:cs="Arial"/>
            <w:szCs w:val="18"/>
          </w:rPr>
          <w:t>Office of the Work Health and Safety Commissioner ACT</w:t>
        </w:r>
      </w:hyperlink>
      <w:r w:rsidRPr="00826A05">
        <w:rPr>
          <w:rFonts w:cs="Arial"/>
          <w:szCs w:val="18"/>
        </w:rPr>
        <w:t>, Submission, p 14.</w:t>
      </w:r>
    </w:p>
  </w:footnote>
  <w:footnote w:id="393">
    <w:p w14:paraId="0655637B" w14:textId="77777777" w:rsidR="000073ED" w:rsidRPr="00826A05" w:rsidRDefault="000073ED" w:rsidP="000073ED">
      <w:pPr>
        <w:pStyle w:val="FootnoteText"/>
        <w:rPr>
          <w:rFonts w:cs="Arial"/>
          <w:szCs w:val="18"/>
        </w:rPr>
      </w:pPr>
      <w:r w:rsidRPr="00826A05">
        <w:rPr>
          <w:rStyle w:val="FootnoteReference"/>
          <w:rFonts w:cs="Arial"/>
          <w:szCs w:val="18"/>
        </w:rPr>
        <w:footnoteRef/>
      </w:r>
      <w:r w:rsidRPr="00826A05">
        <w:rPr>
          <w:rFonts w:cs="Arial"/>
          <w:szCs w:val="18"/>
        </w:rPr>
        <w:t xml:space="preserve"> Model WHS Act, s</w:t>
      </w:r>
      <w:r>
        <w:rPr>
          <w:rFonts w:cs="Arial"/>
          <w:szCs w:val="18"/>
        </w:rPr>
        <w:t xml:space="preserve"> </w:t>
      </w:r>
      <w:r w:rsidRPr="00826A05">
        <w:rPr>
          <w:rFonts w:cs="Arial"/>
          <w:szCs w:val="18"/>
        </w:rPr>
        <w:t>3(1)(c).</w:t>
      </w:r>
    </w:p>
  </w:footnote>
  <w:footnote w:id="394">
    <w:p w14:paraId="14D62141" w14:textId="77777777" w:rsidR="000073ED" w:rsidRPr="00826A05" w:rsidRDefault="000073ED" w:rsidP="000073ED">
      <w:pPr>
        <w:pStyle w:val="FootnoteText"/>
        <w:rPr>
          <w:rFonts w:cs="Arial"/>
        </w:rPr>
      </w:pPr>
      <w:r w:rsidRPr="00826A05">
        <w:rPr>
          <w:rStyle w:val="FootnoteReference"/>
          <w:rFonts w:cs="Arial"/>
        </w:rPr>
        <w:footnoteRef/>
      </w:r>
      <w:r w:rsidRPr="00826A05">
        <w:rPr>
          <w:rFonts w:cs="Arial"/>
        </w:rPr>
        <w:t xml:space="preserve"> Model WHS Act, s</w:t>
      </w:r>
      <w:r>
        <w:rPr>
          <w:rFonts w:cs="Arial"/>
        </w:rPr>
        <w:t xml:space="preserve"> </w:t>
      </w:r>
      <w:r w:rsidRPr="00826A05">
        <w:rPr>
          <w:rFonts w:cs="Arial"/>
        </w:rPr>
        <w:t>227.</w:t>
      </w:r>
    </w:p>
  </w:footnote>
  <w:footnote w:id="395">
    <w:p w14:paraId="75C67D99" w14:textId="77777777" w:rsidR="000073ED" w:rsidRPr="00400AFA" w:rsidRDefault="000073ED" w:rsidP="000073ED">
      <w:pPr>
        <w:pStyle w:val="FootnoteText"/>
        <w:rPr>
          <w:rFonts w:cs="Arial"/>
          <w:szCs w:val="18"/>
        </w:rPr>
      </w:pPr>
      <w:r w:rsidRPr="00826A05">
        <w:rPr>
          <w:rStyle w:val="FootnoteReference"/>
          <w:rFonts w:cs="Arial"/>
          <w:szCs w:val="18"/>
        </w:rPr>
        <w:footnoteRef/>
      </w:r>
      <w:r w:rsidRPr="00826A05">
        <w:rPr>
          <w:rFonts w:cs="Arial"/>
          <w:szCs w:val="18"/>
        </w:rPr>
        <w:t xml:space="preserve"> Model WHS Act, s</w:t>
      </w:r>
      <w:r>
        <w:rPr>
          <w:rFonts w:cs="Arial"/>
          <w:szCs w:val="18"/>
        </w:rPr>
        <w:t xml:space="preserve"> </w:t>
      </w:r>
      <w:r w:rsidRPr="00826A05">
        <w:rPr>
          <w:rFonts w:cs="Arial"/>
          <w:szCs w:val="18"/>
        </w:rPr>
        <w:t>3(1)(f).</w:t>
      </w:r>
    </w:p>
  </w:footnote>
  <w:footnote w:id="396">
    <w:p w14:paraId="5ACD3F41" w14:textId="77777777" w:rsidR="000073ED" w:rsidRPr="00826A05" w:rsidRDefault="000073ED" w:rsidP="000073ED">
      <w:pPr>
        <w:pStyle w:val="FootnoteText"/>
        <w:rPr>
          <w:rFonts w:cs="Arial"/>
          <w:szCs w:val="18"/>
        </w:rPr>
      </w:pPr>
      <w:r w:rsidRPr="00826A05">
        <w:rPr>
          <w:rStyle w:val="FootnoteReference"/>
          <w:rFonts w:cs="Arial"/>
          <w:szCs w:val="18"/>
        </w:rPr>
        <w:footnoteRef/>
      </w:r>
      <w:r w:rsidRPr="00826A05">
        <w:rPr>
          <w:rFonts w:cs="Arial"/>
          <w:szCs w:val="18"/>
        </w:rPr>
        <w:t xml:space="preserve"> </w:t>
      </w:r>
      <w:hyperlink r:id="rId322" w:history="1">
        <w:r w:rsidRPr="00826A05">
          <w:rPr>
            <w:rStyle w:val="Hyperlink"/>
            <w:rFonts w:cs="Arial"/>
            <w:szCs w:val="18"/>
          </w:rPr>
          <w:t>Office of the Work Health and Safety Commissioner ACT</w:t>
        </w:r>
      </w:hyperlink>
      <w:r w:rsidRPr="00826A05">
        <w:rPr>
          <w:rFonts w:cs="Arial"/>
          <w:szCs w:val="18"/>
        </w:rPr>
        <w:t>, Submission, p 14.</w:t>
      </w:r>
    </w:p>
  </w:footnote>
  <w:footnote w:id="397">
    <w:p w14:paraId="0F009761" w14:textId="77777777" w:rsidR="000073ED" w:rsidRPr="00826A05" w:rsidRDefault="000073ED" w:rsidP="000073ED">
      <w:pPr>
        <w:pStyle w:val="FootnoteText"/>
      </w:pPr>
      <w:r w:rsidRPr="00826A05">
        <w:rPr>
          <w:rStyle w:val="FootnoteReference"/>
        </w:rPr>
        <w:footnoteRef/>
      </w:r>
      <w:r w:rsidRPr="00826A05">
        <w:t xml:space="preserve"> </w:t>
      </w:r>
      <w:hyperlink r:id="rId323" w:history="1">
        <w:r w:rsidRPr="00826A05">
          <w:rPr>
            <w:rStyle w:val="Hyperlink"/>
            <w:rFonts w:cs="Arial"/>
            <w:szCs w:val="18"/>
          </w:rPr>
          <w:t>Office of the Work Health and Safety Commissioner ACT</w:t>
        </w:r>
      </w:hyperlink>
      <w:r w:rsidRPr="00826A05">
        <w:rPr>
          <w:rFonts w:cs="Arial"/>
          <w:szCs w:val="18"/>
        </w:rPr>
        <w:t>, Submission, p 14.</w:t>
      </w:r>
    </w:p>
  </w:footnote>
  <w:footnote w:id="398">
    <w:p w14:paraId="123A24FF" w14:textId="4B18EF82" w:rsidR="001547C0" w:rsidRPr="00826A05" w:rsidRDefault="001547C0" w:rsidP="001547C0">
      <w:pPr>
        <w:pStyle w:val="FootnoteText"/>
        <w:rPr>
          <w:rFonts w:cs="Arial"/>
          <w:szCs w:val="18"/>
        </w:rPr>
      </w:pPr>
      <w:r w:rsidRPr="00826A05">
        <w:rPr>
          <w:rStyle w:val="FootnoteReference"/>
          <w:rFonts w:cs="Arial"/>
        </w:rPr>
        <w:footnoteRef/>
      </w:r>
      <w:r w:rsidRPr="00826A05">
        <w:rPr>
          <w:rFonts w:cs="Arial"/>
          <w:szCs w:val="18"/>
        </w:rPr>
        <w:t xml:space="preserve"> </w:t>
      </w:r>
      <w:r w:rsidRPr="00826A05">
        <w:rPr>
          <w:rFonts w:eastAsia="Times New Roman" w:cs="Arial"/>
          <w:lang w:eastAsia="en-AU"/>
        </w:rPr>
        <w:t>Implementation may require jurisdiction-specific legislation where this cannot be achieved through amendments to the model WHS Act.</w:t>
      </w:r>
    </w:p>
  </w:footnote>
  <w:footnote w:id="399">
    <w:p w14:paraId="5BAA0514" w14:textId="77777777" w:rsidR="00270BE2" w:rsidRPr="00826A05" w:rsidRDefault="00270BE2" w:rsidP="00270BE2">
      <w:pPr>
        <w:pStyle w:val="FootnoteText"/>
        <w:rPr>
          <w:rFonts w:cs="Arial"/>
          <w:szCs w:val="18"/>
        </w:rPr>
      </w:pPr>
      <w:r w:rsidRPr="00826A05">
        <w:rPr>
          <w:rStyle w:val="FootnoteReference"/>
          <w:rFonts w:cs="Arial"/>
        </w:rPr>
        <w:footnoteRef/>
      </w:r>
      <w:r w:rsidRPr="00826A05">
        <w:rPr>
          <w:rFonts w:cs="Arial"/>
        </w:rPr>
        <w:t xml:space="preserve"> </w:t>
      </w:r>
      <w:hyperlink r:id="rId324" w:history="1">
        <w:r w:rsidRPr="00826A05">
          <w:rPr>
            <w:rStyle w:val="Hyperlink"/>
            <w:rFonts w:cs="Arial"/>
            <w:szCs w:val="18"/>
          </w:rPr>
          <w:t>ACTU</w:t>
        </w:r>
      </w:hyperlink>
      <w:r w:rsidRPr="00826A05">
        <w:rPr>
          <w:rFonts w:cs="Arial"/>
          <w:szCs w:val="18"/>
        </w:rPr>
        <w:t>, Submission, pp 25–26.</w:t>
      </w:r>
    </w:p>
  </w:footnote>
  <w:footnote w:id="400">
    <w:p w14:paraId="2491C42F" w14:textId="1381386C" w:rsidR="00270BE2" w:rsidRPr="00400AFA" w:rsidRDefault="00270BE2" w:rsidP="00270BE2">
      <w:pPr>
        <w:pStyle w:val="FootnoteText"/>
        <w:rPr>
          <w:rFonts w:cs="Arial"/>
          <w:szCs w:val="18"/>
        </w:rPr>
      </w:pPr>
      <w:r w:rsidRPr="00826A05">
        <w:rPr>
          <w:rStyle w:val="FootnoteReference"/>
          <w:rFonts w:cs="Arial"/>
          <w:szCs w:val="18"/>
        </w:rPr>
        <w:footnoteRef/>
      </w:r>
      <w:r w:rsidRPr="00826A05">
        <w:rPr>
          <w:rFonts w:cs="Arial"/>
          <w:szCs w:val="18"/>
        </w:rPr>
        <w:t xml:space="preserve"> HWSA, Consultation, September 2026.</w:t>
      </w:r>
    </w:p>
  </w:footnote>
  <w:footnote w:id="401">
    <w:p w14:paraId="071FF27B" w14:textId="1CAB2F9D" w:rsidR="001547C0" w:rsidRPr="00826A05" w:rsidRDefault="001547C0" w:rsidP="001547C0">
      <w:pPr>
        <w:pStyle w:val="FootnoteText"/>
        <w:rPr>
          <w:rFonts w:cs="Arial"/>
          <w:szCs w:val="18"/>
        </w:rPr>
      </w:pPr>
      <w:r w:rsidRPr="00826A05">
        <w:rPr>
          <w:rStyle w:val="FootnoteReference"/>
          <w:rFonts w:cs="Arial"/>
          <w:szCs w:val="18"/>
        </w:rPr>
        <w:footnoteRef/>
      </w:r>
      <w:r>
        <w:rPr>
          <w:rFonts w:cs="Arial"/>
          <w:szCs w:val="18"/>
        </w:rPr>
        <w:t xml:space="preserve"> </w:t>
      </w:r>
      <w:r w:rsidRPr="00826A05" w:rsidDel="00FA32BF">
        <w:rPr>
          <w:rFonts w:cs="Arial"/>
          <w:szCs w:val="18"/>
        </w:rPr>
        <w:t xml:space="preserve">WorkSafe ACT, </w:t>
      </w:r>
      <w:hyperlink r:id="rId325" w:history="1">
        <w:r w:rsidRPr="00826A05">
          <w:rPr>
            <w:rStyle w:val="Hyperlink"/>
            <w:rFonts w:cs="Arial"/>
            <w:i/>
            <w:szCs w:val="18"/>
          </w:rPr>
          <w:t>Conduct of Work Health and Safety Prosecutions Review (WorkSafe ACT)</w:t>
        </w:r>
      </w:hyperlink>
      <w:r w:rsidRPr="00826A05">
        <w:rPr>
          <w:rFonts w:cs="Arial"/>
          <w:szCs w:val="18"/>
        </w:rPr>
        <w:t>, WorkSafe ACT, 2022, p 20.</w:t>
      </w:r>
    </w:p>
  </w:footnote>
  <w:footnote w:id="402">
    <w:p w14:paraId="6FA5FD05" w14:textId="7C6D1C2B" w:rsidR="001547C0" w:rsidRPr="00826A05" w:rsidRDefault="001547C0" w:rsidP="001547C0">
      <w:pPr>
        <w:pStyle w:val="FootnoteText"/>
        <w:rPr>
          <w:rFonts w:cs="Arial"/>
          <w:szCs w:val="18"/>
          <w:highlight w:val="yellow"/>
        </w:rPr>
      </w:pPr>
      <w:r w:rsidRPr="00826A05">
        <w:rPr>
          <w:rStyle w:val="FootnoteReference"/>
          <w:rFonts w:cs="Arial"/>
          <w:szCs w:val="18"/>
        </w:rPr>
        <w:footnoteRef/>
      </w:r>
      <w:r w:rsidRPr="00826A05">
        <w:rPr>
          <w:rFonts w:cs="Arial"/>
          <w:szCs w:val="18"/>
        </w:rPr>
        <w:t xml:space="preserve"> Meeting with Queensland Office of the Work Health and Safety Prosecutor. See also</w:t>
      </w:r>
      <w:r>
        <w:rPr>
          <w:rFonts w:cs="Arial"/>
          <w:szCs w:val="18"/>
        </w:rPr>
        <w:t xml:space="preserve"> </w:t>
      </w:r>
      <w:r w:rsidRPr="00826A05" w:rsidDel="00FA32BF">
        <w:rPr>
          <w:rFonts w:cs="Arial"/>
          <w:szCs w:val="18"/>
        </w:rPr>
        <w:t xml:space="preserve">WorkSafe ACT, </w:t>
      </w:r>
      <w:hyperlink r:id="rId326" w:history="1">
        <w:r w:rsidRPr="00826A05">
          <w:rPr>
            <w:rStyle w:val="Hyperlink"/>
            <w:rFonts w:cs="Arial"/>
            <w:i/>
            <w:szCs w:val="18"/>
          </w:rPr>
          <w:t>Conduct of Work Health and Safety Prosecutions Review (WorkSafe ACT)</w:t>
        </w:r>
      </w:hyperlink>
      <w:r w:rsidRPr="00826A05">
        <w:rPr>
          <w:rFonts w:cs="Arial"/>
          <w:szCs w:val="18"/>
        </w:rPr>
        <w:t>, WorkSafe ACT, 2022, pp 27–28.</w:t>
      </w:r>
    </w:p>
  </w:footnote>
  <w:footnote w:id="403">
    <w:p w14:paraId="614EC9AC" w14:textId="77777777" w:rsidR="007371AD" w:rsidRPr="00826A05" w:rsidRDefault="007371AD" w:rsidP="007371AD">
      <w:pPr>
        <w:pStyle w:val="FootnoteText"/>
        <w:rPr>
          <w:rFonts w:cs="Arial"/>
          <w:szCs w:val="18"/>
        </w:rPr>
      </w:pPr>
      <w:r w:rsidRPr="00826A05">
        <w:rPr>
          <w:rStyle w:val="FootnoteReference"/>
          <w:rFonts w:cs="Arial"/>
          <w:szCs w:val="18"/>
        </w:rPr>
        <w:footnoteRef/>
      </w:r>
      <w:r w:rsidRPr="00826A05">
        <w:rPr>
          <w:rFonts w:cs="Arial"/>
          <w:szCs w:val="18"/>
        </w:rPr>
        <w:t xml:space="preserve"> </w:t>
      </w:r>
      <w:hyperlink r:id="rId327" w:history="1">
        <w:r w:rsidRPr="00826A05">
          <w:rPr>
            <w:rStyle w:val="Hyperlink"/>
            <w:rFonts w:cs="Arial"/>
            <w:szCs w:val="18"/>
          </w:rPr>
          <w:t>ACTU</w:t>
        </w:r>
      </w:hyperlink>
      <w:r w:rsidRPr="00826A05">
        <w:rPr>
          <w:rFonts w:cs="Arial"/>
          <w:szCs w:val="18"/>
        </w:rPr>
        <w:t>, Submission, p 25.</w:t>
      </w:r>
    </w:p>
  </w:footnote>
  <w:footnote w:id="404">
    <w:p w14:paraId="269BB3F0" w14:textId="77777777" w:rsidR="007371AD" w:rsidRPr="00826A05" w:rsidRDefault="007371AD" w:rsidP="007371AD">
      <w:pPr>
        <w:pStyle w:val="FootnoteText"/>
        <w:rPr>
          <w:rFonts w:cs="Arial"/>
          <w:szCs w:val="18"/>
        </w:rPr>
      </w:pPr>
      <w:r w:rsidRPr="00826A05">
        <w:rPr>
          <w:rStyle w:val="FootnoteReference"/>
          <w:rFonts w:cs="Arial"/>
          <w:szCs w:val="18"/>
        </w:rPr>
        <w:footnoteRef/>
      </w:r>
      <w:r w:rsidRPr="00826A05">
        <w:rPr>
          <w:rFonts w:cs="Arial"/>
          <w:szCs w:val="18"/>
        </w:rPr>
        <w:t xml:space="preserve"> </w:t>
      </w:r>
      <w:hyperlink r:id="rId328" w:history="1">
        <w:r w:rsidRPr="00826A05">
          <w:rPr>
            <w:rStyle w:val="Hyperlink"/>
            <w:rFonts w:cs="Arial"/>
            <w:szCs w:val="18"/>
          </w:rPr>
          <w:t>ACTU</w:t>
        </w:r>
      </w:hyperlink>
      <w:r w:rsidRPr="00826A05">
        <w:rPr>
          <w:rFonts w:cs="Arial"/>
          <w:szCs w:val="18"/>
        </w:rPr>
        <w:t>, Submission, p 26.</w:t>
      </w:r>
    </w:p>
  </w:footnote>
  <w:footnote w:id="405">
    <w:p w14:paraId="3E52B99B" w14:textId="09EE03AB" w:rsidR="007371AD" w:rsidRPr="00A77EE8" w:rsidRDefault="007371AD" w:rsidP="007371AD">
      <w:pPr>
        <w:pStyle w:val="FootnoteText"/>
        <w:rPr>
          <w:rFonts w:cs="Arial"/>
          <w:szCs w:val="18"/>
        </w:rPr>
      </w:pPr>
      <w:r w:rsidRPr="00826A05">
        <w:rPr>
          <w:rStyle w:val="FootnoteReference"/>
          <w:rFonts w:cs="Arial"/>
          <w:szCs w:val="18"/>
        </w:rPr>
        <w:footnoteRef/>
      </w:r>
      <w:r w:rsidRPr="00826A05">
        <w:rPr>
          <w:rFonts w:cs="Arial"/>
          <w:szCs w:val="18"/>
        </w:rPr>
        <w:t xml:space="preserve"> Safe Work Australia, </w:t>
      </w:r>
      <w:hyperlink r:id="rId329" w:history="1">
        <w:r w:rsidRPr="00826A05">
          <w:rPr>
            <w:rStyle w:val="Hyperlink"/>
            <w:rFonts w:cs="Arial"/>
            <w:i/>
            <w:szCs w:val="18"/>
          </w:rPr>
          <w:t xml:space="preserve">Work </w:t>
        </w:r>
        <w:r>
          <w:rPr>
            <w:rStyle w:val="Hyperlink"/>
            <w:rFonts w:cs="Arial"/>
            <w:i/>
            <w:szCs w:val="18"/>
          </w:rPr>
          <w:t>H</w:t>
        </w:r>
        <w:r w:rsidRPr="00826A05">
          <w:rPr>
            <w:rStyle w:val="Hyperlink"/>
            <w:rFonts w:cs="Arial"/>
            <w:i/>
            <w:szCs w:val="18"/>
          </w:rPr>
          <w:t xml:space="preserve">ealth and </w:t>
        </w:r>
        <w:r>
          <w:rPr>
            <w:rStyle w:val="Hyperlink"/>
            <w:rFonts w:cs="Arial"/>
            <w:i/>
            <w:szCs w:val="18"/>
          </w:rPr>
          <w:t>Sa</w:t>
        </w:r>
        <w:r w:rsidRPr="00826A05">
          <w:rPr>
            <w:rStyle w:val="Hyperlink"/>
            <w:rFonts w:cs="Arial"/>
            <w:i/>
            <w:szCs w:val="18"/>
          </w:rPr>
          <w:t xml:space="preserve">fety </w:t>
        </w:r>
        <w:r>
          <w:rPr>
            <w:rStyle w:val="Hyperlink"/>
            <w:rFonts w:cs="Arial"/>
            <w:i/>
            <w:szCs w:val="18"/>
          </w:rPr>
          <w:t>P</w:t>
        </w:r>
        <w:r w:rsidRPr="00826A05">
          <w:rPr>
            <w:rStyle w:val="Hyperlink"/>
            <w:rFonts w:cs="Arial"/>
            <w:i/>
            <w:szCs w:val="18"/>
          </w:rPr>
          <w:t xml:space="preserve">rosecutions </w:t>
        </w:r>
        <w:r>
          <w:rPr>
            <w:rStyle w:val="Hyperlink"/>
            <w:rFonts w:cs="Arial"/>
            <w:i/>
            <w:szCs w:val="18"/>
          </w:rPr>
          <w:t>D</w:t>
        </w:r>
        <w:r w:rsidRPr="00826A05">
          <w:rPr>
            <w:rStyle w:val="Hyperlink"/>
            <w:rFonts w:cs="Arial"/>
            <w:i/>
            <w:szCs w:val="18"/>
          </w:rPr>
          <w:t>atabase</w:t>
        </w:r>
      </w:hyperlink>
      <w:r w:rsidRPr="00826A05">
        <w:rPr>
          <w:rFonts w:cs="Arial"/>
          <w:szCs w:val="18"/>
        </w:rPr>
        <w:t xml:space="preserve"> </w:t>
      </w:r>
      <w:r>
        <w:rPr>
          <w:rFonts w:cs="Arial"/>
          <w:szCs w:val="18"/>
        </w:rPr>
        <w:t xml:space="preserve">[data set], </w:t>
      </w:r>
      <w:r w:rsidRPr="00826A05">
        <w:rPr>
          <w:rFonts w:cs="Arial"/>
          <w:szCs w:val="18"/>
        </w:rPr>
        <w:t>accessed 24 April 2026.</w:t>
      </w:r>
    </w:p>
  </w:footnote>
  <w:footnote w:id="406">
    <w:p w14:paraId="06A74ABA" w14:textId="77777777" w:rsidR="007371AD" w:rsidRPr="00826A05" w:rsidRDefault="007371AD" w:rsidP="007371AD">
      <w:pPr>
        <w:pStyle w:val="FootnoteText"/>
        <w:rPr>
          <w:rFonts w:cs="Arial"/>
          <w:szCs w:val="18"/>
        </w:rPr>
      </w:pPr>
      <w:r w:rsidRPr="00826A05">
        <w:rPr>
          <w:rStyle w:val="FootnoteReference"/>
          <w:rFonts w:cs="Arial"/>
          <w:szCs w:val="18"/>
        </w:rPr>
        <w:footnoteRef/>
      </w:r>
      <w:r w:rsidRPr="00826A05">
        <w:rPr>
          <w:rFonts w:cs="Arial"/>
          <w:szCs w:val="18"/>
        </w:rPr>
        <w:t xml:space="preserve"> Safe Work Australia, </w:t>
      </w:r>
      <w:hyperlink r:id="rId330" w:history="1">
        <w:r w:rsidRPr="00826A05">
          <w:rPr>
            <w:rStyle w:val="Hyperlink"/>
            <w:rFonts w:cs="Arial"/>
            <w:i/>
            <w:szCs w:val="18"/>
          </w:rPr>
          <w:t xml:space="preserve">Workers’ </w:t>
        </w:r>
        <w:r>
          <w:rPr>
            <w:rStyle w:val="Hyperlink"/>
            <w:rFonts w:cs="Arial"/>
            <w:i/>
            <w:szCs w:val="18"/>
          </w:rPr>
          <w:t>C</w:t>
        </w:r>
        <w:r w:rsidRPr="00826A05">
          <w:rPr>
            <w:rStyle w:val="Hyperlink"/>
            <w:rFonts w:cs="Arial"/>
            <w:i/>
            <w:szCs w:val="18"/>
          </w:rPr>
          <w:t xml:space="preserve">ompensation </w:t>
        </w:r>
        <w:r>
          <w:rPr>
            <w:rStyle w:val="Hyperlink"/>
            <w:rFonts w:cs="Arial"/>
            <w:i/>
            <w:szCs w:val="18"/>
          </w:rPr>
          <w:t>D</w:t>
        </w:r>
        <w:r w:rsidRPr="00826A05">
          <w:rPr>
            <w:rStyle w:val="Hyperlink"/>
            <w:rFonts w:cs="Arial"/>
            <w:i/>
            <w:szCs w:val="18"/>
          </w:rPr>
          <w:t>atabase</w:t>
        </w:r>
      </w:hyperlink>
      <w:r w:rsidRPr="00826A05">
        <w:rPr>
          <w:rFonts w:cs="Arial"/>
          <w:szCs w:val="18"/>
        </w:rPr>
        <w:t xml:space="preserve"> </w:t>
      </w:r>
      <w:r>
        <w:rPr>
          <w:rFonts w:cs="Arial"/>
          <w:szCs w:val="18"/>
        </w:rPr>
        <w:t xml:space="preserve">[data set], </w:t>
      </w:r>
      <w:r w:rsidRPr="00826A05">
        <w:rPr>
          <w:rFonts w:cs="Arial"/>
          <w:szCs w:val="18"/>
        </w:rPr>
        <w:t>accessed</w:t>
      </w:r>
      <w:r w:rsidRPr="00826A05" w:rsidDel="00FA32BF">
        <w:rPr>
          <w:rFonts w:cs="Arial"/>
          <w:szCs w:val="18"/>
        </w:rPr>
        <w:t xml:space="preserve"> </w:t>
      </w:r>
      <w:r w:rsidRPr="00826A05">
        <w:rPr>
          <w:rFonts w:cs="Arial"/>
          <w:szCs w:val="18"/>
        </w:rPr>
        <w:t>24 April 2026.</w:t>
      </w:r>
    </w:p>
  </w:footnote>
  <w:footnote w:id="407">
    <w:p w14:paraId="5AEA65C2" w14:textId="77777777" w:rsidR="007371AD" w:rsidRPr="00826A05" w:rsidRDefault="007371AD" w:rsidP="007371AD">
      <w:pPr>
        <w:pStyle w:val="FootnoteText"/>
        <w:rPr>
          <w:rFonts w:cs="Arial"/>
          <w:szCs w:val="18"/>
        </w:rPr>
      </w:pPr>
      <w:r w:rsidRPr="00826A05">
        <w:rPr>
          <w:rStyle w:val="FootnoteReference"/>
          <w:rFonts w:cs="Arial"/>
          <w:szCs w:val="18"/>
        </w:rPr>
        <w:footnoteRef/>
      </w:r>
      <w:r w:rsidRPr="00826A05">
        <w:rPr>
          <w:rFonts w:cs="Arial"/>
          <w:szCs w:val="18"/>
        </w:rPr>
        <w:t xml:space="preserve"> </w:t>
      </w:r>
      <w:hyperlink r:id="rId331" w:history="1">
        <w:r w:rsidRPr="00826A05">
          <w:rPr>
            <w:rStyle w:val="Hyperlink"/>
            <w:rFonts w:eastAsia="Arial" w:cs="Arial"/>
            <w:szCs w:val="18"/>
          </w:rPr>
          <w:t>SA Unions</w:t>
        </w:r>
      </w:hyperlink>
      <w:r w:rsidRPr="00826A05">
        <w:rPr>
          <w:rFonts w:eastAsia="Arial" w:cs="Arial"/>
          <w:szCs w:val="18"/>
        </w:rPr>
        <w:t>, Submission,</w:t>
      </w:r>
      <w:r w:rsidRPr="00826A05">
        <w:rPr>
          <w:rFonts w:cs="Arial"/>
          <w:szCs w:val="18"/>
        </w:rPr>
        <w:t xml:space="preserve"> p 9.</w:t>
      </w:r>
    </w:p>
  </w:footnote>
  <w:footnote w:id="408">
    <w:p w14:paraId="6D4EB969" w14:textId="77777777" w:rsidR="007371AD" w:rsidRPr="00826A05" w:rsidRDefault="007371AD" w:rsidP="007371AD">
      <w:pPr>
        <w:pStyle w:val="FootnoteText"/>
        <w:rPr>
          <w:rFonts w:cs="Arial"/>
          <w:szCs w:val="18"/>
        </w:rPr>
      </w:pPr>
      <w:r w:rsidRPr="00826A05">
        <w:rPr>
          <w:rStyle w:val="FootnoteReference"/>
          <w:rFonts w:cs="Arial"/>
          <w:szCs w:val="18"/>
        </w:rPr>
        <w:footnoteRef/>
      </w:r>
      <w:r w:rsidRPr="00826A05">
        <w:rPr>
          <w:rFonts w:cs="Arial"/>
          <w:szCs w:val="18"/>
        </w:rPr>
        <w:t xml:space="preserve"> </w:t>
      </w:r>
      <w:hyperlink r:id="rId332" w:history="1">
        <w:r w:rsidRPr="00826A05">
          <w:rPr>
            <w:rStyle w:val="Hyperlink"/>
            <w:rFonts w:cs="Arial"/>
            <w:szCs w:val="18"/>
          </w:rPr>
          <w:t>Electrical Trades Union</w:t>
        </w:r>
      </w:hyperlink>
      <w:r w:rsidRPr="00826A05">
        <w:rPr>
          <w:rFonts w:cs="Arial"/>
          <w:szCs w:val="18"/>
        </w:rPr>
        <w:t>, Submission, p</w:t>
      </w:r>
      <w:r>
        <w:rPr>
          <w:rFonts w:cs="Arial"/>
          <w:szCs w:val="18"/>
        </w:rPr>
        <w:t>p</w:t>
      </w:r>
      <w:r w:rsidRPr="00826A05">
        <w:rPr>
          <w:rFonts w:cs="Arial"/>
          <w:szCs w:val="18"/>
        </w:rPr>
        <w:t xml:space="preserve"> 8–9. The union states that </w:t>
      </w:r>
      <w:r w:rsidRPr="00826A05">
        <w:rPr>
          <w:rFonts w:eastAsia="Arial" w:cs="Arial"/>
          <w:szCs w:val="18"/>
        </w:rPr>
        <w:t xml:space="preserve">there were a total </w:t>
      </w:r>
      <w:r>
        <w:rPr>
          <w:rFonts w:eastAsia="Arial" w:cs="Arial"/>
          <w:szCs w:val="18"/>
        </w:rPr>
        <w:t xml:space="preserve">of </w:t>
      </w:r>
      <w:r w:rsidRPr="00826A05">
        <w:rPr>
          <w:rFonts w:eastAsia="Arial" w:cs="Arial"/>
          <w:szCs w:val="18"/>
        </w:rPr>
        <w:t>17,609 workers’ compensation claims for serious injury in 2023</w:t>
      </w:r>
      <w:r w:rsidRPr="00826A05" w:rsidDel="00FA32BF">
        <w:rPr>
          <w:rFonts w:eastAsia="Arial" w:cs="Arial"/>
          <w:szCs w:val="18"/>
        </w:rPr>
        <w:t>-</w:t>
      </w:r>
      <w:r w:rsidRPr="00826A05">
        <w:rPr>
          <w:rFonts w:eastAsia="Arial" w:cs="Arial"/>
          <w:szCs w:val="18"/>
        </w:rPr>
        <w:t>2024 but just 124 prosecutions.</w:t>
      </w:r>
    </w:p>
  </w:footnote>
  <w:footnote w:id="409">
    <w:p w14:paraId="002BED9B" w14:textId="77777777" w:rsidR="007371AD" w:rsidRPr="00826A05" w:rsidRDefault="007371AD" w:rsidP="007371AD">
      <w:pPr>
        <w:pStyle w:val="FootnoteText"/>
        <w:rPr>
          <w:rFonts w:cs="Arial"/>
          <w:szCs w:val="18"/>
        </w:rPr>
      </w:pPr>
      <w:r w:rsidRPr="00826A05">
        <w:rPr>
          <w:rStyle w:val="FootnoteReference"/>
          <w:rFonts w:cs="Arial"/>
          <w:szCs w:val="18"/>
        </w:rPr>
        <w:footnoteRef/>
      </w:r>
      <w:r w:rsidRPr="00826A05">
        <w:rPr>
          <w:rFonts w:cs="Arial"/>
          <w:szCs w:val="18"/>
        </w:rPr>
        <w:t xml:space="preserve"> </w:t>
      </w:r>
      <w:r w:rsidRPr="00826A05">
        <w:rPr>
          <w:rFonts w:eastAsia="Arial" w:cs="Arial"/>
          <w:szCs w:val="18"/>
        </w:rPr>
        <w:t>WorkSafe Tas, Consultation, September 2025.</w:t>
      </w:r>
    </w:p>
  </w:footnote>
  <w:footnote w:id="410">
    <w:p w14:paraId="3046FB8C" w14:textId="77777777" w:rsidR="007371AD" w:rsidRPr="00826A05" w:rsidRDefault="007371AD" w:rsidP="007371AD">
      <w:pPr>
        <w:pStyle w:val="FootnoteText"/>
        <w:rPr>
          <w:rFonts w:cs="Arial"/>
          <w:szCs w:val="18"/>
        </w:rPr>
      </w:pPr>
      <w:r w:rsidRPr="00826A05">
        <w:rPr>
          <w:rStyle w:val="FootnoteReference"/>
          <w:rFonts w:cs="Arial"/>
          <w:szCs w:val="18"/>
        </w:rPr>
        <w:footnoteRef/>
      </w:r>
      <w:r w:rsidRPr="00826A05">
        <w:rPr>
          <w:rFonts w:cs="Arial"/>
          <w:szCs w:val="18"/>
        </w:rPr>
        <w:t xml:space="preserve"> </w:t>
      </w:r>
      <w:hyperlink r:id="rId333" w:history="1">
        <w:r w:rsidRPr="00826A05">
          <w:rPr>
            <w:rStyle w:val="Hyperlink"/>
            <w:rFonts w:cs="Arial"/>
            <w:szCs w:val="18"/>
          </w:rPr>
          <w:t>ACTU</w:t>
        </w:r>
      </w:hyperlink>
      <w:r w:rsidRPr="00826A05">
        <w:rPr>
          <w:rFonts w:cs="Arial"/>
          <w:szCs w:val="18"/>
        </w:rPr>
        <w:t xml:space="preserve">, Submission, p </w:t>
      </w:r>
      <w:r w:rsidRPr="00826A05">
        <w:rPr>
          <w:rStyle w:val="Hyperlink"/>
          <w:rFonts w:cs="Arial"/>
          <w:color w:val="auto"/>
          <w:szCs w:val="18"/>
          <w:u w:val="none"/>
        </w:rPr>
        <w:t>26.</w:t>
      </w:r>
    </w:p>
  </w:footnote>
  <w:footnote w:id="411">
    <w:p w14:paraId="2E2CF218" w14:textId="77777777" w:rsidR="007371AD" w:rsidRPr="00826A05" w:rsidRDefault="007371AD" w:rsidP="007371AD">
      <w:pPr>
        <w:pStyle w:val="FootnoteText"/>
        <w:rPr>
          <w:rFonts w:cs="Arial"/>
          <w:szCs w:val="18"/>
        </w:rPr>
      </w:pPr>
      <w:r w:rsidRPr="00826A05">
        <w:rPr>
          <w:rStyle w:val="FootnoteReference"/>
          <w:rFonts w:cs="Arial"/>
          <w:szCs w:val="18"/>
        </w:rPr>
        <w:footnoteRef/>
      </w:r>
      <w:r w:rsidRPr="00826A05">
        <w:rPr>
          <w:rFonts w:cs="Arial"/>
          <w:szCs w:val="18"/>
        </w:rPr>
        <w:t xml:space="preserve"> </w:t>
      </w:r>
      <w:hyperlink r:id="rId334" w:history="1">
        <w:r w:rsidRPr="00826A05">
          <w:rPr>
            <w:rStyle w:val="Hyperlink"/>
            <w:rFonts w:cs="Arial"/>
            <w:szCs w:val="18"/>
          </w:rPr>
          <w:t>SA Unions</w:t>
        </w:r>
      </w:hyperlink>
      <w:r w:rsidRPr="00826A05">
        <w:rPr>
          <w:rFonts w:cs="Arial"/>
          <w:szCs w:val="18"/>
        </w:rPr>
        <w:t xml:space="preserve">, Submission, </w:t>
      </w:r>
      <w:r>
        <w:rPr>
          <w:rFonts w:cs="Arial"/>
          <w:szCs w:val="18"/>
        </w:rPr>
        <w:t>R</w:t>
      </w:r>
      <w:r w:rsidRPr="00826A05">
        <w:rPr>
          <w:rFonts w:cs="Arial"/>
          <w:szCs w:val="18"/>
        </w:rPr>
        <w:t>ecommendation 1</w:t>
      </w:r>
      <w:r>
        <w:rPr>
          <w:rFonts w:cs="Arial"/>
          <w:szCs w:val="18"/>
        </w:rPr>
        <w:t>,</w:t>
      </w:r>
      <w:r w:rsidRPr="00826A05">
        <w:rPr>
          <w:rFonts w:cs="Arial"/>
          <w:szCs w:val="18"/>
        </w:rPr>
        <w:t xml:space="preserve"> p 14; J Merritt, </w:t>
      </w:r>
      <w:hyperlink r:id="rId335" w:history="1">
        <w:r w:rsidRPr="00826A05">
          <w:rPr>
            <w:rStyle w:val="Hyperlink"/>
            <w:rFonts w:cs="Arial"/>
            <w:i/>
            <w:szCs w:val="18"/>
          </w:rPr>
          <w:t>Independent Review of SafeWork SA</w:t>
        </w:r>
      </w:hyperlink>
      <w:r w:rsidRPr="00826A05">
        <w:rPr>
          <w:rFonts w:cs="Arial"/>
          <w:szCs w:val="18"/>
        </w:rPr>
        <w:t xml:space="preserve">, SafeWork SA, 2022, </w:t>
      </w:r>
      <w:r>
        <w:rPr>
          <w:rFonts w:cs="Arial"/>
          <w:szCs w:val="18"/>
        </w:rPr>
        <w:t>R</w:t>
      </w:r>
      <w:r w:rsidRPr="00826A05">
        <w:rPr>
          <w:rFonts w:cs="Arial"/>
          <w:szCs w:val="18"/>
        </w:rPr>
        <w:t>ecommendation 39.</w:t>
      </w:r>
    </w:p>
  </w:footnote>
  <w:footnote w:id="412">
    <w:p w14:paraId="0D50487B" w14:textId="77777777" w:rsidR="007371AD" w:rsidRPr="00826A05" w:rsidRDefault="007371AD" w:rsidP="007371AD">
      <w:pPr>
        <w:pStyle w:val="FootnoteText"/>
        <w:rPr>
          <w:rFonts w:cs="Arial"/>
        </w:rPr>
      </w:pPr>
      <w:r w:rsidRPr="00826A05">
        <w:rPr>
          <w:rStyle w:val="FootnoteReference"/>
          <w:rFonts w:cs="Arial"/>
        </w:rPr>
        <w:footnoteRef/>
      </w:r>
      <w:r w:rsidRPr="00826A05">
        <w:rPr>
          <w:rFonts w:cs="Arial"/>
        </w:rPr>
        <w:t xml:space="preserve"> </w:t>
      </w:r>
      <w:hyperlink r:id="rId336" w:history="1">
        <w:r w:rsidRPr="00826A05">
          <w:rPr>
            <w:rStyle w:val="Hyperlink"/>
            <w:rFonts w:cs="Arial"/>
            <w:szCs w:val="18"/>
          </w:rPr>
          <w:t>WorkSafe WA</w:t>
        </w:r>
      </w:hyperlink>
      <w:r w:rsidRPr="00826A05">
        <w:rPr>
          <w:rFonts w:cs="Arial"/>
          <w:szCs w:val="18"/>
        </w:rPr>
        <w:t>, Submission</w:t>
      </w:r>
      <w:r w:rsidRPr="00826A05">
        <w:rPr>
          <w:rFonts w:cs="Arial"/>
        </w:rPr>
        <w:t>, p 21.</w:t>
      </w:r>
    </w:p>
  </w:footnote>
  <w:footnote w:id="413">
    <w:p w14:paraId="5BF94E47" w14:textId="77777777" w:rsidR="007371AD" w:rsidRPr="00826A05" w:rsidRDefault="007371AD" w:rsidP="007371AD">
      <w:pPr>
        <w:pStyle w:val="FootnoteText"/>
        <w:rPr>
          <w:rFonts w:cs="Arial"/>
          <w:szCs w:val="18"/>
        </w:rPr>
      </w:pPr>
      <w:r w:rsidRPr="00826A05">
        <w:rPr>
          <w:rStyle w:val="FootnoteReference"/>
          <w:rFonts w:cs="Arial"/>
          <w:szCs w:val="18"/>
        </w:rPr>
        <w:footnoteRef/>
      </w:r>
      <w:r w:rsidRPr="00826A05">
        <w:rPr>
          <w:rFonts w:cs="Arial"/>
          <w:szCs w:val="18"/>
        </w:rPr>
        <w:t xml:space="preserve"> </w:t>
      </w:r>
      <w:hyperlink r:id="rId337" w:history="1">
        <w:r w:rsidRPr="00826A05">
          <w:rPr>
            <w:rStyle w:val="Hyperlink"/>
            <w:rFonts w:cs="Arial"/>
            <w:szCs w:val="18"/>
          </w:rPr>
          <w:t>AIHS</w:t>
        </w:r>
      </w:hyperlink>
      <w:r w:rsidRPr="00826A05">
        <w:rPr>
          <w:rFonts w:cs="Arial"/>
          <w:szCs w:val="18"/>
        </w:rPr>
        <w:t>, Submission, p 16.</w:t>
      </w:r>
    </w:p>
  </w:footnote>
  <w:footnote w:id="414">
    <w:p w14:paraId="063CF175" w14:textId="77777777" w:rsidR="007371AD" w:rsidRPr="00826A05" w:rsidRDefault="007371AD" w:rsidP="007371AD">
      <w:pPr>
        <w:pStyle w:val="FootnoteText"/>
        <w:rPr>
          <w:rFonts w:cs="Arial"/>
          <w:szCs w:val="18"/>
        </w:rPr>
      </w:pPr>
      <w:r w:rsidRPr="00826A05">
        <w:rPr>
          <w:rStyle w:val="FootnoteReference"/>
          <w:rFonts w:cs="Arial"/>
          <w:szCs w:val="18"/>
        </w:rPr>
        <w:footnoteRef/>
      </w:r>
      <w:r w:rsidRPr="00826A05">
        <w:rPr>
          <w:rFonts w:cs="Arial"/>
          <w:szCs w:val="18"/>
        </w:rPr>
        <w:t xml:space="preserve"> </w:t>
      </w:r>
      <w:hyperlink r:id="rId338" w:history="1">
        <w:r w:rsidRPr="00826A05">
          <w:rPr>
            <w:rStyle w:val="Hyperlink"/>
            <w:rFonts w:cs="Arial"/>
            <w:szCs w:val="18"/>
          </w:rPr>
          <w:t>Australian Business Industrial (Australian Business Lawyers &amp; Advisors)</w:t>
        </w:r>
      </w:hyperlink>
      <w:r w:rsidRPr="00826A05">
        <w:rPr>
          <w:rFonts w:cs="Arial"/>
          <w:szCs w:val="18"/>
        </w:rPr>
        <w:t xml:space="preserve">, Submission, p </w:t>
      </w:r>
      <w:r>
        <w:rPr>
          <w:rFonts w:cs="Arial"/>
          <w:szCs w:val="18"/>
        </w:rPr>
        <w:t>8</w:t>
      </w:r>
      <w:r w:rsidRPr="00826A05">
        <w:rPr>
          <w:rFonts w:cs="Arial"/>
          <w:szCs w:val="18"/>
        </w:rPr>
        <w:t>.</w:t>
      </w:r>
    </w:p>
  </w:footnote>
  <w:footnote w:id="415">
    <w:p w14:paraId="6B07CC0D" w14:textId="77777777" w:rsidR="007371AD" w:rsidRPr="00826A05" w:rsidRDefault="007371AD" w:rsidP="007371AD">
      <w:pPr>
        <w:pStyle w:val="FootnoteText"/>
        <w:rPr>
          <w:rFonts w:cs="Arial"/>
          <w:szCs w:val="18"/>
        </w:rPr>
      </w:pPr>
      <w:r w:rsidRPr="00826A05">
        <w:rPr>
          <w:rStyle w:val="FootnoteReference"/>
          <w:rFonts w:cs="Arial"/>
          <w:szCs w:val="18"/>
        </w:rPr>
        <w:footnoteRef/>
      </w:r>
      <w:r w:rsidRPr="00826A05">
        <w:rPr>
          <w:rFonts w:cs="Arial"/>
          <w:szCs w:val="18"/>
        </w:rPr>
        <w:t xml:space="preserve"> </w:t>
      </w:r>
      <w:hyperlink r:id="rId339" w:history="1">
        <w:r w:rsidRPr="00826A05">
          <w:rPr>
            <w:rStyle w:val="Hyperlink"/>
            <w:rFonts w:cs="Arial"/>
            <w:szCs w:val="18"/>
          </w:rPr>
          <w:t>Australian Business Industrial (Australian Business Lawyers &amp; Advisors)</w:t>
        </w:r>
      </w:hyperlink>
      <w:r w:rsidRPr="00826A05">
        <w:rPr>
          <w:rFonts w:cs="Arial"/>
          <w:szCs w:val="18"/>
        </w:rPr>
        <w:t>, Submission, p 16.</w:t>
      </w:r>
    </w:p>
  </w:footnote>
  <w:footnote w:id="416">
    <w:p w14:paraId="252BF18E" w14:textId="77777777" w:rsidR="007371AD" w:rsidRPr="00826A05" w:rsidRDefault="007371AD" w:rsidP="007371AD">
      <w:pPr>
        <w:pStyle w:val="FootnoteText"/>
        <w:rPr>
          <w:rFonts w:cs="Arial"/>
          <w:szCs w:val="18"/>
        </w:rPr>
      </w:pPr>
      <w:r w:rsidRPr="00826A05">
        <w:rPr>
          <w:rStyle w:val="FootnoteReference"/>
          <w:rFonts w:cs="Arial"/>
          <w:szCs w:val="18"/>
        </w:rPr>
        <w:footnoteRef/>
      </w:r>
      <w:r w:rsidRPr="00826A05">
        <w:rPr>
          <w:rFonts w:cs="Arial"/>
          <w:szCs w:val="18"/>
        </w:rPr>
        <w:t xml:space="preserve"> </w:t>
      </w:r>
      <w:hyperlink r:id="rId340" w:history="1">
        <w:r w:rsidRPr="00826A05">
          <w:rPr>
            <w:rStyle w:val="Hyperlink"/>
            <w:rFonts w:cs="Arial"/>
            <w:szCs w:val="18"/>
          </w:rPr>
          <w:t>Australian Business Industrial (Australian Business Lawyers &amp; Advisors)</w:t>
        </w:r>
      </w:hyperlink>
      <w:r w:rsidRPr="00826A05">
        <w:rPr>
          <w:rFonts w:cs="Arial"/>
          <w:szCs w:val="18"/>
        </w:rPr>
        <w:t>, Submission, p 16.</w:t>
      </w:r>
    </w:p>
  </w:footnote>
  <w:footnote w:id="417">
    <w:p w14:paraId="7646C83B" w14:textId="77777777" w:rsidR="001547C0" w:rsidRPr="00A915A7" w:rsidRDefault="001547C0" w:rsidP="001547C0">
      <w:pPr>
        <w:pStyle w:val="FootnoteText"/>
        <w:rPr>
          <w:rFonts w:cs="Arial"/>
          <w:szCs w:val="18"/>
        </w:rPr>
      </w:pPr>
      <w:r w:rsidRPr="00826A05">
        <w:rPr>
          <w:rStyle w:val="FootnoteReference"/>
          <w:rFonts w:cs="Arial"/>
          <w:szCs w:val="18"/>
        </w:rPr>
        <w:footnoteRef/>
      </w:r>
      <w:r w:rsidRPr="00826A05">
        <w:rPr>
          <w:rFonts w:cs="Arial"/>
          <w:szCs w:val="18"/>
        </w:rPr>
        <w:t xml:space="preserve"> The common law right to private prosecutions originate</w:t>
      </w:r>
      <w:r>
        <w:rPr>
          <w:rFonts w:cs="Arial"/>
          <w:szCs w:val="18"/>
        </w:rPr>
        <w:t>s</w:t>
      </w:r>
      <w:r w:rsidRPr="00826A05">
        <w:rPr>
          <w:rFonts w:cs="Arial"/>
          <w:szCs w:val="18"/>
        </w:rPr>
        <w:t xml:space="preserve"> from England and is established in Australia under the </w:t>
      </w:r>
      <w:r w:rsidRPr="00826A05">
        <w:rPr>
          <w:rFonts w:cs="Arial"/>
          <w:i/>
          <w:szCs w:val="18"/>
        </w:rPr>
        <w:t>Australian Courts Act</w:t>
      </w:r>
      <w:r w:rsidRPr="00826A05">
        <w:rPr>
          <w:rFonts w:cs="Arial"/>
          <w:szCs w:val="18"/>
        </w:rPr>
        <w:t xml:space="preserve"> </w:t>
      </w:r>
      <w:r w:rsidRPr="00947C95">
        <w:rPr>
          <w:rFonts w:cs="Arial"/>
          <w:i/>
          <w:szCs w:val="18"/>
        </w:rPr>
        <w:t>1828</w:t>
      </w:r>
      <w:r>
        <w:rPr>
          <w:rFonts w:cs="Arial"/>
          <w:szCs w:val="18"/>
        </w:rPr>
        <w:t>:</w:t>
      </w:r>
      <w:r w:rsidRPr="00826A05">
        <w:rPr>
          <w:rFonts w:cs="Arial"/>
          <w:szCs w:val="18"/>
        </w:rPr>
        <w:t xml:space="preserve"> see </w:t>
      </w:r>
      <w:r>
        <w:rPr>
          <w:rFonts w:cs="Arial"/>
          <w:szCs w:val="18"/>
        </w:rPr>
        <w:t xml:space="preserve">T </w:t>
      </w:r>
      <w:r w:rsidRPr="00826A05">
        <w:rPr>
          <w:rFonts w:cs="Arial"/>
          <w:szCs w:val="18"/>
        </w:rPr>
        <w:t xml:space="preserve">Kirchengast, </w:t>
      </w:r>
      <w:r w:rsidRPr="00947C95">
        <w:rPr>
          <w:rFonts w:cs="Arial"/>
          <w:i/>
          <w:szCs w:val="18"/>
        </w:rPr>
        <w:t xml:space="preserve">The </w:t>
      </w:r>
      <w:r>
        <w:rPr>
          <w:rFonts w:cs="Arial"/>
          <w:i/>
          <w:iCs/>
          <w:szCs w:val="18"/>
        </w:rPr>
        <w:t>v</w:t>
      </w:r>
      <w:r w:rsidRPr="0023705A">
        <w:rPr>
          <w:rFonts w:cs="Arial"/>
          <w:i/>
          <w:iCs/>
          <w:szCs w:val="18"/>
        </w:rPr>
        <w:t>ictim</w:t>
      </w:r>
      <w:r w:rsidRPr="0023705A">
        <w:rPr>
          <w:rFonts w:cs="Arial"/>
          <w:i/>
          <w:szCs w:val="18"/>
        </w:rPr>
        <w:t xml:space="preserve"> in </w:t>
      </w:r>
      <w:r>
        <w:rPr>
          <w:rFonts w:cs="Arial"/>
          <w:i/>
          <w:iCs/>
          <w:szCs w:val="18"/>
        </w:rPr>
        <w:t>c</w:t>
      </w:r>
      <w:r w:rsidRPr="0023705A">
        <w:rPr>
          <w:rFonts w:cs="Arial"/>
          <w:i/>
          <w:iCs/>
          <w:szCs w:val="18"/>
        </w:rPr>
        <w:t xml:space="preserve">riminal </w:t>
      </w:r>
      <w:r>
        <w:rPr>
          <w:rFonts w:cs="Arial"/>
          <w:i/>
          <w:iCs/>
          <w:szCs w:val="18"/>
        </w:rPr>
        <w:t>l</w:t>
      </w:r>
      <w:r w:rsidRPr="0023705A">
        <w:rPr>
          <w:rFonts w:cs="Arial"/>
          <w:i/>
          <w:iCs/>
          <w:szCs w:val="18"/>
        </w:rPr>
        <w:t>aw</w:t>
      </w:r>
      <w:r w:rsidRPr="0023705A">
        <w:rPr>
          <w:rFonts w:cs="Arial"/>
          <w:i/>
          <w:szCs w:val="18"/>
        </w:rPr>
        <w:t xml:space="preserve"> and </w:t>
      </w:r>
      <w:r>
        <w:rPr>
          <w:rFonts w:cs="Arial"/>
          <w:i/>
          <w:iCs/>
          <w:szCs w:val="18"/>
        </w:rPr>
        <w:t>j</w:t>
      </w:r>
      <w:r w:rsidRPr="0023705A">
        <w:rPr>
          <w:rFonts w:cs="Arial"/>
          <w:i/>
          <w:iCs/>
          <w:szCs w:val="18"/>
        </w:rPr>
        <w:t>ustice</w:t>
      </w:r>
      <w:r w:rsidRPr="00826A05">
        <w:rPr>
          <w:rFonts w:cs="Arial"/>
          <w:szCs w:val="18"/>
        </w:rPr>
        <w:t>, Palgrave Macmillan, London</w:t>
      </w:r>
      <w:r>
        <w:rPr>
          <w:rFonts w:cs="Arial"/>
          <w:szCs w:val="18"/>
        </w:rPr>
        <w:t>,</w:t>
      </w:r>
      <w:r w:rsidRPr="00826A05" w:rsidDel="00FA32BF">
        <w:rPr>
          <w:rFonts w:cs="Arial"/>
          <w:szCs w:val="18"/>
        </w:rPr>
        <w:t xml:space="preserve"> </w:t>
      </w:r>
      <w:r w:rsidRPr="00826A05">
        <w:rPr>
          <w:rFonts w:cs="Arial"/>
          <w:szCs w:val="18"/>
        </w:rPr>
        <w:t>2006</w:t>
      </w:r>
      <w:r>
        <w:rPr>
          <w:rFonts w:cs="Arial"/>
          <w:szCs w:val="18"/>
        </w:rPr>
        <w:t>,</w:t>
      </w:r>
      <w:r w:rsidRPr="00826A05">
        <w:rPr>
          <w:rFonts w:cs="Arial"/>
          <w:szCs w:val="18"/>
        </w:rPr>
        <w:t xml:space="preserve"> Ch 2</w:t>
      </w:r>
      <w:r>
        <w:rPr>
          <w:rFonts w:cs="Arial"/>
          <w:szCs w:val="18"/>
        </w:rPr>
        <w:t xml:space="preserve">, </w:t>
      </w:r>
      <w:r w:rsidRPr="00826A05">
        <w:rPr>
          <w:rFonts w:cs="Arial"/>
          <w:szCs w:val="18"/>
        </w:rPr>
        <w:t xml:space="preserve">Private </w:t>
      </w:r>
      <w:r>
        <w:rPr>
          <w:rFonts w:cs="Arial"/>
          <w:szCs w:val="18"/>
        </w:rPr>
        <w:t>p</w:t>
      </w:r>
      <w:r w:rsidRPr="00826A05">
        <w:rPr>
          <w:rFonts w:cs="Arial"/>
          <w:szCs w:val="18"/>
        </w:rPr>
        <w:t>rosecution</w:t>
      </w:r>
      <w:r w:rsidRPr="00826A05" w:rsidDel="00FA32BF">
        <w:rPr>
          <w:rFonts w:cs="Arial"/>
          <w:szCs w:val="18"/>
        </w:rPr>
        <w:t>.</w:t>
      </w:r>
    </w:p>
  </w:footnote>
  <w:footnote w:id="418">
    <w:p w14:paraId="147C7A8B" w14:textId="48A69D4B" w:rsidR="001547C0" w:rsidRPr="00826A05" w:rsidRDefault="001547C0" w:rsidP="001547C0">
      <w:pPr>
        <w:pStyle w:val="FootnoteText"/>
        <w:rPr>
          <w:rFonts w:cs="Arial"/>
          <w:szCs w:val="18"/>
        </w:rPr>
      </w:pPr>
      <w:r w:rsidRPr="00826A05">
        <w:rPr>
          <w:rStyle w:val="FootnoteReference"/>
          <w:rFonts w:cs="Arial"/>
          <w:szCs w:val="18"/>
        </w:rPr>
        <w:footnoteRef/>
      </w:r>
      <w:r w:rsidRPr="00826A05">
        <w:rPr>
          <w:rFonts w:cs="Arial"/>
          <w:szCs w:val="18"/>
        </w:rPr>
        <w:t xml:space="preserve"> </w:t>
      </w:r>
      <w:r w:rsidRPr="00A07BC7">
        <w:rPr>
          <w:rFonts w:cs="Arial"/>
          <w:szCs w:val="18"/>
        </w:rPr>
        <w:t>R Stewart-Crompton, S Mayman</w:t>
      </w:r>
      <w:r w:rsidRPr="00A07BC7" w:rsidDel="00FA32BF">
        <w:rPr>
          <w:rFonts w:cs="Arial"/>
          <w:szCs w:val="18"/>
        </w:rPr>
        <w:t xml:space="preserve"> </w:t>
      </w:r>
      <w:r>
        <w:rPr>
          <w:rFonts w:cs="Arial"/>
          <w:iCs/>
          <w:szCs w:val="18"/>
        </w:rPr>
        <w:t xml:space="preserve">and </w:t>
      </w:r>
      <w:r w:rsidRPr="00A07BC7">
        <w:rPr>
          <w:rFonts w:cs="Arial"/>
          <w:szCs w:val="18"/>
        </w:rPr>
        <w:t xml:space="preserve">B </w:t>
      </w:r>
      <w:r w:rsidRPr="003F0249">
        <w:rPr>
          <w:rFonts w:cs="Arial"/>
          <w:szCs w:val="18"/>
        </w:rPr>
        <w:t>Sherriff,</w:t>
      </w:r>
      <w:r w:rsidRPr="003F0249">
        <w:rPr>
          <w:rFonts w:cs="Arial"/>
          <w:i/>
          <w:szCs w:val="18"/>
        </w:rPr>
        <w:t xml:space="preserve"> </w:t>
      </w:r>
      <w:hyperlink r:id="rId341" w:history="1">
        <w:r w:rsidRPr="003F0249">
          <w:rPr>
            <w:rStyle w:val="Hyperlink"/>
            <w:rFonts w:cs="Arial"/>
            <w:i/>
            <w:szCs w:val="18"/>
          </w:rPr>
          <w:t xml:space="preserve">National </w:t>
        </w:r>
        <w:r w:rsidR="008F64F5" w:rsidRPr="00F83DFE">
          <w:rPr>
            <w:rStyle w:val="Hyperlink"/>
            <w:rFonts w:cs="Arial"/>
            <w:i/>
            <w:szCs w:val="18"/>
          </w:rPr>
          <w:t>R</w:t>
        </w:r>
        <w:r w:rsidRPr="003F0249">
          <w:rPr>
            <w:rStyle w:val="Hyperlink"/>
            <w:rFonts w:cs="Arial"/>
            <w:i/>
            <w:szCs w:val="18"/>
          </w:rPr>
          <w:t xml:space="preserve">eview into </w:t>
        </w:r>
        <w:r w:rsidR="008F64F5" w:rsidRPr="00F83DFE">
          <w:rPr>
            <w:rStyle w:val="Hyperlink"/>
            <w:rFonts w:cs="Arial"/>
            <w:i/>
            <w:szCs w:val="18"/>
          </w:rPr>
          <w:t>M</w:t>
        </w:r>
        <w:r w:rsidRPr="003F0249">
          <w:rPr>
            <w:rStyle w:val="Hyperlink"/>
            <w:rFonts w:cs="Arial"/>
            <w:i/>
            <w:szCs w:val="18"/>
          </w:rPr>
          <w:t xml:space="preserve">odel </w:t>
        </w:r>
        <w:r w:rsidR="008F64F5" w:rsidRPr="00F83DFE">
          <w:rPr>
            <w:rStyle w:val="Hyperlink"/>
            <w:rFonts w:cs="Arial"/>
            <w:i/>
            <w:szCs w:val="18"/>
          </w:rPr>
          <w:t>O</w:t>
        </w:r>
        <w:r w:rsidRPr="003F0249">
          <w:rPr>
            <w:rStyle w:val="Hyperlink"/>
            <w:rFonts w:cs="Arial"/>
            <w:i/>
            <w:szCs w:val="18"/>
          </w:rPr>
          <w:t xml:space="preserve">ccupational </w:t>
        </w:r>
        <w:r w:rsidR="008F64F5" w:rsidRPr="00F83DFE">
          <w:rPr>
            <w:rStyle w:val="Hyperlink"/>
            <w:rFonts w:cs="Arial"/>
            <w:i/>
            <w:szCs w:val="18"/>
          </w:rPr>
          <w:t>H</w:t>
        </w:r>
        <w:r w:rsidRPr="003F0249">
          <w:rPr>
            <w:rStyle w:val="Hyperlink"/>
            <w:rFonts w:cs="Arial"/>
            <w:i/>
            <w:szCs w:val="18"/>
          </w:rPr>
          <w:t xml:space="preserve">ealth and </w:t>
        </w:r>
        <w:r w:rsidR="008F64F5" w:rsidRPr="00F83DFE">
          <w:rPr>
            <w:rStyle w:val="Hyperlink"/>
            <w:rFonts w:cs="Arial"/>
            <w:i/>
            <w:szCs w:val="18"/>
          </w:rPr>
          <w:t>S</w:t>
        </w:r>
        <w:r w:rsidRPr="003F0249">
          <w:rPr>
            <w:rStyle w:val="Hyperlink"/>
            <w:rFonts w:cs="Arial"/>
            <w:i/>
            <w:szCs w:val="18"/>
          </w:rPr>
          <w:t xml:space="preserve">afety </w:t>
        </w:r>
        <w:r w:rsidR="008F64F5" w:rsidRPr="00F83DFE">
          <w:rPr>
            <w:rStyle w:val="Hyperlink"/>
            <w:rFonts w:cs="Arial"/>
            <w:i/>
            <w:szCs w:val="18"/>
          </w:rPr>
          <w:t>L</w:t>
        </w:r>
        <w:r w:rsidRPr="003F0249">
          <w:rPr>
            <w:rStyle w:val="Hyperlink"/>
            <w:rFonts w:cs="Arial"/>
            <w:i/>
            <w:szCs w:val="18"/>
          </w:rPr>
          <w:t xml:space="preserve">aws: </w:t>
        </w:r>
        <w:r w:rsidR="00A573B8">
          <w:rPr>
            <w:rStyle w:val="Hyperlink"/>
            <w:rFonts w:cs="Arial"/>
            <w:i/>
            <w:szCs w:val="18"/>
          </w:rPr>
          <w:t>S</w:t>
        </w:r>
        <w:r w:rsidRPr="003F0249">
          <w:rPr>
            <w:rStyle w:val="Hyperlink"/>
            <w:rFonts w:cs="Arial"/>
            <w:i/>
            <w:szCs w:val="18"/>
          </w:rPr>
          <w:t>econd report</w:t>
        </w:r>
      </w:hyperlink>
      <w:r w:rsidRPr="00826A05">
        <w:rPr>
          <w:rFonts w:cs="Arial"/>
          <w:i/>
          <w:szCs w:val="18"/>
        </w:rPr>
        <w:t>,</w:t>
      </w:r>
      <w:r w:rsidRPr="00826A05">
        <w:rPr>
          <w:rFonts w:cs="Arial"/>
          <w:szCs w:val="18"/>
        </w:rPr>
        <w:t xml:space="preserve"> Department of Employment and Workplace Relations, 2009</w:t>
      </w:r>
      <w:r>
        <w:rPr>
          <w:rFonts w:cs="Arial"/>
          <w:szCs w:val="18"/>
        </w:rPr>
        <w:t>,</w:t>
      </w:r>
      <w:r w:rsidRPr="00826A05">
        <w:rPr>
          <w:rFonts w:cs="Arial"/>
          <w:szCs w:val="18"/>
        </w:rPr>
        <w:t xml:space="preserve"> </w:t>
      </w:r>
      <w:r>
        <w:rPr>
          <w:rFonts w:cs="Arial"/>
          <w:szCs w:val="18"/>
        </w:rPr>
        <w:t xml:space="preserve">paras </w:t>
      </w:r>
      <w:r w:rsidRPr="00826A05">
        <w:rPr>
          <w:rFonts w:cs="Arial"/>
          <w:szCs w:val="18"/>
        </w:rPr>
        <w:t>46.10</w:t>
      </w:r>
      <w:r w:rsidR="00FB2C40">
        <w:rPr>
          <w:rFonts w:ascii="Symbol" w:eastAsia="Symbol" w:hAnsi="Symbol" w:cs="Symbol"/>
          <w:szCs w:val="18"/>
        </w:rPr>
        <w:t>-</w:t>
      </w:r>
      <w:r w:rsidRPr="00826A05">
        <w:rPr>
          <w:rFonts w:cs="Arial"/>
          <w:szCs w:val="18"/>
        </w:rPr>
        <w:t>46.23. Th</w:t>
      </w:r>
      <w:r>
        <w:rPr>
          <w:rFonts w:cs="Arial"/>
          <w:szCs w:val="18"/>
        </w:rPr>
        <w:t>is</w:t>
      </w:r>
      <w:r w:rsidRPr="00826A05">
        <w:rPr>
          <w:rFonts w:cs="Arial"/>
          <w:szCs w:val="18"/>
        </w:rPr>
        <w:t xml:space="preserve"> Review noted divergent views on this issue across previous Australian OHS reviews</w:t>
      </w:r>
      <w:r>
        <w:rPr>
          <w:rFonts w:cs="Arial"/>
          <w:szCs w:val="18"/>
        </w:rPr>
        <w:t>,</w:t>
      </w:r>
      <w:r w:rsidRPr="00826A05">
        <w:rPr>
          <w:rFonts w:cs="Arial"/>
          <w:szCs w:val="18"/>
        </w:rPr>
        <w:t xml:space="preserve"> including </w:t>
      </w:r>
      <w:r>
        <w:rPr>
          <w:rFonts w:cs="Arial"/>
          <w:szCs w:val="18"/>
        </w:rPr>
        <w:t xml:space="preserve">J Rae and M Easson, </w:t>
      </w:r>
      <w:r w:rsidRPr="00090759">
        <w:rPr>
          <w:rFonts w:cs="Arial"/>
          <w:i/>
          <w:szCs w:val="18"/>
        </w:rPr>
        <w:t>Work, health and safety: an inquiry into occupational health and safety</w:t>
      </w:r>
      <w:r>
        <w:rPr>
          <w:rFonts w:cs="Arial"/>
          <w:i/>
          <w:iCs/>
          <w:szCs w:val="18"/>
        </w:rPr>
        <w:t>: Industry Commission</w:t>
      </w:r>
      <w:r>
        <w:rPr>
          <w:rFonts w:cs="Arial"/>
          <w:szCs w:val="18"/>
        </w:rPr>
        <w:t xml:space="preserve">, Report No. 47, Australian Government, </w:t>
      </w:r>
      <w:r w:rsidRPr="00826A05">
        <w:rPr>
          <w:rFonts w:cs="Arial"/>
          <w:szCs w:val="18"/>
        </w:rPr>
        <w:t>1995</w:t>
      </w:r>
      <w:r>
        <w:rPr>
          <w:rFonts w:cs="Arial"/>
          <w:szCs w:val="18"/>
        </w:rPr>
        <w:t>;</w:t>
      </w:r>
      <w:r w:rsidRPr="00826A05" w:rsidDel="00FA32BF">
        <w:rPr>
          <w:rFonts w:cs="Arial"/>
          <w:szCs w:val="18"/>
        </w:rPr>
        <w:t xml:space="preserve"> </w:t>
      </w:r>
      <w:r w:rsidRPr="00826A05">
        <w:rPr>
          <w:rFonts w:cs="Arial"/>
          <w:szCs w:val="18"/>
        </w:rPr>
        <w:t xml:space="preserve">C Maxwell, </w:t>
      </w:r>
      <w:r w:rsidRPr="00826A05">
        <w:rPr>
          <w:rFonts w:cs="Arial"/>
          <w:i/>
          <w:szCs w:val="18"/>
        </w:rPr>
        <w:t xml:space="preserve">Occupational Health and Safety Act Review, </w:t>
      </w:r>
      <w:r w:rsidRPr="00826A05">
        <w:rPr>
          <w:rFonts w:cs="Arial"/>
          <w:szCs w:val="18"/>
        </w:rPr>
        <w:t xml:space="preserve">Victorian Government, 2004; R Hooker, </w:t>
      </w:r>
      <w:r w:rsidRPr="00A07BC7">
        <w:rPr>
          <w:rFonts w:cs="Arial"/>
          <w:i/>
          <w:szCs w:val="18"/>
        </w:rPr>
        <w:t xml:space="preserve">Final </w:t>
      </w:r>
      <w:r>
        <w:rPr>
          <w:rFonts w:cs="Arial"/>
          <w:i/>
          <w:iCs/>
          <w:szCs w:val="18"/>
        </w:rPr>
        <w:t>r</w:t>
      </w:r>
      <w:r w:rsidRPr="00090759">
        <w:rPr>
          <w:rFonts w:cs="Arial"/>
          <w:i/>
          <w:iCs/>
          <w:szCs w:val="18"/>
        </w:rPr>
        <w:t>eport</w:t>
      </w:r>
      <w:r w:rsidRPr="00090759">
        <w:rPr>
          <w:rFonts w:cs="Arial"/>
          <w:i/>
          <w:szCs w:val="18"/>
        </w:rPr>
        <w:t>: Review of the Occupational Health and Safety Act 1984 WA</w:t>
      </w:r>
      <w:r w:rsidRPr="00826A05">
        <w:rPr>
          <w:rFonts w:cs="Arial"/>
          <w:szCs w:val="18"/>
        </w:rPr>
        <w:t xml:space="preserve">, </w:t>
      </w:r>
      <w:r>
        <w:rPr>
          <w:rFonts w:cs="Arial"/>
          <w:szCs w:val="18"/>
        </w:rPr>
        <w:t xml:space="preserve">WA Government, </w:t>
      </w:r>
      <w:r w:rsidRPr="00826A05">
        <w:rPr>
          <w:rFonts w:cs="Arial"/>
          <w:szCs w:val="18"/>
        </w:rPr>
        <w:t>2006.</w:t>
      </w:r>
    </w:p>
  </w:footnote>
  <w:footnote w:id="419">
    <w:p w14:paraId="0675EAC2" w14:textId="598D81C4" w:rsidR="001547C0" w:rsidRPr="00826A05" w:rsidDel="00D4509A" w:rsidRDefault="001547C0" w:rsidP="00E94BD5">
      <w:pPr>
        <w:widowControl w:val="0"/>
        <w:spacing w:after="0" w:line="240" w:lineRule="auto"/>
        <w:contextualSpacing w:val="0"/>
        <w:rPr>
          <w:rFonts w:asciiTheme="minorHAnsi" w:hAnsiTheme="minorHAnsi" w:cs="Arial"/>
          <w:sz w:val="18"/>
          <w:szCs w:val="18"/>
        </w:rPr>
      </w:pPr>
      <w:r w:rsidRPr="001876C0">
        <w:rPr>
          <w:rStyle w:val="FootnoteReference"/>
          <w:rFonts w:asciiTheme="minorHAnsi" w:hAnsiTheme="minorHAnsi" w:cs="Arial"/>
          <w:sz w:val="18"/>
          <w:szCs w:val="18"/>
        </w:rPr>
        <w:footnoteRef/>
      </w:r>
      <w:r w:rsidRPr="001876C0">
        <w:rPr>
          <w:rFonts w:asciiTheme="minorHAnsi" w:hAnsiTheme="minorHAnsi" w:cs="Arial"/>
          <w:sz w:val="18"/>
          <w:szCs w:val="18"/>
        </w:rPr>
        <w:t xml:space="preserve"> R Stewart-Crompton, S Mayman and B Sherriff,</w:t>
      </w:r>
      <w:r w:rsidRPr="001876C0">
        <w:rPr>
          <w:rFonts w:asciiTheme="minorHAnsi" w:hAnsiTheme="minorHAnsi" w:cs="Arial"/>
          <w:i/>
          <w:sz w:val="18"/>
          <w:szCs w:val="18"/>
        </w:rPr>
        <w:t xml:space="preserve"> </w:t>
      </w:r>
      <w:hyperlink r:id="rId342" w:history="1">
        <w:r w:rsidRPr="001876C0">
          <w:rPr>
            <w:rStyle w:val="Hyperlink"/>
            <w:rFonts w:asciiTheme="minorHAnsi" w:hAnsiTheme="minorHAnsi" w:cs="Arial"/>
            <w:i/>
            <w:sz w:val="18"/>
            <w:szCs w:val="18"/>
          </w:rPr>
          <w:t xml:space="preserve">National </w:t>
        </w:r>
        <w:r w:rsidR="00FB2C40">
          <w:rPr>
            <w:rStyle w:val="Hyperlink"/>
            <w:rFonts w:asciiTheme="minorHAnsi" w:hAnsiTheme="minorHAnsi" w:cs="Arial"/>
            <w:i/>
            <w:sz w:val="18"/>
            <w:szCs w:val="18"/>
          </w:rPr>
          <w:t>R</w:t>
        </w:r>
        <w:r w:rsidRPr="001876C0">
          <w:rPr>
            <w:rStyle w:val="Hyperlink"/>
            <w:rFonts w:asciiTheme="minorHAnsi" w:hAnsiTheme="minorHAnsi" w:cs="Arial"/>
            <w:i/>
            <w:sz w:val="18"/>
            <w:szCs w:val="18"/>
          </w:rPr>
          <w:t xml:space="preserve">eview into </w:t>
        </w:r>
        <w:r w:rsidR="00FB2C40">
          <w:rPr>
            <w:rStyle w:val="Hyperlink"/>
            <w:rFonts w:asciiTheme="minorHAnsi" w:hAnsiTheme="minorHAnsi" w:cs="Arial"/>
            <w:i/>
            <w:sz w:val="18"/>
            <w:szCs w:val="18"/>
          </w:rPr>
          <w:t>M</w:t>
        </w:r>
        <w:r w:rsidRPr="001876C0">
          <w:rPr>
            <w:rStyle w:val="Hyperlink"/>
            <w:rFonts w:asciiTheme="minorHAnsi" w:hAnsiTheme="minorHAnsi" w:cs="Arial"/>
            <w:i/>
            <w:sz w:val="18"/>
            <w:szCs w:val="18"/>
          </w:rPr>
          <w:t xml:space="preserve">odel </w:t>
        </w:r>
        <w:r w:rsidR="00FB2C40">
          <w:rPr>
            <w:rStyle w:val="Hyperlink"/>
            <w:rFonts w:asciiTheme="minorHAnsi" w:hAnsiTheme="minorHAnsi" w:cs="Arial"/>
            <w:i/>
            <w:sz w:val="18"/>
            <w:szCs w:val="18"/>
          </w:rPr>
          <w:t>O</w:t>
        </w:r>
        <w:r w:rsidRPr="001876C0">
          <w:rPr>
            <w:rStyle w:val="Hyperlink"/>
            <w:rFonts w:asciiTheme="minorHAnsi" w:hAnsiTheme="minorHAnsi" w:cs="Arial"/>
            <w:i/>
            <w:sz w:val="18"/>
            <w:szCs w:val="18"/>
          </w:rPr>
          <w:t xml:space="preserve">ccupational </w:t>
        </w:r>
        <w:r w:rsidR="00FB2C40">
          <w:rPr>
            <w:rStyle w:val="Hyperlink"/>
            <w:rFonts w:asciiTheme="minorHAnsi" w:hAnsiTheme="minorHAnsi" w:cs="Arial"/>
            <w:i/>
            <w:sz w:val="18"/>
            <w:szCs w:val="18"/>
          </w:rPr>
          <w:t>H</w:t>
        </w:r>
        <w:r w:rsidRPr="001876C0">
          <w:rPr>
            <w:rStyle w:val="Hyperlink"/>
            <w:rFonts w:asciiTheme="minorHAnsi" w:hAnsiTheme="minorHAnsi" w:cs="Arial"/>
            <w:i/>
            <w:sz w:val="18"/>
            <w:szCs w:val="18"/>
          </w:rPr>
          <w:t xml:space="preserve">ealth and </w:t>
        </w:r>
        <w:r w:rsidR="00FB2C40">
          <w:rPr>
            <w:rStyle w:val="Hyperlink"/>
            <w:rFonts w:asciiTheme="minorHAnsi" w:hAnsiTheme="minorHAnsi" w:cs="Arial"/>
            <w:i/>
            <w:sz w:val="18"/>
            <w:szCs w:val="18"/>
          </w:rPr>
          <w:t>S</w:t>
        </w:r>
        <w:r w:rsidRPr="001876C0">
          <w:rPr>
            <w:rStyle w:val="Hyperlink"/>
            <w:rFonts w:asciiTheme="minorHAnsi" w:hAnsiTheme="minorHAnsi" w:cs="Arial"/>
            <w:i/>
            <w:sz w:val="18"/>
            <w:szCs w:val="18"/>
          </w:rPr>
          <w:t xml:space="preserve">afety </w:t>
        </w:r>
        <w:r w:rsidR="00FB2C40">
          <w:rPr>
            <w:rStyle w:val="Hyperlink"/>
            <w:rFonts w:asciiTheme="minorHAnsi" w:hAnsiTheme="minorHAnsi" w:cs="Arial"/>
            <w:i/>
            <w:sz w:val="18"/>
            <w:szCs w:val="18"/>
          </w:rPr>
          <w:t>L</w:t>
        </w:r>
        <w:r w:rsidRPr="001876C0">
          <w:rPr>
            <w:rStyle w:val="Hyperlink"/>
            <w:rFonts w:asciiTheme="minorHAnsi" w:hAnsiTheme="minorHAnsi" w:cs="Arial"/>
            <w:i/>
            <w:sz w:val="18"/>
            <w:szCs w:val="18"/>
          </w:rPr>
          <w:t xml:space="preserve">aws: </w:t>
        </w:r>
        <w:r w:rsidR="00EE6889">
          <w:rPr>
            <w:rStyle w:val="Hyperlink"/>
            <w:rFonts w:asciiTheme="minorHAnsi" w:hAnsiTheme="minorHAnsi" w:cs="Arial"/>
            <w:i/>
            <w:sz w:val="18"/>
            <w:szCs w:val="18"/>
          </w:rPr>
          <w:t>S</w:t>
        </w:r>
        <w:r w:rsidRPr="001876C0">
          <w:rPr>
            <w:rStyle w:val="Hyperlink"/>
            <w:rFonts w:asciiTheme="minorHAnsi" w:hAnsiTheme="minorHAnsi" w:cs="Arial"/>
            <w:i/>
            <w:sz w:val="18"/>
            <w:szCs w:val="18"/>
          </w:rPr>
          <w:t>econd report</w:t>
        </w:r>
      </w:hyperlink>
      <w:r w:rsidRPr="001876C0">
        <w:rPr>
          <w:rFonts w:asciiTheme="minorHAnsi" w:hAnsiTheme="minorHAnsi" w:cs="Arial"/>
          <w:i/>
          <w:sz w:val="18"/>
          <w:szCs w:val="18"/>
        </w:rPr>
        <w:t>,</w:t>
      </w:r>
      <w:r w:rsidRPr="001876C0">
        <w:rPr>
          <w:rFonts w:asciiTheme="minorHAnsi" w:hAnsiTheme="minorHAnsi" w:cs="Arial"/>
          <w:sz w:val="18"/>
          <w:szCs w:val="18"/>
        </w:rPr>
        <w:t xml:space="preserve"> Department of Employment and Workplace Relations, 2009, paras 46.10</w:t>
      </w:r>
      <w:r w:rsidR="00FB2C40">
        <w:rPr>
          <w:rFonts w:asciiTheme="minorHAnsi" w:eastAsia="Symbol" w:hAnsiTheme="minorHAnsi" w:cs="Symbol"/>
          <w:sz w:val="18"/>
          <w:szCs w:val="18"/>
        </w:rPr>
        <w:t>-</w:t>
      </w:r>
      <w:r w:rsidRPr="001876C0">
        <w:rPr>
          <w:rFonts w:asciiTheme="minorHAnsi" w:hAnsiTheme="minorHAnsi" w:cs="Arial"/>
          <w:sz w:val="18"/>
          <w:szCs w:val="18"/>
        </w:rPr>
        <w:t>46.23.</w:t>
      </w:r>
    </w:p>
  </w:footnote>
  <w:footnote w:id="420">
    <w:p w14:paraId="74BBDA28" w14:textId="26C1DA2C" w:rsidR="001547C0" w:rsidRPr="00826A05" w:rsidRDefault="001547C0" w:rsidP="001547C0">
      <w:pPr>
        <w:pStyle w:val="FootnoteText"/>
      </w:pPr>
      <w:r w:rsidRPr="00826A05">
        <w:rPr>
          <w:rStyle w:val="FootnoteReference"/>
        </w:rPr>
        <w:footnoteRef/>
      </w:r>
      <w:r w:rsidRPr="00826A05">
        <w:t xml:space="preserve"> </w:t>
      </w:r>
      <w:r w:rsidRPr="00826A05">
        <w:rPr>
          <w:rFonts w:cs="Arial"/>
          <w:szCs w:val="18"/>
        </w:rPr>
        <w:t>HWSA, Consultation, September 2025. WorkSafe Tas, Consultation, September 2025. NT WorkSafe, Consultation, September 2025. Unions NT raised concerns about inspector salaries being a limiting factor for recruiting suitably qualified inspectors in industries where salaries are higher</w:t>
      </w:r>
      <w:r>
        <w:rPr>
          <w:rFonts w:cs="Arial"/>
          <w:szCs w:val="18"/>
        </w:rPr>
        <w:t>:</w:t>
      </w:r>
      <w:r w:rsidRPr="00826A05">
        <w:rPr>
          <w:rFonts w:cs="Arial"/>
          <w:szCs w:val="18"/>
        </w:rPr>
        <w:t xml:space="preserve"> MBA Qld, Consultation, September 2025.</w:t>
      </w:r>
    </w:p>
  </w:footnote>
  <w:footnote w:id="421">
    <w:p w14:paraId="65AD2DE2" w14:textId="77777777" w:rsidR="001547C0" w:rsidRPr="00826A05" w:rsidRDefault="001547C0" w:rsidP="001547C0">
      <w:pPr>
        <w:pStyle w:val="FootnoteText"/>
      </w:pPr>
      <w:r w:rsidRPr="00826A05">
        <w:rPr>
          <w:rStyle w:val="FootnoteReference"/>
        </w:rPr>
        <w:footnoteRef/>
      </w:r>
      <w:r w:rsidRPr="00826A05">
        <w:t xml:space="preserve"> </w:t>
      </w:r>
      <w:hyperlink r:id="rId343" w:history="1">
        <w:r w:rsidRPr="00826A05">
          <w:rPr>
            <w:rStyle w:val="Hyperlink"/>
            <w:rFonts w:cs="Arial"/>
            <w:szCs w:val="18"/>
          </w:rPr>
          <w:t>ACTU</w:t>
        </w:r>
      </w:hyperlink>
      <w:r w:rsidRPr="00826A05">
        <w:rPr>
          <w:rFonts w:cs="Arial"/>
          <w:szCs w:val="18"/>
        </w:rPr>
        <w:t>, Submission, p</w:t>
      </w:r>
      <w:r>
        <w:rPr>
          <w:rFonts w:cs="Arial"/>
          <w:szCs w:val="18"/>
        </w:rPr>
        <w:t>p</w:t>
      </w:r>
      <w:r w:rsidRPr="00826A05">
        <w:rPr>
          <w:rFonts w:cs="Arial"/>
          <w:szCs w:val="18"/>
        </w:rPr>
        <w:t xml:space="preserve"> 25–26.</w:t>
      </w:r>
    </w:p>
  </w:footnote>
  <w:footnote w:id="422">
    <w:p w14:paraId="3FC632F5" w14:textId="221DBD05" w:rsidR="001547C0" w:rsidRPr="00826A05" w:rsidRDefault="001547C0" w:rsidP="001547C0">
      <w:pPr>
        <w:pStyle w:val="FootnoteText"/>
        <w:rPr>
          <w:rFonts w:cs="Arial"/>
          <w:szCs w:val="18"/>
        </w:rPr>
      </w:pPr>
      <w:r w:rsidRPr="00826A05">
        <w:rPr>
          <w:rStyle w:val="FootnoteReference"/>
          <w:rFonts w:cs="Arial"/>
          <w:szCs w:val="18"/>
        </w:rPr>
        <w:footnoteRef/>
      </w:r>
      <w:r w:rsidRPr="00826A05">
        <w:rPr>
          <w:rFonts w:cs="Arial"/>
          <w:szCs w:val="18"/>
        </w:rPr>
        <w:t xml:space="preserve"> Safe Work Australia</w:t>
      </w:r>
      <w:r>
        <w:rPr>
          <w:rFonts w:cs="Arial"/>
          <w:szCs w:val="18"/>
        </w:rPr>
        <w:t>,</w:t>
      </w:r>
      <w:r w:rsidRPr="00826A05">
        <w:rPr>
          <w:rFonts w:cs="Arial"/>
          <w:szCs w:val="18"/>
        </w:rPr>
        <w:t xml:space="preserve"> </w:t>
      </w:r>
      <w:r w:rsidRPr="00826A05">
        <w:rPr>
          <w:rFonts w:cs="Arial"/>
          <w:i/>
          <w:szCs w:val="18"/>
        </w:rPr>
        <w:t>Australian Work Health and Safety Strategy 2023–2033</w:t>
      </w:r>
      <w:r>
        <w:rPr>
          <w:rFonts w:cs="Arial"/>
          <w:szCs w:val="18"/>
        </w:rPr>
        <w:t xml:space="preserve">, Safe Work Australia, </w:t>
      </w:r>
      <w:r w:rsidRPr="00826A05">
        <w:rPr>
          <w:rFonts w:cs="Arial"/>
          <w:szCs w:val="18"/>
        </w:rPr>
        <w:t>2023</w:t>
      </w:r>
      <w:r>
        <w:rPr>
          <w:rFonts w:cs="Arial"/>
          <w:szCs w:val="18"/>
        </w:rPr>
        <w:t xml:space="preserve">, </w:t>
      </w:r>
      <w:r w:rsidRPr="00826A05">
        <w:rPr>
          <w:rFonts w:cs="Arial"/>
          <w:szCs w:val="18"/>
        </w:rPr>
        <w:t>p 5.</w:t>
      </w:r>
    </w:p>
  </w:footnote>
  <w:footnote w:id="423">
    <w:p w14:paraId="319DC483" w14:textId="77777777" w:rsidR="001547C0" w:rsidRPr="00826A05" w:rsidRDefault="001547C0" w:rsidP="001547C0">
      <w:pPr>
        <w:pStyle w:val="FootnoteText"/>
        <w:rPr>
          <w:rFonts w:cs="Arial"/>
          <w:szCs w:val="18"/>
        </w:rPr>
      </w:pPr>
      <w:r w:rsidRPr="00826A05">
        <w:rPr>
          <w:rStyle w:val="FootnoteReference"/>
          <w:rFonts w:cs="Arial"/>
          <w:szCs w:val="18"/>
        </w:rPr>
        <w:footnoteRef/>
      </w:r>
      <w:r w:rsidRPr="00826A05">
        <w:rPr>
          <w:rFonts w:cs="Arial"/>
          <w:szCs w:val="18"/>
        </w:rPr>
        <w:t xml:space="preserve"> Safe Work Australia, </w:t>
      </w:r>
      <w:hyperlink r:id="rId344" w:history="1">
        <w:r w:rsidRPr="00826A05">
          <w:rPr>
            <w:rStyle w:val="Hyperlink"/>
            <w:rFonts w:cs="Arial"/>
            <w:i/>
            <w:szCs w:val="18"/>
          </w:rPr>
          <w:t xml:space="preserve">Workers’ </w:t>
        </w:r>
        <w:r>
          <w:rPr>
            <w:rStyle w:val="Hyperlink"/>
            <w:rFonts w:cs="Arial"/>
            <w:i/>
            <w:szCs w:val="18"/>
          </w:rPr>
          <w:t>C</w:t>
        </w:r>
        <w:r w:rsidRPr="00826A05">
          <w:rPr>
            <w:rStyle w:val="Hyperlink"/>
            <w:rFonts w:cs="Arial"/>
            <w:i/>
            <w:szCs w:val="18"/>
          </w:rPr>
          <w:t xml:space="preserve">ompensation </w:t>
        </w:r>
        <w:r>
          <w:rPr>
            <w:rStyle w:val="Hyperlink"/>
            <w:rFonts w:cs="Arial"/>
            <w:i/>
            <w:szCs w:val="18"/>
          </w:rPr>
          <w:t>D</w:t>
        </w:r>
        <w:r w:rsidRPr="00826A05">
          <w:rPr>
            <w:rStyle w:val="Hyperlink"/>
            <w:rFonts w:cs="Arial"/>
            <w:i/>
            <w:szCs w:val="18"/>
          </w:rPr>
          <w:t>atabase</w:t>
        </w:r>
      </w:hyperlink>
      <w:r w:rsidRPr="00826A05">
        <w:rPr>
          <w:rFonts w:cs="Arial"/>
          <w:szCs w:val="18"/>
        </w:rPr>
        <w:t xml:space="preserve"> </w:t>
      </w:r>
      <w:r>
        <w:rPr>
          <w:rFonts w:cs="Arial"/>
          <w:szCs w:val="18"/>
        </w:rPr>
        <w:t xml:space="preserve">[data set], </w:t>
      </w:r>
      <w:r w:rsidRPr="00826A05">
        <w:rPr>
          <w:rFonts w:cs="Arial"/>
          <w:szCs w:val="18"/>
        </w:rPr>
        <w:t>accessed 24 April 2026.</w:t>
      </w:r>
    </w:p>
  </w:footnote>
  <w:footnote w:id="424">
    <w:p w14:paraId="0C889176" w14:textId="4CFE39BD" w:rsidR="001547C0" w:rsidRPr="00826A05" w:rsidRDefault="001547C0" w:rsidP="001547C0">
      <w:pPr>
        <w:pStyle w:val="FootnoteText"/>
        <w:rPr>
          <w:rFonts w:cs="Arial"/>
          <w:szCs w:val="18"/>
        </w:rPr>
      </w:pPr>
      <w:r w:rsidRPr="00826A05">
        <w:rPr>
          <w:rStyle w:val="FootnoteReference"/>
          <w:rFonts w:cs="Arial"/>
          <w:szCs w:val="18"/>
        </w:rPr>
        <w:footnoteRef/>
      </w:r>
      <w:r w:rsidRPr="00826A05">
        <w:rPr>
          <w:rFonts w:cs="Arial"/>
          <w:szCs w:val="18"/>
        </w:rPr>
        <w:t xml:space="preserve"> P Drahos (</w:t>
      </w:r>
      <w:r>
        <w:rPr>
          <w:rFonts w:cs="Arial"/>
          <w:szCs w:val="18"/>
        </w:rPr>
        <w:t>e</w:t>
      </w:r>
      <w:r w:rsidRPr="00826A05">
        <w:rPr>
          <w:rFonts w:cs="Arial"/>
          <w:szCs w:val="18"/>
        </w:rPr>
        <w:t xml:space="preserve">d) </w:t>
      </w:r>
      <w:r w:rsidRPr="00826A05">
        <w:rPr>
          <w:rFonts w:cs="Arial"/>
          <w:i/>
          <w:szCs w:val="18"/>
        </w:rPr>
        <w:t xml:space="preserve">Regulatory </w:t>
      </w:r>
      <w:r>
        <w:rPr>
          <w:rFonts w:cs="Arial"/>
          <w:i/>
          <w:szCs w:val="18"/>
        </w:rPr>
        <w:t>t</w:t>
      </w:r>
      <w:r w:rsidRPr="00826A05">
        <w:rPr>
          <w:rFonts w:cs="Arial"/>
          <w:i/>
          <w:szCs w:val="18"/>
        </w:rPr>
        <w:t xml:space="preserve">heory: </w:t>
      </w:r>
      <w:r>
        <w:rPr>
          <w:rFonts w:cs="Arial"/>
          <w:i/>
          <w:szCs w:val="18"/>
        </w:rPr>
        <w:t>f</w:t>
      </w:r>
      <w:r w:rsidRPr="00826A05">
        <w:rPr>
          <w:rFonts w:cs="Arial"/>
          <w:i/>
          <w:szCs w:val="18"/>
        </w:rPr>
        <w:t>oundations and applications</w:t>
      </w:r>
      <w:r>
        <w:rPr>
          <w:rFonts w:cs="Arial"/>
          <w:szCs w:val="18"/>
        </w:rPr>
        <w:t>,</w:t>
      </w:r>
      <w:r w:rsidRPr="00826A05">
        <w:rPr>
          <w:rFonts w:cs="Arial"/>
          <w:szCs w:val="18"/>
        </w:rPr>
        <w:t xml:space="preserve"> ANU Press</w:t>
      </w:r>
      <w:r>
        <w:rPr>
          <w:rFonts w:cs="Arial"/>
          <w:szCs w:val="18"/>
        </w:rPr>
        <w:t xml:space="preserve">, Canberra, </w:t>
      </w:r>
      <w:r w:rsidRPr="00826A05">
        <w:rPr>
          <w:rFonts w:cs="Arial"/>
          <w:szCs w:val="18"/>
        </w:rPr>
        <w:t>2017.</w:t>
      </w:r>
    </w:p>
  </w:footnote>
  <w:footnote w:id="425">
    <w:p w14:paraId="6E41145C" w14:textId="6B7E63D7" w:rsidR="001547C0" w:rsidRPr="00826A05" w:rsidRDefault="001547C0" w:rsidP="001547C0">
      <w:pPr>
        <w:pStyle w:val="FootnoteText"/>
        <w:rPr>
          <w:rFonts w:cs="Arial"/>
          <w:szCs w:val="18"/>
        </w:rPr>
      </w:pPr>
      <w:r w:rsidRPr="00826A05">
        <w:rPr>
          <w:rStyle w:val="FootnoteReference"/>
          <w:rFonts w:cs="Arial"/>
          <w:szCs w:val="18"/>
        </w:rPr>
        <w:footnoteRef/>
      </w:r>
      <w:r w:rsidRPr="00826A05">
        <w:rPr>
          <w:rFonts w:cs="Arial"/>
          <w:szCs w:val="18"/>
        </w:rPr>
        <w:t xml:space="preserve"> Safe Work Australia, </w:t>
      </w:r>
      <w:hyperlink r:id="rId345" w:history="1">
        <w:r w:rsidRPr="00826A05">
          <w:rPr>
            <w:rStyle w:val="Hyperlink"/>
            <w:rFonts w:cs="Arial"/>
            <w:i/>
            <w:szCs w:val="18"/>
          </w:rPr>
          <w:t xml:space="preserve">WHS </w:t>
        </w:r>
        <w:r w:rsidR="00F83DFE">
          <w:rPr>
            <w:rStyle w:val="Hyperlink"/>
            <w:rFonts w:cs="Arial"/>
            <w:i/>
            <w:szCs w:val="18"/>
          </w:rPr>
          <w:t>p</w:t>
        </w:r>
        <w:r w:rsidRPr="00826A05">
          <w:rPr>
            <w:rStyle w:val="Hyperlink"/>
            <w:rFonts w:cs="Arial"/>
            <w:i/>
            <w:szCs w:val="18"/>
          </w:rPr>
          <w:t>rosecutions</w:t>
        </w:r>
      </w:hyperlink>
      <w:r w:rsidRPr="00826A05" w:rsidDel="00E54D55">
        <w:rPr>
          <w:rFonts w:cs="Arial"/>
          <w:szCs w:val="18"/>
        </w:rPr>
        <w:t xml:space="preserve">, </w:t>
      </w:r>
      <w:r>
        <w:rPr>
          <w:rFonts w:cs="Arial"/>
          <w:szCs w:val="18"/>
        </w:rPr>
        <w:t xml:space="preserve">Dashboard, </w:t>
      </w:r>
      <w:r w:rsidRPr="00826A05">
        <w:rPr>
          <w:rFonts w:cs="Arial"/>
          <w:szCs w:val="18"/>
        </w:rPr>
        <w:t>accessed 1 May 2026.</w:t>
      </w:r>
    </w:p>
  </w:footnote>
  <w:footnote w:id="426">
    <w:p w14:paraId="51B70BFA" w14:textId="22884085" w:rsidR="001547C0" w:rsidRPr="00CD4165" w:rsidRDefault="001547C0" w:rsidP="001547C0">
      <w:pPr>
        <w:pStyle w:val="FootnoteText"/>
        <w:rPr>
          <w:rFonts w:cs="Arial"/>
          <w:szCs w:val="18"/>
        </w:rPr>
      </w:pPr>
      <w:r w:rsidRPr="00826A05">
        <w:rPr>
          <w:rStyle w:val="FootnoteReference"/>
          <w:rFonts w:cs="Arial"/>
          <w:szCs w:val="18"/>
        </w:rPr>
        <w:footnoteRef/>
      </w:r>
      <w:r w:rsidRPr="00826A05">
        <w:rPr>
          <w:rFonts w:cs="Arial"/>
          <w:szCs w:val="18"/>
        </w:rPr>
        <w:t xml:space="preserve"> </w:t>
      </w:r>
      <w:r>
        <w:rPr>
          <w:rFonts w:cs="Arial"/>
          <w:szCs w:val="18"/>
        </w:rPr>
        <w:t xml:space="preserve">R </w:t>
      </w:r>
      <w:r w:rsidRPr="00826A05">
        <w:rPr>
          <w:rFonts w:cs="Arial"/>
          <w:szCs w:val="18"/>
        </w:rPr>
        <w:t>Cooper et al</w:t>
      </w:r>
      <w:r>
        <w:rPr>
          <w:rFonts w:cs="Arial"/>
          <w:szCs w:val="18"/>
        </w:rPr>
        <w:t>,</w:t>
      </w:r>
      <w:r w:rsidRPr="00826A05">
        <w:rPr>
          <w:rFonts w:cs="Arial"/>
          <w:szCs w:val="18"/>
        </w:rPr>
        <w:t xml:space="preserve"> </w:t>
      </w:r>
      <w:hyperlink r:id="rId346" w:history="1">
        <w:r w:rsidRPr="00826A05">
          <w:rPr>
            <w:rStyle w:val="Hyperlink"/>
            <w:rFonts w:cs="Arial"/>
            <w:i/>
            <w:szCs w:val="18"/>
          </w:rPr>
          <w:t xml:space="preserve">Just another day in retail: </w:t>
        </w:r>
        <w:r w:rsidR="001811D7">
          <w:rPr>
            <w:rStyle w:val="Hyperlink"/>
            <w:rFonts w:cs="Arial"/>
            <w:i/>
            <w:szCs w:val="18"/>
          </w:rPr>
          <w:t>U</w:t>
        </w:r>
        <w:r w:rsidRPr="00826A05">
          <w:rPr>
            <w:rStyle w:val="Hyperlink"/>
            <w:rFonts w:cs="Arial"/>
            <w:i/>
            <w:szCs w:val="18"/>
          </w:rPr>
          <w:t>nderstanding and addressing workplace sexual harassment in the Australian retail industry</w:t>
        </w:r>
      </w:hyperlink>
      <w:r w:rsidRPr="00826A05">
        <w:rPr>
          <w:rFonts w:cs="Arial"/>
          <w:i/>
          <w:szCs w:val="18"/>
        </w:rPr>
        <w:t xml:space="preserve">, </w:t>
      </w:r>
      <w:r w:rsidRPr="00826A05">
        <w:rPr>
          <w:rFonts w:cs="Arial"/>
          <w:szCs w:val="18"/>
        </w:rPr>
        <w:t>Australian National Research Organisation for Women’s Safety, 2024</w:t>
      </w:r>
      <w:r>
        <w:rPr>
          <w:rFonts w:cs="Arial"/>
          <w:szCs w:val="18"/>
        </w:rPr>
        <w:t>,</w:t>
      </w:r>
      <w:r w:rsidRPr="00826A05">
        <w:rPr>
          <w:rFonts w:cs="Arial"/>
          <w:szCs w:val="18"/>
        </w:rPr>
        <w:t xml:space="preserve"> p 96.</w:t>
      </w:r>
    </w:p>
  </w:footnote>
  <w:footnote w:id="427">
    <w:p w14:paraId="765347B7" w14:textId="4174FB53" w:rsidR="001547C0" w:rsidRPr="006C4FF4" w:rsidRDefault="001547C0" w:rsidP="001547C0">
      <w:pPr>
        <w:pStyle w:val="FootnoteText"/>
        <w:rPr>
          <w:rFonts w:cs="Arial"/>
          <w:szCs w:val="18"/>
        </w:rPr>
      </w:pPr>
      <w:r w:rsidRPr="006C4FF4">
        <w:rPr>
          <w:rStyle w:val="FootnoteReference"/>
          <w:rFonts w:cs="Arial"/>
          <w:szCs w:val="18"/>
        </w:rPr>
        <w:footnoteRef/>
      </w:r>
      <w:r w:rsidRPr="006C4FF4">
        <w:rPr>
          <w:rFonts w:cs="Arial"/>
          <w:szCs w:val="18"/>
        </w:rPr>
        <w:t xml:space="preserve"> Safe Work Australia, </w:t>
      </w:r>
      <w:hyperlink r:id="rId347" w:history="1">
        <w:r w:rsidRPr="006C4FF4">
          <w:rPr>
            <w:rStyle w:val="Hyperlink"/>
            <w:rFonts w:cs="Arial"/>
            <w:i/>
            <w:szCs w:val="18"/>
          </w:rPr>
          <w:t xml:space="preserve">WHS </w:t>
        </w:r>
        <w:r w:rsidR="000E02F0">
          <w:rPr>
            <w:rStyle w:val="Hyperlink"/>
            <w:rFonts w:cs="Arial"/>
            <w:i/>
            <w:szCs w:val="18"/>
          </w:rPr>
          <w:t>p</w:t>
        </w:r>
        <w:r w:rsidRPr="006C4FF4">
          <w:rPr>
            <w:rStyle w:val="Hyperlink"/>
            <w:rFonts w:cs="Arial"/>
            <w:i/>
            <w:szCs w:val="18"/>
          </w:rPr>
          <w:t>rosecutions</w:t>
        </w:r>
      </w:hyperlink>
      <w:r w:rsidRPr="006C4FF4">
        <w:rPr>
          <w:rFonts w:cs="Arial"/>
          <w:szCs w:val="18"/>
        </w:rPr>
        <w:t xml:space="preserve">, </w:t>
      </w:r>
      <w:r>
        <w:rPr>
          <w:rFonts w:cs="Arial"/>
          <w:szCs w:val="18"/>
        </w:rPr>
        <w:t xml:space="preserve">Dashboard, </w:t>
      </w:r>
      <w:r w:rsidRPr="006C4FF4">
        <w:rPr>
          <w:rFonts w:cs="Arial"/>
          <w:szCs w:val="18"/>
        </w:rPr>
        <w:t>accessed 1 May 2026.</w:t>
      </w:r>
    </w:p>
  </w:footnote>
  <w:footnote w:id="428">
    <w:p w14:paraId="792ABF81" w14:textId="20709871" w:rsidR="00F244A5" w:rsidRPr="006C4FF4" w:rsidRDefault="00F244A5" w:rsidP="00F244A5">
      <w:pPr>
        <w:pStyle w:val="FootnoteText"/>
        <w:rPr>
          <w:rFonts w:cs="Arial"/>
          <w:szCs w:val="18"/>
        </w:rPr>
      </w:pPr>
      <w:r w:rsidRPr="006C4FF4">
        <w:rPr>
          <w:rStyle w:val="FootnoteReference"/>
          <w:rFonts w:cs="Arial"/>
          <w:szCs w:val="18"/>
        </w:rPr>
        <w:footnoteRef/>
      </w:r>
      <w:r w:rsidRPr="006C4FF4">
        <w:rPr>
          <w:rFonts w:cs="Arial"/>
          <w:szCs w:val="18"/>
        </w:rPr>
        <w:t xml:space="preserve"> R Stewart-Crompton, S Mayman </w:t>
      </w:r>
      <w:r>
        <w:rPr>
          <w:rFonts w:cs="Arial"/>
          <w:szCs w:val="18"/>
        </w:rPr>
        <w:t>and</w:t>
      </w:r>
      <w:r w:rsidRPr="006C4FF4">
        <w:rPr>
          <w:rFonts w:cs="Arial"/>
          <w:szCs w:val="18"/>
        </w:rPr>
        <w:t xml:space="preserve"> B Sherriff, </w:t>
      </w:r>
      <w:hyperlink r:id="rId348" w:history="1">
        <w:r w:rsidRPr="006C4FF4">
          <w:rPr>
            <w:rStyle w:val="Hyperlink"/>
            <w:rFonts w:cs="Arial"/>
            <w:i/>
            <w:szCs w:val="18"/>
          </w:rPr>
          <w:t xml:space="preserve">National </w:t>
        </w:r>
        <w:r w:rsidR="00FB2C40">
          <w:rPr>
            <w:rStyle w:val="Hyperlink"/>
            <w:rFonts w:cs="Arial"/>
            <w:i/>
            <w:szCs w:val="18"/>
          </w:rPr>
          <w:t>R</w:t>
        </w:r>
        <w:r w:rsidRPr="006C4FF4">
          <w:rPr>
            <w:rStyle w:val="Hyperlink"/>
            <w:rFonts w:cs="Arial"/>
            <w:i/>
            <w:szCs w:val="18"/>
          </w:rPr>
          <w:t xml:space="preserve">eview into </w:t>
        </w:r>
        <w:r w:rsidR="00FB2C40">
          <w:rPr>
            <w:rStyle w:val="Hyperlink"/>
            <w:rFonts w:cs="Arial"/>
            <w:i/>
            <w:szCs w:val="18"/>
          </w:rPr>
          <w:t>M</w:t>
        </w:r>
        <w:r w:rsidRPr="006C4FF4">
          <w:rPr>
            <w:rStyle w:val="Hyperlink"/>
            <w:rFonts w:cs="Arial"/>
            <w:i/>
            <w:szCs w:val="18"/>
          </w:rPr>
          <w:t xml:space="preserve">odel </w:t>
        </w:r>
        <w:r w:rsidR="00FB2C40">
          <w:rPr>
            <w:rStyle w:val="Hyperlink"/>
            <w:rFonts w:cs="Arial"/>
            <w:i/>
            <w:szCs w:val="18"/>
          </w:rPr>
          <w:t>O</w:t>
        </w:r>
        <w:r w:rsidRPr="006C4FF4">
          <w:rPr>
            <w:rStyle w:val="Hyperlink"/>
            <w:rFonts w:cs="Arial"/>
            <w:i/>
            <w:szCs w:val="18"/>
          </w:rPr>
          <w:t xml:space="preserve">ccupational </w:t>
        </w:r>
        <w:r w:rsidR="00FB2C40">
          <w:rPr>
            <w:rStyle w:val="Hyperlink"/>
            <w:rFonts w:cs="Arial"/>
            <w:i/>
            <w:szCs w:val="18"/>
          </w:rPr>
          <w:t>H</w:t>
        </w:r>
        <w:r w:rsidRPr="006C4FF4">
          <w:rPr>
            <w:rStyle w:val="Hyperlink"/>
            <w:rFonts w:cs="Arial"/>
            <w:i/>
            <w:szCs w:val="18"/>
          </w:rPr>
          <w:t xml:space="preserve">ealth and </w:t>
        </w:r>
        <w:r w:rsidR="00FB2C40">
          <w:rPr>
            <w:rStyle w:val="Hyperlink"/>
            <w:rFonts w:cs="Arial"/>
            <w:i/>
            <w:szCs w:val="18"/>
          </w:rPr>
          <w:t>S</w:t>
        </w:r>
        <w:r w:rsidRPr="006C4FF4">
          <w:rPr>
            <w:rStyle w:val="Hyperlink"/>
            <w:rFonts w:cs="Arial"/>
            <w:i/>
            <w:szCs w:val="18"/>
          </w:rPr>
          <w:t xml:space="preserve">afety </w:t>
        </w:r>
        <w:r w:rsidR="00FB2C40">
          <w:rPr>
            <w:rStyle w:val="Hyperlink"/>
            <w:rFonts w:cs="Arial"/>
            <w:i/>
            <w:szCs w:val="18"/>
          </w:rPr>
          <w:t>L</w:t>
        </w:r>
        <w:r w:rsidRPr="006C4FF4">
          <w:rPr>
            <w:rStyle w:val="Hyperlink"/>
            <w:rFonts w:cs="Arial"/>
            <w:i/>
            <w:szCs w:val="18"/>
          </w:rPr>
          <w:t xml:space="preserve">aws: </w:t>
        </w:r>
        <w:r w:rsidR="001811D7">
          <w:rPr>
            <w:rStyle w:val="Hyperlink"/>
            <w:rFonts w:cs="Arial"/>
            <w:i/>
            <w:szCs w:val="18"/>
          </w:rPr>
          <w:t>S</w:t>
        </w:r>
        <w:r w:rsidRPr="006C4FF4">
          <w:rPr>
            <w:rStyle w:val="Hyperlink"/>
            <w:rFonts w:cs="Arial"/>
            <w:i/>
            <w:szCs w:val="18"/>
          </w:rPr>
          <w:t>econd report</w:t>
        </w:r>
      </w:hyperlink>
      <w:r w:rsidRPr="006C4FF4">
        <w:rPr>
          <w:rFonts w:cs="Arial"/>
          <w:szCs w:val="18"/>
        </w:rPr>
        <w:t xml:space="preserve">, Department of Employment and Workplace Relations, </w:t>
      </w:r>
      <w:r>
        <w:rPr>
          <w:rFonts w:cs="Arial"/>
          <w:szCs w:val="18"/>
        </w:rPr>
        <w:t xml:space="preserve">Australian Government, </w:t>
      </w:r>
      <w:r w:rsidRPr="006C4FF4">
        <w:rPr>
          <w:rFonts w:cs="Arial"/>
          <w:szCs w:val="18"/>
        </w:rPr>
        <w:t>2009, p 419</w:t>
      </w:r>
      <w:r>
        <w:rPr>
          <w:rFonts w:cs="Arial"/>
          <w:szCs w:val="18"/>
        </w:rPr>
        <w:t>, Table 75.</w:t>
      </w:r>
    </w:p>
  </w:footnote>
  <w:footnote w:id="429">
    <w:p w14:paraId="7801B8E3" w14:textId="07D4D7AB" w:rsidR="00F244A5" w:rsidRPr="006C4FF4" w:rsidRDefault="00F244A5" w:rsidP="00F244A5">
      <w:pPr>
        <w:pStyle w:val="FootnoteText"/>
        <w:rPr>
          <w:rFonts w:cs="Arial"/>
          <w:szCs w:val="18"/>
        </w:rPr>
      </w:pPr>
      <w:r w:rsidRPr="006C4FF4">
        <w:rPr>
          <w:rStyle w:val="FootnoteReference"/>
          <w:rFonts w:cs="Arial"/>
          <w:szCs w:val="18"/>
        </w:rPr>
        <w:footnoteRef/>
      </w:r>
      <w:r w:rsidRPr="006C4FF4">
        <w:rPr>
          <w:rFonts w:cs="Arial"/>
          <w:szCs w:val="18"/>
        </w:rPr>
        <w:t xml:space="preserve"> Previous NSW inquiries into the union right to prosecute prior to the model laws found no evidence of misuse. See NSW </w:t>
      </w:r>
      <w:r w:rsidRPr="00F83DFE">
        <w:rPr>
          <w:rFonts w:cs="Arial"/>
          <w:szCs w:val="18"/>
        </w:rPr>
        <w:t>WorkCover Review, p 64; and Stein Inquiry, pp 127</w:t>
      </w:r>
      <w:r w:rsidR="00FB2C40" w:rsidRPr="00F83DFE">
        <w:rPr>
          <w:rFonts w:ascii="Symbol" w:eastAsia="Symbol" w:hAnsi="Symbol" w:cs="Symbol"/>
          <w:szCs w:val="18"/>
        </w:rPr>
        <w:t>-</w:t>
      </w:r>
      <w:r w:rsidRPr="00F83DFE">
        <w:rPr>
          <w:rFonts w:cs="Arial"/>
          <w:szCs w:val="18"/>
        </w:rPr>
        <w:t>128</w:t>
      </w:r>
      <w:r>
        <w:rPr>
          <w:rFonts w:cs="Arial"/>
          <w:szCs w:val="18"/>
        </w:rPr>
        <w:t>,</w:t>
      </w:r>
      <w:r w:rsidRPr="006C4FF4">
        <w:rPr>
          <w:rFonts w:cs="Arial"/>
          <w:szCs w:val="18"/>
        </w:rPr>
        <w:t xml:space="preserve"> as cited in R Stewart-Crompton, S Mayman </w:t>
      </w:r>
      <w:r>
        <w:rPr>
          <w:rFonts w:cs="Arial"/>
          <w:szCs w:val="18"/>
        </w:rPr>
        <w:t>and</w:t>
      </w:r>
      <w:r w:rsidRPr="006C4FF4">
        <w:rPr>
          <w:rFonts w:cs="Arial"/>
          <w:szCs w:val="18"/>
        </w:rPr>
        <w:t xml:space="preserve"> B Sherriff</w:t>
      </w:r>
      <w:r w:rsidRPr="006C4FF4">
        <w:rPr>
          <w:rFonts w:cs="Arial"/>
          <w:i/>
          <w:szCs w:val="18"/>
        </w:rPr>
        <w:t xml:space="preserve">, </w:t>
      </w:r>
      <w:hyperlink r:id="rId349" w:history="1">
        <w:r w:rsidRPr="006C4FF4">
          <w:rPr>
            <w:rStyle w:val="Hyperlink"/>
            <w:rFonts w:cs="Arial"/>
            <w:i/>
            <w:szCs w:val="18"/>
          </w:rPr>
          <w:t xml:space="preserve">National </w:t>
        </w:r>
        <w:r w:rsidR="00FB2C40">
          <w:rPr>
            <w:rStyle w:val="Hyperlink"/>
            <w:rFonts w:cs="Arial"/>
            <w:i/>
            <w:szCs w:val="18"/>
          </w:rPr>
          <w:t>R</w:t>
        </w:r>
        <w:r w:rsidRPr="006C4FF4">
          <w:rPr>
            <w:rStyle w:val="Hyperlink"/>
            <w:rFonts w:cs="Arial"/>
            <w:i/>
            <w:szCs w:val="18"/>
          </w:rPr>
          <w:t xml:space="preserve">eview into </w:t>
        </w:r>
        <w:r w:rsidR="00FB2C40">
          <w:rPr>
            <w:rStyle w:val="Hyperlink"/>
            <w:rFonts w:cs="Arial"/>
            <w:i/>
            <w:szCs w:val="18"/>
          </w:rPr>
          <w:t>M</w:t>
        </w:r>
        <w:r w:rsidRPr="006C4FF4">
          <w:rPr>
            <w:rStyle w:val="Hyperlink"/>
            <w:rFonts w:cs="Arial"/>
            <w:i/>
            <w:szCs w:val="18"/>
          </w:rPr>
          <w:t xml:space="preserve">odel </w:t>
        </w:r>
        <w:r w:rsidR="00FB2C40">
          <w:rPr>
            <w:rStyle w:val="Hyperlink"/>
            <w:rFonts w:cs="Arial"/>
            <w:i/>
            <w:szCs w:val="18"/>
          </w:rPr>
          <w:t>O</w:t>
        </w:r>
        <w:r w:rsidRPr="006C4FF4">
          <w:rPr>
            <w:rStyle w:val="Hyperlink"/>
            <w:rFonts w:cs="Arial"/>
            <w:i/>
            <w:szCs w:val="18"/>
          </w:rPr>
          <w:t xml:space="preserve">ccupational </w:t>
        </w:r>
        <w:r w:rsidR="00FB2C40">
          <w:rPr>
            <w:rStyle w:val="Hyperlink"/>
            <w:rFonts w:cs="Arial"/>
            <w:i/>
            <w:szCs w:val="18"/>
          </w:rPr>
          <w:t>H</w:t>
        </w:r>
        <w:r w:rsidRPr="006C4FF4">
          <w:rPr>
            <w:rStyle w:val="Hyperlink"/>
            <w:rFonts w:cs="Arial"/>
            <w:i/>
            <w:szCs w:val="18"/>
          </w:rPr>
          <w:t xml:space="preserve">ealth and </w:t>
        </w:r>
        <w:r w:rsidR="00FB2C40">
          <w:rPr>
            <w:rStyle w:val="Hyperlink"/>
            <w:rFonts w:cs="Arial"/>
            <w:i/>
            <w:szCs w:val="18"/>
          </w:rPr>
          <w:t>S</w:t>
        </w:r>
        <w:r w:rsidRPr="006C4FF4">
          <w:rPr>
            <w:rStyle w:val="Hyperlink"/>
            <w:rFonts w:cs="Arial"/>
            <w:i/>
            <w:szCs w:val="18"/>
          </w:rPr>
          <w:t xml:space="preserve">afety </w:t>
        </w:r>
        <w:r w:rsidR="00FB2C40">
          <w:rPr>
            <w:rStyle w:val="Hyperlink"/>
            <w:rFonts w:cs="Arial"/>
            <w:i/>
            <w:szCs w:val="18"/>
          </w:rPr>
          <w:t>L</w:t>
        </w:r>
        <w:r w:rsidRPr="006C4FF4">
          <w:rPr>
            <w:rStyle w:val="Hyperlink"/>
            <w:rFonts w:cs="Arial"/>
            <w:i/>
            <w:szCs w:val="18"/>
          </w:rPr>
          <w:t xml:space="preserve">aws: </w:t>
        </w:r>
        <w:r w:rsidR="00972320">
          <w:rPr>
            <w:rStyle w:val="Hyperlink"/>
            <w:rFonts w:cs="Arial"/>
            <w:i/>
            <w:szCs w:val="18"/>
          </w:rPr>
          <w:t>S</w:t>
        </w:r>
        <w:r w:rsidRPr="006C4FF4">
          <w:rPr>
            <w:rStyle w:val="Hyperlink"/>
            <w:rFonts w:cs="Arial"/>
            <w:i/>
            <w:szCs w:val="18"/>
          </w:rPr>
          <w:t>econd report</w:t>
        </w:r>
      </w:hyperlink>
      <w:r w:rsidRPr="006C4FF4">
        <w:rPr>
          <w:rFonts w:cs="Arial"/>
          <w:i/>
          <w:szCs w:val="18"/>
        </w:rPr>
        <w:t xml:space="preserve">, </w:t>
      </w:r>
      <w:r w:rsidRPr="006C4FF4">
        <w:rPr>
          <w:rFonts w:cs="Arial"/>
          <w:szCs w:val="18"/>
        </w:rPr>
        <w:t xml:space="preserve">Department of Employment and Workplace Relations, </w:t>
      </w:r>
      <w:r>
        <w:rPr>
          <w:rFonts w:cs="Arial"/>
          <w:szCs w:val="18"/>
        </w:rPr>
        <w:t xml:space="preserve">Australian Government, </w:t>
      </w:r>
      <w:r w:rsidRPr="006C4FF4">
        <w:rPr>
          <w:rFonts w:cs="Arial"/>
          <w:szCs w:val="18"/>
        </w:rPr>
        <w:t>2009</w:t>
      </w:r>
      <w:r>
        <w:rPr>
          <w:rFonts w:cs="Arial"/>
          <w:szCs w:val="18"/>
        </w:rPr>
        <w:t>,</w:t>
      </w:r>
      <w:r w:rsidRPr="006C4FF4">
        <w:rPr>
          <w:rFonts w:cs="Arial"/>
          <w:szCs w:val="18"/>
        </w:rPr>
        <w:t xml:space="preserve"> p 421.</w:t>
      </w:r>
    </w:p>
  </w:footnote>
  <w:footnote w:id="430">
    <w:p w14:paraId="751ED492" w14:textId="1DBE9129" w:rsidR="00F244A5" w:rsidRPr="006C4FF4" w:rsidRDefault="00F244A5" w:rsidP="00F244A5">
      <w:pPr>
        <w:pStyle w:val="FootnoteText"/>
        <w:rPr>
          <w:rFonts w:cs="Arial"/>
          <w:szCs w:val="18"/>
        </w:rPr>
      </w:pPr>
      <w:r w:rsidRPr="00F83DFE">
        <w:rPr>
          <w:rStyle w:val="FootnoteReference"/>
          <w:rFonts w:cs="Arial"/>
          <w:szCs w:val="18"/>
        </w:rPr>
        <w:footnoteRef/>
      </w:r>
      <w:r w:rsidRPr="00F83DFE">
        <w:rPr>
          <w:rFonts w:cs="Arial"/>
          <w:szCs w:val="18"/>
        </w:rPr>
        <w:t xml:space="preserve"> R Guthrie</w:t>
      </w:r>
      <w:r w:rsidRPr="00F83DFE" w:rsidDel="00E54D55">
        <w:rPr>
          <w:rFonts w:cs="Arial"/>
          <w:szCs w:val="18"/>
        </w:rPr>
        <w:t xml:space="preserve">, </w:t>
      </w:r>
      <w:r w:rsidRPr="00F83DFE">
        <w:rPr>
          <w:rFonts w:cs="Arial"/>
          <w:szCs w:val="18"/>
        </w:rPr>
        <w:t xml:space="preserve">and A Bunn, </w:t>
      </w:r>
      <w:r w:rsidR="00F83DFE" w:rsidRPr="00854339">
        <w:rPr>
          <w:rFonts w:cs="Arial"/>
          <w:szCs w:val="18"/>
        </w:rPr>
        <w:t>‘</w:t>
      </w:r>
      <w:r w:rsidRPr="00354DCC">
        <w:rPr>
          <w:rFonts w:cs="Arial"/>
          <w:iCs/>
          <w:szCs w:val="18"/>
        </w:rPr>
        <w:t xml:space="preserve">Occupational </w:t>
      </w:r>
      <w:r w:rsidR="00FB2C40" w:rsidRPr="00354DCC">
        <w:rPr>
          <w:rFonts w:cs="Arial"/>
          <w:iCs/>
          <w:szCs w:val="18"/>
        </w:rPr>
        <w:t>h</w:t>
      </w:r>
      <w:r w:rsidRPr="00354DCC">
        <w:rPr>
          <w:rFonts w:cs="Arial"/>
          <w:iCs/>
          <w:szCs w:val="18"/>
        </w:rPr>
        <w:t xml:space="preserve">ealth and </w:t>
      </w:r>
      <w:r w:rsidR="00FB2C40" w:rsidRPr="00354DCC">
        <w:rPr>
          <w:rFonts w:cs="Arial"/>
          <w:iCs/>
          <w:szCs w:val="18"/>
        </w:rPr>
        <w:t>s</w:t>
      </w:r>
      <w:r w:rsidRPr="00354DCC">
        <w:rPr>
          <w:rFonts w:cs="Arial"/>
          <w:iCs/>
          <w:szCs w:val="18"/>
        </w:rPr>
        <w:t xml:space="preserve">afety in the </w:t>
      </w:r>
      <w:r w:rsidR="00FB2C40" w:rsidRPr="00354DCC">
        <w:rPr>
          <w:rFonts w:cs="Arial"/>
          <w:iCs/>
          <w:szCs w:val="18"/>
        </w:rPr>
        <w:t>b</w:t>
      </w:r>
      <w:r w:rsidRPr="00354DCC">
        <w:rPr>
          <w:rFonts w:cs="Arial"/>
          <w:iCs/>
          <w:szCs w:val="18"/>
        </w:rPr>
        <w:t xml:space="preserve">anking </w:t>
      </w:r>
      <w:r w:rsidR="00FB2C40" w:rsidRPr="00354DCC">
        <w:rPr>
          <w:rFonts w:cs="Arial"/>
          <w:iCs/>
          <w:szCs w:val="18"/>
        </w:rPr>
        <w:t>i</w:t>
      </w:r>
      <w:r w:rsidRPr="00354DCC">
        <w:rPr>
          <w:rFonts w:cs="Arial"/>
          <w:iCs/>
          <w:szCs w:val="18"/>
        </w:rPr>
        <w:t>ndustry</w:t>
      </w:r>
      <w:r w:rsidR="00F83DFE" w:rsidRPr="00854339">
        <w:rPr>
          <w:rFonts w:cs="Arial"/>
          <w:iCs/>
          <w:szCs w:val="18"/>
        </w:rPr>
        <w:t>’</w:t>
      </w:r>
      <w:r w:rsidRPr="00F83DFE">
        <w:rPr>
          <w:rFonts w:cs="Arial"/>
          <w:szCs w:val="18"/>
        </w:rPr>
        <w:t xml:space="preserve">, </w:t>
      </w:r>
      <w:r w:rsidRPr="00354DCC">
        <w:rPr>
          <w:rFonts w:cs="Arial"/>
          <w:i/>
          <w:iCs/>
          <w:szCs w:val="18"/>
        </w:rPr>
        <w:t xml:space="preserve">Legal Issues </w:t>
      </w:r>
      <w:r w:rsidR="00354DCC">
        <w:rPr>
          <w:rFonts w:cs="Arial"/>
          <w:i/>
          <w:iCs/>
          <w:szCs w:val="18"/>
        </w:rPr>
        <w:t>i</w:t>
      </w:r>
      <w:r w:rsidRPr="00354DCC">
        <w:rPr>
          <w:rFonts w:cs="Arial"/>
          <w:i/>
          <w:iCs/>
          <w:szCs w:val="18"/>
        </w:rPr>
        <w:t>n Business</w:t>
      </w:r>
      <w:r w:rsidRPr="00F83DFE">
        <w:rPr>
          <w:rFonts w:cs="Arial"/>
          <w:szCs w:val="18"/>
        </w:rPr>
        <w:t xml:space="preserve">, 2009, </w:t>
      </w:r>
      <w:r w:rsidR="00F83DFE" w:rsidRPr="00854339">
        <w:rPr>
          <w:rFonts w:cs="Arial"/>
          <w:szCs w:val="18"/>
        </w:rPr>
        <w:t>11:</w:t>
      </w:r>
      <w:r w:rsidRPr="00F83DFE">
        <w:rPr>
          <w:rFonts w:cs="Arial"/>
          <w:szCs w:val="18"/>
        </w:rPr>
        <w:t>79: banks introduced control measures still in wide use today in response to cases, including bullet-resistant barriers, rising security screens, armed guards and anti-jump barriers.</w:t>
      </w:r>
    </w:p>
  </w:footnote>
  <w:footnote w:id="431">
    <w:p w14:paraId="3ACDEBD6" w14:textId="77777777" w:rsidR="00F244A5" w:rsidRPr="006C4FF4" w:rsidRDefault="00F244A5" w:rsidP="00F244A5">
      <w:pPr>
        <w:pStyle w:val="FootnoteText"/>
        <w:rPr>
          <w:rFonts w:cs="Arial"/>
          <w:szCs w:val="18"/>
        </w:rPr>
      </w:pPr>
      <w:r w:rsidRPr="006C4FF4">
        <w:rPr>
          <w:rStyle w:val="FootnoteReference"/>
          <w:rFonts w:cs="Arial"/>
          <w:szCs w:val="18"/>
        </w:rPr>
        <w:footnoteRef/>
      </w:r>
      <w:r w:rsidRPr="006C4FF4">
        <w:rPr>
          <w:rFonts w:cs="Arial"/>
          <w:szCs w:val="18"/>
        </w:rPr>
        <w:t xml:space="preserve"> This Review could only find cases from as recent as 2015; and WorkSafe New Zealand indicated </w:t>
      </w:r>
      <w:r>
        <w:rPr>
          <w:rFonts w:cs="Arial"/>
          <w:szCs w:val="18"/>
        </w:rPr>
        <w:t xml:space="preserve">it was </w:t>
      </w:r>
      <w:r w:rsidRPr="006C4FF4">
        <w:rPr>
          <w:rFonts w:cs="Arial"/>
          <w:szCs w:val="18"/>
        </w:rPr>
        <w:t>not aware of recent ones</w:t>
      </w:r>
      <w:r>
        <w:rPr>
          <w:rFonts w:cs="Arial"/>
          <w:szCs w:val="18"/>
        </w:rPr>
        <w:t>,</w:t>
      </w:r>
      <w:r w:rsidRPr="006C4FF4">
        <w:rPr>
          <w:rFonts w:cs="Arial"/>
          <w:szCs w:val="18"/>
        </w:rPr>
        <w:t xml:space="preserve"> although </w:t>
      </w:r>
      <w:r>
        <w:rPr>
          <w:rFonts w:cs="Arial"/>
          <w:szCs w:val="18"/>
        </w:rPr>
        <w:t xml:space="preserve">it does </w:t>
      </w:r>
      <w:r w:rsidRPr="006C4FF4">
        <w:rPr>
          <w:rFonts w:cs="Arial"/>
          <w:szCs w:val="18"/>
        </w:rPr>
        <w:t>not keep track.</w:t>
      </w:r>
    </w:p>
  </w:footnote>
  <w:footnote w:id="432">
    <w:p w14:paraId="08DD41E5" w14:textId="77777777" w:rsidR="00F244A5" w:rsidRPr="006C4FF4" w:rsidRDefault="00F244A5" w:rsidP="00F244A5">
      <w:pPr>
        <w:pStyle w:val="FootnoteText"/>
        <w:rPr>
          <w:rFonts w:cs="Arial"/>
          <w:szCs w:val="18"/>
        </w:rPr>
      </w:pPr>
      <w:r w:rsidRPr="006C4FF4">
        <w:rPr>
          <w:rStyle w:val="FootnoteReference"/>
          <w:rFonts w:cs="Arial"/>
          <w:szCs w:val="18"/>
        </w:rPr>
        <w:footnoteRef/>
      </w:r>
      <w:r w:rsidRPr="006C4FF4">
        <w:rPr>
          <w:rFonts w:cs="Arial"/>
          <w:szCs w:val="18"/>
        </w:rPr>
        <w:t xml:space="preserve"> Meeting with WorkSafe New Zealand, 8 April 2026.</w:t>
      </w:r>
    </w:p>
  </w:footnote>
  <w:footnote w:id="433">
    <w:p w14:paraId="2B3596CE" w14:textId="56D37D95" w:rsidR="00F244A5" w:rsidRPr="006C4FF4" w:rsidRDefault="00F244A5" w:rsidP="00F244A5">
      <w:pPr>
        <w:pStyle w:val="FootnoteText"/>
        <w:rPr>
          <w:rFonts w:cs="Arial"/>
        </w:rPr>
      </w:pPr>
      <w:r w:rsidRPr="006C4FF4">
        <w:rPr>
          <w:rStyle w:val="FootnoteReference"/>
          <w:rFonts w:cs="Arial"/>
        </w:rPr>
        <w:footnoteRef/>
      </w:r>
      <w:r w:rsidRPr="006C4FF4">
        <w:rPr>
          <w:rFonts w:cs="Arial"/>
        </w:rPr>
        <w:t xml:space="preserve"> For example, in </w:t>
      </w:r>
      <w:r w:rsidRPr="006C4FF4">
        <w:rPr>
          <w:rFonts w:cs="Arial"/>
          <w:i/>
        </w:rPr>
        <w:t>Thompson v R (Private Prosecution)</w:t>
      </w:r>
      <w:r w:rsidRPr="006C4FF4">
        <w:rPr>
          <w:rFonts w:cs="Arial"/>
        </w:rPr>
        <w:t xml:space="preserve"> [2007] NZAR 722 (HC) [24]</w:t>
      </w:r>
      <w:r w:rsidRPr="006C4FF4" w:rsidDel="00E54D55">
        <w:rPr>
          <w:rFonts w:cs="Arial"/>
        </w:rPr>
        <w:t xml:space="preserve"> </w:t>
      </w:r>
      <w:r w:rsidRPr="006C4FF4">
        <w:rPr>
          <w:rFonts w:cs="Arial"/>
        </w:rPr>
        <w:t>the judge refused leave to commence a private prosecution in part because the question of whether charges should be laid became ‘inextricably woven’ with a proposal for payment for large sums of money to avoid the prosecution.</w:t>
      </w:r>
    </w:p>
  </w:footnote>
  <w:footnote w:id="434">
    <w:p w14:paraId="41E7218C" w14:textId="0E038D27" w:rsidR="00F244A5" w:rsidRPr="006C4FF4" w:rsidRDefault="00F244A5" w:rsidP="00F244A5">
      <w:pPr>
        <w:pStyle w:val="FootnoteText"/>
        <w:rPr>
          <w:rFonts w:cs="Arial"/>
        </w:rPr>
      </w:pPr>
      <w:r w:rsidRPr="006C4FF4">
        <w:rPr>
          <w:rStyle w:val="FootnoteReference"/>
          <w:rFonts w:cs="Arial"/>
        </w:rPr>
        <w:footnoteRef/>
      </w:r>
      <w:r w:rsidRPr="006C4FF4">
        <w:rPr>
          <w:rFonts w:cs="Arial"/>
        </w:rPr>
        <w:t xml:space="preserve"> For example, in </w:t>
      </w:r>
      <w:r>
        <w:rPr>
          <w:rFonts w:cs="Arial"/>
        </w:rPr>
        <w:t xml:space="preserve">Queensland, </w:t>
      </w:r>
      <w:r w:rsidRPr="006C4FF4">
        <w:rPr>
          <w:rFonts w:cs="Arial"/>
        </w:rPr>
        <w:t>judges have discretionary powers to issue a justice’s summons or grant leave for private prosecutors to bring a criminal proceeding</w:t>
      </w:r>
      <w:r>
        <w:rPr>
          <w:rFonts w:cs="Arial"/>
        </w:rPr>
        <w:t>:</w:t>
      </w:r>
      <w:r w:rsidRPr="006C4FF4">
        <w:rPr>
          <w:rFonts w:cs="Arial"/>
        </w:rPr>
        <w:t xml:space="preserve"> </w:t>
      </w:r>
      <w:r w:rsidRPr="006C4FF4">
        <w:rPr>
          <w:rFonts w:cs="Arial"/>
          <w:i/>
        </w:rPr>
        <w:t xml:space="preserve">Justices Act 1886 </w:t>
      </w:r>
      <w:r w:rsidRPr="006C4FF4">
        <w:rPr>
          <w:rFonts w:cs="Arial"/>
        </w:rPr>
        <w:t xml:space="preserve">(Qld), s 53; </w:t>
      </w:r>
      <w:r w:rsidRPr="006C4FF4">
        <w:rPr>
          <w:rFonts w:cs="Arial"/>
          <w:i/>
        </w:rPr>
        <w:t xml:space="preserve">Criminal Code Act 1899 </w:t>
      </w:r>
      <w:r w:rsidRPr="006C4FF4">
        <w:rPr>
          <w:rFonts w:cs="Arial"/>
        </w:rPr>
        <w:t xml:space="preserve">(Qld), s 686. Defendants to private prosecutions can also bring applications before evidence is led for the </w:t>
      </w:r>
      <w:r>
        <w:rPr>
          <w:rFonts w:cs="Arial"/>
        </w:rPr>
        <w:t>m</w:t>
      </w:r>
      <w:r w:rsidRPr="006C4FF4">
        <w:rPr>
          <w:rFonts w:cs="Arial"/>
        </w:rPr>
        <w:t>agistrate to dismiss the proceeding if it an abuse of process, frivolous or vexatious</w:t>
      </w:r>
      <w:r>
        <w:rPr>
          <w:rFonts w:cs="Arial"/>
        </w:rPr>
        <w:t>:</w:t>
      </w:r>
      <w:r w:rsidRPr="006C4FF4">
        <w:rPr>
          <w:rFonts w:cs="Arial"/>
        </w:rPr>
        <w:t xml:space="preserve"> </w:t>
      </w:r>
      <w:r w:rsidRPr="006C4FF4">
        <w:rPr>
          <w:rFonts w:cs="Arial"/>
          <w:i/>
        </w:rPr>
        <w:t xml:space="preserve">Justices Act 1886 </w:t>
      </w:r>
      <w:r w:rsidRPr="006C4FF4">
        <w:rPr>
          <w:rFonts w:cs="Arial"/>
        </w:rPr>
        <w:t>(Qld), s 102C.</w:t>
      </w:r>
    </w:p>
  </w:footnote>
  <w:footnote w:id="435">
    <w:p w14:paraId="5AFEC0FD" w14:textId="174751A9" w:rsidR="00F244A5" w:rsidRPr="003D43E6" w:rsidRDefault="00F244A5" w:rsidP="00F244A5">
      <w:pPr>
        <w:pStyle w:val="FootnoteText"/>
        <w:jc w:val="both"/>
        <w:rPr>
          <w:rFonts w:cs="Arial"/>
        </w:rPr>
      </w:pPr>
      <w:r w:rsidRPr="006C4FF4">
        <w:rPr>
          <w:rStyle w:val="FootnoteReference"/>
          <w:rFonts w:cs="Arial"/>
        </w:rPr>
        <w:footnoteRef/>
      </w:r>
      <w:r w:rsidRPr="006C4FF4">
        <w:rPr>
          <w:rFonts w:cs="Arial"/>
        </w:rPr>
        <w:t xml:space="preserve"> ILO, </w:t>
      </w:r>
      <w:r w:rsidRPr="00854339">
        <w:rPr>
          <w:rFonts w:cs="Arial"/>
          <w:i/>
        </w:rPr>
        <w:t>Declaration on Fundamental Principles and Rights of Work and its Follow-up</w:t>
      </w:r>
      <w:r>
        <w:rPr>
          <w:rFonts w:cs="Arial"/>
          <w:iCs/>
        </w:rPr>
        <w:t>,</w:t>
      </w:r>
      <w:r w:rsidRPr="006C4FF4">
        <w:rPr>
          <w:rFonts w:cs="Arial"/>
          <w:i/>
        </w:rPr>
        <w:t xml:space="preserve"> </w:t>
      </w:r>
      <w:r w:rsidRPr="00D412CD">
        <w:rPr>
          <w:rFonts w:cs="Arial"/>
        </w:rPr>
        <w:t xml:space="preserve">adopted by the </w:t>
      </w:r>
      <w:r>
        <w:rPr>
          <w:rFonts w:cs="Arial"/>
          <w:iCs/>
        </w:rPr>
        <w:t>ILO,</w:t>
      </w:r>
      <w:r w:rsidRPr="00D412CD" w:rsidDel="00E54D55">
        <w:rPr>
          <w:rFonts w:cs="Arial"/>
        </w:rPr>
        <w:t xml:space="preserve"> </w:t>
      </w:r>
      <w:r>
        <w:rPr>
          <w:rFonts w:cs="Arial"/>
          <w:iCs/>
        </w:rPr>
        <w:t>86th s</w:t>
      </w:r>
      <w:r w:rsidRPr="00EE3B5E">
        <w:rPr>
          <w:rFonts w:cs="Arial"/>
          <w:iCs/>
        </w:rPr>
        <w:t>ession</w:t>
      </w:r>
      <w:r w:rsidRPr="00E54D55">
        <w:rPr>
          <w:rFonts w:cs="Arial"/>
          <w:iCs/>
        </w:rPr>
        <w:t>, Geneva, 18 June 1998</w:t>
      </w:r>
      <w:r w:rsidRPr="006C4FF4">
        <w:rPr>
          <w:rFonts w:cs="Arial"/>
        </w:rPr>
        <w:t>.</w:t>
      </w:r>
    </w:p>
  </w:footnote>
  <w:footnote w:id="436">
    <w:p w14:paraId="7A3E8E89" w14:textId="4A71A0F5" w:rsidR="00F244A5" w:rsidRPr="006C4FF4" w:rsidRDefault="00F244A5" w:rsidP="00F244A5">
      <w:pPr>
        <w:pStyle w:val="FootnoteText"/>
        <w:rPr>
          <w:rFonts w:cs="Arial"/>
          <w:szCs w:val="18"/>
        </w:rPr>
      </w:pPr>
      <w:r w:rsidRPr="006C4FF4">
        <w:rPr>
          <w:rStyle w:val="FootnoteReference"/>
          <w:rFonts w:cs="Arial"/>
          <w:szCs w:val="18"/>
        </w:rPr>
        <w:footnoteRef/>
      </w:r>
      <w:r w:rsidRPr="006C4FF4">
        <w:rPr>
          <w:rFonts w:cs="Arial"/>
          <w:szCs w:val="18"/>
        </w:rPr>
        <w:t xml:space="preserve"> NSW Office of the Director of Public Prosecutions, </w:t>
      </w:r>
      <w:hyperlink r:id="rId350" w:history="1">
        <w:r w:rsidRPr="00D412CD">
          <w:rPr>
            <w:rStyle w:val="Hyperlink"/>
            <w:rFonts w:cs="Arial"/>
            <w:i/>
            <w:szCs w:val="18"/>
          </w:rPr>
          <w:t xml:space="preserve">Prosecution </w:t>
        </w:r>
        <w:r w:rsidR="000D5322">
          <w:rPr>
            <w:rStyle w:val="Hyperlink"/>
            <w:rFonts w:cs="Arial"/>
            <w:i/>
            <w:szCs w:val="18"/>
          </w:rPr>
          <w:t>g</w:t>
        </w:r>
        <w:r w:rsidRPr="00D412CD">
          <w:rPr>
            <w:rStyle w:val="Hyperlink"/>
            <w:rFonts w:cs="Arial"/>
            <w:i/>
            <w:szCs w:val="18"/>
          </w:rPr>
          <w:t>uidelines</w:t>
        </w:r>
      </w:hyperlink>
      <w:r w:rsidRPr="006C4FF4">
        <w:rPr>
          <w:rFonts w:cs="Arial"/>
          <w:szCs w:val="18"/>
        </w:rPr>
        <w:t xml:space="preserve">, </w:t>
      </w:r>
      <w:r>
        <w:rPr>
          <w:rFonts w:cs="Arial"/>
          <w:szCs w:val="18"/>
        </w:rPr>
        <w:t xml:space="preserve">NSW DPP, 2021, </w:t>
      </w:r>
      <w:r w:rsidRPr="006C4FF4">
        <w:rPr>
          <w:rFonts w:cs="Arial"/>
          <w:szCs w:val="18"/>
        </w:rPr>
        <w:t>Ch</w:t>
      </w:r>
      <w:r>
        <w:rPr>
          <w:rFonts w:cs="Arial"/>
          <w:szCs w:val="18"/>
        </w:rPr>
        <w:t xml:space="preserve"> </w:t>
      </w:r>
      <w:r w:rsidRPr="006C4FF4">
        <w:rPr>
          <w:rFonts w:cs="Arial"/>
          <w:szCs w:val="18"/>
        </w:rPr>
        <w:t>7.</w:t>
      </w:r>
    </w:p>
  </w:footnote>
  <w:footnote w:id="437">
    <w:p w14:paraId="4CEF1BCC" w14:textId="77777777" w:rsidR="00F244A5" w:rsidRPr="006C4FF4" w:rsidRDefault="00F244A5" w:rsidP="00F244A5">
      <w:pPr>
        <w:pStyle w:val="FootnoteText"/>
        <w:rPr>
          <w:rFonts w:cs="Arial"/>
          <w:szCs w:val="18"/>
          <w:highlight w:val="yellow"/>
        </w:rPr>
      </w:pPr>
      <w:r w:rsidRPr="006C4FF4">
        <w:rPr>
          <w:rStyle w:val="FootnoteReference"/>
          <w:rFonts w:cs="Arial"/>
          <w:szCs w:val="18"/>
        </w:rPr>
        <w:footnoteRef/>
      </w:r>
      <w:r w:rsidRPr="006C4FF4">
        <w:rPr>
          <w:rFonts w:cs="Arial"/>
          <w:szCs w:val="18"/>
        </w:rPr>
        <w:t xml:space="preserve"> </w:t>
      </w:r>
      <w:r w:rsidRPr="006C4FF4">
        <w:rPr>
          <w:rFonts w:cs="Arial"/>
          <w:i/>
          <w:szCs w:val="18"/>
        </w:rPr>
        <w:t xml:space="preserve">Health and Safety at Work Act 2015 </w:t>
      </w:r>
      <w:r w:rsidRPr="006C4FF4">
        <w:rPr>
          <w:rFonts w:cs="Arial"/>
          <w:szCs w:val="18"/>
        </w:rPr>
        <w:t>(NZ), s 144.</w:t>
      </w:r>
    </w:p>
  </w:footnote>
  <w:footnote w:id="438">
    <w:p w14:paraId="2CAFCC71" w14:textId="29C4A792" w:rsidR="00BF2FAC" w:rsidRPr="006C4FF4" w:rsidRDefault="00BF2FAC" w:rsidP="00BF2FAC">
      <w:pPr>
        <w:pStyle w:val="FootnoteText"/>
        <w:rPr>
          <w:rFonts w:cs="Arial"/>
        </w:rPr>
      </w:pPr>
      <w:r w:rsidRPr="006C4FF4">
        <w:rPr>
          <w:rStyle w:val="FootnoteReference"/>
          <w:rFonts w:cs="Arial"/>
        </w:rPr>
        <w:footnoteRef/>
      </w:r>
      <w:r w:rsidRPr="006C4FF4">
        <w:rPr>
          <w:rFonts w:cs="Arial"/>
        </w:rPr>
        <w:t xml:space="preserve"> ACTU Submission, pp 25</w:t>
      </w:r>
      <w:r w:rsidR="000D5322">
        <w:rPr>
          <w:rFonts w:ascii="Symbol" w:eastAsia="Symbol" w:hAnsi="Symbol" w:cs="Symbol"/>
        </w:rPr>
        <w:t>-</w:t>
      </w:r>
      <w:r w:rsidRPr="006C4FF4">
        <w:rPr>
          <w:rFonts w:cs="Arial"/>
        </w:rPr>
        <w:t>27</w:t>
      </w:r>
      <w:r>
        <w:rPr>
          <w:rFonts w:cs="Arial"/>
        </w:rPr>
        <w:t xml:space="preserve">, </w:t>
      </w:r>
      <w:r w:rsidRPr="006C4FF4">
        <w:rPr>
          <w:rFonts w:cs="Arial"/>
        </w:rPr>
        <w:t>Appendix 1, p</w:t>
      </w:r>
      <w:r>
        <w:rPr>
          <w:rFonts w:cs="Arial"/>
        </w:rPr>
        <w:t xml:space="preserve"> </w:t>
      </w:r>
      <w:r w:rsidRPr="006C4FF4">
        <w:rPr>
          <w:rFonts w:cs="Arial"/>
        </w:rPr>
        <w:t>4</w:t>
      </w:r>
      <w:r>
        <w:rPr>
          <w:rFonts w:cs="Arial"/>
        </w:rPr>
        <w:t>.</w:t>
      </w:r>
    </w:p>
  </w:footnote>
  <w:footnote w:id="439">
    <w:p w14:paraId="6F42E616" w14:textId="45041F3B" w:rsidR="00BF2FAC" w:rsidRPr="006C4FF4" w:rsidRDefault="00BF2FAC" w:rsidP="00BF2FAC">
      <w:pPr>
        <w:pStyle w:val="FootnoteText"/>
        <w:rPr>
          <w:rFonts w:cs="Arial"/>
        </w:rPr>
      </w:pPr>
      <w:r w:rsidRPr="006C4FF4">
        <w:rPr>
          <w:rStyle w:val="FootnoteReference"/>
          <w:rFonts w:cs="Arial"/>
        </w:rPr>
        <w:footnoteRef/>
      </w:r>
      <w:r w:rsidRPr="006C4FF4">
        <w:rPr>
          <w:rFonts w:cs="Arial"/>
        </w:rPr>
        <w:t xml:space="preserve"> Model WHS Act, ss 123</w:t>
      </w:r>
      <w:r w:rsidR="000D5322">
        <w:rPr>
          <w:rFonts w:ascii="Symbol" w:eastAsia="Symbol" w:hAnsi="Symbol" w:cs="Symbol"/>
        </w:rPr>
        <w:t>-</w:t>
      </w:r>
      <w:r w:rsidRPr="006C4FF4">
        <w:rPr>
          <w:rFonts w:cs="Arial"/>
        </w:rPr>
        <w:t>126</w:t>
      </w:r>
      <w:r>
        <w:rPr>
          <w:rFonts w:cs="Arial"/>
        </w:rPr>
        <w:t>,</w:t>
      </w:r>
      <w:r w:rsidRPr="006C4FF4">
        <w:rPr>
          <w:rFonts w:cs="Arial"/>
        </w:rPr>
        <w:t>128</w:t>
      </w:r>
      <w:r w:rsidR="000D5322">
        <w:rPr>
          <w:rFonts w:ascii="Symbol" w:eastAsia="Symbol" w:hAnsi="Symbol" w:cs="Symbol"/>
        </w:rPr>
        <w:t>-</w:t>
      </w:r>
      <w:r w:rsidRPr="006C4FF4">
        <w:rPr>
          <w:rFonts w:cs="Arial"/>
        </w:rPr>
        <w:t>129</w:t>
      </w:r>
      <w:r w:rsidR="000D5322">
        <w:rPr>
          <w:rFonts w:cs="Arial"/>
        </w:rPr>
        <w:t>.</w:t>
      </w:r>
    </w:p>
  </w:footnote>
  <w:footnote w:id="440">
    <w:p w14:paraId="7481CE6E" w14:textId="28E8F189" w:rsidR="00BF2FAC" w:rsidRPr="006C4FF4" w:rsidRDefault="00BF2FAC" w:rsidP="00BF2FAC">
      <w:pPr>
        <w:pStyle w:val="FootnoteText"/>
        <w:rPr>
          <w:rFonts w:cs="Arial"/>
        </w:rPr>
      </w:pPr>
      <w:r w:rsidRPr="006C4FF4">
        <w:rPr>
          <w:rStyle w:val="FootnoteReference"/>
          <w:rFonts w:cs="Arial"/>
        </w:rPr>
        <w:footnoteRef/>
      </w:r>
      <w:r w:rsidRPr="006C4FF4">
        <w:rPr>
          <w:rFonts w:cs="Arial"/>
        </w:rPr>
        <w:t xml:space="preserve"> Model WHS Act</w:t>
      </w:r>
      <w:r>
        <w:rPr>
          <w:rFonts w:cs="Arial"/>
        </w:rPr>
        <w:t>,</w:t>
      </w:r>
      <w:r w:rsidRPr="006C4FF4">
        <w:rPr>
          <w:rFonts w:cs="Arial"/>
        </w:rPr>
        <w:t xml:space="preserve"> ss 118(3), 143, 144(1), 145</w:t>
      </w:r>
      <w:r w:rsidR="000D5322">
        <w:rPr>
          <w:rFonts w:ascii="Symbol" w:eastAsia="Symbol" w:hAnsi="Symbol" w:cs="Symbol"/>
        </w:rPr>
        <w:t>-</w:t>
      </w:r>
      <w:r w:rsidRPr="006C4FF4">
        <w:rPr>
          <w:rFonts w:cs="Arial"/>
        </w:rPr>
        <w:t>146, 147(1)(b), 148(e), 149(1) and 150(c).</w:t>
      </w:r>
    </w:p>
  </w:footnote>
  <w:footnote w:id="441">
    <w:p w14:paraId="32D9364B" w14:textId="23969EBC" w:rsidR="00BF2FAC" w:rsidRPr="006C4FF4" w:rsidRDefault="00BF2FAC" w:rsidP="00BF2FAC">
      <w:pPr>
        <w:pStyle w:val="FootnoteText"/>
        <w:rPr>
          <w:rFonts w:cs="Arial"/>
        </w:rPr>
      </w:pPr>
      <w:r w:rsidRPr="006C4FF4">
        <w:rPr>
          <w:rStyle w:val="FootnoteReference"/>
          <w:rFonts w:cs="Arial"/>
        </w:rPr>
        <w:footnoteRef/>
      </w:r>
      <w:r w:rsidRPr="006C4FF4">
        <w:rPr>
          <w:rFonts w:cs="Arial"/>
        </w:rPr>
        <w:t xml:space="preserve"> Model WHS Act</w:t>
      </w:r>
      <w:r>
        <w:rPr>
          <w:rFonts w:cs="Arial"/>
        </w:rPr>
        <w:t>,</w:t>
      </w:r>
      <w:r w:rsidRPr="006C4FF4">
        <w:rPr>
          <w:rFonts w:cs="Arial"/>
        </w:rPr>
        <w:t xml:space="preserve"> s 257</w:t>
      </w:r>
      <w:r w:rsidR="000D5322">
        <w:rPr>
          <w:rFonts w:cs="Arial"/>
        </w:rPr>
        <w:t>.</w:t>
      </w:r>
    </w:p>
  </w:footnote>
  <w:footnote w:id="442">
    <w:p w14:paraId="5204971D" w14:textId="77777777" w:rsidR="00BF2FAC" w:rsidRPr="006C4FF4" w:rsidRDefault="00BF2FAC" w:rsidP="00BF2FAC">
      <w:pPr>
        <w:pStyle w:val="FootnoteText"/>
        <w:rPr>
          <w:rFonts w:cs="Arial"/>
          <w:szCs w:val="18"/>
        </w:rPr>
      </w:pPr>
      <w:r w:rsidRPr="006C4FF4">
        <w:rPr>
          <w:rStyle w:val="FootnoteReference"/>
          <w:rFonts w:cs="Arial"/>
          <w:szCs w:val="18"/>
        </w:rPr>
        <w:footnoteRef/>
      </w:r>
      <w:r w:rsidRPr="006C4FF4">
        <w:rPr>
          <w:rFonts w:cs="Arial"/>
          <w:szCs w:val="18"/>
        </w:rPr>
        <w:t xml:space="preserve"> </w:t>
      </w:r>
      <w:r w:rsidRPr="006C4FF4">
        <w:rPr>
          <w:rFonts w:cs="Arial"/>
          <w:i/>
          <w:szCs w:val="18"/>
        </w:rPr>
        <w:t>Industrial Relations and Other Legislation Amendment (Workplace Protections) Act 2025</w:t>
      </w:r>
      <w:r w:rsidRPr="006C4FF4">
        <w:rPr>
          <w:rFonts w:cs="Arial"/>
          <w:szCs w:val="18"/>
        </w:rPr>
        <w:t xml:space="preserve"> (NSW), s 260(c).</w:t>
      </w:r>
    </w:p>
  </w:footnote>
  <w:footnote w:id="443">
    <w:p w14:paraId="15261266" w14:textId="77777777" w:rsidR="00BF2FAC" w:rsidRPr="006C4FF4" w:rsidRDefault="00BF2FAC" w:rsidP="00BF2FAC">
      <w:pPr>
        <w:pStyle w:val="FootnoteText"/>
        <w:rPr>
          <w:rFonts w:cs="Arial"/>
          <w:szCs w:val="18"/>
        </w:rPr>
      </w:pPr>
      <w:r w:rsidRPr="006C4FF4">
        <w:rPr>
          <w:rStyle w:val="FootnoteReference"/>
          <w:rFonts w:cs="Arial"/>
          <w:szCs w:val="18"/>
        </w:rPr>
        <w:footnoteRef/>
      </w:r>
      <w:r w:rsidRPr="006C4FF4">
        <w:rPr>
          <w:rFonts w:cs="Arial"/>
          <w:szCs w:val="18"/>
        </w:rPr>
        <w:t xml:space="preserve"> </w:t>
      </w:r>
      <w:r w:rsidRPr="006C4FF4">
        <w:rPr>
          <w:rFonts w:cs="Arial"/>
          <w:i/>
          <w:szCs w:val="18"/>
        </w:rPr>
        <w:t>Work Health and Safety and Other Legislation Amendment Act 2023</w:t>
      </w:r>
      <w:r w:rsidRPr="006C4FF4">
        <w:rPr>
          <w:rFonts w:cs="Arial"/>
          <w:szCs w:val="18"/>
        </w:rPr>
        <w:t xml:space="preserve"> (Qld), ss 260(3) and (4).</w:t>
      </w:r>
    </w:p>
  </w:footnote>
  <w:footnote w:id="444">
    <w:p w14:paraId="709C84E1" w14:textId="77777777" w:rsidR="00BF2FAC" w:rsidRPr="00A915A7" w:rsidRDefault="00BF2FAC" w:rsidP="00BF2FAC">
      <w:pPr>
        <w:pStyle w:val="FootnoteText"/>
        <w:rPr>
          <w:rFonts w:cs="Arial"/>
        </w:rPr>
      </w:pPr>
      <w:r w:rsidRPr="006C4FF4">
        <w:rPr>
          <w:rStyle w:val="FootnoteReference"/>
          <w:rFonts w:cs="Arial"/>
        </w:rPr>
        <w:footnoteRef/>
      </w:r>
      <w:r w:rsidRPr="006C4FF4">
        <w:rPr>
          <w:rFonts w:cs="Arial"/>
        </w:rPr>
        <w:t xml:space="preserve"> NSW WHS Act, s</w:t>
      </w:r>
      <w:r>
        <w:rPr>
          <w:rFonts w:cs="Arial"/>
        </w:rPr>
        <w:t xml:space="preserve"> </w:t>
      </w:r>
      <w:r w:rsidRPr="006C4FF4">
        <w:rPr>
          <w:rFonts w:cs="Arial"/>
        </w:rPr>
        <w:t>260(c).</w:t>
      </w:r>
      <w:r w:rsidRPr="006C4FF4">
        <w:rPr>
          <w:rFonts w:cs="Arial"/>
          <w:szCs w:val="18"/>
        </w:rPr>
        <w:t xml:space="preserve"> Unions also have rights to bring proceedings in relation to </w:t>
      </w:r>
      <w:r w:rsidRPr="006C4FF4">
        <w:rPr>
          <w:rFonts w:eastAsia="Arial" w:cs="Arial"/>
          <w:szCs w:val="18"/>
        </w:rPr>
        <w:t>contravention of a dispute settlement order</w:t>
      </w:r>
      <w:r>
        <w:rPr>
          <w:rFonts w:eastAsia="Arial" w:cs="Arial"/>
          <w:szCs w:val="18"/>
        </w:rPr>
        <w:t>,</w:t>
      </w:r>
      <w:r w:rsidRPr="006C4FF4">
        <w:rPr>
          <w:rFonts w:eastAsia="Arial" w:cs="Arial"/>
          <w:szCs w:val="18"/>
        </w:rPr>
        <w:t xml:space="preserve"> s</w:t>
      </w:r>
      <w:r>
        <w:rPr>
          <w:rFonts w:eastAsia="Arial" w:cs="Arial"/>
          <w:szCs w:val="18"/>
        </w:rPr>
        <w:t xml:space="preserve"> </w:t>
      </w:r>
      <w:r w:rsidRPr="006C4FF4">
        <w:rPr>
          <w:rFonts w:eastAsia="Arial" w:cs="Arial"/>
          <w:szCs w:val="18"/>
        </w:rPr>
        <w:t>102E</w:t>
      </w:r>
      <w:r>
        <w:rPr>
          <w:rFonts w:eastAsia="Arial" w:cs="Arial"/>
          <w:szCs w:val="18"/>
        </w:rPr>
        <w:t>,</w:t>
      </w:r>
      <w:r w:rsidRPr="006C4FF4">
        <w:rPr>
          <w:rFonts w:eastAsia="Arial" w:cs="Arial"/>
          <w:szCs w:val="18"/>
        </w:rPr>
        <w:t xml:space="preserve"> as part of NSW’s dispute resolution framework.</w:t>
      </w:r>
    </w:p>
  </w:footnote>
  <w:footnote w:id="445">
    <w:p w14:paraId="3FA2A3EC" w14:textId="3D9CCFA5" w:rsidR="00BF2FAC" w:rsidRPr="006C4FF4" w:rsidRDefault="00BF2FAC" w:rsidP="00BF2FAC">
      <w:pPr>
        <w:pStyle w:val="FootnoteText"/>
        <w:rPr>
          <w:rFonts w:cs="Arial"/>
          <w:szCs w:val="18"/>
        </w:rPr>
      </w:pPr>
      <w:r w:rsidRPr="006C4FF4">
        <w:rPr>
          <w:rStyle w:val="FootnoteReference"/>
          <w:rFonts w:cs="Arial"/>
          <w:szCs w:val="18"/>
        </w:rPr>
        <w:footnoteRef/>
      </w:r>
      <w:r w:rsidRPr="006C4FF4">
        <w:rPr>
          <w:rFonts w:cs="Arial"/>
          <w:szCs w:val="18"/>
        </w:rPr>
        <w:t xml:space="preserve"> NSW WHS Act</w:t>
      </w:r>
      <w:r w:rsidR="000D5322">
        <w:rPr>
          <w:rFonts w:cs="Arial"/>
          <w:szCs w:val="18"/>
        </w:rPr>
        <w:t>,</w:t>
      </w:r>
      <w:r w:rsidRPr="006C4FF4">
        <w:rPr>
          <w:rFonts w:cs="Arial"/>
          <w:szCs w:val="18"/>
        </w:rPr>
        <w:t xml:space="preserve"> ss</w:t>
      </w:r>
      <w:r>
        <w:rPr>
          <w:rFonts w:cs="Arial"/>
          <w:szCs w:val="18"/>
        </w:rPr>
        <w:t xml:space="preserve"> </w:t>
      </w:r>
      <w:r w:rsidRPr="006C4FF4">
        <w:rPr>
          <w:rFonts w:cs="Arial"/>
          <w:szCs w:val="18"/>
        </w:rPr>
        <w:t>262(6).</w:t>
      </w:r>
    </w:p>
  </w:footnote>
  <w:footnote w:id="446">
    <w:p w14:paraId="5D777C0F" w14:textId="0FCFA2A3" w:rsidR="00BF2FAC" w:rsidRPr="006C4FF4" w:rsidRDefault="00BF2FAC" w:rsidP="00BF2FAC">
      <w:pPr>
        <w:pStyle w:val="FootnoteText"/>
      </w:pPr>
      <w:r w:rsidRPr="006C4FF4">
        <w:rPr>
          <w:rStyle w:val="FootnoteReference"/>
        </w:rPr>
        <w:footnoteRef/>
      </w:r>
      <w:r w:rsidRPr="006C4FF4">
        <w:t xml:space="preserve"> Qld WHS Act, s 260(4); the relevant provisions are Qld WHS Act, ss 126, 144(1), 145, 146, 147(1).</w:t>
      </w:r>
    </w:p>
  </w:footnote>
  <w:footnote w:id="447">
    <w:p w14:paraId="66A0E648" w14:textId="1409E72D" w:rsidR="004F6D78" w:rsidRPr="005A0A43" w:rsidRDefault="004F6D78" w:rsidP="004F6D78">
      <w:pPr>
        <w:pStyle w:val="FootnoteText"/>
        <w:rPr>
          <w:rFonts w:cs="Arial"/>
          <w:szCs w:val="18"/>
        </w:rPr>
      </w:pPr>
      <w:r w:rsidRPr="005A0A43">
        <w:rPr>
          <w:rStyle w:val="FootnoteReference"/>
          <w:rFonts w:cs="Arial"/>
          <w:szCs w:val="18"/>
        </w:rPr>
        <w:footnoteRef/>
      </w:r>
      <w:r w:rsidRPr="005A0A43">
        <w:rPr>
          <w:rFonts w:cs="Arial"/>
          <w:szCs w:val="18"/>
        </w:rPr>
        <w:t xml:space="preserve"> </w:t>
      </w:r>
      <w:hyperlink r:id="rId351" w:history="1">
        <w:r w:rsidRPr="005A0A43">
          <w:rPr>
            <w:rStyle w:val="Hyperlink"/>
            <w:rFonts w:cs="Arial"/>
            <w:szCs w:val="18"/>
          </w:rPr>
          <w:t>ACTU</w:t>
        </w:r>
      </w:hyperlink>
      <w:r w:rsidRPr="005A0A43">
        <w:rPr>
          <w:rFonts w:cs="Arial"/>
          <w:szCs w:val="18"/>
        </w:rPr>
        <w:t>, Submission, p 26.</w:t>
      </w:r>
    </w:p>
  </w:footnote>
  <w:footnote w:id="448">
    <w:p w14:paraId="45AF36CA" w14:textId="77777777" w:rsidR="004F6D78" w:rsidRPr="005A0A43" w:rsidRDefault="004F6D78" w:rsidP="004F6D78">
      <w:pPr>
        <w:pStyle w:val="FootnoteText"/>
        <w:rPr>
          <w:rFonts w:cs="Arial"/>
          <w:szCs w:val="18"/>
        </w:rPr>
      </w:pPr>
      <w:r w:rsidRPr="005A0A43">
        <w:rPr>
          <w:rStyle w:val="FootnoteReference"/>
          <w:rFonts w:cs="Arial"/>
          <w:szCs w:val="18"/>
        </w:rPr>
        <w:footnoteRef/>
      </w:r>
      <w:r w:rsidRPr="005A0A43">
        <w:rPr>
          <w:rFonts w:cs="Arial"/>
          <w:szCs w:val="18"/>
        </w:rPr>
        <w:t xml:space="preserve"> </w:t>
      </w:r>
      <w:hyperlink r:id="rId352" w:history="1">
        <w:r w:rsidRPr="005A0A43">
          <w:rPr>
            <w:rStyle w:val="Hyperlink"/>
            <w:rFonts w:cs="Arial"/>
            <w:szCs w:val="18"/>
          </w:rPr>
          <w:t>Queensland Council of Unions</w:t>
        </w:r>
      </w:hyperlink>
      <w:r w:rsidRPr="005A0A43">
        <w:rPr>
          <w:rFonts w:cs="Arial"/>
          <w:szCs w:val="18"/>
        </w:rPr>
        <w:t>, Submission, p 32.</w:t>
      </w:r>
    </w:p>
  </w:footnote>
  <w:footnote w:id="449">
    <w:p w14:paraId="6DD5CD07" w14:textId="77777777" w:rsidR="004F6D78" w:rsidRPr="005A0A43" w:rsidRDefault="004F6D78" w:rsidP="004F6D78">
      <w:pPr>
        <w:pStyle w:val="FootnoteText"/>
        <w:rPr>
          <w:rFonts w:cs="Arial"/>
          <w:szCs w:val="18"/>
        </w:rPr>
      </w:pPr>
      <w:r w:rsidRPr="005A0A43">
        <w:rPr>
          <w:rStyle w:val="FootnoteReference"/>
          <w:rFonts w:cs="Arial"/>
          <w:szCs w:val="18"/>
        </w:rPr>
        <w:footnoteRef/>
      </w:r>
      <w:r w:rsidRPr="005A0A43">
        <w:rPr>
          <w:rFonts w:cs="Arial"/>
          <w:szCs w:val="18"/>
        </w:rPr>
        <w:t xml:space="preserve"> </w:t>
      </w:r>
      <w:hyperlink r:id="rId353" w:history="1">
        <w:r w:rsidRPr="005A0A43">
          <w:rPr>
            <w:rStyle w:val="Hyperlink"/>
            <w:rFonts w:cs="Arial"/>
            <w:szCs w:val="18"/>
          </w:rPr>
          <w:t>Australian Business Industrial</w:t>
        </w:r>
      </w:hyperlink>
      <w:r w:rsidRPr="005A0A43">
        <w:rPr>
          <w:rFonts w:cs="Arial"/>
          <w:szCs w:val="18"/>
        </w:rPr>
        <w:t>, Submission, p 4.</w:t>
      </w:r>
    </w:p>
  </w:footnote>
  <w:footnote w:id="450">
    <w:p w14:paraId="2582C1A8" w14:textId="15406BAA" w:rsidR="00BF2FAC" w:rsidRPr="005A0A43" w:rsidRDefault="00BF2FAC" w:rsidP="00BF2FAC">
      <w:pPr>
        <w:pStyle w:val="FootnoteText"/>
      </w:pPr>
      <w:r w:rsidRPr="005A0A43">
        <w:rPr>
          <w:rStyle w:val="FootnoteReference"/>
        </w:rPr>
        <w:footnoteRef/>
      </w:r>
      <w:r w:rsidRPr="005A0A43">
        <w:t xml:space="preserve"> Model WHS Act</w:t>
      </w:r>
      <w:r>
        <w:t>,</w:t>
      </w:r>
      <w:r w:rsidRPr="005A0A43">
        <w:t xml:space="preserve"> s 118(2)(d)</w:t>
      </w:r>
      <w:r>
        <w:t>,</w:t>
      </w:r>
      <w:r w:rsidRPr="005A0A43">
        <w:t xml:space="preserve"> (3)</w:t>
      </w:r>
      <w:r>
        <w:t>.</w:t>
      </w:r>
    </w:p>
  </w:footnote>
  <w:footnote w:id="451">
    <w:p w14:paraId="244C0B5F" w14:textId="4123621E" w:rsidR="00BF2FAC" w:rsidRPr="005A0A43" w:rsidRDefault="00BF2FAC" w:rsidP="00BF2FAC">
      <w:pPr>
        <w:pStyle w:val="FootnoteText"/>
      </w:pPr>
      <w:r w:rsidRPr="005A0A43">
        <w:rPr>
          <w:rStyle w:val="FootnoteReference"/>
        </w:rPr>
        <w:footnoteRef/>
      </w:r>
      <w:r w:rsidRPr="005A0A43">
        <w:t xml:space="preserve"> Model WHS Act</w:t>
      </w:r>
      <w:r>
        <w:t>,</w:t>
      </w:r>
      <w:r w:rsidRPr="005A0A43">
        <w:t xml:space="preserve"> ss141</w:t>
      </w:r>
      <w:r w:rsidR="000D5322">
        <w:rPr>
          <w:rFonts w:ascii="Symbol" w:eastAsia="Symbol" w:hAnsi="Symbol" w:cs="Symbol"/>
        </w:rPr>
        <w:t>-</w:t>
      </w:r>
      <w:r w:rsidRPr="005A0A43">
        <w:t>142</w:t>
      </w:r>
      <w:r>
        <w:t>.</w:t>
      </w:r>
    </w:p>
  </w:footnote>
  <w:footnote w:id="452">
    <w:p w14:paraId="145CFDFA" w14:textId="77777777" w:rsidR="00BF2FAC" w:rsidRPr="005A0A43" w:rsidRDefault="00BF2FAC" w:rsidP="00BF2FAC">
      <w:pPr>
        <w:pStyle w:val="FootnoteText"/>
      </w:pPr>
      <w:r w:rsidRPr="005A0A43">
        <w:rPr>
          <w:rStyle w:val="FootnoteReference"/>
        </w:rPr>
        <w:footnoteRef/>
      </w:r>
      <w:r w:rsidRPr="005A0A43">
        <w:t xml:space="preserve"> Model WHS Act, s 138.</w:t>
      </w:r>
    </w:p>
  </w:footnote>
  <w:footnote w:id="453">
    <w:p w14:paraId="4E8817B7" w14:textId="77777777" w:rsidR="00BF2FAC" w:rsidRPr="005A0A43" w:rsidRDefault="00BF2FAC" w:rsidP="00BF2FAC">
      <w:pPr>
        <w:pStyle w:val="FootnoteText"/>
      </w:pPr>
      <w:r w:rsidRPr="005A0A43">
        <w:rPr>
          <w:rStyle w:val="FootnoteReference"/>
        </w:rPr>
        <w:footnoteRef/>
      </w:r>
      <w:r w:rsidRPr="005A0A43">
        <w:t xml:space="preserve"> Model WHS Act, </w:t>
      </w:r>
      <w:r>
        <w:t xml:space="preserve">s </w:t>
      </w:r>
      <w:r w:rsidRPr="005A0A43">
        <w:t>3(1)(b).</w:t>
      </w:r>
    </w:p>
  </w:footnote>
  <w:footnote w:id="454">
    <w:p w14:paraId="5602B4A6" w14:textId="6D882384" w:rsidR="00BF2FAC" w:rsidRPr="005A0A43" w:rsidRDefault="00BF2FAC" w:rsidP="00BF2FAC">
      <w:pPr>
        <w:pStyle w:val="FootnoteText"/>
        <w:rPr>
          <w:rFonts w:cs="Arial"/>
          <w:szCs w:val="18"/>
        </w:rPr>
      </w:pPr>
      <w:r w:rsidRPr="005A0A43">
        <w:rPr>
          <w:rFonts w:cs="Arial"/>
          <w:szCs w:val="18"/>
          <w:vertAlign w:val="superscript"/>
        </w:rPr>
        <w:footnoteRef/>
      </w:r>
      <w:r w:rsidRPr="005A0A43">
        <w:rPr>
          <w:rFonts w:cs="Arial"/>
          <w:i/>
          <w:szCs w:val="18"/>
        </w:rPr>
        <w:t xml:space="preserve"> </w:t>
      </w:r>
      <w:r w:rsidRPr="005A0A43">
        <w:rPr>
          <w:rFonts w:cs="Arial"/>
          <w:szCs w:val="18"/>
        </w:rPr>
        <w:t>Model WHS Act,</w:t>
      </w:r>
      <w:r w:rsidRPr="005A0A43">
        <w:rPr>
          <w:rFonts w:cs="Arial"/>
          <w:i/>
          <w:szCs w:val="18"/>
        </w:rPr>
        <w:t xml:space="preserve"> </w:t>
      </w:r>
      <w:r w:rsidRPr="005A0A43">
        <w:rPr>
          <w:rFonts w:cs="Arial"/>
          <w:szCs w:val="18"/>
        </w:rPr>
        <w:t>s</w:t>
      </w:r>
      <w:r>
        <w:rPr>
          <w:rFonts w:cs="Arial"/>
          <w:szCs w:val="18"/>
        </w:rPr>
        <w:t xml:space="preserve"> </w:t>
      </w:r>
      <w:r w:rsidRPr="005A0A43">
        <w:rPr>
          <w:rFonts w:cs="Arial"/>
          <w:szCs w:val="18"/>
        </w:rPr>
        <w:t>232(1).</w:t>
      </w:r>
    </w:p>
  </w:footnote>
  <w:footnote w:id="455">
    <w:p w14:paraId="40D93718" w14:textId="77777777" w:rsidR="00BF2FAC" w:rsidRPr="005A0A43" w:rsidRDefault="00BF2FAC" w:rsidP="00BF2FAC">
      <w:pPr>
        <w:pStyle w:val="FootnoteText"/>
        <w:rPr>
          <w:rFonts w:cs="Arial"/>
          <w:i/>
          <w:szCs w:val="18"/>
        </w:rPr>
      </w:pPr>
      <w:r w:rsidRPr="005A0A43">
        <w:rPr>
          <w:rFonts w:cs="Arial"/>
          <w:szCs w:val="18"/>
          <w:vertAlign w:val="superscript"/>
        </w:rPr>
        <w:footnoteRef/>
      </w:r>
      <w:r w:rsidRPr="005A0A43">
        <w:rPr>
          <w:rFonts w:cs="Arial"/>
          <w:szCs w:val="18"/>
          <w:vertAlign w:val="superscript"/>
        </w:rPr>
        <w:t xml:space="preserve"> </w:t>
      </w:r>
      <w:r w:rsidRPr="005A0A43">
        <w:rPr>
          <w:rFonts w:cs="Arial"/>
          <w:szCs w:val="18"/>
        </w:rPr>
        <w:t>Model WHS Act,</w:t>
      </w:r>
      <w:r w:rsidRPr="005A0A43">
        <w:rPr>
          <w:rFonts w:cs="Arial"/>
          <w:i/>
          <w:szCs w:val="18"/>
        </w:rPr>
        <w:t xml:space="preserve"> </w:t>
      </w:r>
      <w:r w:rsidRPr="005A0A43">
        <w:rPr>
          <w:rFonts w:cs="Arial"/>
          <w:szCs w:val="18"/>
        </w:rPr>
        <w:t>s</w:t>
      </w:r>
      <w:r>
        <w:rPr>
          <w:rFonts w:cs="Arial"/>
          <w:szCs w:val="18"/>
        </w:rPr>
        <w:t xml:space="preserve"> </w:t>
      </w:r>
      <w:r w:rsidRPr="005A0A43">
        <w:rPr>
          <w:rFonts w:cs="Arial"/>
          <w:szCs w:val="18"/>
        </w:rPr>
        <w:t>232(2).</w:t>
      </w:r>
    </w:p>
  </w:footnote>
  <w:footnote w:id="456">
    <w:p w14:paraId="7C1D6DA7" w14:textId="77777777" w:rsidR="0024070A" w:rsidRPr="005A0A43" w:rsidRDefault="0024070A" w:rsidP="0024070A">
      <w:pPr>
        <w:pStyle w:val="FootnoteText"/>
        <w:rPr>
          <w:rFonts w:cs="Arial"/>
          <w:szCs w:val="18"/>
        </w:rPr>
      </w:pPr>
      <w:r w:rsidRPr="005A0A43">
        <w:rPr>
          <w:rStyle w:val="FootnoteReference"/>
          <w:rFonts w:cs="Arial"/>
          <w:szCs w:val="18"/>
        </w:rPr>
        <w:footnoteRef/>
      </w:r>
      <w:r w:rsidRPr="005A0A43">
        <w:rPr>
          <w:rFonts w:cs="Arial"/>
          <w:szCs w:val="18"/>
        </w:rPr>
        <w:t xml:space="preserve"> </w:t>
      </w:r>
      <w:hyperlink r:id="rId354" w:history="1">
        <w:r w:rsidRPr="005A0A43">
          <w:rPr>
            <w:rStyle w:val="Hyperlink"/>
          </w:rPr>
          <w:t>Office of the Work Health and Safety Commissioner</w:t>
        </w:r>
      </w:hyperlink>
      <w:r w:rsidRPr="005A0A43">
        <w:rPr>
          <w:rFonts w:cs="Arial"/>
          <w:szCs w:val="18"/>
        </w:rPr>
        <w:t>, Submission, p 20.</w:t>
      </w:r>
    </w:p>
  </w:footnote>
  <w:footnote w:id="457">
    <w:p w14:paraId="1004989B" w14:textId="61088AAE" w:rsidR="0024070A" w:rsidRPr="005A0A43" w:rsidRDefault="0024070A" w:rsidP="0024070A">
      <w:pPr>
        <w:pStyle w:val="FootnoteText"/>
        <w:rPr>
          <w:rFonts w:cs="Arial"/>
          <w:szCs w:val="18"/>
        </w:rPr>
      </w:pPr>
      <w:r w:rsidRPr="005A0A43">
        <w:rPr>
          <w:rStyle w:val="FootnoteReference"/>
          <w:rFonts w:cs="Arial"/>
          <w:szCs w:val="18"/>
        </w:rPr>
        <w:footnoteRef/>
      </w:r>
      <w:r w:rsidRPr="005A0A43">
        <w:rPr>
          <w:rFonts w:cs="Arial"/>
          <w:szCs w:val="18"/>
        </w:rPr>
        <w:t xml:space="preserve"> </w:t>
      </w:r>
      <w:hyperlink r:id="rId355" w:history="1">
        <w:r w:rsidRPr="005A0A43">
          <w:rPr>
            <w:rStyle w:val="Hyperlink"/>
            <w:rFonts w:cs="Arial"/>
            <w:szCs w:val="18"/>
          </w:rPr>
          <w:t>Comcare</w:t>
        </w:r>
      </w:hyperlink>
      <w:r w:rsidRPr="005A0A43">
        <w:rPr>
          <w:rFonts w:cs="Arial"/>
          <w:szCs w:val="18"/>
        </w:rPr>
        <w:t>, Submission, p 8.</w:t>
      </w:r>
    </w:p>
  </w:footnote>
  <w:footnote w:id="458">
    <w:p w14:paraId="1B5F2C61" w14:textId="7813312B" w:rsidR="0024070A" w:rsidRPr="005A0A43" w:rsidRDefault="0024070A" w:rsidP="0024070A">
      <w:pPr>
        <w:pStyle w:val="FootnoteText"/>
        <w:rPr>
          <w:rFonts w:cs="Arial"/>
          <w:szCs w:val="18"/>
        </w:rPr>
      </w:pPr>
      <w:r w:rsidRPr="005A0A43">
        <w:rPr>
          <w:rStyle w:val="FootnoteReference"/>
          <w:rFonts w:cs="Arial"/>
          <w:szCs w:val="18"/>
        </w:rPr>
        <w:footnoteRef/>
      </w:r>
      <w:r w:rsidRPr="005A0A43">
        <w:rPr>
          <w:rFonts w:cs="Arial"/>
          <w:szCs w:val="18"/>
        </w:rPr>
        <w:t xml:space="preserve"> WA Family and Affected Workers, Consultation, December 2025.</w:t>
      </w:r>
    </w:p>
  </w:footnote>
  <w:footnote w:id="459">
    <w:p w14:paraId="5B0EF3C7" w14:textId="77777777" w:rsidR="00BF2FAC" w:rsidRPr="005A0A43" w:rsidRDefault="00BF2FAC" w:rsidP="00BF2FAC">
      <w:pPr>
        <w:pStyle w:val="FootnoteText"/>
        <w:rPr>
          <w:rFonts w:cs="Arial"/>
          <w:szCs w:val="18"/>
        </w:rPr>
      </w:pPr>
      <w:r w:rsidRPr="005A0A43">
        <w:rPr>
          <w:rStyle w:val="FootnoteReference"/>
          <w:rFonts w:cs="Arial"/>
          <w:szCs w:val="18"/>
        </w:rPr>
        <w:footnoteRef/>
      </w:r>
      <w:r w:rsidRPr="005A0A43">
        <w:rPr>
          <w:rFonts w:cs="Arial"/>
          <w:szCs w:val="18"/>
        </w:rPr>
        <w:t xml:space="preserve"> </w:t>
      </w:r>
      <w:r w:rsidRPr="005A0A43">
        <w:rPr>
          <w:rFonts w:cs="Arial"/>
          <w:i/>
          <w:szCs w:val="18"/>
        </w:rPr>
        <w:t>Prime Marble &amp; Granite Pty Ltd v Safework NSW</w:t>
      </w:r>
      <w:r w:rsidRPr="005A0A43">
        <w:rPr>
          <w:rFonts w:cs="Arial"/>
          <w:szCs w:val="18"/>
        </w:rPr>
        <w:t xml:space="preserve"> [2024] NSWCCA 105.</w:t>
      </w:r>
    </w:p>
  </w:footnote>
  <w:footnote w:id="460">
    <w:p w14:paraId="67AB111A" w14:textId="7310DAF3" w:rsidR="00BF2FAC" w:rsidRPr="005A0A43" w:rsidRDefault="00BF2FAC" w:rsidP="00BF2FAC">
      <w:pPr>
        <w:pStyle w:val="FootnoteText"/>
        <w:rPr>
          <w:rFonts w:cs="Arial"/>
          <w:szCs w:val="18"/>
        </w:rPr>
      </w:pPr>
      <w:r w:rsidRPr="005A0A43">
        <w:rPr>
          <w:rFonts w:cs="Arial"/>
          <w:szCs w:val="18"/>
          <w:vertAlign w:val="superscript"/>
        </w:rPr>
        <w:footnoteRef/>
      </w:r>
      <w:r w:rsidRPr="005A0A43">
        <w:rPr>
          <w:rFonts w:cs="Arial"/>
          <w:szCs w:val="18"/>
        </w:rPr>
        <w:t xml:space="preserve"> NSW WHS Act, s</w:t>
      </w:r>
      <w:r>
        <w:rPr>
          <w:rFonts w:cs="Arial"/>
          <w:szCs w:val="18"/>
        </w:rPr>
        <w:t xml:space="preserve"> </w:t>
      </w:r>
      <w:r w:rsidRPr="005A0A43">
        <w:rPr>
          <w:rFonts w:cs="Arial"/>
          <w:szCs w:val="18"/>
        </w:rPr>
        <w:t>232(2)</w:t>
      </w:r>
      <w:r w:rsidR="000D5322">
        <w:rPr>
          <w:rFonts w:ascii="Symbol" w:eastAsia="Symbol" w:hAnsi="Symbol" w:cs="Symbol"/>
          <w:szCs w:val="18"/>
        </w:rPr>
        <w:t>-</w:t>
      </w:r>
      <w:r w:rsidRPr="005A0A43">
        <w:rPr>
          <w:rFonts w:cs="Arial"/>
          <w:szCs w:val="18"/>
        </w:rPr>
        <w:t xml:space="preserve">(3) as amended by </w:t>
      </w:r>
      <w:hyperlink r:id="rId356">
        <w:r w:rsidRPr="00560EB5">
          <w:rPr>
            <w:rStyle w:val="Hyperlink"/>
            <w:rFonts w:cs="Arial"/>
            <w:szCs w:val="18"/>
          </w:rPr>
          <w:t>Industrial Relations and Other Legislation Amendment (Workplace Protections) Bill 2025</w:t>
        </w:r>
        <w:r w:rsidRPr="005A0A43">
          <w:rPr>
            <w:rStyle w:val="Hyperlink"/>
            <w:rFonts w:cs="Arial"/>
            <w:i/>
            <w:szCs w:val="18"/>
          </w:rPr>
          <w:t xml:space="preserve"> </w:t>
        </w:r>
        <w:r w:rsidRPr="005A0A43">
          <w:rPr>
            <w:rStyle w:val="Hyperlink"/>
            <w:rFonts w:cs="Arial"/>
            <w:szCs w:val="18"/>
          </w:rPr>
          <w:t>(NSW)</w:t>
        </w:r>
      </w:hyperlink>
      <w:r w:rsidRPr="005A0A43">
        <w:rPr>
          <w:rFonts w:cs="Arial"/>
          <w:i/>
          <w:szCs w:val="18"/>
        </w:rPr>
        <w:t xml:space="preserve">, </w:t>
      </w:r>
      <w:r w:rsidRPr="005A0A43">
        <w:rPr>
          <w:rFonts w:cs="Arial"/>
          <w:szCs w:val="18"/>
        </w:rPr>
        <w:t>Sch 3, cl 16. Note: this has not been enacted yet.</w:t>
      </w:r>
    </w:p>
  </w:footnote>
  <w:footnote w:id="461">
    <w:p w14:paraId="28BBFD4B" w14:textId="77777777" w:rsidR="00BF2FAC" w:rsidRPr="005A0A43" w:rsidRDefault="00BF2FAC" w:rsidP="00BF2FAC">
      <w:pPr>
        <w:pStyle w:val="FootnoteText"/>
        <w:rPr>
          <w:rFonts w:cs="Arial"/>
          <w:szCs w:val="18"/>
        </w:rPr>
      </w:pPr>
      <w:r w:rsidRPr="005A0A43">
        <w:rPr>
          <w:rStyle w:val="FootnoteReference"/>
          <w:rFonts w:cs="Arial"/>
          <w:szCs w:val="18"/>
        </w:rPr>
        <w:footnoteRef/>
      </w:r>
      <w:r w:rsidRPr="005A0A43">
        <w:rPr>
          <w:rFonts w:cs="Arial"/>
          <w:szCs w:val="18"/>
        </w:rPr>
        <w:t xml:space="preserve"> Qld WHS Act, s</w:t>
      </w:r>
      <w:r>
        <w:rPr>
          <w:rFonts w:cs="Arial"/>
          <w:szCs w:val="18"/>
        </w:rPr>
        <w:t xml:space="preserve"> </w:t>
      </w:r>
      <w:r w:rsidRPr="005A0A43">
        <w:rPr>
          <w:rFonts w:cs="Arial"/>
          <w:szCs w:val="18"/>
        </w:rPr>
        <w:t>232(1)(a).</w:t>
      </w:r>
    </w:p>
  </w:footnote>
  <w:footnote w:id="462">
    <w:p w14:paraId="4EF100D5" w14:textId="77777777" w:rsidR="00BF2FAC" w:rsidRPr="005A0A43" w:rsidRDefault="00BF2FAC" w:rsidP="00BF2FAC">
      <w:pPr>
        <w:pStyle w:val="FootnoteText"/>
        <w:rPr>
          <w:rFonts w:cs="Arial"/>
          <w:szCs w:val="18"/>
        </w:rPr>
      </w:pPr>
      <w:r w:rsidRPr="005A0A43">
        <w:rPr>
          <w:rStyle w:val="FootnoteReference"/>
          <w:rFonts w:cs="Arial"/>
          <w:szCs w:val="18"/>
        </w:rPr>
        <w:footnoteRef/>
      </w:r>
      <w:r w:rsidRPr="005A0A43">
        <w:rPr>
          <w:rFonts w:cs="Arial"/>
          <w:szCs w:val="18"/>
        </w:rPr>
        <w:t xml:space="preserve"> WA WHS Act, s</w:t>
      </w:r>
      <w:r>
        <w:rPr>
          <w:rFonts w:cs="Arial"/>
          <w:szCs w:val="18"/>
        </w:rPr>
        <w:t xml:space="preserve"> </w:t>
      </w:r>
      <w:r w:rsidRPr="005A0A43">
        <w:rPr>
          <w:rFonts w:cs="Arial"/>
          <w:szCs w:val="18"/>
        </w:rPr>
        <w:t>232(4) and (5).</w:t>
      </w:r>
    </w:p>
  </w:footnote>
  <w:footnote w:id="463">
    <w:p w14:paraId="0EB9DC60" w14:textId="77777777" w:rsidR="00BF2FAC" w:rsidRPr="005A0A43" w:rsidRDefault="00BF2FAC" w:rsidP="00BF2FAC">
      <w:pPr>
        <w:pStyle w:val="FootnoteText"/>
        <w:rPr>
          <w:rFonts w:cs="Arial"/>
          <w:szCs w:val="18"/>
        </w:rPr>
      </w:pPr>
      <w:r w:rsidRPr="005A0A43">
        <w:rPr>
          <w:rStyle w:val="FootnoteReference"/>
          <w:rFonts w:cs="Arial"/>
          <w:szCs w:val="18"/>
        </w:rPr>
        <w:footnoteRef/>
      </w:r>
      <w:r w:rsidRPr="005A0A43">
        <w:rPr>
          <w:rFonts w:cs="Arial"/>
          <w:szCs w:val="18"/>
        </w:rPr>
        <w:t xml:space="preserve"> Vic OHS Act, s 132(d).</w:t>
      </w:r>
    </w:p>
  </w:footnote>
  <w:footnote w:id="464">
    <w:p w14:paraId="0B47FF0F" w14:textId="3697867D" w:rsidR="00BF2FAC" w:rsidRPr="005A0A43" w:rsidRDefault="00BF2FAC" w:rsidP="00BF2FAC">
      <w:pPr>
        <w:pStyle w:val="FootnoteText"/>
        <w:rPr>
          <w:rFonts w:cs="Arial"/>
          <w:szCs w:val="18"/>
        </w:rPr>
      </w:pPr>
      <w:r w:rsidRPr="005A0A43">
        <w:rPr>
          <w:rStyle w:val="FootnoteReference"/>
          <w:rFonts w:cs="Arial"/>
          <w:szCs w:val="18"/>
        </w:rPr>
        <w:footnoteRef/>
      </w:r>
      <w:r w:rsidRPr="005A0A43">
        <w:rPr>
          <w:rFonts w:cs="Arial"/>
          <w:szCs w:val="18"/>
        </w:rPr>
        <w:t xml:space="preserve"> Senate Education and Employment Reference</w:t>
      </w:r>
      <w:r>
        <w:rPr>
          <w:rFonts w:cs="Arial"/>
          <w:szCs w:val="18"/>
        </w:rPr>
        <w:t>s</w:t>
      </w:r>
      <w:r w:rsidRPr="005A0A43">
        <w:rPr>
          <w:rFonts w:cs="Arial"/>
          <w:szCs w:val="18"/>
        </w:rPr>
        <w:t xml:space="preserve"> Committee</w:t>
      </w:r>
      <w:r w:rsidRPr="006E51BB">
        <w:rPr>
          <w:rFonts w:cs="Arial"/>
          <w:szCs w:val="18"/>
        </w:rPr>
        <w:t xml:space="preserve">, </w:t>
      </w:r>
      <w:r w:rsidRPr="006E51BB">
        <w:rPr>
          <w:rFonts w:cs="Arial"/>
          <w:i/>
          <w:szCs w:val="18"/>
        </w:rPr>
        <w:t xml:space="preserve">They </w:t>
      </w:r>
      <w:r w:rsidR="000D5322" w:rsidRPr="006E51BB">
        <w:rPr>
          <w:rFonts w:cs="Arial"/>
          <w:i/>
          <w:szCs w:val="18"/>
        </w:rPr>
        <w:t>n</w:t>
      </w:r>
      <w:r w:rsidRPr="006E51BB">
        <w:rPr>
          <w:rFonts w:cs="Arial"/>
          <w:i/>
          <w:szCs w:val="18"/>
        </w:rPr>
        <w:t xml:space="preserve">ever </w:t>
      </w:r>
      <w:r w:rsidR="000D5322" w:rsidRPr="006E51BB">
        <w:rPr>
          <w:rFonts w:cs="Arial"/>
          <w:i/>
          <w:szCs w:val="18"/>
        </w:rPr>
        <w:t>c</w:t>
      </w:r>
      <w:r w:rsidRPr="006E51BB">
        <w:rPr>
          <w:rFonts w:cs="Arial"/>
          <w:i/>
          <w:szCs w:val="18"/>
        </w:rPr>
        <w:t xml:space="preserve">ame </w:t>
      </w:r>
      <w:r w:rsidR="000D5322" w:rsidRPr="006E51BB">
        <w:rPr>
          <w:rFonts w:cs="Arial"/>
          <w:i/>
          <w:szCs w:val="18"/>
        </w:rPr>
        <w:t>h</w:t>
      </w:r>
      <w:r w:rsidRPr="006E51BB">
        <w:rPr>
          <w:rFonts w:cs="Arial"/>
          <w:i/>
          <w:szCs w:val="18"/>
        </w:rPr>
        <w:t xml:space="preserve">ome – </w:t>
      </w:r>
      <w:r w:rsidR="000303DC">
        <w:rPr>
          <w:rFonts w:cs="Arial"/>
          <w:i/>
          <w:szCs w:val="18"/>
        </w:rPr>
        <w:t>T</w:t>
      </w:r>
      <w:r w:rsidRPr="006E51BB">
        <w:rPr>
          <w:rFonts w:cs="Arial"/>
          <w:i/>
          <w:szCs w:val="18"/>
        </w:rPr>
        <w:t>he framework surrounding</w:t>
      </w:r>
      <w:r w:rsidRPr="005A0A43">
        <w:rPr>
          <w:rFonts w:cs="Arial"/>
          <w:i/>
          <w:szCs w:val="18"/>
        </w:rPr>
        <w:t xml:space="preserve"> the prevention, investigation and prosecution of industrial deaths in Australia</w:t>
      </w:r>
      <w:r w:rsidRPr="005A0A43">
        <w:rPr>
          <w:rFonts w:cs="Arial"/>
          <w:szCs w:val="18"/>
        </w:rPr>
        <w:t xml:space="preserve">, </w:t>
      </w:r>
      <w:r>
        <w:rPr>
          <w:rFonts w:cs="Arial"/>
          <w:szCs w:val="18"/>
        </w:rPr>
        <w:t xml:space="preserve">Australian Government, </w:t>
      </w:r>
      <w:r w:rsidRPr="005A0A43">
        <w:rPr>
          <w:rFonts w:cs="Arial"/>
          <w:szCs w:val="18"/>
        </w:rPr>
        <w:t>2018, [5.86].</w:t>
      </w:r>
    </w:p>
  </w:footnote>
  <w:footnote w:id="465">
    <w:p w14:paraId="64108E0E" w14:textId="1946E73E" w:rsidR="00BF2FAC" w:rsidRPr="005A0A43" w:rsidRDefault="00BF2FAC" w:rsidP="00BF2FAC">
      <w:pPr>
        <w:pStyle w:val="FootnoteText"/>
        <w:rPr>
          <w:rFonts w:cs="Arial"/>
          <w:i/>
          <w:szCs w:val="18"/>
        </w:rPr>
      </w:pPr>
      <w:r w:rsidRPr="005A0A43">
        <w:rPr>
          <w:rFonts w:cs="Arial"/>
          <w:szCs w:val="18"/>
          <w:vertAlign w:val="superscript"/>
        </w:rPr>
        <w:footnoteRef/>
      </w:r>
      <w:r w:rsidRPr="005A0A43">
        <w:rPr>
          <w:rFonts w:cs="Arial"/>
          <w:szCs w:val="18"/>
        </w:rPr>
        <w:t xml:space="preserve"> Cth WHS Act, s</w:t>
      </w:r>
      <w:r>
        <w:rPr>
          <w:rFonts w:cs="Arial"/>
          <w:szCs w:val="18"/>
        </w:rPr>
        <w:t xml:space="preserve"> </w:t>
      </w:r>
      <w:r w:rsidRPr="005A0A43">
        <w:rPr>
          <w:rFonts w:cs="Arial"/>
          <w:szCs w:val="18"/>
        </w:rPr>
        <w:t>232(2A); ACT WHS Act, s</w:t>
      </w:r>
      <w:r>
        <w:rPr>
          <w:rFonts w:cs="Arial"/>
          <w:szCs w:val="18"/>
        </w:rPr>
        <w:t xml:space="preserve"> </w:t>
      </w:r>
      <w:r w:rsidRPr="005A0A43">
        <w:rPr>
          <w:rFonts w:cs="Arial"/>
          <w:szCs w:val="18"/>
        </w:rPr>
        <w:t>232(3); Qld WHS Act, s</w:t>
      </w:r>
      <w:r>
        <w:rPr>
          <w:rFonts w:cs="Arial"/>
          <w:szCs w:val="18"/>
        </w:rPr>
        <w:t xml:space="preserve"> </w:t>
      </w:r>
      <w:r w:rsidRPr="005A0A43">
        <w:rPr>
          <w:rFonts w:cs="Arial"/>
          <w:szCs w:val="18"/>
        </w:rPr>
        <w:t>232(3); SA WHS Act; s</w:t>
      </w:r>
      <w:r>
        <w:rPr>
          <w:rFonts w:cs="Arial"/>
          <w:szCs w:val="18"/>
        </w:rPr>
        <w:t xml:space="preserve"> </w:t>
      </w:r>
      <w:r w:rsidRPr="005A0A43">
        <w:rPr>
          <w:rFonts w:cs="Arial"/>
          <w:szCs w:val="18"/>
        </w:rPr>
        <w:t>232(3); Tas WHS Act, s</w:t>
      </w:r>
      <w:r>
        <w:rPr>
          <w:rFonts w:cs="Arial"/>
          <w:szCs w:val="18"/>
        </w:rPr>
        <w:t xml:space="preserve"> </w:t>
      </w:r>
      <w:r w:rsidRPr="005A0A43">
        <w:rPr>
          <w:rFonts w:cs="Arial"/>
          <w:szCs w:val="18"/>
        </w:rPr>
        <w:t>232(3); WA WHS Act, s</w:t>
      </w:r>
      <w:r>
        <w:rPr>
          <w:rFonts w:cs="Arial"/>
          <w:szCs w:val="18"/>
        </w:rPr>
        <w:t xml:space="preserve"> </w:t>
      </w:r>
      <w:r w:rsidRPr="005A0A43">
        <w:rPr>
          <w:rFonts w:cs="Arial"/>
          <w:szCs w:val="18"/>
        </w:rPr>
        <w:t>232(1).</w:t>
      </w:r>
    </w:p>
  </w:footnote>
  <w:footnote w:id="466">
    <w:p w14:paraId="67A18104" w14:textId="06B3D5A5" w:rsidR="00BF2FAC" w:rsidRPr="005A0A43" w:rsidRDefault="00BF2FAC" w:rsidP="00BF2FAC">
      <w:pPr>
        <w:pStyle w:val="FootnoteText"/>
        <w:rPr>
          <w:rFonts w:cs="Arial"/>
          <w:szCs w:val="18"/>
        </w:rPr>
      </w:pPr>
      <w:r w:rsidRPr="005A0A43">
        <w:rPr>
          <w:rStyle w:val="FootnoteReference"/>
          <w:rFonts w:cs="Arial"/>
          <w:szCs w:val="18"/>
        </w:rPr>
        <w:footnoteRef/>
      </w:r>
      <w:r w:rsidRPr="005A0A43">
        <w:rPr>
          <w:rFonts w:cs="Arial"/>
          <w:szCs w:val="18"/>
        </w:rPr>
        <w:t xml:space="preserve"> Comcare, </w:t>
      </w:r>
      <w:hyperlink r:id="rId357" w:anchor="fn3" w:history="1">
        <w:r w:rsidRPr="00C3222C">
          <w:rPr>
            <w:rStyle w:val="Hyperlink"/>
            <w:rFonts w:cs="Arial"/>
            <w:i/>
            <w:szCs w:val="18"/>
          </w:rPr>
          <w:t xml:space="preserve">Regulatory </w:t>
        </w:r>
        <w:r w:rsidR="000D5322">
          <w:rPr>
            <w:rStyle w:val="Hyperlink"/>
            <w:rFonts w:cs="Arial"/>
            <w:i/>
            <w:iCs/>
            <w:szCs w:val="18"/>
          </w:rPr>
          <w:t>g</w:t>
        </w:r>
        <w:r w:rsidRPr="00C3222C">
          <w:rPr>
            <w:rStyle w:val="Hyperlink"/>
            <w:rFonts w:cs="Arial"/>
            <w:i/>
            <w:iCs/>
            <w:szCs w:val="18"/>
          </w:rPr>
          <w:t xml:space="preserve">uide – </w:t>
        </w:r>
        <w:r w:rsidR="000303DC">
          <w:rPr>
            <w:rStyle w:val="Hyperlink"/>
            <w:rFonts w:cs="Arial"/>
            <w:i/>
            <w:szCs w:val="18"/>
          </w:rPr>
          <w:t>P</w:t>
        </w:r>
        <w:r w:rsidRPr="00C3222C">
          <w:rPr>
            <w:rStyle w:val="Hyperlink"/>
            <w:rFonts w:cs="Arial"/>
            <w:i/>
            <w:szCs w:val="18"/>
          </w:rPr>
          <w:t>rosecutions</w:t>
        </w:r>
      </w:hyperlink>
      <w:r w:rsidRPr="005A0A43">
        <w:rPr>
          <w:rFonts w:cs="Arial"/>
          <w:szCs w:val="18"/>
        </w:rPr>
        <w:t xml:space="preserve">, </w:t>
      </w:r>
      <w:r>
        <w:rPr>
          <w:rFonts w:cs="Arial"/>
          <w:szCs w:val="18"/>
        </w:rPr>
        <w:t xml:space="preserve">Comcare, 2026, </w:t>
      </w:r>
      <w:r w:rsidRPr="005A0A43">
        <w:rPr>
          <w:rFonts w:cs="Arial"/>
          <w:szCs w:val="18"/>
        </w:rPr>
        <w:t>accessed 30 April 2026.</w:t>
      </w:r>
    </w:p>
  </w:footnote>
  <w:footnote w:id="467">
    <w:p w14:paraId="39DF65DF" w14:textId="77777777" w:rsidR="00BF2FAC" w:rsidRPr="005A0A43" w:rsidRDefault="00BF2FAC" w:rsidP="00BF2FAC">
      <w:pPr>
        <w:pStyle w:val="FootnoteText"/>
        <w:rPr>
          <w:rFonts w:cs="Arial"/>
          <w:szCs w:val="18"/>
        </w:rPr>
      </w:pPr>
      <w:r w:rsidRPr="005A0A43">
        <w:rPr>
          <w:rStyle w:val="FootnoteReference"/>
          <w:rFonts w:cs="Arial"/>
          <w:szCs w:val="18"/>
        </w:rPr>
        <w:footnoteRef/>
      </w:r>
      <w:r w:rsidRPr="005A0A43">
        <w:rPr>
          <w:rFonts w:cs="Arial"/>
          <w:szCs w:val="18"/>
        </w:rPr>
        <w:t xml:space="preserve"> Qld WHS Act, s 233A.</w:t>
      </w:r>
    </w:p>
  </w:footnote>
  <w:footnote w:id="468">
    <w:p w14:paraId="4A53F9AC" w14:textId="77777777" w:rsidR="00BF2FAC" w:rsidRPr="005A0A43" w:rsidRDefault="00BF2FAC" w:rsidP="00BF2FAC">
      <w:pPr>
        <w:pStyle w:val="FootnoteText"/>
        <w:rPr>
          <w:rFonts w:cstheme="minorHAnsi"/>
          <w:szCs w:val="18"/>
        </w:rPr>
      </w:pPr>
      <w:r w:rsidRPr="005A0A43">
        <w:rPr>
          <w:rStyle w:val="FootnoteReference"/>
          <w:rFonts w:cs="Arial"/>
          <w:szCs w:val="18"/>
        </w:rPr>
        <w:footnoteRef/>
      </w:r>
      <w:r w:rsidRPr="005A0A43">
        <w:rPr>
          <w:rFonts w:cs="Arial"/>
          <w:szCs w:val="18"/>
        </w:rPr>
        <w:t xml:space="preserve"> WA WHS Act, s</w:t>
      </w:r>
      <w:r>
        <w:rPr>
          <w:rFonts w:cs="Arial"/>
          <w:szCs w:val="18"/>
        </w:rPr>
        <w:t xml:space="preserve"> </w:t>
      </w:r>
      <w:r w:rsidRPr="005A0A43">
        <w:rPr>
          <w:rFonts w:cs="Arial"/>
          <w:szCs w:val="18"/>
        </w:rPr>
        <w:t>31(4).</w:t>
      </w:r>
    </w:p>
  </w:footnote>
  <w:footnote w:id="469">
    <w:p w14:paraId="129E1746" w14:textId="77777777" w:rsidR="00BF2FAC" w:rsidRPr="005A0A43" w:rsidRDefault="00BF2FAC" w:rsidP="00BF2FAC">
      <w:pPr>
        <w:pStyle w:val="FootnoteText"/>
        <w:rPr>
          <w:rFonts w:cs="Arial"/>
          <w:szCs w:val="18"/>
        </w:rPr>
      </w:pPr>
      <w:r w:rsidRPr="005A0A43">
        <w:rPr>
          <w:rStyle w:val="FootnoteReference"/>
          <w:rFonts w:cs="Arial"/>
          <w:szCs w:val="18"/>
        </w:rPr>
        <w:footnoteRef/>
      </w:r>
      <w:r w:rsidRPr="005A0A43">
        <w:rPr>
          <w:rFonts w:cs="Arial"/>
          <w:szCs w:val="18"/>
        </w:rPr>
        <w:t xml:space="preserve"> WA WHS Act, s</w:t>
      </w:r>
      <w:r>
        <w:rPr>
          <w:rFonts w:cs="Arial"/>
          <w:szCs w:val="18"/>
        </w:rPr>
        <w:t xml:space="preserve"> </w:t>
      </w:r>
      <w:r w:rsidRPr="005A0A43">
        <w:rPr>
          <w:rFonts w:cs="Arial"/>
          <w:szCs w:val="18"/>
        </w:rPr>
        <w:t>32(2).</w:t>
      </w:r>
    </w:p>
  </w:footnote>
  <w:footnote w:id="470">
    <w:p w14:paraId="10F55C3E" w14:textId="77777777" w:rsidR="00905A93" w:rsidRPr="005A0A43" w:rsidRDefault="00905A93" w:rsidP="00905A93">
      <w:pPr>
        <w:pStyle w:val="FootnoteText"/>
        <w:rPr>
          <w:rFonts w:cs="Arial"/>
          <w:szCs w:val="18"/>
        </w:rPr>
      </w:pPr>
      <w:r w:rsidRPr="005A0A43">
        <w:rPr>
          <w:rStyle w:val="FootnoteReference"/>
          <w:rFonts w:cs="Arial"/>
          <w:szCs w:val="18"/>
        </w:rPr>
        <w:footnoteRef/>
      </w:r>
      <w:r w:rsidRPr="005A0A43">
        <w:rPr>
          <w:rFonts w:cs="Arial"/>
          <w:szCs w:val="18"/>
        </w:rPr>
        <w:t xml:space="preserve"> </w:t>
      </w:r>
      <w:r w:rsidRPr="00DE1C59">
        <w:rPr>
          <w:rFonts w:cs="Arial"/>
          <w:szCs w:val="18"/>
        </w:rPr>
        <w:t>Queensland Council of Unions, Consultation</w:t>
      </w:r>
      <w:r>
        <w:rPr>
          <w:rFonts w:cs="Arial"/>
          <w:szCs w:val="18"/>
        </w:rPr>
        <w:t>,</w:t>
      </w:r>
      <w:r w:rsidRPr="00DE1C59">
        <w:rPr>
          <w:rFonts w:cs="Arial"/>
          <w:szCs w:val="18"/>
        </w:rPr>
        <w:t xml:space="preserve"> September 2025</w:t>
      </w:r>
      <w:r>
        <w:rPr>
          <w:rFonts w:cs="Arial"/>
          <w:szCs w:val="18"/>
        </w:rPr>
        <w:t>.</w:t>
      </w:r>
    </w:p>
  </w:footnote>
  <w:footnote w:id="471">
    <w:p w14:paraId="2FE06C2C" w14:textId="77777777" w:rsidR="00BF2FAC" w:rsidRPr="005A0A43" w:rsidRDefault="00BF2FAC" w:rsidP="00BF2FAC">
      <w:pPr>
        <w:pStyle w:val="FootnoteText"/>
      </w:pPr>
      <w:r w:rsidRPr="005A0A43">
        <w:rPr>
          <w:rStyle w:val="FootnoteReference"/>
        </w:rPr>
        <w:footnoteRef/>
      </w:r>
      <w:r w:rsidRPr="005A0A43">
        <w:t xml:space="preserve"> Cth WHS Act, s</w:t>
      </w:r>
      <w:r>
        <w:t xml:space="preserve"> </w:t>
      </w:r>
      <w:r w:rsidRPr="005A0A43">
        <w:t>30A(5); WA WHS Act, s</w:t>
      </w:r>
      <w:r>
        <w:t xml:space="preserve"> </w:t>
      </w:r>
      <w:r w:rsidRPr="005A0A43">
        <w:t>232(6); NSW WHS Act, s</w:t>
      </w:r>
      <w:r>
        <w:t xml:space="preserve"> </w:t>
      </w:r>
      <w:r w:rsidRPr="005A0A43">
        <w:t>34F(2); Qld WHS Act, s</w:t>
      </w:r>
      <w:r>
        <w:t xml:space="preserve"> </w:t>
      </w:r>
      <w:r w:rsidRPr="005A0A43">
        <w:t>34E(2).</w:t>
      </w:r>
    </w:p>
  </w:footnote>
  <w:footnote w:id="472">
    <w:p w14:paraId="4FA2AFEC" w14:textId="77777777" w:rsidR="00BF2FAC" w:rsidRPr="005A0A43" w:rsidRDefault="00BF2FAC" w:rsidP="00BF2FAC">
      <w:pPr>
        <w:pStyle w:val="FootnoteText"/>
        <w:rPr>
          <w:rFonts w:cs="Arial"/>
          <w:szCs w:val="18"/>
        </w:rPr>
      </w:pPr>
      <w:r w:rsidRPr="005A0A43">
        <w:rPr>
          <w:rStyle w:val="FootnoteReference"/>
          <w:rFonts w:cs="Arial"/>
          <w:szCs w:val="18"/>
        </w:rPr>
        <w:footnoteRef/>
      </w:r>
      <w:r w:rsidRPr="005A0A43">
        <w:rPr>
          <w:rFonts w:cs="Arial"/>
          <w:szCs w:val="18"/>
        </w:rPr>
        <w:t xml:space="preserve"> Model WHS Act, s</w:t>
      </w:r>
      <w:r>
        <w:rPr>
          <w:rFonts w:cs="Arial"/>
          <w:szCs w:val="18"/>
        </w:rPr>
        <w:t xml:space="preserve"> </w:t>
      </w:r>
      <w:r w:rsidRPr="005A0A43">
        <w:rPr>
          <w:rFonts w:cs="Arial"/>
          <w:szCs w:val="18"/>
        </w:rPr>
        <w:t>272A.</w:t>
      </w:r>
    </w:p>
  </w:footnote>
  <w:footnote w:id="473">
    <w:p w14:paraId="2F43C5B4" w14:textId="054BCD54" w:rsidR="00905A93" w:rsidRPr="005A0A43" w:rsidRDefault="00905A93" w:rsidP="00905A93">
      <w:pPr>
        <w:pStyle w:val="FootnoteText"/>
        <w:rPr>
          <w:rFonts w:cs="Arial"/>
          <w:szCs w:val="18"/>
        </w:rPr>
      </w:pPr>
      <w:r w:rsidRPr="005A0A43">
        <w:rPr>
          <w:rStyle w:val="FootnoteReference"/>
          <w:rFonts w:cs="Arial"/>
          <w:szCs w:val="18"/>
        </w:rPr>
        <w:footnoteRef/>
      </w:r>
      <w:r w:rsidRPr="005A0A43">
        <w:rPr>
          <w:rFonts w:cs="Arial"/>
          <w:szCs w:val="18"/>
        </w:rPr>
        <w:t xml:space="preserve"> </w:t>
      </w:r>
      <w:hyperlink r:id="rId358" w:history="1">
        <w:r w:rsidRPr="005A0A43">
          <w:rPr>
            <w:rStyle w:val="Hyperlink"/>
            <w:rFonts w:cs="Arial"/>
            <w:szCs w:val="18"/>
          </w:rPr>
          <w:t>AIHS</w:t>
        </w:r>
      </w:hyperlink>
      <w:r w:rsidRPr="005A0A43">
        <w:rPr>
          <w:rFonts w:cs="Arial"/>
          <w:szCs w:val="18"/>
        </w:rPr>
        <w:t>, Submission, p 11.</w:t>
      </w:r>
    </w:p>
  </w:footnote>
  <w:footnote w:id="474">
    <w:p w14:paraId="5604637B" w14:textId="77777777" w:rsidR="00905A93" w:rsidRPr="005A0A43" w:rsidRDefault="00905A93" w:rsidP="00905A93">
      <w:pPr>
        <w:pStyle w:val="FootnoteText"/>
        <w:rPr>
          <w:rFonts w:cs="Arial"/>
          <w:szCs w:val="18"/>
        </w:rPr>
      </w:pPr>
      <w:r w:rsidRPr="005A0A43">
        <w:rPr>
          <w:rStyle w:val="FootnoteReference"/>
          <w:rFonts w:cs="Arial"/>
          <w:szCs w:val="18"/>
        </w:rPr>
        <w:footnoteRef/>
      </w:r>
      <w:r w:rsidRPr="005A0A43">
        <w:rPr>
          <w:rFonts w:cs="Arial"/>
          <w:szCs w:val="18"/>
        </w:rPr>
        <w:t xml:space="preserve"> </w:t>
      </w:r>
      <w:hyperlink r:id="rId359" w:history="1">
        <w:r w:rsidRPr="005A0A43">
          <w:rPr>
            <w:rStyle w:val="Hyperlink"/>
            <w:rFonts w:cs="Arial"/>
            <w:szCs w:val="18"/>
          </w:rPr>
          <w:t>Australian Institute of Company Directors</w:t>
        </w:r>
      </w:hyperlink>
      <w:r w:rsidRPr="005A0A43">
        <w:rPr>
          <w:rFonts w:cs="Arial"/>
          <w:szCs w:val="18"/>
        </w:rPr>
        <w:t>, Submission, pp 6–7.</w:t>
      </w:r>
    </w:p>
  </w:footnote>
  <w:footnote w:id="475">
    <w:p w14:paraId="01693E67" w14:textId="56697C5C" w:rsidR="00BF2FAC" w:rsidRPr="005A0A43" w:rsidRDefault="00BF2FAC" w:rsidP="00BF2FAC">
      <w:pPr>
        <w:pStyle w:val="FootnoteText"/>
        <w:rPr>
          <w:rFonts w:cs="Arial"/>
          <w:szCs w:val="18"/>
        </w:rPr>
      </w:pPr>
      <w:r w:rsidRPr="005A0A43">
        <w:rPr>
          <w:rStyle w:val="FootnoteReference"/>
          <w:rFonts w:cs="Arial"/>
          <w:szCs w:val="18"/>
        </w:rPr>
        <w:footnoteRef/>
      </w:r>
      <w:r w:rsidRPr="005A0A43">
        <w:rPr>
          <w:rFonts w:cs="Arial"/>
          <w:szCs w:val="18"/>
        </w:rPr>
        <w:t xml:space="preserve"> Safe Work Australia, </w:t>
      </w:r>
      <w:hyperlink r:id="rId360" w:history="1">
        <w:r w:rsidRPr="005A0A43">
          <w:rPr>
            <w:rStyle w:val="Hyperlink"/>
            <w:rFonts w:cs="Arial"/>
            <w:i/>
            <w:szCs w:val="18"/>
          </w:rPr>
          <w:t xml:space="preserve">Review of the model Work Health and Safety </w:t>
        </w:r>
        <w:r>
          <w:rPr>
            <w:rStyle w:val="Hyperlink"/>
            <w:rFonts w:cs="Arial"/>
            <w:i/>
            <w:szCs w:val="18"/>
          </w:rPr>
          <w:t>l</w:t>
        </w:r>
        <w:r w:rsidRPr="005A0A43">
          <w:rPr>
            <w:rStyle w:val="Hyperlink"/>
            <w:rFonts w:cs="Arial"/>
            <w:i/>
            <w:szCs w:val="18"/>
          </w:rPr>
          <w:t>aws</w:t>
        </w:r>
        <w:r>
          <w:rPr>
            <w:rStyle w:val="Hyperlink"/>
            <w:rFonts w:cs="Arial"/>
            <w:i/>
            <w:szCs w:val="18"/>
          </w:rPr>
          <w:t xml:space="preserve">: </w:t>
        </w:r>
        <w:r w:rsidRPr="005A0A43">
          <w:rPr>
            <w:rStyle w:val="Hyperlink"/>
            <w:rFonts w:cs="Arial"/>
            <w:i/>
            <w:szCs w:val="18"/>
          </w:rPr>
          <w:t>Final report</w:t>
        </w:r>
      </w:hyperlink>
      <w:r w:rsidRPr="005A0A43">
        <w:rPr>
          <w:rFonts w:cs="Arial"/>
          <w:szCs w:val="18"/>
        </w:rPr>
        <w:t xml:space="preserve">, </w:t>
      </w:r>
      <w:r>
        <w:rPr>
          <w:rFonts w:cs="Arial"/>
          <w:szCs w:val="18"/>
        </w:rPr>
        <w:t xml:space="preserve">Safe Work Australia, </w:t>
      </w:r>
      <w:r w:rsidRPr="005A0A43">
        <w:rPr>
          <w:rFonts w:cs="Arial"/>
          <w:szCs w:val="18"/>
        </w:rPr>
        <w:t>2018, Recommendation 26.</w:t>
      </w:r>
    </w:p>
  </w:footnote>
  <w:footnote w:id="476">
    <w:p w14:paraId="3D8BAB4B" w14:textId="77777777" w:rsidR="00BF2FAC" w:rsidRPr="005A0A43" w:rsidRDefault="00BF2FAC" w:rsidP="00BF2FAC">
      <w:pPr>
        <w:pStyle w:val="FootnoteText"/>
        <w:rPr>
          <w:rFonts w:cs="Arial"/>
          <w:szCs w:val="18"/>
        </w:rPr>
      </w:pPr>
      <w:r w:rsidRPr="005A0A43">
        <w:rPr>
          <w:rStyle w:val="FootnoteReference"/>
          <w:rFonts w:cs="Arial"/>
          <w:szCs w:val="18"/>
        </w:rPr>
        <w:footnoteRef/>
      </w:r>
      <w:r w:rsidRPr="005A0A43">
        <w:rPr>
          <w:rFonts w:eastAsia="Arial" w:cs="Arial"/>
          <w:szCs w:val="18"/>
        </w:rPr>
        <w:t xml:space="preserve"> Australian Consumer Law</w:t>
      </w:r>
      <w:r>
        <w:rPr>
          <w:rFonts w:eastAsia="Arial" w:cs="Arial"/>
          <w:szCs w:val="18"/>
        </w:rPr>
        <w:t>,</w:t>
      </w:r>
      <w:r w:rsidRPr="005A0A43">
        <w:rPr>
          <w:rFonts w:eastAsia="Arial" w:cs="Arial"/>
          <w:szCs w:val="18"/>
        </w:rPr>
        <w:t xml:space="preserve"> </w:t>
      </w:r>
      <w:r w:rsidRPr="005A0A43">
        <w:rPr>
          <w:rFonts w:eastAsia="Arial" w:cs="Arial"/>
          <w:i/>
          <w:szCs w:val="18"/>
        </w:rPr>
        <w:t>Australian Competition and Consumer Act</w:t>
      </w:r>
      <w:r w:rsidRPr="005A0A43">
        <w:rPr>
          <w:rFonts w:eastAsia="Arial" w:cs="Arial"/>
          <w:szCs w:val="18"/>
        </w:rPr>
        <w:t xml:space="preserve"> </w:t>
      </w:r>
      <w:r w:rsidRPr="00C3222C">
        <w:rPr>
          <w:rFonts w:eastAsia="Arial" w:cs="Arial"/>
          <w:i/>
          <w:szCs w:val="18"/>
        </w:rPr>
        <w:t>2010</w:t>
      </w:r>
      <w:r>
        <w:rPr>
          <w:rFonts w:eastAsia="Arial" w:cs="Arial"/>
          <w:szCs w:val="18"/>
        </w:rPr>
        <w:t xml:space="preserve"> (Cth), Sch 2</w:t>
      </w:r>
      <w:r w:rsidRPr="005A0A43" w:rsidDel="007A1D03">
        <w:rPr>
          <w:rFonts w:eastAsia="Arial" w:cs="Arial"/>
          <w:szCs w:val="18"/>
        </w:rPr>
        <w:t>,</w:t>
      </w:r>
      <w:r w:rsidRPr="005A0A43">
        <w:rPr>
          <w:rFonts w:eastAsia="Arial" w:cs="Arial"/>
          <w:szCs w:val="18"/>
        </w:rPr>
        <w:t xml:space="preserve"> s 229.</w:t>
      </w:r>
    </w:p>
  </w:footnote>
  <w:footnote w:id="477">
    <w:p w14:paraId="7584394F" w14:textId="213BFE03" w:rsidR="000865C1" w:rsidRPr="005A0A43" w:rsidRDefault="000865C1" w:rsidP="000865C1">
      <w:pPr>
        <w:pStyle w:val="FootnoteText"/>
        <w:rPr>
          <w:rFonts w:cs="Arial"/>
          <w:szCs w:val="18"/>
        </w:rPr>
      </w:pPr>
      <w:r w:rsidRPr="005A0A43">
        <w:rPr>
          <w:rStyle w:val="FootnoteReference"/>
          <w:rFonts w:cs="Arial"/>
          <w:szCs w:val="18"/>
        </w:rPr>
        <w:footnoteRef/>
      </w:r>
      <w:r w:rsidRPr="005A0A43">
        <w:rPr>
          <w:rFonts w:cs="Arial"/>
          <w:szCs w:val="18"/>
        </w:rPr>
        <w:t xml:space="preserve"> WorkSafe WA (Bunbury), Consultation, September 2025; Working Women’s Centre NT, Consultation, September 2025.</w:t>
      </w:r>
    </w:p>
  </w:footnote>
  <w:footnote w:id="478">
    <w:p w14:paraId="3B84B3C9" w14:textId="77777777" w:rsidR="00430B24" w:rsidRPr="005A0A43" w:rsidRDefault="00430B24" w:rsidP="00430B24">
      <w:pPr>
        <w:pStyle w:val="FootnoteText"/>
        <w:rPr>
          <w:rFonts w:cs="Arial"/>
          <w:szCs w:val="18"/>
        </w:rPr>
      </w:pPr>
      <w:r w:rsidRPr="005A0A43">
        <w:rPr>
          <w:rStyle w:val="FootnoteReference"/>
          <w:rFonts w:cs="Arial"/>
          <w:szCs w:val="18"/>
        </w:rPr>
        <w:footnoteRef/>
      </w:r>
      <w:r w:rsidRPr="005A0A43">
        <w:rPr>
          <w:rFonts w:cs="Arial"/>
          <w:szCs w:val="18"/>
        </w:rPr>
        <w:t xml:space="preserve"> Model WHS Act, Appendix, Jurisdictional Notes, p 238.</w:t>
      </w:r>
    </w:p>
  </w:footnote>
  <w:footnote w:id="479">
    <w:p w14:paraId="6CF2016E" w14:textId="0F0D87C0" w:rsidR="00430B24" w:rsidRPr="005A0A43" w:rsidRDefault="00430B24" w:rsidP="00430B24">
      <w:pPr>
        <w:pStyle w:val="FootnoteText"/>
        <w:rPr>
          <w:rFonts w:cs="Arial"/>
          <w:szCs w:val="18"/>
        </w:rPr>
      </w:pPr>
      <w:r w:rsidRPr="005A0A43">
        <w:rPr>
          <w:rStyle w:val="FootnoteReference"/>
          <w:rFonts w:cs="Arial"/>
          <w:szCs w:val="18"/>
        </w:rPr>
        <w:footnoteRef/>
      </w:r>
      <w:r w:rsidRPr="005A0A43">
        <w:rPr>
          <w:rFonts w:cs="Arial"/>
          <w:szCs w:val="18"/>
        </w:rPr>
        <w:t xml:space="preserve"> Safe Work Australia, </w:t>
      </w:r>
      <w:hyperlink r:id="rId361" w:history="1">
        <w:r w:rsidRPr="005A0A43">
          <w:rPr>
            <w:rStyle w:val="Hyperlink"/>
            <w:rFonts w:cs="Arial"/>
            <w:i/>
            <w:szCs w:val="18"/>
          </w:rPr>
          <w:t>Maximum monetary penalties comparison table</w:t>
        </w:r>
      </w:hyperlink>
      <w:r w:rsidRPr="005A0A43">
        <w:rPr>
          <w:rFonts w:cs="Arial"/>
          <w:szCs w:val="18"/>
        </w:rPr>
        <w:t xml:space="preserve">, </w:t>
      </w:r>
      <w:r>
        <w:rPr>
          <w:rFonts w:cs="Arial"/>
          <w:szCs w:val="18"/>
        </w:rPr>
        <w:t>Safe Work Australia w</w:t>
      </w:r>
      <w:r w:rsidRPr="005A0A43">
        <w:rPr>
          <w:rFonts w:cs="Arial"/>
          <w:szCs w:val="18"/>
        </w:rPr>
        <w:t xml:space="preserve">ebsite, </w:t>
      </w:r>
      <w:r>
        <w:rPr>
          <w:rFonts w:cs="Arial"/>
          <w:szCs w:val="18"/>
        </w:rPr>
        <w:t xml:space="preserve">2025, </w:t>
      </w:r>
      <w:r w:rsidRPr="005A0A43">
        <w:rPr>
          <w:rFonts w:cs="Arial"/>
          <w:szCs w:val="18"/>
        </w:rPr>
        <w:t>accessed 5</w:t>
      </w:r>
      <w:r w:rsidR="00206165">
        <w:rPr>
          <w:rFonts w:cs="Arial"/>
          <w:szCs w:val="18"/>
        </w:rPr>
        <w:t> </w:t>
      </w:r>
      <w:r w:rsidRPr="005A0A43">
        <w:rPr>
          <w:rFonts w:cs="Arial"/>
          <w:szCs w:val="18"/>
        </w:rPr>
        <w:t>May</w:t>
      </w:r>
      <w:r w:rsidR="00206165">
        <w:rPr>
          <w:rFonts w:cs="Arial"/>
          <w:szCs w:val="18"/>
        </w:rPr>
        <w:t> </w:t>
      </w:r>
      <w:r w:rsidRPr="005A0A43">
        <w:rPr>
          <w:rFonts w:cs="Arial"/>
          <w:szCs w:val="18"/>
        </w:rPr>
        <w:t>2026.</w:t>
      </w:r>
    </w:p>
  </w:footnote>
  <w:footnote w:id="480">
    <w:p w14:paraId="1B2DC9E1" w14:textId="5BDED580" w:rsidR="00806AA7" w:rsidRPr="005A0A43" w:rsidRDefault="00806AA7" w:rsidP="00806AA7">
      <w:pPr>
        <w:pStyle w:val="FootnoteText"/>
        <w:rPr>
          <w:rFonts w:cs="Arial"/>
          <w:szCs w:val="18"/>
        </w:rPr>
      </w:pPr>
      <w:r w:rsidRPr="005A0A43">
        <w:rPr>
          <w:rStyle w:val="FootnoteReference"/>
          <w:rFonts w:cs="Arial"/>
          <w:szCs w:val="18"/>
        </w:rPr>
        <w:footnoteRef/>
      </w:r>
      <w:r w:rsidRPr="005A0A43">
        <w:rPr>
          <w:rFonts w:cs="Arial"/>
          <w:szCs w:val="18"/>
        </w:rPr>
        <w:t xml:space="preserve"> HWSA, Consultation, September 2025; WorkSafe Tas, Consultation, September 2025.</w:t>
      </w:r>
    </w:p>
  </w:footnote>
  <w:footnote w:id="481">
    <w:p w14:paraId="46A68C63" w14:textId="6C2937B9" w:rsidR="00806AA7" w:rsidRPr="005A0A43" w:rsidRDefault="00806AA7" w:rsidP="00806AA7">
      <w:pPr>
        <w:pStyle w:val="FootnoteText"/>
        <w:ind w:right="-166"/>
        <w:rPr>
          <w:rFonts w:cs="Arial"/>
          <w:szCs w:val="18"/>
        </w:rPr>
      </w:pPr>
      <w:r w:rsidRPr="005A0A43">
        <w:rPr>
          <w:rStyle w:val="FootnoteReference"/>
          <w:rFonts w:cs="Arial"/>
          <w:szCs w:val="18"/>
        </w:rPr>
        <w:footnoteRef/>
      </w:r>
      <w:r w:rsidRPr="005A0A43">
        <w:rPr>
          <w:rFonts w:cs="Arial"/>
          <w:szCs w:val="18"/>
        </w:rPr>
        <w:t xml:space="preserve"> </w:t>
      </w:r>
      <w:hyperlink r:id="rId362" w:history="1">
        <w:r w:rsidRPr="005A0A43">
          <w:rPr>
            <w:rStyle w:val="Hyperlink"/>
            <w:rFonts w:cs="Arial"/>
            <w:szCs w:val="18"/>
          </w:rPr>
          <w:t>New South Wales Nurses and Midwives Association</w:t>
        </w:r>
      </w:hyperlink>
      <w:r w:rsidRPr="005A0A43">
        <w:rPr>
          <w:rFonts w:cs="Arial"/>
          <w:szCs w:val="18"/>
        </w:rPr>
        <w:t>, Submission, p 16.</w:t>
      </w:r>
    </w:p>
  </w:footnote>
  <w:footnote w:id="482">
    <w:p w14:paraId="7E648F06" w14:textId="2BB0BBE9" w:rsidR="00430B24" w:rsidRPr="005A0A43" w:rsidRDefault="00430B24" w:rsidP="00430B24">
      <w:pPr>
        <w:pStyle w:val="FootnoteText"/>
        <w:rPr>
          <w:rFonts w:cs="Arial"/>
          <w:szCs w:val="18"/>
        </w:rPr>
      </w:pPr>
      <w:r w:rsidRPr="005A0A43">
        <w:rPr>
          <w:rStyle w:val="FootnoteReference"/>
          <w:rFonts w:cs="Arial"/>
          <w:szCs w:val="18"/>
        </w:rPr>
        <w:footnoteRef/>
      </w:r>
      <w:r w:rsidRPr="005A0A43">
        <w:rPr>
          <w:rFonts w:cs="Arial"/>
          <w:szCs w:val="18"/>
        </w:rPr>
        <w:t xml:space="preserve"> </w:t>
      </w:r>
      <w:hyperlink r:id="rId363" w:history="1">
        <w:r w:rsidRPr="005A0A43">
          <w:rPr>
            <w:rStyle w:val="Hyperlink"/>
            <w:rFonts w:cs="Arial"/>
            <w:szCs w:val="18"/>
          </w:rPr>
          <w:t>WorkSafe WA</w:t>
        </w:r>
      </w:hyperlink>
      <w:r w:rsidRPr="005A0A43">
        <w:rPr>
          <w:rFonts w:cs="Arial"/>
          <w:szCs w:val="18"/>
        </w:rPr>
        <w:t>, Submission, p 24.</w:t>
      </w:r>
    </w:p>
  </w:footnote>
  <w:footnote w:id="483">
    <w:p w14:paraId="72CFC9F2" w14:textId="77777777" w:rsidR="00430B24" w:rsidRPr="00E973D2" w:rsidRDefault="00430B24" w:rsidP="00430B24">
      <w:pPr>
        <w:pStyle w:val="FootnoteText"/>
        <w:rPr>
          <w:rFonts w:cs="Arial"/>
          <w:szCs w:val="18"/>
        </w:rPr>
      </w:pPr>
      <w:r w:rsidRPr="005A0A43">
        <w:rPr>
          <w:rStyle w:val="FootnoteReference"/>
          <w:rFonts w:cs="Arial"/>
          <w:szCs w:val="18"/>
        </w:rPr>
        <w:footnoteRef/>
      </w:r>
      <w:r w:rsidRPr="005A0A43">
        <w:rPr>
          <w:rFonts w:cs="Arial"/>
          <w:szCs w:val="18"/>
        </w:rPr>
        <w:t xml:space="preserve"> </w:t>
      </w:r>
      <w:hyperlink r:id="rId364" w:history="1">
        <w:r w:rsidRPr="005A0A43">
          <w:rPr>
            <w:rStyle w:val="Hyperlink"/>
            <w:rFonts w:cs="Arial"/>
            <w:szCs w:val="18"/>
          </w:rPr>
          <w:t>Australian Industry Group</w:t>
        </w:r>
      </w:hyperlink>
      <w:r w:rsidRPr="005A0A43">
        <w:rPr>
          <w:rFonts w:cs="Arial"/>
          <w:szCs w:val="18"/>
        </w:rPr>
        <w:t>, Submission, p 13.</w:t>
      </w:r>
    </w:p>
  </w:footnote>
  <w:footnote w:id="484">
    <w:p w14:paraId="3D2CF80A" w14:textId="1E9D9E45" w:rsidR="00F964EE" w:rsidRPr="005A0A43" w:rsidRDefault="00F964EE" w:rsidP="00F964EE">
      <w:pPr>
        <w:pStyle w:val="FootnoteText"/>
        <w:rPr>
          <w:rFonts w:cstheme="minorHAnsi"/>
          <w:szCs w:val="18"/>
        </w:rPr>
      </w:pPr>
      <w:r w:rsidRPr="005A0A43">
        <w:rPr>
          <w:rStyle w:val="FootnoteReference"/>
          <w:rFonts w:cs="Arial"/>
          <w:szCs w:val="18"/>
        </w:rPr>
        <w:footnoteRef/>
      </w:r>
      <w:r w:rsidRPr="005A0A43">
        <w:rPr>
          <w:rFonts w:cs="Arial"/>
          <w:szCs w:val="18"/>
        </w:rPr>
        <w:t xml:space="preserve"> </w:t>
      </w:r>
      <w:r w:rsidRPr="005A0A43">
        <w:rPr>
          <w:rFonts w:cs="Arial"/>
          <w:i/>
          <w:szCs w:val="18"/>
        </w:rPr>
        <w:t xml:space="preserve">Work Health and Safety Legislation Amendment (Offences and Penalties) </w:t>
      </w:r>
      <w:r w:rsidRPr="00C3222C">
        <w:rPr>
          <w:rFonts w:cs="Arial"/>
          <w:i/>
          <w:szCs w:val="18"/>
        </w:rPr>
        <w:t>2023</w:t>
      </w:r>
      <w:r>
        <w:rPr>
          <w:rFonts w:cs="Arial"/>
          <w:szCs w:val="18"/>
        </w:rPr>
        <w:t xml:space="preserve"> (Cth), S</w:t>
      </w:r>
      <w:r w:rsidRPr="005A0A43">
        <w:rPr>
          <w:rFonts w:cs="Arial"/>
          <w:szCs w:val="18"/>
        </w:rPr>
        <w:t>ch</w:t>
      </w:r>
      <w:r>
        <w:rPr>
          <w:rFonts w:cs="Arial"/>
          <w:szCs w:val="18"/>
        </w:rPr>
        <w:t xml:space="preserve"> </w:t>
      </w:r>
      <w:r w:rsidRPr="005A0A43">
        <w:rPr>
          <w:rFonts w:cs="Arial"/>
          <w:szCs w:val="18"/>
        </w:rPr>
        <w:t>2; model WHS Act, Appendix, Jurisdictional Notes</w:t>
      </w:r>
      <w:r>
        <w:rPr>
          <w:rFonts w:cs="Arial"/>
          <w:szCs w:val="18"/>
        </w:rPr>
        <w:t>,</w:t>
      </w:r>
      <w:r w:rsidRPr="005A0A43">
        <w:rPr>
          <w:rFonts w:cs="Arial"/>
          <w:szCs w:val="18"/>
        </w:rPr>
        <w:t xml:space="preserve"> p 233.</w:t>
      </w:r>
    </w:p>
  </w:footnote>
  <w:footnote w:id="485">
    <w:p w14:paraId="013476CC" w14:textId="77777777" w:rsidR="00F964EE" w:rsidRPr="005A0A43" w:rsidRDefault="00F964EE" w:rsidP="00F964EE">
      <w:pPr>
        <w:pStyle w:val="FootnoteText"/>
        <w:rPr>
          <w:rFonts w:cs="Arial"/>
          <w:szCs w:val="18"/>
        </w:rPr>
      </w:pPr>
      <w:r w:rsidRPr="005A0A43">
        <w:rPr>
          <w:rStyle w:val="FootnoteReference"/>
          <w:rFonts w:cs="Arial"/>
          <w:szCs w:val="18"/>
        </w:rPr>
        <w:footnoteRef/>
      </w:r>
      <w:r w:rsidRPr="005A0A43">
        <w:rPr>
          <w:rFonts w:cs="Arial"/>
          <w:szCs w:val="18"/>
        </w:rPr>
        <w:t xml:space="preserve"> Meetings of Work Health and Safety Ministers Communiqués, </w:t>
      </w:r>
      <w:hyperlink r:id="rId365" w:history="1">
        <w:r w:rsidRPr="005A0A43">
          <w:rPr>
            <w:rStyle w:val="Hyperlink"/>
            <w:rFonts w:cs="Arial"/>
            <w:i/>
            <w:szCs w:val="18"/>
          </w:rPr>
          <w:t xml:space="preserve">Meeting of Ministers – 28 February 2023 </w:t>
        </w:r>
      </w:hyperlink>
      <w:r w:rsidRPr="005A0A43">
        <w:rPr>
          <w:rFonts w:cs="Arial"/>
          <w:szCs w:val="18"/>
        </w:rPr>
        <w:t>[</w:t>
      </w:r>
      <w:r>
        <w:rPr>
          <w:rFonts w:cs="Arial"/>
          <w:szCs w:val="18"/>
        </w:rPr>
        <w:t>d</w:t>
      </w:r>
      <w:r w:rsidRPr="005A0A43">
        <w:rPr>
          <w:rFonts w:cs="Arial"/>
          <w:szCs w:val="18"/>
        </w:rPr>
        <w:t xml:space="preserve">epartmental document], Department of Employment and Workplace Relations, </w:t>
      </w:r>
      <w:r>
        <w:rPr>
          <w:rFonts w:cs="Arial"/>
          <w:szCs w:val="18"/>
        </w:rPr>
        <w:t xml:space="preserve">Australian Government, </w:t>
      </w:r>
      <w:r w:rsidRPr="005A0A43">
        <w:rPr>
          <w:rFonts w:cs="Arial"/>
          <w:szCs w:val="18"/>
        </w:rPr>
        <w:t>accessed 29 July 2025. It is noted that jurisdictional notes should ordinarily only be used to facilitate model WHS law provisions operating within other state and territory legislative frameworks</w:t>
      </w:r>
      <w:r>
        <w:rPr>
          <w:rFonts w:cs="Arial"/>
          <w:szCs w:val="18"/>
        </w:rPr>
        <w:t>,</w:t>
      </w:r>
      <w:r w:rsidRPr="005A0A43">
        <w:rPr>
          <w:rFonts w:cs="Arial"/>
          <w:szCs w:val="18"/>
        </w:rPr>
        <w:t xml:space="preserve"> such as criminal law frameworks.</w:t>
      </w:r>
    </w:p>
  </w:footnote>
  <w:footnote w:id="486">
    <w:p w14:paraId="54BE1772" w14:textId="29526A6D" w:rsidR="00F964EE" w:rsidRPr="005A0A43" w:rsidRDefault="00F964EE" w:rsidP="00F964EE">
      <w:pPr>
        <w:pStyle w:val="FootnoteText"/>
        <w:rPr>
          <w:rFonts w:cs="Arial"/>
          <w:szCs w:val="18"/>
        </w:rPr>
      </w:pPr>
      <w:r w:rsidRPr="005A0A43">
        <w:rPr>
          <w:rStyle w:val="FootnoteReference"/>
          <w:rFonts w:cs="Arial"/>
          <w:szCs w:val="18"/>
        </w:rPr>
        <w:footnoteRef/>
      </w:r>
      <w:r w:rsidRPr="005A0A43">
        <w:rPr>
          <w:rFonts w:cs="Arial"/>
          <w:szCs w:val="18"/>
        </w:rPr>
        <w:t xml:space="preserve"> For example, all the jurisdictions other than </w:t>
      </w:r>
      <w:r>
        <w:rPr>
          <w:rFonts w:cs="Arial"/>
          <w:szCs w:val="18"/>
        </w:rPr>
        <w:t xml:space="preserve">Queensland </w:t>
      </w:r>
      <w:r w:rsidRPr="005A0A43">
        <w:rPr>
          <w:rFonts w:cs="Arial"/>
          <w:szCs w:val="18"/>
        </w:rPr>
        <w:t xml:space="preserve">apply the same definition of </w:t>
      </w:r>
      <w:r>
        <w:rPr>
          <w:rFonts w:cs="Arial"/>
          <w:szCs w:val="18"/>
        </w:rPr>
        <w:t>‘</w:t>
      </w:r>
      <w:r w:rsidRPr="005A0A43">
        <w:rPr>
          <w:rFonts w:cs="Arial"/>
          <w:szCs w:val="18"/>
        </w:rPr>
        <w:t>officer</w:t>
      </w:r>
      <w:r>
        <w:rPr>
          <w:rFonts w:cs="Arial"/>
          <w:szCs w:val="18"/>
        </w:rPr>
        <w:t>’</w:t>
      </w:r>
      <w:r w:rsidRPr="005A0A43">
        <w:rPr>
          <w:rFonts w:cs="Arial"/>
          <w:szCs w:val="18"/>
        </w:rPr>
        <w:t xml:space="preserve"> for industrial manslaughter offences as that which applies for all other offences under the WHS </w:t>
      </w:r>
      <w:r>
        <w:rPr>
          <w:rFonts w:cs="Arial"/>
          <w:szCs w:val="18"/>
        </w:rPr>
        <w:t>l</w:t>
      </w:r>
      <w:r w:rsidRPr="005A0A43">
        <w:rPr>
          <w:rFonts w:cs="Arial"/>
          <w:szCs w:val="18"/>
        </w:rPr>
        <w:t>egislation. See Q</w:t>
      </w:r>
      <w:r>
        <w:rPr>
          <w:rFonts w:cs="Arial"/>
          <w:szCs w:val="18"/>
        </w:rPr>
        <w:t>ueensland</w:t>
      </w:r>
      <w:r w:rsidRPr="005A0A43">
        <w:rPr>
          <w:rFonts w:cs="Arial"/>
          <w:szCs w:val="18"/>
        </w:rPr>
        <w:t xml:space="preserve"> WHS Act, s 34D.</w:t>
      </w:r>
    </w:p>
  </w:footnote>
  <w:footnote w:id="487">
    <w:p w14:paraId="1B96581E" w14:textId="5A9E6E4E" w:rsidR="00F964EE" w:rsidRPr="005A0A43" w:rsidRDefault="00F964EE" w:rsidP="00F964EE">
      <w:pPr>
        <w:pStyle w:val="FootnoteText"/>
        <w:rPr>
          <w:rFonts w:cs="Arial"/>
          <w:szCs w:val="18"/>
        </w:rPr>
      </w:pPr>
      <w:r w:rsidRPr="005A0A43">
        <w:rPr>
          <w:rStyle w:val="FootnoteReference"/>
          <w:rFonts w:cs="Arial"/>
          <w:szCs w:val="18"/>
        </w:rPr>
        <w:footnoteRef/>
      </w:r>
      <w:r w:rsidRPr="005A0A43">
        <w:rPr>
          <w:rFonts w:cs="Arial"/>
          <w:szCs w:val="18"/>
        </w:rPr>
        <w:t xml:space="preserve"> Victoria and </w:t>
      </w:r>
      <w:r w:rsidRPr="005A0A43">
        <w:rPr>
          <w:rFonts w:eastAsia="Arial" w:cs="Arial"/>
          <w:szCs w:val="18"/>
        </w:rPr>
        <w:t xml:space="preserve">NSW’s newest industrial manslaughter offence will carry the highest maximum penalties of all jurisdictions, with a $20 million fine for body corporates and 25 years imprisonment for individual offenders. Vic OHS Act, s 39G(1); </w:t>
      </w:r>
      <w:r w:rsidRPr="005A0A43">
        <w:rPr>
          <w:rFonts w:cs="Arial"/>
          <w:szCs w:val="18"/>
        </w:rPr>
        <w:t>NSW</w:t>
      </w:r>
      <w:r w:rsidR="000F149E">
        <w:rPr>
          <w:rFonts w:cs="Arial"/>
          <w:szCs w:val="18"/>
        </w:rPr>
        <w:t> </w:t>
      </w:r>
      <w:r w:rsidRPr="005A0A43">
        <w:rPr>
          <w:rFonts w:cs="Arial"/>
          <w:szCs w:val="18"/>
        </w:rPr>
        <w:t>WHS Act, s 34C as amended by W</w:t>
      </w:r>
      <w:r w:rsidRPr="005A0A43">
        <w:rPr>
          <w:rFonts w:cs="Arial"/>
          <w:i/>
          <w:szCs w:val="18"/>
        </w:rPr>
        <w:t xml:space="preserve">ork Health and Safety Amendment (Industrial Manslaughter) Act 2024 </w:t>
      </w:r>
      <w:r w:rsidRPr="005A0A43">
        <w:rPr>
          <w:rFonts w:cs="Arial"/>
          <w:szCs w:val="18"/>
        </w:rPr>
        <w:t xml:space="preserve">(NSW), </w:t>
      </w:r>
      <w:r>
        <w:rPr>
          <w:rFonts w:cs="Arial"/>
          <w:szCs w:val="18"/>
        </w:rPr>
        <w:t>S</w:t>
      </w:r>
      <w:r w:rsidRPr="005A0A43">
        <w:rPr>
          <w:rFonts w:cs="Arial"/>
          <w:szCs w:val="18"/>
        </w:rPr>
        <w:t>ch</w:t>
      </w:r>
      <w:r>
        <w:rPr>
          <w:rFonts w:cs="Arial"/>
          <w:szCs w:val="18"/>
        </w:rPr>
        <w:t xml:space="preserve"> </w:t>
      </w:r>
      <w:r w:rsidRPr="005A0A43">
        <w:rPr>
          <w:rFonts w:cs="Arial"/>
          <w:szCs w:val="18"/>
        </w:rPr>
        <w:t>1</w:t>
      </w:r>
      <w:r>
        <w:rPr>
          <w:rFonts w:cs="Arial"/>
          <w:szCs w:val="18"/>
        </w:rPr>
        <w:t>,</w:t>
      </w:r>
      <w:r w:rsidRPr="005A0A43">
        <w:rPr>
          <w:rFonts w:cs="Arial"/>
          <w:szCs w:val="18"/>
        </w:rPr>
        <w:t xml:space="preserve"> cl</w:t>
      </w:r>
      <w:r w:rsidR="000F149E">
        <w:rPr>
          <w:rFonts w:cs="Arial"/>
          <w:szCs w:val="18"/>
        </w:rPr>
        <w:t> </w:t>
      </w:r>
      <w:r w:rsidRPr="005A0A43">
        <w:rPr>
          <w:rFonts w:cs="Arial"/>
          <w:szCs w:val="18"/>
        </w:rPr>
        <w:t>2.</w:t>
      </w:r>
      <w:r w:rsidRPr="005A0A43">
        <w:rPr>
          <w:rFonts w:cs="Arial"/>
          <w:i/>
          <w:szCs w:val="18"/>
        </w:rPr>
        <w:t xml:space="preserve"> </w:t>
      </w:r>
      <w:r w:rsidRPr="005A0A43">
        <w:rPr>
          <w:rFonts w:cs="Arial"/>
          <w:szCs w:val="18"/>
        </w:rPr>
        <w:t>The Commonwealth also has a 25 years</w:t>
      </w:r>
      <w:r>
        <w:rPr>
          <w:rFonts w:cs="Arial"/>
          <w:szCs w:val="18"/>
        </w:rPr>
        <w:t>’</w:t>
      </w:r>
      <w:r w:rsidRPr="005A0A43">
        <w:rPr>
          <w:rFonts w:cs="Arial"/>
          <w:szCs w:val="18"/>
        </w:rPr>
        <w:t xml:space="preserve"> imprisonment penalty but</w:t>
      </w:r>
      <w:r>
        <w:rPr>
          <w:rFonts w:cs="Arial"/>
          <w:szCs w:val="18"/>
        </w:rPr>
        <w:t>,</w:t>
      </w:r>
      <w:r w:rsidRPr="005A0A43">
        <w:rPr>
          <w:rFonts w:cs="Arial"/>
          <w:szCs w:val="18"/>
        </w:rPr>
        <w:t xml:space="preserve"> along with Tasmania, South Australia and ACT, has adopted the model WHS law penalty, without indexation, of $18 million for a body corporate: Tas WHS Act</w:t>
      </w:r>
      <w:r>
        <w:rPr>
          <w:rFonts w:cs="Arial"/>
          <w:szCs w:val="18"/>
        </w:rPr>
        <w:t>,</w:t>
      </w:r>
      <w:r w:rsidRPr="005A0A43">
        <w:rPr>
          <w:rFonts w:cs="Arial"/>
          <w:szCs w:val="18"/>
        </w:rPr>
        <w:t xml:space="preserve"> s 29C; SA WHS Act, s</w:t>
      </w:r>
      <w:r>
        <w:rPr>
          <w:rFonts w:cs="Arial"/>
          <w:szCs w:val="18"/>
        </w:rPr>
        <w:t> </w:t>
      </w:r>
      <w:r w:rsidRPr="005A0A43">
        <w:rPr>
          <w:rFonts w:cs="Arial"/>
          <w:szCs w:val="18"/>
        </w:rPr>
        <w:t xml:space="preserve">30A(1)(b); ACT WHS Act, </w:t>
      </w:r>
      <w:r>
        <w:rPr>
          <w:rFonts w:cs="Arial"/>
          <w:szCs w:val="18"/>
        </w:rPr>
        <w:t>S</w:t>
      </w:r>
      <w:r w:rsidRPr="005A0A43">
        <w:rPr>
          <w:rFonts w:cs="Arial"/>
          <w:szCs w:val="18"/>
        </w:rPr>
        <w:t>ch</w:t>
      </w:r>
      <w:r>
        <w:rPr>
          <w:rFonts w:cs="Arial"/>
          <w:szCs w:val="18"/>
        </w:rPr>
        <w:t xml:space="preserve"> </w:t>
      </w:r>
      <w:r w:rsidRPr="005A0A43">
        <w:rPr>
          <w:rFonts w:cs="Arial"/>
          <w:szCs w:val="18"/>
        </w:rPr>
        <w:t>4, Cth WHS Act, s 30A(1)(b); model WHS Act, Appendix Jurisdiction Notes, p 205.</w:t>
      </w:r>
    </w:p>
  </w:footnote>
  <w:footnote w:id="488">
    <w:p w14:paraId="71BF44D2" w14:textId="77777777" w:rsidR="00912A75" w:rsidRPr="005A0A43" w:rsidRDefault="00912A75" w:rsidP="00912A75">
      <w:pPr>
        <w:pStyle w:val="FootnoteText"/>
        <w:rPr>
          <w:rFonts w:cs="Arial"/>
          <w:szCs w:val="18"/>
        </w:rPr>
      </w:pPr>
      <w:r w:rsidRPr="005A0A43">
        <w:rPr>
          <w:rStyle w:val="FootnoteReference"/>
          <w:rFonts w:cs="Arial"/>
          <w:szCs w:val="18"/>
        </w:rPr>
        <w:footnoteRef/>
      </w:r>
      <w:r w:rsidRPr="005A0A43">
        <w:rPr>
          <w:rFonts w:cs="Arial"/>
          <w:szCs w:val="18"/>
        </w:rPr>
        <w:t xml:space="preserve"> For example</w:t>
      </w:r>
      <w:r>
        <w:rPr>
          <w:rFonts w:cs="Arial"/>
          <w:szCs w:val="18"/>
        </w:rPr>
        <w:t>,</w:t>
      </w:r>
      <w:r w:rsidRPr="005A0A43">
        <w:rPr>
          <w:rFonts w:cs="Arial"/>
          <w:szCs w:val="18"/>
        </w:rPr>
        <w:t xml:space="preserve"> </w:t>
      </w:r>
      <w:hyperlink r:id="rId366" w:history="1">
        <w:r w:rsidRPr="005A0A43">
          <w:rPr>
            <w:rStyle w:val="Hyperlink"/>
            <w:rFonts w:cs="Arial"/>
            <w:szCs w:val="18"/>
          </w:rPr>
          <w:t>Australian Institute of Company Directors</w:t>
        </w:r>
      </w:hyperlink>
      <w:r w:rsidRPr="005A0A43">
        <w:rPr>
          <w:rFonts w:cs="Arial"/>
          <w:szCs w:val="18"/>
        </w:rPr>
        <w:t>, Submission, p 3;</w:t>
      </w:r>
      <w:r w:rsidRPr="005A0A43" w:rsidDel="00CA3675">
        <w:rPr>
          <w:rFonts w:cs="Arial"/>
          <w:szCs w:val="18"/>
        </w:rPr>
        <w:t xml:space="preserve"> </w:t>
      </w:r>
      <w:hyperlink r:id="rId367" w:history="1">
        <w:r w:rsidRPr="005A0A43">
          <w:rPr>
            <w:rStyle w:val="Hyperlink"/>
            <w:rFonts w:cs="Arial"/>
            <w:szCs w:val="18"/>
          </w:rPr>
          <w:t>MBA</w:t>
        </w:r>
      </w:hyperlink>
      <w:r w:rsidRPr="005A0A43">
        <w:rPr>
          <w:rFonts w:cs="Arial"/>
          <w:szCs w:val="18"/>
        </w:rPr>
        <w:t xml:space="preserve">, Submission, p 26; </w:t>
      </w:r>
      <w:hyperlink r:id="rId368" w:history="1">
        <w:r w:rsidRPr="005A0A43">
          <w:rPr>
            <w:rStyle w:val="Hyperlink"/>
            <w:rFonts w:cs="Arial"/>
            <w:szCs w:val="18"/>
          </w:rPr>
          <w:t>Water Services Association of Australia</w:t>
        </w:r>
      </w:hyperlink>
      <w:r w:rsidRPr="005A0A43">
        <w:rPr>
          <w:rFonts w:cs="Arial"/>
          <w:szCs w:val="18"/>
        </w:rPr>
        <w:t>, Submission, p 5.</w:t>
      </w:r>
    </w:p>
  </w:footnote>
  <w:footnote w:id="489">
    <w:p w14:paraId="51C028E5" w14:textId="4C84B855" w:rsidR="00F964EE" w:rsidRPr="005A0A43" w:rsidRDefault="00F964EE" w:rsidP="00F964EE">
      <w:pPr>
        <w:pStyle w:val="FootnoteText"/>
        <w:rPr>
          <w:rFonts w:cs="Arial"/>
          <w:szCs w:val="18"/>
        </w:rPr>
      </w:pPr>
      <w:r w:rsidRPr="005A0A43">
        <w:rPr>
          <w:rStyle w:val="FootnoteReference"/>
          <w:rFonts w:cs="Arial"/>
          <w:szCs w:val="18"/>
        </w:rPr>
        <w:footnoteRef/>
      </w:r>
      <w:r w:rsidRPr="005A0A43">
        <w:rPr>
          <w:rFonts w:cs="Arial"/>
          <w:szCs w:val="18"/>
        </w:rPr>
        <w:t xml:space="preserve"> </w:t>
      </w:r>
      <w:r w:rsidRPr="005A0A43">
        <w:rPr>
          <w:rFonts w:cs="Arial"/>
          <w:i/>
          <w:szCs w:val="18"/>
        </w:rPr>
        <w:t>R v Brisbane Auto Recycling Pty Ltd &amp; Ors</w:t>
      </w:r>
      <w:r w:rsidRPr="005A0A43">
        <w:rPr>
          <w:rFonts w:cs="Arial"/>
          <w:szCs w:val="18"/>
        </w:rPr>
        <w:t xml:space="preserve"> [2020] QDC 113; </w:t>
      </w:r>
      <w:r>
        <w:rPr>
          <w:rFonts w:cs="Arial"/>
          <w:szCs w:val="18"/>
        </w:rPr>
        <w:t>u</w:t>
      </w:r>
      <w:r w:rsidRPr="005A0A43">
        <w:rPr>
          <w:rFonts w:cs="Arial"/>
          <w:szCs w:val="18"/>
        </w:rPr>
        <w:t xml:space="preserve">nreported decision in the Queensland District Court, 2024; </w:t>
      </w:r>
      <w:r w:rsidRPr="00C3222C">
        <w:rPr>
          <w:rFonts w:cs="Arial"/>
          <w:i/>
          <w:szCs w:val="18"/>
        </w:rPr>
        <w:t>R v</w:t>
      </w:r>
      <w:r w:rsidR="00304F1A">
        <w:rPr>
          <w:rFonts w:cs="Arial"/>
          <w:i/>
          <w:szCs w:val="18"/>
        </w:rPr>
        <w:t xml:space="preserve"> </w:t>
      </w:r>
      <w:r w:rsidRPr="00C3222C">
        <w:rPr>
          <w:rFonts w:cs="Arial"/>
          <w:i/>
          <w:szCs w:val="18"/>
        </w:rPr>
        <w:t>Jeffrey Owen</w:t>
      </w:r>
      <w:r w:rsidRPr="005A0A43">
        <w:rPr>
          <w:rFonts w:cs="Arial"/>
          <w:szCs w:val="18"/>
        </w:rPr>
        <w:t xml:space="preserve"> [2022] QDCSR 168; </w:t>
      </w:r>
      <w:r w:rsidRPr="002F17B5">
        <w:rPr>
          <w:rFonts w:cs="Arial"/>
          <w:i/>
          <w:szCs w:val="18"/>
        </w:rPr>
        <w:t xml:space="preserve">Director of Public Prosecutions v LH Holding Management Pty Ltd </w:t>
      </w:r>
      <w:r w:rsidRPr="002F17B5">
        <w:rPr>
          <w:rFonts w:cs="Arial"/>
          <w:szCs w:val="18"/>
        </w:rPr>
        <w:t>(2025) 77 VR 377.</w:t>
      </w:r>
    </w:p>
  </w:footnote>
  <w:footnote w:id="490">
    <w:p w14:paraId="53EDB5BA" w14:textId="77777777" w:rsidR="00F964EE" w:rsidRPr="005A0A43" w:rsidRDefault="00F964EE" w:rsidP="00F964EE">
      <w:pPr>
        <w:pStyle w:val="FootnoteText"/>
      </w:pPr>
      <w:r w:rsidRPr="005A0A43">
        <w:rPr>
          <w:rStyle w:val="FootnoteReference"/>
        </w:rPr>
        <w:footnoteRef/>
      </w:r>
      <w:r w:rsidRPr="005A0A43">
        <w:t xml:space="preserve"> </w:t>
      </w:r>
      <w:r w:rsidRPr="005A0A43">
        <w:rPr>
          <w:i/>
        </w:rPr>
        <w:t>Fair Work Legislation Amendment (Closing Loopholes) Act</w:t>
      </w:r>
      <w:r w:rsidRPr="005A0A43">
        <w:t xml:space="preserve"> 2023 (Cth); </w:t>
      </w:r>
      <w:r w:rsidRPr="005A0A43">
        <w:rPr>
          <w:i/>
        </w:rPr>
        <w:t xml:space="preserve">Fair Work Legislation Amendment (Closing Loopholes No. 2) Act 2024 </w:t>
      </w:r>
      <w:r w:rsidRPr="005A0A43">
        <w:t xml:space="preserve">(Cth); </w:t>
      </w:r>
      <w:r w:rsidRPr="005A0A43">
        <w:rPr>
          <w:i/>
        </w:rPr>
        <w:t>Fair Work Amendment (Paid Family and Domestic Violence Leave) Act 2022</w:t>
      </w:r>
      <w:r w:rsidRPr="005A0A43">
        <w:t xml:space="preserve"> (Cth).</w:t>
      </w:r>
    </w:p>
  </w:footnote>
  <w:footnote w:id="491">
    <w:p w14:paraId="616186EC" w14:textId="3A3A5845" w:rsidR="00F964EE" w:rsidRPr="005A0A43" w:rsidRDefault="00F964EE" w:rsidP="00F964EE">
      <w:pPr>
        <w:pStyle w:val="FootnoteText"/>
      </w:pPr>
      <w:r w:rsidRPr="005A0A43">
        <w:rPr>
          <w:rStyle w:val="FootnoteReference"/>
        </w:rPr>
        <w:footnoteRef/>
      </w:r>
      <w:r w:rsidRPr="005A0A43">
        <w:t xml:space="preserve"> S </w:t>
      </w:r>
      <w:r w:rsidRPr="00F83DFE">
        <w:t xml:space="preserve">Booth, </w:t>
      </w:r>
      <w:hyperlink r:id="rId369" w:history="1">
        <w:r w:rsidRPr="00F83DFE">
          <w:rPr>
            <w:rStyle w:val="Hyperlink"/>
            <w:i/>
            <w:iCs/>
          </w:rPr>
          <w:t xml:space="preserve">Closing </w:t>
        </w:r>
        <w:r w:rsidR="00F83DFE" w:rsidRPr="00F83DFE">
          <w:rPr>
            <w:rStyle w:val="Hyperlink"/>
            <w:i/>
            <w:iCs/>
          </w:rPr>
          <w:t>l</w:t>
        </w:r>
        <w:r w:rsidRPr="00F83DFE">
          <w:rPr>
            <w:rStyle w:val="Hyperlink"/>
            <w:i/>
            <w:iCs/>
          </w:rPr>
          <w:t xml:space="preserve">oopholes: An </w:t>
        </w:r>
        <w:r w:rsidR="006E51BB" w:rsidRPr="002E4AB7">
          <w:rPr>
            <w:rStyle w:val="Hyperlink"/>
            <w:i/>
            <w:iCs/>
          </w:rPr>
          <w:t>i</w:t>
        </w:r>
        <w:r w:rsidRPr="00F83DFE">
          <w:rPr>
            <w:rStyle w:val="Hyperlink"/>
            <w:i/>
            <w:iCs/>
          </w:rPr>
          <w:t xml:space="preserve">ndependent </w:t>
        </w:r>
        <w:r w:rsidR="006E51BB" w:rsidRPr="002E4AB7">
          <w:rPr>
            <w:rStyle w:val="Hyperlink"/>
            <w:i/>
            <w:iCs/>
          </w:rPr>
          <w:t>s</w:t>
        </w:r>
        <w:r w:rsidRPr="00F83DFE">
          <w:rPr>
            <w:rStyle w:val="Hyperlink"/>
            <w:i/>
            <w:iCs/>
          </w:rPr>
          <w:t xml:space="preserve">tatutory </w:t>
        </w:r>
        <w:r w:rsidR="006E51BB" w:rsidRPr="002E4AB7">
          <w:rPr>
            <w:rStyle w:val="Hyperlink"/>
            <w:i/>
            <w:iCs/>
          </w:rPr>
          <w:t>r</w:t>
        </w:r>
        <w:r w:rsidRPr="00F83DFE">
          <w:rPr>
            <w:rStyle w:val="Hyperlink"/>
            <w:i/>
            <w:iCs/>
          </w:rPr>
          <w:t xml:space="preserve">eview: </w:t>
        </w:r>
        <w:r w:rsidR="002E4AB7">
          <w:rPr>
            <w:rStyle w:val="Hyperlink"/>
            <w:i/>
            <w:iCs/>
          </w:rPr>
          <w:t>D</w:t>
        </w:r>
        <w:r w:rsidRPr="00F83DFE">
          <w:rPr>
            <w:rStyle w:val="Hyperlink"/>
            <w:i/>
            <w:iCs/>
          </w:rPr>
          <w:t>raft report</w:t>
        </w:r>
      </w:hyperlink>
      <w:r w:rsidRPr="00F83DFE">
        <w:t>, Department of Employment and Workplace Relations, Australian Government, 2026.</w:t>
      </w:r>
    </w:p>
  </w:footnote>
  <w:footnote w:id="492">
    <w:p w14:paraId="7581EA37" w14:textId="77777777" w:rsidR="00F964EE" w:rsidRPr="005A0A43" w:rsidRDefault="00F964EE" w:rsidP="00F964EE">
      <w:pPr>
        <w:pStyle w:val="FootnoteText"/>
        <w:rPr>
          <w:rFonts w:cs="Arial"/>
          <w:szCs w:val="18"/>
        </w:rPr>
      </w:pPr>
      <w:r w:rsidRPr="005A0A43">
        <w:rPr>
          <w:rStyle w:val="FootnoteReference"/>
          <w:rFonts w:cs="Arial"/>
          <w:szCs w:val="18"/>
        </w:rPr>
        <w:footnoteRef/>
      </w:r>
      <w:r w:rsidRPr="005A0A43">
        <w:rPr>
          <w:rFonts w:cs="Arial"/>
          <w:szCs w:val="18"/>
        </w:rPr>
        <w:t xml:space="preserve"> </w:t>
      </w:r>
      <w:r w:rsidRPr="005A0A43">
        <w:rPr>
          <w:rFonts w:cs="Arial"/>
          <w:i/>
          <w:szCs w:val="18"/>
        </w:rPr>
        <w:t>Occupational Health and Safety Act</w:t>
      </w:r>
      <w:r w:rsidRPr="005A0A43">
        <w:rPr>
          <w:rFonts w:cs="Arial"/>
          <w:szCs w:val="18"/>
        </w:rPr>
        <w:t xml:space="preserve"> </w:t>
      </w:r>
      <w:r w:rsidRPr="00C3222C">
        <w:rPr>
          <w:rFonts w:cs="Arial"/>
          <w:i/>
          <w:szCs w:val="18"/>
        </w:rPr>
        <w:t>2004</w:t>
      </w:r>
      <w:r w:rsidRPr="005A0A43">
        <w:rPr>
          <w:rFonts w:cs="Arial"/>
          <w:szCs w:val="18"/>
        </w:rPr>
        <w:t xml:space="preserve"> (Vic), s 39G; Tas WHS Act, s 29A.</w:t>
      </w:r>
    </w:p>
  </w:footnote>
  <w:footnote w:id="493">
    <w:p w14:paraId="1403420F" w14:textId="77777777" w:rsidR="00F964EE" w:rsidRPr="005A0A43" w:rsidRDefault="00F964EE" w:rsidP="00F964EE">
      <w:pPr>
        <w:pStyle w:val="FootnoteText"/>
        <w:rPr>
          <w:rFonts w:cs="Arial"/>
          <w:szCs w:val="18"/>
        </w:rPr>
      </w:pPr>
      <w:r w:rsidRPr="005A0A43">
        <w:rPr>
          <w:rStyle w:val="FootnoteReference"/>
          <w:rFonts w:cs="Arial"/>
          <w:szCs w:val="18"/>
        </w:rPr>
        <w:footnoteRef/>
      </w:r>
      <w:r w:rsidRPr="005A0A43">
        <w:rPr>
          <w:rFonts w:cs="Arial"/>
          <w:szCs w:val="18"/>
        </w:rPr>
        <w:t xml:space="preserve"> </w:t>
      </w:r>
      <w:r w:rsidRPr="002F17B5">
        <w:rPr>
          <w:rFonts w:cs="Arial"/>
          <w:i/>
          <w:szCs w:val="18"/>
        </w:rPr>
        <w:t xml:space="preserve">Director of Public </w:t>
      </w:r>
      <w:r w:rsidRPr="008F3F86">
        <w:rPr>
          <w:rFonts w:cs="Arial"/>
          <w:i/>
          <w:szCs w:val="18"/>
        </w:rPr>
        <w:t>Prosecutions</w:t>
      </w:r>
      <w:r w:rsidRPr="002F17B5">
        <w:rPr>
          <w:rFonts w:cs="Arial"/>
          <w:szCs w:val="18"/>
        </w:rPr>
        <w:t xml:space="preserve"> </w:t>
      </w:r>
      <w:r w:rsidRPr="002F17B5">
        <w:rPr>
          <w:rFonts w:cs="Arial"/>
          <w:i/>
          <w:szCs w:val="18"/>
        </w:rPr>
        <w:t xml:space="preserve">(Vic) v LH Holding Management Pty Ltd </w:t>
      </w:r>
      <w:r w:rsidRPr="002F17B5">
        <w:rPr>
          <w:rFonts w:cs="Arial"/>
          <w:iCs/>
          <w:szCs w:val="18"/>
        </w:rPr>
        <w:t xml:space="preserve">(2025) </w:t>
      </w:r>
      <w:r w:rsidRPr="002F17B5" w:rsidDel="00863FF7">
        <w:rPr>
          <w:rFonts w:cs="Arial"/>
          <w:szCs w:val="18"/>
        </w:rPr>
        <w:t xml:space="preserve">199 </w:t>
      </w:r>
      <w:r w:rsidRPr="002F17B5">
        <w:rPr>
          <w:rFonts w:cs="Arial"/>
          <w:szCs w:val="18"/>
        </w:rPr>
        <w:t xml:space="preserve">77 VR 377, </w:t>
      </w:r>
      <w:r w:rsidRPr="002F17B5" w:rsidDel="00863FF7">
        <w:rPr>
          <w:rFonts w:cs="Arial"/>
          <w:szCs w:val="18"/>
        </w:rPr>
        <w:t xml:space="preserve">p </w:t>
      </w:r>
      <w:r w:rsidRPr="002F17B5">
        <w:rPr>
          <w:rFonts w:cs="Arial"/>
          <w:szCs w:val="18"/>
        </w:rPr>
        <w:t>66</w:t>
      </w:r>
      <w:r w:rsidRPr="005A0A43">
        <w:rPr>
          <w:rFonts w:cs="Arial"/>
          <w:szCs w:val="18"/>
        </w:rPr>
        <w:t>.</w:t>
      </w:r>
    </w:p>
  </w:footnote>
  <w:footnote w:id="494">
    <w:p w14:paraId="5C09F983" w14:textId="77777777" w:rsidR="00F964EE" w:rsidRPr="005A0A43" w:rsidRDefault="00F964EE" w:rsidP="00F964EE">
      <w:pPr>
        <w:pStyle w:val="FootnoteText"/>
        <w:rPr>
          <w:rFonts w:cs="Arial"/>
          <w:szCs w:val="18"/>
        </w:rPr>
      </w:pPr>
      <w:r w:rsidRPr="005A0A43">
        <w:rPr>
          <w:rStyle w:val="FootnoteReference"/>
          <w:rFonts w:cs="Arial"/>
          <w:szCs w:val="18"/>
        </w:rPr>
        <w:footnoteRef/>
      </w:r>
      <w:r w:rsidRPr="005A0A43">
        <w:rPr>
          <w:rFonts w:cs="Arial"/>
          <w:szCs w:val="18"/>
        </w:rPr>
        <w:t xml:space="preserve"> Model WHS Act, </w:t>
      </w:r>
      <w:r>
        <w:rPr>
          <w:rFonts w:cs="Arial"/>
          <w:szCs w:val="18"/>
        </w:rPr>
        <w:t>S</w:t>
      </w:r>
      <w:r w:rsidRPr="005A0A43">
        <w:rPr>
          <w:rFonts w:cs="Arial"/>
          <w:szCs w:val="18"/>
        </w:rPr>
        <w:t>ch</w:t>
      </w:r>
      <w:r>
        <w:rPr>
          <w:rFonts w:cs="Arial"/>
          <w:szCs w:val="18"/>
        </w:rPr>
        <w:t xml:space="preserve"> </w:t>
      </w:r>
      <w:r w:rsidRPr="005A0A43">
        <w:rPr>
          <w:rFonts w:cs="Arial"/>
          <w:szCs w:val="18"/>
        </w:rPr>
        <w:t>4. </w:t>
      </w:r>
    </w:p>
  </w:footnote>
  <w:footnote w:id="495">
    <w:p w14:paraId="05B5FC0C" w14:textId="77777777" w:rsidR="00F964EE" w:rsidRPr="005A0A43" w:rsidRDefault="00F964EE" w:rsidP="00F964EE">
      <w:pPr>
        <w:pStyle w:val="FootnoteText"/>
        <w:rPr>
          <w:rFonts w:cs="Arial"/>
          <w:szCs w:val="18"/>
        </w:rPr>
      </w:pPr>
      <w:r w:rsidRPr="005A0A43">
        <w:rPr>
          <w:rStyle w:val="FootnoteReference"/>
          <w:rFonts w:cs="Arial"/>
          <w:szCs w:val="18"/>
        </w:rPr>
        <w:footnoteRef/>
      </w:r>
      <w:r w:rsidRPr="005A0A43">
        <w:rPr>
          <w:rFonts w:cs="Arial"/>
          <w:szCs w:val="18"/>
        </w:rPr>
        <w:t xml:space="preserve"> </w:t>
      </w:r>
      <w:r w:rsidRPr="00DA52C4">
        <w:rPr>
          <w:rFonts w:cs="Arial"/>
          <w:szCs w:val="18"/>
        </w:rPr>
        <w:t>Cth WHS Act</w:t>
      </w:r>
      <w:r w:rsidRPr="005A0A43">
        <w:rPr>
          <w:rFonts w:cs="Arial"/>
          <w:szCs w:val="18"/>
        </w:rPr>
        <w:t xml:space="preserve">, </w:t>
      </w:r>
      <w:r>
        <w:rPr>
          <w:rFonts w:cs="Arial"/>
          <w:szCs w:val="18"/>
        </w:rPr>
        <w:t>S</w:t>
      </w:r>
      <w:r w:rsidRPr="005A0A43">
        <w:rPr>
          <w:rFonts w:cs="Arial"/>
          <w:szCs w:val="18"/>
        </w:rPr>
        <w:t>ch</w:t>
      </w:r>
      <w:r>
        <w:rPr>
          <w:rFonts w:cs="Arial"/>
          <w:szCs w:val="18"/>
        </w:rPr>
        <w:t xml:space="preserve"> </w:t>
      </w:r>
      <w:r w:rsidRPr="005A0A43">
        <w:rPr>
          <w:rFonts w:cs="Arial"/>
          <w:szCs w:val="18"/>
        </w:rPr>
        <w:t>4</w:t>
      </w:r>
      <w:r>
        <w:rPr>
          <w:rFonts w:cs="Arial"/>
          <w:szCs w:val="18"/>
        </w:rPr>
        <w:t>,</w:t>
      </w:r>
      <w:r w:rsidRPr="005A0A43">
        <w:rPr>
          <w:rFonts w:cs="Arial"/>
          <w:szCs w:val="18"/>
        </w:rPr>
        <w:t xml:space="preserve"> as amended by </w:t>
      </w:r>
      <w:r w:rsidRPr="005A0A43">
        <w:rPr>
          <w:rFonts w:cs="Arial"/>
          <w:i/>
          <w:szCs w:val="18"/>
        </w:rPr>
        <w:t>Fair Work Legislation Amendment (Closing Loopholes) Act 2023</w:t>
      </w:r>
      <w:r w:rsidRPr="005A0A43">
        <w:rPr>
          <w:rFonts w:cs="Arial"/>
          <w:szCs w:val="18"/>
        </w:rPr>
        <w:t> (Cth)</w:t>
      </w:r>
      <w:r>
        <w:rPr>
          <w:rFonts w:cs="Arial"/>
          <w:szCs w:val="18"/>
        </w:rPr>
        <w:t>,</w:t>
      </w:r>
      <w:r w:rsidRPr="005A0A43">
        <w:rPr>
          <w:rFonts w:cs="Arial"/>
          <w:szCs w:val="18"/>
        </w:rPr>
        <w:t> </w:t>
      </w:r>
      <w:r>
        <w:rPr>
          <w:rFonts w:cs="Arial"/>
          <w:szCs w:val="18"/>
        </w:rPr>
        <w:t>s</w:t>
      </w:r>
      <w:r w:rsidRPr="005A0A43">
        <w:rPr>
          <w:rFonts w:cs="Arial"/>
          <w:szCs w:val="18"/>
        </w:rPr>
        <w:t>ch</w:t>
      </w:r>
      <w:r>
        <w:rPr>
          <w:rFonts w:cs="Arial"/>
          <w:szCs w:val="18"/>
        </w:rPr>
        <w:t xml:space="preserve"> </w:t>
      </w:r>
      <w:r w:rsidRPr="005A0A43">
        <w:rPr>
          <w:rFonts w:cs="Arial"/>
          <w:szCs w:val="18"/>
        </w:rPr>
        <w:t>4A</w:t>
      </w:r>
      <w:r>
        <w:rPr>
          <w:rFonts w:cs="Arial"/>
          <w:szCs w:val="18"/>
        </w:rPr>
        <w:t>,</w:t>
      </w:r>
      <w:r w:rsidRPr="005A0A43">
        <w:rPr>
          <w:rFonts w:cs="Arial"/>
          <w:szCs w:val="18"/>
        </w:rPr>
        <w:t xml:space="preserve"> P</w:t>
      </w:r>
      <w:r>
        <w:rPr>
          <w:rFonts w:cs="Arial"/>
          <w:szCs w:val="18"/>
        </w:rPr>
        <w:t>ar</w:t>
      </w:r>
      <w:r w:rsidRPr="005A0A43">
        <w:rPr>
          <w:rFonts w:cs="Arial"/>
          <w:szCs w:val="18"/>
        </w:rPr>
        <w:t>t 6</w:t>
      </w:r>
      <w:r>
        <w:rPr>
          <w:rFonts w:cs="Arial"/>
          <w:szCs w:val="18"/>
        </w:rPr>
        <w:t>,</w:t>
      </w:r>
      <w:r w:rsidRPr="005A0A43">
        <w:rPr>
          <w:rFonts w:cs="Arial"/>
          <w:szCs w:val="18"/>
        </w:rPr>
        <w:t xml:space="preserve"> Div</w:t>
      </w:r>
      <w:r>
        <w:rPr>
          <w:rFonts w:cs="Arial"/>
          <w:szCs w:val="18"/>
        </w:rPr>
        <w:t> </w:t>
      </w:r>
      <w:r w:rsidRPr="005A0A43">
        <w:rPr>
          <w:rFonts w:cs="Arial"/>
          <w:szCs w:val="18"/>
        </w:rPr>
        <w:t>11</w:t>
      </w:r>
      <w:r>
        <w:rPr>
          <w:rFonts w:cs="Arial"/>
          <w:szCs w:val="18"/>
        </w:rPr>
        <w:t>,</w:t>
      </w:r>
      <w:r w:rsidRPr="005A0A43">
        <w:rPr>
          <w:rFonts w:cs="Arial"/>
          <w:szCs w:val="18"/>
        </w:rPr>
        <w:t xml:space="preserve"> s 72;</w:t>
      </w:r>
      <w:r w:rsidRPr="00863FF7">
        <w:rPr>
          <w:rFonts w:cs="Arial"/>
          <w:szCs w:val="18"/>
        </w:rPr>
        <w:t> </w:t>
      </w:r>
      <w:r w:rsidRPr="008F3F86">
        <w:rPr>
          <w:rFonts w:cs="Arial"/>
          <w:szCs w:val="18"/>
        </w:rPr>
        <w:t>ACT WHS Act,</w:t>
      </w:r>
      <w:r w:rsidRPr="005A0A43">
        <w:rPr>
          <w:rFonts w:cs="Arial"/>
          <w:szCs w:val="18"/>
        </w:rPr>
        <w:t> Sch 4, as amended by </w:t>
      </w:r>
      <w:r w:rsidRPr="005A0A43">
        <w:rPr>
          <w:rFonts w:cs="Arial"/>
          <w:i/>
          <w:szCs w:val="18"/>
        </w:rPr>
        <w:t>Workplace Legislation Amendment Act 2024</w:t>
      </w:r>
      <w:r w:rsidRPr="005A0A43">
        <w:rPr>
          <w:rFonts w:cs="Arial"/>
          <w:szCs w:val="18"/>
        </w:rPr>
        <w:t> (ACT), P</w:t>
      </w:r>
      <w:r>
        <w:rPr>
          <w:rFonts w:cs="Arial"/>
          <w:szCs w:val="18"/>
        </w:rPr>
        <w:t>ar</w:t>
      </w:r>
      <w:r w:rsidRPr="005A0A43">
        <w:rPr>
          <w:rFonts w:cs="Arial"/>
          <w:szCs w:val="18"/>
        </w:rPr>
        <w:t>t 4</w:t>
      </w:r>
      <w:r>
        <w:rPr>
          <w:rFonts w:cs="Arial"/>
          <w:szCs w:val="18"/>
        </w:rPr>
        <w:t>,</w:t>
      </w:r>
      <w:r w:rsidRPr="005A0A43">
        <w:rPr>
          <w:rFonts w:cs="Arial"/>
          <w:szCs w:val="18"/>
        </w:rPr>
        <w:t xml:space="preserve"> s 26. </w:t>
      </w:r>
    </w:p>
  </w:footnote>
  <w:footnote w:id="496">
    <w:p w14:paraId="31930997" w14:textId="77777777" w:rsidR="00F964EE" w:rsidRPr="005A0A43" w:rsidRDefault="00F964EE" w:rsidP="00F964EE">
      <w:pPr>
        <w:pStyle w:val="FootnoteText"/>
        <w:rPr>
          <w:rFonts w:cs="Arial"/>
          <w:szCs w:val="18"/>
        </w:rPr>
      </w:pPr>
      <w:r w:rsidRPr="005A0A43">
        <w:rPr>
          <w:rStyle w:val="FootnoteReference"/>
          <w:rFonts w:cs="Arial"/>
          <w:szCs w:val="18"/>
        </w:rPr>
        <w:footnoteRef/>
      </w:r>
      <w:r w:rsidRPr="005A0A43">
        <w:rPr>
          <w:rFonts w:cs="Arial"/>
          <w:szCs w:val="18"/>
        </w:rPr>
        <w:t xml:space="preserve"> See </w:t>
      </w:r>
      <w:r w:rsidRPr="005A0A43">
        <w:rPr>
          <w:rFonts w:cs="Arial"/>
          <w:i/>
          <w:szCs w:val="18"/>
        </w:rPr>
        <w:t>Work Health and Safety Amendment Act 2023 No 34</w:t>
      </w:r>
      <w:r w:rsidRPr="005A0A43">
        <w:rPr>
          <w:rFonts w:cs="Arial"/>
          <w:szCs w:val="18"/>
        </w:rPr>
        <w:t xml:space="preserve"> (NSW)</w:t>
      </w:r>
      <w:r w:rsidRPr="005A0A43">
        <w:rPr>
          <w:rFonts w:cs="Arial"/>
          <w:i/>
          <w:szCs w:val="18"/>
        </w:rPr>
        <w:t>.</w:t>
      </w:r>
    </w:p>
  </w:footnote>
  <w:footnote w:id="497">
    <w:p w14:paraId="70E3A64B" w14:textId="0A50E626" w:rsidR="00F964EE" w:rsidRPr="005A0A43" w:rsidRDefault="00F964EE" w:rsidP="00F964EE">
      <w:pPr>
        <w:pStyle w:val="FootnoteText"/>
      </w:pPr>
      <w:r w:rsidRPr="005A0A43">
        <w:rPr>
          <w:rStyle w:val="FootnoteReference"/>
        </w:rPr>
        <w:footnoteRef/>
      </w:r>
      <w:r w:rsidRPr="005A0A43">
        <w:t xml:space="preserve"> Department of Employment and Workplace Relations, </w:t>
      </w:r>
      <w:hyperlink r:id="rId370" w:history="1">
        <w:r w:rsidRPr="008F3F86">
          <w:rPr>
            <w:rStyle w:val="Hyperlink"/>
            <w:i/>
          </w:rPr>
          <w:t>Work Health and Safety Ministers' Meeting</w:t>
        </w:r>
      </w:hyperlink>
      <w:r w:rsidRPr="008F3F86">
        <w:rPr>
          <w:i/>
        </w:rPr>
        <w:t xml:space="preserve"> </w:t>
      </w:r>
      <w:r w:rsidRPr="008F3F86">
        <w:rPr>
          <w:rFonts w:ascii="Symbol" w:eastAsia="Symbol" w:hAnsi="Symbol" w:cs="Symbol"/>
          <w:i/>
        </w:rPr>
        <w:t>-</w:t>
      </w:r>
      <w:r w:rsidR="00304F1A">
        <w:rPr>
          <w:i/>
        </w:rPr>
        <w:t xml:space="preserve"> </w:t>
      </w:r>
      <w:r w:rsidRPr="008F3F86">
        <w:rPr>
          <w:i/>
        </w:rPr>
        <w:t>20 May 2021</w:t>
      </w:r>
      <w:r>
        <w:t xml:space="preserve">, communique, Department of Employment and Workplace Relations, Australian Government, 2021, </w:t>
      </w:r>
      <w:r w:rsidRPr="005A0A43">
        <w:t>accessed 22 May 2026.</w:t>
      </w:r>
    </w:p>
  </w:footnote>
  <w:footnote w:id="498">
    <w:p w14:paraId="686F6D2D" w14:textId="77777777" w:rsidR="00F964EE" w:rsidRPr="005A0A43" w:rsidRDefault="00F964EE" w:rsidP="00F964EE">
      <w:pPr>
        <w:pStyle w:val="FootnoteText"/>
      </w:pPr>
      <w:r w:rsidRPr="005A0A43">
        <w:rPr>
          <w:rStyle w:val="FootnoteReference"/>
        </w:rPr>
        <w:footnoteRef/>
      </w:r>
      <w:r w:rsidRPr="005A0A43">
        <w:t xml:space="preserve"> Model WHS Act, P</w:t>
      </w:r>
      <w:r w:rsidRPr="005A0A43" w:rsidDel="00863FF7">
        <w:t>ar</w:t>
      </w:r>
      <w:r w:rsidRPr="005A0A43">
        <w:t>t 13, Div</w:t>
      </w:r>
      <w:r>
        <w:t xml:space="preserve"> </w:t>
      </w:r>
      <w:r w:rsidRPr="005A0A43">
        <w:t>2</w:t>
      </w:r>
      <w:r>
        <w:t>.</w:t>
      </w:r>
    </w:p>
  </w:footnote>
  <w:footnote w:id="499">
    <w:p w14:paraId="15BC40C6" w14:textId="77777777" w:rsidR="00F964EE" w:rsidRPr="005A0A43" w:rsidDel="008B61E2" w:rsidRDefault="00F964EE" w:rsidP="00F964EE">
      <w:pPr>
        <w:pStyle w:val="FootnoteText"/>
      </w:pPr>
      <w:r w:rsidRPr="005A0A43">
        <w:rPr>
          <w:rStyle w:val="FootnoteReference"/>
        </w:rPr>
        <w:footnoteRef/>
      </w:r>
      <w:r w:rsidRPr="005A0A43">
        <w:t xml:space="preserve"> Model WHS Act, P</w:t>
      </w:r>
      <w:r w:rsidRPr="005A0A43" w:rsidDel="00863FF7">
        <w:t>ar</w:t>
      </w:r>
      <w:r w:rsidRPr="005A0A43">
        <w:t>t 13, Div</w:t>
      </w:r>
      <w:r>
        <w:t xml:space="preserve"> </w:t>
      </w:r>
      <w:r w:rsidRPr="005A0A43">
        <w:t>2; model WHS Act, ss 235–239, 241.</w:t>
      </w:r>
    </w:p>
  </w:footnote>
  <w:footnote w:id="500">
    <w:p w14:paraId="720DB535" w14:textId="571A1A9A" w:rsidR="007D4A38" w:rsidRPr="005A0A43" w:rsidRDefault="007D4A38" w:rsidP="007D4A38">
      <w:pPr>
        <w:pStyle w:val="FootnoteText"/>
        <w:rPr>
          <w:rFonts w:cs="Arial"/>
          <w:szCs w:val="18"/>
          <w:highlight w:val="yellow"/>
        </w:rPr>
      </w:pPr>
      <w:r w:rsidRPr="005A0A43">
        <w:rPr>
          <w:rStyle w:val="FootnoteReference"/>
          <w:rFonts w:cs="Arial"/>
          <w:szCs w:val="18"/>
        </w:rPr>
        <w:footnoteRef/>
      </w:r>
      <w:r w:rsidRPr="005A0A43">
        <w:rPr>
          <w:rFonts w:cs="Arial"/>
          <w:szCs w:val="18"/>
        </w:rPr>
        <w:t xml:space="preserve"> </w:t>
      </w:r>
      <w:hyperlink r:id="rId371" w:history="1">
        <w:r w:rsidRPr="005A0A43">
          <w:rPr>
            <w:rStyle w:val="Hyperlink"/>
            <w:rFonts w:cs="Arial"/>
            <w:szCs w:val="18"/>
          </w:rPr>
          <w:t>AIHS</w:t>
        </w:r>
      </w:hyperlink>
      <w:r w:rsidRPr="005A0A43">
        <w:rPr>
          <w:rFonts w:cs="Arial"/>
          <w:szCs w:val="18"/>
        </w:rPr>
        <w:t xml:space="preserve">, Submission, p 11, </w:t>
      </w:r>
      <w:hyperlink r:id="rId372" w:history="1">
        <w:r w:rsidRPr="005A0A43">
          <w:rPr>
            <w:rStyle w:val="Hyperlink"/>
            <w:rFonts w:cs="Arial"/>
            <w:szCs w:val="18"/>
          </w:rPr>
          <w:t>MBA</w:t>
        </w:r>
      </w:hyperlink>
      <w:r w:rsidRPr="005A0A43">
        <w:rPr>
          <w:rFonts w:cs="Arial"/>
          <w:szCs w:val="18"/>
        </w:rPr>
        <w:t>, Submission, p 23.</w:t>
      </w:r>
    </w:p>
  </w:footnote>
  <w:footnote w:id="501">
    <w:p w14:paraId="12EDA4D3" w14:textId="77777777" w:rsidR="007D4A38" w:rsidRPr="005A0A43" w:rsidRDefault="007D4A38" w:rsidP="007D4A38">
      <w:pPr>
        <w:pStyle w:val="FootnoteText"/>
        <w:keepLines/>
        <w:widowControl w:val="0"/>
        <w:contextualSpacing w:val="0"/>
        <w:rPr>
          <w:rFonts w:eastAsia="Arial" w:cs="Arial"/>
          <w:szCs w:val="18"/>
        </w:rPr>
      </w:pPr>
      <w:r w:rsidRPr="005A0A43">
        <w:rPr>
          <w:rStyle w:val="FootnoteReference"/>
          <w:rFonts w:cs="Arial"/>
          <w:szCs w:val="18"/>
        </w:rPr>
        <w:footnoteRef/>
      </w:r>
      <w:r w:rsidRPr="005A0A43">
        <w:rPr>
          <w:rFonts w:cs="Arial"/>
          <w:szCs w:val="18"/>
        </w:rPr>
        <w:t xml:space="preserve"> </w:t>
      </w:r>
      <w:hyperlink r:id="rId373" w:history="1">
        <w:r w:rsidRPr="005A0A43">
          <w:rPr>
            <w:rStyle w:val="Hyperlink"/>
            <w:rFonts w:eastAsia="Arial" w:cs="Arial"/>
            <w:szCs w:val="18"/>
          </w:rPr>
          <w:t>AIHS</w:t>
        </w:r>
      </w:hyperlink>
      <w:r w:rsidRPr="005A0A43">
        <w:rPr>
          <w:rFonts w:eastAsia="Arial" w:cs="Arial"/>
          <w:szCs w:val="18"/>
        </w:rPr>
        <w:t>, Submission, p 10.</w:t>
      </w:r>
    </w:p>
  </w:footnote>
  <w:footnote w:id="502">
    <w:p w14:paraId="0F885DD7" w14:textId="77777777" w:rsidR="00F964EE" w:rsidRPr="005A0A43" w:rsidRDefault="00F964EE" w:rsidP="00F964EE">
      <w:pPr>
        <w:spacing w:after="0" w:line="240" w:lineRule="auto"/>
        <w:rPr>
          <w:rFonts w:asciiTheme="minorHAnsi" w:eastAsia="Arial" w:hAnsiTheme="minorHAnsi" w:cs="Arial"/>
          <w:sz w:val="18"/>
          <w:szCs w:val="18"/>
        </w:rPr>
      </w:pPr>
      <w:r w:rsidRPr="005A0A43">
        <w:rPr>
          <w:rStyle w:val="FootnoteReference"/>
          <w:rFonts w:asciiTheme="minorHAnsi" w:hAnsiTheme="minorHAnsi" w:cs="Arial"/>
          <w:sz w:val="18"/>
          <w:szCs w:val="18"/>
        </w:rPr>
        <w:footnoteRef/>
      </w:r>
      <w:r w:rsidRPr="005A0A43">
        <w:rPr>
          <w:rFonts w:asciiTheme="minorHAnsi" w:hAnsiTheme="minorHAnsi" w:cs="Arial"/>
          <w:sz w:val="18"/>
          <w:szCs w:val="18"/>
        </w:rPr>
        <w:t xml:space="preserve"> </w:t>
      </w:r>
      <w:r w:rsidRPr="005A0A43">
        <w:rPr>
          <w:rFonts w:asciiTheme="minorHAnsi" w:hAnsiTheme="minorHAnsi" w:cs="Arial"/>
          <w:sz w:val="18"/>
          <w:szCs w:val="18"/>
          <w:lang w:eastAsia="ja-JP"/>
        </w:rPr>
        <w:t xml:space="preserve">Particularly </w:t>
      </w:r>
      <w:r>
        <w:rPr>
          <w:rFonts w:asciiTheme="minorHAnsi" w:hAnsiTheme="minorHAnsi" w:cs="Arial"/>
          <w:sz w:val="18"/>
          <w:szCs w:val="18"/>
          <w:lang w:eastAsia="ja-JP"/>
        </w:rPr>
        <w:t xml:space="preserve">ss </w:t>
      </w:r>
      <w:r w:rsidRPr="005A0A43">
        <w:rPr>
          <w:rFonts w:asciiTheme="minorHAnsi" w:hAnsiTheme="minorHAnsi" w:cs="Arial"/>
          <w:sz w:val="18"/>
          <w:szCs w:val="18"/>
          <w:lang w:eastAsia="ja-JP"/>
        </w:rPr>
        <w:t>3(1)(e) and 3(1)(h).</w:t>
      </w:r>
    </w:p>
  </w:footnote>
  <w:footnote w:id="503">
    <w:p w14:paraId="7D84B673" w14:textId="252563BD" w:rsidR="00F964EE" w:rsidRPr="005A0A43" w:rsidRDefault="00F964EE" w:rsidP="00F964EE">
      <w:pPr>
        <w:pStyle w:val="FootnoteText"/>
        <w:rPr>
          <w:rFonts w:cs="Arial"/>
          <w:szCs w:val="18"/>
        </w:rPr>
      </w:pPr>
      <w:r w:rsidRPr="005A0A43">
        <w:rPr>
          <w:rStyle w:val="FootnoteReference"/>
          <w:rFonts w:cs="Arial"/>
          <w:szCs w:val="18"/>
        </w:rPr>
        <w:footnoteRef/>
      </w:r>
      <w:r w:rsidRPr="005A0A43">
        <w:rPr>
          <w:rFonts w:cs="Arial"/>
          <w:szCs w:val="18"/>
        </w:rPr>
        <w:t xml:space="preserve"> R Stewart-Crompton, S Mayman </w:t>
      </w:r>
      <w:r>
        <w:rPr>
          <w:rFonts w:cs="Arial"/>
          <w:szCs w:val="18"/>
        </w:rPr>
        <w:t>and</w:t>
      </w:r>
      <w:r w:rsidRPr="005A0A43">
        <w:rPr>
          <w:rFonts w:cs="Arial"/>
          <w:szCs w:val="18"/>
        </w:rPr>
        <w:t xml:space="preserve"> B Sherriff, </w:t>
      </w:r>
      <w:hyperlink r:id="rId374" w:history="1">
        <w:r w:rsidRPr="005A0A43">
          <w:rPr>
            <w:rStyle w:val="Hyperlink"/>
            <w:rFonts w:cs="Arial"/>
            <w:i/>
            <w:szCs w:val="18"/>
          </w:rPr>
          <w:t xml:space="preserve">National </w:t>
        </w:r>
        <w:r w:rsidR="000D5322">
          <w:rPr>
            <w:rStyle w:val="Hyperlink"/>
            <w:rFonts w:cs="Arial"/>
            <w:i/>
            <w:szCs w:val="18"/>
          </w:rPr>
          <w:t>R</w:t>
        </w:r>
        <w:r w:rsidRPr="005A0A43">
          <w:rPr>
            <w:rStyle w:val="Hyperlink"/>
            <w:rFonts w:cs="Arial"/>
            <w:i/>
            <w:szCs w:val="18"/>
          </w:rPr>
          <w:t xml:space="preserve">eview into </w:t>
        </w:r>
        <w:r w:rsidR="000D5322">
          <w:rPr>
            <w:rStyle w:val="Hyperlink"/>
            <w:rFonts w:cs="Arial"/>
            <w:i/>
            <w:szCs w:val="18"/>
          </w:rPr>
          <w:t>M</w:t>
        </w:r>
        <w:r w:rsidRPr="005A0A43">
          <w:rPr>
            <w:rStyle w:val="Hyperlink"/>
            <w:rFonts w:cs="Arial"/>
            <w:i/>
            <w:szCs w:val="18"/>
          </w:rPr>
          <w:t xml:space="preserve">odel </w:t>
        </w:r>
        <w:r w:rsidR="000D5322">
          <w:rPr>
            <w:rStyle w:val="Hyperlink"/>
            <w:rFonts w:cs="Arial"/>
            <w:i/>
            <w:szCs w:val="18"/>
          </w:rPr>
          <w:t>O</w:t>
        </w:r>
        <w:r w:rsidRPr="005A0A43">
          <w:rPr>
            <w:rStyle w:val="Hyperlink"/>
            <w:rFonts w:cs="Arial"/>
            <w:i/>
            <w:szCs w:val="18"/>
          </w:rPr>
          <w:t xml:space="preserve">ccupational </w:t>
        </w:r>
        <w:r w:rsidR="000D5322">
          <w:rPr>
            <w:rStyle w:val="Hyperlink"/>
            <w:rFonts w:cs="Arial"/>
            <w:i/>
            <w:szCs w:val="18"/>
          </w:rPr>
          <w:t>H</w:t>
        </w:r>
        <w:r w:rsidRPr="005A0A43">
          <w:rPr>
            <w:rStyle w:val="Hyperlink"/>
            <w:rFonts w:cs="Arial"/>
            <w:i/>
            <w:szCs w:val="18"/>
          </w:rPr>
          <w:t xml:space="preserve">ealth and </w:t>
        </w:r>
        <w:r w:rsidR="000D5322">
          <w:rPr>
            <w:rStyle w:val="Hyperlink"/>
            <w:rFonts w:cs="Arial"/>
            <w:i/>
            <w:szCs w:val="18"/>
          </w:rPr>
          <w:t>S</w:t>
        </w:r>
        <w:r w:rsidRPr="005A0A43">
          <w:rPr>
            <w:rStyle w:val="Hyperlink"/>
            <w:rFonts w:cs="Arial"/>
            <w:i/>
            <w:szCs w:val="18"/>
          </w:rPr>
          <w:t xml:space="preserve">afety </w:t>
        </w:r>
        <w:r w:rsidR="000D5322">
          <w:rPr>
            <w:rStyle w:val="Hyperlink"/>
            <w:rFonts w:cs="Arial"/>
            <w:i/>
            <w:szCs w:val="18"/>
          </w:rPr>
          <w:t>L</w:t>
        </w:r>
        <w:r w:rsidRPr="005A0A43">
          <w:rPr>
            <w:rStyle w:val="Hyperlink"/>
            <w:rFonts w:cs="Arial"/>
            <w:i/>
            <w:szCs w:val="18"/>
          </w:rPr>
          <w:t xml:space="preserve">aws: </w:t>
        </w:r>
        <w:r w:rsidR="00426CDB">
          <w:rPr>
            <w:rStyle w:val="Hyperlink"/>
            <w:rFonts w:cs="Arial"/>
            <w:i/>
            <w:szCs w:val="18"/>
          </w:rPr>
          <w:t>F</w:t>
        </w:r>
        <w:r w:rsidRPr="005A0A43">
          <w:rPr>
            <w:rStyle w:val="Hyperlink"/>
            <w:rFonts w:cs="Arial"/>
            <w:i/>
            <w:szCs w:val="18"/>
          </w:rPr>
          <w:t>irst report</w:t>
        </w:r>
      </w:hyperlink>
      <w:r w:rsidRPr="005A0A43">
        <w:rPr>
          <w:rFonts w:cs="Arial"/>
          <w:szCs w:val="18"/>
        </w:rPr>
        <w:t xml:space="preserve">, Department of Employment and Workplace Relations, </w:t>
      </w:r>
      <w:r>
        <w:rPr>
          <w:rFonts w:cs="Arial"/>
          <w:szCs w:val="18"/>
        </w:rPr>
        <w:t xml:space="preserve">Australian Government, </w:t>
      </w:r>
      <w:r w:rsidRPr="005A0A43">
        <w:rPr>
          <w:rFonts w:cs="Arial"/>
          <w:szCs w:val="18"/>
        </w:rPr>
        <w:t>2008, pp 129, 139</w:t>
      </w:r>
      <w:r>
        <w:rPr>
          <w:rFonts w:cs="Arial"/>
          <w:szCs w:val="18"/>
        </w:rPr>
        <w:t>,</w:t>
      </w:r>
      <w:r w:rsidRPr="005A0A43">
        <w:rPr>
          <w:rFonts w:cs="Arial"/>
          <w:szCs w:val="18"/>
        </w:rPr>
        <w:t xml:space="preserve"> 148–149; Senate Education and Employment References Committee, </w:t>
      </w:r>
      <w:r w:rsidRPr="005A0A43">
        <w:rPr>
          <w:rFonts w:cs="Arial"/>
          <w:i/>
          <w:szCs w:val="18"/>
        </w:rPr>
        <w:t xml:space="preserve">They </w:t>
      </w:r>
      <w:r w:rsidR="000D5322">
        <w:rPr>
          <w:rFonts w:cs="Arial"/>
          <w:i/>
          <w:szCs w:val="18"/>
        </w:rPr>
        <w:t>n</w:t>
      </w:r>
      <w:r w:rsidRPr="005A0A43">
        <w:rPr>
          <w:rFonts w:cs="Arial"/>
          <w:i/>
          <w:szCs w:val="18"/>
        </w:rPr>
        <w:t xml:space="preserve">ever </w:t>
      </w:r>
      <w:r w:rsidR="000D5322">
        <w:rPr>
          <w:rFonts w:cs="Arial"/>
          <w:i/>
          <w:szCs w:val="18"/>
        </w:rPr>
        <w:t>c</w:t>
      </w:r>
      <w:r w:rsidRPr="005A0A43">
        <w:rPr>
          <w:rFonts w:cs="Arial"/>
          <w:i/>
          <w:szCs w:val="18"/>
        </w:rPr>
        <w:t xml:space="preserve">ame </w:t>
      </w:r>
      <w:r w:rsidR="000D5322">
        <w:rPr>
          <w:rFonts w:cs="Arial"/>
          <w:i/>
          <w:szCs w:val="18"/>
        </w:rPr>
        <w:t>h</w:t>
      </w:r>
      <w:r w:rsidRPr="005A0A43">
        <w:rPr>
          <w:rFonts w:cs="Arial"/>
          <w:i/>
          <w:szCs w:val="18"/>
        </w:rPr>
        <w:t xml:space="preserve">ome – </w:t>
      </w:r>
      <w:r>
        <w:rPr>
          <w:rFonts w:cs="Arial"/>
          <w:i/>
          <w:szCs w:val="18"/>
        </w:rPr>
        <w:t>T</w:t>
      </w:r>
      <w:r w:rsidRPr="005A0A43">
        <w:rPr>
          <w:rFonts w:cs="Arial"/>
          <w:i/>
          <w:szCs w:val="18"/>
        </w:rPr>
        <w:t xml:space="preserve">he </w:t>
      </w:r>
      <w:r w:rsidR="000D5322">
        <w:rPr>
          <w:rFonts w:cs="Arial"/>
          <w:i/>
          <w:szCs w:val="18"/>
        </w:rPr>
        <w:t>f</w:t>
      </w:r>
      <w:r w:rsidRPr="005A0A43">
        <w:rPr>
          <w:rFonts w:cs="Arial"/>
          <w:i/>
          <w:szCs w:val="18"/>
        </w:rPr>
        <w:t xml:space="preserve">ramework </w:t>
      </w:r>
      <w:r w:rsidR="000D5322">
        <w:rPr>
          <w:rFonts w:cs="Arial"/>
          <w:i/>
          <w:szCs w:val="18"/>
        </w:rPr>
        <w:t>s</w:t>
      </w:r>
      <w:r w:rsidRPr="005A0A43">
        <w:rPr>
          <w:rFonts w:cs="Arial"/>
          <w:i/>
          <w:szCs w:val="18"/>
        </w:rPr>
        <w:t xml:space="preserve">urrounding the </w:t>
      </w:r>
      <w:r w:rsidR="000D5322">
        <w:rPr>
          <w:rFonts w:cs="Arial"/>
          <w:i/>
          <w:szCs w:val="18"/>
        </w:rPr>
        <w:t>p</w:t>
      </w:r>
      <w:r w:rsidRPr="005A0A43">
        <w:rPr>
          <w:rFonts w:cs="Arial"/>
          <w:i/>
          <w:szCs w:val="18"/>
        </w:rPr>
        <w:t>revention,</w:t>
      </w:r>
      <w:r>
        <w:rPr>
          <w:rFonts w:cs="Arial"/>
          <w:i/>
          <w:szCs w:val="18"/>
        </w:rPr>
        <w:t xml:space="preserve"> </w:t>
      </w:r>
      <w:r w:rsidR="000D5322">
        <w:rPr>
          <w:rFonts w:cs="Arial"/>
          <w:i/>
          <w:szCs w:val="18"/>
        </w:rPr>
        <w:t>i</w:t>
      </w:r>
      <w:r w:rsidRPr="005A0A43">
        <w:rPr>
          <w:rFonts w:cs="Arial"/>
          <w:i/>
          <w:szCs w:val="18"/>
        </w:rPr>
        <w:t xml:space="preserve">nvestigation and </w:t>
      </w:r>
      <w:r w:rsidR="000D5322">
        <w:rPr>
          <w:rFonts w:cs="Arial"/>
          <w:i/>
          <w:szCs w:val="18"/>
        </w:rPr>
        <w:t>p</w:t>
      </w:r>
      <w:r w:rsidRPr="005A0A43">
        <w:rPr>
          <w:rFonts w:cs="Arial"/>
          <w:i/>
          <w:szCs w:val="18"/>
        </w:rPr>
        <w:t xml:space="preserve">rosecution of </w:t>
      </w:r>
      <w:r w:rsidR="000D5322">
        <w:rPr>
          <w:rFonts w:cs="Arial"/>
          <w:i/>
          <w:szCs w:val="18"/>
        </w:rPr>
        <w:t>i</w:t>
      </w:r>
      <w:r w:rsidRPr="005A0A43">
        <w:rPr>
          <w:rFonts w:cs="Arial"/>
          <w:i/>
          <w:szCs w:val="18"/>
        </w:rPr>
        <w:t xml:space="preserve">ndustrial </w:t>
      </w:r>
      <w:r w:rsidR="000D5322">
        <w:rPr>
          <w:rFonts w:cs="Arial"/>
          <w:i/>
          <w:szCs w:val="18"/>
        </w:rPr>
        <w:t>d</w:t>
      </w:r>
      <w:r w:rsidRPr="005A0A43">
        <w:rPr>
          <w:rFonts w:cs="Arial"/>
          <w:i/>
          <w:szCs w:val="18"/>
        </w:rPr>
        <w:t>eaths in Australia</w:t>
      </w:r>
      <w:r w:rsidRPr="005A0A43">
        <w:rPr>
          <w:rFonts w:cs="Arial"/>
          <w:szCs w:val="18"/>
        </w:rPr>
        <w:t xml:space="preserve">, </w:t>
      </w:r>
      <w:r>
        <w:rPr>
          <w:rFonts w:cs="Arial"/>
          <w:szCs w:val="18"/>
        </w:rPr>
        <w:t xml:space="preserve">Australian Government, </w:t>
      </w:r>
      <w:r w:rsidRPr="005A0A43">
        <w:rPr>
          <w:rFonts w:cs="Arial"/>
          <w:szCs w:val="18"/>
        </w:rPr>
        <w:t>2018, p</w:t>
      </w:r>
      <w:r>
        <w:rPr>
          <w:rFonts w:cs="Arial"/>
          <w:szCs w:val="18"/>
        </w:rPr>
        <w:t xml:space="preserve"> </w:t>
      </w:r>
      <w:r w:rsidRPr="005A0A43">
        <w:rPr>
          <w:rFonts w:cs="Arial"/>
          <w:szCs w:val="18"/>
        </w:rPr>
        <w:t xml:space="preserve">70; Safe Work Australia, </w:t>
      </w:r>
      <w:hyperlink r:id="rId375" w:history="1">
        <w:r w:rsidRPr="005A0A43">
          <w:rPr>
            <w:rStyle w:val="Hyperlink"/>
            <w:rFonts w:cs="Arial"/>
            <w:i/>
            <w:szCs w:val="18"/>
          </w:rPr>
          <w:t xml:space="preserve">Review of the model Work Health and Safety </w:t>
        </w:r>
        <w:r>
          <w:rPr>
            <w:rStyle w:val="Hyperlink"/>
            <w:rFonts w:cs="Arial"/>
            <w:i/>
            <w:szCs w:val="18"/>
          </w:rPr>
          <w:t>l</w:t>
        </w:r>
        <w:r w:rsidRPr="005A0A43">
          <w:rPr>
            <w:rStyle w:val="Hyperlink"/>
            <w:rFonts w:cs="Arial"/>
            <w:i/>
            <w:szCs w:val="18"/>
          </w:rPr>
          <w:t>aws</w:t>
        </w:r>
        <w:r>
          <w:rPr>
            <w:rStyle w:val="Hyperlink"/>
            <w:rFonts w:cs="Arial"/>
            <w:i/>
            <w:szCs w:val="18"/>
          </w:rPr>
          <w:t xml:space="preserve">: </w:t>
        </w:r>
        <w:r w:rsidRPr="005A0A43">
          <w:rPr>
            <w:rStyle w:val="Hyperlink"/>
            <w:rFonts w:cs="Arial"/>
            <w:i/>
            <w:szCs w:val="18"/>
          </w:rPr>
          <w:t>Final report</w:t>
        </w:r>
      </w:hyperlink>
      <w:r w:rsidRPr="005A0A43">
        <w:rPr>
          <w:rFonts w:cs="Arial"/>
          <w:szCs w:val="18"/>
        </w:rPr>
        <w:t>, 2018, p</w:t>
      </w:r>
      <w:r>
        <w:rPr>
          <w:rFonts w:cs="Arial"/>
          <w:szCs w:val="18"/>
        </w:rPr>
        <w:t>p</w:t>
      </w:r>
      <w:r w:rsidRPr="005A0A43">
        <w:rPr>
          <w:rFonts w:cs="Arial"/>
          <w:szCs w:val="18"/>
        </w:rPr>
        <w:t xml:space="preserve"> 127–128; Sentencing Advisory Council, </w:t>
      </w:r>
      <w:hyperlink r:id="rId376" w:history="1">
        <w:r w:rsidRPr="005A0A43">
          <w:rPr>
            <w:rStyle w:val="Hyperlink"/>
            <w:rFonts w:cs="Arial"/>
            <w:i/>
            <w:szCs w:val="18"/>
          </w:rPr>
          <w:t xml:space="preserve">Sentencing </w:t>
        </w:r>
        <w:r w:rsidR="000D5322">
          <w:rPr>
            <w:rStyle w:val="Hyperlink"/>
            <w:rFonts w:cs="Arial"/>
            <w:i/>
            <w:szCs w:val="18"/>
          </w:rPr>
          <w:t>o</w:t>
        </w:r>
        <w:r w:rsidRPr="005A0A43">
          <w:rPr>
            <w:rStyle w:val="Hyperlink"/>
            <w:rFonts w:cs="Arial"/>
            <w:i/>
            <w:szCs w:val="18"/>
          </w:rPr>
          <w:t xml:space="preserve">ccupational </w:t>
        </w:r>
        <w:r w:rsidR="000D5322">
          <w:rPr>
            <w:rStyle w:val="Hyperlink"/>
            <w:rFonts w:cs="Arial"/>
            <w:i/>
            <w:szCs w:val="18"/>
          </w:rPr>
          <w:t>h</w:t>
        </w:r>
        <w:r w:rsidRPr="005A0A43">
          <w:rPr>
            <w:rStyle w:val="Hyperlink"/>
            <w:rFonts w:cs="Arial"/>
            <w:i/>
            <w:szCs w:val="18"/>
          </w:rPr>
          <w:t xml:space="preserve">ealth and </w:t>
        </w:r>
        <w:r w:rsidR="000D5322">
          <w:rPr>
            <w:rStyle w:val="Hyperlink"/>
            <w:rFonts w:cs="Arial"/>
            <w:i/>
            <w:szCs w:val="18"/>
          </w:rPr>
          <w:t>s</w:t>
        </w:r>
        <w:r w:rsidRPr="005A0A43">
          <w:rPr>
            <w:rStyle w:val="Hyperlink"/>
            <w:rFonts w:cs="Arial"/>
            <w:i/>
            <w:szCs w:val="18"/>
          </w:rPr>
          <w:t xml:space="preserve">afety </w:t>
        </w:r>
        <w:r w:rsidR="000D5322">
          <w:rPr>
            <w:rStyle w:val="Hyperlink"/>
            <w:rFonts w:cs="Arial"/>
            <w:i/>
            <w:szCs w:val="18"/>
          </w:rPr>
          <w:t>o</w:t>
        </w:r>
        <w:r w:rsidRPr="005A0A43">
          <w:rPr>
            <w:rStyle w:val="Hyperlink"/>
            <w:rFonts w:cs="Arial"/>
            <w:i/>
            <w:szCs w:val="18"/>
          </w:rPr>
          <w:t xml:space="preserve">ffences in Victoria: Report and </w:t>
        </w:r>
        <w:r w:rsidR="000D5322">
          <w:rPr>
            <w:rStyle w:val="Hyperlink"/>
            <w:rFonts w:cs="Arial"/>
            <w:i/>
            <w:szCs w:val="18"/>
          </w:rPr>
          <w:t>r</w:t>
        </w:r>
        <w:r w:rsidRPr="005A0A43">
          <w:rPr>
            <w:rStyle w:val="Hyperlink"/>
            <w:rFonts w:cs="Arial"/>
            <w:i/>
            <w:szCs w:val="18"/>
          </w:rPr>
          <w:t>ecommendations</w:t>
        </w:r>
        <w:r>
          <w:rPr>
            <w:rStyle w:val="Hyperlink"/>
            <w:rFonts w:cs="Arial"/>
            <w:i/>
            <w:szCs w:val="18"/>
          </w:rPr>
          <w:t xml:space="preserve">, </w:t>
        </w:r>
      </w:hyperlink>
      <w:r>
        <w:rPr>
          <w:rFonts w:cs="Arial"/>
          <w:szCs w:val="18"/>
        </w:rPr>
        <w:t xml:space="preserve">Victorian Government, </w:t>
      </w:r>
      <w:r w:rsidRPr="005A0A43">
        <w:rPr>
          <w:rFonts w:cs="Arial"/>
          <w:szCs w:val="18"/>
        </w:rPr>
        <w:t>2025, pp 51–52.</w:t>
      </w:r>
    </w:p>
  </w:footnote>
  <w:footnote w:id="504">
    <w:p w14:paraId="67586691" w14:textId="77777777" w:rsidR="00F964EE" w:rsidRPr="005A0A43" w:rsidRDefault="00F964EE" w:rsidP="00F964EE">
      <w:pPr>
        <w:pStyle w:val="FootnoteText"/>
        <w:rPr>
          <w:rFonts w:cs="Arial"/>
          <w:szCs w:val="18"/>
        </w:rPr>
      </w:pPr>
      <w:r w:rsidRPr="005A0A43">
        <w:rPr>
          <w:rStyle w:val="FootnoteReference"/>
          <w:rFonts w:cs="Arial"/>
          <w:szCs w:val="18"/>
        </w:rPr>
        <w:footnoteRef/>
      </w:r>
      <w:r w:rsidRPr="005A0A43">
        <w:rPr>
          <w:rFonts w:cs="Arial"/>
          <w:szCs w:val="18"/>
        </w:rPr>
        <w:t xml:space="preserve"> For example, in Queensland, the court imposes sentence for a breach of the WHS Act in that jurisdiction in accordance with the </w:t>
      </w:r>
      <w:r w:rsidRPr="00D41B7C">
        <w:rPr>
          <w:rFonts w:cs="Arial"/>
          <w:i/>
          <w:szCs w:val="18"/>
        </w:rPr>
        <w:t>Penalties and Sentences Act 1992</w:t>
      </w:r>
      <w:r w:rsidRPr="005A0A43">
        <w:rPr>
          <w:rFonts w:cs="Arial"/>
          <w:szCs w:val="18"/>
        </w:rPr>
        <w:t xml:space="preserve"> (Qld) and in South Australia in accordance with the </w:t>
      </w:r>
      <w:r w:rsidRPr="00D41B7C">
        <w:rPr>
          <w:rFonts w:cs="Arial"/>
          <w:i/>
          <w:szCs w:val="18"/>
        </w:rPr>
        <w:t>Sentencing Act 2017</w:t>
      </w:r>
      <w:r w:rsidRPr="005A0A43">
        <w:rPr>
          <w:rFonts w:cs="Arial"/>
          <w:szCs w:val="18"/>
        </w:rPr>
        <w:t xml:space="preserve"> (SA).</w:t>
      </w:r>
    </w:p>
  </w:footnote>
  <w:footnote w:id="505">
    <w:p w14:paraId="4563AE34" w14:textId="34BD9C7F" w:rsidR="00F964EE" w:rsidRPr="005A0A43" w:rsidRDefault="00F964EE" w:rsidP="00F964EE">
      <w:pPr>
        <w:pStyle w:val="FootnoteText"/>
        <w:widowControl w:val="0"/>
        <w:contextualSpacing w:val="0"/>
        <w:rPr>
          <w:rFonts w:cs="Arial"/>
          <w:szCs w:val="18"/>
        </w:rPr>
      </w:pPr>
      <w:r w:rsidRPr="005A0A43">
        <w:rPr>
          <w:rStyle w:val="FootnoteReference"/>
          <w:rFonts w:cs="Arial"/>
          <w:szCs w:val="18"/>
        </w:rPr>
        <w:footnoteRef/>
      </w:r>
      <w:r w:rsidRPr="005A0A43">
        <w:rPr>
          <w:rFonts w:cs="Arial"/>
          <w:szCs w:val="18"/>
        </w:rPr>
        <w:t xml:space="preserve"> Sentencing Advisory Council, </w:t>
      </w:r>
      <w:hyperlink r:id="rId377" w:history="1">
        <w:r w:rsidRPr="005A0A43">
          <w:rPr>
            <w:rStyle w:val="Hyperlink"/>
            <w:rFonts w:cs="Arial"/>
            <w:i/>
            <w:szCs w:val="18"/>
          </w:rPr>
          <w:t xml:space="preserve">Sentencing </w:t>
        </w:r>
        <w:r w:rsidR="000D5322">
          <w:rPr>
            <w:rStyle w:val="Hyperlink"/>
            <w:rFonts w:cs="Arial"/>
            <w:i/>
            <w:szCs w:val="18"/>
          </w:rPr>
          <w:t>o</w:t>
        </w:r>
        <w:r w:rsidRPr="005A0A43">
          <w:rPr>
            <w:rStyle w:val="Hyperlink"/>
            <w:rFonts w:cs="Arial"/>
            <w:i/>
            <w:szCs w:val="18"/>
          </w:rPr>
          <w:t xml:space="preserve">ccupational </w:t>
        </w:r>
        <w:r w:rsidR="000D5322">
          <w:rPr>
            <w:rStyle w:val="Hyperlink"/>
            <w:rFonts w:cs="Arial"/>
            <w:i/>
            <w:szCs w:val="18"/>
          </w:rPr>
          <w:t>h</w:t>
        </w:r>
        <w:r w:rsidRPr="005A0A43">
          <w:rPr>
            <w:rStyle w:val="Hyperlink"/>
            <w:rFonts w:cs="Arial"/>
            <w:i/>
            <w:szCs w:val="18"/>
          </w:rPr>
          <w:t xml:space="preserve">ealth and </w:t>
        </w:r>
        <w:r w:rsidR="000D5322">
          <w:rPr>
            <w:rStyle w:val="Hyperlink"/>
            <w:rFonts w:cs="Arial"/>
            <w:i/>
            <w:szCs w:val="18"/>
          </w:rPr>
          <w:t>s</w:t>
        </w:r>
        <w:r w:rsidRPr="005A0A43">
          <w:rPr>
            <w:rStyle w:val="Hyperlink"/>
            <w:rFonts w:cs="Arial"/>
            <w:i/>
            <w:szCs w:val="18"/>
          </w:rPr>
          <w:t xml:space="preserve">afety </w:t>
        </w:r>
        <w:r w:rsidR="000D5322">
          <w:rPr>
            <w:rStyle w:val="Hyperlink"/>
            <w:rFonts w:cs="Arial"/>
            <w:i/>
            <w:szCs w:val="18"/>
          </w:rPr>
          <w:t>o</w:t>
        </w:r>
        <w:r w:rsidRPr="005A0A43">
          <w:rPr>
            <w:rStyle w:val="Hyperlink"/>
            <w:rFonts w:cs="Arial"/>
            <w:i/>
            <w:szCs w:val="18"/>
          </w:rPr>
          <w:t xml:space="preserve">ffences in Victoria: Report and </w:t>
        </w:r>
        <w:r w:rsidR="000D5322">
          <w:rPr>
            <w:rStyle w:val="Hyperlink"/>
            <w:rFonts w:cs="Arial"/>
            <w:i/>
            <w:szCs w:val="18"/>
          </w:rPr>
          <w:t>r</w:t>
        </w:r>
        <w:r w:rsidRPr="005A0A43">
          <w:rPr>
            <w:rStyle w:val="Hyperlink"/>
            <w:rFonts w:cs="Arial"/>
            <w:i/>
            <w:szCs w:val="18"/>
          </w:rPr>
          <w:t>ecommendations</w:t>
        </w:r>
      </w:hyperlink>
      <w:r w:rsidRPr="005A0A43">
        <w:rPr>
          <w:rFonts w:cs="Arial"/>
          <w:szCs w:val="18"/>
        </w:rPr>
        <w:t xml:space="preserve">, </w:t>
      </w:r>
      <w:r>
        <w:rPr>
          <w:rFonts w:cs="Arial"/>
          <w:szCs w:val="18"/>
        </w:rPr>
        <w:t xml:space="preserve">Victorian Government, </w:t>
      </w:r>
      <w:r w:rsidRPr="00DF00CB">
        <w:rPr>
          <w:rFonts w:cs="Arial"/>
          <w:szCs w:val="18"/>
        </w:rPr>
        <w:t xml:space="preserve">2025, </w:t>
      </w:r>
      <w:r w:rsidRPr="005A0A43">
        <w:rPr>
          <w:rFonts w:cs="Arial"/>
          <w:szCs w:val="18"/>
        </w:rPr>
        <w:t>para</w:t>
      </w:r>
      <w:r>
        <w:rPr>
          <w:rFonts w:cs="Arial"/>
          <w:szCs w:val="18"/>
        </w:rPr>
        <w:t>s</w:t>
      </w:r>
      <w:r w:rsidRPr="005A0A43">
        <w:rPr>
          <w:rFonts w:cs="Arial"/>
          <w:szCs w:val="18"/>
        </w:rPr>
        <w:t xml:space="preserve"> 3.63, 3.114, 3.237, 4.23, 5.22</w:t>
      </w:r>
      <w:r>
        <w:rPr>
          <w:rFonts w:cs="Arial"/>
          <w:szCs w:val="18"/>
        </w:rPr>
        <w:t>, pp 58, 79, 125 and 150</w:t>
      </w:r>
      <w:r w:rsidRPr="005A0A43">
        <w:rPr>
          <w:rFonts w:cs="Arial"/>
          <w:szCs w:val="18"/>
        </w:rPr>
        <w:t>.</w:t>
      </w:r>
    </w:p>
  </w:footnote>
  <w:footnote w:id="506">
    <w:p w14:paraId="1C1EDF74" w14:textId="7195F2C8" w:rsidR="00F964EE" w:rsidRPr="005A0A43" w:rsidRDefault="00F964EE" w:rsidP="00F964EE">
      <w:pPr>
        <w:pStyle w:val="FootnoteText"/>
        <w:widowControl w:val="0"/>
        <w:contextualSpacing w:val="0"/>
        <w:rPr>
          <w:rFonts w:cs="Arial"/>
          <w:szCs w:val="18"/>
        </w:rPr>
      </w:pPr>
      <w:r w:rsidRPr="005A0A43">
        <w:rPr>
          <w:rStyle w:val="FootnoteReference"/>
          <w:rFonts w:cs="Arial"/>
          <w:szCs w:val="18"/>
        </w:rPr>
        <w:footnoteRef/>
      </w:r>
      <w:r w:rsidRPr="005A0A43">
        <w:rPr>
          <w:rFonts w:cs="Arial"/>
          <w:szCs w:val="18"/>
        </w:rPr>
        <w:t xml:space="preserve"> Sentencing Advisory Council, </w:t>
      </w:r>
      <w:hyperlink r:id="rId378" w:history="1">
        <w:r w:rsidRPr="005A0A43">
          <w:rPr>
            <w:rStyle w:val="Hyperlink"/>
            <w:rFonts w:cs="Arial"/>
            <w:i/>
            <w:szCs w:val="18"/>
          </w:rPr>
          <w:t xml:space="preserve">Sentencing </w:t>
        </w:r>
        <w:r w:rsidR="000D5322">
          <w:rPr>
            <w:rStyle w:val="Hyperlink"/>
            <w:rFonts w:cs="Arial"/>
            <w:i/>
            <w:szCs w:val="18"/>
          </w:rPr>
          <w:t>o</w:t>
        </w:r>
        <w:r w:rsidRPr="005A0A43">
          <w:rPr>
            <w:rStyle w:val="Hyperlink"/>
            <w:rFonts w:cs="Arial"/>
            <w:i/>
            <w:szCs w:val="18"/>
          </w:rPr>
          <w:t xml:space="preserve">ccupational </w:t>
        </w:r>
        <w:r w:rsidR="000D5322">
          <w:rPr>
            <w:rStyle w:val="Hyperlink"/>
            <w:rFonts w:cs="Arial"/>
            <w:i/>
            <w:szCs w:val="18"/>
          </w:rPr>
          <w:t>h</w:t>
        </w:r>
        <w:r w:rsidRPr="005A0A43">
          <w:rPr>
            <w:rStyle w:val="Hyperlink"/>
            <w:rFonts w:cs="Arial"/>
            <w:i/>
            <w:szCs w:val="18"/>
          </w:rPr>
          <w:t xml:space="preserve">ealth and </w:t>
        </w:r>
        <w:r w:rsidR="000D5322">
          <w:rPr>
            <w:rStyle w:val="Hyperlink"/>
            <w:rFonts w:cs="Arial"/>
            <w:i/>
            <w:szCs w:val="18"/>
          </w:rPr>
          <w:t>s</w:t>
        </w:r>
        <w:r w:rsidRPr="005A0A43">
          <w:rPr>
            <w:rStyle w:val="Hyperlink"/>
            <w:rFonts w:cs="Arial"/>
            <w:i/>
            <w:szCs w:val="18"/>
          </w:rPr>
          <w:t xml:space="preserve">afety </w:t>
        </w:r>
        <w:r w:rsidR="000D5322">
          <w:rPr>
            <w:rStyle w:val="Hyperlink"/>
            <w:rFonts w:cs="Arial"/>
            <w:i/>
            <w:szCs w:val="18"/>
          </w:rPr>
          <w:t>o</w:t>
        </w:r>
        <w:r w:rsidRPr="005A0A43">
          <w:rPr>
            <w:rStyle w:val="Hyperlink"/>
            <w:rFonts w:cs="Arial"/>
            <w:i/>
            <w:szCs w:val="18"/>
          </w:rPr>
          <w:t xml:space="preserve">ffences in Victoria: </w:t>
        </w:r>
        <w:r w:rsidR="00437488">
          <w:rPr>
            <w:rStyle w:val="Hyperlink"/>
            <w:rFonts w:cs="Arial"/>
            <w:i/>
            <w:szCs w:val="18"/>
          </w:rPr>
          <w:t>R</w:t>
        </w:r>
        <w:r w:rsidRPr="005A0A43">
          <w:rPr>
            <w:rStyle w:val="Hyperlink"/>
            <w:rFonts w:cs="Arial"/>
            <w:i/>
            <w:szCs w:val="18"/>
          </w:rPr>
          <w:t xml:space="preserve">eport and </w:t>
        </w:r>
        <w:r w:rsidR="000D5322">
          <w:rPr>
            <w:rStyle w:val="Hyperlink"/>
            <w:rFonts w:cs="Arial"/>
            <w:i/>
            <w:szCs w:val="18"/>
          </w:rPr>
          <w:t>r</w:t>
        </w:r>
        <w:r w:rsidRPr="005A0A43">
          <w:rPr>
            <w:rStyle w:val="Hyperlink"/>
            <w:rFonts w:cs="Arial"/>
            <w:i/>
            <w:szCs w:val="18"/>
          </w:rPr>
          <w:t>ecommendations</w:t>
        </w:r>
      </w:hyperlink>
      <w:r w:rsidRPr="005A0A43">
        <w:rPr>
          <w:rFonts w:cs="Arial"/>
          <w:szCs w:val="18"/>
        </w:rPr>
        <w:t xml:space="preserve">, </w:t>
      </w:r>
      <w:r>
        <w:rPr>
          <w:rFonts w:cs="Arial"/>
          <w:szCs w:val="18"/>
        </w:rPr>
        <w:t xml:space="preserve">Victorian Government, </w:t>
      </w:r>
      <w:r w:rsidRPr="005A0A43">
        <w:rPr>
          <w:rFonts w:cs="Arial"/>
          <w:szCs w:val="18"/>
        </w:rPr>
        <w:t>2025, pp 58–64.</w:t>
      </w:r>
    </w:p>
  </w:footnote>
  <w:footnote w:id="507">
    <w:p w14:paraId="676F2175" w14:textId="719DFA57" w:rsidR="00F964EE" w:rsidRPr="005A0A43" w:rsidRDefault="00F964EE" w:rsidP="00F964EE">
      <w:pPr>
        <w:pStyle w:val="FootnoteText"/>
        <w:widowControl w:val="0"/>
        <w:contextualSpacing w:val="0"/>
        <w:rPr>
          <w:rFonts w:cs="Arial"/>
          <w:szCs w:val="18"/>
        </w:rPr>
      </w:pPr>
      <w:r w:rsidRPr="005A0A43">
        <w:rPr>
          <w:rStyle w:val="FootnoteReference"/>
          <w:rFonts w:cs="Arial"/>
          <w:szCs w:val="18"/>
        </w:rPr>
        <w:footnoteRef/>
      </w:r>
      <w:r w:rsidRPr="005A0A43">
        <w:rPr>
          <w:rFonts w:cs="Arial"/>
          <w:szCs w:val="18"/>
        </w:rPr>
        <w:t xml:space="preserve"> This Review identified a small sample of jurisdictions </w:t>
      </w:r>
      <w:r>
        <w:rPr>
          <w:rFonts w:cs="Arial"/>
          <w:szCs w:val="18"/>
        </w:rPr>
        <w:t xml:space="preserve">that </w:t>
      </w:r>
      <w:r w:rsidRPr="005A0A43">
        <w:rPr>
          <w:rFonts w:cs="Arial"/>
          <w:szCs w:val="18"/>
        </w:rPr>
        <w:t>had data available on use of non-monetary penalties</w:t>
      </w:r>
      <w:r>
        <w:rPr>
          <w:rFonts w:cs="Arial"/>
          <w:szCs w:val="18"/>
        </w:rPr>
        <w:t>,</w:t>
      </w:r>
      <w:r w:rsidRPr="005A0A43">
        <w:rPr>
          <w:rFonts w:cs="Arial"/>
          <w:szCs w:val="18"/>
        </w:rPr>
        <w:t xml:space="preserve"> indicating limited use of non-monetary orders in some jurisdictions.</w:t>
      </w:r>
    </w:p>
  </w:footnote>
  <w:footnote w:id="508">
    <w:p w14:paraId="2D6367D0" w14:textId="265E49B0" w:rsidR="00F964EE" w:rsidRPr="005A0A43" w:rsidRDefault="00F964EE" w:rsidP="00F964EE">
      <w:pPr>
        <w:pStyle w:val="FootnoteText"/>
      </w:pPr>
      <w:r w:rsidRPr="005A0A43">
        <w:rPr>
          <w:rStyle w:val="FootnoteReference"/>
        </w:rPr>
        <w:footnoteRef/>
      </w:r>
      <w:r w:rsidRPr="005A0A43">
        <w:t xml:space="preserve"> </w:t>
      </w:r>
      <w:r w:rsidRPr="005A0A43">
        <w:rPr>
          <w:rFonts w:cs="Arial"/>
          <w:szCs w:val="18"/>
        </w:rPr>
        <w:t>Sentencing Advisory Council, </w:t>
      </w:r>
      <w:hyperlink r:id="rId379" w:history="1">
        <w:r w:rsidRPr="005A0A43">
          <w:rPr>
            <w:rStyle w:val="Hyperlink"/>
            <w:rFonts w:cs="Arial"/>
            <w:i/>
            <w:szCs w:val="18"/>
          </w:rPr>
          <w:t xml:space="preserve">Sentencing </w:t>
        </w:r>
        <w:r w:rsidR="000D5322">
          <w:rPr>
            <w:rStyle w:val="Hyperlink"/>
            <w:rFonts w:cs="Arial"/>
            <w:i/>
            <w:szCs w:val="18"/>
          </w:rPr>
          <w:t>o</w:t>
        </w:r>
        <w:r w:rsidRPr="005A0A43">
          <w:rPr>
            <w:rStyle w:val="Hyperlink"/>
            <w:rFonts w:cs="Arial"/>
            <w:i/>
            <w:szCs w:val="18"/>
          </w:rPr>
          <w:t xml:space="preserve">ccupational </w:t>
        </w:r>
        <w:r w:rsidR="000D5322">
          <w:rPr>
            <w:rStyle w:val="Hyperlink"/>
            <w:rFonts w:cs="Arial"/>
            <w:i/>
            <w:szCs w:val="18"/>
          </w:rPr>
          <w:t>h</w:t>
        </w:r>
        <w:r w:rsidRPr="005A0A43">
          <w:rPr>
            <w:rStyle w:val="Hyperlink"/>
            <w:rFonts w:cs="Arial"/>
            <w:i/>
            <w:szCs w:val="18"/>
          </w:rPr>
          <w:t xml:space="preserve">ealth and </w:t>
        </w:r>
        <w:r w:rsidR="000D5322">
          <w:rPr>
            <w:rStyle w:val="Hyperlink"/>
            <w:rFonts w:cs="Arial"/>
            <w:i/>
            <w:szCs w:val="18"/>
          </w:rPr>
          <w:t>s</w:t>
        </w:r>
        <w:r w:rsidRPr="005A0A43">
          <w:rPr>
            <w:rStyle w:val="Hyperlink"/>
            <w:rFonts w:cs="Arial"/>
            <w:i/>
            <w:szCs w:val="18"/>
          </w:rPr>
          <w:t xml:space="preserve">afety </w:t>
        </w:r>
        <w:r w:rsidR="000D5322">
          <w:rPr>
            <w:rStyle w:val="Hyperlink"/>
            <w:rFonts w:cs="Arial"/>
            <w:i/>
            <w:szCs w:val="18"/>
          </w:rPr>
          <w:t>o</w:t>
        </w:r>
        <w:r w:rsidRPr="005A0A43">
          <w:rPr>
            <w:rStyle w:val="Hyperlink"/>
            <w:rFonts w:cs="Arial"/>
            <w:i/>
            <w:szCs w:val="18"/>
          </w:rPr>
          <w:t xml:space="preserve">ffences in Victoria: Report and </w:t>
        </w:r>
        <w:r w:rsidR="000D5322">
          <w:rPr>
            <w:rStyle w:val="Hyperlink"/>
            <w:rFonts w:cs="Arial"/>
            <w:i/>
            <w:szCs w:val="18"/>
          </w:rPr>
          <w:t>r</w:t>
        </w:r>
        <w:r w:rsidRPr="005A0A43">
          <w:rPr>
            <w:rStyle w:val="Hyperlink"/>
            <w:rFonts w:cs="Arial"/>
            <w:i/>
            <w:szCs w:val="18"/>
          </w:rPr>
          <w:t>ecommendations</w:t>
        </w:r>
      </w:hyperlink>
      <w:r>
        <w:rPr>
          <w:rFonts w:cs="Arial"/>
          <w:szCs w:val="18"/>
        </w:rPr>
        <w:t xml:space="preserve">, Victorian Government, </w:t>
      </w:r>
      <w:r w:rsidRPr="005A0A43">
        <w:rPr>
          <w:rFonts w:cs="Arial"/>
          <w:szCs w:val="18"/>
        </w:rPr>
        <w:t>2025</w:t>
      </w:r>
      <w:r>
        <w:rPr>
          <w:rFonts w:cs="Arial"/>
          <w:szCs w:val="18"/>
        </w:rPr>
        <w:t>,</w:t>
      </w:r>
      <w:r w:rsidRPr="005A0A43">
        <w:rPr>
          <w:rFonts w:cs="Arial"/>
          <w:szCs w:val="18"/>
        </w:rPr>
        <w:t xml:space="preserve"> Recommendations 4–6.</w:t>
      </w:r>
    </w:p>
  </w:footnote>
  <w:footnote w:id="509">
    <w:p w14:paraId="59925607" w14:textId="2F75AC41" w:rsidR="00F964EE" w:rsidRPr="005A0A43" w:rsidRDefault="00F964EE" w:rsidP="00F964EE">
      <w:pPr>
        <w:pStyle w:val="FootnoteText"/>
        <w:widowControl w:val="0"/>
        <w:contextualSpacing w:val="0"/>
        <w:rPr>
          <w:rFonts w:cs="Arial"/>
          <w:szCs w:val="18"/>
        </w:rPr>
      </w:pPr>
      <w:r w:rsidRPr="005A0A43">
        <w:rPr>
          <w:rStyle w:val="FootnoteReference"/>
          <w:rFonts w:cs="Arial"/>
          <w:szCs w:val="18"/>
        </w:rPr>
        <w:footnoteRef/>
      </w:r>
      <w:r w:rsidRPr="005A0A43">
        <w:rPr>
          <w:rFonts w:cs="Arial"/>
          <w:szCs w:val="18"/>
        </w:rPr>
        <w:t xml:space="preserve"> Sentencing Advisory Council, </w:t>
      </w:r>
      <w:hyperlink r:id="rId380" w:history="1">
        <w:r w:rsidRPr="005A0A43">
          <w:rPr>
            <w:rStyle w:val="Hyperlink"/>
            <w:rFonts w:cs="Arial"/>
            <w:i/>
            <w:szCs w:val="18"/>
          </w:rPr>
          <w:t xml:space="preserve">Sentencing </w:t>
        </w:r>
        <w:r w:rsidR="000D5322">
          <w:rPr>
            <w:rStyle w:val="Hyperlink"/>
            <w:rFonts w:cs="Arial"/>
            <w:i/>
            <w:szCs w:val="18"/>
          </w:rPr>
          <w:t>o</w:t>
        </w:r>
        <w:r w:rsidRPr="005A0A43">
          <w:rPr>
            <w:rStyle w:val="Hyperlink"/>
            <w:rFonts w:cs="Arial"/>
            <w:i/>
            <w:szCs w:val="18"/>
          </w:rPr>
          <w:t xml:space="preserve">ccupational </w:t>
        </w:r>
        <w:r w:rsidR="000D5322">
          <w:rPr>
            <w:rStyle w:val="Hyperlink"/>
            <w:rFonts w:cs="Arial"/>
            <w:i/>
            <w:szCs w:val="18"/>
          </w:rPr>
          <w:t>h</w:t>
        </w:r>
        <w:r w:rsidRPr="005A0A43">
          <w:rPr>
            <w:rStyle w:val="Hyperlink"/>
            <w:rFonts w:cs="Arial"/>
            <w:i/>
            <w:szCs w:val="18"/>
          </w:rPr>
          <w:t xml:space="preserve">ealth and </w:t>
        </w:r>
        <w:r w:rsidR="000D5322">
          <w:rPr>
            <w:rStyle w:val="Hyperlink"/>
            <w:rFonts w:cs="Arial"/>
            <w:i/>
            <w:szCs w:val="18"/>
          </w:rPr>
          <w:t>s</w:t>
        </w:r>
        <w:r w:rsidRPr="005A0A43">
          <w:rPr>
            <w:rStyle w:val="Hyperlink"/>
            <w:rFonts w:cs="Arial"/>
            <w:i/>
            <w:szCs w:val="18"/>
          </w:rPr>
          <w:t xml:space="preserve">afety </w:t>
        </w:r>
        <w:r w:rsidR="000D5322">
          <w:rPr>
            <w:rStyle w:val="Hyperlink"/>
            <w:rFonts w:cs="Arial"/>
            <w:i/>
            <w:szCs w:val="18"/>
          </w:rPr>
          <w:t>o</w:t>
        </w:r>
        <w:r w:rsidRPr="005A0A43">
          <w:rPr>
            <w:rStyle w:val="Hyperlink"/>
            <w:rFonts w:cs="Arial"/>
            <w:i/>
            <w:szCs w:val="18"/>
          </w:rPr>
          <w:t xml:space="preserve">ffences in Victoria: Report and </w:t>
        </w:r>
        <w:r w:rsidR="000D5322">
          <w:rPr>
            <w:rStyle w:val="Hyperlink"/>
            <w:rFonts w:cs="Arial"/>
            <w:i/>
            <w:szCs w:val="18"/>
          </w:rPr>
          <w:t>r</w:t>
        </w:r>
        <w:r w:rsidRPr="005A0A43">
          <w:rPr>
            <w:rStyle w:val="Hyperlink"/>
            <w:rFonts w:cs="Arial"/>
            <w:i/>
            <w:szCs w:val="18"/>
          </w:rPr>
          <w:t>ecommendations</w:t>
        </w:r>
      </w:hyperlink>
      <w:r>
        <w:rPr>
          <w:rFonts w:cs="Arial"/>
          <w:szCs w:val="18"/>
        </w:rPr>
        <w:t xml:space="preserve">, Victorian Government, </w:t>
      </w:r>
      <w:r w:rsidRPr="005A0A43">
        <w:rPr>
          <w:rFonts w:cs="Arial"/>
          <w:szCs w:val="18"/>
        </w:rPr>
        <w:t xml:space="preserve">2025, </w:t>
      </w:r>
      <w:r w:rsidRPr="0037744C">
        <w:rPr>
          <w:rFonts w:cs="Arial"/>
          <w:szCs w:val="18"/>
        </w:rPr>
        <w:t>para 3.1-3.117.</w:t>
      </w:r>
    </w:p>
  </w:footnote>
  <w:footnote w:id="510">
    <w:p w14:paraId="5DFB1E9C" w14:textId="0A8F51E4" w:rsidR="00F964EE" w:rsidRPr="005A0A43" w:rsidRDefault="00F964EE" w:rsidP="00F964EE">
      <w:pPr>
        <w:pStyle w:val="FootnoteText"/>
      </w:pPr>
      <w:r w:rsidRPr="005A0A43">
        <w:rPr>
          <w:rStyle w:val="FootnoteReference"/>
        </w:rPr>
        <w:footnoteRef/>
      </w:r>
      <w:r w:rsidRPr="005A0A43">
        <w:t xml:space="preserve"> </w:t>
      </w:r>
      <w:r w:rsidRPr="005A0A43">
        <w:rPr>
          <w:rFonts w:cs="Arial"/>
          <w:szCs w:val="18"/>
        </w:rPr>
        <w:t>Sentencing Advisory Council, </w:t>
      </w:r>
      <w:hyperlink r:id="rId381" w:history="1">
        <w:r w:rsidRPr="005A0A43">
          <w:rPr>
            <w:rStyle w:val="Hyperlink"/>
            <w:rFonts w:cs="Arial"/>
            <w:i/>
            <w:szCs w:val="18"/>
          </w:rPr>
          <w:t xml:space="preserve">Sentencing </w:t>
        </w:r>
        <w:r w:rsidR="000D5322">
          <w:rPr>
            <w:rStyle w:val="Hyperlink"/>
            <w:rFonts w:cs="Arial"/>
            <w:i/>
            <w:szCs w:val="18"/>
          </w:rPr>
          <w:t>o</w:t>
        </w:r>
        <w:r w:rsidRPr="005A0A43">
          <w:rPr>
            <w:rStyle w:val="Hyperlink"/>
            <w:rFonts w:cs="Arial"/>
            <w:i/>
            <w:szCs w:val="18"/>
          </w:rPr>
          <w:t xml:space="preserve">ccupational </w:t>
        </w:r>
        <w:r w:rsidR="000D5322">
          <w:rPr>
            <w:rStyle w:val="Hyperlink"/>
            <w:rFonts w:cs="Arial"/>
            <w:i/>
            <w:szCs w:val="18"/>
          </w:rPr>
          <w:t>h</w:t>
        </w:r>
        <w:r w:rsidRPr="005A0A43">
          <w:rPr>
            <w:rStyle w:val="Hyperlink"/>
            <w:rFonts w:cs="Arial"/>
            <w:i/>
            <w:szCs w:val="18"/>
          </w:rPr>
          <w:t xml:space="preserve">ealth and </w:t>
        </w:r>
        <w:r w:rsidR="000D5322">
          <w:rPr>
            <w:rStyle w:val="Hyperlink"/>
            <w:rFonts w:cs="Arial"/>
            <w:i/>
            <w:szCs w:val="18"/>
          </w:rPr>
          <w:t>s</w:t>
        </w:r>
        <w:r w:rsidRPr="005A0A43">
          <w:rPr>
            <w:rStyle w:val="Hyperlink"/>
            <w:rFonts w:cs="Arial"/>
            <w:i/>
            <w:szCs w:val="18"/>
          </w:rPr>
          <w:t xml:space="preserve">afety </w:t>
        </w:r>
        <w:r w:rsidR="000D5322">
          <w:rPr>
            <w:rStyle w:val="Hyperlink"/>
            <w:rFonts w:cs="Arial"/>
            <w:i/>
            <w:szCs w:val="18"/>
          </w:rPr>
          <w:t>o</w:t>
        </w:r>
        <w:r w:rsidRPr="005A0A43">
          <w:rPr>
            <w:rStyle w:val="Hyperlink"/>
            <w:rFonts w:cs="Arial"/>
            <w:i/>
            <w:szCs w:val="18"/>
          </w:rPr>
          <w:t xml:space="preserve">ffences in Victoria: Report and </w:t>
        </w:r>
        <w:r w:rsidR="000D5322">
          <w:rPr>
            <w:rStyle w:val="Hyperlink"/>
            <w:rFonts w:cs="Arial"/>
            <w:i/>
            <w:szCs w:val="18"/>
          </w:rPr>
          <w:t>r</w:t>
        </w:r>
        <w:r w:rsidRPr="005A0A43">
          <w:rPr>
            <w:rStyle w:val="Hyperlink"/>
            <w:rFonts w:cs="Arial"/>
            <w:i/>
            <w:szCs w:val="18"/>
          </w:rPr>
          <w:t>ecommendations</w:t>
        </w:r>
      </w:hyperlink>
      <w:r>
        <w:rPr>
          <w:rFonts w:cs="Arial"/>
          <w:szCs w:val="18"/>
        </w:rPr>
        <w:t xml:space="preserve">, Victorian Government, </w:t>
      </w:r>
      <w:r w:rsidRPr="005A0A43">
        <w:rPr>
          <w:rFonts w:cs="Arial"/>
          <w:szCs w:val="18"/>
        </w:rPr>
        <w:t>2025, Recommendations 1,</w:t>
      </w:r>
      <w:r>
        <w:rPr>
          <w:rFonts w:cs="Arial"/>
          <w:szCs w:val="18"/>
        </w:rPr>
        <w:t xml:space="preserve"> </w:t>
      </w:r>
      <w:r w:rsidRPr="005A0A43">
        <w:rPr>
          <w:rFonts w:cs="Arial"/>
          <w:szCs w:val="18"/>
        </w:rPr>
        <w:t xml:space="preserve">2 and 3, </w:t>
      </w:r>
      <w:r w:rsidRPr="0037744C">
        <w:rPr>
          <w:rFonts w:cs="Arial"/>
          <w:szCs w:val="18"/>
        </w:rPr>
        <w:t>para 2.1</w:t>
      </w:r>
      <w:r w:rsidRPr="0037744C" w:rsidDel="00493AD3">
        <w:rPr>
          <w:rFonts w:cs="Arial"/>
          <w:szCs w:val="18"/>
        </w:rPr>
        <w:t>-</w:t>
      </w:r>
      <w:r w:rsidRPr="0037744C">
        <w:rPr>
          <w:rFonts w:cs="Arial"/>
          <w:szCs w:val="18"/>
        </w:rPr>
        <w:t>2.51</w:t>
      </w:r>
      <w:r w:rsidR="00F83DFE">
        <w:rPr>
          <w:rFonts w:cs="Arial"/>
          <w:szCs w:val="18"/>
        </w:rPr>
        <w:t>.</w:t>
      </w:r>
    </w:p>
  </w:footnote>
  <w:footnote w:id="511">
    <w:p w14:paraId="066E5A75" w14:textId="1E5F92A5" w:rsidR="00F964EE" w:rsidRPr="005A0A43" w:rsidRDefault="00F964EE" w:rsidP="00F964EE">
      <w:pPr>
        <w:pStyle w:val="FootnoteText"/>
      </w:pPr>
      <w:r w:rsidRPr="005A0A43">
        <w:rPr>
          <w:rStyle w:val="FootnoteReference"/>
        </w:rPr>
        <w:footnoteRef/>
      </w:r>
      <w:r w:rsidRPr="005A0A43">
        <w:t xml:space="preserve"> Similarly in Victoria, under the </w:t>
      </w:r>
      <w:r w:rsidRPr="00C30E4D">
        <w:rPr>
          <w:i/>
        </w:rPr>
        <w:t>Occupational Health and Safety Act 2004</w:t>
      </w:r>
      <w:r w:rsidRPr="005A0A43">
        <w:t xml:space="preserve"> (Vic), the maximum penalty is 100,000 penalty units, which at 1 July 2026 equates to $20.91 million.</w:t>
      </w:r>
    </w:p>
  </w:footnote>
  <w:footnote w:id="512">
    <w:p w14:paraId="5290F58C" w14:textId="77777777" w:rsidR="00F964EE" w:rsidRPr="005A0A43" w:rsidRDefault="00F964EE" w:rsidP="00F964EE">
      <w:pPr>
        <w:pStyle w:val="FootnoteText"/>
      </w:pPr>
      <w:r w:rsidRPr="005A0A43">
        <w:rPr>
          <w:rStyle w:val="FootnoteReference"/>
        </w:rPr>
        <w:footnoteRef/>
      </w:r>
      <w:r w:rsidRPr="005A0A43">
        <w:t xml:space="preserve"> </w:t>
      </w:r>
      <w:r>
        <w:t>I</w:t>
      </w:r>
      <w:r w:rsidRPr="005A0A43">
        <w:t xml:space="preserve">n Victoria, under the </w:t>
      </w:r>
      <w:r w:rsidRPr="003E692B">
        <w:rPr>
          <w:i/>
          <w:iCs/>
        </w:rPr>
        <w:t>Occupational Health and Safety Act 2004</w:t>
      </w:r>
      <w:r w:rsidRPr="005A0A43">
        <w:t xml:space="preserve"> (Vic), the maximum penalty is 100,000 penalty units, which at 1 July 2026 equates to $20.91 million</w:t>
      </w:r>
      <w:r>
        <w:t>.</w:t>
      </w:r>
    </w:p>
  </w:footnote>
  <w:footnote w:id="513">
    <w:p w14:paraId="1E28DACC" w14:textId="7A4B0A37" w:rsidR="00F964EE" w:rsidRPr="005A0A43" w:rsidRDefault="00F964EE" w:rsidP="00F964EE">
      <w:pPr>
        <w:pStyle w:val="FootnoteText"/>
        <w:rPr>
          <w:rFonts w:cs="Arial"/>
          <w:szCs w:val="18"/>
        </w:rPr>
      </w:pPr>
      <w:r w:rsidRPr="00493AD3">
        <w:rPr>
          <w:rStyle w:val="FootnoteReference"/>
          <w:rFonts w:cs="Arial"/>
          <w:szCs w:val="18"/>
        </w:rPr>
        <w:footnoteRef/>
      </w:r>
      <w:r w:rsidRPr="00493AD3">
        <w:rPr>
          <w:rFonts w:cs="Arial"/>
          <w:szCs w:val="18"/>
        </w:rPr>
        <w:t xml:space="preserve"> Safe Work Australia, </w:t>
      </w:r>
      <w:hyperlink r:id="rId382" w:history="1">
        <w:r w:rsidRPr="00493AD3">
          <w:rPr>
            <w:rStyle w:val="Hyperlink"/>
            <w:rFonts w:cs="Arial"/>
            <w:i/>
            <w:szCs w:val="18"/>
          </w:rPr>
          <w:t xml:space="preserve">Work Health and Safety Prosecutions </w:t>
        </w:r>
        <w:r>
          <w:rPr>
            <w:rStyle w:val="Hyperlink"/>
            <w:rFonts w:cs="Arial"/>
            <w:i/>
            <w:szCs w:val="18"/>
          </w:rPr>
          <w:t>D</w:t>
        </w:r>
        <w:r w:rsidRPr="00493AD3">
          <w:rPr>
            <w:rStyle w:val="Hyperlink"/>
            <w:rFonts w:cs="Arial"/>
            <w:i/>
            <w:szCs w:val="18"/>
          </w:rPr>
          <w:t>atabase</w:t>
        </w:r>
      </w:hyperlink>
      <w:r w:rsidRPr="00493AD3">
        <w:rPr>
          <w:rFonts w:cs="Arial"/>
          <w:szCs w:val="18"/>
        </w:rPr>
        <w:t xml:space="preserve"> </w:t>
      </w:r>
      <w:r w:rsidRPr="00C30E4D">
        <w:rPr>
          <w:rFonts w:cs="Arial"/>
          <w:szCs w:val="18"/>
        </w:rPr>
        <w:t xml:space="preserve">[data set], </w:t>
      </w:r>
      <w:r w:rsidRPr="00493AD3">
        <w:rPr>
          <w:rFonts w:cs="Arial"/>
          <w:szCs w:val="18"/>
        </w:rPr>
        <w:t>accessed 24 April 2026.</w:t>
      </w:r>
    </w:p>
  </w:footnote>
  <w:footnote w:id="514">
    <w:p w14:paraId="205E7CE8" w14:textId="77777777" w:rsidR="00F964EE" w:rsidRPr="005A0A43" w:rsidRDefault="00F964EE" w:rsidP="00F964EE">
      <w:pPr>
        <w:pStyle w:val="FootnoteText"/>
        <w:rPr>
          <w:rFonts w:cs="Arial"/>
          <w:szCs w:val="18"/>
        </w:rPr>
      </w:pPr>
      <w:r w:rsidRPr="005A0A43">
        <w:rPr>
          <w:rStyle w:val="FootnoteReference"/>
          <w:rFonts w:cs="Arial"/>
          <w:szCs w:val="18"/>
        </w:rPr>
        <w:footnoteRef/>
      </w:r>
      <w:r w:rsidRPr="005A0A43">
        <w:rPr>
          <w:rFonts w:cs="Arial"/>
          <w:szCs w:val="18"/>
        </w:rPr>
        <w:t xml:space="preserve"> See Office of the Work Health and Safety Prosecutor</w:t>
      </w:r>
      <w:r>
        <w:rPr>
          <w:rFonts w:cs="Arial"/>
          <w:szCs w:val="18"/>
        </w:rPr>
        <w:t>,</w:t>
      </w:r>
      <w:r w:rsidRPr="005A0A43">
        <w:rPr>
          <w:rFonts w:cs="Arial"/>
          <w:szCs w:val="18"/>
        </w:rPr>
        <w:t xml:space="preserve"> </w:t>
      </w:r>
      <w:hyperlink r:id="rId383" w:history="1">
        <w:r w:rsidRPr="00C30E4D">
          <w:rPr>
            <w:rStyle w:val="Hyperlink"/>
            <w:rFonts w:cs="Arial"/>
            <w:i/>
            <w:szCs w:val="18"/>
          </w:rPr>
          <w:t xml:space="preserve">Court reports: Ardent Leisure Limited fined $3.6 million over Dreamworld </w:t>
        </w:r>
        <w:r w:rsidRPr="00C30E4D">
          <w:rPr>
            <w:rStyle w:val="Hyperlink"/>
            <w:rFonts w:cs="Arial"/>
            <w:i/>
            <w:iCs/>
            <w:szCs w:val="18"/>
          </w:rPr>
          <w:t>fatalities</w:t>
        </w:r>
      </w:hyperlink>
      <w:r w:rsidRPr="005A0A43">
        <w:rPr>
          <w:rFonts w:cs="Arial"/>
          <w:szCs w:val="18"/>
        </w:rPr>
        <w:t xml:space="preserve">, </w:t>
      </w:r>
      <w:r>
        <w:rPr>
          <w:rFonts w:cs="Arial"/>
          <w:szCs w:val="18"/>
        </w:rPr>
        <w:t xml:space="preserve">Office of the Work Health and Safety Prosecutor website, n.d., </w:t>
      </w:r>
      <w:r w:rsidRPr="005A0A43">
        <w:rPr>
          <w:rFonts w:cs="Arial"/>
          <w:szCs w:val="18"/>
        </w:rPr>
        <w:t xml:space="preserve">accessed 1 May 2026. However, the Dreamworld case involved the deaths of 3 people. In June 2026, the Victorian Supreme Court issued a $3.4 million fine for the workplace manslaughter of </w:t>
      </w:r>
      <w:r>
        <w:rPr>
          <w:rFonts w:cs="Arial"/>
          <w:szCs w:val="18"/>
        </w:rPr>
        <w:t xml:space="preserve">one </w:t>
      </w:r>
      <w:r w:rsidRPr="005A0A43">
        <w:rPr>
          <w:rFonts w:cs="Arial"/>
          <w:szCs w:val="18"/>
        </w:rPr>
        <w:t>man</w:t>
      </w:r>
      <w:r>
        <w:rPr>
          <w:rFonts w:cs="Arial"/>
          <w:szCs w:val="18"/>
        </w:rPr>
        <w:t>:</w:t>
      </w:r>
      <w:r w:rsidRPr="005A0A43">
        <w:rPr>
          <w:rFonts w:cs="Arial"/>
          <w:szCs w:val="18"/>
        </w:rPr>
        <w:t xml:space="preserve"> see</w:t>
      </w:r>
      <w:r w:rsidRPr="005A0A43">
        <w:rPr>
          <w:rFonts w:cs="Arial"/>
          <w:i/>
          <w:szCs w:val="18"/>
        </w:rPr>
        <w:t xml:space="preserve"> DPP v Risham Nominees Pty Ltd </w:t>
      </w:r>
      <w:r w:rsidRPr="00C30E4D">
        <w:rPr>
          <w:rFonts w:cs="Arial"/>
          <w:szCs w:val="18"/>
        </w:rPr>
        <w:t>[2026] VSC 412</w:t>
      </w:r>
      <w:r w:rsidRPr="005A0A43">
        <w:rPr>
          <w:rFonts w:cs="Arial"/>
          <w:szCs w:val="18"/>
        </w:rPr>
        <w:t xml:space="preserve"> (25 June 2026).</w:t>
      </w:r>
    </w:p>
  </w:footnote>
  <w:footnote w:id="515">
    <w:p w14:paraId="63EA9DFB" w14:textId="77777777" w:rsidR="00731CE4" w:rsidRPr="005A0A43" w:rsidRDefault="00731CE4" w:rsidP="00731CE4">
      <w:pPr>
        <w:pStyle w:val="FootnoteText"/>
        <w:rPr>
          <w:rFonts w:cs="Arial"/>
          <w:szCs w:val="18"/>
        </w:rPr>
      </w:pPr>
      <w:r w:rsidRPr="005A0A43">
        <w:rPr>
          <w:rStyle w:val="FootnoteReference"/>
          <w:rFonts w:cs="Arial"/>
          <w:szCs w:val="18"/>
        </w:rPr>
        <w:footnoteRef/>
      </w:r>
      <w:r w:rsidRPr="005A0A43">
        <w:rPr>
          <w:rFonts w:cs="Arial"/>
          <w:szCs w:val="18"/>
        </w:rPr>
        <w:t xml:space="preserve"> </w:t>
      </w:r>
      <w:hyperlink r:id="rId384" w:history="1">
        <w:r w:rsidRPr="005A0A43">
          <w:rPr>
            <w:rStyle w:val="Hyperlink"/>
            <w:rFonts w:cs="Arial"/>
            <w:szCs w:val="18"/>
          </w:rPr>
          <w:t>AIHS</w:t>
        </w:r>
      </w:hyperlink>
      <w:r w:rsidRPr="005A0A43">
        <w:rPr>
          <w:szCs w:val="18"/>
        </w:rPr>
        <w:t>, Submission</w:t>
      </w:r>
      <w:r w:rsidRPr="005A0A43">
        <w:rPr>
          <w:rFonts w:cs="Arial"/>
          <w:szCs w:val="18"/>
        </w:rPr>
        <w:t>, p 11.</w:t>
      </w:r>
    </w:p>
  </w:footnote>
  <w:footnote w:id="516">
    <w:p w14:paraId="3ABB8DE3" w14:textId="447D3FD9" w:rsidR="00731CE4" w:rsidRPr="005A0A43" w:rsidRDefault="00731CE4" w:rsidP="00731CE4">
      <w:pPr>
        <w:pStyle w:val="FootnoteText"/>
        <w:rPr>
          <w:szCs w:val="18"/>
        </w:rPr>
      </w:pPr>
      <w:r w:rsidRPr="005A0A43">
        <w:rPr>
          <w:rStyle w:val="FootnoteReference"/>
          <w:szCs w:val="18"/>
        </w:rPr>
        <w:footnoteRef/>
      </w:r>
      <w:r w:rsidRPr="005A0A43">
        <w:rPr>
          <w:szCs w:val="18"/>
        </w:rPr>
        <w:t xml:space="preserve"> </w:t>
      </w:r>
      <w:hyperlink r:id="rId385" w:history="1">
        <w:r w:rsidRPr="005A0A43">
          <w:rPr>
            <w:rStyle w:val="Hyperlink"/>
            <w:rFonts w:cs="Arial"/>
            <w:szCs w:val="18"/>
          </w:rPr>
          <w:t>Master Electricians Australia</w:t>
        </w:r>
      </w:hyperlink>
      <w:r w:rsidRPr="005A0A43">
        <w:rPr>
          <w:rFonts w:cs="Arial"/>
          <w:szCs w:val="18"/>
        </w:rPr>
        <w:t>, Submission, p 10.</w:t>
      </w:r>
    </w:p>
  </w:footnote>
  <w:footnote w:id="517">
    <w:p w14:paraId="483EFFED" w14:textId="77777777" w:rsidR="00731CE4" w:rsidRPr="005A0A43" w:rsidRDefault="00731CE4" w:rsidP="00731CE4">
      <w:pPr>
        <w:pStyle w:val="FootnoteText"/>
        <w:rPr>
          <w:rFonts w:cs="Arial"/>
          <w:szCs w:val="18"/>
        </w:rPr>
      </w:pPr>
      <w:r w:rsidRPr="005A0A43">
        <w:rPr>
          <w:rStyle w:val="FootnoteReference"/>
          <w:rFonts w:cs="Arial"/>
          <w:szCs w:val="18"/>
        </w:rPr>
        <w:footnoteRef/>
      </w:r>
      <w:r w:rsidRPr="005A0A43">
        <w:rPr>
          <w:rFonts w:cs="Arial"/>
          <w:szCs w:val="18"/>
        </w:rPr>
        <w:t xml:space="preserve"> </w:t>
      </w:r>
      <w:hyperlink r:id="rId386" w:history="1">
        <w:r w:rsidRPr="005A0A43">
          <w:rPr>
            <w:rStyle w:val="Hyperlink"/>
            <w:rFonts w:cs="Arial"/>
            <w:szCs w:val="18"/>
          </w:rPr>
          <w:t>Master Electricians Australia</w:t>
        </w:r>
      </w:hyperlink>
      <w:r w:rsidRPr="005A0A43">
        <w:rPr>
          <w:rFonts w:cs="Arial"/>
          <w:szCs w:val="18"/>
        </w:rPr>
        <w:t>, Submission, p 10.</w:t>
      </w:r>
    </w:p>
  </w:footnote>
  <w:footnote w:id="518">
    <w:p w14:paraId="33ED055C" w14:textId="6D6DDDE1" w:rsidR="00F964EE" w:rsidRPr="005A0A43" w:rsidRDefault="00F964EE" w:rsidP="00F964EE">
      <w:pPr>
        <w:pStyle w:val="FootnoteText"/>
      </w:pPr>
      <w:r w:rsidRPr="005A0A43">
        <w:rPr>
          <w:rStyle w:val="FootnoteReference"/>
          <w:rFonts w:cs="Arial"/>
          <w:szCs w:val="18"/>
        </w:rPr>
        <w:footnoteRef/>
      </w:r>
      <w:r w:rsidRPr="005A0A43">
        <w:rPr>
          <w:rFonts w:cs="Arial"/>
          <w:szCs w:val="18"/>
        </w:rPr>
        <w:t xml:space="preserve"> Australian Tax Office, </w:t>
      </w:r>
      <w:hyperlink r:id="rId387" w:history="1">
        <w:r w:rsidRPr="00C30E4D">
          <w:rPr>
            <w:rStyle w:val="Hyperlink"/>
            <w:rFonts w:cs="Arial"/>
            <w:i/>
            <w:szCs w:val="18"/>
          </w:rPr>
          <w:t xml:space="preserve">Demographics of </w:t>
        </w:r>
        <w:r>
          <w:rPr>
            <w:rStyle w:val="Hyperlink"/>
            <w:rFonts w:cs="Arial"/>
            <w:i/>
            <w:iCs/>
            <w:szCs w:val="18"/>
          </w:rPr>
          <w:t>l</w:t>
        </w:r>
        <w:r w:rsidRPr="00C30E4D">
          <w:rPr>
            <w:rStyle w:val="Hyperlink"/>
            <w:rFonts w:cs="Arial"/>
            <w:i/>
            <w:iCs/>
            <w:szCs w:val="18"/>
          </w:rPr>
          <w:t xml:space="preserve">arge </w:t>
        </w:r>
        <w:r>
          <w:rPr>
            <w:rStyle w:val="Hyperlink"/>
            <w:rFonts w:cs="Arial"/>
            <w:i/>
            <w:iCs/>
            <w:szCs w:val="18"/>
          </w:rPr>
          <w:t>c</w:t>
        </w:r>
        <w:r w:rsidRPr="00C30E4D">
          <w:rPr>
            <w:rStyle w:val="Hyperlink"/>
            <w:rFonts w:cs="Arial"/>
            <w:i/>
            <w:iCs/>
            <w:szCs w:val="18"/>
          </w:rPr>
          <w:t xml:space="preserve">orporate </w:t>
        </w:r>
        <w:r>
          <w:rPr>
            <w:rStyle w:val="Hyperlink"/>
            <w:rFonts w:cs="Arial"/>
            <w:i/>
            <w:iCs/>
            <w:szCs w:val="18"/>
          </w:rPr>
          <w:t>g</w:t>
        </w:r>
        <w:r w:rsidRPr="00C30E4D">
          <w:rPr>
            <w:rStyle w:val="Hyperlink"/>
            <w:rFonts w:cs="Arial"/>
            <w:i/>
            <w:iCs/>
            <w:szCs w:val="18"/>
          </w:rPr>
          <w:t>roups</w:t>
        </w:r>
      </w:hyperlink>
      <w:r w:rsidRPr="005A0A43">
        <w:rPr>
          <w:rFonts w:cs="Arial"/>
          <w:szCs w:val="18"/>
        </w:rPr>
        <w:t>, October 2025, accessed 15 April 2026.</w:t>
      </w:r>
    </w:p>
  </w:footnote>
  <w:footnote w:id="519">
    <w:p w14:paraId="3F9ACA61" w14:textId="63D4EA58" w:rsidR="00831750" w:rsidRPr="005A0A43" w:rsidRDefault="00831750" w:rsidP="00831750">
      <w:pPr>
        <w:pStyle w:val="FootnoteText"/>
      </w:pPr>
      <w:r w:rsidRPr="005A0A43">
        <w:rPr>
          <w:rStyle w:val="FootnoteReference"/>
        </w:rPr>
        <w:footnoteRef/>
      </w:r>
      <w:r w:rsidRPr="005A0A43">
        <w:t xml:space="preserve"> Noting that s 148 provides the obligations on EPH regarding use and disclosure of information/documents obtained during workplace entry.</w:t>
      </w:r>
    </w:p>
  </w:footnote>
  <w:footnote w:id="520">
    <w:p w14:paraId="3052B079" w14:textId="77777777" w:rsidR="00831750" w:rsidRPr="005A0A43" w:rsidRDefault="00831750" w:rsidP="00831750">
      <w:pPr>
        <w:pStyle w:val="FootnoteText"/>
        <w:rPr>
          <w:rFonts w:cs="Arial"/>
          <w:szCs w:val="18"/>
        </w:rPr>
      </w:pPr>
      <w:r w:rsidRPr="005A0A43">
        <w:rPr>
          <w:rStyle w:val="FootnoteReference"/>
          <w:rFonts w:cs="Arial"/>
          <w:szCs w:val="18"/>
        </w:rPr>
        <w:footnoteRef/>
      </w:r>
      <w:r w:rsidRPr="005A0A43">
        <w:rPr>
          <w:rFonts w:cs="Arial"/>
          <w:szCs w:val="18"/>
        </w:rPr>
        <w:t xml:space="preserve"> Model WHS Act, s 271A.</w:t>
      </w:r>
    </w:p>
  </w:footnote>
  <w:footnote w:id="521">
    <w:p w14:paraId="6F48E580" w14:textId="33614D79" w:rsidR="00B1454F" w:rsidRPr="005A0A43" w:rsidRDefault="00B1454F" w:rsidP="00B1454F">
      <w:pPr>
        <w:pStyle w:val="FootnoteText"/>
        <w:rPr>
          <w:rFonts w:cs="Arial"/>
          <w:szCs w:val="18"/>
        </w:rPr>
      </w:pPr>
      <w:r w:rsidRPr="00493AD3">
        <w:rPr>
          <w:rStyle w:val="FootnoteReference"/>
          <w:rFonts w:cs="Arial"/>
          <w:szCs w:val="18"/>
        </w:rPr>
        <w:footnoteRef/>
      </w:r>
      <w:r w:rsidRPr="00493AD3">
        <w:rPr>
          <w:rFonts w:cs="Arial"/>
          <w:szCs w:val="18"/>
        </w:rPr>
        <w:t xml:space="preserve"> Safe Work Australia, </w:t>
      </w:r>
      <w:hyperlink r:id="rId388" w:history="1">
        <w:r w:rsidRPr="00493AD3">
          <w:rPr>
            <w:rStyle w:val="Hyperlink"/>
            <w:rFonts w:cs="Arial"/>
            <w:i/>
            <w:iCs/>
            <w:szCs w:val="18"/>
          </w:rPr>
          <w:t xml:space="preserve">Best </w:t>
        </w:r>
        <w:r>
          <w:rPr>
            <w:rStyle w:val="Hyperlink"/>
            <w:rFonts w:cs="Arial"/>
            <w:i/>
            <w:iCs/>
            <w:szCs w:val="18"/>
          </w:rPr>
          <w:t>P</w:t>
        </w:r>
        <w:r w:rsidRPr="00493AD3">
          <w:rPr>
            <w:rStyle w:val="Hyperlink"/>
            <w:rFonts w:cs="Arial"/>
            <w:i/>
            <w:iCs/>
            <w:szCs w:val="18"/>
          </w:rPr>
          <w:t xml:space="preserve">ractice </w:t>
        </w:r>
        <w:r>
          <w:rPr>
            <w:rStyle w:val="Hyperlink"/>
            <w:rFonts w:cs="Arial"/>
            <w:i/>
            <w:iCs/>
            <w:szCs w:val="18"/>
          </w:rPr>
          <w:t>R</w:t>
        </w:r>
        <w:r w:rsidRPr="00493AD3">
          <w:rPr>
            <w:rStyle w:val="Hyperlink"/>
            <w:rFonts w:cs="Arial"/>
            <w:i/>
            <w:iCs/>
            <w:szCs w:val="18"/>
          </w:rPr>
          <w:t xml:space="preserve">eview of the </w:t>
        </w:r>
        <w:r w:rsidR="005E5BED">
          <w:rPr>
            <w:rStyle w:val="Hyperlink"/>
            <w:rFonts w:cs="Arial"/>
            <w:i/>
            <w:iCs/>
            <w:szCs w:val="18"/>
          </w:rPr>
          <w:t>m</w:t>
        </w:r>
        <w:r w:rsidRPr="00493AD3">
          <w:rPr>
            <w:rStyle w:val="Hyperlink"/>
            <w:rFonts w:cs="Arial"/>
            <w:i/>
            <w:iCs/>
            <w:szCs w:val="18"/>
          </w:rPr>
          <w:t xml:space="preserve">odel Work Health and Safety </w:t>
        </w:r>
        <w:r w:rsidR="00E94BD5">
          <w:rPr>
            <w:rStyle w:val="Hyperlink"/>
            <w:rFonts w:cs="Arial"/>
            <w:i/>
            <w:iCs/>
            <w:szCs w:val="18"/>
          </w:rPr>
          <w:t>l</w:t>
        </w:r>
        <w:r w:rsidRPr="00493AD3">
          <w:rPr>
            <w:rStyle w:val="Hyperlink"/>
            <w:rFonts w:cs="Arial"/>
            <w:i/>
            <w:iCs/>
            <w:szCs w:val="18"/>
          </w:rPr>
          <w:t xml:space="preserve">aws: </w:t>
        </w:r>
        <w:r w:rsidR="00E94BD5">
          <w:rPr>
            <w:rStyle w:val="Hyperlink"/>
            <w:rFonts w:cs="Arial"/>
            <w:i/>
            <w:iCs/>
            <w:szCs w:val="18"/>
          </w:rPr>
          <w:t>C</w:t>
        </w:r>
        <w:r w:rsidRPr="00493AD3">
          <w:rPr>
            <w:rStyle w:val="Hyperlink"/>
            <w:rFonts w:cs="Arial"/>
            <w:i/>
            <w:iCs/>
            <w:szCs w:val="18"/>
          </w:rPr>
          <w:t>onsultation summary</w:t>
        </w:r>
      </w:hyperlink>
      <w:r w:rsidRPr="00493AD3">
        <w:rPr>
          <w:rFonts w:cs="Arial"/>
          <w:szCs w:val="18"/>
        </w:rPr>
        <w:t>, Safe Work</w:t>
      </w:r>
      <w:r>
        <w:rPr>
          <w:rFonts w:cs="Arial"/>
          <w:szCs w:val="18"/>
        </w:rPr>
        <w:t xml:space="preserve"> Australia, 2026</w:t>
      </w:r>
      <w:r w:rsidRPr="001A1F07">
        <w:rPr>
          <w:rFonts w:cs="Arial"/>
          <w:szCs w:val="18"/>
        </w:rPr>
        <w:t>; Victorian Incidents</w:t>
      </w:r>
      <w:r w:rsidRPr="005A0A43">
        <w:rPr>
          <w:rFonts w:cs="Arial"/>
          <w:szCs w:val="18"/>
        </w:rPr>
        <w:t xml:space="preserve"> Consultative Committee, Consultation, December 2025.</w:t>
      </w:r>
    </w:p>
  </w:footnote>
  <w:footnote w:id="522">
    <w:p w14:paraId="5A994DA5" w14:textId="1F3C872D" w:rsidR="00B1454F" w:rsidRPr="005A0A43" w:rsidRDefault="00B1454F" w:rsidP="00B1454F">
      <w:pPr>
        <w:pStyle w:val="FootnoteText"/>
        <w:rPr>
          <w:rFonts w:cs="Arial"/>
          <w:szCs w:val="18"/>
        </w:rPr>
      </w:pPr>
      <w:r w:rsidRPr="005A0A43">
        <w:rPr>
          <w:rStyle w:val="FootnoteReference"/>
          <w:rFonts w:cs="Arial"/>
          <w:szCs w:val="18"/>
        </w:rPr>
        <w:footnoteRef/>
      </w:r>
      <w:r w:rsidRPr="005A0A43">
        <w:rPr>
          <w:rFonts w:cs="Arial"/>
          <w:szCs w:val="18"/>
        </w:rPr>
        <w:t xml:space="preserve"> </w:t>
      </w:r>
      <w:hyperlink r:id="rId389" w:history="1">
        <w:r w:rsidRPr="005A0A43">
          <w:rPr>
            <w:rStyle w:val="Hyperlink"/>
            <w:rFonts w:cs="Arial"/>
            <w:szCs w:val="18"/>
          </w:rPr>
          <w:t>Kay Catanzariti</w:t>
        </w:r>
      </w:hyperlink>
      <w:r w:rsidRPr="005A0A43">
        <w:rPr>
          <w:rFonts w:cs="Arial"/>
          <w:szCs w:val="18"/>
        </w:rPr>
        <w:t>, Submission, p 1.</w:t>
      </w:r>
    </w:p>
  </w:footnote>
  <w:footnote w:id="523">
    <w:p w14:paraId="46448D61" w14:textId="77777777" w:rsidR="00B1454F" w:rsidRPr="005A0A43" w:rsidRDefault="00B1454F" w:rsidP="00B1454F">
      <w:pPr>
        <w:pStyle w:val="FootnoteText"/>
        <w:rPr>
          <w:rFonts w:cs="Arial"/>
          <w:szCs w:val="18"/>
        </w:rPr>
      </w:pPr>
      <w:r w:rsidRPr="005A0A43">
        <w:rPr>
          <w:rStyle w:val="FootnoteReference"/>
          <w:rFonts w:cs="Arial"/>
          <w:szCs w:val="18"/>
        </w:rPr>
        <w:footnoteRef/>
      </w:r>
      <w:r w:rsidRPr="005A0A43">
        <w:rPr>
          <w:rFonts w:cs="Arial"/>
          <w:szCs w:val="18"/>
        </w:rPr>
        <w:t xml:space="preserve"> WA Family and Affected Workers, Consultation, December 2025.</w:t>
      </w:r>
    </w:p>
  </w:footnote>
  <w:footnote w:id="524">
    <w:p w14:paraId="4EF0A54B" w14:textId="77777777" w:rsidR="00B1454F" w:rsidRPr="005A0A43" w:rsidRDefault="00B1454F" w:rsidP="00B1454F">
      <w:pPr>
        <w:pStyle w:val="FootnoteText"/>
        <w:rPr>
          <w:rFonts w:cs="Arial"/>
          <w:szCs w:val="18"/>
        </w:rPr>
      </w:pPr>
      <w:r w:rsidRPr="001A1F07">
        <w:rPr>
          <w:rStyle w:val="FootnoteReference"/>
          <w:rFonts w:cs="Arial"/>
          <w:szCs w:val="18"/>
        </w:rPr>
        <w:footnoteRef/>
      </w:r>
      <w:r w:rsidRPr="001A1F07">
        <w:rPr>
          <w:rFonts w:cs="Arial"/>
          <w:szCs w:val="18"/>
        </w:rPr>
        <w:t xml:space="preserve"> R McDougall KC, </w:t>
      </w:r>
      <w:hyperlink r:id="rId390" w:history="1">
        <w:r w:rsidRPr="001A1F07">
          <w:rPr>
            <w:rStyle w:val="Hyperlink"/>
            <w:rFonts w:cs="Arial"/>
            <w:i/>
            <w:szCs w:val="18"/>
          </w:rPr>
          <w:t>Independent Review of SafeWork NSW</w:t>
        </w:r>
      </w:hyperlink>
      <w:r w:rsidRPr="001A1F07">
        <w:rPr>
          <w:rFonts w:cs="Arial"/>
          <w:szCs w:val="18"/>
        </w:rPr>
        <w:t xml:space="preserve">, SafeWork NSW, 2023, pp 119–120; </w:t>
      </w:r>
      <w:hyperlink r:id="rId391" w:anchor="sec.271" w:history="1">
        <w:r w:rsidRPr="00C30E4D">
          <w:rPr>
            <w:rStyle w:val="Hyperlink"/>
            <w:rFonts w:cs="Arial"/>
            <w:szCs w:val="18"/>
          </w:rPr>
          <w:t>NSW WHS Act</w:t>
        </w:r>
      </w:hyperlink>
      <w:r w:rsidRPr="001A1F07">
        <w:rPr>
          <w:rFonts w:cs="Arial"/>
          <w:szCs w:val="18"/>
        </w:rPr>
        <w:t>, s 271(c1).</w:t>
      </w:r>
    </w:p>
  </w:footnote>
  <w:footnote w:id="525">
    <w:p w14:paraId="01020D09" w14:textId="77777777" w:rsidR="00B1454F" w:rsidRPr="005A0A43" w:rsidRDefault="00B1454F" w:rsidP="00B1454F">
      <w:pPr>
        <w:pStyle w:val="FootnoteText"/>
        <w:rPr>
          <w:rFonts w:cs="Arial"/>
          <w:szCs w:val="18"/>
        </w:rPr>
      </w:pPr>
      <w:r w:rsidRPr="005A0A43">
        <w:rPr>
          <w:rStyle w:val="FootnoteReference"/>
          <w:rFonts w:cs="Arial"/>
          <w:szCs w:val="18"/>
        </w:rPr>
        <w:footnoteRef/>
      </w:r>
      <w:r w:rsidRPr="005A0A43">
        <w:rPr>
          <w:rFonts w:cs="Arial"/>
          <w:szCs w:val="18"/>
        </w:rPr>
        <w:t xml:space="preserve"> </w:t>
      </w:r>
      <w:hyperlink r:id="rId392" w:history="1">
        <w:r w:rsidRPr="005A0A43">
          <w:rPr>
            <w:rStyle w:val="Hyperlink"/>
            <w:rFonts w:cs="Arial"/>
            <w:szCs w:val="18"/>
          </w:rPr>
          <w:t>Australian Industry Group</w:t>
        </w:r>
      </w:hyperlink>
      <w:r w:rsidRPr="005A0A43">
        <w:rPr>
          <w:rFonts w:cs="Arial"/>
          <w:szCs w:val="18"/>
        </w:rPr>
        <w:t>, Submission, pp 25–26.</w:t>
      </w:r>
    </w:p>
  </w:footnote>
  <w:footnote w:id="526">
    <w:p w14:paraId="46BABD21" w14:textId="77777777" w:rsidR="00B1454F" w:rsidRPr="005A0A43" w:rsidRDefault="00B1454F" w:rsidP="00B1454F">
      <w:pPr>
        <w:pStyle w:val="FootnoteText"/>
        <w:rPr>
          <w:rFonts w:cs="Arial"/>
          <w:szCs w:val="18"/>
        </w:rPr>
      </w:pPr>
      <w:r w:rsidRPr="005A0A43">
        <w:rPr>
          <w:rStyle w:val="FootnoteReference"/>
          <w:rFonts w:cs="Arial"/>
          <w:szCs w:val="18"/>
        </w:rPr>
        <w:footnoteRef/>
      </w:r>
      <w:r w:rsidRPr="005A0A43">
        <w:rPr>
          <w:rFonts w:cs="Arial"/>
          <w:szCs w:val="18"/>
        </w:rPr>
        <w:t xml:space="preserve"> </w:t>
      </w:r>
      <w:hyperlink r:id="rId393" w:history="1">
        <w:r w:rsidRPr="005A0A43">
          <w:rPr>
            <w:rStyle w:val="Hyperlink"/>
            <w:rFonts w:cs="Arial"/>
            <w:szCs w:val="18"/>
          </w:rPr>
          <w:t>Master Electricians Australia</w:t>
        </w:r>
      </w:hyperlink>
      <w:r w:rsidRPr="005A0A43">
        <w:rPr>
          <w:rFonts w:cs="Arial"/>
          <w:szCs w:val="18"/>
        </w:rPr>
        <w:t>, Submission, pp 25–26.</w:t>
      </w:r>
    </w:p>
  </w:footnote>
  <w:footnote w:id="527">
    <w:p w14:paraId="04F670F0" w14:textId="77777777" w:rsidR="00B1454F" w:rsidRPr="005A0A43" w:rsidRDefault="00B1454F" w:rsidP="00B1454F">
      <w:pPr>
        <w:pStyle w:val="FootnoteText"/>
        <w:rPr>
          <w:rFonts w:cs="Arial"/>
          <w:szCs w:val="18"/>
        </w:rPr>
      </w:pPr>
      <w:r w:rsidRPr="005A0A43">
        <w:rPr>
          <w:rStyle w:val="FootnoteReference"/>
          <w:rFonts w:cs="Arial"/>
          <w:szCs w:val="18"/>
        </w:rPr>
        <w:footnoteRef/>
      </w:r>
      <w:r w:rsidRPr="005A0A43">
        <w:rPr>
          <w:rFonts w:cs="Arial"/>
          <w:szCs w:val="18"/>
        </w:rPr>
        <w:t xml:space="preserve"> </w:t>
      </w:r>
      <w:hyperlink r:id="rId394" w:history="1">
        <w:r w:rsidRPr="005A0A43">
          <w:rPr>
            <w:rStyle w:val="Hyperlink"/>
            <w:rFonts w:cs="Arial"/>
            <w:szCs w:val="18"/>
          </w:rPr>
          <w:t>Comcare</w:t>
        </w:r>
      </w:hyperlink>
      <w:r w:rsidRPr="005A0A43">
        <w:rPr>
          <w:rFonts w:cs="Arial"/>
          <w:szCs w:val="18"/>
        </w:rPr>
        <w:t>, Submission, p 7; WorkSafe WA, Consultation, March 2026.</w:t>
      </w:r>
    </w:p>
  </w:footnote>
  <w:footnote w:id="528">
    <w:p w14:paraId="7D574CDF" w14:textId="146ACC48" w:rsidR="00B1454F" w:rsidRPr="005A0A43" w:rsidRDefault="00B1454F" w:rsidP="00B1454F">
      <w:pPr>
        <w:pStyle w:val="FootnoteText"/>
        <w:rPr>
          <w:rFonts w:cs="Arial"/>
          <w:szCs w:val="18"/>
        </w:rPr>
      </w:pPr>
      <w:r w:rsidRPr="005A0A43">
        <w:rPr>
          <w:rStyle w:val="FootnoteReference"/>
          <w:rFonts w:cs="Arial"/>
          <w:szCs w:val="18"/>
        </w:rPr>
        <w:footnoteRef/>
      </w:r>
      <w:r w:rsidRPr="005A0A43">
        <w:rPr>
          <w:rFonts w:cs="Arial"/>
          <w:szCs w:val="18"/>
        </w:rPr>
        <w:t xml:space="preserve"> SafeWork SA, Consultation, September 2025.</w:t>
      </w:r>
    </w:p>
  </w:footnote>
  <w:footnote w:id="529">
    <w:p w14:paraId="192D153A" w14:textId="77777777" w:rsidR="00B1454F" w:rsidRPr="00F94EC5" w:rsidRDefault="00B1454F" w:rsidP="00B1454F">
      <w:pPr>
        <w:pStyle w:val="FootnoteText"/>
        <w:rPr>
          <w:rFonts w:cs="Arial"/>
          <w:szCs w:val="18"/>
        </w:rPr>
      </w:pPr>
      <w:r w:rsidRPr="00F94EC5">
        <w:rPr>
          <w:rStyle w:val="FootnoteReference"/>
          <w:rFonts w:cs="Arial"/>
          <w:szCs w:val="18"/>
        </w:rPr>
        <w:footnoteRef/>
      </w:r>
      <w:r w:rsidRPr="00F94EC5">
        <w:rPr>
          <w:rFonts w:cs="Arial"/>
          <w:szCs w:val="18"/>
        </w:rPr>
        <w:t xml:space="preserve"> </w:t>
      </w:r>
      <w:hyperlink r:id="rId395" w:history="1">
        <w:r w:rsidRPr="00F94EC5">
          <w:rPr>
            <w:rStyle w:val="Hyperlink"/>
            <w:rFonts w:cs="Arial"/>
            <w:szCs w:val="18"/>
          </w:rPr>
          <w:t>Comcare</w:t>
        </w:r>
      </w:hyperlink>
      <w:r w:rsidRPr="00F94EC5">
        <w:rPr>
          <w:rFonts w:cs="Arial"/>
          <w:szCs w:val="18"/>
        </w:rPr>
        <w:t>, Submission, p 7.</w:t>
      </w:r>
    </w:p>
  </w:footnote>
  <w:footnote w:id="530">
    <w:p w14:paraId="7194229E" w14:textId="77777777" w:rsidR="00B1454F" w:rsidRPr="00F94EC5" w:rsidRDefault="00B1454F" w:rsidP="00B1454F">
      <w:pPr>
        <w:pStyle w:val="FootnoteText"/>
      </w:pPr>
      <w:r w:rsidRPr="00F94EC5">
        <w:rPr>
          <w:rStyle w:val="FootnoteReference"/>
        </w:rPr>
        <w:footnoteRef/>
      </w:r>
      <w:r w:rsidRPr="00F94EC5">
        <w:t xml:space="preserve"> </w:t>
      </w:r>
      <w:hyperlink r:id="rId396" w:history="1">
        <w:r w:rsidRPr="00F94EC5">
          <w:rPr>
            <w:rStyle w:val="Hyperlink"/>
          </w:rPr>
          <w:t>Office of the ACT WHS Commissioner</w:t>
        </w:r>
      </w:hyperlink>
      <w:r w:rsidRPr="00F94EC5">
        <w:t>, Submission, p 15.</w:t>
      </w:r>
    </w:p>
  </w:footnote>
  <w:footnote w:id="531">
    <w:p w14:paraId="5B00EB5A" w14:textId="77777777" w:rsidR="00B1454F" w:rsidRPr="00F94EC5" w:rsidRDefault="00B1454F" w:rsidP="00B1454F">
      <w:pPr>
        <w:pStyle w:val="FootnoteText"/>
      </w:pPr>
      <w:r w:rsidRPr="00F94EC5">
        <w:rPr>
          <w:rStyle w:val="FootnoteReference"/>
        </w:rPr>
        <w:footnoteRef/>
      </w:r>
      <w:r w:rsidRPr="00F94EC5">
        <w:t xml:space="preserve"> HWSA, Consultation, September 2025.</w:t>
      </w:r>
    </w:p>
  </w:footnote>
  <w:footnote w:id="532">
    <w:p w14:paraId="4D51C186" w14:textId="5B07463E" w:rsidR="00831750" w:rsidRPr="00F94EC5" w:rsidRDefault="00831750" w:rsidP="00831750">
      <w:pPr>
        <w:pStyle w:val="FootnoteText"/>
        <w:rPr>
          <w:rFonts w:cs="Arial"/>
          <w:szCs w:val="18"/>
        </w:rPr>
      </w:pPr>
      <w:r w:rsidRPr="00F94EC5">
        <w:rPr>
          <w:rStyle w:val="FootnoteReference"/>
          <w:rFonts w:cs="Arial"/>
          <w:szCs w:val="18"/>
        </w:rPr>
        <w:footnoteRef/>
      </w:r>
      <w:r w:rsidRPr="00F94EC5">
        <w:rPr>
          <w:rFonts w:cs="Arial"/>
          <w:szCs w:val="18"/>
        </w:rPr>
        <w:t xml:space="preserve"> R McDougall KC, </w:t>
      </w:r>
      <w:hyperlink r:id="rId397" w:history="1">
        <w:r w:rsidRPr="00105531">
          <w:rPr>
            <w:rStyle w:val="Hyperlink"/>
            <w:rFonts w:cs="Arial"/>
            <w:i/>
            <w:szCs w:val="18"/>
          </w:rPr>
          <w:t>Independent Review of SafeWork NSW</w:t>
        </w:r>
      </w:hyperlink>
      <w:r w:rsidRPr="00105531">
        <w:rPr>
          <w:rFonts w:cs="Arial"/>
          <w:szCs w:val="18"/>
        </w:rPr>
        <w:t>, SafeWork NSW, 2023, p</w:t>
      </w:r>
      <w:r w:rsidR="000D5322">
        <w:rPr>
          <w:rFonts w:cs="Arial"/>
          <w:szCs w:val="18"/>
        </w:rPr>
        <w:t>p</w:t>
      </w:r>
      <w:r w:rsidRPr="00105531">
        <w:rPr>
          <w:rFonts w:cs="Arial"/>
          <w:szCs w:val="18"/>
        </w:rPr>
        <w:t xml:space="preserve"> 119–120. J Merritt, </w:t>
      </w:r>
      <w:hyperlink r:id="rId398" w:history="1">
        <w:r w:rsidRPr="00105531">
          <w:rPr>
            <w:rStyle w:val="Hyperlink"/>
            <w:rFonts w:cs="Arial"/>
            <w:i/>
            <w:szCs w:val="18"/>
          </w:rPr>
          <w:t>Independent Review of SafeWork SA</w:t>
        </w:r>
      </w:hyperlink>
      <w:r w:rsidRPr="00105531">
        <w:rPr>
          <w:rFonts w:cs="Arial"/>
          <w:szCs w:val="18"/>
        </w:rPr>
        <w:t>, SafeWork SA, 2022, p 27. Senate E</w:t>
      </w:r>
      <w:r w:rsidRPr="007333CF">
        <w:rPr>
          <w:rFonts w:cs="Arial"/>
          <w:szCs w:val="18"/>
        </w:rPr>
        <w:t>ducation and Employment Reference</w:t>
      </w:r>
      <w:r>
        <w:rPr>
          <w:rFonts w:cs="Arial"/>
          <w:szCs w:val="18"/>
        </w:rPr>
        <w:t>s</w:t>
      </w:r>
      <w:r w:rsidRPr="007333CF">
        <w:rPr>
          <w:rFonts w:cs="Arial"/>
          <w:szCs w:val="18"/>
        </w:rPr>
        <w:t xml:space="preserve"> Committee, </w:t>
      </w:r>
      <w:r w:rsidRPr="007333CF">
        <w:rPr>
          <w:rFonts w:cs="Arial"/>
          <w:i/>
          <w:szCs w:val="18"/>
        </w:rPr>
        <w:t xml:space="preserve">They </w:t>
      </w:r>
      <w:r>
        <w:rPr>
          <w:rFonts w:cs="Arial"/>
          <w:i/>
          <w:szCs w:val="18"/>
        </w:rPr>
        <w:t>n</w:t>
      </w:r>
      <w:r w:rsidRPr="007333CF">
        <w:rPr>
          <w:rFonts w:cs="Arial"/>
          <w:i/>
          <w:szCs w:val="18"/>
        </w:rPr>
        <w:t xml:space="preserve">ever </w:t>
      </w:r>
      <w:r>
        <w:rPr>
          <w:rFonts w:cs="Arial"/>
          <w:i/>
          <w:szCs w:val="18"/>
        </w:rPr>
        <w:t>c</w:t>
      </w:r>
      <w:r w:rsidRPr="007333CF">
        <w:rPr>
          <w:rFonts w:cs="Arial"/>
          <w:i/>
          <w:szCs w:val="18"/>
        </w:rPr>
        <w:t xml:space="preserve">ame </w:t>
      </w:r>
      <w:r>
        <w:rPr>
          <w:rFonts w:cs="Arial"/>
          <w:i/>
          <w:szCs w:val="18"/>
        </w:rPr>
        <w:t>h</w:t>
      </w:r>
      <w:r w:rsidRPr="007333CF">
        <w:rPr>
          <w:rFonts w:cs="Arial"/>
          <w:i/>
          <w:szCs w:val="18"/>
        </w:rPr>
        <w:t xml:space="preserve">ome – </w:t>
      </w:r>
      <w:r w:rsidR="000349B9">
        <w:rPr>
          <w:rFonts w:cs="Arial"/>
          <w:i/>
          <w:szCs w:val="18"/>
        </w:rPr>
        <w:t>T</w:t>
      </w:r>
      <w:r w:rsidRPr="007333CF">
        <w:rPr>
          <w:rFonts w:cs="Arial"/>
          <w:i/>
          <w:szCs w:val="18"/>
        </w:rPr>
        <w:t>he framework surrounding the prevention, investigation and prosecution of industrial deaths in Australia</w:t>
      </w:r>
      <w:r w:rsidRPr="007333CF">
        <w:rPr>
          <w:rFonts w:cs="Arial"/>
          <w:szCs w:val="18"/>
        </w:rPr>
        <w:t xml:space="preserve">, </w:t>
      </w:r>
      <w:r>
        <w:rPr>
          <w:rFonts w:cs="Arial"/>
          <w:szCs w:val="18"/>
        </w:rPr>
        <w:t xml:space="preserve">Australian Government, </w:t>
      </w:r>
      <w:r w:rsidRPr="007333CF">
        <w:rPr>
          <w:rFonts w:cs="Arial"/>
          <w:szCs w:val="18"/>
        </w:rPr>
        <w:t>2018</w:t>
      </w:r>
      <w:r>
        <w:rPr>
          <w:rFonts w:cs="Arial"/>
          <w:szCs w:val="18"/>
        </w:rPr>
        <w:t>,</w:t>
      </w:r>
      <w:r w:rsidRPr="00F94EC5" w:rsidDel="00A92EFB">
        <w:rPr>
          <w:rFonts w:cs="Arial"/>
          <w:i/>
          <w:szCs w:val="18"/>
        </w:rPr>
        <w:t xml:space="preserve"> </w:t>
      </w:r>
      <w:r w:rsidRPr="00F94EC5">
        <w:rPr>
          <w:rFonts w:cs="Arial"/>
          <w:szCs w:val="18"/>
        </w:rPr>
        <w:t>Ch</w:t>
      </w:r>
      <w:r>
        <w:rPr>
          <w:rFonts w:cs="Arial"/>
          <w:szCs w:val="18"/>
        </w:rPr>
        <w:t xml:space="preserve"> </w:t>
      </w:r>
      <w:r w:rsidRPr="00F94EC5">
        <w:rPr>
          <w:rFonts w:cs="Arial"/>
          <w:szCs w:val="18"/>
        </w:rPr>
        <w:t>6.</w:t>
      </w:r>
    </w:p>
  </w:footnote>
  <w:footnote w:id="533">
    <w:p w14:paraId="547A05C0" w14:textId="1C414D63" w:rsidR="00831750" w:rsidRPr="00F94EC5" w:rsidRDefault="00831750" w:rsidP="00831750">
      <w:pPr>
        <w:pStyle w:val="FootnoteText"/>
        <w:rPr>
          <w:rFonts w:cs="Arial"/>
          <w:szCs w:val="18"/>
        </w:rPr>
      </w:pPr>
      <w:r w:rsidRPr="00F94EC5">
        <w:rPr>
          <w:rStyle w:val="FootnoteReference"/>
          <w:rFonts w:cs="Arial"/>
          <w:szCs w:val="18"/>
        </w:rPr>
        <w:footnoteRef/>
      </w:r>
      <w:r w:rsidRPr="00F94EC5">
        <w:rPr>
          <w:rFonts w:cs="Arial"/>
          <w:szCs w:val="18"/>
        </w:rPr>
        <w:t xml:space="preserve"> M Ngo, L R Matthew, M Quinlan</w:t>
      </w:r>
      <w:r>
        <w:rPr>
          <w:rFonts w:cs="Arial"/>
          <w:szCs w:val="18"/>
        </w:rPr>
        <w:t xml:space="preserve"> and </w:t>
      </w:r>
      <w:r w:rsidRPr="00F94EC5">
        <w:rPr>
          <w:rFonts w:cs="Arial"/>
          <w:szCs w:val="18"/>
        </w:rPr>
        <w:t xml:space="preserve">P Bohle, ‘Information needs of bereaved families following fatal work incidents’, </w:t>
      </w:r>
      <w:r w:rsidRPr="00F94EC5">
        <w:rPr>
          <w:rFonts w:cs="Arial"/>
          <w:i/>
          <w:szCs w:val="18"/>
        </w:rPr>
        <w:t>Death Studies</w:t>
      </w:r>
      <w:r w:rsidRPr="00F94EC5">
        <w:rPr>
          <w:rFonts w:cs="Arial"/>
          <w:szCs w:val="18"/>
        </w:rPr>
        <w:t>, 2020, 44(8)</w:t>
      </w:r>
      <w:r w:rsidRPr="006E51BB">
        <w:rPr>
          <w:rFonts w:cs="Arial"/>
          <w:szCs w:val="18"/>
        </w:rPr>
        <w:t>: 478–489.</w:t>
      </w:r>
    </w:p>
  </w:footnote>
  <w:footnote w:id="534">
    <w:p w14:paraId="683B68F2" w14:textId="6E1F50D9" w:rsidR="00831750" w:rsidRPr="00F94EC5" w:rsidRDefault="00831750" w:rsidP="00831750">
      <w:pPr>
        <w:pStyle w:val="FootnoteText"/>
        <w:rPr>
          <w:rFonts w:cs="Arial"/>
          <w:szCs w:val="18"/>
        </w:rPr>
      </w:pPr>
      <w:r w:rsidRPr="00F94EC5">
        <w:rPr>
          <w:rStyle w:val="FootnoteReference"/>
          <w:rFonts w:cs="Arial"/>
          <w:szCs w:val="18"/>
        </w:rPr>
        <w:footnoteRef/>
      </w:r>
      <w:r w:rsidRPr="00F94EC5">
        <w:rPr>
          <w:rFonts w:cs="Arial"/>
          <w:szCs w:val="18"/>
        </w:rPr>
        <w:t xml:space="preserve"> For further information</w:t>
      </w:r>
      <w:r>
        <w:rPr>
          <w:rFonts w:cs="Arial"/>
          <w:szCs w:val="18"/>
        </w:rPr>
        <w:t>,</w:t>
      </w:r>
      <w:r w:rsidRPr="00F94EC5">
        <w:rPr>
          <w:rFonts w:cs="Arial"/>
          <w:szCs w:val="18"/>
        </w:rPr>
        <w:t xml:space="preserve"> see Uniting Church, </w:t>
      </w:r>
      <w:hyperlink r:id="rId399" w:history="1">
        <w:r w:rsidRPr="00F94EC5">
          <w:rPr>
            <w:rStyle w:val="Hyperlink"/>
            <w:rFonts w:cs="Arial"/>
            <w:i/>
            <w:szCs w:val="18"/>
          </w:rPr>
          <w:t xml:space="preserve">Griefwork: </w:t>
        </w:r>
        <w:r>
          <w:rPr>
            <w:rStyle w:val="Hyperlink"/>
            <w:rFonts w:cs="Arial"/>
            <w:i/>
            <w:szCs w:val="18"/>
          </w:rPr>
          <w:t>h</w:t>
        </w:r>
        <w:r w:rsidRPr="00F94EC5">
          <w:rPr>
            <w:rStyle w:val="Hyperlink"/>
            <w:rFonts w:cs="Arial"/>
            <w:i/>
            <w:szCs w:val="18"/>
          </w:rPr>
          <w:t>ealing work-related harm</w:t>
        </w:r>
      </w:hyperlink>
      <w:r w:rsidRPr="00F94EC5">
        <w:rPr>
          <w:rFonts w:cs="Arial"/>
          <w:szCs w:val="18"/>
        </w:rPr>
        <w:t xml:space="preserve">, </w:t>
      </w:r>
      <w:r>
        <w:rPr>
          <w:rFonts w:cs="Arial"/>
          <w:szCs w:val="18"/>
        </w:rPr>
        <w:t>Uniting Church w</w:t>
      </w:r>
      <w:r w:rsidRPr="00F94EC5">
        <w:rPr>
          <w:rFonts w:cs="Arial"/>
          <w:szCs w:val="18"/>
        </w:rPr>
        <w:t xml:space="preserve">ebsite, </w:t>
      </w:r>
      <w:r>
        <w:rPr>
          <w:rFonts w:cs="Arial"/>
          <w:szCs w:val="18"/>
        </w:rPr>
        <w:t xml:space="preserve">n.d., </w:t>
      </w:r>
      <w:r w:rsidRPr="00F94EC5">
        <w:rPr>
          <w:rFonts w:cs="Arial"/>
          <w:szCs w:val="18"/>
        </w:rPr>
        <w:t>accessed 29 April 2026.</w:t>
      </w:r>
    </w:p>
  </w:footnote>
  <w:footnote w:id="535">
    <w:p w14:paraId="4A35EFB8" w14:textId="77777777" w:rsidR="00831750" w:rsidRPr="00F94EC5" w:rsidRDefault="00831750" w:rsidP="00831750">
      <w:pPr>
        <w:pStyle w:val="FootnoteText"/>
        <w:rPr>
          <w:rFonts w:cs="Arial"/>
          <w:szCs w:val="18"/>
        </w:rPr>
      </w:pPr>
      <w:r w:rsidRPr="00F94EC5">
        <w:rPr>
          <w:rStyle w:val="FootnoteReference"/>
          <w:rFonts w:cs="Arial"/>
          <w:szCs w:val="18"/>
        </w:rPr>
        <w:footnoteRef/>
      </w:r>
      <w:r w:rsidRPr="00F94EC5">
        <w:rPr>
          <w:rFonts w:cs="Arial"/>
          <w:szCs w:val="18"/>
        </w:rPr>
        <w:t xml:space="preserve"> NSW WHS Act, s 271(3)(c1).</w:t>
      </w:r>
    </w:p>
  </w:footnote>
  <w:footnote w:id="536">
    <w:p w14:paraId="123A3D97" w14:textId="77777777" w:rsidR="00831750" w:rsidRPr="00F94EC5" w:rsidRDefault="00831750" w:rsidP="00831750">
      <w:pPr>
        <w:pStyle w:val="FootnoteText"/>
        <w:rPr>
          <w:rFonts w:cs="Arial"/>
          <w:szCs w:val="18"/>
        </w:rPr>
      </w:pPr>
      <w:r w:rsidRPr="00F94EC5">
        <w:rPr>
          <w:rStyle w:val="FootnoteReference"/>
          <w:rFonts w:cs="Arial"/>
          <w:szCs w:val="18"/>
        </w:rPr>
        <w:footnoteRef/>
      </w:r>
      <w:r w:rsidRPr="00F94EC5">
        <w:rPr>
          <w:rFonts w:cs="Arial"/>
          <w:szCs w:val="18"/>
        </w:rPr>
        <w:t xml:space="preserve"> J Merritt, </w:t>
      </w:r>
      <w:hyperlink r:id="rId400" w:history="1">
        <w:r w:rsidRPr="00F94EC5">
          <w:rPr>
            <w:rStyle w:val="Hyperlink"/>
            <w:rFonts w:cs="Arial"/>
            <w:i/>
            <w:szCs w:val="18"/>
          </w:rPr>
          <w:t>Independent Review of SafeWork SA</w:t>
        </w:r>
      </w:hyperlink>
      <w:r w:rsidRPr="00F94EC5">
        <w:rPr>
          <w:rFonts w:cs="Arial"/>
          <w:szCs w:val="18"/>
        </w:rPr>
        <w:t>, SafeWork SA, 2022, Recommendation 24 – regulators adopt an informal release of information policy that enables appropriately redacted inspection reports to be provided to interested parties.</w:t>
      </w:r>
    </w:p>
  </w:footnote>
  <w:footnote w:id="537">
    <w:p w14:paraId="5F5971DE" w14:textId="77777777" w:rsidR="00831750" w:rsidRPr="00F94EC5" w:rsidRDefault="00831750" w:rsidP="00831750">
      <w:pPr>
        <w:pStyle w:val="FootnoteText"/>
        <w:rPr>
          <w:rFonts w:cs="Arial"/>
          <w:szCs w:val="18"/>
        </w:rPr>
      </w:pPr>
      <w:r w:rsidRPr="00F94EC5">
        <w:rPr>
          <w:rStyle w:val="FootnoteReference"/>
          <w:rFonts w:cs="Arial"/>
          <w:szCs w:val="18"/>
        </w:rPr>
        <w:footnoteRef/>
      </w:r>
      <w:r w:rsidRPr="00F94EC5">
        <w:rPr>
          <w:rFonts w:cs="Arial"/>
          <w:szCs w:val="18"/>
        </w:rPr>
        <w:t xml:space="preserve"> Model WHS Act, s</w:t>
      </w:r>
      <w:r>
        <w:rPr>
          <w:rFonts w:cs="Arial"/>
          <w:szCs w:val="18"/>
        </w:rPr>
        <w:t xml:space="preserve"> </w:t>
      </w:r>
      <w:r w:rsidRPr="00F94EC5">
        <w:rPr>
          <w:rFonts w:cs="Arial"/>
          <w:szCs w:val="18"/>
        </w:rPr>
        <w:t>3(1)(c) and (f).</w:t>
      </w:r>
    </w:p>
  </w:footnote>
  <w:footnote w:id="538">
    <w:p w14:paraId="05722B57" w14:textId="77777777" w:rsidR="00831750" w:rsidRPr="00F94EC5" w:rsidRDefault="00831750" w:rsidP="00831750">
      <w:pPr>
        <w:pStyle w:val="FootnoteText"/>
        <w:rPr>
          <w:rFonts w:cs="Arial"/>
          <w:szCs w:val="18"/>
        </w:rPr>
      </w:pPr>
      <w:r w:rsidRPr="00F94EC5">
        <w:rPr>
          <w:rStyle w:val="FootnoteReference"/>
          <w:rFonts w:cs="Arial"/>
          <w:szCs w:val="18"/>
        </w:rPr>
        <w:footnoteRef/>
      </w:r>
      <w:r w:rsidRPr="00F94EC5">
        <w:rPr>
          <w:rFonts w:cs="Arial"/>
          <w:szCs w:val="18"/>
        </w:rPr>
        <w:t xml:space="preserve"> NSW WHS Act, s 271(3)(c2).</w:t>
      </w:r>
    </w:p>
  </w:footnote>
  <w:footnote w:id="539">
    <w:p w14:paraId="07F56C58" w14:textId="3E1814B0" w:rsidR="00831750" w:rsidRPr="00F94EC5" w:rsidRDefault="00831750" w:rsidP="00831750">
      <w:pPr>
        <w:pStyle w:val="FootnoteText"/>
      </w:pPr>
      <w:r w:rsidRPr="00F94EC5">
        <w:rPr>
          <w:rStyle w:val="FootnoteReference"/>
          <w:rFonts w:cs="Arial"/>
          <w:szCs w:val="18"/>
        </w:rPr>
        <w:footnoteRef/>
      </w:r>
      <w:r w:rsidRPr="00F94EC5">
        <w:rPr>
          <w:rFonts w:cs="Arial"/>
          <w:szCs w:val="18"/>
        </w:rPr>
        <w:t xml:space="preserve"> </w:t>
      </w:r>
      <w:r w:rsidRPr="00F94EC5">
        <w:t>NSW WHS Act, s 271(3B). See also SA WHS Act, s 271A(2)(d).</w:t>
      </w:r>
    </w:p>
  </w:footnote>
  <w:footnote w:id="540">
    <w:p w14:paraId="6D4A273C" w14:textId="77777777" w:rsidR="00831750" w:rsidRPr="00F94EC5" w:rsidRDefault="00831750" w:rsidP="00831750">
      <w:pPr>
        <w:pStyle w:val="FootnoteText"/>
      </w:pPr>
      <w:r w:rsidRPr="00F94EC5">
        <w:rPr>
          <w:rStyle w:val="FootnoteReference"/>
        </w:rPr>
        <w:footnoteRef/>
      </w:r>
      <w:r w:rsidRPr="00F94EC5">
        <w:t xml:space="preserve"> Model WHS Act, s</w:t>
      </w:r>
      <w:r>
        <w:t xml:space="preserve"> </w:t>
      </w:r>
      <w:r w:rsidRPr="00F94EC5">
        <w:t>152(g).</w:t>
      </w:r>
    </w:p>
  </w:footnote>
  <w:footnote w:id="541">
    <w:p w14:paraId="316DADFC" w14:textId="7B34F34B" w:rsidR="00A43BC7" w:rsidRPr="00F94EC5" w:rsidRDefault="00A43BC7" w:rsidP="00A43BC7">
      <w:pPr>
        <w:pStyle w:val="FootnoteText"/>
        <w:rPr>
          <w:rFonts w:cs="Arial"/>
          <w:szCs w:val="18"/>
        </w:rPr>
      </w:pPr>
      <w:r w:rsidRPr="00F94EC5">
        <w:rPr>
          <w:rStyle w:val="FootnoteReference"/>
          <w:rFonts w:cs="Arial"/>
          <w:szCs w:val="18"/>
        </w:rPr>
        <w:footnoteRef/>
      </w:r>
      <w:r w:rsidRPr="00F94EC5">
        <w:rPr>
          <w:rFonts w:cs="Arial"/>
          <w:szCs w:val="18"/>
        </w:rPr>
        <w:t xml:space="preserve"> R Dennis, </w:t>
      </w:r>
      <w:r w:rsidRPr="00F94EC5">
        <w:rPr>
          <w:rFonts w:cs="Arial"/>
          <w:i/>
          <w:szCs w:val="18"/>
        </w:rPr>
        <w:t>Expert advice to the Best Practice Review of the model WHS laws,</w:t>
      </w:r>
      <w:r w:rsidRPr="00F94EC5">
        <w:rPr>
          <w:rFonts w:cs="Arial"/>
          <w:szCs w:val="18"/>
        </w:rPr>
        <w:t xml:space="preserve"> 2026, pp 6–7.</w:t>
      </w:r>
    </w:p>
  </w:footnote>
  <w:footnote w:id="542">
    <w:p w14:paraId="3F017B5E" w14:textId="77777777" w:rsidR="00610BCC" w:rsidRPr="00F94EC5" w:rsidRDefault="00610BCC" w:rsidP="00610BCC">
      <w:pPr>
        <w:pStyle w:val="FootnoteText"/>
        <w:rPr>
          <w:rFonts w:cs="Arial"/>
          <w:szCs w:val="18"/>
        </w:rPr>
      </w:pPr>
      <w:r w:rsidRPr="00F94EC5">
        <w:rPr>
          <w:rStyle w:val="FootnoteReference"/>
          <w:rFonts w:cs="Arial"/>
          <w:szCs w:val="18"/>
        </w:rPr>
        <w:footnoteRef/>
      </w:r>
      <w:r w:rsidRPr="00F94EC5">
        <w:rPr>
          <w:rFonts w:cs="Arial"/>
          <w:szCs w:val="18"/>
        </w:rPr>
        <w:t xml:space="preserve"> Model WHS Act, s 275.</w:t>
      </w:r>
    </w:p>
  </w:footnote>
  <w:footnote w:id="543">
    <w:p w14:paraId="36E6A31C" w14:textId="672152AB" w:rsidR="00610BCC" w:rsidRPr="00F94EC5" w:rsidRDefault="00610BCC" w:rsidP="00610BCC">
      <w:pPr>
        <w:pStyle w:val="FootnoteText"/>
        <w:rPr>
          <w:rFonts w:cs="Arial"/>
          <w:szCs w:val="18"/>
        </w:rPr>
      </w:pPr>
      <w:r w:rsidRPr="00F94EC5">
        <w:rPr>
          <w:rStyle w:val="FootnoteReference"/>
          <w:rFonts w:cs="Arial"/>
          <w:szCs w:val="18"/>
        </w:rPr>
        <w:footnoteRef/>
      </w:r>
      <w:r w:rsidRPr="00F94EC5">
        <w:rPr>
          <w:rFonts w:cs="Arial"/>
          <w:szCs w:val="18"/>
        </w:rPr>
        <w:t xml:space="preserve"> Qld WHS Act, s 26(a).</w:t>
      </w:r>
    </w:p>
  </w:footnote>
  <w:footnote w:id="544">
    <w:p w14:paraId="490C3A78" w14:textId="77777777" w:rsidR="00610BCC" w:rsidRPr="00F94EC5" w:rsidRDefault="00610BCC" w:rsidP="00610BCC">
      <w:pPr>
        <w:pStyle w:val="FootnoteText"/>
        <w:rPr>
          <w:rFonts w:cs="Arial"/>
          <w:szCs w:val="18"/>
        </w:rPr>
      </w:pPr>
      <w:r w:rsidRPr="00F94EC5">
        <w:rPr>
          <w:rStyle w:val="FootnoteReference"/>
          <w:rFonts w:cs="Arial"/>
          <w:szCs w:val="18"/>
        </w:rPr>
        <w:footnoteRef/>
      </w:r>
      <w:r w:rsidRPr="00F94EC5">
        <w:rPr>
          <w:rFonts w:cs="Arial"/>
          <w:szCs w:val="18"/>
        </w:rPr>
        <w:t xml:space="preserve"> Vic OHS Act, s 152.</w:t>
      </w:r>
    </w:p>
  </w:footnote>
  <w:footnote w:id="545">
    <w:p w14:paraId="752BEA80" w14:textId="77777777" w:rsidR="00610BCC" w:rsidRPr="00F94EC5" w:rsidRDefault="00610BCC" w:rsidP="00610BCC">
      <w:pPr>
        <w:pStyle w:val="FootnoteText"/>
        <w:rPr>
          <w:rFonts w:cstheme="minorHAnsi"/>
          <w:szCs w:val="18"/>
        </w:rPr>
      </w:pPr>
      <w:r w:rsidRPr="00F94EC5">
        <w:rPr>
          <w:rStyle w:val="FootnoteReference"/>
          <w:rFonts w:cs="Arial"/>
          <w:szCs w:val="18"/>
        </w:rPr>
        <w:footnoteRef/>
      </w:r>
      <w:r w:rsidRPr="00F94EC5">
        <w:rPr>
          <w:rFonts w:cs="Arial"/>
          <w:szCs w:val="18"/>
        </w:rPr>
        <w:t xml:space="preserve"> </w:t>
      </w:r>
      <w:hyperlink r:id="rId401" w:history="1">
        <w:r w:rsidRPr="00F94EC5">
          <w:rPr>
            <w:rStyle w:val="Hyperlink"/>
            <w:rFonts w:cs="Arial"/>
            <w:szCs w:val="18"/>
          </w:rPr>
          <w:t>Australian Industry Group</w:t>
        </w:r>
      </w:hyperlink>
      <w:r w:rsidRPr="00F94EC5">
        <w:rPr>
          <w:rFonts w:cs="Arial"/>
          <w:szCs w:val="18"/>
        </w:rPr>
        <w:t>, Submission, p 13.</w:t>
      </w:r>
    </w:p>
  </w:footnote>
  <w:footnote w:id="546">
    <w:p w14:paraId="6CC48C1F" w14:textId="77777777" w:rsidR="00AA2B02" w:rsidRPr="00F94EC5" w:rsidRDefault="00AA2B02" w:rsidP="00AA2B02">
      <w:pPr>
        <w:pStyle w:val="FootnoteText"/>
        <w:rPr>
          <w:rFonts w:cs="Arial"/>
          <w:szCs w:val="18"/>
        </w:rPr>
      </w:pPr>
      <w:r w:rsidRPr="00F94EC5">
        <w:rPr>
          <w:rStyle w:val="FootnoteReference"/>
          <w:rFonts w:cs="Arial"/>
          <w:szCs w:val="18"/>
        </w:rPr>
        <w:footnoteRef/>
      </w:r>
      <w:r w:rsidRPr="00F94EC5">
        <w:rPr>
          <w:rFonts w:cs="Arial"/>
          <w:szCs w:val="18"/>
        </w:rPr>
        <w:t xml:space="preserve"> </w:t>
      </w:r>
      <w:hyperlink r:id="rId402" w:history="1">
        <w:r w:rsidRPr="00F94EC5">
          <w:rPr>
            <w:rStyle w:val="Hyperlink"/>
            <w:rFonts w:cs="Arial"/>
            <w:szCs w:val="18"/>
          </w:rPr>
          <w:t>MBA</w:t>
        </w:r>
      </w:hyperlink>
      <w:r w:rsidRPr="00F94EC5">
        <w:rPr>
          <w:rFonts w:cs="Arial"/>
          <w:szCs w:val="18"/>
        </w:rPr>
        <w:t>, Submission, p 6.</w:t>
      </w:r>
    </w:p>
  </w:footnote>
  <w:footnote w:id="547">
    <w:p w14:paraId="4B406E48" w14:textId="77777777" w:rsidR="00AA2B02" w:rsidRPr="00F94EC5" w:rsidRDefault="00AA2B02" w:rsidP="00AA2B02">
      <w:pPr>
        <w:pStyle w:val="FootnoteText"/>
      </w:pPr>
      <w:r w:rsidRPr="00F94EC5">
        <w:rPr>
          <w:rStyle w:val="FootnoteReference"/>
        </w:rPr>
        <w:footnoteRef/>
      </w:r>
      <w:r w:rsidRPr="00F94EC5">
        <w:t xml:space="preserve"> Master Builders Qld, Consultation, September 2025;</w:t>
      </w:r>
      <w:r>
        <w:t xml:space="preserve"> </w:t>
      </w:r>
      <w:hyperlink r:id="rId403" w:history="1">
        <w:r w:rsidRPr="00AB2073">
          <w:rPr>
            <w:rStyle w:val="Hyperlink"/>
            <w:szCs w:val="18"/>
          </w:rPr>
          <w:t>ACFA and KBDi</w:t>
        </w:r>
      </w:hyperlink>
      <w:r w:rsidRPr="00F94EC5">
        <w:t xml:space="preserve">, Submission, p 7; </w:t>
      </w:r>
      <w:hyperlink r:id="rId404" w:history="1">
        <w:r w:rsidRPr="00F94EC5">
          <w:rPr>
            <w:rStyle w:val="Hyperlink"/>
          </w:rPr>
          <w:t>National Disability Services</w:t>
        </w:r>
      </w:hyperlink>
      <w:r w:rsidRPr="00F94EC5">
        <w:t>, Submission, p 7.</w:t>
      </w:r>
    </w:p>
  </w:footnote>
  <w:footnote w:id="548">
    <w:p w14:paraId="6A1B5A93" w14:textId="77777777" w:rsidR="00E757FA" w:rsidRPr="00F94EC5" w:rsidRDefault="00E757FA" w:rsidP="00E757FA">
      <w:pPr>
        <w:pStyle w:val="FootnoteText"/>
        <w:rPr>
          <w:rFonts w:cs="Arial"/>
          <w:szCs w:val="18"/>
          <w:highlight w:val="yellow"/>
        </w:rPr>
      </w:pPr>
      <w:r w:rsidRPr="00F94EC5">
        <w:rPr>
          <w:rStyle w:val="FootnoteReference"/>
          <w:rFonts w:cs="Arial"/>
          <w:szCs w:val="18"/>
        </w:rPr>
        <w:footnoteRef/>
      </w:r>
      <w:r w:rsidRPr="00F94EC5">
        <w:rPr>
          <w:rFonts w:cs="Arial"/>
          <w:szCs w:val="18"/>
        </w:rPr>
        <w:t xml:space="preserve"> A similar recommendation was made by the </w:t>
      </w:r>
      <w:hyperlink r:id="rId405" w:history="1">
        <w:r w:rsidRPr="00F94EC5">
          <w:rPr>
            <w:rStyle w:val="Hyperlink"/>
            <w:rFonts w:cs="Arial"/>
            <w:szCs w:val="18"/>
          </w:rPr>
          <w:t>Small Business Development Corporation WA</w:t>
        </w:r>
      </w:hyperlink>
      <w:r w:rsidRPr="00F94EC5">
        <w:rPr>
          <w:rFonts w:cs="Arial"/>
          <w:szCs w:val="18"/>
        </w:rPr>
        <w:t xml:space="preserve"> (Submission, p 4).</w:t>
      </w:r>
    </w:p>
  </w:footnote>
  <w:footnote w:id="549">
    <w:p w14:paraId="366EAB98" w14:textId="236048E3" w:rsidR="00E757FA" w:rsidRPr="00F94EC5" w:rsidRDefault="00E757FA" w:rsidP="00E757FA">
      <w:pPr>
        <w:pStyle w:val="FootnoteText"/>
        <w:rPr>
          <w:rFonts w:cstheme="minorHAnsi"/>
          <w:szCs w:val="18"/>
        </w:rPr>
      </w:pPr>
      <w:r w:rsidRPr="00F94EC5">
        <w:rPr>
          <w:rStyle w:val="FootnoteReference"/>
          <w:rFonts w:cs="Arial"/>
          <w:szCs w:val="18"/>
        </w:rPr>
        <w:footnoteRef/>
      </w:r>
      <w:r w:rsidRPr="00F94EC5">
        <w:rPr>
          <w:rFonts w:cs="Arial"/>
          <w:szCs w:val="18"/>
        </w:rPr>
        <w:t xml:space="preserve"> Behavioural Insights Team Australia, Consultation, September 2025; Victorian Chamber of Commerce and Industry, Consultation, September 2025.</w:t>
      </w:r>
    </w:p>
  </w:footnote>
  <w:footnote w:id="550">
    <w:p w14:paraId="69AA341B" w14:textId="77777777" w:rsidR="004D597D" w:rsidRPr="00F94EC5" w:rsidRDefault="004D597D" w:rsidP="004D597D">
      <w:pPr>
        <w:pStyle w:val="FootnoteText"/>
      </w:pPr>
      <w:r w:rsidRPr="00F94EC5">
        <w:rPr>
          <w:rStyle w:val="FootnoteReference"/>
          <w:szCs w:val="18"/>
        </w:rPr>
        <w:footnoteRef/>
      </w:r>
      <w:r w:rsidRPr="00F94EC5">
        <w:rPr>
          <w:szCs w:val="18"/>
        </w:rPr>
        <w:t xml:space="preserve"> </w:t>
      </w:r>
      <w:hyperlink r:id="rId406" w:history="1">
        <w:r w:rsidRPr="00F94EC5">
          <w:rPr>
            <w:rStyle w:val="Hyperlink"/>
            <w:szCs w:val="18"/>
          </w:rPr>
          <w:t>Powering Skills Organisation</w:t>
        </w:r>
      </w:hyperlink>
      <w:r w:rsidRPr="00F94EC5">
        <w:rPr>
          <w:szCs w:val="18"/>
        </w:rPr>
        <w:t>, Submission, p 3.</w:t>
      </w:r>
    </w:p>
  </w:footnote>
  <w:footnote w:id="551">
    <w:p w14:paraId="419DD6D6" w14:textId="77777777" w:rsidR="004D597D" w:rsidRPr="00F94EC5" w:rsidRDefault="004D597D" w:rsidP="004D597D">
      <w:pPr>
        <w:pStyle w:val="FootnoteText"/>
        <w:rPr>
          <w:rFonts w:cs="Arial"/>
          <w:szCs w:val="18"/>
        </w:rPr>
      </w:pPr>
      <w:r w:rsidRPr="00F94EC5">
        <w:rPr>
          <w:rStyle w:val="FootnoteReference"/>
          <w:rFonts w:cs="Arial"/>
          <w:szCs w:val="18"/>
        </w:rPr>
        <w:footnoteRef/>
      </w:r>
      <w:r w:rsidRPr="00F94EC5">
        <w:rPr>
          <w:rFonts w:cs="Arial"/>
          <w:szCs w:val="18"/>
        </w:rPr>
        <w:t xml:space="preserve"> Qld WHS Regulations</w:t>
      </w:r>
      <w:r w:rsidRPr="00F94EC5">
        <w:rPr>
          <w:rFonts w:cs="Arial"/>
          <w:i/>
          <w:szCs w:val="18"/>
        </w:rPr>
        <w:t>,</w:t>
      </w:r>
      <w:r w:rsidRPr="00F94EC5">
        <w:rPr>
          <w:rFonts w:cs="Arial"/>
          <w:szCs w:val="18"/>
        </w:rPr>
        <w:t xml:space="preserve"> r</w:t>
      </w:r>
      <w:r>
        <w:rPr>
          <w:rFonts w:cs="Arial"/>
          <w:szCs w:val="18"/>
        </w:rPr>
        <w:t>eg</w:t>
      </w:r>
      <w:r w:rsidRPr="00F94EC5">
        <w:rPr>
          <w:rFonts w:cs="Arial"/>
          <w:szCs w:val="18"/>
        </w:rPr>
        <w:t xml:space="preserve"> 315A and </w:t>
      </w:r>
      <w:r>
        <w:rPr>
          <w:rFonts w:cs="Arial"/>
          <w:szCs w:val="18"/>
        </w:rPr>
        <w:t>S</w:t>
      </w:r>
      <w:r w:rsidRPr="00F94EC5">
        <w:rPr>
          <w:rFonts w:cs="Arial"/>
          <w:szCs w:val="18"/>
        </w:rPr>
        <w:t>ch 5A;</w:t>
      </w:r>
      <w:r w:rsidRPr="00F94EC5">
        <w:t xml:space="preserve"> </w:t>
      </w:r>
      <w:hyperlink r:id="rId407" w:history="1">
        <w:r w:rsidRPr="00F94EC5">
          <w:rPr>
            <w:rStyle w:val="Hyperlink"/>
            <w:rFonts w:cs="Arial"/>
            <w:szCs w:val="18"/>
          </w:rPr>
          <w:t>ACTU</w:t>
        </w:r>
      </w:hyperlink>
      <w:r w:rsidRPr="00F94EC5">
        <w:rPr>
          <w:rFonts w:cs="Arial"/>
          <w:szCs w:val="18"/>
        </w:rPr>
        <w:t xml:space="preserve">, Submission, p 31; </w:t>
      </w:r>
      <w:r w:rsidRPr="00F94EC5">
        <w:t>UnionsWA</w:t>
      </w:r>
      <w:r w:rsidRPr="00F94EC5">
        <w:rPr>
          <w:rFonts w:cs="Arial"/>
          <w:szCs w:val="18"/>
        </w:rPr>
        <w:t>, Consultation, September 2025.</w:t>
      </w:r>
    </w:p>
  </w:footnote>
  <w:footnote w:id="552">
    <w:p w14:paraId="5F47A037" w14:textId="77777777" w:rsidR="004D597D" w:rsidRPr="00F94EC5" w:rsidRDefault="004D597D" w:rsidP="004D597D">
      <w:pPr>
        <w:pStyle w:val="FootnoteText"/>
        <w:rPr>
          <w:rFonts w:cs="Arial"/>
          <w:szCs w:val="18"/>
        </w:rPr>
      </w:pPr>
      <w:r w:rsidRPr="00F94EC5">
        <w:rPr>
          <w:rStyle w:val="FootnoteReference"/>
          <w:rFonts w:cs="Arial"/>
          <w:szCs w:val="18"/>
        </w:rPr>
        <w:footnoteRef/>
      </w:r>
      <w:r w:rsidRPr="00F94EC5">
        <w:rPr>
          <w:rFonts w:cs="Arial"/>
          <w:szCs w:val="18"/>
        </w:rPr>
        <w:t xml:space="preserve"> </w:t>
      </w:r>
      <w:hyperlink r:id="rId408" w:history="1">
        <w:r w:rsidRPr="00F94EC5">
          <w:rPr>
            <w:rStyle w:val="Hyperlink"/>
            <w:rFonts w:cs="Arial"/>
            <w:szCs w:val="18"/>
          </w:rPr>
          <w:t>WorkSafe WA</w:t>
        </w:r>
      </w:hyperlink>
      <w:r w:rsidRPr="00F94EC5">
        <w:rPr>
          <w:rFonts w:cs="Arial"/>
          <w:szCs w:val="18"/>
        </w:rPr>
        <w:t>, Submission, p 32.</w:t>
      </w:r>
    </w:p>
  </w:footnote>
  <w:footnote w:id="553">
    <w:p w14:paraId="59DA3AF7" w14:textId="77777777" w:rsidR="004D597D" w:rsidRPr="00F94EC5" w:rsidRDefault="004D597D" w:rsidP="004D597D">
      <w:pPr>
        <w:pStyle w:val="FootnoteText"/>
      </w:pPr>
      <w:r w:rsidRPr="00F94EC5">
        <w:rPr>
          <w:rStyle w:val="FootnoteReference"/>
        </w:rPr>
        <w:footnoteRef/>
      </w:r>
      <w:r w:rsidRPr="00F94EC5">
        <w:t xml:space="preserve"> UnionsWA Consultation, September 2025; </w:t>
      </w:r>
      <w:r>
        <w:t xml:space="preserve">M </w:t>
      </w:r>
      <w:r w:rsidRPr="00F94EC5">
        <w:t xml:space="preserve">Vujkovic and </w:t>
      </w:r>
      <w:r>
        <w:t xml:space="preserve">B </w:t>
      </w:r>
      <w:r w:rsidRPr="00F94EC5">
        <w:t>Herbert</w:t>
      </w:r>
      <w:r>
        <w:t>,</w:t>
      </w:r>
      <w:r w:rsidRPr="00F94EC5" w:rsidDel="008A4714">
        <w:t xml:space="preserve"> </w:t>
      </w:r>
      <w:r w:rsidRPr="00F94EC5">
        <w:t>‘</w:t>
      </w:r>
      <w:hyperlink r:id="rId409" w:history="1">
        <w:r w:rsidRPr="00F94EC5">
          <w:rPr>
            <w:rStyle w:val="Hyperlink"/>
          </w:rPr>
          <w:t>Female transport workers suffer health issues over lack of clean toilet access, union says</w:t>
        </w:r>
      </w:hyperlink>
      <w:r w:rsidRPr="00F94EC5">
        <w:t xml:space="preserve">’, </w:t>
      </w:r>
      <w:r w:rsidRPr="00F94EC5">
        <w:rPr>
          <w:i/>
        </w:rPr>
        <w:t>ABC</w:t>
      </w:r>
      <w:r w:rsidRPr="00F94EC5">
        <w:t>, 24 November 2025</w:t>
      </w:r>
      <w:r>
        <w:t>,</w:t>
      </w:r>
      <w:r w:rsidRPr="00F94EC5">
        <w:t xml:space="preserve"> accessed 12 March 2026.</w:t>
      </w:r>
    </w:p>
  </w:footnote>
  <w:footnote w:id="554">
    <w:p w14:paraId="2414FF88" w14:textId="77777777" w:rsidR="004D597D" w:rsidRPr="00F94EC5" w:rsidRDefault="004D597D" w:rsidP="004D597D">
      <w:pPr>
        <w:pStyle w:val="FootnoteText"/>
      </w:pPr>
      <w:r w:rsidRPr="00F94EC5">
        <w:rPr>
          <w:rStyle w:val="FootnoteReference"/>
        </w:rPr>
        <w:footnoteRef/>
      </w:r>
      <w:r w:rsidRPr="00F94EC5">
        <w:t xml:space="preserve"> UnionsWA, Consultation, September 2025.</w:t>
      </w:r>
    </w:p>
  </w:footnote>
  <w:footnote w:id="555">
    <w:p w14:paraId="7DFC5BDD" w14:textId="77777777" w:rsidR="002A3169" w:rsidRPr="00F94EC5" w:rsidRDefault="002A3169" w:rsidP="002A3169">
      <w:pPr>
        <w:pStyle w:val="FootnoteText"/>
        <w:rPr>
          <w:rFonts w:cs="Arial"/>
          <w:szCs w:val="18"/>
        </w:rPr>
      </w:pPr>
      <w:r w:rsidRPr="00F94EC5">
        <w:rPr>
          <w:rStyle w:val="FootnoteReference"/>
          <w:rFonts w:cs="Arial"/>
          <w:szCs w:val="18"/>
        </w:rPr>
        <w:footnoteRef/>
      </w:r>
      <w:r w:rsidRPr="00F94EC5">
        <w:rPr>
          <w:rFonts w:cs="Arial"/>
          <w:szCs w:val="18"/>
        </w:rPr>
        <w:t xml:space="preserve"> Model WHS Regulations, r</w:t>
      </w:r>
      <w:r>
        <w:rPr>
          <w:rFonts w:cs="Arial"/>
          <w:szCs w:val="18"/>
        </w:rPr>
        <w:t>eg</w:t>
      </w:r>
      <w:r w:rsidRPr="00F94EC5">
        <w:rPr>
          <w:rFonts w:cs="Arial"/>
          <w:szCs w:val="18"/>
        </w:rPr>
        <w:t xml:space="preserve"> 292.</w:t>
      </w:r>
    </w:p>
  </w:footnote>
  <w:footnote w:id="556">
    <w:p w14:paraId="555D19A1" w14:textId="77777777" w:rsidR="002A3169" w:rsidRPr="00F94EC5" w:rsidRDefault="002A3169" w:rsidP="002A3169">
      <w:pPr>
        <w:pStyle w:val="FootnoteText"/>
        <w:rPr>
          <w:rFonts w:cs="Arial"/>
          <w:szCs w:val="18"/>
        </w:rPr>
      </w:pPr>
      <w:r w:rsidRPr="00F94EC5">
        <w:rPr>
          <w:rStyle w:val="FootnoteReference"/>
          <w:rFonts w:cs="Arial"/>
          <w:szCs w:val="18"/>
        </w:rPr>
        <w:footnoteRef/>
      </w:r>
      <w:r w:rsidRPr="00F94EC5">
        <w:rPr>
          <w:rFonts w:cs="Arial"/>
          <w:szCs w:val="18"/>
        </w:rPr>
        <w:t xml:space="preserve"> WA WHS Regulations, r</w:t>
      </w:r>
      <w:r>
        <w:rPr>
          <w:rFonts w:cs="Arial"/>
          <w:szCs w:val="18"/>
        </w:rPr>
        <w:t>eg</w:t>
      </w:r>
      <w:r w:rsidRPr="00F94EC5">
        <w:rPr>
          <w:rFonts w:cs="Arial"/>
          <w:szCs w:val="18"/>
        </w:rPr>
        <w:t xml:space="preserve"> 292.</w:t>
      </w:r>
    </w:p>
  </w:footnote>
  <w:footnote w:id="557">
    <w:p w14:paraId="78F639BD" w14:textId="77777777" w:rsidR="009F6F15" w:rsidRPr="00F94EC5" w:rsidRDefault="009F6F15" w:rsidP="009F6F15">
      <w:pPr>
        <w:pStyle w:val="FootnoteText"/>
        <w:rPr>
          <w:rFonts w:cs="Arial"/>
          <w:szCs w:val="18"/>
        </w:rPr>
      </w:pPr>
      <w:r w:rsidRPr="00F94EC5">
        <w:rPr>
          <w:rStyle w:val="FootnoteReference"/>
          <w:rFonts w:cs="Arial"/>
          <w:szCs w:val="18"/>
        </w:rPr>
        <w:footnoteRef/>
      </w:r>
      <w:r w:rsidRPr="00F94EC5">
        <w:rPr>
          <w:rFonts w:cs="Arial"/>
          <w:szCs w:val="18"/>
        </w:rPr>
        <w:t xml:space="preserve"> </w:t>
      </w:r>
      <w:hyperlink r:id="rId410" w:history="1">
        <w:r w:rsidRPr="00F94EC5">
          <w:rPr>
            <w:rStyle w:val="Hyperlink"/>
            <w:rFonts w:cs="Arial"/>
            <w:szCs w:val="18"/>
          </w:rPr>
          <w:t>Unions NT</w:t>
        </w:r>
      </w:hyperlink>
      <w:r w:rsidRPr="00F94EC5">
        <w:rPr>
          <w:rFonts w:cs="Arial"/>
          <w:szCs w:val="18"/>
        </w:rPr>
        <w:t xml:space="preserve">, Submission, p 6; </w:t>
      </w:r>
      <w:hyperlink r:id="rId411" w:history="1">
        <w:r w:rsidRPr="00F94EC5">
          <w:rPr>
            <w:rStyle w:val="Hyperlink"/>
            <w:rFonts w:cs="Arial"/>
            <w:szCs w:val="18"/>
          </w:rPr>
          <w:t>HIA</w:t>
        </w:r>
      </w:hyperlink>
      <w:r w:rsidRPr="00F94EC5">
        <w:rPr>
          <w:rFonts w:cs="Arial"/>
          <w:szCs w:val="18"/>
        </w:rPr>
        <w:t>, Submission, p 17.</w:t>
      </w:r>
    </w:p>
  </w:footnote>
  <w:footnote w:id="558">
    <w:p w14:paraId="1911F1D6" w14:textId="77777777" w:rsidR="009F6F15" w:rsidRPr="00F94EC5" w:rsidRDefault="009F6F15" w:rsidP="009F6F15">
      <w:pPr>
        <w:pStyle w:val="FootnoteText"/>
      </w:pPr>
      <w:r w:rsidRPr="00F94EC5">
        <w:rPr>
          <w:rStyle w:val="FootnoteReference"/>
        </w:rPr>
        <w:footnoteRef/>
      </w:r>
      <w:r w:rsidRPr="00F94EC5">
        <w:t xml:space="preserve"> </w:t>
      </w:r>
      <w:hyperlink r:id="rId412" w:history="1">
        <w:r w:rsidRPr="00F94EC5">
          <w:rPr>
            <w:rStyle w:val="Hyperlink"/>
            <w:rFonts w:cs="Arial"/>
            <w:szCs w:val="18"/>
          </w:rPr>
          <w:t>Unions NT</w:t>
        </w:r>
      </w:hyperlink>
      <w:r w:rsidRPr="00F94EC5">
        <w:rPr>
          <w:rFonts w:cs="Arial"/>
          <w:szCs w:val="18"/>
        </w:rPr>
        <w:t>, Submission, p 6</w:t>
      </w:r>
      <w:r>
        <w:rPr>
          <w:rFonts w:cs="Arial"/>
          <w:szCs w:val="18"/>
        </w:rPr>
        <w:t>.</w:t>
      </w:r>
    </w:p>
  </w:footnote>
  <w:footnote w:id="559">
    <w:p w14:paraId="6077610D" w14:textId="77777777" w:rsidR="009F6F15" w:rsidRPr="00F94EC5" w:rsidRDefault="009F6F15" w:rsidP="009F6F15">
      <w:pPr>
        <w:pStyle w:val="FootnoteText"/>
      </w:pPr>
      <w:r w:rsidRPr="00F94EC5">
        <w:rPr>
          <w:rStyle w:val="FootnoteReference"/>
        </w:rPr>
        <w:footnoteRef/>
      </w:r>
      <w:r w:rsidRPr="00F94EC5">
        <w:t xml:space="preserve"> </w:t>
      </w:r>
      <w:hyperlink r:id="rId413" w:history="1">
        <w:r w:rsidRPr="00F94EC5">
          <w:rPr>
            <w:rStyle w:val="Hyperlink"/>
            <w:rFonts w:cs="Arial"/>
            <w:szCs w:val="18"/>
          </w:rPr>
          <w:t>HIA</w:t>
        </w:r>
      </w:hyperlink>
      <w:r w:rsidRPr="00F94EC5">
        <w:rPr>
          <w:rFonts w:cs="Arial"/>
          <w:szCs w:val="18"/>
        </w:rPr>
        <w:t>, Submission, p 17</w:t>
      </w:r>
      <w:r>
        <w:rPr>
          <w:rFonts w:cs="Arial"/>
          <w:szCs w:val="18"/>
        </w:rPr>
        <w:t>.</w:t>
      </w:r>
    </w:p>
  </w:footnote>
  <w:footnote w:id="560">
    <w:p w14:paraId="5ED32668" w14:textId="77777777" w:rsidR="009F6F15" w:rsidRPr="00F94EC5" w:rsidRDefault="009F6F15" w:rsidP="009F6F15">
      <w:pPr>
        <w:pStyle w:val="FootnoteText"/>
        <w:rPr>
          <w:rFonts w:cstheme="minorHAnsi"/>
          <w:szCs w:val="18"/>
        </w:rPr>
      </w:pPr>
      <w:r w:rsidRPr="00F94EC5">
        <w:rPr>
          <w:rStyle w:val="FootnoteReference"/>
          <w:rFonts w:cs="Arial"/>
          <w:szCs w:val="18"/>
        </w:rPr>
        <w:footnoteRef/>
      </w:r>
      <w:r w:rsidRPr="00F94EC5">
        <w:rPr>
          <w:rFonts w:cs="Arial"/>
          <w:szCs w:val="18"/>
        </w:rPr>
        <w:t xml:space="preserve"> </w:t>
      </w:r>
      <w:hyperlink r:id="rId414" w:history="1">
        <w:r w:rsidRPr="00F94EC5">
          <w:rPr>
            <w:rStyle w:val="Hyperlink"/>
            <w:rFonts w:cs="Arial"/>
            <w:szCs w:val="18"/>
          </w:rPr>
          <w:t>Australian Industry Group</w:t>
        </w:r>
      </w:hyperlink>
      <w:r w:rsidRPr="00F94EC5">
        <w:rPr>
          <w:rFonts w:cs="Arial"/>
          <w:szCs w:val="18"/>
        </w:rPr>
        <w:t>, Submission, p 14.</w:t>
      </w:r>
    </w:p>
  </w:footnote>
  <w:footnote w:id="561">
    <w:p w14:paraId="55465D27" w14:textId="72881667" w:rsidR="007224C1" w:rsidRPr="00F94EC5" w:rsidRDefault="007224C1" w:rsidP="007224C1">
      <w:pPr>
        <w:pStyle w:val="FootnoteText"/>
        <w:rPr>
          <w:rFonts w:cs="Arial"/>
          <w:szCs w:val="18"/>
        </w:rPr>
      </w:pPr>
      <w:r w:rsidRPr="00F94EC5">
        <w:rPr>
          <w:rStyle w:val="FootnoteReference"/>
          <w:rFonts w:cs="Arial"/>
          <w:szCs w:val="18"/>
        </w:rPr>
        <w:footnoteRef/>
      </w:r>
      <w:r w:rsidRPr="00F94EC5">
        <w:rPr>
          <w:rFonts w:cs="Arial"/>
          <w:szCs w:val="18"/>
        </w:rPr>
        <w:t xml:space="preserve"> Safe Work Australia, </w:t>
      </w:r>
      <w:hyperlink r:id="rId415" w:history="1">
        <w:r w:rsidRPr="00F94EC5">
          <w:rPr>
            <w:rStyle w:val="Hyperlink"/>
            <w:rFonts w:cs="Arial"/>
            <w:i/>
            <w:iCs/>
            <w:szCs w:val="18"/>
          </w:rPr>
          <w:t xml:space="preserve">Review of the </w:t>
        </w:r>
        <w:r w:rsidR="000D5322">
          <w:rPr>
            <w:rStyle w:val="Hyperlink"/>
            <w:rFonts w:cs="Arial"/>
            <w:i/>
            <w:iCs/>
            <w:szCs w:val="18"/>
          </w:rPr>
          <w:t>M</w:t>
        </w:r>
        <w:r w:rsidRPr="00F94EC5">
          <w:rPr>
            <w:rStyle w:val="Hyperlink"/>
            <w:rFonts w:cs="Arial"/>
            <w:i/>
            <w:iCs/>
            <w:szCs w:val="18"/>
          </w:rPr>
          <w:t xml:space="preserve">odel Work Health and Safety </w:t>
        </w:r>
        <w:r w:rsidR="000D5322">
          <w:rPr>
            <w:rStyle w:val="Hyperlink"/>
            <w:rFonts w:cs="Arial"/>
            <w:i/>
            <w:iCs/>
            <w:szCs w:val="18"/>
          </w:rPr>
          <w:t>L</w:t>
        </w:r>
        <w:r w:rsidRPr="00F94EC5">
          <w:rPr>
            <w:rStyle w:val="Hyperlink"/>
            <w:rFonts w:cs="Arial"/>
            <w:i/>
            <w:iCs/>
            <w:szCs w:val="18"/>
          </w:rPr>
          <w:t>aws</w:t>
        </w:r>
        <w:r>
          <w:rPr>
            <w:rStyle w:val="Hyperlink"/>
            <w:rFonts w:cs="Arial"/>
            <w:i/>
            <w:iCs/>
            <w:szCs w:val="18"/>
          </w:rPr>
          <w:t xml:space="preserve">: </w:t>
        </w:r>
        <w:r w:rsidRPr="00F94EC5">
          <w:rPr>
            <w:rStyle w:val="Hyperlink"/>
            <w:rFonts w:cs="Arial"/>
            <w:i/>
            <w:iCs/>
            <w:szCs w:val="18"/>
          </w:rPr>
          <w:t>Final report</w:t>
        </w:r>
      </w:hyperlink>
      <w:r w:rsidRPr="00F94EC5">
        <w:rPr>
          <w:rFonts w:cs="Arial"/>
          <w:szCs w:val="18"/>
        </w:rPr>
        <w:t xml:space="preserve">, </w:t>
      </w:r>
      <w:r>
        <w:rPr>
          <w:rFonts w:cs="Arial"/>
          <w:szCs w:val="18"/>
        </w:rPr>
        <w:t xml:space="preserve">Safe Work Australia, </w:t>
      </w:r>
      <w:r w:rsidRPr="00F94EC5">
        <w:rPr>
          <w:rFonts w:cs="Arial"/>
          <w:szCs w:val="18"/>
        </w:rPr>
        <w:t>2018, p 148.</w:t>
      </w:r>
    </w:p>
  </w:footnote>
  <w:footnote w:id="562">
    <w:p w14:paraId="077072C5" w14:textId="308459E1" w:rsidR="007224C1" w:rsidRPr="00F94EC5" w:rsidRDefault="007224C1" w:rsidP="007224C1">
      <w:pPr>
        <w:pStyle w:val="FootnoteText"/>
      </w:pPr>
      <w:r w:rsidRPr="00F94EC5">
        <w:rPr>
          <w:rStyle w:val="FootnoteReference"/>
        </w:rPr>
        <w:footnoteRef/>
      </w:r>
      <w:r w:rsidRPr="00F94EC5">
        <w:t xml:space="preserve"> SafeWork NSW, </w:t>
      </w:r>
      <w:hyperlink r:id="rId416" w:history="1">
        <w:r w:rsidRPr="00F94EC5">
          <w:rPr>
            <w:rStyle w:val="Hyperlink"/>
            <w:i/>
          </w:rPr>
          <w:t xml:space="preserve">Digital </w:t>
        </w:r>
        <w:r w:rsidR="000D5322">
          <w:rPr>
            <w:rStyle w:val="Hyperlink"/>
            <w:i/>
          </w:rPr>
          <w:t>w</w:t>
        </w:r>
        <w:r w:rsidRPr="00F94EC5">
          <w:rPr>
            <w:rStyle w:val="Hyperlink"/>
            <w:i/>
          </w:rPr>
          <w:t xml:space="preserve">hite </w:t>
        </w:r>
        <w:r w:rsidR="000D5322">
          <w:rPr>
            <w:rStyle w:val="Hyperlink"/>
            <w:i/>
          </w:rPr>
          <w:t>c</w:t>
        </w:r>
        <w:r w:rsidRPr="00F94EC5">
          <w:rPr>
            <w:rStyle w:val="Hyperlink"/>
            <w:i/>
          </w:rPr>
          <w:t>ard now available</w:t>
        </w:r>
      </w:hyperlink>
      <w:r w:rsidRPr="00F94EC5">
        <w:t xml:space="preserve">, </w:t>
      </w:r>
      <w:r>
        <w:t xml:space="preserve">SafeWork NSW website, </w:t>
      </w:r>
      <w:r w:rsidRPr="00F94EC5">
        <w:t>13 May 2025, accessed 25 May 2026; NSW WHS Regulations, r</w:t>
      </w:r>
      <w:r>
        <w:t>eg</w:t>
      </w:r>
      <w:r w:rsidRPr="00F94EC5">
        <w:t xml:space="preserve"> 325A.</w:t>
      </w:r>
    </w:p>
  </w:footnote>
  <w:footnote w:id="563">
    <w:p w14:paraId="3088346F" w14:textId="77777777" w:rsidR="00767169" w:rsidRPr="00F94EC5" w:rsidRDefault="00767169" w:rsidP="00767169">
      <w:pPr>
        <w:pStyle w:val="FootnoteText"/>
      </w:pPr>
      <w:r w:rsidRPr="00F94EC5">
        <w:rPr>
          <w:rStyle w:val="FootnoteReference"/>
          <w:szCs w:val="18"/>
        </w:rPr>
        <w:footnoteRef/>
      </w:r>
      <w:r w:rsidRPr="00F94EC5">
        <w:rPr>
          <w:szCs w:val="18"/>
        </w:rPr>
        <w:t xml:space="preserve"> On behalf of Executive Pathway Pty Ltd.</w:t>
      </w:r>
    </w:p>
  </w:footnote>
  <w:footnote w:id="564">
    <w:p w14:paraId="745056CB" w14:textId="77777777" w:rsidR="00767169" w:rsidRPr="00F94EC5" w:rsidRDefault="00767169" w:rsidP="00767169">
      <w:pPr>
        <w:pStyle w:val="FootnoteText"/>
        <w:rPr>
          <w:rFonts w:cs="Arial"/>
          <w:szCs w:val="18"/>
        </w:rPr>
      </w:pPr>
      <w:r w:rsidRPr="00F94EC5">
        <w:rPr>
          <w:rStyle w:val="FootnoteReference"/>
          <w:rFonts w:cs="Arial"/>
          <w:szCs w:val="18"/>
        </w:rPr>
        <w:footnoteRef/>
      </w:r>
      <w:r w:rsidRPr="00F94EC5">
        <w:rPr>
          <w:rFonts w:cs="Arial"/>
          <w:szCs w:val="18"/>
        </w:rPr>
        <w:t xml:space="preserve"> </w:t>
      </w:r>
      <w:hyperlink r:id="rId417" w:history="1">
        <w:r w:rsidRPr="00F94EC5">
          <w:rPr>
            <w:rStyle w:val="Hyperlink"/>
            <w:rFonts w:cs="Arial"/>
            <w:szCs w:val="18"/>
          </w:rPr>
          <w:t>Andrew Watt</w:t>
        </w:r>
      </w:hyperlink>
      <w:r w:rsidRPr="00F94EC5">
        <w:rPr>
          <w:rFonts w:cs="Arial"/>
          <w:szCs w:val="18"/>
        </w:rPr>
        <w:t>, Submission, p 25.</w:t>
      </w:r>
    </w:p>
  </w:footnote>
  <w:footnote w:id="565">
    <w:p w14:paraId="491EAD18" w14:textId="77777777" w:rsidR="00767169" w:rsidRPr="00F94EC5" w:rsidRDefault="00767169" w:rsidP="00767169">
      <w:pPr>
        <w:pStyle w:val="FootnoteText"/>
        <w:rPr>
          <w:rFonts w:cs="Arial"/>
          <w:szCs w:val="18"/>
        </w:rPr>
      </w:pPr>
      <w:r w:rsidRPr="00F94EC5">
        <w:rPr>
          <w:rStyle w:val="FootnoteReference"/>
          <w:rFonts w:cs="Arial"/>
          <w:szCs w:val="18"/>
        </w:rPr>
        <w:footnoteRef/>
      </w:r>
      <w:r w:rsidRPr="00F94EC5">
        <w:rPr>
          <w:rFonts w:cs="Arial"/>
          <w:szCs w:val="18"/>
        </w:rPr>
        <w:t xml:space="preserve"> </w:t>
      </w:r>
      <w:hyperlink r:id="rId418" w:history="1">
        <w:r w:rsidRPr="00F94EC5">
          <w:rPr>
            <w:rStyle w:val="Hyperlink"/>
            <w:rFonts w:cs="Arial"/>
            <w:szCs w:val="18"/>
          </w:rPr>
          <w:t>MBA</w:t>
        </w:r>
      </w:hyperlink>
      <w:r w:rsidRPr="00F94EC5">
        <w:rPr>
          <w:rFonts w:cs="Arial"/>
          <w:szCs w:val="18"/>
        </w:rPr>
        <w:t>, Submission, p 35.</w:t>
      </w:r>
    </w:p>
  </w:footnote>
  <w:footnote w:id="566">
    <w:p w14:paraId="5B047277" w14:textId="77777777" w:rsidR="002855F8" w:rsidRPr="00F94EC5" w:rsidRDefault="002855F8" w:rsidP="002855F8">
      <w:pPr>
        <w:pStyle w:val="FootnoteText"/>
        <w:rPr>
          <w:rFonts w:cs="Arial"/>
          <w:szCs w:val="18"/>
        </w:rPr>
      </w:pPr>
      <w:r w:rsidRPr="00F94EC5">
        <w:rPr>
          <w:rStyle w:val="FootnoteReference"/>
          <w:rFonts w:cs="Arial"/>
          <w:szCs w:val="18"/>
        </w:rPr>
        <w:footnoteRef/>
      </w:r>
      <w:r w:rsidRPr="00F94EC5">
        <w:rPr>
          <w:rFonts w:cs="Arial"/>
          <w:szCs w:val="18"/>
        </w:rPr>
        <w:t xml:space="preserve"> NSW WHS Regulations, r</w:t>
      </w:r>
      <w:r>
        <w:rPr>
          <w:rFonts w:cs="Arial"/>
          <w:szCs w:val="18"/>
        </w:rPr>
        <w:t>eg</w:t>
      </w:r>
      <w:r w:rsidRPr="00F94EC5">
        <w:rPr>
          <w:rFonts w:cs="Arial"/>
          <w:szCs w:val="18"/>
        </w:rPr>
        <w:t xml:space="preserve"> 361. Lithium batteries are defined in this legislation as including lithium-ion batteries, lithium-ion polymer batteries and lithium metal polymer batteries.</w:t>
      </w:r>
    </w:p>
  </w:footnote>
  <w:footnote w:id="567">
    <w:p w14:paraId="4AA41FF0" w14:textId="77777777" w:rsidR="00CF3600" w:rsidRPr="008B0E9B" w:rsidRDefault="00CF3600" w:rsidP="00CF3600">
      <w:pPr>
        <w:pStyle w:val="FootnoteText"/>
        <w:rPr>
          <w:rFonts w:cs="Arial"/>
          <w:szCs w:val="18"/>
        </w:rPr>
      </w:pPr>
      <w:r w:rsidRPr="008B0E9B">
        <w:rPr>
          <w:rStyle w:val="FootnoteReference"/>
          <w:rFonts w:cs="Arial"/>
          <w:szCs w:val="18"/>
        </w:rPr>
        <w:footnoteRef/>
      </w:r>
      <w:r w:rsidRPr="008B0E9B">
        <w:rPr>
          <w:rFonts w:cs="Arial"/>
          <w:szCs w:val="18"/>
        </w:rPr>
        <w:t xml:space="preserve"> Model WHS Regulations, r</w:t>
      </w:r>
      <w:r>
        <w:rPr>
          <w:rFonts w:cs="Arial"/>
          <w:szCs w:val="18"/>
        </w:rPr>
        <w:t>eg</w:t>
      </w:r>
      <w:r w:rsidRPr="008B0E9B">
        <w:rPr>
          <w:rFonts w:cs="Arial"/>
          <w:szCs w:val="18"/>
        </w:rPr>
        <w:t xml:space="preserve"> 55C; Qld WHS Regulations, r</w:t>
      </w:r>
      <w:r>
        <w:rPr>
          <w:rFonts w:cs="Arial"/>
          <w:szCs w:val="18"/>
        </w:rPr>
        <w:t>egs</w:t>
      </w:r>
      <w:r w:rsidRPr="008B0E9B">
        <w:rPr>
          <w:rFonts w:cs="Arial"/>
          <w:szCs w:val="18"/>
        </w:rPr>
        <w:t xml:space="preserve"> 55C(2), 55E</w:t>
      </w:r>
      <w:r w:rsidRPr="008B0E9B">
        <w:t>–</w:t>
      </w:r>
      <w:r w:rsidRPr="008B0E9B">
        <w:rPr>
          <w:rFonts w:cs="Arial"/>
          <w:szCs w:val="18"/>
        </w:rPr>
        <w:t>55H.</w:t>
      </w:r>
    </w:p>
  </w:footnote>
  <w:footnote w:id="568">
    <w:p w14:paraId="156A12D5" w14:textId="77777777" w:rsidR="00CF3600" w:rsidRPr="008B0E9B" w:rsidRDefault="00CF3600" w:rsidP="00CF3600">
      <w:pPr>
        <w:pStyle w:val="FootnoteText"/>
        <w:rPr>
          <w:rFonts w:cs="Arial"/>
          <w:szCs w:val="18"/>
        </w:rPr>
      </w:pPr>
      <w:r w:rsidRPr="008B0E9B">
        <w:rPr>
          <w:rStyle w:val="FootnoteReference"/>
          <w:rFonts w:cs="Arial"/>
          <w:szCs w:val="18"/>
        </w:rPr>
        <w:footnoteRef/>
      </w:r>
      <w:r w:rsidRPr="008B0E9B">
        <w:rPr>
          <w:rFonts w:cs="Arial"/>
          <w:szCs w:val="18"/>
        </w:rPr>
        <w:t xml:space="preserve"> </w:t>
      </w:r>
      <w:hyperlink r:id="rId419" w:history="1">
        <w:r w:rsidRPr="008B0E9B">
          <w:rPr>
            <w:rStyle w:val="Hyperlink"/>
            <w:rFonts w:cs="Arial"/>
            <w:szCs w:val="18"/>
          </w:rPr>
          <w:t>ACTU</w:t>
        </w:r>
      </w:hyperlink>
      <w:r w:rsidRPr="008B0E9B">
        <w:rPr>
          <w:rFonts w:cs="Arial"/>
          <w:szCs w:val="18"/>
        </w:rPr>
        <w:t xml:space="preserve">, Submission, p 32; </w:t>
      </w:r>
      <w:hyperlink r:id="rId420" w:history="1">
        <w:r w:rsidRPr="008B0E9B">
          <w:rPr>
            <w:rStyle w:val="Hyperlink"/>
            <w:rFonts w:cs="Arial"/>
            <w:szCs w:val="18"/>
          </w:rPr>
          <w:t>National Joint Submission for Safety Regulation for Primary Prevention of Gendered Violence</w:t>
        </w:r>
      </w:hyperlink>
      <w:r w:rsidRPr="008B0E9B">
        <w:rPr>
          <w:rFonts w:cs="Arial"/>
          <w:szCs w:val="18"/>
        </w:rPr>
        <w:t xml:space="preserve">, Submission, p 38; </w:t>
      </w:r>
      <w:hyperlink r:id="rId421" w:history="1">
        <w:r w:rsidRPr="008B0E9B">
          <w:rPr>
            <w:rStyle w:val="Hyperlink"/>
            <w:rFonts w:cs="Arial"/>
            <w:szCs w:val="18"/>
          </w:rPr>
          <w:t>MBA</w:t>
        </w:r>
      </w:hyperlink>
      <w:r w:rsidRPr="008B0E9B">
        <w:rPr>
          <w:rFonts w:cs="Arial"/>
          <w:szCs w:val="18"/>
        </w:rPr>
        <w:t>, Submission, p 34</w:t>
      </w:r>
      <w:r w:rsidRPr="008B0E9B" w:rsidDel="00242039">
        <w:rPr>
          <w:rFonts w:cs="Arial"/>
          <w:szCs w:val="18"/>
        </w:rPr>
        <w:t>.</w:t>
      </w:r>
    </w:p>
  </w:footnote>
  <w:footnote w:id="569">
    <w:p w14:paraId="21612449" w14:textId="77777777" w:rsidR="00CF3600" w:rsidRPr="008B0E9B" w:rsidRDefault="00CF3600" w:rsidP="00CF3600">
      <w:pPr>
        <w:pStyle w:val="FootnoteText"/>
        <w:rPr>
          <w:rFonts w:cs="Arial"/>
          <w:szCs w:val="18"/>
        </w:rPr>
      </w:pPr>
      <w:r w:rsidRPr="008B0E9B">
        <w:rPr>
          <w:rStyle w:val="FootnoteReference"/>
          <w:rFonts w:cs="Arial"/>
          <w:szCs w:val="18"/>
        </w:rPr>
        <w:footnoteRef/>
      </w:r>
      <w:r w:rsidRPr="008B0E9B">
        <w:rPr>
          <w:rFonts w:cs="Arial"/>
          <w:szCs w:val="18"/>
        </w:rPr>
        <w:t xml:space="preserve"> </w:t>
      </w:r>
      <w:hyperlink r:id="rId422" w:history="1">
        <w:r w:rsidRPr="008B0E9B">
          <w:rPr>
            <w:rStyle w:val="Hyperlink"/>
            <w:rFonts w:cs="Arial"/>
            <w:szCs w:val="18"/>
          </w:rPr>
          <w:t>WorkSafe WA</w:t>
        </w:r>
      </w:hyperlink>
      <w:r w:rsidRPr="008B0E9B">
        <w:rPr>
          <w:rFonts w:cs="Arial"/>
          <w:szCs w:val="18"/>
        </w:rPr>
        <w:t>, Submission, p 32.</w:t>
      </w:r>
    </w:p>
  </w:footnote>
  <w:footnote w:id="570">
    <w:p w14:paraId="7E007798" w14:textId="77777777" w:rsidR="00F217CA" w:rsidRPr="008B0E9B" w:rsidRDefault="00F217CA" w:rsidP="00F217CA">
      <w:pPr>
        <w:pStyle w:val="FootnoteText"/>
        <w:rPr>
          <w:rFonts w:cs="Arial"/>
          <w:szCs w:val="18"/>
        </w:rPr>
      </w:pPr>
      <w:r w:rsidRPr="008B0E9B">
        <w:rPr>
          <w:rStyle w:val="FootnoteReference"/>
          <w:rFonts w:cs="Arial"/>
          <w:szCs w:val="18"/>
        </w:rPr>
        <w:footnoteRef/>
      </w:r>
      <w:r w:rsidRPr="008B0E9B">
        <w:rPr>
          <w:rFonts w:cs="Arial"/>
          <w:szCs w:val="18"/>
        </w:rPr>
        <w:t xml:space="preserve"> </w:t>
      </w:r>
      <w:hyperlink r:id="rId423" w:history="1">
        <w:r w:rsidRPr="008B0E9B">
          <w:rPr>
            <w:rStyle w:val="Hyperlink"/>
            <w:rFonts w:cs="Arial"/>
            <w:szCs w:val="18"/>
          </w:rPr>
          <w:t>Cancer Council Australia</w:t>
        </w:r>
      </w:hyperlink>
      <w:r w:rsidRPr="008B0E9B">
        <w:rPr>
          <w:rFonts w:cs="Arial"/>
          <w:szCs w:val="18"/>
        </w:rPr>
        <w:t xml:space="preserve">, Submission, pp 3–4; </w:t>
      </w:r>
      <w:hyperlink r:id="rId424" w:history="1">
        <w:r w:rsidRPr="008B0E9B">
          <w:rPr>
            <w:rStyle w:val="Hyperlink"/>
            <w:rFonts w:cs="Arial"/>
            <w:szCs w:val="18"/>
          </w:rPr>
          <w:t>WorkSafe WA</w:t>
        </w:r>
      </w:hyperlink>
      <w:r w:rsidRPr="008B0E9B">
        <w:rPr>
          <w:rFonts w:cs="Arial"/>
          <w:szCs w:val="18"/>
        </w:rPr>
        <w:t>, Submission, p 27.</w:t>
      </w:r>
    </w:p>
  </w:footnote>
  <w:footnote w:id="571">
    <w:p w14:paraId="72F8F7A1" w14:textId="77777777" w:rsidR="00F217CA" w:rsidRPr="008B0E9B" w:rsidRDefault="00F217CA" w:rsidP="00F217CA">
      <w:pPr>
        <w:pStyle w:val="FootnoteText"/>
        <w:rPr>
          <w:rFonts w:cs="Arial"/>
          <w:szCs w:val="18"/>
        </w:rPr>
      </w:pPr>
      <w:r w:rsidRPr="008B0E9B">
        <w:rPr>
          <w:rStyle w:val="FootnoteReference"/>
          <w:rFonts w:cs="Arial"/>
          <w:szCs w:val="18"/>
        </w:rPr>
        <w:footnoteRef/>
      </w:r>
      <w:r w:rsidRPr="008B0E9B">
        <w:rPr>
          <w:rFonts w:cs="Arial"/>
          <w:szCs w:val="18"/>
        </w:rPr>
        <w:t xml:space="preserve"> WA WHS Regulations, r</w:t>
      </w:r>
      <w:r>
        <w:rPr>
          <w:rFonts w:cs="Arial"/>
          <w:szCs w:val="18"/>
        </w:rPr>
        <w:t>egs</w:t>
      </w:r>
      <w:r w:rsidRPr="008B0E9B">
        <w:rPr>
          <w:rFonts w:cs="Arial"/>
          <w:szCs w:val="18"/>
        </w:rPr>
        <w:t xml:space="preserve"> 50D</w:t>
      </w:r>
      <w:r w:rsidRPr="008B0E9B">
        <w:t>–</w:t>
      </w:r>
      <w:r w:rsidRPr="008B0E9B">
        <w:rPr>
          <w:rFonts w:cs="Arial"/>
          <w:szCs w:val="18"/>
        </w:rPr>
        <w:t>50I.</w:t>
      </w:r>
    </w:p>
  </w:footnote>
  <w:footnote w:id="572">
    <w:p w14:paraId="5440CD9A" w14:textId="77777777" w:rsidR="00F217CA" w:rsidRPr="008B0E9B" w:rsidRDefault="00F217CA" w:rsidP="00F217CA">
      <w:pPr>
        <w:pStyle w:val="FootnoteText"/>
      </w:pPr>
      <w:r w:rsidRPr="008B0E9B">
        <w:rPr>
          <w:rStyle w:val="FootnoteReference"/>
        </w:rPr>
        <w:footnoteRef/>
      </w:r>
      <w:r w:rsidRPr="008B0E9B">
        <w:t xml:space="preserve"> Occupational Safety and Health Regulations 1996 (WA), r</w:t>
      </w:r>
      <w:r>
        <w:t>egs</w:t>
      </w:r>
      <w:r w:rsidRPr="008B0E9B">
        <w:t xml:space="preserve"> 3.44A–3.44I.</w:t>
      </w:r>
    </w:p>
  </w:footnote>
  <w:footnote w:id="573">
    <w:p w14:paraId="053CD21F" w14:textId="77777777" w:rsidR="00840729" w:rsidRPr="008B0E9B" w:rsidRDefault="00840729" w:rsidP="00840729">
      <w:pPr>
        <w:pStyle w:val="FootnoteText"/>
        <w:rPr>
          <w:rFonts w:cs="Arial"/>
          <w:szCs w:val="18"/>
        </w:rPr>
      </w:pPr>
      <w:r w:rsidRPr="008B0E9B">
        <w:rPr>
          <w:rStyle w:val="FootnoteReference"/>
          <w:rFonts w:cs="Arial"/>
          <w:szCs w:val="18"/>
        </w:rPr>
        <w:footnoteRef/>
      </w:r>
      <w:r w:rsidRPr="008B0E9B">
        <w:rPr>
          <w:rFonts w:cs="Arial"/>
          <w:szCs w:val="18"/>
        </w:rPr>
        <w:t xml:space="preserve"> WA WHS Regulations, r</w:t>
      </w:r>
      <w:r>
        <w:rPr>
          <w:rFonts w:cs="Arial"/>
          <w:szCs w:val="18"/>
        </w:rPr>
        <w:t>eg</w:t>
      </w:r>
      <w:r w:rsidRPr="008B0E9B">
        <w:rPr>
          <w:rFonts w:eastAsia="Aptos" w:cs="Arial"/>
          <w:color w:val="000000" w:themeColor="text1"/>
          <w:szCs w:val="18"/>
        </w:rPr>
        <w:t xml:space="preserve"> 57(2); WorkSafe WA, Correspondence, August 2025</w:t>
      </w:r>
      <w:r w:rsidRPr="008B0E9B" w:rsidDel="002474F3">
        <w:rPr>
          <w:rFonts w:eastAsia="Aptos" w:cs="Arial"/>
          <w:color w:val="000000" w:themeColor="text1"/>
          <w:szCs w:val="18"/>
        </w:rPr>
        <w:t>.</w:t>
      </w:r>
    </w:p>
  </w:footnote>
  <w:footnote w:id="574">
    <w:p w14:paraId="1B2F4B30" w14:textId="77777777" w:rsidR="006B1872" w:rsidRPr="008B0E9B" w:rsidRDefault="006B1872" w:rsidP="006B1872">
      <w:pPr>
        <w:pStyle w:val="FootnoteText"/>
        <w:rPr>
          <w:szCs w:val="18"/>
        </w:rPr>
      </w:pPr>
      <w:r w:rsidRPr="008B0E9B">
        <w:rPr>
          <w:rStyle w:val="FootnoteReference"/>
          <w:szCs w:val="18"/>
        </w:rPr>
        <w:footnoteRef/>
      </w:r>
      <w:r w:rsidRPr="008B0E9B">
        <w:rPr>
          <w:szCs w:val="18"/>
        </w:rPr>
        <w:t xml:space="preserve"> Model WHS Regulations, P</w:t>
      </w:r>
      <w:r w:rsidRPr="008B0E9B" w:rsidDel="008A4714">
        <w:rPr>
          <w:szCs w:val="18"/>
        </w:rPr>
        <w:t>ar</w:t>
      </w:r>
      <w:r w:rsidRPr="008B0E9B">
        <w:rPr>
          <w:szCs w:val="18"/>
        </w:rPr>
        <w:t>t 4.8.</w:t>
      </w:r>
    </w:p>
  </w:footnote>
  <w:footnote w:id="575">
    <w:p w14:paraId="45181A6C" w14:textId="77777777" w:rsidR="006B1872" w:rsidRPr="008B0E9B" w:rsidRDefault="006B1872" w:rsidP="006B1872">
      <w:pPr>
        <w:pStyle w:val="FootnoteText"/>
        <w:rPr>
          <w:rFonts w:cs="Arial"/>
          <w:szCs w:val="18"/>
        </w:rPr>
      </w:pPr>
      <w:r w:rsidRPr="008B0E9B">
        <w:rPr>
          <w:rStyle w:val="FootnoteReference"/>
          <w:rFonts w:cs="Arial"/>
          <w:szCs w:val="18"/>
        </w:rPr>
        <w:footnoteRef/>
      </w:r>
      <w:r w:rsidRPr="008B0E9B">
        <w:rPr>
          <w:rFonts w:cs="Arial"/>
          <w:szCs w:val="18"/>
        </w:rPr>
        <w:t xml:space="preserve"> </w:t>
      </w:r>
      <w:hyperlink r:id="rId425" w:history="1">
        <w:r w:rsidRPr="008B0E9B">
          <w:rPr>
            <w:rStyle w:val="Hyperlink"/>
            <w:rFonts w:cs="Arial"/>
            <w:szCs w:val="18"/>
          </w:rPr>
          <w:t>University of Tasmania</w:t>
        </w:r>
      </w:hyperlink>
      <w:r w:rsidRPr="008B0E9B">
        <w:rPr>
          <w:rFonts w:cs="Arial"/>
          <w:szCs w:val="18"/>
        </w:rPr>
        <w:t xml:space="preserve">, Submission, p 11; </w:t>
      </w:r>
      <w:hyperlink r:id="rId426" w:history="1">
        <w:r w:rsidRPr="008B0E9B">
          <w:rPr>
            <w:rStyle w:val="Hyperlink"/>
            <w:rFonts w:cs="Arial"/>
            <w:szCs w:val="18"/>
          </w:rPr>
          <w:t>Paul Stevens</w:t>
        </w:r>
      </w:hyperlink>
      <w:r w:rsidRPr="008B0E9B">
        <w:rPr>
          <w:rFonts w:cs="Arial"/>
          <w:szCs w:val="18"/>
        </w:rPr>
        <w:t>, Submission, p 10.</w:t>
      </w:r>
    </w:p>
  </w:footnote>
  <w:footnote w:id="576">
    <w:p w14:paraId="48BA8BD2" w14:textId="77777777" w:rsidR="006B1872" w:rsidRPr="008B0E9B" w:rsidRDefault="006B1872" w:rsidP="006B1872">
      <w:pPr>
        <w:pStyle w:val="FootnoteText"/>
        <w:rPr>
          <w:rFonts w:cs="Arial"/>
          <w:szCs w:val="18"/>
        </w:rPr>
      </w:pPr>
      <w:r w:rsidRPr="008B0E9B">
        <w:rPr>
          <w:rStyle w:val="FootnoteReference"/>
          <w:rFonts w:cs="Arial"/>
          <w:szCs w:val="18"/>
        </w:rPr>
        <w:footnoteRef/>
      </w:r>
      <w:r w:rsidRPr="008B0E9B">
        <w:rPr>
          <w:rFonts w:cs="Arial"/>
          <w:szCs w:val="18"/>
        </w:rPr>
        <w:t xml:space="preserve"> </w:t>
      </w:r>
      <w:hyperlink r:id="rId427" w:history="1">
        <w:r w:rsidRPr="008B0E9B">
          <w:rPr>
            <w:rStyle w:val="Hyperlink"/>
            <w:rFonts w:cs="Arial"/>
            <w:szCs w:val="18"/>
          </w:rPr>
          <w:t>Dr John McCarthy</w:t>
        </w:r>
      </w:hyperlink>
      <w:r w:rsidRPr="008B0E9B">
        <w:rPr>
          <w:rFonts w:cs="Arial"/>
          <w:szCs w:val="18"/>
        </w:rPr>
        <w:t>, Submission, p 2.</w:t>
      </w:r>
    </w:p>
  </w:footnote>
  <w:footnote w:id="577">
    <w:p w14:paraId="3792CCB5" w14:textId="77777777" w:rsidR="006B1872" w:rsidRPr="008B0E9B" w:rsidRDefault="006B1872" w:rsidP="006B1872">
      <w:pPr>
        <w:pStyle w:val="FootnoteText"/>
        <w:rPr>
          <w:rFonts w:cs="Arial"/>
          <w:szCs w:val="18"/>
        </w:rPr>
      </w:pPr>
      <w:r w:rsidRPr="008B0E9B">
        <w:rPr>
          <w:rStyle w:val="FootnoteReference"/>
          <w:rFonts w:cs="Arial"/>
          <w:szCs w:val="18"/>
        </w:rPr>
        <w:footnoteRef/>
      </w:r>
      <w:r w:rsidRPr="008B0E9B">
        <w:rPr>
          <w:rFonts w:cs="Arial"/>
          <w:szCs w:val="18"/>
        </w:rPr>
        <w:t xml:space="preserve"> </w:t>
      </w:r>
      <w:hyperlink r:id="rId428" w:history="1">
        <w:r w:rsidRPr="008B0E9B">
          <w:rPr>
            <w:rStyle w:val="Hyperlink"/>
            <w:rFonts w:cs="Arial"/>
            <w:szCs w:val="18"/>
          </w:rPr>
          <w:t>University of Tasmania</w:t>
        </w:r>
      </w:hyperlink>
      <w:r w:rsidRPr="008B0E9B">
        <w:rPr>
          <w:rFonts w:cs="Arial"/>
          <w:szCs w:val="18"/>
        </w:rPr>
        <w:t>, Submission, p 7.</w:t>
      </w:r>
    </w:p>
  </w:footnote>
  <w:footnote w:id="578">
    <w:p w14:paraId="4D025815" w14:textId="77777777" w:rsidR="006B1872" w:rsidRPr="008B0E9B" w:rsidRDefault="006B1872" w:rsidP="006B1872">
      <w:pPr>
        <w:pStyle w:val="FootnoteText"/>
        <w:rPr>
          <w:rFonts w:cs="Arial"/>
          <w:szCs w:val="18"/>
        </w:rPr>
      </w:pPr>
      <w:r w:rsidRPr="008B0E9B">
        <w:rPr>
          <w:rStyle w:val="FootnoteReference"/>
          <w:rFonts w:cs="Arial"/>
          <w:szCs w:val="18"/>
        </w:rPr>
        <w:footnoteRef/>
      </w:r>
      <w:r w:rsidRPr="008B0E9B">
        <w:rPr>
          <w:rFonts w:cs="Arial"/>
          <w:szCs w:val="18"/>
        </w:rPr>
        <w:t xml:space="preserve"> </w:t>
      </w:r>
      <w:hyperlink r:id="rId429" w:history="1">
        <w:r w:rsidRPr="008B0E9B">
          <w:rPr>
            <w:rStyle w:val="Hyperlink"/>
            <w:rFonts w:cs="Arial"/>
            <w:szCs w:val="18"/>
          </w:rPr>
          <w:t>NSW Department of Primary Industries and Regional Development</w:t>
        </w:r>
      </w:hyperlink>
      <w:r w:rsidRPr="008B0E9B">
        <w:rPr>
          <w:rFonts w:cs="Arial"/>
          <w:szCs w:val="18"/>
        </w:rPr>
        <w:t xml:space="preserve">, Submission, p 1; </w:t>
      </w:r>
      <w:hyperlink r:id="rId430" w:history="1">
        <w:r w:rsidRPr="008B0E9B">
          <w:rPr>
            <w:rStyle w:val="Hyperlink"/>
            <w:rFonts w:cs="Arial"/>
            <w:szCs w:val="18"/>
          </w:rPr>
          <w:t>Anonymous</w:t>
        </w:r>
      </w:hyperlink>
      <w:r w:rsidRPr="008B0E9B">
        <w:rPr>
          <w:rFonts w:cs="Arial"/>
          <w:szCs w:val="18"/>
        </w:rPr>
        <w:t>, Submission #157, p 7.</w:t>
      </w:r>
    </w:p>
  </w:footnote>
  <w:footnote w:id="579">
    <w:p w14:paraId="02D6D577" w14:textId="77777777" w:rsidR="00AF6A60" w:rsidRPr="008B0E9B" w:rsidRDefault="00AF6A60" w:rsidP="00AF6A60">
      <w:pPr>
        <w:pStyle w:val="FootnoteText"/>
        <w:rPr>
          <w:rFonts w:eastAsia="MS Mincho" w:cs="Arial"/>
          <w:szCs w:val="18"/>
        </w:rPr>
      </w:pPr>
      <w:r w:rsidRPr="008B0E9B">
        <w:rPr>
          <w:rStyle w:val="FootnoteReference"/>
          <w:rFonts w:cs="Arial"/>
          <w:szCs w:val="18"/>
        </w:rPr>
        <w:footnoteRef/>
      </w:r>
      <w:r w:rsidRPr="008B0E9B">
        <w:rPr>
          <w:rFonts w:cs="Arial"/>
          <w:szCs w:val="18"/>
        </w:rPr>
        <w:t xml:space="preserve"> NSW WHS Regulations, P</w:t>
      </w:r>
      <w:r w:rsidRPr="008B0E9B" w:rsidDel="008A4714">
        <w:rPr>
          <w:rFonts w:cs="Arial"/>
          <w:szCs w:val="18"/>
        </w:rPr>
        <w:t>ar</w:t>
      </w:r>
      <w:r w:rsidRPr="008B0E9B">
        <w:rPr>
          <w:rFonts w:cs="Arial"/>
          <w:szCs w:val="18"/>
        </w:rPr>
        <w:t>t 4.10</w:t>
      </w:r>
      <w:r>
        <w:rPr>
          <w:rFonts w:cs="Arial"/>
          <w:szCs w:val="18"/>
        </w:rPr>
        <w:t>,</w:t>
      </w:r>
      <w:r w:rsidRPr="008B0E9B">
        <w:rPr>
          <w:rFonts w:cs="Arial"/>
          <w:szCs w:val="18"/>
        </w:rPr>
        <w:t xml:space="preserve"> as amended by </w:t>
      </w:r>
      <w:r w:rsidRPr="005B50F7">
        <w:rPr>
          <w:rFonts w:eastAsiaTheme="minorEastAsia" w:cs="Arial"/>
          <w:szCs w:val="18"/>
        </w:rPr>
        <w:t>Work Health and Safety Amendment (Food Delivery Riders) Regulation 2022</w:t>
      </w:r>
      <w:r w:rsidRPr="008B0E9B">
        <w:rPr>
          <w:rFonts w:eastAsia="MS Mincho" w:cs="Arial"/>
          <w:i/>
          <w:szCs w:val="18"/>
        </w:rPr>
        <w:t xml:space="preserve"> </w:t>
      </w:r>
      <w:r w:rsidRPr="008B0E9B">
        <w:rPr>
          <w:rFonts w:eastAsia="MS Mincho" w:cs="Arial"/>
          <w:szCs w:val="18"/>
        </w:rPr>
        <w:t xml:space="preserve">(NSW), </w:t>
      </w:r>
      <w:r>
        <w:rPr>
          <w:rFonts w:eastAsia="MS Mincho" w:cs="Arial"/>
          <w:szCs w:val="18"/>
        </w:rPr>
        <w:t>S</w:t>
      </w:r>
      <w:r w:rsidRPr="008B0E9B">
        <w:rPr>
          <w:rFonts w:eastAsia="MS Mincho" w:cs="Arial"/>
          <w:szCs w:val="18"/>
        </w:rPr>
        <w:t>ch 1–4.</w:t>
      </w:r>
    </w:p>
  </w:footnote>
  <w:footnote w:id="580">
    <w:p w14:paraId="359F07AC" w14:textId="77777777" w:rsidR="005A5B8A" w:rsidRPr="008B0E9B" w:rsidRDefault="005A5B8A" w:rsidP="005A5B8A">
      <w:pPr>
        <w:pStyle w:val="FootnoteText"/>
        <w:rPr>
          <w:rFonts w:eastAsia="MS Mincho" w:cs="Arial"/>
          <w:szCs w:val="18"/>
        </w:rPr>
      </w:pPr>
      <w:r w:rsidRPr="008B0E9B">
        <w:rPr>
          <w:rStyle w:val="FootnoteReference"/>
          <w:rFonts w:cs="Arial"/>
          <w:szCs w:val="18"/>
        </w:rPr>
        <w:footnoteRef/>
      </w:r>
      <w:r w:rsidRPr="008B0E9B">
        <w:rPr>
          <w:rFonts w:cs="Arial"/>
          <w:szCs w:val="18"/>
        </w:rPr>
        <w:t xml:space="preserve"> </w:t>
      </w:r>
      <w:hyperlink r:id="rId431" w:history="1">
        <w:r w:rsidRPr="008B0E9B">
          <w:rPr>
            <w:rStyle w:val="Hyperlink"/>
            <w:rFonts w:eastAsia="MS Mincho" w:cs="Arial"/>
            <w:szCs w:val="18"/>
          </w:rPr>
          <w:t>ACTU</w:t>
        </w:r>
      </w:hyperlink>
      <w:r w:rsidRPr="008B0E9B">
        <w:rPr>
          <w:rFonts w:eastAsia="MS Mincho" w:cs="Arial"/>
          <w:szCs w:val="18"/>
        </w:rPr>
        <w:t>, Submission, p 30.</w:t>
      </w:r>
    </w:p>
  </w:footnote>
  <w:footnote w:id="581">
    <w:p w14:paraId="30F61811" w14:textId="77777777" w:rsidR="005A5B8A" w:rsidRPr="008B0E9B" w:rsidRDefault="005A5B8A" w:rsidP="005A5B8A">
      <w:pPr>
        <w:pStyle w:val="FootnoteText"/>
        <w:rPr>
          <w:rFonts w:eastAsia="MS Mincho" w:cs="Arial"/>
          <w:szCs w:val="18"/>
        </w:rPr>
      </w:pPr>
      <w:r w:rsidRPr="008B0E9B">
        <w:rPr>
          <w:rStyle w:val="FootnoteReference"/>
          <w:rFonts w:cs="Arial"/>
          <w:szCs w:val="18"/>
        </w:rPr>
        <w:footnoteRef/>
      </w:r>
      <w:r w:rsidRPr="008B0E9B">
        <w:rPr>
          <w:rFonts w:cs="Arial"/>
          <w:szCs w:val="18"/>
        </w:rPr>
        <w:t xml:space="preserve"> </w:t>
      </w:r>
      <w:hyperlink r:id="rId432" w:history="1">
        <w:r w:rsidRPr="008B0E9B">
          <w:rPr>
            <w:rStyle w:val="Hyperlink"/>
            <w:rFonts w:eastAsia="MS Mincho" w:cs="Arial"/>
            <w:szCs w:val="18"/>
          </w:rPr>
          <w:t>Australian Industry Group</w:t>
        </w:r>
      </w:hyperlink>
      <w:r w:rsidRPr="008B0E9B">
        <w:rPr>
          <w:rFonts w:eastAsia="MS Mincho" w:cs="Arial"/>
          <w:szCs w:val="18"/>
        </w:rPr>
        <w:t>, Submission, p 15.</w:t>
      </w:r>
    </w:p>
  </w:footnote>
  <w:footnote w:id="582">
    <w:p w14:paraId="70351A10" w14:textId="77777777" w:rsidR="00EF638F" w:rsidRPr="008B0E9B" w:rsidRDefault="00EF638F" w:rsidP="00EF638F">
      <w:pPr>
        <w:pStyle w:val="FootnoteText"/>
      </w:pPr>
      <w:r w:rsidRPr="008B0E9B">
        <w:rPr>
          <w:rStyle w:val="FootnoteReference"/>
        </w:rPr>
        <w:footnoteRef/>
      </w:r>
      <w:r w:rsidRPr="008B0E9B">
        <w:t xml:space="preserve"> </w:t>
      </w:r>
      <w:hyperlink r:id="rId433" w:history="1">
        <w:r w:rsidRPr="008B0E9B">
          <w:rPr>
            <w:rStyle w:val="Hyperlink"/>
            <w:rFonts w:cs="Arial"/>
            <w:szCs w:val="18"/>
          </w:rPr>
          <w:t>ACTU</w:t>
        </w:r>
      </w:hyperlink>
      <w:r w:rsidRPr="008B0E9B">
        <w:rPr>
          <w:rFonts w:cs="Arial"/>
          <w:szCs w:val="18"/>
        </w:rPr>
        <w:t xml:space="preserve">, Submission, p 23; </w:t>
      </w:r>
      <w:hyperlink r:id="rId434" w:history="1">
        <w:r w:rsidRPr="008B0E9B">
          <w:rPr>
            <w:rStyle w:val="Hyperlink"/>
            <w:rFonts w:cs="Arial"/>
            <w:szCs w:val="18"/>
          </w:rPr>
          <w:t>New South Wales Nurses and Midwives Association</w:t>
        </w:r>
      </w:hyperlink>
      <w:r w:rsidRPr="008B0E9B">
        <w:rPr>
          <w:rFonts w:cs="Arial"/>
          <w:szCs w:val="18"/>
        </w:rPr>
        <w:t xml:space="preserve">, Submission, p 20 </w:t>
      </w:r>
      <w:hyperlink r:id="rId435" w:history="1">
        <w:r w:rsidRPr="008B0E9B">
          <w:rPr>
            <w:rStyle w:val="Hyperlink"/>
            <w:rFonts w:cs="Arial"/>
            <w:szCs w:val="18"/>
          </w:rPr>
          <w:t>Electrical</w:t>
        </w:r>
        <w:r w:rsidRPr="008B0E9B">
          <w:rPr>
            <w:rStyle w:val="Hyperlink"/>
            <w:rFonts w:cs="Arial"/>
          </w:rPr>
          <w:t xml:space="preserve"> Trades Union</w:t>
        </w:r>
      </w:hyperlink>
      <w:r w:rsidRPr="008B0E9B">
        <w:rPr>
          <w:rFonts w:cs="Arial"/>
          <w:szCs w:val="18"/>
        </w:rPr>
        <w:t>, Submission, p 7.</w:t>
      </w:r>
    </w:p>
  </w:footnote>
  <w:footnote w:id="583">
    <w:p w14:paraId="4035CE80" w14:textId="77777777" w:rsidR="00EF638F" w:rsidRPr="008B0E9B" w:rsidRDefault="00EF638F" w:rsidP="00EF638F">
      <w:pPr>
        <w:pStyle w:val="FootnoteText"/>
      </w:pPr>
      <w:r w:rsidRPr="008B0E9B">
        <w:rPr>
          <w:rStyle w:val="FootnoteReference"/>
        </w:rPr>
        <w:footnoteRef/>
      </w:r>
      <w:r w:rsidRPr="008B0E9B">
        <w:t xml:space="preserve"> </w:t>
      </w:r>
      <w:hyperlink r:id="rId436" w:history="1">
        <w:r w:rsidRPr="008B0E9B">
          <w:rPr>
            <w:rStyle w:val="Hyperlink"/>
            <w:rFonts w:cs="Arial"/>
            <w:szCs w:val="18"/>
          </w:rPr>
          <w:t>Electrical</w:t>
        </w:r>
        <w:r w:rsidRPr="008B0E9B">
          <w:rPr>
            <w:rStyle w:val="Hyperlink"/>
            <w:rFonts w:cs="Arial"/>
          </w:rPr>
          <w:t xml:space="preserve"> Trades Union</w:t>
        </w:r>
      </w:hyperlink>
      <w:r w:rsidRPr="008B0E9B">
        <w:rPr>
          <w:rFonts w:cs="Arial"/>
          <w:szCs w:val="18"/>
        </w:rPr>
        <w:t>, Submission, p 7</w:t>
      </w:r>
    </w:p>
  </w:footnote>
  <w:footnote w:id="584">
    <w:p w14:paraId="6B3FD38C" w14:textId="77777777" w:rsidR="00EF638F" w:rsidRPr="008B0E9B" w:rsidRDefault="00EF638F" w:rsidP="00EF638F">
      <w:pPr>
        <w:pStyle w:val="FootnoteText"/>
        <w:rPr>
          <w:rFonts w:cs="Arial"/>
          <w:szCs w:val="18"/>
        </w:rPr>
      </w:pPr>
      <w:r w:rsidRPr="008B0E9B">
        <w:rPr>
          <w:rStyle w:val="FootnoteReference"/>
          <w:rFonts w:cs="Arial"/>
          <w:szCs w:val="18"/>
        </w:rPr>
        <w:footnoteRef/>
      </w:r>
      <w:r w:rsidRPr="008B0E9B">
        <w:rPr>
          <w:rFonts w:cs="Arial"/>
          <w:szCs w:val="18"/>
        </w:rPr>
        <w:t xml:space="preserve"> </w:t>
      </w:r>
      <w:hyperlink r:id="rId437" w:history="1">
        <w:r w:rsidRPr="008B0E9B">
          <w:rPr>
            <w:rStyle w:val="Hyperlink"/>
            <w:rFonts w:eastAsia="Aptos" w:cs="Arial"/>
            <w:kern w:val="2"/>
            <w:szCs w:val="18"/>
            <w14:ligatures w14:val="standardContextual"/>
          </w:rPr>
          <w:t>AC</w:t>
        </w:r>
        <w:bookmarkStart w:id="90" w:name="_Hlt234926714"/>
        <w:bookmarkStart w:id="91" w:name="_Hlt234926715"/>
        <w:r w:rsidRPr="008B0E9B">
          <w:rPr>
            <w:rStyle w:val="Hyperlink"/>
            <w:rFonts w:eastAsia="Aptos" w:cs="Arial"/>
            <w:kern w:val="2"/>
            <w:szCs w:val="18"/>
            <w14:ligatures w14:val="standardContextual"/>
          </w:rPr>
          <w:t>T</w:t>
        </w:r>
        <w:bookmarkEnd w:id="90"/>
        <w:bookmarkEnd w:id="91"/>
        <w:r w:rsidRPr="008B0E9B">
          <w:rPr>
            <w:rStyle w:val="Hyperlink"/>
            <w:rFonts w:eastAsia="Aptos" w:cs="Arial"/>
            <w:kern w:val="2"/>
            <w:szCs w:val="18"/>
            <w14:ligatures w14:val="standardContextual"/>
          </w:rPr>
          <w:t>U</w:t>
        </w:r>
      </w:hyperlink>
      <w:r w:rsidRPr="008B0E9B">
        <w:rPr>
          <w:rFonts w:cs="Arial"/>
        </w:rPr>
        <w:t xml:space="preserve"> (</w:t>
      </w:r>
      <w:r w:rsidRPr="008B0E9B">
        <w:rPr>
          <w:rFonts w:eastAsia="Aptos" w:cs="Arial"/>
          <w:kern w:val="2"/>
          <w:szCs w:val="18"/>
          <w14:ligatures w14:val="standardContextual"/>
        </w:rPr>
        <w:t>Submission, pp 28</w:t>
      </w:r>
      <w:r w:rsidRPr="008B0E9B">
        <w:rPr>
          <w:rFonts w:cs="Arial"/>
          <w:szCs w:val="18"/>
        </w:rPr>
        <w:t>–</w:t>
      </w:r>
      <w:r w:rsidRPr="008B0E9B">
        <w:rPr>
          <w:rFonts w:eastAsia="Aptos" w:cs="Arial"/>
          <w:kern w:val="2"/>
          <w:szCs w:val="18"/>
          <w14:ligatures w14:val="standardContextual"/>
        </w:rPr>
        <w:t>29) also raised this issue</w:t>
      </w:r>
      <w:r w:rsidRPr="008B0E9B">
        <w:rPr>
          <w:rFonts w:cs="Arial"/>
          <w:szCs w:val="18"/>
        </w:rPr>
        <w:t>.</w:t>
      </w:r>
    </w:p>
  </w:footnote>
  <w:footnote w:id="585">
    <w:p w14:paraId="0AA393E7" w14:textId="77777777" w:rsidR="00EF638F" w:rsidRPr="008B0E9B" w:rsidRDefault="00EF638F" w:rsidP="00EF638F">
      <w:pPr>
        <w:pStyle w:val="FootnoteText"/>
        <w:rPr>
          <w:rFonts w:cs="Arial"/>
        </w:rPr>
      </w:pPr>
      <w:r w:rsidRPr="008B0E9B">
        <w:rPr>
          <w:rStyle w:val="FootnoteReference"/>
          <w:rFonts w:cs="Arial"/>
        </w:rPr>
        <w:footnoteRef/>
      </w:r>
      <w:r w:rsidRPr="008B0E9B">
        <w:rPr>
          <w:rFonts w:cs="Arial"/>
        </w:rPr>
        <w:t xml:space="preserve"> </w:t>
      </w:r>
      <w:hyperlink r:id="rId438" w:history="1">
        <w:r w:rsidRPr="008B0E9B">
          <w:rPr>
            <w:rStyle w:val="Hyperlink"/>
            <w:rFonts w:eastAsia="Aptos" w:cs="Arial"/>
            <w:kern w:val="2"/>
            <w:szCs w:val="18"/>
            <w14:ligatures w14:val="standardContextual"/>
          </w:rPr>
          <w:t>ACTU</w:t>
        </w:r>
      </w:hyperlink>
      <w:r w:rsidRPr="008B0E9B">
        <w:rPr>
          <w:rFonts w:cs="Arial"/>
        </w:rPr>
        <w:t xml:space="preserve">, Submission, </w:t>
      </w:r>
      <w:r w:rsidRPr="008B0E9B">
        <w:rPr>
          <w:rFonts w:eastAsia="Aptos" w:cs="Arial"/>
          <w:kern w:val="2"/>
          <w:szCs w:val="18"/>
          <w14:ligatures w14:val="standardContextual"/>
        </w:rPr>
        <w:t>pp 28</w:t>
      </w:r>
      <w:r w:rsidRPr="008B0E9B">
        <w:rPr>
          <w:rFonts w:cs="Arial"/>
          <w:szCs w:val="18"/>
        </w:rPr>
        <w:t>–</w:t>
      </w:r>
      <w:r w:rsidRPr="008B0E9B">
        <w:rPr>
          <w:rFonts w:eastAsia="Aptos" w:cs="Arial"/>
          <w:kern w:val="2"/>
          <w:szCs w:val="18"/>
          <w14:ligatures w14:val="standardContextual"/>
        </w:rPr>
        <w:t xml:space="preserve">29, see </w:t>
      </w:r>
      <w:r>
        <w:rPr>
          <w:rFonts w:cs="Arial"/>
        </w:rPr>
        <w:t>R</w:t>
      </w:r>
      <w:r w:rsidRPr="008B0E9B">
        <w:rPr>
          <w:rFonts w:cs="Arial"/>
        </w:rPr>
        <w:t>ecommendation 18.</w:t>
      </w:r>
    </w:p>
  </w:footnote>
  <w:footnote w:id="586">
    <w:p w14:paraId="588DD86A" w14:textId="77777777" w:rsidR="00743D1F" w:rsidRPr="008B0E9B" w:rsidRDefault="00743D1F" w:rsidP="00743D1F">
      <w:pPr>
        <w:pStyle w:val="FootnoteText"/>
        <w:rPr>
          <w:szCs w:val="18"/>
        </w:rPr>
      </w:pPr>
      <w:r w:rsidRPr="008B0E9B">
        <w:rPr>
          <w:rStyle w:val="FootnoteReference"/>
          <w:szCs w:val="18"/>
        </w:rPr>
        <w:footnoteRef/>
      </w:r>
      <w:r w:rsidRPr="008B0E9B">
        <w:rPr>
          <w:szCs w:val="18"/>
        </w:rPr>
        <w:t xml:space="preserve"> Private, Submission #119, p 4.</w:t>
      </w:r>
    </w:p>
  </w:footnote>
  <w:footnote w:id="587">
    <w:p w14:paraId="54B432C6" w14:textId="77777777" w:rsidR="00743D1F" w:rsidRPr="008B0E9B" w:rsidRDefault="00743D1F" w:rsidP="00743D1F">
      <w:pPr>
        <w:pStyle w:val="FootnoteText"/>
        <w:rPr>
          <w:rFonts w:cs="Arial"/>
          <w:szCs w:val="18"/>
        </w:rPr>
      </w:pPr>
      <w:r w:rsidRPr="008B0E9B">
        <w:rPr>
          <w:rStyle w:val="FootnoteReference"/>
          <w:rFonts w:cs="Arial"/>
          <w:szCs w:val="18"/>
        </w:rPr>
        <w:footnoteRef/>
      </w:r>
      <w:r w:rsidRPr="008B0E9B">
        <w:rPr>
          <w:rFonts w:cs="Arial"/>
          <w:szCs w:val="18"/>
        </w:rPr>
        <w:t xml:space="preserve"> Vic OHS Regulations, </w:t>
      </w:r>
      <w:r>
        <w:rPr>
          <w:rFonts w:cs="Arial"/>
          <w:szCs w:val="18"/>
        </w:rPr>
        <w:t>S</w:t>
      </w:r>
      <w:r w:rsidRPr="008B0E9B">
        <w:rPr>
          <w:rFonts w:cs="Arial"/>
          <w:szCs w:val="18"/>
        </w:rPr>
        <w:t xml:space="preserve">ch 3 as amended by </w:t>
      </w:r>
      <w:r w:rsidRPr="005B50F7">
        <w:rPr>
          <w:rFonts w:cs="Arial"/>
          <w:szCs w:val="18"/>
        </w:rPr>
        <w:t>Occupational Health and Safety Amendment (Telehandlers) Regulations 2024</w:t>
      </w:r>
      <w:r w:rsidRPr="008B0E9B">
        <w:rPr>
          <w:rFonts w:cs="Arial"/>
          <w:i/>
          <w:szCs w:val="18"/>
        </w:rPr>
        <w:t xml:space="preserve"> </w:t>
      </w:r>
      <w:r w:rsidRPr="008B0E9B">
        <w:rPr>
          <w:rFonts w:cs="Arial"/>
          <w:szCs w:val="18"/>
        </w:rPr>
        <w:t xml:space="preserve">(Vic), </w:t>
      </w:r>
      <w:r>
        <w:rPr>
          <w:rFonts w:cs="Arial"/>
          <w:szCs w:val="18"/>
        </w:rPr>
        <w:t>regs</w:t>
      </w:r>
      <w:r w:rsidRPr="008B0E9B">
        <w:rPr>
          <w:rFonts w:cs="Arial"/>
          <w:szCs w:val="18"/>
        </w:rPr>
        <w:t xml:space="preserve"> 5–7.</w:t>
      </w:r>
    </w:p>
  </w:footnote>
  <w:footnote w:id="588">
    <w:p w14:paraId="200CAEB9" w14:textId="77777777" w:rsidR="00743D1F" w:rsidRPr="008B0E9B" w:rsidRDefault="00743D1F" w:rsidP="00743D1F">
      <w:pPr>
        <w:pStyle w:val="FootnoteText"/>
        <w:rPr>
          <w:rFonts w:cs="Arial"/>
          <w:szCs w:val="18"/>
        </w:rPr>
      </w:pPr>
      <w:r w:rsidRPr="008B0E9B">
        <w:rPr>
          <w:rStyle w:val="FootnoteReference"/>
          <w:rFonts w:cs="Arial"/>
          <w:szCs w:val="18"/>
        </w:rPr>
        <w:footnoteRef/>
      </w:r>
      <w:r w:rsidRPr="008B0E9B">
        <w:rPr>
          <w:rFonts w:cs="Arial"/>
          <w:szCs w:val="18"/>
        </w:rPr>
        <w:t xml:space="preserve"> WA WHS Regulations, Sch</w:t>
      </w:r>
      <w:r>
        <w:rPr>
          <w:rFonts w:cs="Arial"/>
          <w:szCs w:val="18"/>
        </w:rPr>
        <w:t xml:space="preserve"> </w:t>
      </w:r>
      <w:r w:rsidRPr="008B0E9B">
        <w:rPr>
          <w:rFonts w:cs="Arial"/>
          <w:szCs w:val="18"/>
        </w:rPr>
        <w:t>3</w:t>
      </w:r>
      <w:r>
        <w:rPr>
          <w:rFonts w:cs="Arial"/>
          <w:szCs w:val="18"/>
        </w:rPr>
        <w:t xml:space="preserve">, </w:t>
      </w:r>
      <w:r w:rsidRPr="008B0E9B">
        <w:rPr>
          <w:rFonts w:cs="Arial"/>
          <w:szCs w:val="18"/>
        </w:rPr>
        <w:t>item 14A.</w:t>
      </w:r>
    </w:p>
  </w:footnote>
  <w:footnote w:id="589">
    <w:p w14:paraId="2197AC0D" w14:textId="77777777" w:rsidR="00743D1F" w:rsidRPr="008B0E9B" w:rsidRDefault="00743D1F" w:rsidP="00743D1F">
      <w:pPr>
        <w:pStyle w:val="FootnoteText"/>
        <w:rPr>
          <w:szCs w:val="18"/>
        </w:rPr>
      </w:pPr>
      <w:r w:rsidRPr="008B0E9B">
        <w:rPr>
          <w:rStyle w:val="FootnoteReference"/>
          <w:szCs w:val="18"/>
        </w:rPr>
        <w:footnoteRef/>
      </w:r>
      <w:r w:rsidRPr="008B0E9B">
        <w:rPr>
          <w:szCs w:val="18"/>
        </w:rPr>
        <w:t xml:space="preserve"> </w:t>
      </w:r>
      <w:r w:rsidRPr="008B0E9B">
        <w:rPr>
          <w:rFonts w:cs="Arial"/>
          <w:szCs w:val="18"/>
        </w:rPr>
        <w:t>SafeWork NSW, Consultation, October 2025.</w:t>
      </w:r>
    </w:p>
  </w:footnote>
  <w:footnote w:id="590">
    <w:p w14:paraId="52B03514" w14:textId="77777777" w:rsidR="00743D1F" w:rsidRPr="008B0E9B" w:rsidRDefault="00743D1F" w:rsidP="00743D1F">
      <w:pPr>
        <w:pStyle w:val="FootnoteText"/>
        <w:rPr>
          <w:rFonts w:cs="Arial"/>
          <w:szCs w:val="18"/>
        </w:rPr>
      </w:pPr>
      <w:r w:rsidRPr="008B0E9B">
        <w:rPr>
          <w:rStyle w:val="FootnoteReference"/>
          <w:rFonts w:cs="Arial"/>
          <w:szCs w:val="18"/>
        </w:rPr>
        <w:footnoteRef/>
      </w:r>
      <w:r w:rsidRPr="008B0E9B">
        <w:rPr>
          <w:rFonts w:cs="Arial"/>
          <w:szCs w:val="18"/>
        </w:rPr>
        <w:t xml:space="preserve"> </w:t>
      </w:r>
      <w:hyperlink r:id="rId439" w:history="1">
        <w:r w:rsidRPr="008B0E9B">
          <w:rPr>
            <w:rStyle w:val="Hyperlink"/>
            <w:rFonts w:cs="Arial"/>
            <w:szCs w:val="18"/>
          </w:rPr>
          <w:t>NFF</w:t>
        </w:r>
      </w:hyperlink>
      <w:r w:rsidRPr="008B0E9B">
        <w:rPr>
          <w:rFonts w:cs="Arial"/>
          <w:szCs w:val="18"/>
        </w:rPr>
        <w:t>, Submission, p 3.</w:t>
      </w:r>
    </w:p>
  </w:footnote>
  <w:footnote w:id="591">
    <w:p w14:paraId="4CF12F9C" w14:textId="77777777" w:rsidR="00743D1F" w:rsidRPr="008B0E9B" w:rsidRDefault="00743D1F" w:rsidP="00743D1F">
      <w:pPr>
        <w:pStyle w:val="SWA-NORMAL"/>
        <w:spacing w:after="0"/>
        <w:rPr>
          <w:rFonts w:asciiTheme="minorHAnsi" w:hAnsiTheme="minorHAnsi"/>
        </w:rPr>
      </w:pPr>
      <w:r w:rsidRPr="008B0E9B">
        <w:rPr>
          <w:rStyle w:val="FootnoteReference"/>
          <w:rFonts w:asciiTheme="minorHAnsi" w:hAnsiTheme="minorHAnsi"/>
          <w:sz w:val="18"/>
          <w:szCs w:val="14"/>
        </w:rPr>
        <w:footnoteRef/>
      </w:r>
      <w:r w:rsidRPr="008B0E9B">
        <w:rPr>
          <w:rFonts w:asciiTheme="minorHAnsi" w:hAnsiTheme="minorHAnsi"/>
          <w:sz w:val="18"/>
          <w:szCs w:val="20"/>
        </w:rPr>
        <w:t xml:space="preserve"> Model WHS Regulations, </w:t>
      </w:r>
      <w:r>
        <w:rPr>
          <w:rFonts w:asciiTheme="minorHAnsi" w:hAnsiTheme="minorHAnsi"/>
          <w:sz w:val="18"/>
          <w:szCs w:val="20"/>
        </w:rPr>
        <w:t>S</w:t>
      </w:r>
      <w:r w:rsidRPr="008B0E9B">
        <w:rPr>
          <w:rFonts w:asciiTheme="minorHAnsi" w:hAnsiTheme="minorHAnsi"/>
          <w:sz w:val="18"/>
          <w:szCs w:val="20"/>
        </w:rPr>
        <w:t>ch 4, items 24–25.</w:t>
      </w:r>
    </w:p>
  </w:footnote>
  <w:footnote w:id="592">
    <w:p w14:paraId="5BBC4A5D" w14:textId="77777777" w:rsidR="00743D1F" w:rsidRPr="008B0E9B" w:rsidRDefault="00743D1F" w:rsidP="00743D1F">
      <w:pPr>
        <w:pStyle w:val="FootnoteText"/>
      </w:pPr>
      <w:r w:rsidRPr="008B0E9B">
        <w:rPr>
          <w:rStyle w:val="FootnoteReference"/>
        </w:rPr>
        <w:footnoteRef/>
      </w:r>
      <w:r w:rsidRPr="008B0E9B">
        <w:t xml:space="preserve"> See Chapter 7 – Broader considerations of the model WHS Regulations.</w:t>
      </w:r>
    </w:p>
  </w:footnote>
  <w:footnote w:id="593">
    <w:p w14:paraId="69AB186C" w14:textId="77777777" w:rsidR="00743D1F" w:rsidRPr="008B0E9B" w:rsidRDefault="00743D1F" w:rsidP="00743D1F">
      <w:pPr>
        <w:pStyle w:val="FootnoteText"/>
        <w:rPr>
          <w:rFonts w:cs="Arial"/>
          <w:szCs w:val="18"/>
        </w:rPr>
      </w:pPr>
      <w:r w:rsidRPr="008B0E9B">
        <w:rPr>
          <w:rStyle w:val="FootnoteReference"/>
          <w:rFonts w:cs="Arial"/>
          <w:szCs w:val="18"/>
        </w:rPr>
        <w:footnoteRef/>
      </w:r>
      <w:r w:rsidRPr="008B0E9B">
        <w:rPr>
          <w:rFonts w:cs="Arial"/>
          <w:szCs w:val="18"/>
        </w:rPr>
        <w:t xml:space="preserve"> </w:t>
      </w:r>
      <w:hyperlink r:id="rId440" w:history="1">
        <w:r w:rsidRPr="008B0E9B">
          <w:rPr>
            <w:rStyle w:val="Hyperlink"/>
            <w:rFonts w:cs="Arial"/>
            <w:szCs w:val="18"/>
          </w:rPr>
          <w:t>WorkSafe WA</w:t>
        </w:r>
      </w:hyperlink>
      <w:r w:rsidRPr="008B0E9B">
        <w:rPr>
          <w:rFonts w:cs="Arial"/>
          <w:szCs w:val="18"/>
        </w:rPr>
        <w:t xml:space="preserve">, Submission, p 33; </w:t>
      </w:r>
      <w:hyperlink r:id="rId441" w:history="1">
        <w:r w:rsidRPr="008B0E9B">
          <w:rPr>
            <w:rStyle w:val="Hyperlink"/>
            <w:rFonts w:cs="Arial"/>
            <w:szCs w:val="18"/>
          </w:rPr>
          <w:t>CFMEU</w:t>
        </w:r>
      </w:hyperlink>
      <w:r w:rsidRPr="008B0E9B">
        <w:rPr>
          <w:rFonts w:cs="Arial"/>
          <w:szCs w:val="18"/>
        </w:rPr>
        <w:t>, Submission, p 17.</w:t>
      </w:r>
    </w:p>
  </w:footnote>
  <w:footnote w:id="594">
    <w:p w14:paraId="2E16C053" w14:textId="1A268471" w:rsidR="00743D1F" w:rsidRPr="008B0E9B" w:rsidRDefault="00743D1F" w:rsidP="00743D1F">
      <w:pPr>
        <w:pStyle w:val="FootnoteText"/>
        <w:rPr>
          <w:rFonts w:cstheme="minorHAnsi"/>
          <w:szCs w:val="18"/>
        </w:rPr>
      </w:pPr>
      <w:r w:rsidRPr="008B0E9B">
        <w:rPr>
          <w:rStyle w:val="FootnoteReference"/>
          <w:rFonts w:cs="Arial"/>
          <w:szCs w:val="18"/>
        </w:rPr>
        <w:footnoteRef/>
      </w:r>
      <w:r w:rsidRPr="008B0E9B">
        <w:rPr>
          <w:rFonts w:cs="Arial"/>
          <w:szCs w:val="18"/>
        </w:rPr>
        <w:t xml:space="preserve"> </w:t>
      </w:r>
      <w:hyperlink r:id="rId442" w:history="1">
        <w:r w:rsidRPr="008B0E9B">
          <w:rPr>
            <w:rStyle w:val="Hyperlink"/>
            <w:rFonts w:cs="Arial"/>
            <w:szCs w:val="18"/>
          </w:rPr>
          <w:t>Maritime Union of Australia</w:t>
        </w:r>
      </w:hyperlink>
      <w:r w:rsidRPr="008B0E9B">
        <w:rPr>
          <w:rFonts w:cs="Arial"/>
          <w:szCs w:val="18"/>
        </w:rPr>
        <w:t xml:space="preserve">, Submission, p 10; Department of Industry, Science and </w:t>
      </w:r>
      <w:r w:rsidRPr="00F83DFE">
        <w:rPr>
          <w:rFonts w:cs="Arial"/>
          <w:szCs w:val="18"/>
        </w:rPr>
        <w:t xml:space="preserve">Resources, </w:t>
      </w:r>
      <w:hyperlink r:id="rId443" w:history="1">
        <w:r w:rsidRPr="00F83DFE">
          <w:rPr>
            <w:rStyle w:val="Hyperlink"/>
            <w:rFonts w:cs="Arial"/>
            <w:i/>
            <w:iCs/>
            <w:szCs w:val="18"/>
          </w:rPr>
          <w:t xml:space="preserve">Offshore </w:t>
        </w:r>
        <w:r w:rsidR="000D5322" w:rsidRPr="00F83DFE">
          <w:rPr>
            <w:rStyle w:val="Hyperlink"/>
            <w:rFonts w:cs="Arial"/>
            <w:i/>
            <w:iCs/>
            <w:szCs w:val="18"/>
          </w:rPr>
          <w:t>r</w:t>
        </w:r>
        <w:r w:rsidRPr="00F83DFE">
          <w:rPr>
            <w:rStyle w:val="Hyperlink"/>
            <w:rFonts w:cs="Arial"/>
            <w:i/>
            <w:iCs/>
            <w:szCs w:val="18"/>
          </w:rPr>
          <w:t xml:space="preserve">esources </w:t>
        </w:r>
        <w:r w:rsidR="000D5322" w:rsidRPr="00F83DFE">
          <w:rPr>
            <w:rStyle w:val="Hyperlink"/>
            <w:rFonts w:cs="Arial"/>
            <w:i/>
            <w:iCs/>
            <w:szCs w:val="18"/>
          </w:rPr>
          <w:t>d</w:t>
        </w:r>
        <w:r w:rsidRPr="00F83DFE">
          <w:rPr>
            <w:rStyle w:val="Hyperlink"/>
            <w:rFonts w:cs="Arial"/>
            <w:i/>
            <w:iCs/>
            <w:szCs w:val="18"/>
          </w:rPr>
          <w:t xml:space="preserve">ecommissioning </w:t>
        </w:r>
        <w:r w:rsidR="000D5322" w:rsidRPr="00F83DFE">
          <w:rPr>
            <w:rStyle w:val="Hyperlink"/>
            <w:rFonts w:cs="Arial"/>
            <w:i/>
            <w:iCs/>
            <w:szCs w:val="18"/>
          </w:rPr>
          <w:t>r</w:t>
        </w:r>
        <w:r w:rsidRPr="00F83DFE">
          <w:rPr>
            <w:rStyle w:val="Hyperlink"/>
            <w:rFonts w:cs="Arial"/>
            <w:i/>
            <w:iCs/>
            <w:szCs w:val="18"/>
          </w:rPr>
          <w:t>oadmap</w:t>
        </w:r>
      </w:hyperlink>
      <w:r w:rsidRPr="00F83DFE">
        <w:rPr>
          <w:rFonts w:cs="Arial"/>
          <w:szCs w:val="18"/>
        </w:rPr>
        <w:t>,</w:t>
      </w:r>
      <w:r w:rsidRPr="00F83DFE">
        <w:rPr>
          <w:rFonts w:cs="Arial"/>
          <w:i/>
          <w:szCs w:val="18"/>
        </w:rPr>
        <w:t xml:space="preserve"> </w:t>
      </w:r>
      <w:r w:rsidRPr="00F83DFE">
        <w:rPr>
          <w:rFonts w:cs="Arial"/>
          <w:iCs/>
          <w:szCs w:val="18"/>
        </w:rPr>
        <w:t>Offshore Decommissioning Directorate, n.d</w:t>
      </w:r>
      <w:r w:rsidRPr="00F83DFE" w:rsidDel="008A4714">
        <w:rPr>
          <w:rFonts w:cs="Arial"/>
          <w:szCs w:val="18"/>
        </w:rPr>
        <w:t>.</w:t>
      </w:r>
    </w:p>
  </w:footnote>
  <w:footnote w:id="595">
    <w:p w14:paraId="245966C2" w14:textId="77777777" w:rsidR="00791F73" w:rsidRPr="008B0E9B" w:rsidRDefault="00791F73" w:rsidP="00791F73">
      <w:pPr>
        <w:pStyle w:val="FootnoteText"/>
        <w:rPr>
          <w:rFonts w:cs="Arial"/>
          <w:szCs w:val="18"/>
        </w:rPr>
      </w:pPr>
      <w:r w:rsidRPr="008B0E9B">
        <w:rPr>
          <w:rStyle w:val="FootnoteReference"/>
          <w:rFonts w:cs="Arial"/>
          <w:szCs w:val="18"/>
        </w:rPr>
        <w:footnoteRef/>
      </w:r>
      <w:r w:rsidRPr="008B0E9B">
        <w:rPr>
          <w:rFonts w:cs="Arial"/>
          <w:szCs w:val="18"/>
        </w:rPr>
        <w:t xml:space="preserve"> </w:t>
      </w:r>
      <w:r w:rsidRPr="008B0E9B">
        <w:rPr>
          <w:rStyle w:val="eop"/>
          <w:rFonts w:eastAsia="Aptos" w:cs="Arial"/>
          <w:color w:val="000000" w:themeColor="text1"/>
          <w:szCs w:val="18"/>
        </w:rPr>
        <w:t>Amusement Devices Code of Practice (2024) (Qld).</w:t>
      </w:r>
    </w:p>
  </w:footnote>
  <w:footnote w:id="596">
    <w:p w14:paraId="14C7DD8C" w14:textId="77777777" w:rsidR="00791F73" w:rsidRPr="008B0E9B" w:rsidRDefault="00791F73" w:rsidP="00791F73">
      <w:pPr>
        <w:pStyle w:val="FootnoteText"/>
        <w:rPr>
          <w:rFonts w:cs="Arial"/>
          <w:szCs w:val="18"/>
        </w:rPr>
      </w:pPr>
      <w:r w:rsidRPr="008B0E9B">
        <w:rPr>
          <w:rStyle w:val="FootnoteReference"/>
          <w:rFonts w:cs="Arial"/>
          <w:szCs w:val="18"/>
        </w:rPr>
        <w:footnoteRef/>
      </w:r>
      <w:r w:rsidRPr="008B0E9B">
        <w:rPr>
          <w:rFonts w:cs="Arial"/>
          <w:szCs w:val="18"/>
        </w:rPr>
        <w:t xml:space="preserve"> </w:t>
      </w:r>
      <w:hyperlink r:id="rId444" w:history="1">
        <w:r w:rsidRPr="008B0E9B">
          <w:rPr>
            <w:rStyle w:val="Hyperlink"/>
            <w:rFonts w:cs="Arial"/>
            <w:szCs w:val="18"/>
          </w:rPr>
          <w:t>AALARA,</w:t>
        </w:r>
      </w:hyperlink>
      <w:r w:rsidRPr="008B0E9B" w:rsidDel="00292BDD">
        <w:rPr>
          <w:rFonts w:cs="Arial"/>
          <w:szCs w:val="18"/>
        </w:rPr>
        <w:t xml:space="preserve"> </w:t>
      </w:r>
      <w:r w:rsidRPr="008B0E9B">
        <w:rPr>
          <w:rFonts w:cs="Arial"/>
          <w:szCs w:val="18"/>
        </w:rPr>
        <w:t xml:space="preserve">Submission, p 1; </w:t>
      </w:r>
      <w:hyperlink r:id="rId445" w:history="1">
        <w:r w:rsidRPr="008B0E9B">
          <w:rPr>
            <w:rStyle w:val="Hyperlink"/>
            <w:rFonts w:cs="Arial"/>
            <w:szCs w:val="18"/>
          </w:rPr>
          <w:t>CSA</w:t>
        </w:r>
      </w:hyperlink>
      <w:r w:rsidRPr="008B0E9B">
        <w:rPr>
          <w:rFonts w:cs="Arial"/>
          <w:szCs w:val="18"/>
        </w:rPr>
        <w:t>, Submission, p 3.</w:t>
      </w:r>
    </w:p>
  </w:footnote>
  <w:footnote w:id="597">
    <w:p w14:paraId="528AF8C2" w14:textId="77777777" w:rsidR="00791F73" w:rsidRPr="008B0E9B" w:rsidRDefault="00791F73" w:rsidP="00791F73">
      <w:pPr>
        <w:pStyle w:val="FootnoteText"/>
        <w:rPr>
          <w:rFonts w:cs="Arial"/>
          <w:szCs w:val="18"/>
        </w:rPr>
      </w:pPr>
      <w:r w:rsidRPr="008B0E9B">
        <w:rPr>
          <w:rStyle w:val="FootnoteReference"/>
          <w:rFonts w:cs="Arial"/>
          <w:szCs w:val="18"/>
        </w:rPr>
        <w:footnoteRef/>
      </w:r>
      <w:r w:rsidRPr="008B0E9B">
        <w:rPr>
          <w:rFonts w:cs="Arial"/>
          <w:szCs w:val="18"/>
        </w:rPr>
        <w:t xml:space="preserve"> </w:t>
      </w:r>
      <w:r>
        <w:rPr>
          <w:rFonts w:cs="Arial"/>
          <w:szCs w:val="18"/>
        </w:rPr>
        <w:t xml:space="preserve">I </w:t>
      </w:r>
      <w:r w:rsidRPr="008B0E9B">
        <w:rPr>
          <w:rFonts w:cs="Arial"/>
          <w:szCs w:val="18"/>
        </w:rPr>
        <w:t>White,</w:t>
      </w:r>
      <w:r w:rsidRPr="008B0E9B" w:rsidDel="00805ED4">
        <w:rPr>
          <w:rFonts w:cs="Arial"/>
          <w:szCs w:val="18"/>
        </w:rPr>
        <w:t xml:space="preserve"> </w:t>
      </w:r>
      <w:hyperlink r:id="rId446" w:history="1">
        <w:r w:rsidRPr="008B0E9B">
          <w:rPr>
            <w:rStyle w:val="Hyperlink"/>
            <w:rFonts w:cs="Arial"/>
            <w:i/>
            <w:szCs w:val="18"/>
          </w:rPr>
          <w:t xml:space="preserve">Inquest into the death of Adelene </w:t>
        </w:r>
        <w:r w:rsidRPr="008B0E9B">
          <w:rPr>
            <w:rStyle w:val="Hyperlink"/>
            <w:rFonts w:eastAsia="Aptos" w:cs="Arial"/>
            <w:i/>
            <w:szCs w:val="18"/>
          </w:rPr>
          <w:t>Leong Yi Hui</w:t>
        </w:r>
      </w:hyperlink>
      <w:r w:rsidRPr="008B0E9B">
        <w:rPr>
          <w:rFonts w:eastAsia="Aptos" w:cs="Arial"/>
          <w:color w:val="000000" w:themeColor="text1"/>
          <w:szCs w:val="18"/>
        </w:rPr>
        <w:t xml:space="preserve"> (94/2020), Courts SA, </w:t>
      </w:r>
      <w:r w:rsidRPr="008B0E9B">
        <w:rPr>
          <w:rFonts w:cs="Arial"/>
          <w:szCs w:val="18"/>
        </w:rPr>
        <w:t>2022</w:t>
      </w:r>
      <w:r>
        <w:rPr>
          <w:rFonts w:cs="Arial"/>
          <w:szCs w:val="18"/>
        </w:rPr>
        <w:t>,</w:t>
      </w:r>
      <w:r w:rsidRPr="008B0E9B">
        <w:rPr>
          <w:rFonts w:cs="Arial"/>
          <w:szCs w:val="18"/>
        </w:rPr>
        <w:t xml:space="preserve"> </w:t>
      </w:r>
      <w:r w:rsidRPr="008B0E9B">
        <w:rPr>
          <w:rFonts w:eastAsia="Aptos" w:cs="Arial"/>
          <w:color w:val="000000" w:themeColor="text1"/>
          <w:szCs w:val="18"/>
        </w:rPr>
        <w:t>p 153.</w:t>
      </w:r>
    </w:p>
  </w:footnote>
  <w:footnote w:id="598">
    <w:p w14:paraId="38760D75" w14:textId="77777777" w:rsidR="00791F73" w:rsidRPr="008B0E9B" w:rsidRDefault="00791F73" w:rsidP="00791F73">
      <w:pPr>
        <w:pStyle w:val="FootnoteText"/>
        <w:rPr>
          <w:rFonts w:cs="Arial"/>
          <w:szCs w:val="18"/>
        </w:rPr>
      </w:pPr>
      <w:r w:rsidRPr="008B0E9B">
        <w:rPr>
          <w:rStyle w:val="FootnoteReference"/>
          <w:rFonts w:cs="Arial"/>
          <w:szCs w:val="18"/>
        </w:rPr>
        <w:footnoteRef/>
      </w:r>
      <w:r w:rsidRPr="008B0E9B">
        <w:rPr>
          <w:rFonts w:cs="Arial"/>
          <w:szCs w:val="18"/>
        </w:rPr>
        <w:t xml:space="preserve"> </w:t>
      </w:r>
      <w:hyperlink r:id="rId447" w:history="1">
        <w:r w:rsidRPr="008B0E9B">
          <w:rPr>
            <w:rStyle w:val="Hyperlink"/>
            <w:rFonts w:cs="Arial"/>
            <w:szCs w:val="18"/>
          </w:rPr>
          <w:t>AALARA</w:t>
        </w:r>
      </w:hyperlink>
      <w:r w:rsidRPr="008B0E9B">
        <w:rPr>
          <w:rFonts w:cs="Arial"/>
          <w:szCs w:val="18"/>
        </w:rPr>
        <w:t>,</w:t>
      </w:r>
      <w:r w:rsidRPr="008B0E9B" w:rsidDel="00292BDD">
        <w:rPr>
          <w:rFonts w:cs="Arial"/>
          <w:szCs w:val="18"/>
        </w:rPr>
        <w:t xml:space="preserve"> </w:t>
      </w:r>
      <w:r w:rsidRPr="008B0E9B">
        <w:rPr>
          <w:rFonts w:cs="Arial"/>
          <w:szCs w:val="18"/>
        </w:rPr>
        <w:t xml:space="preserve">Submission, p 2; </w:t>
      </w:r>
      <w:hyperlink r:id="rId448" w:history="1">
        <w:r w:rsidRPr="008B0E9B">
          <w:rPr>
            <w:rStyle w:val="Hyperlink"/>
            <w:rFonts w:cs="Arial"/>
            <w:szCs w:val="18"/>
          </w:rPr>
          <w:t>CSA</w:t>
        </w:r>
      </w:hyperlink>
      <w:r w:rsidRPr="008B0E9B">
        <w:rPr>
          <w:rFonts w:cs="Arial"/>
          <w:szCs w:val="18"/>
        </w:rPr>
        <w:t>, Submission, p 5.</w:t>
      </w:r>
    </w:p>
  </w:footnote>
  <w:footnote w:id="599">
    <w:p w14:paraId="23EF1952" w14:textId="77777777" w:rsidR="00791F73" w:rsidRPr="008B0E9B" w:rsidRDefault="00791F73" w:rsidP="00791F73">
      <w:pPr>
        <w:pStyle w:val="FootnoteText"/>
        <w:rPr>
          <w:rFonts w:cs="Arial"/>
          <w:szCs w:val="18"/>
        </w:rPr>
      </w:pPr>
      <w:r w:rsidRPr="008B0E9B">
        <w:rPr>
          <w:rStyle w:val="FootnoteReference"/>
          <w:rFonts w:cs="Arial"/>
          <w:szCs w:val="18"/>
        </w:rPr>
        <w:footnoteRef/>
      </w:r>
      <w:r w:rsidRPr="008B0E9B">
        <w:rPr>
          <w:rFonts w:cs="Arial"/>
          <w:szCs w:val="18"/>
        </w:rPr>
        <w:t xml:space="preserve"> Model WHS Regulations, r</w:t>
      </w:r>
      <w:r>
        <w:rPr>
          <w:rFonts w:cs="Arial"/>
          <w:szCs w:val="18"/>
        </w:rPr>
        <w:t>eg</w:t>
      </w:r>
      <w:r w:rsidRPr="008B0E9B">
        <w:rPr>
          <w:rFonts w:cs="Arial"/>
          <w:szCs w:val="18"/>
        </w:rPr>
        <w:t xml:space="preserve"> 247.</w:t>
      </w:r>
    </w:p>
  </w:footnote>
  <w:footnote w:id="600">
    <w:p w14:paraId="26AB3422" w14:textId="77777777" w:rsidR="00791F73" w:rsidRPr="008B0E9B" w:rsidRDefault="00791F73" w:rsidP="00791F73">
      <w:pPr>
        <w:pStyle w:val="FootnoteText"/>
        <w:rPr>
          <w:rFonts w:cs="Arial"/>
          <w:szCs w:val="18"/>
        </w:rPr>
      </w:pPr>
      <w:r w:rsidRPr="008B0E9B">
        <w:rPr>
          <w:rStyle w:val="FootnoteReference"/>
          <w:rFonts w:cs="Arial"/>
          <w:szCs w:val="18"/>
        </w:rPr>
        <w:footnoteRef/>
      </w:r>
      <w:r w:rsidRPr="008B0E9B">
        <w:rPr>
          <w:rFonts w:cs="Arial"/>
          <w:szCs w:val="18"/>
        </w:rPr>
        <w:t xml:space="preserve"> </w:t>
      </w:r>
      <w:r>
        <w:rPr>
          <w:rFonts w:cs="Arial"/>
          <w:szCs w:val="18"/>
        </w:rPr>
        <w:t xml:space="preserve">I </w:t>
      </w:r>
      <w:r w:rsidRPr="008B0E9B">
        <w:rPr>
          <w:rFonts w:cs="Arial"/>
          <w:szCs w:val="18"/>
        </w:rPr>
        <w:t>White,</w:t>
      </w:r>
      <w:r w:rsidRPr="008B0E9B" w:rsidDel="00805ED4">
        <w:rPr>
          <w:rFonts w:cs="Arial"/>
          <w:szCs w:val="18"/>
        </w:rPr>
        <w:t xml:space="preserve"> </w:t>
      </w:r>
      <w:hyperlink r:id="rId449" w:history="1">
        <w:r w:rsidRPr="008B0E9B">
          <w:rPr>
            <w:rStyle w:val="Hyperlink"/>
            <w:rFonts w:cs="Arial"/>
            <w:i/>
            <w:szCs w:val="18"/>
          </w:rPr>
          <w:t xml:space="preserve">Inquest into the death of Adelene </w:t>
        </w:r>
        <w:r w:rsidRPr="008B0E9B">
          <w:rPr>
            <w:rStyle w:val="Hyperlink"/>
            <w:rFonts w:eastAsia="Aptos" w:cs="Arial"/>
            <w:i/>
            <w:szCs w:val="18"/>
          </w:rPr>
          <w:t>Leong Yi Hui</w:t>
        </w:r>
      </w:hyperlink>
      <w:r w:rsidRPr="008B0E9B">
        <w:rPr>
          <w:rFonts w:eastAsia="Aptos" w:cs="Arial"/>
          <w:color w:val="000000" w:themeColor="text1"/>
          <w:szCs w:val="18"/>
        </w:rPr>
        <w:t xml:space="preserve"> (94/2020), Courts SA, </w:t>
      </w:r>
      <w:r>
        <w:rPr>
          <w:rFonts w:eastAsia="Aptos" w:cs="Arial"/>
          <w:color w:val="000000" w:themeColor="text1"/>
          <w:szCs w:val="18"/>
        </w:rPr>
        <w:t xml:space="preserve">2022, </w:t>
      </w:r>
      <w:r w:rsidRPr="008B0E9B">
        <w:rPr>
          <w:rFonts w:eastAsia="Aptos" w:cs="Arial"/>
          <w:color w:val="000000" w:themeColor="text1"/>
          <w:szCs w:val="18"/>
        </w:rPr>
        <w:t xml:space="preserve">p 31. </w:t>
      </w:r>
      <w:r w:rsidRPr="008B0E9B">
        <w:rPr>
          <w:rFonts w:cs="Arial"/>
          <w:szCs w:val="18"/>
        </w:rPr>
        <w:t>The Royal Horticultural Society of South Australia highlighted that they ‘did not automatically accept their PRNs registered in Vic or WA as valid’ at the SA Royal Show.</w:t>
      </w:r>
    </w:p>
  </w:footnote>
  <w:footnote w:id="601">
    <w:p w14:paraId="10FBD1EC" w14:textId="77777777" w:rsidR="00791F73" w:rsidRPr="008B0E9B" w:rsidRDefault="00791F73" w:rsidP="00791F73">
      <w:pPr>
        <w:pStyle w:val="FootnoteText"/>
        <w:rPr>
          <w:rFonts w:cstheme="minorHAnsi"/>
          <w:szCs w:val="18"/>
        </w:rPr>
      </w:pPr>
      <w:r w:rsidRPr="008B0E9B">
        <w:rPr>
          <w:rStyle w:val="FootnoteReference"/>
          <w:rFonts w:cs="Arial"/>
          <w:szCs w:val="18"/>
        </w:rPr>
        <w:footnoteRef/>
      </w:r>
      <w:r w:rsidRPr="008B0E9B">
        <w:rPr>
          <w:rFonts w:cs="Arial"/>
          <w:szCs w:val="18"/>
        </w:rPr>
        <w:t xml:space="preserve"> </w:t>
      </w:r>
      <w:hyperlink r:id="rId450" w:history="1">
        <w:r w:rsidRPr="008B0E9B">
          <w:rPr>
            <w:rStyle w:val="Hyperlink"/>
            <w:rFonts w:cs="Arial"/>
            <w:szCs w:val="18"/>
          </w:rPr>
          <w:t>AALARA</w:t>
        </w:r>
      </w:hyperlink>
      <w:r w:rsidRPr="008B0E9B">
        <w:rPr>
          <w:rFonts w:cs="Arial"/>
          <w:szCs w:val="18"/>
        </w:rPr>
        <w:t>,</w:t>
      </w:r>
      <w:r w:rsidRPr="008B0E9B" w:rsidDel="00292BDD">
        <w:rPr>
          <w:rFonts w:cs="Arial"/>
          <w:szCs w:val="18"/>
        </w:rPr>
        <w:t xml:space="preserve"> </w:t>
      </w:r>
      <w:r w:rsidRPr="008B0E9B">
        <w:rPr>
          <w:rFonts w:cs="Arial"/>
          <w:szCs w:val="18"/>
        </w:rPr>
        <w:t>Submission, p 2.</w:t>
      </w:r>
    </w:p>
  </w:footnote>
  <w:footnote w:id="602">
    <w:p w14:paraId="0C2D8A5B" w14:textId="77777777" w:rsidR="00137A60" w:rsidRPr="008B0E9B" w:rsidRDefault="00137A60" w:rsidP="00137A60">
      <w:pPr>
        <w:pStyle w:val="FootnoteText"/>
        <w:rPr>
          <w:rFonts w:cs="Arial"/>
          <w:szCs w:val="18"/>
        </w:rPr>
      </w:pPr>
      <w:r w:rsidRPr="008B0E9B">
        <w:rPr>
          <w:rStyle w:val="FootnoteReference"/>
          <w:rFonts w:cstheme="minorHAnsi"/>
          <w:szCs w:val="18"/>
        </w:rPr>
        <w:footnoteRef/>
      </w:r>
      <w:r w:rsidRPr="008B0E9B">
        <w:rPr>
          <w:rFonts w:cstheme="minorHAnsi"/>
          <w:szCs w:val="18"/>
        </w:rPr>
        <w:t xml:space="preserve"> </w:t>
      </w:r>
      <w:hyperlink r:id="rId451" w:history="1">
        <w:r w:rsidRPr="008B0E9B">
          <w:rPr>
            <w:rStyle w:val="Hyperlink"/>
            <w:rFonts w:cs="Arial"/>
            <w:szCs w:val="18"/>
          </w:rPr>
          <w:t>New South Wales Nurses and Midwives Association</w:t>
        </w:r>
      </w:hyperlink>
      <w:r w:rsidRPr="008B0E9B">
        <w:rPr>
          <w:rFonts w:cs="Arial"/>
          <w:szCs w:val="18"/>
        </w:rPr>
        <w:t xml:space="preserve">, Submission, pp 28–29; </w:t>
      </w:r>
      <w:hyperlink r:id="rId452" w:history="1">
        <w:r w:rsidRPr="008B0E9B">
          <w:rPr>
            <w:rStyle w:val="Hyperlink"/>
            <w:rFonts w:cs="Arial"/>
            <w:szCs w:val="18"/>
          </w:rPr>
          <w:t>ACTU</w:t>
        </w:r>
      </w:hyperlink>
      <w:r w:rsidRPr="008B0E9B">
        <w:rPr>
          <w:rFonts w:cs="Arial"/>
          <w:szCs w:val="18"/>
        </w:rPr>
        <w:t>, Submission, p 31.</w:t>
      </w:r>
    </w:p>
  </w:footnote>
  <w:footnote w:id="603">
    <w:p w14:paraId="4A218B74" w14:textId="77777777" w:rsidR="00137A60" w:rsidRPr="008B0E9B" w:rsidRDefault="00137A60" w:rsidP="00137A60">
      <w:pPr>
        <w:pStyle w:val="FootnoteText"/>
        <w:rPr>
          <w:rFonts w:cs="Arial"/>
          <w:szCs w:val="18"/>
        </w:rPr>
      </w:pPr>
      <w:r w:rsidRPr="008B0E9B">
        <w:rPr>
          <w:rStyle w:val="FootnoteReference"/>
          <w:rFonts w:cs="Arial"/>
          <w:szCs w:val="18"/>
        </w:rPr>
        <w:footnoteRef/>
      </w:r>
      <w:r w:rsidRPr="008B0E9B">
        <w:rPr>
          <w:rFonts w:cs="Arial"/>
          <w:szCs w:val="18"/>
        </w:rPr>
        <w:t xml:space="preserve"> </w:t>
      </w:r>
      <w:hyperlink r:id="rId453" w:history="1">
        <w:r w:rsidRPr="008B0E9B">
          <w:rPr>
            <w:rStyle w:val="Hyperlink"/>
            <w:rFonts w:cs="Arial"/>
            <w:szCs w:val="18"/>
          </w:rPr>
          <w:t>Australian Industry Group</w:t>
        </w:r>
      </w:hyperlink>
      <w:r w:rsidRPr="008B0E9B">
        <w:rPr>
          <w:rFonts w:cs="Arial"/>
          <w:szCs w:val="18"/>
        </w:rPr>
        <w:t>, Submission, p 15.</w:t>
      </w:r>
    </w:p>
  </w:footnote>
  <w:footnote w:id="604">
    <w:p w14:paraId="03EFC0CA" w14:textId="77777777" w:rsidR="00137A60" w:rsidRPr="008B0E9B" w:rsidRDefault="00137A60" w:rsidP="00137A60">
      <w:pPr>
        <w:pStyle w:val="FootnoteText"/>
        <w:rPr>
          <w:rFonts w:cs="Arial"/>
          <w:szCs w:val="18"/>
        </w:rPr>
      </w:pPr>
      <w:r w:rsidRPr="008B0E9B">
        <w:rPr>
          <w:rStyle w:val="FootnoteReference"/>
          <w:rFonts w:cs="Arial"/>
          <w:szCs w:val="18"/>
        </w:rPr>
        <w:footnoteRef/>
      </w:r>
      <w:r w:rsidRPr="008B0E9B">
        <w:rPr>
          <w:rFonts w:cs="Arial"/>
          <w:szCs w:val="18"/>
        </w:rPr>
        <w:t xml:space="preserve"> </w:t>
      </w:r>
      <w:hyperlink r:id="rId454" w:history="1">
        <w:r w:rsidRPr="008B0E9B">
          <w:rPr>
            <w:rStyle w:val="Hyperlink"/>
            <w:rFonts w:cs="Arial"/>
            <w:szCs w:val="18"/>
          </w:rPr>
          <w:t>SafeWork NSW</w:t>
        </w:r>
      </w:hyperlink>
      <w:r w:rsidRPr="008B0E9B">
        <w:rPr>
          <w:rFonts w:cs="Arial"/>
          <w:szCs w:val="18"/>
        </w:rPr>
        <w:t>, Submission, p 14.</w:t>
      </w:r>
    </w:p>
  </w:footnote>
  <w:footnote w:id="605">
    <w:p w14:paraId="1FC3C6DF" w14:textId="77777777" w:rsidR="00137A60" w:rsidRPr="008B0E9B" w:rsidRDefault="00137A60" w:rsidP="00137A60">
      <w:pPr>
        <w:pStyle w:val="FootnoteText"/>
        <w:rPr>
          <w:rFonts w:cs="Arial"/>
          <w:szCs w:val="18"/>
        </w:rPr>
      </w:pPr>
      <w:r w:rsidRPr="008B0E9B">
        <w:rPr>
          <w:rStyle w:val="FootnoteReference"/>
          <w:rFonts w:cs="Arial"/>
          <w:szCs w:val="18"/>
        </w:rPr>
        <w:footnoteRef/>
      </w:r>
      <w:r w:rsidRPr="008B0E9B">
        <w:rPr>
          <w:rFonts w:cs="Arial"/>
          <w:szCs w:val="18"/>
        </w:rPr>
        <w:t xml:space="preserve"> </w:t>
      </w:r>
      <w:hyperlink r:id="rId455" w:history="1">
        <w:r w:rsidRPr="008B0E9B">
          <w:rPr>
            <w:rStyle w:val="Hyperlink"/>
            <w:rFonts w:cs="Arial"/>
            <w:szCs w:val="18"/>
          </w:rPr>
          <w:t>HIA</w:t>
        </w:r>
      </w:hyperlink>
      <w:r w:rsidRPr="008B0E9B">
        <w:rPr>
          <w:rFonts w:cs="Arial"/>
          <w:szCs w:val="18"/>
        </w:rPr>
        <w:t xml:space="preserve">, Submission, p 17; </w:t>
      </w:r>
      <w:r w:rsidRPr="00E360E2">
        <w:rPr>
          <w:rFonts w:cs="Arial"/>
          <w:szCs w:val="18"/>
        </w:rPr>
        <w:t xml:space="preserve">Managing </w:t>
      </w:r>
      <w:r>
        <w:rPr>
          <w:rFonts w:cs="Arial"/>
          <w:iCs/>
          <w:szCs w:val="18"/>
        </w:rPr>
        <w:t>r</w:t>
      </w:r>
      <w:r w:rsidRPr="00E360E2">
        <w:rPr>
          <w:rFonts w:cs="Arial"/>
          <w:iCs/>
          <w:szCs w:val="18"/>
        </w:rPr>
        <w:t xml:space="preserve">espirable </w:t>
      </w:r>
      <w:r>
        <w:rPr>
          <w:rFonts w:cs="Arial"/>
          <w:iCs/>
          <w:szCs w:val="18"/>
        </w:rPr>
        <w:t>c</w:t>
      </w:r>
      <w:r w:rsidRPr="00E360E2">
        <w:rPr>
          <w:rFonts w:cs="Arial"/>
          <w:iCs/>
          <w:szCs w:val="18"/>
        </w:rPr>
        <w:t xml:space="preserve">rystalline </w:t>
      </w:r>
      <w:r>
        <w:rPr>
          <w:rFonts w:cs="Arial"/>
          <w:iCs/>
          <w:szCs w:val="18"/>
        </w:rPr>
        <w:t>s</w:t>
      </w:r>
      <w:r w:rsidRPr="00E360E2">
        <w:rPr>
          <w:rFonts w:cs="Arial"/>
          <w:iCs/>
          <w:szCs w:val="18"/>
        </w:rPr>
        <w:t xml:space="preserve">ilica </w:t>
      </w:r>
      <w:r>
        <w:rPr>
          <w:rFonts w:cs="Arial"/>
          <w:iCs/>
          <w:szCs w:val="18"/>
        </w:rPr>
        <w:t>d</w:t>
      </w:r>
      <w:r w:rsidRPr="00E360E2">
        <w:rPr>
          <w:rFonts w:cs="Arial"/>
          <w:iCs/>
          <w:szCs w:val="18"/>
        </w:rPr>
        <w:t xml:space="preserve">ust </w:t>
      </w:r>
      <w:r w:rsidRPr="00E360E2" w:rsidDel="00805ED4">
        <w:rPr>
          <w:rFonts w:cs="Arial"/>
          <w:szCs w:val="18"/>
        </w:rPr>
        <w:t>e</w:t>
      </w:r>
      <w:r w:rsidRPr="00E360E2">
        <w:rPr>
          <w:rFonts w:cs="Arial"/>
          <w:szCs w:val="18"/>
        </w:rPr>
        <w:t xml:space="preserve">xposure in </w:t>
      </w:r>
      <w:r w:rsidRPr="00E360E2" w:rsidDel="00805ED4">
        <w:rPr>
          <w:rFonts w:cs="Arial"/>
          <w:szCs w:val="18"/>
        </w:rPr>
        <w:t>c</w:t>
      </w:r>
      <w:r w:rsidRPr="00E360E2">
        <w:rPr>
          <w:rFonts w:cs="Arial"/>
          <w:szCs w:val="18"/>
        </w:rPr>
        <w:t xml:space="preserve">onstruction and </w:t>
      </w:r>
      <w:r w:rsidRPr="00E360E2" w:rsidDel="00805ED4">
        <w:rPr>
          <w:rFonts w:cs="Arial"/>
          <w:szCs w:val="18"/>
        </w:rPr>
        <w:t>m</w:t>
      </w:r>
      <w:r w:rsidRPr="00E360E2">
        <w:rPr>
          <w:rFonts w:cs="Arial"/>
          <w:szCs w:val="18"/>
        </w:rPr>
        <w:t xml:space="preserve">anufacturing of </w:t>
      </w:r>
      <w:r>
        <w:rPr>
          <w:rFonts w:cs="Arial"/>
          <w:iCs/>
          <w:szCs w:val="18"/>
        </w:rPr>
        <w:t>c</w:t>
      </w:r>
      <w:r w:rsidRPr="00E360E2">
        <w:rPr>
          <w:rFonts w:cs="Arial"/>
          <w:iCs/>
          <w:szCs w:val="18"/>
        </w:rPr>
        <w:t xml:space="preserve">onstruction </w:t>
      </w:r>
      <w:r>
        <w:rPr>
          <w:rFonts w:cs="Arial"/>
          <w:iCs/>
          <w:szCs w:val="18"/>
        </w:rPr>
        <w:t>e</w:t>
      </w:r>
      <w:r w:rsidRPr="00E360E2">
        <w:rPr>
          <w:rFonts w:cs="Arial"/>
          <w:iCs/>
          <w:szCs w:val="18"/>
        </w:rPr>
        <w:t>lements</w:t>
      </w:r>
      <w:r w:rsidRPr="00E360E2">
        <w:rPr>
          <w:rFonts w:cs="Arial"/>
          <w:szCs w:val="18"/>
        </w:rPr>
        <w:t xml:space="preserve"> Code of Practice 2022 (Qld</w:t>
      </w:r>
      <w:r w:rsidRPr="00805ED4">
        <w:rPr>
          <w:rFonts w:cs="Arial"/>
          <w:iCs/>
          <w:szCs w:val="18"/>
        </w:rPr>
        <w:t>)</w:t>
      </w:r>
      <w:r w:rsidRPr="008B0E9B">
        <w:rPr>
          <w:rFonts w:cs="Arial"/>
          <w:szCs w:val="18"/>
        </w:rPr>
        <w:t>.</w:t>
      </w:r>
    </w:p>
  </w:footnote>
  <w:footnote w:id="606">
    <w:p w14:paraId="09E6F620" w14:textId="77777777" w:rsidR="00137A60" w:rsidRPr="008B0E9B" w:rsidRDefault="00137A60" w:rsidP="00137A60">
      <w:pPr>
        <w:pStyle w:val="FootnoteText"/>
        <w:rPr>
          <w:rFonts w:cs="Arial"/>
          <w:szCs w:val="18"/>
        </w:rPr>
      </w:pPr>
      <w:r w:rsidRPr="008B0E9B">
        <w:rPr>
          <w:rStyle w:val="FootnoteReference"/>
          <w:rFonts w:cs="Arial"/>
          <w:szCs w:val="18"/>
        </w:rPr>
        <w:footnoteRef/>
      </w:r>
      <w:r w:rsidRPr="008B0E9B">
        <w:rPr>
          <w:rFonts w:cs="Arial"/>
          <w:szCs w:val="18"/>
        </w:rPr>
        <w:t xml:space="preserve"> Safe Work Australia, </w:t>
      </w:r>
      <w:hyperlink r:id="rId456" w:history="1">
        <w:r w:rsidRPr="008B0E9B">
          <w:rPr>
            <w:rStyle w:val="Hyperlink"/>
            <w:rFonts w:cs="Arial"/>
            <w:i/>
            <w:szCs w:val="18"/>
          </w:rPr>
          <w:t>Review of the engineered stone prohibition</w:t>
        </w:r>
      </w:hyperlink>
      <w:r w:rsidRPr="008B0E9B">
        <w:rPr>
          <w:rFonts w:cs="Arial"/>
          <w:szCs w:val="18"/>
        </w:rPr>
        <w:t xml:space="preserve">, </w:t>
      </w:r>
      <w:r>
        <w:rPr>
          <w:rFonts w:cs="Arial"/>
          <w:szCs w:val="18"/>
        </w:rPr>
        <w:t xml:space="preserve">Safe Work Australia, </w:t>
      </w:r>
      <w:r w:rsidRPr="008B0E9B">
        <w:rPr>
          <w:rFonts w:cs="Arial"/>
          <w:szCs w:val="18"/>
        </w:rPr>
        <w:t>2025, p 21.</w:t>
      </w:r>
    </w:p>
  </w:footnote>
  <w:footnote w:id="607">
    <w:p w14:paraId="7C7CD887" w14:textId="77777777" w:rsidR="00137A60" w:rsidRPr="008B0E9B" w:rsidRDefault="00137A60" w:rsidP="00137A60">
      <w:pPr>
        <w:pStyle w:val="FootnoteText"/>
      </w:pPr>
      <w:r w:rsidRPr="008B0E9B">
        <w:rPr>
          <w:rStyle w:val="FootnoteReference"/>
        </w:rPr>
        <w:footnoteRef/>
      </w:r>
      <w:r w:rsidRPr="008B0E9B">
        <w:t xml:space="preserve"> Safe Work Australia, </w:t>
      </w:r>
      <w:hyperlink r:id="rId457" w:history="1">
        <w:r w:rsidRPr="008B0E9B">
          <w:rPr>
            <w:rStyle w:val="Hyperlink"/>
            <w:i/>
          </w:rPr>
          <w:t>Review of the engineered stone prohibition</w:t>
        </w:r>
      </w:hyperlink>
      <w:r w:rsidRPr="008B0E9B">
        <w:t xml:space="preserve">, </w:t>
      </w:r>
      <w:r>
        <w:t xml:space="preserve">Safe Work Australia, </w:t>
      </w:r>
      <w:r w:rsidRPr="008B0E9B">
        <w:t>2025, p 8.</w:t>
      </w:r>
    </w:p>
  </w:footnote>
  <w:footnote w:id="608">
    <w:p w14:paraId="737E4DD0" w14:textId="77777777" w:rsidR="00137A60" w:rsidRPr="008B0E9B" w:rsidRDefault="00137A60" w:rsidP="00137A60">
      <w:pPr>
        <w:pStyle w:val="FootnoteText"/>
      </w:pPr>
      <w:r w:rsidRPr="008B0E9B">
        <w:rPr>
          <w:rStyle w:val="FootnoteReference"/>
        </w:rPr>
        <w:footnoteRef/>
      </w:r>
      <w:r w:rsidRPr="008B0E9B">
        <w:t xml:space="preserve"> Safe Work Australia, </w:t>
      </w:r>
      <w:hyperlink r:id="rId458" w:history="1">
        <w:r w:rsidRPr="008B0E9B">
          <w:rPr>
            <w:rStyle w:val="Hyperlink"/>
            <w:i/>
            <w:iCs/>
          </w:rPr>
          <w:t xml:space="preserve">Review of the </w:t>
        </w:r>
        <w:r>
          <w:rPr>
            <w:rStyle w:val="Hyperlink"/>
            <w:i/>
            <w:iCs/>
          </w:rPr>
          <w:t>e</w:t>
        </w:r>
        <w:r w:rsidRPr="008B0E9B">
          <w:rPr>
            <w:rStyle w:val="Hyperlink"/>
            <w:i/>
            <w:iCs/>
          </w:rPr>
          <w:t xml:space="preserve">ngineered </w:t>
        </w:r>
        <w:r>
          <w:rPr>
            <w:rStyle w:val="Hyperlink"/>
            <w:i/>
            <w:iCs/>
          </w:rPr>
          <w:t>s</w:t>
        </w:r>
        <w:r w:rsidRPr="008B0E9B">
          <w:rPr>
            <w:rStyle w:val="Hyperlink"/>
            <w:i/>
            <w:iCs/>
          </w:rPr>
          <w:t xml:space="preserve">tone </w:t>
        </w:r>
        <w:r>
          <w:rPr>
            <w:rStyle w:val="Hyperlink"/>
            <w:i/>
            <w:iCs/>
          </w:rPr>
          <w:t>p</w:t>
        </w:r>
        <w:r w:rsidRPr="008B0E9B">
          <w:rPr>
            <w:rStyle w:val="Hyperlink"/>
            <w:i/>
            <w:iCs/>
          </w:rPr>
          <w:t>rohibition</w:t>
        </w:r>
      </w:hyperlink>
      <w:r w:rsidRPr="008B0E9B">
        <w:t xml:space="preserve">, </w:t>
      </w:r>
      <w:r>
        <w:t xml:space="preserve">Safe Work Australia, </w:t>
      </w:r>
      <w:r w:rsidRPr="008B0E9B">
        <w:t>2025, p 68.</w:t>
      </w:r>
    </w:p>
  </w:footnote>
  <w:footnote w:id="609">
    <w:p w14:paraId="7E929D0C" w14:textId="77777777" w:rsidR="008C7A5C" w:rsidRPr="008B0E9B" w:rsidRDefault="008C7A5C" w:rsidP="008C7A5C">
      <w:pPr>
        <w:pStyle w:val="FootnoteText"/>
        <w:rPr>
          <w:rFonts w:cs="Arial"/>
          <w:szCs w:val="18"/>
        </w:rPr>
      </w:pPr>
      <w:r w:rsidRPr="008B0E9B">
        <w:rPr>
          <w:rStyle w:val="FootnoteReference"/>
          <w:rFonts w:cs="Arial"/>
          <w:szCs w:val="18"/>
        </w:rPr>
        <w:footnoteRef/>
      </w:r>
      <w:r w:rsidRPr="008B0E9B">
        <w:rPr>
          <w:rFonts w:cs="Arial"/>
          <w:szCs w:val="18"/>
        </w:rPr>
        <w:t xml:space="preserve"> Private, Submission #102, p 8.</w:t>
      </w:r>
    </w:p>
  </w:footnote>
  <w:footnote w:id="610">
    <w:p w14:paraId="599FD27D" w14:textId="77777777" w:rsidR="008C7A5C" w:rsidRPr="008B0E9B" w:rsidRDefault="008C7A5C" w:rsidP="008C7A5C">
      <w:pPr>
        <w:pStyle w:val="FootnoteText"/>
        <w:rPr>
          <w:rFonts w:cs="Arial"/>
          <w:szCs w:val="18"/>
        </w:rPr>
      </w:pPr>
      <w:r w:rsidRPr="008B0E9B">
        <w:rPr>
          <w:rStyle w:val="FootnoteReference"/>
          <w:rFonts w:cs="Arial"/>
          <w:szCs w:val="18"/>
        </w:rPr>
        <w:footnoteRef/>
      </w:r>
      <w:r w:rsidRPr="008B0E9B">
        <w:rPr>
          <w:rFonts w:cs="Arial"/>
          <w:szCs w:val="18"/>
        </w:rPr>
        <w:t xml:space="preserve"> </w:t>
      </w:r>
      <w:hyperlink r:id="rId459" w:history="1">
        <w:r w:rsidRPr="008B0E9B">
          <w:rPr>
            <w:rStyle w:val="Hyperlink"/>
            <w:rFonts w:cs="Arial"/>
            <w:szCs w:val="18"/>
          </w:rPr>
          <w:t>SafeWork NSW</w:t>
        </w:r>
      </w:hyperlink>
      <w:r w:rsidRPr="008B0E9B">
        <w:rPr>
          <w:rFonts w:cs="Arial"/>
          <w:szCs w:val="18"/>
        </w:rPr>
        <w:t>, Submission, p 14.</w:t>
      </w:r>
    </w:p>
  </w:footnote>
  <w:footnote w:id="611">
    <w:p w14:paraId="635AEC6F" w14:textId="77777777" w:rsidR="008C7A5C" w:rsidRPr="008B0E9B" w:rsidRDefault="008C7A5C" w:rsidP="008C7A5C">
      <w:pPr>
        <w:pStyle w:val="FootnoteText"/>
        <w:rPr>
          <w:rFonts w:cs="Arial"/>
          <w:szCs w:val="18"/>
        </w:rPr>
      </w:pPr>
      <w:r w:rsidRPr="008B0E9B">
        <w:rPr>
          <w:rStyle w:val="FootnoteReference"/>
          <w:rFonts w:cs="Arial"/>
          <w:szCs w:val="18"/>
        </w:rPr>
        <w:footnoteRef/>
      </w:r>
      <w:r w:rsidRPr="008B0E9B">
        <w:rPr>
          <w:rFonts w:cs="Arial"/>
          <w:szCs w:val="18"/>
        </w:rPr>
        <w:t xml:space="preserve"> </w:t>
      </w:r>
      <w:hyperlink r:id="rId460" w:history="1">
        <w:r w:rsidRPr="008B0E9B">
          <w:rPr>
            <w:rStyle w:val="Hyperlink"/>
            <w:rFonts w:cs="Arial"/>
            <w:szCs w:val="18"/>
          </w:rPr>
          <w:t>R2A</w:t>
        </w:r>
      </w:hyperlink>
      <w:r w:rsidRPr="008B0E9B">
        <w:rPr>
          <w:rFonts w:cs="Arial"/>
          <w:szCs w:val="18"/>
        </w:rPr>
        <w:t>, Submission, p 3.</w:t>
      </w:r>
    </w:p>
  </w:footnote>
  <w:footnote w:id="612">
    <w:p w14:paraId="322D5529" w14:textId="77777777" w:rsidR="008C7A5C" w:rsidRPr="008B0E9B" w:rsidRDefault="008C7A5C" w:rsidP="008C7A5C">
      <w:pPr>
        <w:pStyle w:val="FootnoteText"/>
        <w:rPr>
          <w:rFonts w:cstheme="minorHAnsi"/>
          <w:szCs w:val="18"/>
        </w:rPr>
      </w:pPr>
      <w:r w:rsidRPr="008B0E9B">
        <w:rPr>
          <w:rStyle w:val="FootnoteReference"/>
          <w:rFonts w:cs="Arial"/>
          <w:szCs w:val="18"/>
        </w:rPr>
        <w:footnoteRef/>
      </w:r>
      <w:r w:rsidRPr="008B0E9B">
        <w:rPr>
          <w:rFonts w:cs="Arial"/>
          <w:szCs w:val="18"/>
        </w:rPr>
        <w:t xml:space="preserve"> </w:t>
      </w:r>
      <w:hyperlink r:id="rId461" w:history="1">
        <w:r w:rsidRPr="008B0E9B">
          <w:rPr>
            <w:rStyle w:val="Hyperlink"/>
            <w:rFonts w:cs="Arial"/>
            <w:szCs w:val="18"/>
          </w:rPr>
          <w:t>Department of Climate Change, Energy, Environment and Water</w:t>
        </w:r>
      </w:hyperlink>
      <w:r w:rsidRPr="008B0E9B">
        <w:rPr>
          <w:rFonts w:cs="Arial"/>
          <w:szCs w:val="18"/>
        </w:rPr>
        <w:t>, Submission, p 4.</w:t>
      </w:r>
    </w:p>
  </w:footnote>
  <w:footnote w:id="613">
    <w:p w14:paraId="544AD749" w14:textId="77777777" w:rsidR="006947F8" w:rsidRPr="00071D9F" w:rsidRDefault="006947F8" w:rsidP="006947F8">
      <w:pPr>
        <w:pStyle w:val="FootnoteText"/>
        <w:rPr>
          <w:rFonts w:cs="Arial"/>
          <w:szCs w:val="18"/>
        </w:rPr>
      </w:pPr>
      <w:r w:rsidRPr="00071D9F">
        <w:rPr>
          <w:rStyle w:val="FootnoteReference"/>
          <w:rFonts w:cs="Arial"/>
          <w:szCs w:val="18"/>
        </w:rPr>
        <w:footnoteRef/>
      </w:r>
      <w:r w:rsidRPr="00071D9F">
        <w:rPr>
          <w:rFonts w:cs="Arial"/>
          <w:szCs w:val="18"/>
        </w:rPr>
        <w:t xml:space="preserve"> Occupational Safety and Health Regulations 1996 (WA), r</w:t>
      </w:r>
      <w:r>
        <w:rPr>
          <w:rFonts w:cs="Arial"/>
          <w:szCs w:val="18"/>
        </w:rPr>
        <w:t>eg</w:t>
      </w:r>
      <w:r w:rsidRPr="00071D9F">
        <w:rPr>
          <w:rFonts w:cs="Arial"/>
          <w:szCs w:val="18"/>
        </w:rPr>
        <w:t xml:space="preserve"> 5.23.</w:t>
      </w:r>
    </w:p>
  </w:footnote>
  <w:footnote w:id="614">
    <w:p w14:paraId="5631DBFE" w14:textId="77777777" w:rsidR="006947F8" w:rsidRPr="00071D9F" w:rsidRDefault="006947F8" w:rsidP="006947F8">
      <w:pPr>
        <w:pStyle w:val="FootnoteText"/>
        <w:rPr>
          <w:rFonts w:cs="Arial"/>
          <w:szCs w:val="18"/>
        </w:rPr>
      </w:pPr>
      <w:r w:rsidRPr="00071D9F">
        <w:rPr>
          <w:rStyle w:val="FootnoteReference"/>
          <w:rFonts w:cs="Arial"/>
          <w:szCs w:val="18"/>
        </w:rPr>
        <w:footnoteRef/>
      </w:r>
      <w:r w:rsidRPr="00071D9F">
        <w:rPr>
          <w:rFonts w:cs="Arial"/>
          <w:szCs w:val="18"/>
        </w:rPr>
        <w:t xml:space="preserve"> WA WHS Regulations, r</w:t>
      </w:r>
      <w:r>
        <w:rPr>
          <w:rFonts w:cs="Arial"/>
          <w:szCs w:val="18"/>
        </w:rPr>
        <w:t>egs</w:t>
      </w:r>
      <w:r w:rsidRPr="00071D9F">
        <w:rPr>
          <w:rFonts w:cs="Arial"/>
          <w:szCs w:val="18"/>
        </w:rPr>
        <w:t xml:space="preserve"> 276, 412, 442.</w:t>
      </w:r>
    </w:p>
  </w:footnote>
  <w:footnote w:id="615">
    <w:p w14:paraId="51D17C42" w14:textId="77777777" w:rsidR="006947F8" w:rsidRPr="00071D9F" w:rsidRDefault="006947F8" w:rsidP="006947F8">
      <w:pPr>
        <w:pStyle w:val="FootnoteText"/>
        <w:rPr>
          <w:rFonts w:cs="Arial"/>
          <w:szCs w:val="18"/>
        </w:rPr>
      </w:pPr>
      <w:r w:rsidRPr="00071D9F">
        <w:rPr>
          <w:rStyle w:val="FootnoteReference"/>
          <w:rFonts w:cs="Arial"/>
          <w:szCs w:val="18"/>
        </w:rPr>
        <w:footnoteRef/>
      </w:r>
      <w:r w:rsidRPr="00071D9F">
        <w:rPr>
          <w:rFonts w:cs="Arial"/>
          <w:szCs w:val="18"/>
        </w:rPr>
        <w:t xml:space="preserve"> </w:t>
      </w:r>
      <w:hyperlink r:id="rId462" w:history="1">
        <w:r w:rsidRPr="00071D9F">
          <w:rPr>
            <w:rStyle w:val="Hyperlink"/>
            <w:rFonts w:cs="Arial"/>
            <w:szCs w:val="18"/>
          </w:rPr>
          <w:t>NFF</w:t>
        </w:r>
      </w:hyperlink>
      <w:r w:rsidRPr="00071D9F">
        <w:rPr>
          <w:rFonts w:cs="Arial"/>
          <w:szCs w:val="18"/>
        </w:rPr>
        <w:t>, Submission, p 6;</w:t>
      </w:r>
      <w:r w:rsidRPr="00071D9F">
        <w:t xml:space="preserve"> </w:t>
      </w:r>
      <w:hyperlink r:id="rId463" w:history="1">
        <w:r w:rsidRPr="00071D9F">
          <w:rPr>
            <w:rStyle w:val="Hyperlink"/>
            <w:rFonts w:cs="Arial"/>
            <w:szCs w:val="18"/>
          </w:rPr>
          <w:t>MCA</w:t>
        </w:r>
      </w:hyperlink>
      <w:r w:rsidRPr="00071D9F">
        <w:rPr>
          <w:rFonts w:cs="Arial"/>
          <w:szCs w:val="18"/>
        </w:rPr>
        <w:t>, Submission, p 9.</w:t>
      </w:r>
    </w:p>
  </w:footnote>
  <w:footnote w:id="616">
    <w:p w14:paraId="6C98D9C6" w14:textId="77777777" w:rsidR="006947F8" w:rsidRPr="00071D9F" w:rsidRDefault="006947F8" w:rsidP="006947F8">
      <w:pPr>
        <w:pStyle w:val="FootnoteText"/>
        <w:rPr>
          <w:szCs w:val="18"/>
        </w:rPr>
      </w:pPr>
      <w:r w:rsidRPr="00071D9F">
        <w:rPr>
          <w:rStyle w:val="FootnoteReference"/>
          <w:szCs w:val="18"/>
        </w:rPr>
        <w:footnoteRef/>
      </w:r>
      <w:r w:rsidRPr="00071D9F">
        <w:rPr>
          <w:szCs w:val="18"/>
        </w:rPr>
        <w:t xml:space="preserve"> </w:t>
      </w:r>
      <w:hyperlink r:id="rId464" w:history="1">
        <w:r w:rsidRPr="00071D9F">
          <w:rPr>
            <w:rStyle w:val="Hyperlink"/>
            <w:szCs w:val="18"/>
          </w:rPr>
          <w:t>AER Environmental</w:t>
        </w:r>
      </w:hyperlink>
      <w:r w:rsidRPr="00071D9F">
        <w:rPr>
          <w:szCs w:val="18"/>
        </w:rPr>
        <w:t>, Submission, pp 1–17.</w:t>
      </w:r>
    </w:p>
  </w:footnote>
  <w:footnote w:id="617">
    <w:p w14:paraId="3EE76D0D" w14:textId="77777777" w:rsidR="006947F8" w:rsidRPr="00071D9F" w:rsidRDefault="006947F8" w:rsidP="006947F8">
      <w:pPr>
        <w:pStyle w:val="FootnoteText"/>
        <w:tabs>
          <w:tab w:val="left" w:pos="3478"/>
        </w:tabs>
        <w:rPr>
          <w:rFonts w:cs="Arial"/>
          <w:szCs w:val="18"/>
        </w:rPr>
      </w:pPr>
      <w:r w:rsidRPr="00071D9F">
        <w:rPr>
          <w:rStyle w:val="FootnoteReference"/>
          <w:rFonts w:cs="Arial"/>
          <w:szCs w:val="18"/>
        </w:rPr>
        <w:footnoteRef/>
      </w:r>
      <w:r w:rsidRPr="00071D9F">
        <w:rPr>
          <w:rFonts w:cs="Arial"/>
          <w:szCs w:val="18"/>
        </w:rPr>
        <w:t xml:space="preserve"> Private, Submission #89, p 15.</w:t>
      </w:r>
    </w:p>
  </w:footnote>
  <w:footnote w:id="618">
    <w:p w14:paraId="4F4F69C2" w14:textId="77777777" w:rsidR="006947F8" w:rsidRPr="00071D9F" w:rsidRDefault="006947F8" w:rsidP="006947F8">
      <w:pPr>
        <w:pStyle w:val="FootnoteText"/>
      </w:pPr>
      <w:r w:rsidRPr="00071D9F">
        <w:rPr>
          <w:rStyle w:val="FootnoteReference"/>
        </w:rPr>
        <w:footnoteRef/>
      </w:r>
      <w:r w:rsidRPr="00071D9F">
        <w:t xml:space="preserve"> Safe Work Australia, </w:t>
      </w:r>
      <w:hyperlink r:id="rId465" w:history="1">
        <w:r w:rsidRPr="00A54257">
          <w:rPr>
            <w:rStyle w:val="Hyperlink"/>
            <w:i/>
          </w:rPr>
          <w:t xml:space="preserve">Asbestos </w:t>
        </w:r>
        <w:r>
          <w:rPr>
            <w:rStyle w:val="Hyperlink"/>
            <w:i/>
            <w:iCs/>
          </w:rPr>
          <w:t>F</w:t>
        </w:r>
        <w:r w:rsidRPr="00A54257">
          <w:rPr>
            <w:rStyle w:val="Hyperlink"/>
            <w:i/>
            <w:iCs/>
          </w:rPr>
          <w:t xml:space="preserve">ramework </w:t>
        </w:r>
        <w:r w:rsidDel="00805ED4">
          <w:rPr>
            <w:rStyle w:val="Hyperlink"/>
            <w:i/>
          </w:rPr>
          <w:t>R</w:t>
        </w:r>
        <w:r w:rsidRPr="00A54257">
          <w:rPr>
            <w:rStyle w:val="Hyperlink"/>
            <w:i/>
          </w:rPr>
          <w:t>eview</w:t>
        </w:r>
      </w:hyperlink>
      <w:r>
        <w:t xml:space="preserve">, Safe Work Australia, </w:t>
      </w:r>
      <w:r w:rsidRPr="00071D9F">
        <w:t>February 2026, accessed 25 May 2026.</w:t>
      </w:r>
    </w:p>
  </w:footnote>
  <w:footnote w:id="619">
    <w:p w14:paraId="34990FBE" w14:textId="77777777" w:rsidR="006947F8" w:rsidRPr="00071D9F" w:rsidRDefault="006947F8" w:rsidP="006947F8">
      <w:pPr>
        <w:pStyle w:val="FootnoteText"/>
        <w:rPr>
          <w:rFonts w:cs="Arial"/>
          <w:szCs w:val="18"/>
        </w:rPr>
      </w:pPr>
      <w:r w:rsidRPr="00071D9F">
        <w:rPr>
          <w:rStyle w:val="FootnoteReference"/>
          <w:rFonts w:cs="Arial"/>
          <w:szCs w:val="18"/>
        </w:rPr>
        <w:footnoteRef/>
      </w:r>
      <w:r w:rsidRPr="00071D9F">
        <w:rPr>
          <w:rFonts w:cs="Arial"/>
          <w:szCs w:val="18"/>
        </w:rPr>
        <w:t xml:space="preserve"> Private, Submission #161, p 7.</w:t>
      </w:r>
    </w:p>
  </w:footnote>
  <w:footnote w:id="620">
    <w:p w14:paraId="6EFDC4D0" w14:textId="77777777" w:rsidR="006947F8" w:rsidRPr="00071D9F" w:rsidRDefault="006947F8" w:rsidP="006947F8">
      <w:pPr>
        <w:pStyle w:val="FootnoteText"/>
        <w:rPr>
          <w:rFonts w:cs="Arial"/>
          <w:szCs w:val="18"/>
        </w:rPr>
      </w:pPr>
      <w:r w:rsidRPr="00071D9F">
        <w:rPr>
          <w:rStyle w:val="FootnoteReference"/>
          <w:rFonts w:cs="Arial"/>
          <w:szCs w:val="18"/>
        </w:rPr>
        <w:footnoteRef/>
      </w:r>
      <w:r w:rsidRPr="00071D9F">
        <w:rPr>
          <w:rFonts w:cs="Arial"/>
          <w:szCs w:val="18"/>
        </w:rPr>
        <w:t xml:space="preserve"> Qld WHS Regulations, r</w:t>
      </w:r>
      <w:r>
        <w:rPr>
          <w:rFonts w:cs="Arial"/>
          <w:szCs w:val="18"/>
        </w:rPr>
        <w:t>egs</w:t>
      </w:r>
      <w:r w:rsidRPr="00071D9F">
        <w:rPr>
          <w:rFonts w:cs="Arial"/>
          <w:szCs w:val="18"/>
        </w:rPr>
        <w:t xml:space="preserve"> 226A–226C; </w:t>
      </w:r>
      <w:hyperlink r:id="rId466" w:history="1">
        <w:r w:rsidRPr="00071D9F">
          <w:rPr>
            <w:rStyle w:val="Hyperlink"/>
            <w:rFonts w:cs="Arial"/>
            <w:szCs w:val="18"/>
          </w:rPr>
          <w:t>WorkSafe WA</w:t>
        </w:r>
      </w:hyperlink>
      <w:r w:rsidRPr="00071D9F">
        <w:rPr>
          <w:rFonts w:cs="Arial"/>
          <w:szCs w:val="18"/>
        </w:rPr>
        <w:t>, Submission, p 30.</w:t>
      </w:r>
    </w:p>
  </w:footnote>
  <w:footnote w:id="621">
    <w:p w14:paraId="187442C5" w14:textId="77777777" w:rsidR="006947F8" w:rsidRPr="00071D9F" w:rsidRDefault="006947F8" w:rsidP="006947F8">
      <w:pPr>
        <w:pStyle w:val="FootnoteText"/>
        <w:rPr>
          <w:rFonts w:cs="Arial"/>
          <w:szCs w:val="18"/>
        </w:rPr>
      </w:pPr>
      <w:r w:rsidRPr="00071D9F">
        <w:rPr>
          <w:rStyle w:val="FootnoteReference"/>
          <w:rFonts w:cs="Arial"/>
          <w:szCs w:val="18"/>
        </w:rPr>
        <w:footnoteRef/>
      </w:r>
      <w:r w:rsidRPr="00071D9F">
        <w:rPr>
          <w:rFonts w:cs="Arial"/>
          <w:szCs w:val="18"/>
        </w:rPr>
        <w:t xml:space="preserve"> Private, Submission #143, p 2.</w:t>
      </w:r>
    </w:p>
  </w:footnote>
  <w:footnote w:id="622">
    <w:p w14:paraId="3F3245ED" w14:textId="77777777" w:rsidR="006947F8" w:rsidRPr="00071D9F" w:rsidRDefault="006947F8" w:rsidP="006947F8">
      <w:pPr>
        <w:pStyle w:val="FootnoteText"/>
      </w:pPr>
      <w:r w:rsidRPr="00071D9F">
        <w:rPr>
          <w:rStyle w:val="FootnoteReference"/>
        </w:rPr>
        <w:footnoteRef/>
      </w:r>
      <w:r w:rsidRPr="00071D9F">
        <w:t xml:space="preserve"> </w:t>
      </w:r>
      <w:hyperlink r:id="rId467" w:history="1">
        <w:r w:rsidRPr="00071D9F">
          <w:rPr>
            <w:rStyle w:val="Hyperlink"/>
            <w:szCs w:val="18"/>
          </w:rPr>
          <w:t>Shop, Distributive and Allied Employees Association</w:t>
        </w:r>
      </w:hyperlink>
      <w:r w:rsidRPr="00071D9F">
        <w:t>, Submission, p 7.</w:t>
      </w:r>
    </w:p>
  </w:footnote>
  <w:footnote w:id="623">
    <w:p w14:paraId="06B15E15" w14:textId="77777777" w:rsidR="006947F8" w:rsidRPr="00071D9F" w:rsidRDefault="006947F8" w:rsidP="006947F8">
      <w:pPr>
        <w:pStyle w:val="FootnoteText"/>
        <w:rPr>
          <w:szCs w:val="18"/>
        </w:rPr>
      </w:pPr>
      <w:r w:rsidRPr="00071D9F">
        <w:rPr>
          <w:rStyle w:val="FootnoteReference"/>
          <w:szCs w:val="18"/>
        </w:rPr>
        <w:footnoteRef/>
      </w:r>
      <w:r w:rsidRPr="00071D9F" w:rsidDel="001E5CBB">
        <w:rPr>
          <w:szCs w:val="18"/>
        </w:rPr>
        <w:t xml:space="preserve"> </w:t>
      </w:r>
      <w:r>
        <w:rPr>
          <w:szCs w:val="18"/>
        </w:rPr>
        <w:t xml:space="preserve">The Hon M </w:t>
      </w:r>
      <w:r w:rsidRPr="00071D9F">
        <w:rPr>
          <w:szCs w:val="18"/>
        </w:rPr>
        <w:t>Rowland</w:t>
      </w:r>
      <w:r>
        <w:rPr>
          <w:rFonts w:cs="Arial"/>
          <w:szCs w:val="18"/>
        </w:rPr>
        <w:t xml:space="preserve"> </w:t>
      </w:r>
      <w:r w:rsidRPr="00071D9F">
        <w:rPr>
          <w:rFonts w:cs="Arial"/>
          <w:szCs w:val="18"/>
        </w:rPr>
        <w:t xml:space="preserve">MP, </w:t>
      </w:r>
      <w:hyperlink r:id="rId468" w:history="1">
        <w:r w:rsidRPr="00071D9F">
          <w:rPr>
            <w:rStyle w:val="Hyperlink"/>
            <w:rFonts w:cs="Arial"/>
            <w:i/>
            <w:szCs w:val="18"/>
          </w:rPr>
          <w:t>Albanese Government announces $37 million to support Working with Children Check Reform</w:t>
        </w:r>
      </w:hyperlink>
      <w:r w:rsidRPr="00071D9F">
        <w:rPr>
          <w:rFonts w:cs="Arial"/>
          <w:i/>
          <w:szCs w:val="18"/>
        </w:rPr>
        <w:t xml:space="preserve"> </w:t>
      </w:r>
      <w:r w:rsidRPr="00071D9F">
        <w:rPr>
          <w:rFonts w:cs="Arial"/>
          <w:szCs w:val="18"/>
        </w:rPr>
        <w:t>[media release], Attorney-General's Department, 14 November 2025, accessed 16 March 2026.</w:t>
      </w:r>
    </w:p>
  </w:footnote>
  <w:footnote w:id="624">
    <w:p w14:paraId="1F25597A" w14:textId="77777777" w:rsidR="00E25C41" w:rsidRPr="00404432" w:rsidRDefault="00E25C41" w:rsidP="00E25C41">
      <w:pPr>
        <w:pStyle w:val="FootnoteText"/>
      </w:pPr>
      <w:r w:rsidRPr="00404432">
        <w:rPr>
          <w:rStyle w:val="FootnoteReference"/>
        </w:rPr>
        <w:footnoteRef/>
      </w:r>
      <w:r w:rsidRPr="00404432">
        <w:t xml:space="preserve"> </w:t>
      </w:r>
      <w:hyperlink r:id="rId469" w:history="1">
        <w:r w:rsidRPr="00404432">
          <w:rPr>
            <w:rStyle w:val="Hyperlink"/>
            <w:szCs w:val="18"/>
          </w:rPr>
          <w:t>ACTU</w:t>
        </w:r>
      </w:hyperlink>
      <w:r w:rsidRPr="00404432">
        <w:rPr>
          <w:szCs w:val="18"/>
        </w:rPr>
        <w:t xml:space="preserve">, Submission, p 32; </w:t>
      </w:r>
      <w:hyperlink r:id="rId470" w:history="1">
        <w:r w:rsidRPr="00404432">
          <w:rPr>
            <w:rStyle w:val="Hyperlink"/>
            <w:szCs w:val="18"/>
          </w:rPr>
          <w:t>Centre for Future Work</w:t>
        </w:r>
      </w:hyperlink>
      <w:r w:rsidRPr="00404432">
        <w:rPr>
          <w:szCs w:val="18"/>
        </w:rPr>
        <w:t xml:space="preserve">, Submission, p 7; </w:t>
      </w:r>
      <w:hyperlink r:id="rId471" w:history="1">
        <w:r w:rsidRPr="00404432">
          <w:rPr>
            <w:rStyle w:val="Hyperlink"/>
            <w:szCs w:val="18"/>
          </w:rPr>
          <w:t>ANMF (Vic</w:t>
        </w:r>
        <w:r w:rsidRPr="00404432">
          <w:rPr>
            <w:rStyle w:val="Hyperlink"/>
          </w:rPr>
          <w:t xml:space="preserve"> Branch)</w:t>
        </w:r>
      </w:hyperlink>
      <w:r w:rsidRPr="00404432">
        <w:rPr>
          <w:szCs w:val="18"/>
        </w:rPr>
        <w:t xml:space="preserve">, Submission, p 5; </w:t>
      </w:r>
      <w:hyperlink r:id="rId472" w:history="1">
        <w:r>
          <w:rPr>
            <w:rStyle w:val="Hyperlink"/>
            <w:szCs w:val="18"/>
          </w:rPr>
          <w:t>Queensland Council</w:t>
        </w:r>
        <w:r w:rsidRPr="00404432">
          <w:rPr>
            <w:rStyle w:val="Hyperlink"/>
            <w:szCs w:val="18"/>
          </w:rPr>
          <w:t xml:space="preserve"> of Unions</w:t>
        </w:r>
      </w:hyperlink>
      <w:r w:rsidRPr="00404432">
        <w:rPr>
          <w:szCs w:val="18"/>
        </w:rPr>
        <w:t>, Submission, p 30.</w:t>
      </w:r>
    </w:p>
  </w:footnote>
  <w:footnote w:id="625">
    <w:p w14:paraId="76E6713D" w14:textId="77777777" w:rsidR="00E25C41" w:rsidRPr="00404432" w:rsidRDefault="00E25C41" w:rsidP="00E25C41">
      <w:pPr>
        <w:pStyle w:val="FootnoteText"/>
        <w:rPr>
          <w:rFonts w:cstheme="minorHAnsi"/>
          <w:szCs w:val="18"/>
        </w:rPr>
      </w:pPr>
      <w:r w:rsidRPr="00404432">
        <w:rPr>
          <w:rStyle w:val="FootnoteReference"/>
          <w:rFonts w:cstheme="minorHAnsi"/>
          <w:szCs w:val="18"/>
        </w:rPr>
        <w:footnoteRef/>
      </w:r>
      <w:r w:rsidRPr="00404432">
        <w:rPr>
          <w:rFonts w:cstheme="minorHAnsi"/>
          <w:szCs w:val="18"/>
        </w:rPr>
        <w:t xml:space="preserve"> </w:t>
      </w:r>
      <w:hyperlink r:id="rId473" w:history="1">
        <w:r w:rsidRPr="00404432">
          <w:rPr>
            <w:rStyle w:val="Hyperlink"/>
            <w:rFonts w:cstheme="minorHAnsi"/>
            <w:szCs w:val="18"/>
          </w:rPr>
          <w:t>ACTU</w:t>
        </w:r>
      </w:hyperlink>
      <w:r w:rsidRPr="00404432">
        <w:rPr>
          <w:rFonts w:cstheme="minorHAnsi"/>
          <w:szCs w:val="18"/>
        </w:rPr>
        <w:t>, Submission, p 8.</w:t>
      </w:r>
    </w:p>
  </w:footnote>
  <w:footnote w:id="626">
    <w:p w14:paraId="01931BCA" w14:textId="77777777" w:rsidR="00E25C41" w:rsidRPr="00404432" w:rsidRDefault="00E25C41" w:rsidP="00E25C41">
      <w:pPr>
        <w:pStyle w:val="FootnoteText"/>
        <w:rPr>
          <w:rFonts w:cstheme="minorHAnsi"/>
          <w:szCs w:val="18"/>
        </w:rPr>
      </w:pPr>
      <w:r w:rsidRPr="00404432">
        <w:rPr>
          <w:rStyle w:val="FootnoteReference"/>
          <w:rFonts w:cstheme="minorHAnsi"/>
          <w:szCs w:val="18"/>
        </w:rPr>
        <w:footnoteRef/>
      </w:r>
      <w:r w:rsidRPr="00404432">
        <w:rPr>
          <w:rFonts w:cstheme="minorHAnsi"/>
          <w:szCs w:val="18"/>
        </w:rPr>
        <w:t xml:space="preserve"> </w:t>
      </w:r>
      <w:hyperlink r:id="rId474" w:history="1">
        <w:r w:rsidRPr="00404432">
          <w:rPr>
            <w:rStyle w:val="Hyperlink"/>
            <w:rFonts w:cstheme="minorHAnsi"/>
            <w:szCs w:val="18"/>
          </w:rPr>
          <w:t>BCA</w:t>
        </w:r>
      </w:hyperlink>
      <w:r w:rsidRPr="00404432">
        <w:rPr>
          <w:rFonts w:cstheme="minorHAnsi"/>
          <w:szCs w:val="18"/>
        </w:rPr>
        <w:t>, Submission, pp 1–4.</w:t>
      </w:r>
    </w:p>
  </w:footnote>
  <w:footnote w:id="627">
    <w:p w14:paraId="039DB3C8" w14:textId="77777777" w:rsidR="00E25C41" w:rsidRPr="00404432" w:rsidRDefault="00E25C41" w:rsidP="00E25C41">
      <w:pPr>
        <w:pStyle w:val="FootnoteText"/>
        <w:rPr>
          <w:rFonts w:cstheme="minorHAnsi"/>
          <w:szCs w:val="18"/>
        </w:rPr>
      </w:pPr>
      <w:r w:rsidRPr="00404432">
        <w:rPr>
          <w:rStyle w:val="FootnoteReference"/>
          <w:rFonts w:cstheme="minorHAnsi"/>
          <w:szCs w:val="18"/>
        </w:rPr>
        <w:footnoteRef/>
      </w:r>
      <w:r w:rsidRPr="00404432">
        <w:rPr>
          <w:rFonts w:cstheme="minorHAnsi"/>
          <w:szCs w:val="18"/>
        </w:rPr>
        <w:t xml:space="preserve"> </w:t>
      </w:r>
      <w:hyperlink r:id="rId475" w:history="1">
        <w:r w:rsidRPr="00404432">
          <w:rPr>
            <w:rStyle w:val="Hyperlink"/>
            <w:rFonts w:cstheme="minorHAnsi"/>
            <w:szCs w:val="18"/>
          </w:rPr>
          <w:t>Australian Institute of Company Directors</w:t>
        </w:r>
      </w:hyperlink>
      <w:r w:rsidRPr="00404432">
        <w:rPr>
          <w:rFonts w:cstheme="minorHAnsi"/>
          <w:szCs w:val="18"/>
        </w:rPr>
        <w:t>, Submission, p 11.</w:t>
      </w:r>
    </w:p>
  </w:footnote>
  <w:footnote w:id="628">
    <w:p w14:paraId="5B4CCCE2" w14:textId="77777777" w:rsidR="0098197B" w:rsidRPr="00404432" w:rsidRDefault="0098197B" w:rsidP="0098197B">
      <w:pPr>
        <w:pStyle w:val="FootnoteText"/>
        <w:rPr>
          <w:rFonts w:cstheme="minorHAnsi"/>
          <w:szCs w:val="18"/>
        </w:rPr>
      </w:pPr>
      <w:r w:rsidRPr="00404432">
        <w:rPr>
          <w:rStyle w:val="FootnoteReference"/>
          <w:rFonts w:cstheme="minorHAnsi"/>
          <w:szCs w:val="18"/>
        </w:rPr>
        <w:footnoteRef/>
      </w:r>
      <w:r w:rsidRPr="00404432">
        <w:rPr>
          <w:rFonts w:cstheme="minorHAnsi"/>
          <w:szCs w:val="18"/>
        </w:rPr>
        <w:t xml:space="preserve"> </w:t>
      </w:r>
      <w:hyperlink r:id="rId476" w:history="1">
        <w:r w:rsidRPr="00404432">
          <w:rPr>
            <w:rStyle w:val="Hyperlink"/>
            <w:rFonts w:cstheme="minorHAnsi"/>
            <w:szCs w:val="18"/>
          </w:rPr>
          <w:t>Australian Industry Group</w:t>
        </w:r>
      </w:hyperlink>
      <w:r w:rsidRPr="00404432">
        <w:rPr>
          <w:rFonts w:cstheme="minorHAnsi"/>
          <w:szCs w:val="18"/>
        </w:rPr>
        <w:t>, Submission, p 16.</w:t>
      </w:r>
    </w:p>
  </w:footnote>
  <w:footnote w:id="629">
    <w:p w14:paraId="52CCFF43" w14:textId="77777777" w:rsidR="0047480E" w:rsidRPr="00404432" w:rsidRDefault="0047480E" w:rsidP="0047480E">
      <w:pPr>
        <w:pStyle w:val="FootnoteText"/>
      </w:pPr>
      <w:r w:rsidRPr="00404432">
        <w:rPr>
          <w:rStyle w:val="FootnoteReference"/>
        </w:rPr>
        <w:footnoteRef/>
      </w:r>
      <w:r w:rsidRPr="00404432">
        <w:t xml:space="preserve"> </w:t>
      </w:r>
      <w:hyperlink r:id="rId477" w:history="1">
        <w:r w:rsidRPr="00404432">
          <w:rPr>
            <w:rStyle w:val="Hyperlink"/>
            <w:szCs w:val="18"/>
          </w:rPr>
          <w:t>Australian Industry Group</w:t>
        </w:r>
      </w:hyperlink>
      <w:r w:rsidRPr="00404432">
        <w:rPr>
          <w:szCs w:val="18"/>
        </w:rPr>
        <w:t xml:space="preserve">, Submission, pp 14–16; Private, Submission #143, pp 1, 4; Private, Submission #119, pp 5–6, 9–10; </w:t>
      </w:r>
      <w:hyperlink r:id="rId478" w:history="1">
        <w:r w:rsidRPr="00404432">
          <w:rPr>
            <w:rStyle w:val="Hyperlink"/>
            <w:szCs w:val="18"/>
          </w:rPr>
          <w:t>Australian Retailers Association and National Retail Association</w:t>
        </w:r>
      </w:hyperlink>
      <w:r w:rsidRPr="00404432">
        <w:rPr>
          <w:szCs w:val="18"/>
        </w:rPr>
        <w:t>, Submission, pp 1–4;</w:t>
      </w:r>
      <w:r>
        <w:rPr>
          <w:szCs w:val="18"/>
        </w:rPr>
        <w:t xml:space="preserve"> </w:t>
      </w:r>
      <w:hyperlink r:id="rId479" w:history="1">
        <w:r w:rsidRPr="0067680D">
          <w:rPr>
            <w:rStyle w:val="Hyperlink"/>
            <w:szCs w:val="18"/>
          </w:rPr>
          <w:t>ACFA</w:t>
        </w:r>
      </w:hyperlink>
      <w:r>
        <w:rPr>
          <w:szCs w:val="18"/>
        </w:rPr>
        <w:t>,</w:t>
      </w:r>
      <w:r>
        <w:t xml:space="preserve"> </w:t>
      </w:r>
      <w:r>
        <w:rPr>
          <w:szCs w:val="18"/>
        </w:rPr>
        <w:t>S</w:t>
      </w:r>
      <w:r w:rsidRPr="00CD7EEA">
        <w:rPr>
          <w:szCs w:val="18"/>
        </w:rPr>
        <w:t>ubmission</w:t>
      </w:r>
      <w:r w:rsidRPr="00404432">
        <w:rPr>
          <w:szCs w:val="18"/>
        </w:rPr>
        <w:t>, pp 1–18.</w:t>
      </w:r>
    </w:p>
  </w:footnote>
  <w:footnote w:id="630">
    <w:p w14:paraId="64027B45" w14:textId="77777777" w:rsidR="0017077D" w:rsidRPr="00404432" w:rsidRDefault="0017077D" w:rsidP="0017077D">
      <w:pPr>
        <w:pStyle w:val="FootnoteText"/>
      </w:pPr>
      <w:r w:rsidRPr="00404432">
        <w:rPr>
          <w:rStyle w:val="FootnoteReference"/>
        </w:rPr>
        <w:footnoteRef/>
      </w:r>
      <w:r w:rsidRPr="00404432">
        <w:t xml:space="preserve"> </w:t>
      </w:r>
      <w:hyperlink r:id="rId480" w:history="1">
        <w:r w:rsidRPr="00404432">
          <w:rPr>
            <w:rStyle w:val="Hyperlink"/>
            <w:szCs w:val="18"/>
          </w:rPr>
          <w:t>MBA</w:t>
        </w:r>
      </w:hyperlink>
      <w:r w:rsidRPr="00404432">
        <w:rPr>
          <w:szCs w:val="18"/>
        </w:rPr>
        <w:t>, Submission, p 5.</w:t>
      </w:r>
    </w:p>
  </w:footnote>
  <w:footnote w:id="631">
    <w:p w14:paraId="4E3FF4CF" w14:textId="77777777" w:rsidR="0017077D" w:rsidRPr="00404432" w:rsidRDefault="0017077D" w:rsidP="0017077D">
      <w:pPr>
        <w:pStyle w:val="FootnoteText"/>
      </w:pPr>
      <w:r w:rsidRPr="00404432">
        <w:rPr>
          <w:rStyle w:val="FootnoteReference"/>
        </w:rPr>
        <w:footnoteRef/>
      </w:r>
      <w:r w:rsidRPr="00404432">
        <w:t xml:space="preserve"> </w:t>
      </w:r>
      <w:hyperlink r:id="rId481" w:history="1">
        <w:r w:rsidRPr="00404432">
          <w:rPr>
            <w:rStyle w:val="Hyperlink"/>
            <w:rFonts w:cstheme="minorHAnsi"/>
            <w:szCs w:val="18"/>
          </w:rPr>
          <w:t>SafeWork NSW</w:t>
        </w:r>
      </w:hyperlink>
      <w:r w:rsidRPr="00404432">
        <w:rPr>
          <w:rFonts w:cstheme="minorHAnsi"/>
          <w:szCs w:val="18"/>
        </w:rPr>
        <w:t>, Submission, pp 12–13.</w:t>
      </w:r>
    </w:p>
  </w:footnote>
  <w:footnote w:id="632">
    <w:p w14:paraId="5D5210A5" w14:textId="1806382A" w:rsidR="008F65E4" w:rsidRPr="00404432" w:rsidRDefault="008F65E4" w:rsidP="008F65E4">
      <w:pPr>
        <w:pStyle w:val="FootnoteText"/>
        <w:rPr>
          <w:rFonts w:cstheme="minorHAnsi"/>
          <w:szCs w:val="18"/>
        </w:rPr>
      </w:pPr>
      <w:r w:rsidRPr="00404432">
        <w:rPr>
          <w:rStyle w:val="FootnoteReference"/>
          <w:rFonts w:cstheme="minorHAnsi"/>
          <w:szCs w:val="18"/>
        </w:rPr>
        <w:footnoteRef/>
      </w:r>
      <w:r w:rsidRPr="00404432">
        <w:rPr>
          <w:rFonts w:cstheme="minorHAnsi"/>
          <w:szCs w:val="18"/>
        </w:rPr>
        <w:t xml:space="preserve"> Safe Work Australia</w:t>
      </w:r>
      <w:r w:rsidRPr="00105531">
        <w:rPr>
          <w:rFonts w:cstheme="minorHAnsi"/>
          <w:szCs w:val="18"/>
        </w:rPr>
        <w:t xml:space="preserve">, </w:t>
      </w:r>
      <w:hyperlink r:id="rId482" w:history="1">
        <w:r w:rsidRPr="00105531">
          <w:rPr>
            <w:rStyle w:val="Hyperlink"/>
            <w:rFonts w:cstheme="minorHAnsi"/>
            <w:i/>
            <w:iCs/>
            <w:szCs w:val="18"/>
          </w:rPr>
          <w:t xml:space="preserve">Review of the </w:t>
        </w:r>
        <w:r w:rsidR="00E966DB">
          <w:rPr>
            <w:rStyle w:val="Hyperlink"/>
            <w:rFonts w:cstheme="minorHAnsi"/>
            <w:i/>
            <w:iCs/>
            <w:szCs w:val="18"/>
          </w:rPr>
          <w:t>M</w:t>
        </w:r>
        <w:r w:rsidRPr="00105531">
          <w:rPr>
            <w:rStyle w:val="Hyperlink"/>
            <w:rFonts w:cstheme="minorHAnsi"/>
            <w:i/>
            <w:iCs/>
            <w:szCs w:val="18"/>
          </w:rPr>
          <w:t>odel Work Heal</w:t>
        </w:r>
        <w:bookmarkStart w:id="104" w:name="_Hlt236142315"/>
        <w:bookmarkStart w:id="105" w:name="_Hlt236142316"/>
        <w:bookmarkEnd w:id="104"/>
        <w:bookmarkEnd w:id="105"/>
        <w:r w:rsidRPr="00105531">
          <w:rPr>
            <w:rStyle w:val="Hyperlink"/>
            <w:rFonts w:cstheme="minorHAnsi"/>
            <w:i/>
            <w:iCs/>
            <w:szCs w:val="18"/>
          </w:rPr>
          <w:t xml:space="preserve">th and Safety </w:t>
        </w:r>
        <w:r w:rsidR="00E966DB">
          <w:rPr>
            <w:rStyle w:val="Hyperlink"/>
            <w:rFonts w:cstheme="minorHAnsi"/>
            <w:i/>
            <w:iCs/>
            <w:szCs w:val="18"/>
          </w:rPr>
          <w:t>L</w:t>
        </w:r>
        <w:r w:rsidRPr="00105531">
          <w:rPr>
            <w:rStyle w:val="Hyperlink"/>
            <w:rFonts w:cstheme="minorHAnsi"/>
            <w:i/>
            <w:iCs/>
            <w:szCs w:val="18"/>
          </w:rPr>
          <w:t>aws: Final report</w:t>
        </w:r>
      </w:hyperlink>
      <w:r w:rsidRPr="00404432">
        <w:rPr>
          <w:rFonts w:cstheme="minorHAnsi"/>
          <w:szCs w:val="18"/>
        </w:rPr>
        <w:t xml:space="preserve">, </w:t>
      </w:r>
      <w:r>
        <w:rPr>
          <w:rFonts w:cstheme="minorHAnsi"/>
          <w:szCs w:val="18"/>
        </w:rPr>
        <w:t xml:space="preserve">Safe Work Australia, </w:t>
      </w:r>
      <w:r w:rsidRPr="00404432">
        <w:rPr>
          <w:rFonts w:cstheme="minorHAnsi"/>
          <w:szCs w:val="18"/>
        </w:rPr>
        <w:t>2018</w:t>
      </w:r>
      <w:r w:rsidR="00E966DB">
        <w:rPr>
          <w:rFonts w:cstheme="minorHAnsi"/>
          <w:szCs w:val="18"/>
        </w:rPr>
        <w:t>,</w:t>
      </w:r>
      <w:r w:rsidRPr="00404432">
        <w:rPr>
          <w:rFonts w:cstheme="minorHAnsi"/>
          <w:szCs w:val="18"/>
        </w:rPr>
        <w:t xml:space="preserve"> p 12.</w:t>
      </w:r>
    </w:p>
  </w:footnote>
  <w:footnote w:id="633">
    <w:p w14:paraId="1AD26097" w14:textId="77777777" w:rsidR="006121B3" w:rsidRPr="00404432" w:rsidRDefault="006121B3" w:rsidP="006121B3">
      <w:pPr>
        <w:pStyle w:val="FootnoteText"/>
        <w:rPr>
          <w:rFonts w:cstheme="minorHAnsi"/>
          <w:szCs w:val="18"/>
        </w:rPr>
      </w:pPr>
      <w:r w:rsidRPr="00404432">
        <w:rPr>
          <w:rStyle w:val="FootnoteReference"/>
          <w:rFonts w:cstheme="minorHAnsi"/>
          <w:szCs w:val="18"/>
        </w:rPr>
        <w:footnoteRef/>
      </w:r>
      <w:r w:rsidRPr="00404432">
        <w:rPr>
          <w:rFonts w:cstheme="minorHAnsi"/>
          <w:szCs w:val="18"/>
        </w:rPr>
        <w:t xml:space="preserve"> </w:t>
      </w:r>
      <w:hyperlink r:id="rId483" w:history="1">
        <w:r w:rsidRPr="00404432">
          <w:rPr>
            <w:rStyle w:val="Hyperlink"/>
            <w:rFonts w:cstheme="minorHAnsi"/>
            <w:szCs w:val="18"/>
          </w:rPr>
          <w:t>MBA</w:t>
        </w:r>
      </w:hyperlink>
      <w:r w:rsidRPr="00404432">
        <w:rPr>
          <w:rFonts w:cstheme="minorHAnsi"/>
          <w:szCs w:val="18"/>
        </w:rPr>
        <w:t>, Submission, p 23.</w:t>
      </w:r>
    </w:p>
  </w:footnote>
  <w:footnote w:id="634">
    <w:p w14:paraId="0AD43838" w14:textId="30FBD985" w:rsidR="001F4902" w:rsidRPr="00404432" w:rsidRDefault="001F4902" w:rsidP="001F4902">
      <w:pPr>
        <w:pStyle w:val="FootnoteText"/>
      </w:pPr>
      <w:r w:rsidRPr="00404432">
        <w:rPr>
          <w:rStyle w:val="FootnoteReference"/>
        </w:rPr>
        <w:footnoteRef/>
      </w:r>
      <w:r w:rsidRPr="00404432">
        <w:t xml:space="preserve"> T Philbeck and N Davis, </w:t>
      </w:r>
      <w:r w:rsidRPr="00805ED4" w:rsidDel="00805ED4">
        <w:t>‘</w:t>
      </w:r>
      <w:hyperlink r:id="rId484" w:history="1">
        <w:r w:rsidRPr="00E0258F">
          <w:rPr>
            <w:rStyle w:val="Hyperlink"/>
          </w:rPr>
          <w:t xml:space="preserve">The </w:t>
        </w:r>
        <w:r>
          <w:rPr>
            <w:rStyle w:val="Hyperlink"/>
          </w:rPr>
          <w:t>F</w:t>
        </w:r>
        <w:r w:rsidRPr="00CC6E82">
          <w:rPr>
            <w:rStyle w:val="Hyperlink"/>
          </w:rPr>
          <w:t xml:space="preserve">ourth </w:t>
        </w:r>
        <w:r>
          <w:rPr>
            <w:rStyle w:val="Hyperlink"/>
          </w:rPr>
          <w:t>I</w:t>
        </w:r>
        <w:r w:rsidRPr="00CC6E82">
          <w:rPr>
            <w:rStyle w:val="Hyperlink"/>
            <w:i/>
            <w:iCs/>
          </w:rPr>
          <w:t xml:space="preserve">ndustrial </w:t>
        </w:r>
        <w:r>
          <w:rPr>
            <w:rStyle w:val="Hyperlink"/>
          </w:rPr>
          <w:t>R</w:t>
        </w:r>
        <w:r w:rsidRPr="00CC6E82">
          <w:rPr>
            <w:rStyle w:val="Hyperlink"/>
          </w:rPr>
          <w:t xml:space="preserve">evolution: </w:t>
        </w:r>
        <w:r>
          <w:rPr>
            <w:rStyle w:val="Hyperlink"/>
          </w:rPr>
          <w:t>S</w:t>
        </w:r>
        <w:r w:rsidRPr="00CC6E82">
          <w:rPr>
            <w:rStyle w:val="Hyperlink"/>
          </w:rPr>
          <w:t xml:space="preserve">haping a </w:t>
        </w:r>
        <w:r w:rsidR="00E966DB">
          <w:rPr>
            <w:rStyle w:val="Hyperlink"/>
          </w:rPr>
          <w:t>n</w:t>
        </w:r>
        <w:r w:rsidRPr="00CC6E82">
          <w:rPr>
            <w:rStyle w:val="Hyperlink"/>
          </w:rPr>
          <w:t xml:space="preserve">ew </w:t>
        </w:r>
        <w:r w:rsidR="00E966DB">
          <w:rPr>
            <w:rStyle w:val="Hyperlink"/>
          </w:rPr>
          <w:t>e</w:t>
        </w:r>
        <w:r w:rsidRPr="00CC6E82">
          <w:rPr>
            <w:rStyle w:val="Hyperlink"/>
          </w:rPr>
          <w:t>ra</w:t>
        </w:r>
      </w:hyperlink>
      <w:r w:rsidRPr="00404432">
        <w:t xml:space="preserve">’, </w:t>
      </w:r>
      <w:r w:rsidRPr="00E0258F">
        <w:rPr>
          <w:i/>
        </w:rPr>
        <w:t>Journal of International Affairs</w:t>
      </w:r>
      <w:r w:rsidRPr="00404432">
        <w:t>, Fall 2018</w:t>
      </w:r>
      <w:r>
        <w:t xml:space="preserve"> </w:t>
      </w:r>
      <w:r w:rsidRPr="00404432">
        <w:t>/</w:t>
      </w:r>
      <w:r>
        <w:t xml:space="preserve"> </w:t>
      </w:r>
      <w:r w:rsidRPr="00404432">
        <w:t>Winter 2019, 72(1</w:t>
      </w:r>
      <w:r w:rsidRPr="00F83DFE">
        <w:t>):17–22</w:t>
      </w:r>
      <w:r w:rsidRPr="00404432">
        <w:t xml:space="preserve">; Organisation for Economic Co-operation and Development, </w:t>
      </w:r>
      <w:hyperlink r:id="rId485" w:history="1">
        <w:r w:rsidRPr="00404432">
          <w:rPr>
            <w:rStyle w:val="Hyperlink"/>
            <w:i/>
          </w:rPr>
          <w:t xml:space="preserve">Using AI in the </w:t>
        </w:r>
        <w:r>
          <w:rPr>
            <w:rStyle w:val="Hyperlink"/>
            <w:i/>
          </w:rPr>
          <w:t>w</w:t>
        </w:r>
        <w:r w:rsidRPr="00404432">
          <w:rPr>
            <w:rStyle w:val="Hyperlink"/>
            <w:i/>
          </w:rPr>
          <w:t xml:space="preserve">orkplace: </w:t>
        </w:r>
        <w:r>
          <w:rPr>
            <w:rStyle w:val="Hyperlink"/>
            <w:i/>
          </w:rPr>
          <w:t>O</w:t>
        </w:r>
        <w:r w:rsidRPr="00404432">
          <w:rPr>
            <w:rStyle w:val="Hyperlink"/>
            <w:i/>
          </w:rPr>
          <w:t xml:space="preserve">pportunities, </w:t>
        </w:r>
        <w:r w:rsidR="00E966DB">
          <w:rPr>
            <w:rStyle w:val="Hyperlink"/>
            <w:i/>
          </w:rPr>
          <w:t>r</w:t>
        </w:r>
        <w:r w:rsidRPr="00404432">
          <w:rPr>
            <w:rStyle w:val="Hyperlink"/>
            <w:i/>
          </w:rPr>
          <w:t xml:space="preserve">isks and </w:t>
        </w:r>
        <w:r w:rsidR="00E966DB">
          <w:rPr>
            <w:rStyle w:val="Hyperlink"/>
            <w:i/>
          </w:rPr>
          <w:t>p</w:t>
        </w:r>
        <w:r w:rsidRPr="00404432">
          <w:rPr>
            <w:rStyle w:val="Hyperlink"/>
            <w:i/>
          </w:rPr>
          <w:t xml:space="preserve">olicy </w:t>
        </w:r>
        <w:r w:rsidR="00E966DB">
          <w:rPr>
            <w:rStyle w:val="Hyperlink"/>
            <w:i/>
          </w:rPr>
          <w:t>r</w:t>
        </w:r>
        <w:r w:rsidRPr="00404432">
          <w:rPr>
            <w:rStyle w:val="Hyperlink"/>
            <w:i/>
          </w:rPr>
          <w:t>esponses</w:t>
        </w:r>
      </w:hyperlink>
      <w:r w:rsidRPr="00404432">
        <w:t xml:space="preserve">, </w:t>
      </w:r>
      <w:r>
        <w:t xml:space="preserve">OECD, </w:t>
      </w:r>
      <w:r w:rsidRPr="00404432">
        <w:t>March 2024, accessed 13 May 2026, p 3.</w:t>
      </w:r>
    </w:p>
  </w:footnote>
  <w:footnote w:id="635">
    <w:p w14:paraId="5CD671FA" w14:textId="77777777" w:rsidR="001F4902" w:rsidRPr="00404432" w:rsidRDefault="001F4902" w:rsidP="001F4902">
      <w:pPr>
        <w:pStyle w:val="FootnoteText"/>
      </w:pPr>
      <w:r w:rsidRPr="00404432">
        <w:rPr>
          <w:rStyle w:val="FootnoteReference"/>
        </w:rPr>
        <w:footnoteRef/>
      </w:r>
      <w:r w:rsidRPr="00404432">
        <w:t xml:space="preserve"> </w:t>
      </w:r>
      <w:r w:rsidRPr="00404432">
        <w:rPr>
          <w:rFonts w:cstheme="minorHAnsi"/>
          <w:szCs w:val="18"/>
        </w:rPr>
        <w:t xml:space="preserve">Senate Select Committee on Adopting Artificial Intelligence, </w:t>
      </w:r>
      <w:hyperlink r:id="rId486" w:history="1">
        <w:r w:rsidRPr="00404432">
          <w:rPr>
            <w:rStyle w:val="Hyperlink"/>
            <w:rFonts w:cstheme="minorHAnsi"/>
            <w:i/>
            <w:szCs w:val="18"/>
          </w:rPr>
          <w:t>Final report</w:t>
        </w:r>
      </w:hyperlink>
      <w:r w:rsidRPr="00404432">
        <w:t xml:space="preserve">, </w:t>
      </w:r>
      <w:r>
        <w:t xml:space="preserve">Australian Government, </w:t>
      </w:r>
      <w:r w:rsidRPr="00404432">
        <w:t>2024,</w:t>
      </w:r>
      <w:r w:rsidRPr="00404432" w:rsidDel="00805ED4">
        <w:t xml:space="preserve"> </w:t>
      </w:r>
      <w:r w:rsidRPr="00404432">
        <w:t>accessed 18 May 2026, p 113.</w:t>
      </w:r>
    </w:p>
  </w:footnote>
  <w:footnote w:id="636">
    <w:p w14:paraId="29DF77E3" w14:textId="2ECECEF7" w:rsidR="001F4902" w:rsidRPr="00404432" w:rsidRDefault="001F4902" w:rsidP="001F4902">
      <w:pPr>
        <w:pStyle w:val="FootnoteText"/>
        <w:rPr>
          <w:rFonts w:cstheme="minorHAnsi"/>
          <w:szCs w:val="18"/>
        </w:rPr>
      </w:pPr>
      <w:r w:rsidRPr="00404432">
        <w:rPr>
          <w:rStyle w:val="FootnoteReference"/>
          <w:rFonts w:cstheme="minorHAnsi"/>
          <w:szCs w:val="18"/>
        </w:rPr>
        <w:footnoteRef/>
      </w:r>
      <w:r w:rsidRPr="00404432">
        <w:rPr>
          <w:rFonts w:cstheme="minorHAnsi"/>
          <w:szCs w:val="18"/>
        </w:rPr>
        <w:t xml:space="preserve"> Australian Cyber Security Centre, </w:t>
      </w:r>
      <w:hyperlink r:id="rId487" w:history="1">
        <w:r w:rsidRPr="00404432">
          <w:rPr>
            <w:rStyle w:val="Hyperlink"/>
            <w:rFonts w:cstheme="minorHAnsi"/>
            <w:i/>
            <w:szCs w:val="18"/>
          </w:rPr>
          <w:t>Engaging with</w:t>
        </w:r>
        <w:r>
          <w:rPr>
            <w:rStyle w:val="Hyperlink"/>
            <w:rFonts w:cstheme="minorHAnsi"/>
            <w:i/>
            <w:szCs w:val="18"/>
          </w:rPr>
          <w:t xml:space="preserve"> a</w:t>
        </w:r>
        <w:r w:rsidRPr="00404432">
          <w:rPr>
            <w:rStyle w:val="Hyperlink"/>
            <w:rFonts w:cstheme="minorHAnsi"/>
            <w:i/>
            <w:szCs w:val="18"/>
          </w:rPr>
          <w:t xml:space="preserve">rtificial </w:t>
        </w:r>
        <w:r>
          <w:rPr>
            <w:rStyle w:val="Hyperlink"/>
            <w:rFonts w:cstheme="minorHAnsi"/>
            <w:i/>
            <w:szCs w:val="18"/>
          </w:rPr>
          <w:t>i</w:t>
        </w:r>
        <w:r w:rsidRPr="00404432">
          <w:rPr>
            <w:rStyle w:val="Hyperlink"/>
            <w:rFonts w:cstheme="minorHAnsi"/>
            <w:i/>
            <w:szCs w:val="18"/>
          </w:rPr>
          <w:t>ntelligence (AI)</w:t>
        </w:r>
      </w:hyperlink>
      <w:r w:rsidRPr="00404432">
        <w:rPr>
          <w:rFonts w:cstheme="minorHAnsi"/>
          <w:szCs w:val="18"/>
        </w:rPr>
        <w:t>,</w:t>
      </w:r>
      <w:r w:rsidRPr="00404432" w:rsidDel="00805ED4">
        <w:rPr>
          <w:rFonts w:cstheme="minorHAnsi"/>
          <w:szCs w:val="18"/>
        </w:rPr>
        <w:t xml:space="preserve"> </w:t>
      </w:r>
      <w:r w:rsidRPr="00404432">
        <w:rPr>
          <w:rFonts w:cstheme="minorHAnsi"/>
          <w:szCs w:val="18"/>
        </w:rPr>
        <w:t>Australian Signals Directorate, 2024, accessed 24</w:t>
      </w:r>
      <w:r w:rsidR="00A25600">
        <w:rPr>
          <w:rFonts w:cstheme="minorHAnsi"/>
          <w:szCs w:val="18"/>
        </w:rPr>
        <w:t> </w:t>
      </w:r>
      <w:r w:rsidRPr="00404432">
        <w:rPr>
          <w:rFonts w:cstheme="minorHAnsi"/>
          <w:szCs w:val="18"/>
        </w:rPr>
        <w:t>April 2026, p 5; Department of Industry, Science and Resources</w:t>
      </w:r>
      <w:r>
        <w:rPr>
          <w:rFonts w:cstheme="minorHAnsi"/>
          <w:szCs w:val="18"/>
        </w:rPr>
        <w:t>,</w:t>
      </w:r>
      <w:r w:rsidRPr="00404432">
        <w:rPr>
          <w:rFonts w:cstheme="minorHAnsi"/>
          <w:szCs w:val="18"/>
        </w:rPr>
        <w:t xml:space="preserve"> </w:t>
      </w:r>
      <w:hyperlink r:id="rId488" w:history="1">
        <w:r w:rsidRPr="00404432">
          <w:rPr>
            <w:rStyle w:val="Hyperlink"/>
            <w:rFonts w:cstheme="minorHAnsi"/>
            <w:i/>
            <w:szCs w:val="18"/>
          </w:rPr>
          <w:t>Terms and definitions</w:t>
        </w:r>
      </w:hyperlink>
      <w:r w:rsidRPr="00404432">
        <w:rPr>
          <w:szCs w:val="18"/>
        </w:rPr>
        <w:t>,</w:t>
      </w:r>
      <w:r w:rsidRPr="00404432">
        <w:rPr>
          <w:rFonts w:cstheme="minorHAnsi"/>
          <w:szCs w:val="18"/>
        </w:rPr>
        <w:t xml:space="preserve"> </w:t>
      </w:r>
      <w:r>
        <w:rPr>
          <w:rFonts w:cstheme="minorHAnsi"/>
          <w:szCs w:val="18"/>
        </w:rPr>
        <w:t xml:space="preserve">Australian Government, </w:t>
      </w:r>
      <w:r w:rsidRPr="00404432">
        <w:rPr>
          <w:rFonts w:cstheme="minorHAnsi"/>
          <w:szCs w:val="18"/>
        </w:rPr>
        <w:t>2025, accessed 24 April 2026.</w:t>
      </w:r>
    </w:p>
  </w:footnote>
  <w:footnote w:id="637">
    <w:p w14:paraId="7D0700CD" w14:textId="16A4745D" w:rsidR="001F4902" w:rsidRPr="00404432" w:rsidRDefault="001F4902" w:rsidP="001F4902">
      <w:pPr>
        <w:spacing w:after="0" w:line="240" w:lineRule="auto"/>
        <w:rPr>
          <w:rFonts w:asciiTheme="minorHAnsi" w:hAnsiTheme="minorHAnsi" w:cstheme="minorHAnsi"/>
          <w:sz w:val="18"/>
          <w:szCs w:val="18"/>
        </w:rPr>
      </w:pPr>
      <w:r w:rsidRPr="00404432">
        <w:rPr>
          <w:rStyle w:val="FootnoteReference"/>
          <w:rFonts w:asciiTheme="minorHAnsi" w:hAnsiTheme="minorHAnsi" w:cstheme="minorHAnsi"/>
          <w:sz w:val="18"/>
          <w:szCs w:val="18"/>
        </w:rPr>
        <w:footnoteRef/>
      </w:r>
      <w:r w:rsidRPr="00404432">
        <w:rPr>
          <w:rFonts w:asciiTheme="minorHAnsi" w:hAnsiTheme="minorHAnsi" w:cstheme="minorHAnsi"/>
          <w:sz w:val="18"/>
          <w:szCs w:val="18"/>
        </w:rPr>
        <w:t xml:space="preserve"> C Stryker, </w:t>
      </w:r>
      <w:hyperlink r:id="rId489" w:history="1">
        <w:r w:rsidRPr="00404432">
          <w:rPr>
            <w:rStyle w:val="Hyperlink"/>
            <w:rFonts w:asciiTheme="minorHAnsi" w:hAnsiTheme="minorHAnsi" w:cstheme="minorHAnsi"/>
            <w:i/>
            <w:sz w:val="18"/>
            <w:szCs w:val="18"/>
          </w:rPr>
          <w:t>What is agentic AI?</w:t>
        </w:r>
        <w:r>
          <w:rPr>
            <w:rStyle w:val="Hyperlink"/>
            <w:rFonts w:asciiTheme="minorHAnsi" w:hAnsiTheme="minorHAnsi" w:cstheme="minorHAnsi"/>
            <w:iCs/>
            <w:sz w:val="18"/>
            <w:szCs w:val="18"/>
          </w:rPr>
          <w:t>,</w:t>
        </w:r>
        <w:r w:rsidRPr="00404432" w:rsidDel="00811850">
          <w:rPr>
            <w:rStyle w:val="Hyperlink"/>
            <w:rFonts w:asciiTheme="minorHAnsi" w:hAnsiTheme="minorHAnsi" w:cstheme="minorHAnsi"/>
            <w:sz w:val="18"/>
            <w:szCs w:val="18"/>
          </w:rPr>
          <w:t xml:space="preserve"> </w:t>
        </w:r>
      </w:hyperlink>
      <w:r>
        <w:t xml:space="preserve"> </w:t>
      </w:r>
      <w:r>
        <w:rPr>
          <w:rFonts w:asciiTheme="minorHAnsi" w:hAnsiTheme="minorHAnsi" w:cstheme="minorHAnsi"/>
          <w:sz w:val="18"/>
          <w:szCs w:val="18"/>
        </w:rPr>
        <w:t xml:space="preserve">IBM, </w:t>
      </w:r>
      <w:r w:rsidRPr="00404432">
        <w:rPr>
          <w:rFonts w:asciiTheme="minorHAnsi" w:hAnsiTheme="minorHAnsi" w:cstheme="minorHAnsi"/>
          <w:sz w:val="18"/>
          <w:szCs w:val="18"/>
        </w:rPr>
        <w:t>n.d., accessed 30 April 2026.</w:t>
      </w:r>
    </w:p>
  </w:footnote>
  <w:footnote w:id="638">
    <w:p w14:paraId="3B90053B" w14:textId="77777777" w:rsidR="001F4902" w:rsidRPr="00404432" w:rsidRDefault="001F4902" w:rsidP="001F4902">
      <w:pPr>
        <w:pStyle w:val="FootnoteText"/>
        <w:rPr>
          <w:rFonts w:cstheme="minorHAnsi"/>
          <w:szCs w:val="18"/>
        </w:rPr>
      </w:pPr>
      <w:r w:rsidRPr="00404432">
        <w:rPr>
          <w:rStyle w:val="FootnoteReference"/>
          <w:rFonts w:cstheme="minorHAnsi"/>
          <w:szCs w:val="18"/>
        </w:rPr>
        <w:footnoteRef/>
      </w:r>
      <w:r w:rsidRPr="00404432">
        <w:rPr>
          <w:rFonts w:cstheme="minorHAnsi"/>
          <w:szCs w:val="18"/>
        </w:rPr>
        <w:t xml:space="preserve"> B Abbott, </w:t>
      </w:r>
      <w:hyperlink r:id="rId490" w:history="1">
        <w:r w:rsidRPr="00404432">
          <w:rPr>
            <w:rStyle w:val="Hyperlink"/>
            <w:rFonts w:cstheme="minorHAnsi"/>
            <w:i/>
            <w:szCs w:val="18"/>
          </w:rPr>
          <w:t>Australian enterprises coming 4th in 2024 Global Survey of Generative AI Usage</w:t>
        </w:r>
      </w:hyperlink>
      <w:r w:rsidRPr="00404432">
        <w:rPr>
          <w:rFonts w:cstheme="minorHAnsi"/>
          <w:szCs w:val="18"/>
        </w:rPr>
        <w:t>, TechRepublic, August 2024, accessed 10 April 2026.</w:t>
      </w:r>
    </w:p>
  </w:footnote>
  <w:footnote w:id="639">
    <w:p w14:paraId="1F256EA5" w14:textId="77777777" w:rsidR="001F4902" w:rsidRPr="00404432" w:rsidRDefault="001F4902" w:rsidP="001F4902">
      <w:pPr>
        <w:pStyle w:val="FootnoteText"/>
        <w:rPr>
          <w:rFonts w:cstheme="minorHAnsi"/>
          <w:szCs w:val="18"/>
        </w:rPr>
      </w:pPr>
      <w:r w:rsidRPr="00404432">
        <w:rPr>
          <w:rStyle w:val="FootnoteReference"/>
          <w:rFonts w:cstheme="minorHAnsi"/>
          <w:szCs w:val="18"/>
        </w:rPr>
        <w:footnoteRef/>
      </w:r>
      <w:r w:rsidRPr="00404432">
        <w:rPr>
          <w:rFonts w:cstheme="minorHAnsi"/>
          <w:szCs w:val="18"/>
        </w:rPr>
        <w:t xml:space="preserve"> Microsoft and LinkedIn, </w:t>
      </w:r>
      <w:hyperlink r:id="rId491" w:history="1">
        <w:r w:rsidRPr="00404432">
          <w:rPr>
            <w:rStyle w:val="Hyperlink"/>
            <w:rFonts w:cstheme="minorHAnsi"/>
            <w:i/>
            <w:szCs w:val="18"/>
          </w:rPr>
          <w:t>Work Trend Index 2024</w:t>
        </w:r>
      </w:hyperlink>
      <w:r w:rsidRPr="00404432">
        <w:rPr>
          <w:rFonts w:cstheme="minorHAnsi"/>
          <w:szCs w:val="18"/>
        </w:rPr>
        <w:t>, May 2024, accessed 10 April 2026.</w:t>
      </w:r>
    </w:p>
  </w:footnote>
  <w:footnote w:id="640">
    <w:p w14:paraId="7A126AFB" w14:textId="145F8F4A" w:rsidR="001F4902" w:rsidRPr="00404432" w:rsidRDefault="001F4902" w:rsidP="001F4902">
      <w:pPr>
        <w:pStyle w:val="FootnoteText"/>
        <w:rPr>
          <w:szCs w:val="18"/>
        </w:rPr>
      </w:pPr>
      <w:r w:rsidRPr="00404432">
        <w:rPr>
          <w:rStyle w:val="FootnoteReference"/>
          <w:szCs w:val="18"/>
        </w:rPr>
        <w:footnoteRef/>
      </w:r>
      <w:r w:rsidRPr="00404432">
        <w:rPr>
          <w:szCs w:val="18"/>
        </w:rPr>
        <w:t xml:space="preserve"> Productivity Commission, </w:t>
      </w:r>
      <w:hyperlink r:id="rId492" w:history="1">
        <w:r w:rsidRPr="00404432">
          <w:rPr>
            <w:rStyle w:val="Hyperlink"/>
            <w:i/>
            <w:szCs w:val="18"/>
          </w:rPr>
          <w:t>Harnessing data and digital technology: Inquiry report</w:t>
        </w:r>
      </w:hyperlink>
      <w:r w:rsidRPr="00404432">
        <w:rPr>
          <w:szCs w:val="18"/>
        </w:rPr>
        <w:t xml:space="preserve">, </w:t>
      </w:r>
      <w:r>
        <w:rPr>
          <w:szCs w:val="18"/>
        </w:rPr>
        <w:t xml:space="preserve">Productivity Commission, </w:t>
      </w:r>
      <w:r w:rsidRPr="00404432">
        <w:rPr>
          <w:szCs w:val="18"/>
        </w:rPr>
        <w:t>2025, pp 2, 80</w:t>
      </w:r>
      <w:r>
        <w:rPr>
          <w:szCs w:val="18"/>
        </w:rPr>
        <w:t>,</w:t>
      </w:r>
      <w:r w:rsidRPr="00404432" w:rsidDel="00805ED4">
        <w:rPr>
          <w:szCs w:val="18"/>
        </w:rPr>
        <w:t xml:space="preserve"> </w:t>
      </w:r>
      <w:r w:rsidRPr="00404432">
        <w:rPr>
          <w:szCs w:val="18"/>
        </w:rPr>
        <w:t>accessed 18 May 2026.</w:t>
      </w:r>
    </w:p>
  </w:footnote>
  <w:footnote w:id="641">
    <w:p w14:paraId="2F9F247B" w14:textId="0631EE2A" w:rsidR="001F4902" w:rsidRPr="00404432" w:rsidRDefault="001F4902" w:rsidP="001F4902">
      <w:pPr>
        <w:pStyle w:val="FootnoteText"/>
        <w:rPr>
          <w:szCs w:val="18"/>
        </w:rPr>
      </w:pPr>
      <w:r w:rsidRPr="00404432">
        <w:rPr>
          <w:rStyle w:val="FootnoteReference"/>
          <w:szCs w:val="18"/>
        </w:rPr>
        <w:footnoteRef/>
      </w:r>
      <w:r w:rsidRPr="00404432">
        <w:rPr>
          <w:szCs w:val="18"/>
        </w:rPr>
        <w:t xml:space="preserve"> Productivity Commission, </w:t>
      </w:r>
      <w:hyperlink r:id="rId493" w:history="1">
        <w:r w:rsidRPr="00404432">
          <w:rPr>
            <w:rStyle w:val="Hyperlink"/>
            <w:i/>
            <w:szCs w:val="18"/>
          </w:rPr>
          <w:t>Harnessing data and digital technology</w:t>
        </w:r>
      </w:hyperlink>
      <w:hyperlink r:id="rId494" w:history="1">
        <w:r w:rsidRPr="004B1DA9">
          <w:rPr>
            <w:rStyle w:val="Hyperlink"/>
            <w:i/>
            <w:szCs w:val="18"/>
          </w:rPr>
          <w:t>: I</w:t>
        </w:r>
        <w:r w:rsidRPr="004B1DA9">
          <w:rPr>
            <w:rStyle w:val="Hyperlink"/>
            <w:i/>
            <w:iCs/>
            <w:szCs w:val="18"/>
          </w:rPr>
          <w:t>nquiry report</w:t>
        </w:r>
      </w:hyperlink>
      <w:r w:rsidRPr="00404432">
        <w:rPr>
          <w:szCs w:val="18"/>
        </w:rPr>
        <w:t xml:space="preserve">, </w:t>
      </w:r>
      <w:r>
        <w:rPr>
          <w:szCs w:val="18"/>
        </w:rPr>
        <w:t xml:space="preserve">Productivity Commission, 2025, </w:t>
      </w:r>
      <w:r w:rsidRPr="00404432">
        <w:rPr>
          <w:szCs w:val="18"/>
        </w:rPr>
        <w:t>p 2.</w:t>
      </w:r>
    </w:p>
  </w:footnote>
  <w:footnote w:id="642">
    <w:p w14:paraId="074761EC" w14:textId="7B13B5C5" w:rsidR="001F4902" w:rsidRPr="00404432" w:rsidRDefault="001F4902" w:rsidP="001F4902">
      <w:pPr>
        <w:pStyle w:val="FootnoteText"/>
        <w:rPr>
          <w:rFonts w:cstheme="minorHAnsi"/>
          <w:iCs/>
          <w:szCs w:val="18"/>
        </w:rPr>
      </w:pPr>
      <w:r w:rsidRPr="00404432">
        <w:rPr>
          <w:rStyle w:val="FootnoteReference"/>
          <w:rFonts w:cstheme="minorHAnsi"/>
          <w:szCs w:val="18"/>
        </w:rPr>
        <w:footnoteRef/>
      </w:r>
      <w:r w:rsidRPr="00404432">
        <w:rPr>
          <w:rFonts w:cstheme="minorHAnsi"/>
          <w:szCs w:val="18"/>
        </w:rPr>
        <w:t xml:space="preserve"> Department of Industry, Science and Resources, </w:t>
      </w:r>
      <w:hyperlink r:id="rId495" w:history="1">
        <w:r w:rsidRPr="00404432">
          <w:rPr>
            <w:rStyle w:val="Hyperlink"/>
            <w:i/>
            <w:szCs w:val="18"/>
          </w:rPr>
          <w:t>National AI Plan</w:t>
        </w:r>
      </w:hyperlink>
      <w:r w:rsidRPr="00404432">
        <w:rPr>
          <w:rFonts w:cstheme="minorHAnsi"/>
          <w:i/>
          <w:szCs w:val="18"/>
        </w:rPr>
        <w:t xml:space="preserve">, </w:t>
      </w:r>
      <w:r>
        <w:rPr>
          <w:rFonts w:cstheme="minorHAnsi"/>
          <w:iCs/>
          <w:szCs w:val="18"/>
        </w:rPr>
        <w:t xml:space="preserve">Australian Government, </w:t>
      </w:r>
      <w:r w:rsidRPr="00404432">
        <w:rPr>
          <w:rFonts w:cstheme="minorHAnsi"/>
          <w:iCs/>
          <w:szCs w:val="18"/>
        </w:rPr>
        <w:t>December 2025, accessed 13</w:t>
      </w:r>
      <w:r w:rsidR="00535086">
        <w:rPr>
          <w:rFonts w:cstheme="minorHAnsi"/>
          <w:iCs/>
          <w:szCs w:val="18"/>
        </w:rPr>
        <w:t> </w:t>
      </w:r>
      <w:r w:rsidRPr="00404432">
        <w:rPr>
          <w:rFonts w:cstheme="minorHAnsi"/>
          <w:iCs/>
          <w:szCs w:val="18"/>
        </w:rPr>
        <w:t>May 2026, p 28.</w:t>
      </w:r>
    </w:p>
  </w:footnote>
  <w:footnote w:id="643">
    <w:p w14:paraId="5884490A" w14:textId="77777777" w:rsidR="001F4902" w:rsidRPr="00404432" w:rsidRDefault="001F4902" w:rsidP="001F4902">
      <w:pPr>
        <w:pStyle w:val="FootnoteText"/>
      </w:pPr>
      <w:r w:rsidRPr="00404432">
        <w:rPr>
          <w:rStyle w:val="FootnoteReference"/>
        </w:rPr>
        <w:footnoteRef/>
      </w:r>
      <w:r w:rsidRPr="00404432">
        <w:t xml:space="preserve"> A Rishworth, </w:t>
      </w:r>
      <w:hyperlink r:id="rId496" w:history="1">
        <w:r w:rsidRPr="00404432">
          <w:rPr>
            <w:rStyle w:val="Hyperlink"/>
          </w:rPr>
          <w:t>Speech to Australian Financial Review Workforce Summit</w:t>
        </w:r>
      </w:hyperlink>
      <w:r w:rsidRPr="00404432">
        <w:t>, 28 April 2026, accessed 13 May 2026.</w:t>
      </w:r>
    </w:p>
  </w:footnote>
  <w:footnote w:id="644">
    <w:p w14:paraId="07B8C053" w14:textId="77777777" w:rsidR="0044726D" w:rsidRPr="00404432" w:rsidRDefault="0044726D" w:rsidP="0044726D">
      <w:pPr>
        <w:pStyle w:val="FootnoteText"/>
        <w:rPr>
          <w:rFonts w:cstheme="minorHAnsi"/>
          <w:szCs w:val="18"/>
        </w:rPr>
      </w:pPr>
      <w:r w:rsidRPr="00404432">
        <w:rPr>
          <w:rStyle w:val="FootnoteReference"/>
          <w:rFonts w:cstheme="minorHAnsi"/>
          <w:szCs w:val="18"/>
        </w:rPr>
        <w:footnoteRef/>
      </w:r>
      <w:r w:rsidRPr="00404432">
        <w:rPr>
          <w:rFonts w:cstheme="minorHAnsi"/>
          <w:szCs w:val="18"/>
        </w:rPr>
        <w:t xml:space="preserve"> </w:t>
      </w:r>
      <w:hyperlink r:id="rId497" w:history="1">
        <w:r w:rsidRPr="00404432">
          <w:rPr>
            <w:rStyle w:val="Hyperlink"/>
            <w:rFonts w:cstheme="minorHAnsi"/>
            <w:szCs w:val="18"/>
          </w:rPr>
          <w:t>Australian Institute of Company Directors</w:t>
        </w:r>
      </w:hyperlink>
      <w:r w:rsidRPr="00404432">
        <w:rPr>
          <w:rFonts w:cstheme="minorHAnsi"/>
          <w:szCs w:val="18"/>
        </w:rPr>
        <w:t xml:space="preserve">, Submission, p 6; </w:t>
      </w:r>
      <w:hyperlink r:id="rId498" w:history="1">
        <w:r w:rsidRPr="00404432">
          <w:rPr>
            <w:rStyle w:val="Hyperlink"/>
            <w:rFonts w:cstheme="minorHAnsi"/>
            <w:szCs w:val="18"/>
          </w:rPr>
          <w:t>Australian Retailers Association and National Retail Association</w:t>
        </w:r>
      </w:hyperlink>
      <w:r w:rsidRPr="00404432">
        <w:rPr>
          <w:rFonts w:cstheme="minorHAnsi"/>
          <w:szCs w:val="18"/>
        </w:rPr>
        <w:t>, Submission, pp 3</w:t>
      </w:r>
      <w:r w:rsidRPr="00404432">
        <w:rPr>
          <w:szCs w:val="18"/>
        </w:rPr>
        <w:t>–</w:t>
      </w:r>
      <w:r w:rsidRPr="00404432">
        <w:rPr>
          <w:rFonts w:cstheme="minorHAnsi"/>
          <w:szCs w:val="18"/>
        </w:rPr>
        <w:t>4.</w:t>
      </w:r>
    </w:p>
  </w:footnote>
  <w:footnote w:id="645">
    <w:p w14:paraId="55B6E187" w14:textId="77777777" w:rsidR="0044726D" w:rsidRPr="00404432" w:rsidRDefault="0044726D" w:rsidP="0044726D">
      <w:pPr>
        <w:pStyle w:val="FootnoteText"/>
        <w:rPr>
          <w:rFonts w:cstheme="minorHAnsi"/>
          <w:szCs w:val="18"/>
        </w:rPr>
      </w:pPr>
      <w:r w:rsidRPr="00404432">
        <w:rPr>
          <w:rStyle w:val="FootnoteReference"/>
          <w:rFonts w:cstheme="minorHAnsi"/>
          <w:szCs w:val="18"/>
        </w:rPr>
        <w:footnoteRef/>
      </w:r>
      <w:r w:rsidRPr="00404432">
        <w:rPr>
          <w:rFonts w:cstheme="minorHAnsi"/>
          <w:szCs w:val="18"/>
        </w:rPr>
        <w:t xml:space="preserve"> </w:t>
      </w:r>
      <w:hyperlink r:id="rId499" w:history="1">
        <w:r w:rsidRPr="00404432">
          <w:rPr>
            <w:rStyle w:val="Hyperlink"/>
            <w:rFonts w:cstheme="minorHAnsi"/>
            <w:szCs w:val="18"/>
          </w:rPr>
          <w:t>SA Unions</w:t>
        </w:r>
      </w:hyperlink>
      <w:r w:rsidRPr="00404432">
        <w:rPr>
          <w:rFonts w:cstheme="minorHAnsi"/>
          <w:szCs w:val="18"/>
        </w:rPr>
        <w:t xml:space="preserve">, Submission, p 35; </w:t>
      </w:r>
      <w:hyperlink r:id="rId500" w:history="1">
        <w:r w:rsidRPr="00404432">
          <w:rPr>
            <w:rStyle w:val="Hyperlink"/>
            <w:rFonts w:cstheme="minorHAnsi"/>
            <w:szCs w:val="18"/>
          </w:rPr>
          <w:t>The Reckoning Room</w:t>
        </w:r>
      </w:hyperlink>
      <w:r w:rsidRPr="00404432">
        <w:rPr>
          <w:rFonts w:cstheme="minorHAnsi"/>
          <w:szCs w:val="18"/>
        </w:rPr>
        <w:t xml:space="preserve">, Submission, p 13; </w:t>
      </w:r>
      <w:hyperlink r:id="rId501" w:history="1">
        <w:r w:rsidRPr="00404432">
          <w:rPr>
            <w:rStyle w:val="Hyperlink"/>
            <w:rFonts w:cstheme="minorHAnsi"/>
            <w:szCs w:val="18"/>
          </w:rPr>
          <w:t>Centre for Future Work</w:t>
        </w:r>
      </w:hyperlink>
      <w:r w:rsidRPr="00404432">
        <w:rPr>
          <w:rFonts w:cstheme="minorHAnsi"/>
          <w:szCs w:val="18"/>
        </w:rPr>
        <w:t xml:space="preserve">, Submission, pp 8–9; </w:t>
      </w:r>
      <w:hyperlink r:id="rId502" w:history="1">
        <w:r w:rsidRPr="00404432">
          <w:rPr>
            <w:rStyle w:val="Hyperlink"/>
            <w:rFonts w:cstheme="minorHAnsi"/>
            <w:szCs w:val="18"/>
          </w:rPr>
          <w:t>BRIDGES at Work</w:t>
        </w:r>
      </w:hyperlink>
      <w:r w:rsidRPr="00404432">
        <w:rPr>
          <w:rFonts w:cstheme="minorHAnsi"/>
          <w:szCs w:val="18"/>
        </w:rPr>
        <w:t>, Submission, p 9.</w:t>
      </w:r>
    </w:p>
  </w:footnote>
  <w:footnote w:id="646">
    <w:p w14:paraId="700CBE19" w14:textId="77777777" w:rsidR="0044726D" w:rsidRPr="00404432" w:rsidRDefault="0044726D" w:rsidP="0044726D">
      <w:pPr>
        <w:pStyle w:val="FootnoteText"/>
        <w:rPr>
          <w:szCs w:val="18"/>
        </w:rPr>
      </w:pPr>
      <w:r w:rsidRPr="00404432">
        <w:rPr>
          <w:rStyle w:val="FootnoteReference"/>
          <w:szCs w:val="18"/>
        </w:rPr>
        <w:footnoteRef/>
      </w:r>
      <w:r w:rsidRPr="00404432">
        <w:rPr>
          <w:szCs w:val="18"/>
        </w:rPr>
        <w:t xml:space="preserve"> </w:t>
      </w:r>
      <w:hyperlink r:id="rId503" w:history="1">
        <w:r w:rsidRPr="00404432">
          <w:rPr>
            <w:rStyle w:val="Hyperlink"/>
            <w:szCs w:val="18"/>
          </w:rPr>
          <w:t>Centre for Future Work</w:t>
        </w:r>
      </w:hyperlink>
      <w:r w:rsidRPr="00404432">
        <w:rPr>
          <w:szCs w:val="18"/>
        </w:rPr>
        <w:t>, Submission, p 8</w:t>
      </w:r>
      <w:r w:rsidRPr="00404432">
        <w:rPr>
          <w:rFonts w:cstheme="minorHAnsi"/>
          <w:szCs w:val="18"/>
        </w:rPr>
        <w:t xml:space="preserve">; </w:t>
      </w:r>
      <w:hyperlink r:id="rId504" w:history="1">
        <w:r w:rsidRPr="00404432">
          <w:rPr>
            <w:rStyle w:val="Hyperlink"/>
            <w:rFonts w:cstheme="minorHAnsi"/>
            <w:szCs w:val="18"/>
          </w:rPr>
          <w:t>BRIDGES at Work</w:t>
        </w:r>
      </w:hyperlink>
      <w:r w:rsidRPr="00404432">
        <w:rPr>
          <w:rFonts w:cstheme="minorHAnsi"/>
          <w:szCs w:val="18"/>
        </w:rPr>
        <w:t>, Submission, p 18.</w:t>
      </w:r>
    </w:p>
  </w:footnote>
  <w:footnote w:id="647">
    <w:p w14:paraId="33E5BA7F" w14:textId="77777777" w:rsidR="0044726D" w:rsidRPr="00404432" w:rsidRDefault="0044726D" w:rsidP="0044726D">
      <w:pPr>
        <w:pStyle w:val="FootnoteText"/>
        <w:rPr>
          <w:szCs w:val="18"/>
        </w:rPr>
      </w:pPr>
      <w:r w:rsidRPr="00404432">
        <w:rPr>
          <w:rStyle w:val="FootnoteReference"/>
          <w:szCs w:val="18"/>
        </w:rPr>
        <w:footnoteRef/>
      </w:r>
      <w:r w:rsidRPr="00404432">
        <w:rPr>
          <w:szCs w:val="18"/>
        </w:rPr>
        <w:t xml:space="preserve"> </w:t>
      </w:r>
      <w:hyperlink r:id="rId505" w:history="1">
        <w:r w:rsidRPr="00404432">
          <w:rPr>
            <w:rStyle w:val="Hyperlink"/>
            <w:szCs w:val="18"/>
          </w:rPr>
          <w:t>Centre for Future Work</w:t>
        </w:r>
      </w:hyperlink>
      <w:r w:rsidRPr="00404432">
        <w:rPr>
          <w:szCs w:val="18"/>
        </w:rPr>
        <w:t>, Submission, pp 8–9.</w:t>
      </w:r>
    </w:p>
  </w:footnote>
  <w:footnote w:id="648">
    <w:p w14:paraId="0F3065E4" w14:textId="65263A75" w:rsidR="0044726D" w:rsidRPr="00404432" w:rsidRDefault="0044726D" w:rsidP="0044726D">
      <w:pPr>
        <w:pStyle w:val="FootnoteText"/>
        <w:rPr>
          <w:rFonts w:cstheme="minorHAnsi"/>
          <w:szCs w:val="18"/>
        </w:rPr>
      </w:pPr>
      <w:r w:rsidRPr="00404432">
        <w:rPr>
          <w:rStyle w:val="FootnoteReference"/>
          <w:rFonts w:cstheme="minorHAnsi"/>
          <w:szCs w:val="18"/>
        </w:rPr>
        <w:footnoteRef/>
      </w:r>
      <w:r w:rsidRPr="00404432">
        <w:rPr>
          <w:rFonts w:cstheme="minorHAnsi"/>
          <w:szCs w:val="18"/>
        </w:rPr>
        <w:t xml:space="preserve"> S Farthing, S Sacher, E Santow and A Vos, </w:t>
      </w:r>
      <w:hyperlink r:id="rId506" w:history="1">
        <w:r w:rsidRPr="00404432">
          <w:rPr>
            <w:rStyle w:val="Hyperlink"/>
            <w:rFonts w:cstheme="minorHAnsi"/>
            <w:i/>
            <w:szCs w:val="18"/>
          </w:rPr>
          <w:t xml:space="preserve">Surveillance </w:t>
        </w:r>
        <w:r w:rsidR="00E966DB">
          <w:rPr>
            <w:rStyle w:val="Hyperlink"/>
            <w:rFonts w:cstheme="minorHAnsi"/>
            <w:i/>
            <w:szCs w:val="18"/>
          </w:rPr>
          <w:t>c</w:t>
        </w:r>
        <w:r w:rsidRPr="00404432">
          <w:rPr>
            <w:rStyle w:val="Hyperlink"/>
            <w:rFonts w:cstheme="minorHAnsi"/>
            <w:i/>
            <w:szCs w:val="18"/>
          </w:rPr>
          <w:t>reep: Technology-enabled worker surveillance</w:t>
        </w:r>
      </w:hyperlink>
      <w:r w:rsidRPr="00404432">
        <w:rPr>
          <w:rFonts w:cstheme="minorHAnsi"/>
          <w:szCs w:val="18"/>
        </w:rPr>
        <w:t>,</w:t>
      </w:r>
      <w:r w:rsidRPr="00404432" w:rsidDel="00805ED4">
        <w:rPr>
          <w:rFonts w:cstheme="minorHAnsi"/>
          <w:szCs w:val="18"/>
        </w:rPr>
        <w:t xml:space="preserve"> </w:t>
      </w:r>
      <w:r w:rsidRPr="00404432">
        <w:rPr>
          <w:rFonts w:cstheme="minorHAnsi"/>
          <w:szCs w:val="18"/>
        </w:rPr>
        <w:t xml:space="preserve">Human Technology Institute, University of Technology Sydney, </w:t>
      </w:r>
      <w:r>
        <w:rPr>
          <w:rFonts w:cstheme="minorHAnsi"/>
          <w:szCs w:val="18"/>
        </w:rPr>
        <w:t xml:space="preserve">2026, p 16, </w:t>
      </w:r>
      <w:r w:rsidRPr="00404432">
        <w:rPr>
          <w:rFonts w:cstheme="minorHAnsi"/>
          <w:szCs w:val="18"/>
        </w:rPr>
        <w:t>accessed 9 April 2026.</w:t>
      </w:r>
    </w:p>
  </w:footnote>
  <w:footnote w:id="649">
    <w:p w14:paraId="4EC1A7CE" w14:textId="77777777" w:rsidR="0044726D" w:rsidRPr="00404432" w:rsidRDefault="0044726D" w:rsidP="0044726D">
      <w:pPr>
        <w:pStyle w:val="FootnoteText"/>
        <w:rPr>
          <w:szCs w:val="18"/>
        </w:rPr>
      </w:pPr>
      <w:r w:rsidRPr="00404432">
        <w:rPr>
          <w:rStyle w:val="FootnoteReference"/>
          <w:szCs w:val="18"/>
        </w:rPr>
        <w:footnoteRef/>
      </w:r>
      <w:r w:rsidRPr="00404432">
        <w:rPr>
          <w:szCs w:val="18"/>
        </w:rPr>
        <w:t xml:space="preserve"> </w:t>
      </w:r>
      <w:hyperlink r:id="rId507" w:history="1">
        <w:r w:rsidRPr="00404432">
          <w:rPr>
            <w:rStyle w:val="Hyperlink"/>
            <w:szCs w:val="18"/>
          </w:rPr>
          <w:t>SA Unions</w:t>
        </w:r>
      </w:hyperlink>
      <w:r w:rsidRPr="00404432">
        <w:rPr>
          <w:szCs w:val="18"/>
        </w:rPr>
        <w:t>, Submission, p 35.</w:t>
      </w:r>
    </w:p>
  </w:footnote>
  <w:footnote w:id="650">
    <w:p w14:paraId="34159BAD" w14:textId="4F1DFC45" w:rsidR="0044726D" w:rsidRPr="00404432" w:rsidRDefault="0044726D" w:rsidP="0044726D">
      <w:pPr>
        <w:pStyle w:val="FootnoteText"/>
        <w:rPr>
          <w:rFonts w:cstheme="minorHAnsi"/>
          <w:szCs w:val="18"/>
        </w:rPr>
      </w:pPr>
      <w:r w:rsidRPr="00404432">
        <w:rPr>
          <w:rStyle w:val="FootnoteReference"/>
          <w:rFonts w:cstheme="minorHAnsi"/>
          <w:szCs w:val="18"/>
        </w:rPr>
        <w:footnoteRef/>
      </w:r>
      <w:r w:rsidRPr="00404432">
        <w:rPr>
          <w:rFonts w:cstheme="minorHAnsi"/>
          <w:szCs w:val="18"/>
        </w:rPr>
        <w:t xml:space="preserve"> </w:t>
      </w:r>
      <w:hyperlink r:id="rId508" w:history="1">
        <w:r w:rsidRPr="00404432">
          <w:rPr>
            <w:rStyle w:val="Hyperlink"/>
            <w:rFonts w:cstheme="minorHAnsi"/>
            <w:szCs w:val="18"/>
          </w:rPr>
          <w:t>Andrew Watt</w:t>
        </w:r>
      </w:hyperlink>
      <w:r w:rsidRPr="00404432">
        <w:rPr>
          <w:rFonts w:cstheme="minorHAnsi"/>
          <w:szCs w:val="18"/>
        </w:rPr>
        <w:t xml:space="preserve">, Submission, p 26; </w:t>
      </w:r>
      <w:hyperlink r:id="rId509" w:history="1">
        <w:r w:rsidRPr="00404432">
          <w:rPr>
            <w:rStyle w:val="Hyperlink"/>
            <w:rFonts w:eastAsia="Aptos" w:cstheme="minorHAnsi"/>
            <w:szCs w:val="18"/>
          </w:rPr>
          <w:t>Community and Public Sector Union</w:t>
        </w:r>
      </w:hyperlink>
      <w:r w:rsidRPr="00404432">
        <w:rPr>
          <w:rFonts w:cstheme="minorHAnsi"/>
          <w:szCs w:val="18"/>
        </w:rPr>
        <w:t xml:space="preserve">, Submission, p 15; </w:t>
      </w:r>
      <w:hyperlink r:id="rId510" w:history="1">
        <w:r w:rsidRPr="00404432">
          <w:rPr>
            <w:rStyle w:val="Hyperlink"/>
          </w:rPr>
          <w:t>Australian Institute of Occupational Hygienists</w:t>
        </w:r>
      </w:hyperlink>
      <w:r w:rsidRPr="00404432">
        <w:rPr>
          <w:rFonts w:cstheme="minorHAnsi"/>
          <w:szCs w:val="18"/>
        </w:rPr>
        <w:t>, Submission, p 6.</w:t>
      </w:r>
    </w:p>
  </w:footnote>
  <w:footnote w:id="651">
    <w:p w14:paraId="2FEC7EE6" w14:textId="77777777" w:rsidR="0044726D" w:rsidRPr="00404432" w:rsidRDefault="0044726D" w:rsidP="0044726D">
      <w:pPr>
        <w:pStyle w:val="FootnoteText"/>
        <w:rPr>
          <w:rFonts w:cstheme="minorHAnsi"/>
          <w:szCs w:val="18"/>
        </w:rPr>
      </w:pPr>
      <w:r w:rsidRPr="00404432">
        <w:rPr>
          <w:rStyle w:val="FootnoteReference"/>
          <w:rFonts w:cstheme="minorHAnsi"/>
          <w:szCs w:val="18"/>
        </w:rPr>
        <w:footnoteRef/>
      </w:r>
      <w:r w:rsidRPr="00404432">
        <w:rPr>
          <w:rFonts w:cstheme="minorHAnsi"/>
          <w:szCs w:val="18"/>
        </w:rPr>
        <w:t xml:space="preserve"> </w:t>
      </w:r>
      <w:hyperlink r:id="rId511" w:history="1">
        <w:hyperlink r:id="rId512" w:history="1">
          <w:r w:rsidRPr="00404432">
            <w:rPr>
              <w:rStyle w:val="Hyperlink"/>
              <w:rFonts w:cstheme="minorHAnsi"/>
              <w:szCs w:val="18"/>
            </w:rPr>
            <w:t>Australian Institute of Company Directors</w:t>
          </w:r>
        </w:hyperlink>
      </w:hyperlink>
      <w:r w:rsidRPr="00404432">
        <w:rPr>
          <w:rFonts w:cstheme="minorHAnsi"/>
          <w:szCs w:val="18"/>
        </w:rPr>
        <w:t xml:space="preserve">, Submission, p 6; </w:t>
      </w:r>
      <w:hyperlink r:id="rId513" w:history="1">
        <w:r w:rsidRPr="00404432">
          <w:rPr>
            <w:rStyle w:val="Hyperlink"/>
            <w:rFonts w:cstheme="minorHAnsi"/>
            <w:szCs w:val="18"/>
          </w:rPr>
          <w:t>Australian Retailers Association and National Retail Association</w:t>
        </w:r>
      </w:hyperlink>
      <w:r w:rsidRPr="00404432">
        <w:rPr>
          <w:rFonts w:cstheme="minorHAnsi"/>
          <w:szCs w:val="18"/>
        </w:rPr>
        <w:t>, Submission, pp 3–4.</w:t>
      </w:r>
    </w:p>
  </w:footnote>
  <w:footnote w:id="652">
    <w:p w14:paraId="1ECD18D2" w14:textId="77777777" w:rsidR="0044726D" w:rsidRPr="00404432" w:rsidRDefault="0044726D" w:rsidP="0044726D">
      <w:pPr>
        <w:pStyle w:val="FootnoteText"/>
        <w:rPr>
          <w:szCs w:val="18"/>
        </w:rPr>
      </w:pPr>
      <w:r w:rsidRPr="00404432">
        <w:rPr>
          <w:rStyle w:val="FootnoteReference"/>
          <w:szCs w:val="18"/>
        </w:rPr>
        <w:footnoteRef/>
      </w:r>
      <w:r w:rsidRPr="00404432">
        <w:rPr>
          <w:szCs w:val="18"/>
        </w:rPr>
        <w:t xml:space="preserve"> </w:t>
      </w:r>
      <w:hyperlink r:id="rId514" w:history="1">
        <w:hyperlink r:id="rId515" w:history="1">
          <w:r w:rsidRPr="00404432">
            <w:rPr>
              <w:rStyle w:val="Hyperlink"/>
              <w:rFonts w:cstheme="minorHAnsi"/>
              <w:szCs w:val="18"/>
            </w:rPr>
            <w:t>Australian Institute of Company Directors</w:t>
          </w:r>
        </w:hyperlink>
      </w:hyperlink>
      <w:r w:rsidRPr="00404432">
        <w:rPr>
          <w:rFonts w:cstheme="minorHAnsi"/>
          <w:szCs w:val="18"/>
        </w:rPr>
        <w:t xml:space="preserve">, Submission, p 9; </w:t>
      </w:r>
      <w:hyperlink r:id="rId516" w:history="1">
        <w:r w:rsidRPr="00404432">
          <w:rPr>
            <w:rStyle w:val="Hyperlink"/>
            <w:rFonts w:cstheme="minorHAnsi"/>
            <w:szCs w:val="18"/>
          </w:rPr>
          <w:t>Australian Retailers Association and National Retail Association</w:t>
        </w:r>
      </w:hyperlink>
      <w:r w:rsidRPr="00404432">
        <w:rPr>
          <w:rFonts w:cstheme="minorHAnsi"/>
          <w:szCs w:val="18"/>
        </w:rPr>
        <w:t>, Submission, p 4.</w:t>
      </w:r>
    </w:p>
  </w:footnote>
  <w:footnote w:id="653">
    <w:p w14:paraId="3D3DECE8" w14:textId="77777777" w:rsidR="0044726D" w:rsidRPr="00404432" w:rsidRDefault="0044726D" w:rsidP="0044726D">
      <w:pPr>
        <w:pStyle w:val="FootnoteText"/>
        <w:rPr>
          <w:rFonts w:cstheme="minorHAnsi"/>
          <w:szCs w:val="18"/>
        </w:rPr>
      </w:pPr>
      <w:r w:rsidRPr="00404432">
        <w:rPr>
          <w:rStyle w:val="FootnoteReference"/>
          <w:rFonts w:cstheme="minorHAnsi"/>
          <w:szCs w:val="18"/>
        </w:rPr>
        <w:footnoteRef/>
      </w:r>
      <w:r w:rsidRPr="00404432">
        <w:rPr>
          <w:rFonts w:cstheme="minorHAnsi"/>
          <w:szCs w:val="18"/>
        </w:rPr>
        <w:t xml:space="preserve"> </w:t>
      </w:r>
      <w:hyperlink r:id="rId517" w:history="1">
        <w:r w:rsidRPr="00404432">
          <w:rPr>
            <w:rStyle w:val="Hyperlink"/>
            <w:rFonts w:eastAsia="Aptos" w:cstheme="minorHAnsi"/>
            <w:szCs w:val="18"/>
          </w:rPr>
          <w:t>Community and Public Sector Union</w:t>
        </w:r>
      </w:hyperlink>
      <w:r w:rsidRPr="00404432">
        <w:rPr>
          <w:rFonts w:cstheme="minorHAnsi"/>
          <w:szCs w:val="18"/>
        </w:rPr>
        <w:t xml:space="preserve">, Submission, p 13; </w:t>
      </w:r>
      <w:hyperlink r:id="rId518" w:history="1">
        <w:r w:rsidRPr="00404432">
          <w:rPr>
            <w:rStyle w:val="Hyperlink"/>
            <w:rFonts w:cstheme="minorHAnsi"/>
            <w:szCs w:val="18"/>
          </w:rPr>
          <w:t>ACTU</w:t>
        </w:r>
      </w:hyperlink>
      <w:r w:rsidRPr="00404432">
        <w:rPr>
          <w:rFonts w:cstheme="minorHAnsi"/>
          <w:szCs w:val="18"/>
        </w:rPr>
        <w:t xml:space="preserve">, Submission, p 7. See also </w:t>
      </w:r>
      <w:hyperlink r:id="rId519" w:history="1">
        <w:r w:rsidRPr="00404432">
          <w:rPr>
            <w:rStyle w:val="Hyperlink"/>
            <w:rFonts w:cstheme="minorHAnsi"/>
            <w:szCs w:val="18"/>
          </w:rPr>
          <w:t>ANMF (Vic</w:t>
        </w:r>
        <w:r w:rsidRPr="00404432">
          <w:rPr>
            <w:rStyle w:val="Hyperlink"/>
          </w:rPr>
          <w:t xml:space="preserve"> Branch)</w:t>
        </w:r>
      </w:hyperlink>
      <w:r w:rsidRPr="00404432">
        <w:rPr>
          <w:rFonts w:cstheme="minorHAnsi"/>
          <w:szCs w:val="18"/>
        </w:rPr>
        <w:t>, Submission, p</w:t>
      </w:r>
      <w:r>
        <w:rPr>
          <w:rFonts w:cstheme="minorHAnsi"/>
          <w:szCs w:val="18"/>
        </w:rPr>
        <w:t> </w:t>
      </w:r>
      <w:r w:rsidRPr="00404432">
        <w:rPr>
          <w:rFonts w:cstheme="minorHAnsi"/>
          <w:szCs w:val="18"/>
        </w:rPr>
        <w:t>10 in the context of regulations specific to the health industry.</w:t>
      </w:r>
    </w:p>
  </w:footnote>
  <w:footnote w:id="654">
    <w:p w14:paraId="0D33B4FB" w14:textId="77777777" w:rsidR="0044726D" w:rsidRPr="00404432" w:rsidRDefault="0044726D" w:rsidP="0044726D">
      <w:pPr>
        <w:pStyle w:val="FootnoteText"/>
        <w:rPr>
          <w:szCs w:val="18"/>
        </w:rPr>
      </w:pPr>
      <w:r w:rsidRPr="00404432">
        <w:rPr>
          <w:rStyle w:val="FootnoteReference"/>
          <w:szCs w:val="18"/>
        </w:rPr>
        <w:footnoteRef/>
      </w:r>
      <w:r w:rsidRPr="00404432">
        <w:rPr>
          <w:szCs w:val="18"/>
        </w:rPr>
        <w:t xml:space="preserve"> </w:t>
      </w:r>
      <w:hyperlink r:id="rId520" w:history="1">
        <w:r w:rsidRPr="00404432">
          <w:rPr>
            <w:rStyle w:val="Hyperlink"/>
            <w:rFonts w:cstheme="minorHAnsi"/>
            <w:szCs w:val="18"/>
          </w:rPr>
          <w:t>SafeWork NSW</w:t>
        </w:r>
      </w:hyperlink>
      <w:r w:rsidRPr="00404432">
        <w:rPr>
          <w:rFonts w:cstheme="minorHAnsi"/>
          <w:szCs w:val="18"/>
        </w:rPr>
        <w:t>, Submission, p 13.</w:t>
      </w:r>
    </w:p>
  </w:footnote>
  <w:footnote w:id="655">
    <w:p w14:paraId="13B2BEB4" w14:textId="77777777" w:rsidR="0044726D" w:rsidRPr="00404432" w:rsidRDefault="0044726D" w:rsidP="0044726D">
      <w:pPr>
        <w:pStyle w:val="FootnoteText"/>
        <w:rPr>
          <w:rFonts w:cstheme="minorHAnsi"/>
          <w:szCs w:val="18"/>
        </w:rPr>
      </w:pPr>
      <w:r w:rsidRPr="00404432">
        <w:rPr>
          <w:rStyle w:val="FootnoteReference"/>
          <w:rFonts w:cstheme="minorHAnsi"/>
          <w:szCs w:val="18"/>
        </w:rPr>
        <w:footnoteRef/>
      </w:r>
      <w:r w:rsidRPr="00404432">
        <w:rPr>
          <w:rFonts w:cstheme="minorHAnsi"/>
          <w:szCs w:val="18"/>
        </w:rPr>
        <w:t xml:space="preserve"> </w:t>
      </w:r>
      <w:hyperlink r:id="rId521" w:history="1">
        <w:r w:rsidRPr="00404432">
          <w:rPr>
            <w:rStyle w:val="Hyperlink"/>
            <w:rFonts w:cstheme="minorHAnsi"/>
            <w:szCs w:val="18"/>
          </w:rPr>
          <w:t>Veyter Pty Ltd</w:t>
        </w:r>
      </w:hyperlink>
      <w:r w:rsidRPr="00404432">
        <w:rPr>
          <w:rFonts w:cstheme="minorHAnsi"/>
          <w:szCs w:val="18"/>
        </w:rPr>
        <w:t xml:space="preserve">, Submission, p 4; </w:t>
      </w:r>
      <w:hyperlink r:id="rId522" w:history="1">
        <w:r w:rsidRPr="00404432">
          <w:rPr>
            <w:rStyle w:val="Hyperlink"/>
            <w:rFonts w:cstheme="minorHAnsi"/>
            <w:szCs w:val="18"/>
          </w:rPr>
          <w:t>ANMF (Vic</w:t>
        </w:r>
        <w:r w:rsidRPr="00404432">
          <w:rPr>
            <w:rStyle w:val="Hyperlink"/>
          </w:rPr>
          <w:t xml:space="preserve"> Branch)</w:t>
        </w:r>
      </w:hyperlink>
      <w:r w:rsidRPr="00404432">
        <w:rPr>
          <w:rFonts w:cstheme="minorHAnsi"/>
          <w:szCs w:val="18"/>
        </w:rPr>
        <w:t>, Submission, p 9.</w:t>
      </w:r>
    </w:p>
  </w:footnote>
  <w:footnote w:id="656">
    <w:p w14:paraId="24EE815E" w14:textId="6D8F220A" w:rsidR="001F4902" w:rsidRPr="003C2686" w:rsidRDefault="001F4902" w:rsidP="001F4902">
      <w:pPr>
        <w:pStyle w:val="FootnoteText"/>
        <w:rPr>
          <w:rFonts w:cstheme="minorHAnsi"/>
          <w:szCs w:val="18"/>
        </w:rPr>
      </w:pPr>
      <w:r w:rsidRPr="003C2686">
        <w:rPr>
          <w:rStyle w:val="FootnoteReference"/>
          <w:rFonts w:cstheme="minorHAnsi"/>
          <w:szCs w:val="18"/>
        </w:rPr>
        <w:footnoteRef/>
      </w:r>
      <w:r w:rsidRPr="003C2686">
        <w:rPr>
          <w:rFonts w:cstheme="minorHAnsi"/>
          <w:szCs w:val="18"/>
        </w:rPr>
        <w:t xml:space="preserve"> Model WHS Act, </w:t>
      </w:r>
      <w:r w:rsidRPr="00234A84">
        <w:rPr>
          <w:rFonts w:cstheme="minorHAnsi"/>
          <w:szCs w:val="18"/>
        </w:rPr>
        <w:t>s</w:t>
      </w:r>
      <w:r>
        <w:rPr>
          <w:rFonts w:cstheme="minorHAnsi"/>
          <w:szCs w:val="18"/>
        </w:rPr>
        <w:t xml:space="preserve"> </w:t>
      </w:r>
      <w:r w:rsidRPr="00234A84">
        <w:rPr>
          <w:rFonts w:cstheme="minorHAnsi"/>
          <w:szCs w:val="18"/>
        </w:rPr>
        <w:t>22</w:t>
      </w:r>
      <w:r w:rsidRPr="003C2686">
        <w:rPr>
          <w:rFonts w:cstheme="minorHAnsi"/>
          <w:szCs w:val="18"/>
        </w:rPr>
        <w:t>.</w:t>
      </w:r>
    </w:p>
  </w:footnote>
  <w:footnote w:id="657">
    <w:p w14:paraId="5E9219CD" w14:textId="47633B33" w:rsidR="001F4902" w:rsidRPr="00404432" w:rsidRDefault="001F4902" w:rsidP="001F4902">
      <w:pPr>
        <w:pStyle w:val="FootnoteText"/>
        <w:rPr>
          <w:rFonts w:cstheme="minorHAnsi"/>
          <w:szCs w:val="18"/>
        </w:rPr>
      </w:pPr>
      <w:r w:rsidRPr="00404432">
        <w:rPr>
          <w:rStyle w:val="FootnoteReference"/>
          <w:rFonts w:cstheme="minorHAnsi"/>
          <w:szCs w:val="18"/>
        </w:rPr>
        <w:footnoteRef/>
      </w:r>
      <w:r w:rsidRPr="00404432">
        <w:rPr>
          <w:rFonts w:cstheme="minorHAnsi"/>
          <w:szCs w:val="18"/>
        </w:rPr>
        <w:t xml:space="preserve"> See</w:t>
      </w:r>
      <w:r w:rsidRPr="00404432" w:rsidDel="00805ED4">
        <w:rPr>
          <w:rFonts w:cstheme="minorHAnsi"/>
          <w:szCs w:val="18"/>
        </w:rPr>
        <w:t xml:space="preserve"> </w:t>
      </w:r>
      <w:r w:rsidRPr="00404432">
        <w:rPr>
          <w:rFonts w:cstheme="minorHAnsi"/>
          <w:szCs w:val="18"/>
        </w:rPr>
        <w:t xml:space="preserve">Legislative Assembly Economic and Infrastructure Committee, </w:t>
      </w:r>
      <w:hyperlink r:id="rId523" w:history="1">
        <w:r w:rsidRPr="00404432">
          <w:rPr>
            <w:rStyle w:val="Hyperlink"/>
            <w:rFonts w:cstheme="minorHAnsi"/>
            <w:i/>
            <w:szCs w:val="18"/>
          </w:rPr>
          <w:t>Inquiry into workplace surveillance</w:t>
        </w:r>
      </w:hyperlink>
      <w:r>
        <w:rPr>
          <w:szCs w:val="18"/>
        </w:rPr>
        <w:t xml:space="preserve">, Victorian Government, </w:t>
      </w:r>
      <w:r w:rsidRPr="00404432">
        <w:rPr>
          <w:szCs w:val="18"/>
        </w:rPr>
        <w:t>2025</w:t>
      </w:r>
      <w:r w:rsidRPr="00404432">
        <w:rPr>
          <w:rFonts w:cstheme="minorHAnsi"/>
          <w:szCs w:val="18"/>
        </w:rPr>
        <w:t xml:space="preserve">; House Standing Committee on Employment, Education and Training, </w:t>
      </w:r>
      <w:hyperlink r:id="rId524" w:tgtFrame="_blank" w:history="1">
        <w:r w:rsidRPr="00404432">
          <w:rPr>
            <w:rStyle w:val="Hyperlink"/>
            <w:rFonts w:cstheme="minorHAnsi"/>
            <w:i/>
            <w:szCs w:val="18"/>
          </w:rPr>
          <w:t xml:space="preserve">Inquiry into the </w:t>
        </w:r>
        <w:r w:rsidR="00E966DB">
          <w:rPr>
            <w:rStyle w:val="Hyperlink"/>
            <w:rFonts w:cstheme="minorHAnsi"/>
            <w:i/>
            <w:szCs w:val="18"/>
          </w:rPr>
          <w:t>d</w:t>
        </w:r>
        <w:r w:rsidRPr="00404432">
          <w:rPr>
            <w:rStyle w:val="Hyperlink"/>
            <w:rFonts w:cstheme="minorHAnsi"/>
            <w:i/>
            <w:szCs w:val="18"/>
          </w:rPr>
          <w:t xml:space="preserve">igital </w:t>
        </w:r>
        <w:r w:rsidR="00E966DB">
          <w:rPr>
            <w:rStyle w:val="Hyperlink"/>
            <w:rFonts w:cstheme="minorHAnsi"/>
            <w:i/>
            <w:szCs w:val="18"/>
          </w:rPr>
          <w:t>t</w:t>
        </w:r>
        <w:r w:rsidRPr="00404432">
          <w:rPr>
            <w:rStyle w:val="Hyperlink"/>
            <w:rFonts w:cstheme="minorHAnsi"/>
            <w:i/>
            <w:szCs w:val="18"/>
          </w:rPr>
          <w:t xml:space="preserve">ransformation of </w:t>
        </w:r>
        <w:r w:rsidR="00E966DB">
          <w:rPr>
            <w:rStyle w:val="Hyperlink"/>
            <w:rFonts w:cstheme="minorHAnsi"/>
            <w:i/>
            <w:szCs w:val="18"/>
          </w:rPr>
          <w:t>w</w:t>
        </w:r>
        <w:r w:rsidRPr="00404432">
          <w:rPr>
            <w:rStyle w:val="Hyperlink"/>
            <w:rFonts w:cstheme="minorHAnsi"/>
            <w:i/>
            <w:szCs w:val="18"/>
          </w:rPr>
          <w:t>orkplaces</w:t>
        </w:r>
      </w:hyperlink>
      <w:r>
        <w:rPr>
          <w:szCs w:val="18"/>
        </w:rPr>
        <w:t xml:space="preserve">, Australian Government, </w:t>
      </w:r>
      <w:r w:rsidRPr="00404432">
        <w:rPr>
          <w:szCs w:val="18"/>
        </w:rPr>
        <w:t>2025</w:t>
      </w:r>
      <w:r>
        <w:rPr>
          <w:szCs w:val="18"/>
        </w:rPr>
        <w:t>;</w:t>
      </w:r>
      <w:r w:rsidRPr="00404432">
        <w:rPr>
          <w:rFonts w:cstheme="minorHAnsi"/>
          <w:szCs w:val="18"/>
        </w:rPr>
        <w:t xml:space="preserve"> and Senate Select Committee on Adopting Artificial Intelligence, </w:t>
      </w:r>
      <w:hyperlink r:id="rId525" w:history="1">
        <w:r w:rsidRPr="00404432">
          <w:rPr>
            <w:rStyle w:val="Hyperlink"/>
            <w:rFonts w:cstheme="minorHAnsi"/>
            <w:i/>
            <w:szCs w:val="18"/>
          </w:rPr>
          <w:t>Final report</w:t>
        </w:r>
      </w:hyperlink>
      <w:r>
        <w:t>, Australian Government,</w:t>
      </w:r>
      <w:r w:rsidRPr="00404432">
        <w:rPr>
          <w:rFonts w:cstheme="minorHAnsi"/>
          <w:i/>
          <w:szCs w:val="18"/>
        </w:rPr>
        <w:t xml:space="preserve"> </w:t>
      </w:r>
      <w:r w:rsidRPr="00404432">
        <w:rPr>
          <w:rFonts w:cstheme="minorHAnsi"/>
          <w:szCs w:val="18"/>
        </w:rPr>
        <w:t>2024</w:t>
      </w:r>
      <w:r>
        <w:rPr>
          <w:rFonts w:cstheme="minorHAnsi"/>
          <w:szCs w:val="18"/>
        </w:rPr>
        <w:t>,</w:t>
      </w:r>
    </w:p>
  </w:footnote>
  <w:footnote w:id="658">
    <w:p w14:paraId="282C40A4" w14:textId="77777777" w:rsidR="001F4902" w:rsidRPr="00404432" w:rsidRDefault="001F4902" w:rsidP="001F4902">
      <w:pPr>
        <w:pStyle w:val="FootnoteText"/>
        <w:rPr>
          <w:rFonts w:cstheme="minorHAnsi"/>
          <w:szCs w:val="18"/>
        </w:rPr>
      </w:pPr>
      <w:r w:rsidRPr="00404432">
        <w:rPr>
          <w:rStyle w:val="FootnoteReference"/>
          <w:rFonts w:cstheme="minorHAnsi"/>
          <w:szCs w:val="18"/>
        </w:rPr>
        <w:footnoteRef/>
      </w:r>
      <w:r w:rsidRPr="00404432">
        <w:rPr>
          <w:rFonts w:cstheme="minorHAnsi"/>
          <w:szCs w:val="18"/>
        </w:rPr>
        <w:t xml:space="preserve"> The </w:t>
      </w:r>
      <w:hyperlink r:id="rId526" w:history="1">
        <w:r w:rsidRPr="00404432">
          <w:rPr>
            <w:rStyle w:val="Hyperlink"/>
            <w:rFonts w:cstheme="minorHAnsi"/>
            <w:i/>
            <w:szCs w:val="18"/>
          </w:rPr>
          <w:t>Work Health and Safety Amendment (Digital Work Systems) Act 2026</w:t>
        </w:r>
      </w:hyperlink>
      <w:r w:rsidRPr="00404432">
        <w:rPr>
          <w:rFonts w:cstheme="minorHAnsi"/>
          <w:i/>
          <w:szCs w:val="18"/>
        </w:rPr>
        <w:t xml:space="preserve"> </w:t>
      </w:r>
      <w:r w:rsidRPr="00404432">
        <w:rPr>
          <w:rFonts w:cstheme="minorHAnsi"/>
          <w:szCs w:val="18"/>
        </w:rPr>
        <w:t>(NSW) defines digital work system as an algorithm, artificial intelligence, automation or online platform.</w:t>
      </w:r>
    </w:p>
  </w:footnote>
  <w:footnote w:id="659">
    <w:p w14:paraId="44B8A2DA" w14:textId="6192B2E6" w:rsidR="001F4902" w:rsidRPr="00404432" w:rsidRDefault="001F4902" w:rsidP="001F4902">
      <w:pPr>
        <w:pStyle w:val="FootnoteText"/>
        <w:rPr>
          <w:rFonts w:cstheme="minorHAnsi"/>
          <w:szCs w:val="18"/>
        </w:rPr>
      </w:pPr>
      <w:r w:rsidRPr="00404432">
        <w:rPr>
          <w:rStyle w:val="FootnoteReference"/>
          <w:rFonts w:cstheme="minorHAnsi"/>
          <w:szCs w:val="18"/>
        </w:rPr>
        <w:footnoteRef/>
      </w:r>
      <w:r w:rsidRPr="00404432">
        <w:rPr>
          <w:rFonts w:cstheme="minorHAnsi"/>
          <w:szCs w:val="18"/>
        </w:rPr>
        <w:t xml:space="preserve"> Including ss 118 (2A) and 118A</w:t>
      </w:r>
      <w:r>
        <w:rPr>
          <w:rFonts w:cstheme="minorHAnsi"/>
          <w:szCs w:val="18"/>
        </w:rPr>
        <w:t>,</w:t>
      </w:r>
      <w:r w:rsidRPr="00404432">
        <w:rPr>
          <w:rFonts w:cstheme="minorHAnsi"/>
          <w:szCs w:val="18"/>
        </w:rPr>
        <w:t xml:space="preserve"> which provide that the regulator must issue and publish, on the regulator’s website, guidelines about the power of WHS entry permit holders to require PCBUs to provide reasonable assistance to access and inspect digital work systems relevant to suspected contravention.</w:t>
      </w:r>
    </w:p>
  </w:footnote>
  <w:footnote w:id="660">
    <w:p w14:paraId="7A4C65C6" w14:textId="77777777" w:rsidR="001F4902" w:rsidRPr="00404432" w:rsidRDefault="001F4902" w:rsidP="001F4902">
      <w:pPr>
        <w:pStyle w:val="FootnoteText"/>
        <w:rPr>
          <w:rFonts w:cstheme="minorHAnsi"/>
          <w:szCs w:val="18"/>
        </w:rPr>
      </w:pPr>
      <w:r w:rsidRPr="00404432">
        <w:rPr>
          <w:rStyle w:val="FootnoteReference"/>
          <w:rFonts w:cstheme="minorHAnsi"/>
          <w:szCs w:val="18"/>
        </w:rPr>
        <w:footnoteRef/>
      </w:r>
      <w:r w:rsidRPr="00404432">
        <w:rPr>
          <w:rFonts w:cstheme="minorHAnsi"/>
          <w:szCs w:val="18"/>
        </w:rPr>
        <w:t xml:space="preserve"> </w:t>
      </w:r>
      <w:hyperlink r:id="rId527" w:history="1">
        <w:r w:rsidRPr="00404432">
          <w:rPr>
            <w:rStyle w:val="Hyperlink"/>
            <w:szCs w:val="18"/>
          </w:rPr>
          <w:t>Shop, Distributive and Allied Employees Association</w:t>
        </w:r>
      </w:hyperlink>
      <w:r w:rsidRPr="00404432">
        <w:rPr>
          <w:rFonts w:cstheme="minorHAnsi"/>
          <w:szCs w:val="18"/>
        </w:rPr>
        <w:t>, Submission, pp 2–3.</w:t>
      </w:r>
    </w:p>
  </w:footnote>
  <w:footnote w:id="661">
    <w:p w14:paraId="5FE9624D" w14:textId="77777777" w:rsidR="001F4902" w:rsidRPr="00404432" w:rsidRDefault="001F4902" w:rsidP="001F4902">
      <w:pPr>
        <w:pStyle w:val="FootnoteText"/>
        <w:ind w:right="-24"/>
        <w:rPr>
          <w:rFonts w:cstheme="minorHAnsi"/>
          <w:szCs w:val="18"/>
        </w:rPr>
      </w:pPr>
      <w:r w:rsidRPr="00404432">
        <w:rPr>
          <w:rStyle w:val="FootnoteReference"/>
          <w:rFonts w:cstheme="minorHAnsi"/>
          <w:szCs w:val="18"/>
        </w:rPr>
        <w:footnoteRef/>
      </w:r>
      <w:r w:rsidRPr="00404432">
        <w:rPr>
          <w:rFonts w:cstheme="minorHAnsi"/>
          <w:szCs w:val="18"/>
        </w:rPr>
        <w:t xml:space="preserve"> </w:t>
      </w:r>
      <w:hyperlink r:id="rId528" w:history="1">
        <w:r w:rsidRPr="00404432">
          <w:rPr>
            <w:rStyle w:val="Hyperlink"/>
            <w:rFonts w:cstheme="minorHAnsi"/>
            <w:szCs w:val="18"/>
          </w:rPr>
          <w:t>ACCI</w:t>
        </w:r>
      </w:hyperlink>
      <w:r w:rsidRPr="00404432">
        <w:rPr>
          <w:rFonts w:cstheme="minorHAnsi"/>
          <w:szCs w:val="18"/>
        </w:rPr>
        <w:t xml:space="preserve">, Submission, p 7; </w:t>
      </w:r>
      <w:hyperlink r:id="rId529" w:history="1">
        <w:hyperlink r:id="rId530" w:history="1">
          <w:r w:rsidRPr="00404432">
            <w:rPr>
              <w:rStyle w:val="Hyperlink"/>
              <w:rFonts w:cstheme="minorHAnsi"/>
              <w:szCs w:val="18"/>
            </w:rPr>
            <w:t>Australian Institute of Company Directors</w:t>
          </w:r>
        </w:hyperlink>
      </w:hyperlink>
      <w:r w:rsidRPr="00404432">
        <w:rPr>
          <w:rFonts w:cstheme="minorHAnsi"/>
          <w:szCs w:val="18"/>
        </w:rPr>
        <w:t xml:space="preserve">, Submission, p 10; </w:t>
      </w:r>
      <w:hyperlink r:id="rId531" w:history="1">
        <w:r w:rsidRPr="00404432">
          <w:rPr>
            <w:rStyle w:val="Hyperlink"/>
            <w:rFonts w:cstheme="minorHAnsi"/>
            <w:szCs w:val="18"/>
          </w:rPr>
          <w:t>Australian Industry Group</w:t>
        </w:r>
      </w:hyperlink>
      <w:r w:rsidRPr="00404432">
        <w:rPr>
          <w:rFonts w:cstheme="minorHAnsi"/>
          <w:szCs w:val="18"/>
        </w:rPr>
        <w:t>, Submission, p 19.</w:t>
      </w:r>
    </w:p>
  </w:footnote>
  <w:footnote w:id="662">
    <w:p w14:paraId="176D0A1A" w14:textId="77777777" w:rsidR="001F4902" w:rsidRPr="005C11D6" w:rsidRDefault="001F4902" w:rsidP="001F4902">
      <w:pPr>
        <w:pStyle w:val="FootnoteText"/>
        <w:rPr>
          <w:szCs w:val="18"/>
        </w:rPr>
      </w:pPr>
      <w:r w:rsidRPr="005C11D6">
        <w:rPr>
          <w:rStyle w:val="FootnoteReference"/>
          <w:szCs w:val="18"/>
        </w:rPr>
        <w:footnoteRef/>
      </w:r>
      <w:r w:rsidRPr="005C11D6">
        <w:rPr>
          <w:szCs w:val="18"/>
        </w:rPr>
        <w:t xml:space="preserve"> This Review also notes that the Bill’s second reading speech acknowledges the proposed duty ‘reflects the reality that harm does not arise from the technology itself, but from how digital work systems are designed, deployed and managed in practice’</w:t>
      </w:r>
      <w:r>
        <w:rPr>
          <w:szCs w:val="18"/>
        </w:rPr>
        <w:t>.</w:t>
      </w:r>
    </w:p>
  </w:footnote>
  <w:footnote w:id="663">
    <w:p w14:paraId="16808DCE" w14:textId="5270F595" w:rsidR="001F4902" w:rsidRPr="005C11D6" w:rsidRDefault="001F4902" w:rsidP="001F4902">
      <w:pPr>
        <w:pStyle w:val="FootnoteText"/>
        <w:rPr>
          <w:rFonts w:cstheme="minorHAnsi"/>
          <w:szCs w:val="18"/>
        </w:rPr>
      </w:pPr>
      <w:r w:rsidRPr="005C11D6">
        <w:rPr>
          <w:rStyle w:val="FootnoteReference"/>
          <w:rFonts w:cstheme="minorHAnsi"/>
          <w:szCs w:val="18"/>
        </w:rPr>
        <w:footnoteRef/>
      </w:r>
      <w:r w:rsidRPr="005C11D6">
        <w:rPr>
          <w:rFonts w:cstheme="minorHAnsi"/>
          <w:szCs w:val="18"/>
        </w:rPr>
        <w:t xml:space="preserve"> A Cebulla, Z Szpak, G Knight, C Howell and S Huzzain, </w:t>
      </w:r>
      <w:hyperlink r:id="rId532" w:history="1">
        <w:r w:rsidRPr="005C11D6">
          <w:rPr>
            <w:rStyle w:val="Hyperlink"/>
            <w:rFonts w:cstheme="minorHAnsi"/>
            <w:i/>
            <w:szCs w:val="18"/>
          </w:rPr>
          <w:t>Ethical use of artificial intelligence in the workplace final report</w:t>
        </w:r>
      </w:hyperlink>
      <w:r w:rsidRPr="005C11D6">
        <w:rPr>
          <w:rFonts w:cstheme="minorHAnsi"/>
          <w:i/>
          <w:szCs w:val="18"/>
        </w:rPr>
        <w:t xml:space="preserve">, </w:t>
      </w:r>
      <w:r w:rsidRPr="005C11D6">
        <w:rPr>
          <w:rFonts w:cstheme="minorHAnsi"/>
          <w:szCs w:val="18"/>
        </w:rPr>
        <w:t xml:space="preserve">NSW Centre for WHS, </w:t>
      </w:r>
      <w:r>
        <w:rPr>
          <w:rFonts w:cstheme="minorHAnsi"/>
          <w:szCs w:val="18"/>
        </w:rPr>
        <w:t xml:space="preserve">2021, p 45, </w:t>
      </w:r>
      <w:r w:rsidRPr="005C11D6">
        <w:rPr>
          <w:rFonts w:cstheme="minorHAnsi"/>
          <w:szCs w:val="18"/>
        </w:rPr>
        <w:t>accessed 16 April 2026.</w:t>
      </w:r>
    </w:p>
  </w:footnote>
  <w:footnote w:id="664">
    <w:p w14:paraId="5CCCD5E0" w14:textId="77777777" w:rsidR="001F4902" w:rsidRPr="005C11D6" w:rsidRDefault="001F4902" w:rsidP="001F4902">
      <w:pPr>
        <w:pStyle w:val="FootnoteText"/>
        <w:rPr>
          <w:rFonts w:cstheme="minorHAnsi"/>
          <w:szCs w:val="18"/>
        </w:rPr>
      </w:pPr>
      <w:r w:rsidRPr="005C11D6">
        <w:rPr>
          <w:rStyle w:val="FootnoteReference"/>
          <w:rFonts w:cstheme="minorHAnsi"/>
          <w:szCs w:val="18"/>
        </w:rPr>
        <w:footnoteRef/>
      </w:r>
      <w:r w:rsidRPr="005C11D6">
        <w:rPr>
          <w:rFonts w:cstheme="minorHAnsi"/>
          <w:szCs w:val="18"/>
        </w:rPr>
        <w:t xml:space="preserve"> </w:t>
      </w:r>
      <w:hyperlink r:id="rId533" w:history="1">
        <w:hyperlink r:id="rId534" w:history="1">
          <w:r w:rsidRPr="005C11D6">
            <w:rPr>
              <w:rStyle w:val="Hyperlink"/>
              <w:rFonts w:cstheme="minorHAnsi"/>
              <w:szCs w:val="18"/>
            </w:rPr>
            <w:t>Australian Institute of Company Directors</w:t>
          </w:r>
        </w:hyperlink>
      </w:hyperlink>
      <w:r w:rsidRPr="005C11D6">
        <w:rPr>
          <w:rFonts w:cstheme="minorHAnsi"/>
          <w:szCs w:val="18"/>
        </w:rPr>
        <w:t xml:space="preserve">, Submission, p 9; </w:t>
      </w:r>
      <w:hyperlink r:id="rId535" w:history="1">
        <w:r w:rsidRPr="005C11D6">
          <w:rPr>
            <w:rStyle w:val="Hyperlink"/>
            <w:rFonts w:cstheme="minorHAnsi"/>
            <w:szCs w:val="18"/>
          </w:rPr>
          <w:t>SA Unions</w:t>
        </w:r>
      </w:hyperlink>
      <w:r w:rsidRPr="005C11D6">
        <w:rPr>
          <w:rFonts w:cstheme="minorHAnsi"/>
          <w:szCs w:val="18"/>
        </w:rPr>
        <w:t>, Submission, p 35</w:t>
      </w:r>
      <w:r w:rsidRPr="005C11D6">
        <w:t xml:space="preserve">; </w:t>
      </w:r>
      <w:hyperlink r:id="rId536" w:history="1">
        <w:r w:rsidRPr="005C11D6">
          <w:rPr>
            <w:rStyle w:val="Hyperlink"/>
            <w:rFonts w:cstheme="minorHAnsi"/>
            <w:szCs w:val="18"/>
          </w:rPr>
          <w:t>Australian Retailers Association and National Retail Association</w:t>
        </w:r>
      </w:hyperlink>
      <w:r w:rsidRPr="005C11D6">
        <w:rPr>
          <w:rFonts w:cstheme="minorHAnsi"/>
          <w:szCs w:val="18"/>
        </w:rPr>
        <w:t>, Submission, p 4.</w:t>
      </w:r>
    </w:p>
  </w:footnote>
  <w:footnote w:id="665">
    <w:p w14:paraId="23C8232A" w14:textId="1C844733" w:rsidR="001F4902" w:rsidRPr="005C11D6" w:rsidRDefault="001F4902" w:rsidP="001F4902">
      <w:pPr>
        <w:pStyle w:val="FootnoteText"/>
        <w:rPr>
          <w:szCs w:val="18"/>
        </w:rPr>
      </w:pPr>
      <w:r w:rsidRPr="005C11D6">
        <w:rPr>
          <w:rStyle w:val="FootnoteReference"/>
          <w:szCs w:val="18"/>
        </w:rPr>
        <w:footnoteRef/>
      </w:r>
      <w:r w:rsidRPr="005C11D6">
        <w:rPr>
          <w:szCs w:val="18"/>
        </w:rPr>
        <w:t xml:space="preserve"> E </w:t>
      </w:r>
      <w:r w:rsidRPr="004E7884">
        <w:rPr>
          <w:szCs w:val="18"/>
        </w:rPr>
        <w:t>Humphrys, ‘</w:t>
      </w:r>
      <w:hyperlink r:id="rId537" w:history="1">
        <w:r w:rsidRPr="004E7884">
          <w:rPr>
            <w:rStyle w:val="Hyperlink"/>
            <w:szCs w:val="18"/>
          </w:rPr>
          <w:t>Inertia in transformed times: Work health and safety admit climate change</w:t>
        </w:r>
      </w:hyperlink>
      <w:r w:rsidRPr="004E7884">
        <w:rPr>
          <w:szCs w:val="18"/>
        </w:rPr>
        <w:t xml:space="preserve">’, </w:t>
      </w:r>
      <w:r w:rsidRPr="004E7884">
        <w:rPr>
          <w:i/>
          <w:szCs w:val="18"/>
        </w:rPr>
        <w:t>Journal of Industrial Relations</w:t>
      </w:r>
      <w:r w:rsidRPr="004E7884">
        <w:rPr>
          <w:szCs w:val="18"/>
        </w:rPr>
        <w:t>, 2024, 66(5):685–702, p 685.</w:t>
      </w:r>
    </w:p>
  </w:footnote>
  <w:footnote w:id="666">
    <w:p w14:paraId="4FF9BDC0" w14:textId="0C53CD57" w:rsidR="001F4902" w:rsidRPr="005C11D6" w:rsidRDefault="001F4902" w:rsidP="001F4902">
      <w:pPr>
        <w:pStyle w:val="FootnoteText"/>
        <w:rPr>
          <w:szCs w:val="18"/>
        </w:rPr>
      </w:pPr>
      <w:r w:rsidRPr="005C11D6">
        <w:rPr>
          <w:rStyle w:val="FootnoteReference"/>
          <w:szCs w:val="18"/>
        </w:rPr>
        <w:footnoteRef/>
      </w:r>
      <w:r w:rsidRPr="005C11D6">
        <w:rPr>
          <w:szCs w:val="18"/>
        </w:rPr>
        <w:t xml:space="preserve"> Australian Climate Service, </w:t>
      </w:r>
      <w:hyperlink r:id="rId538" w:history="1">
        <w:r w:rsidRPr="005C11D6">
          <w:rPr>
            <w:rStyle w:val="Hyperlink"/>
            <w:i/>
            <w:szCs w:val="18"/>
          </w:rPr>
          <w:t xml:space="preserve">Australia’s </w:t>
        </w:r>
        <w:r w:rsidR="00E966DB">
          <w:rPr>
            <w:rStyle w:val="Hyperlink"/>
            <w:i/>
            <w:szCs w:val="18"/>
          </w:rPr>
          <w:t>n</w:t>
        </w:r>
        <w:r w:rsidRPr="005C11D6">
          <w:rPr>
            <w:rStyle w:val="Hyperlink"/>
            <w:i/>
            <w:szCs w:val="18"/>
          </w:rPr>
          <w:t xml:space="preserve">ational </w:t>
        </w:r>
        <w:r w:rsidR="00E966DB">
          <w:rPr>
            <w:rStyle w:val="Hyperlink"/>
            <w:i/>
            <w:szCs w:val="18"/>
          </w:rPr>
          <w:t>c</w:t>
        </w:r>
        <w:r w:rsidRPr="005C11D6">
          <w:rPr>
            <w:rStyle w:val="Hyperlink"/>
            <w:i/>
            <w:szCs w:val="18"/>
          </w:rPr>
          <w:t xml:space="preserve">limate </w:t>
        </w:r>
        <w:r w:rsidR="00E966DB">
          <w:rPr>
            <w:rStyle w:val="Hyperlink"/>
            <w:i/>
            <w:szCs w:val="18"/>
          </w:rPr>
          <w:t>r</w:t>
        </w:r>
        <w:r w:rsidRPr="005C11D6">
          <w:rPr>
            <w:rStyle w:val="Hyperlink"/>
            <w:i/>
            <w:szCs w:val="18"/>
          </w:rPr>
          <w:t xml:space="preserve">isk </w:t>
        </w:r>
        <w:r w:rsidR="00E966DB">
          <w:rPr>
            <w:rStyle w:val="Hyperlink"/>
            <w:i/>
            <w:szCs w:val="18"/>
          </w:rPr>
          <w:t>a</w:t>
        </w:r>
        <w:r w:rsidRPr="005C11D6">
          <w:rPr>
            <w:rStyle w:val="Hyperlink"/>
            <w:i/>
            <w:szCs w:val="18"/>
          </w:rPr>
          <w:t xml:space="preserve">ssessment </w:t>
        </w:r>
        <w:r w:rsidR="00E966DB">
          <w:rPr>
            <w:rStyle w:val="Hyperlink"/>
            <w:i/>
            <w:szCs w:val="18"/>
          </w:rPr>
          <w:t>r</w:t>
        </w:r>
        <w:r w:rsidRPr="005C11D6">
          <w:rPr>
            <w:rStyle w:val="Hyperlink"/>
            <w:i/>
            <w:szCs w:val="18"/>
          </w:rPr>
          <w:t>eport</w:t>
        </w:r>
      </w:hyperlink>
      <w:r w:rsidRPr="005C11D6">
        <w:rPr>
          <w:szCs w:val="18"/>
        </w:rPr>
        <w:t xml:space="preserve">, </w:t>
      </w:r>
      <w:r>
        <w:rPr>
          <w:szCs w:val="18"/>
        </w:rPr>
        <w:t xml:space="preserve">Australian Climate Service, </w:t>
      </w:r>
      <w:r w:rsidRPr="005C11D6">
        <w:rPr>
          <w:szCs w:val="18"/>
        </w:rPr>
        <w:t xml:space="preserve">2025, </w:t>
      </w:r>
      <w:r>
        <w:rPr>
          <w:szCs w:val="18"/>
        </w:rPr>
        <w:t xml:space="preserve">p 11, </w:t>
      </w:r>
      <w:r w:rsidRPr="005C11D6">
        <w:rPr>
          <w:szCs w:val="18"/>
        </w:rPr>
        <w:t xml:space="preserve">accessed 11 May 2026; ILO, </w:t>
      </w:r>
      <w:hyperlink r:id="rId539" w:history="1">
        <w:r w:rsidRPr="005C11D6">
          <w:rPr>
            <w:rStyle w:val="Hyperlink"/>
            <w:i/>
            <w:szCs w:val="18"/>
          </w:rPr>
          <w:t>Ensuring safety and health at work in a changing climate</w:t>
        </w:r>
      </w:hyperlink>
      <w:r w:rsidRPr="005C11D6">
        <w:rPr>
          <w:szCs w:val="18"/>
        </w:rPr>
        <w:t xml:space="preserve">, </w:t>
      </w:r>
      <w:r>
        <w:rPr>
          <w:szCs w:val="18"/>
        </w:rPr>
        <w:t xml:space="preserve">ILO, </w:t>
      </w:r>
      <w:r w:rsidRPr="005C11D6">
        <w:rPr>
          <w:szCs w:val="18"/>
        </w:rPr>
        <w:t xml:space="preserve">2024, </w:t>
      </w:r>
      <w:r>
        <w:rPr>
          <w:szCs w:val="18"/>
        </w:rPr>
        <w:t>p 6,</w:t>
      </w:r>
      <w:r w:rsidR="00304F1A">
        <w:rPr>
          <w:szCs w:val="18"/>
        </w:rPr>
        <w:t xml:space="preserve"> </w:t>
      </w:r>
      <w:r w:rsidRPr="005C11D6">
        <w:rPr>
          <w:szCs w:val="18"/>
        </w:rPr>
        <w:t>accessed 11 May 2026.</w:t>
      </w:r>
    </w:p>
  </w:footnote>
  <w:footnote w:id="667">
    <w:p w14:paraId="3AF15122" w14:textId="77777777" w:rsidR="001F4902" w:rsidRPr="005C11D6" w:rsidRDefault="001F4902" w:rsidP="001F4902">
      <w:pPr>
        <w:pStyle w:val="FootnoteText"/>
        <w:rPr>
          <w:szCs w:val="18"/>
        </w:rPr>
      </w:pPr>
      <w:r w:rsidRPr="005C11D6">
        <w:rPr>
          <w:rStyle w:val="FootnoteReference"/>
          <w:szCs w:val="18"/>
        </w:rPr>
        <w:footnoteRef/>
      </w:r>
      <w:r w:rsidRPr="005C11D6">
        <w:rPr>
          <w:szCs w:val="18"/>
        </w:rPr>
        <w:t xml:space="preserve"> ILO, </w:t>
      </w:r>
      <w:hyperlink r:id="rId540" w:history="1">
        <w:r w:rsidRPr="005C11D6">
          <w:rPr>
            <w:rStyle w:val="Hyperlink"/>
            <w:i/>
            <w:szCs w:val="18"/>
          </w:rPr>
          <w:t>Ensuring safety and health at work in a changing climate</w:t>
        </w:r>
      </w:hyperlink>
      <w:r w:rsidRPr="005C11D6">
        <w:rPr>
          <w:szCs w:val="18"/>
        </w:rPr>
        <w:t xml:space="preserve">, </w:t>
      </w:r>
      <w:r>
        <w:rPr>
          <w:szCs w:val="18"/>
        </w:rPr>
        <w:t xml:space="preserve">ILO, </w:t>
      </w:r>
      <w:r w:rsidRPr="005C11D6">
        <w:rPr>
          <w:szCs w:val="18"/>
        </w:rPr>
        <w:t>2024, p 7.</w:t>
      </w:r>
    </w:p>
  </w:footnote>
  <w:footnote w:id="668">
    <w:p w14:paraId="56C24BC8" w14:textId="77777777" w:rsidR="001F4902" w:rsidRPr="005C11D6" w:rsidRDefault="001F4902" w:rsidP="001F4902">
      <w:pPr>
        <w:pStyle w:val="FootnoteText"/>
      </w:pPr>
      <w:r w:rsidRPr="005C11D6">
        <w:rPr>
          <w:rStyle w:val="FootnoteReference"/>
        </w:rPr>
        <w:footnoteRef/>
      </w:r>
      <w:r w:rsidRPr="005C11D6">
        <w:t xml:space="preserve"> ILO, </w:t>
      </w:r>
      <w:hyperlink r:id="rId541" w:history="1">
        <w:r w:rsidRPr="005C11D6">
          <w:rPr>
            <w:rStyle w:val="Hyperlink"/>
            <w:i/>
            <w:szCs w:val="18"/>
          </w:rPr>
          <w:t>Ensuring safety and health at work in a changing climate</w:t>
        </w:r>
      </w:hyperlink>
      <w:r w:rsidRPr="005C11D6">
        <w:rPr>
          <w:szCs w:val="18"/>
        </w:rPr>
        <w:t xml:space="preserve">, </w:t>
      </w:r>
      <w:r>
        <w:rPr>
          <w:szCs w:val="18"/>
        </w:rPr>
        <w:t xml:space="preserve">ILO, </w:t>
      </w:r>
      <w:r w:rsidRPr="005C11D6">
        <w:rPr>
          <w:szCs w:val="18"/>
        </w:rPr>
        <w:t>2024, p 17.</w:t>
      </w:r>
    </w:p>
  </w:footnote>
  <w:footnote w:id="669">
    <w:p w14:paraId="76E22DF7" w14:textId="77777777" w:rsidR="001F4902" w:rsidRPr="005C11D6" w:rsidRDefault="001F4902" w:rsidP="001F4902">
      <w:pPr>
        <w:pStyle w:val="FootnoteText"/>
      </w:pPr>
      <w:r w:rsidRPr="005C11D6">
        <w:rPr>
          <w:rStyle w:val="FootnoteReference"/>
        </w:rPr>
        <w:footnoteRef/>
      </w:r>
      <w:r w:rsidRPr="005C11D6">
        <w:t xml:space="preserve"> ILO, </w:t>
      </w:r>
      <w:hyperlink r:id="rId542" w:history="1">
        <w:r w:rsidRPr="005C11D6">
          <w:rPr>
            <w:rStyle w:val="Hyperlink"/>
            <w:i/>
            <w:iCs/>
          </w:rPr>
          <w:t>Ensuring safety and health at work in a changing climate</w:t>
        </w:r>
      </w:hyperlink>
      <w:r w:rsidRPr="005C11D6">
        <w:t>,</w:t>
      </w:r>
      <w:r w:rsidRPr="005C11D6">
        <w:rPr>
          <w:szCs w:val="18"/>
        </w:rPr>
        <w:t xml:space="preserve"> </w:t>
      </w:r>
      <w:r>
        <w:rPr>
          <w:szCs w:val="18"/>
        </w:rPr>
        <w:t xml:space="preserve">ILO, </w:t>
      </w:r>
      <w:r w:rsidRPr="005C11D6">
        <w:rPr>
          <w:szCs w:val="18"/>
        </w:rPr>
        <w:t>2024,</w:t>
      </w:r>
      <w:r w:rsidRPr="005C11D6">
        <w:t xml:space="preserve"> p 9.</w:t>
      </w:r>
    </w:p>
  </w:footnote>
  <w:footnote w:id="670">
    <w:p w14:paraId="5E0A55AA" w14:textId="77777777" w:rsidR="001F4902" w:rsidRPr="005C11D6" w:rsidRDefault="001F4902" w:rsidP="001F4902">
      <w:pPr>
        <w:pStyle w:val="FootnoteText"/>
        <w:rPr>
          <w:szCs w:val="18"/>
        </w:rPr>
      </w:pPr>
      <w:r w:rsidRPr="005C11D6">
        <w:rPr>
          <w:rStyle w:val="FootnoteReference"/>
          <w:szCs w:val="18"/>
        </w:rPr>
        <w:footnoteRef/>
      </w:r>
      <w:r w:rsidRPr="005C11D6">
        <w:rPr>
          <w:szCs w:val="18"/>
        </w:rPr>
        <w:t xml:space="preserve"> ILO, </w:t>
      </w:r>
      <w:hyperlink r:id="rId543" w:history="1">
        <w:r w:rsidRPr="005C11D6">
          <w:rPr>
            <w:rStyle w:val="Hyperlink"/>
            <w:i/>
            <w:szCs w:val="18"/>
          </w:rPr>
          <w:t>Ensuring safety and health at work in a changing climate</w:t>
        </w:r>
      </w:hyperlink>
      <w:r w:rsidRPr="005C11D6">
        <w:rPr>
          <w:szCs w:val="18"/>
        </w:rPr>
        <w:t xml:space="preserve">, </w:t>
      </w:r>
      <w:r>
        <w:rPr>
          <w:szCs w:val="18"/>
        </w:rPr>
        <w:t xml:space="preserve">ILO, </w:t>
      </w:r>
      <w:r w:rsidRPr="005C11D6">
        <w:rPr>
          <w:szCs w:val="18"/>
        </w:rPr>
        <w:t>2024, p 7.</w:t>
      </w:r>
    </w:p>
  </w:footnote>
  <w:footnote w:id="671">
    <w:p w14:paraId="4D853B31" w14:textId="106BA891" w:rsidR="001F4902" w:rsidRPr="005C11D6" w:rsidRDefault="001F4902" w:rsidP="001F4902">
      <w:pPr>
        <w:pStyle w:val="FootnoteText"/>
        <w:rPr>
          <w:szCs w:val="18"/>
        </w:rPr>
      </w:pPr>
      <w:r w:rsidRPr="005C11D6">
        <w:rPr>
          <w:rStyle w:val="FootnoteReference"/>
          <w:szCs w:val="18"/>
        </w:rPr>
        <w:footnoteRef/>
      </w:r>
      <w:r w:rsidRPr="005C11D6">
        <w:rPr>
          <w:szCs w:val="18"/>
        </w:rPr>
        <w:t xml:space="preserve"> Department of the Treasury, </w:t>
      </w:r>
      <w:hyperlink r:id="rId544" w:history="1">
        <w:r w:rsidRPr="004E7884">
          <w:rPr>
            <w:rStyle w:val="Hyperlink"/>
            <w:i/>
            <w:szCs w:val="18"/>
          </w:rPr>
          <w:t xml:space="preserve">Intergenerational </w:t>
        </w:r>
        <w:r w:rsidR="00E966DB" w:rsidRPr="004E7884">
          <w:rPr>
            <w:rStyle w:val="Hyperlink"/>
            <w:i/>
            <w:szCs w:val="18"/>
          </w:rPr>
          <w:t>r</w:t>
        </w:r>
        <w:r w:rsidRPr="004E7884">
          <w:rPr>
            <w:rStyle w:val="Hyperlink"/>
            <w:i/>
            <w:szCs w:val="18"/>
          </w:rPr>
          <w:t>eport</w:t>
        </w:r>
      </w:hyperlink>
      <w:r w:rsidRPr="004E7884">
        <w:rPr>
          <w:szCs w:val="18"/>
        </w:rPr>
        <w:t>, 2023, p 99</w:t>
      </w:r>
      <w:r>
        <w:rPr>
          <w:szCs w:val="18"/>
        </w:rPr>
        <w:t xml:space="preserve">, </w:t>
      </w:r>
      <w:r w:rsidRPr="005C11D6">
        <w:rPr>
          <w:szCs w:val="18"/>
        </w:rPr>
        <w:t>accessed 11 May 2026.</w:t>
      </w:r>
    </w:p>
  </w:footnote>
  <w:footnote w:id="672">
    <w:p w14:paraId="0B3C97E0" w14:textId="5FA135F5" w:rsidR="008D3466" w:rsidRPr="005C11D6" w:rsidRDefault="008D3466" w:rsidP="008D3466">
      <w:pPr>
        <w:pStyle w:val="FootnoteText"/>
        <w:rPr>
          <w:szCs w:val="18"/>
        </w:rPr>
      </w:pPr>
      <w:r w:rsidRPr="005C11D6">
        <w:rPr>
          <w:rStyle w:val="FootnoteReference"/>
          <w:szCs w:val="18"/>
        </w:rPr>
        <w:footnoteRef/>
      </w:r>
      <w:r w:rsidRPr="005C11D6">
        <w:rPr>
          <w:szCs w:val="18"/>
        </w:rPr>
        <w:t xml:space="preserve"> </w:t>
      </w:r>
      <w:hyperlink r:id="rId545" w:history="1">
        <w:r w:rsidRPr="005C11D6">
          <w:rPr>
            <w:rStyle w:val="Hyperlink"/>
            <w:szCs w:val="18"/>
          </w:rPr>
          <w:t>ACTU</w:t>
        </w:r>
      </w:hyperlink>
      <w:r w:rsidRPr="005C11D6">
        <w:rPr>
          <w:szCs w:val="18"/>
        </w:rPr>
        <w:t xml:space="preserve">, Submission, pp 35–36. See also ACTU, </w:t>
      </w:r>
      <w:hyperlink r:id="rId546" w:history="1">
        <w:r w:rsidRPr="005C11D6">
          <w:rPr>
            <w:rStyle w:val="Hyperlink"/>
            <w:i/>
            <w:iCs/>
            <w:szCs w:val="18"/>
          </w:rPr>
          <w:t xml:space="preserve">Work </w:t>
        </w:r>
        <w:r w:rsidR="00E966DB">
          <w:rPr>
            <w:rStyle w:val="Hyperlink"/>
            <w:i/>
            <w:iCs/>
            <w:szCs w:val="18"/>
          </w:rPr>
          <w:t>h</w:t>
        </w:r>
        <w:r w:rsidRPr="005C11D6">
          <w:rPr>
            <w:rStyle w:val="Hyperlink"/>
            <w:i/>
            <w:iCs/>
            <w:szCs w:val="18"/>
          </w:rPr>
          <w:t xml:space="preserve">ealth and </w:t>
        </w:r>
        <w:r w:rsidR="00E966DB">
          <w:rPr>
            <w:rStyle w:val="Hyperlink"/>
            <w:i/>
            <w:iCs/>
            <w:szCs w:val="18"/>
          </w:rPr>
          <w:t>s</w:t>
        </w:r>
        <w:r w:rsidRPr="005C11D6">
          <w:rPr>
            <w:rStyle w:val="Hyperlink"/>
            <w:i/>
            <w:iCs/>
            <w:szCs w:val="18"/>
          </w:rPr>
          <w:t xml:space="preserve">afety in the </w:t>
        </w:r>
        <w:r w:rsidR="00E966DB">
          <w:rPr>
            <w:rStyle w:val="Hyperlink"/>
            <w:i/>
            <w:iCs/>
            <w:szCs w:val="18"/>
          </w:rPr>
          <w:t>e</w:t>
        </w:r>
        <w:r w:rsidRPr="005C11D6">
          <w:rPr>
            <w:rStyle w:val="Hyperlink"/>
            <w:i/>
            <w:iCs/>
            <w:szCs w:val="18"/>
          </w:rPr>
          <w:t xml:space="preserve">ra of </w:t>
        </w:r>
        <w:r w:rsidR="00E966DB">
          <w:rPr>
            <w:rStyle w:val="Hyperlink"/>
            <w:i/>
            <w:iCs/>
            <w:szCs w:val="18"/>
          </w:rPr>
          <w:t>c</w:t>
        </w:r>
        <w:r w:rsidRPr="005C11D6">
          <w:rPr>
            <w:rStyle w:val="Hyperlink"/>
            <w:i/>
            <w:iCs/>
            <w:szCs w:val="18"/>
          </w:rPr>
          <w:t xml:space="preserve">limate </w:t>
        </w:r>
        <w:r w:rsidR="00E966DB">
          <w:rPr>
            <w:rStyle w:val="Hyperlink"/>
            <w:i/>
            <w:iCs/>
            <w:szCs w:val="18"/>
          </w:rPr>
          <w:t>cr</w:t>
        </w:r>
        <w:r w:rsidRPr="005C11D6">
          <w:rPr>
            <w:rStyle w:val="Hyperlink"/>
            <w:i/>
            <w:iCs/>
            <w:szCs w:val="18"/>
          </w:rPr>
          <w:t>isis</w:t>
        </w:r>
      </w:hyperlink>
      <w:r w:rsidRPr="005C11D6">
        <w:rPr>
          <w:szCs w:val="18"/>
        </w:rPr>
        <w:t xml:space="preserve">, </w:t>
      </w:r>
      <w:r>
        <w:rPr>
          <w:szCs w:val="18"/>
        </w:rPr>
        <w:t xml:space="preserve">ACTU, </w:t>
      </w:r>
      <w:r w:rsidRPr="005C11D6">
        <w:rPr>
          <w:szCs w:val="18"/>
        </w:rPr>
        <w:t>2025, accessed 18</w:t>
      </w:r>
      <w:r w:rsidR="00771199">
        <w:rPr>
          <w:szCs w:val="18"/>
        </w:rPr>
        <w:t> </w:t>
      </w:r>
      <w:r w:rsidRPr="005C11D6">
        <w:rPr>
          <w:szCs w:val="18"/>
        </w:rPr>
        <w:t>May 2026.</w:t>
      </w:r>
    </w:p>
  </w:footnote>
  <w:footnote w:id="673">
    <w:p w14:paraId="2E9B3462" w14:textId="055A0028" w:rsidR="008D3466" w:rsidRPr="005C11D6" w:rsidRDefault="008D3466" w:rsidP="008D3466">
      <w:pPr>
        <w:pStyle w:val="FootnoteText"/>
        <w:rPr>
          <w:szCs w:val="18"/>
        </w:rPr>
      </w:pPr>
      <w:r w:rsidRPr="005C11D6">
        <w:rPr>
          <w:rStyle w:val="FootnoteReference"/>
          <w:szCs w:val="18"/>
        </w:rPr>
        <w:footnoteRef/>
      </w:r>
      <w:r w:rsidRPr="005C11D6">
        <w:rPr>
          <w:szCs w:val="18"/>
        </w:rPr>
        <w:t xml:space="preserve"> </w:t>
      </w:r>
      <w:hyperlink r:id="rId547" w:history="1">
        <w:r w:rsidRPr="005C11D6">
          <w:rPr>
            <w:rStyle w:val="Hyperlink"/>
            <w:rFonts w:eastAsia="Aptos" w:cstheme="minorHAnsi"/>
            <w:szCs w:val="18"/>
          </w:rPr>
          <w:t>Community and Public Sector Union</w:t>
        </w:r>
      </w:hyperlink>
      <w:r w:rsidRPr="005C11D6">
        <w:rPr>
          <w:szCs w:val="18"/>
        </w:rPr>
        <w:t>, Submission, p 16.</w:t>
      </w:r>
    </w:p>
  </w:footnote>
  <w:footnote w:id="674">
    <w:p w14:paraId="13355C6F" w14:textId="6AEE0827" w:rsidR="008D3466" w:rsidRPr="005C11D6" w:rsidRDefault="008D3466" w:rsidP="008D3466">
      <w:pPr>
        <w:pStyle w:val="FootnoteText"/>
        <w:rPr>
          <w:szCs w:val="18"/>
        </w:rPr>
      </w:pPr>
      <w:r w:rsidRPr="005C11D6">
        <w:rPr>
          <w:rStyle w:val="FootnoteReference"/>
          <w:szCs w:val="18"/>
        </w:rPr>
        <w:footnoteRef/>
      </w:r>
      <w:r w:rsidRPr="005C11D6">
        <w:rPr>
          <w:szCs w:val="18"/>
        </w:rPr>
        <w:t xml:space="preserve"> </w:t>
      </w:r>
      <w:hyperlink r:id="rId548" w:history="1">
        <w:r w:rsidRPr="005C11D6">
          <w:rPr>
            <w:rStyle w:val="Hyperlink"/>
            <w:szCs w:val="18"/>
          </w:rPr>
          <w:t>NFF</w:t>
        </w:r>
      </w:hyperlink>
      <w:r w:rsidRPr="005C11D6">
        <w:rPr>
          <w:szCs w:val="18"/>
        </w:rPr>
        <w:t>, Submission, p 7.</w:t>
      </w:r>
    </w:p>
  </w:footnote>
  <w:footnote w:id="675">
    <w:p w14:paraId="0127D715" w14:textId="77777777" w:rsidR="008D3466" w:rsidRPr="005C11D6" w:rsidRDefault="008D3466" w:rsidP="008D3466">
      <w:pPr>
        <w:pStyle w:val="FootnoteText"/>
        <w:rPr>
          <w:szCs w:val="18"/>
        </w:rPr>
      </w:pPr>
      <w:r w:rsidRPr="005C11D6">
        <w:rPr>
          <w:rStyle w:val="FootnoteReference"/>
          <w:szCs w:val="18"/>
        </w:rPr>
        <w:footnoteRef/>
      </w:r>
      <w:r w:rsidRPr="005C11D6">
        <w:rPr>
          <w:szCs w:val="18"/>
        </w:rPr>
        <w:t xml:space="preserve"> </w:t>
      </w:r>
      <w:hyperlink r:id="rId549" w:history="1">
        <w:r w:rsidRPr="005C11D6">
          <w:rPr>
            <w:rStyle w:val="Hyperlink"/>
            <w:szCs w:val="18"/>
          </w:rPr>
          <w:t>Water Services Association of Australia</w:t>
        </w:r>
      </w:hyperlink>
      <w:r w:rsidRPr="005C11D6">
        <w:rPr>
          <w:szCs w:val="18"/>
        </w:rPr>
        <w:t>, Submission, p 6.</w:t>
      </w:r>
    </w:p>
  </w:footnote>
  <w:footnote w:id="676">
    <w:p w14:paraId="7073026A" w14:textId="757E5DF3" w:rsidR="001F4902" w:rsidRPr="005C11D6" w:rsidRDefault="001F4902" w:rsidP="001F4902">
      <w:pPr>
        <w:pStyle w:val="FootnoteText"/>
      </w:pPr>
      <w:r w:rsidRPr="005C11D6">
        <w:rPr>
          <w:rStyle w:val="FootnoteReference"/>
        </w:rPr>
        <w:footnoteRef/>
      </w:r>
      <w:r w:rsidRPr="005C11D6">
        <w:t xml:space="preserve"> ILO, </w:t>
      </w:r>
      <w:hyperlink r:id="rId550" w:history="1">
        <w:r w:rsidRPr="005C11D6">
          <w:rPr>
            <w:rStyle w:val="Hyperlink"/>
            <w:i/>
            <w:szCs w:val="18"/>
          </w:rPr>
          <w:t>Ensuring safety and health at work in a changing climate</w:t>
        </w:r>
      </w:hyperlink>
      <w:r w:rsidRPr="005C11D6">
        <w:t xml:space="preserve">, </w:t>
      </w:r>
      <w:r>
        <w:t xml:space="preserve">ILO, </w:t>
      </w:r>
      <w:r w:rsidRPr="005C11D6">
        <w:t>2024</w:t>
      </w:r>
      <w:r>
        <w:t>;</w:t>
      </w:r>
      <w:r w:rsidRPr="005C11D6">
        <w:t xml:space="preserve"> and </w:t>
      </w:r>
      <w:r w:rsidRPr="005C11D6">
        <w:rPr>
          <w:szCs w:val="18"/>
        </w:rPr>
        <w:t xml:space="preserve">ILO, </w:t>
      </w:r>
      <w:hyperlink r:id="rId551" w:history="1">
        <w:r w:rsidRPr="005C11D6">
          <w:rPr>
            <w:rStyle w:val="Hyperlink"/>
            <w:i/>
            <w:szCs w:val="18"/>
          </w:rPr>
          <w:t xml:space="preserve">Heat at </w:t>
        </w:r>
        <w:r w:rsidR="00E966DB">
          <w:rPr>
            <w:rStyle w:val="Hyperlink"/>
            <w:i/>
            <w:szCs w:val="18"/>
          </w:rPr>
          <w:t>w</w:t>
        </w:r>
        <w:r w:rsidRPr="005C11D6">
          <w:rPr>
            <w:rStyle w:val="Hyperlink"/>
            <w:i/>
            <w:szCs w:val="18"/>
          </w:rPr>
          <w:t xml:space="preserve">ork: Implications for </w:t>
        </w:r>
        <w:r w:rsidR="00E966DB">
          <w:rPr>
            <w:rStyle w:val="Hyperlink"/>
            <w:i/>
            <w:szCs w:val="18"/>
          </w:rPr>
          <w:t>s</w:t>
        </w:r>
        <w:r w:rsidRPr="005C11D6">
          <w:rPr>
            <w:rStyle w:val="Hyperlink"/>
            <w:i/>
            <w:szCs w:val="18"/>
          </w:rPr>
          <w:t xml:space="preserve">afety and </w:t>
        </w:r>
        <w:r w:rsidR="00E966DB">
          <w:rPr>
            <w:rStyle w:val="Hyperlink"/>
            <w:i/>
            <w:szCs w:val="18"/>
          </w:rPr>
          <w:t>h</w:t>
        </w:r>
        <w:r w:rsidRPr="005C11D6">
          <w:rPr>
            <w:rStyle w:val="Hyperlink"/>
            <w:i/>
            <w:szCs w:val="18"/>
          </w:rPr>
          <w:t>ealth</w:t>
        </w:r>
      </w:hyperlink>
      <w:r w:rsidRPr="005C11D6">
        <w:rPr>
          <w:szCs w:val="18"/>
        </w:rPr>
        <w:t xml:space="preserve">, </w:t>
      </w:r>
      <w:r>
        <w:rPr>
          <w:szCs w:val="18"/>
        </w:rPr>
        <w:t xml:space="preserve">ILO, </w:t>
      </w:r>
      <w:r w:rsidRPr="005C11D6">
        <w:rPr>
          <w:szCs w:val="18"/>
        </w:rPr>
        <w:t>2024.</w:t>
      </w:r>
    </w:p>
  </w:footnote>
  <w:footnote w:id="677">
    <w:p w14:paraId="073088C9" w14:textId="77777777" w:rsidR="001F4902" w:rsidRPr="005C11D6" w:rsidRDefault="001F4902" w:rsidP="001F4902">
      <w:pPr>
        <w:pStyle w:val="FootnoteText"/>
        <w:rPr>
          <w:szCs w:val="18"/>
        </w:rPr>
      </w:pPr>
      <w:r w:rsidRPr="005C11D6">
        <w:rPr>
          <w:rStyle w:val="FootnoteReference"/>
          <w:szCs w:val="18"/>
        </w:rPr>
        <w:footnoteRef/>
      </w:r>
      <w:r w:rsidRPr="005C11D6">
        <w:rPr>
          <w:szCs w:val="18"/>
        </w:rPr>
        <w:t xml:space="preserve"> ILO, </w:t>
      </w:r>
      <w:hyperlink r:id="rId552" w:history="1">
        <w:r w:rsidRPr="005C11D6">
          <w:rPr>
            <w:rStyle w:val="Hyperlink"/>
            <w:i/>
            <w:szCs w:val="18"/>
          </w:rPr>
          <w:t>Ensuring safety and health at work in a changing climate</w:t>
        </w:r>
      </w:hyperlink>
      <w:r w:rsidRPr="005C11D6">
        <w:rPr>
          <w:szCs w:val="18"/>
        </w:rPr>
        <w:t xml:space="preserve">, </w:t>
      </w:r>
      <w:r>
        <w:rPr>
          <w:szCs w:val="18"/>
        </w:rPr>
        <w:t xml:space="preserve">ILO, </w:t>
      </w:r>
      <w:r w:rsidRPr="005C11D6">
        <w:rPr>
          <w:szCs w:val="18"/>
        </w:rPr>
        <w:t>2024</w:t>
      </w:r>
      <w:r>
        <w:rPr>
          <w:szCs w:val="18"/>
        </w:rPr>
        <w:t>,</w:t>
      </w:r>
      <w:r w:rsidRPr="005C11D6">
        <w:rPr>
          <w:szCs w:val="18"/>
        </w:rPr>
        <w:t xml:space="preserve"> p 14.</w:t>
      </w:r>
    </w:p>
  </w:footnote>
  <w:footnote w:id="678">
    <w:p w14:paraId="6BFC31CD" w14:textId="77777777" w:rsidR="001F4902" w:rsidRPr="005C11D6" w:rsidRDefault="001F4902" w:rsidP="001F4902">
      <w:pPr>
        <w:pStyle w:val="FootnoteText"/>
        <w:rPr>
          <w:szCs w:val="18"/>
        </w:rPr>
      </w:pPr>
      <w:r w:rsidRPr="005C11D6">
        <w:rPr>
          <w:rStyle w:val="FootnoteReference"/>
          <w:szCs w:val="18"/>
        </w:rPr>
        <w:footnoteRef/>
      </w:r>
      <w:r w:rsidRPr="005C11D6">
        <w:rPr>
          <w:szCs w:val="18"/>
        </w:rPr>
        <w:t xml:space="preserve"> DCCEEW, </w:t>
      </w:r>
      <w:hyperlink r:id="rId553" w:history="1">
        <w:r w:rsidRPr="005C11D6">
          <w:rPr>
            <w:rStyle w:val="Hyperlink"/>
            <w:i/>
            <w:szCs w:val="18"/>
          </w:rPr>
          <w:t>National Adaptation Plan</w:t>
        </w:r>
      </w:hyperlink>
      <w:r w:rsidRPr="005C11D6">
        <w:rPr>
          <w:szCs w:val="18"/>
        </w:rPr>
        <w:t xml:space="preserve">, </w:t>
      </w:r>
      <w:r>
        <w:rPr>
          <w:szCs w:val="18"/>
        </w:rPr>
        <w:t xml:space="preserve">Australian Government, </w:t>
      </w:r>
      <w:r w:rsidRPr="005C11D6">
        <w:rPr>
          <w:szCs w:val="18"/>
        </w:rPr>
        <w:t xml:space="preserve">2025, </w:t>
      </w:r>
      <w:r>
        <w:rPr>
          <w:szCs w:val="18"/>
        </w:rPr>
        <w:t xml:space="preserve">p 40, </w:t>
      </w:r>
      <w:r w:rsidRPr="005C11D6">
        <w:rPr>
          <w:szCs w:val="18"/>
        </w:rPr>
        <w:t xml:space="preserve">accessed 1 May 2026; Department of Health and Aged Care, </w:t>
      </w:r>
      <w:hyperlink r:id="rId554" w:history="1">
        <w:r w:rsidRPr="005C11D6">
          <w:rPr>
            <w:rStyle w:val="Hyperlink"/>
            <w:i/>
            <w:szCs w:val="18"/>
          </w:rPr>
          <w:t>National Health and Climate Strategy</w:t>
        </w:r>
      </w:hyperlink>
      <w:r w:rsidRPr="005C11D6">
        <w:rPr>
          <w:szCs w:val="18"/>
        </w:rPr>
        <w:t xml:space="preserve">, </w:t>
      </w:r>
      <w:r>
        <w:rPr>
          <w:szCs w:val="18"/>
        </w:rPr>
        <w:t xml:space="preserve">Australian Government, </w:t>
      </w:r>
      <w:r w:rsidRPr="005C11D6">
        <w:rPr>
          <w:szCs w:val="18"/>
        </w:rPr>
        <w:t xml:space="preserve">2023, </w:t>
      </w:r>
      <w:r>
        <w:rPr>
          <w:szCs w:val="18"/>
        </w:rPr>
        <w:t xml:space="preserve">p 20, </w:t>
      </w:r>
      <w:r w:rsidRPr="005C11D6">
        <w:rPr>
          <w:szCs w:val="18"/>
        </w:rPr>
        <w:t>accessed 1 May 2026.</w:t>
      </w:r>
    </w:p>
  </w:footnote>
  <w:footnote w:id="679">
    <w:p w14:paraId="450F7ACF" w14:textId="20FF1452" w:rsidR="001F4902" w:rsidRPr="005C11D6" w:rsidRDefault="001F4902" w:rsidP="001F4902">
      <w:pPr>
        <w:pStyle w:val="FootnoteText"/>
      </w:pPr>
      <w:r w:rsidRPr="005C11D6">
        <w:rPr>
          <w:rStyle w:val="FootnoteReference"/>
        </w:rPr>
        <w:footnoteRef/>
      </w:r>
      <w:r w:rsidRPr="005C11D6">
        <w:t xml:space="preserve"> Department of Health and Aged Care, </w:t>
      </w:r>
      <w:hyperlink r:id="rId555" w:history="1">
        <w:r w:rsidRPr="005C11D6">
          <w:rPr>
            <w:rStyle w:val="Hyperlink"/>
            <w:i/>
            <w:szCs w:val="18"/>
          </w:rPr>
          <w:t>National Health and Climate Strategy</w:t>
        </w:r>
      </w:hyperlink>
      <w:r w:rsidRPr="005C11D6">
        <w:t xml:space="preserve">, </w:t>
      </w:r>
      <w:r>
        <w:t xml:space="preserve">Australian Government, </w:t>
      </w:r>
      <w:r w:rsidRPr="005C11D6">
        <w:t>2023, p 94.</w:t>
      </w:r>
    </w:p>
  </w:footnote>
  <w:footnote w:id="680">
    <w:p w14:paraId="7DE7426B" w14:textId="3FD21DA6" w:rsidR="001F4902" w:rsidRPr="005C11D6" w:rsidRDefault="001F4902" w:rsidP="001F4902">
      <w:pPr>
        <w:pStyle w:val="FootnoteText"/>
        <w:rPr>
          <w:szCs w:val="18"/>
        </w:rPr>
      </w:pPr>
      <w:r w:rsidRPr="005C11D6">
        <w:rPr>
          <w:rStyle w:val="FootnoteReference"/>
          <w:szCs w:val="18"/>
        </w:rPr>
        <w:footnoteRef/>
      </w:r>
      <w:r w:rsidRPr="005C11D6">
        <w:rPr>
          <w:szCs w:val="18"/>
        </w:rPr>
        <w:t xml:space="preserve"> Safe Work Australia, </w:t>
      </w:r>
      <w:hyperlink r:id="rId556" w:history="1">
        <w:r w:rsidRPr="005C11D6">
          <w:rPr>
            <w:rStyle w:val="Hyperlink"/>
            <w:i/>
            <w:szCs w:val="18"/>
          </w:rPr>
          <w:t>Australian WHS Strategy 2023</w:t>
        </w:r>
        <w:r w:rsidR="00E966DB">
          <w:rPr>
            <w:rStyle w:val="Hyperlink"/>
            <w:rFonts w:ascii="Symbol" w:eastAsia="Symbol" w:hAnsi="Symbol" w:cs="Symbol"/>
            <w:i/>
            <w:szCs w:val="18"/>
          </w:rPr>
          <w:t>-</w:t>
        </w:r>
        <w:r w:rsidRPr="005C11D6">
          <w:rPr>
            <w:rStyle w:val="Hyperlink"/>
            <w:i/>
            <w:szCs w:val="18"/>
          </w:rPr>
          <w:t>2033</w:t>
        </w:r>
      </w:hyperlink>
      <w:r w:rsidRPr="005C11D6">
        <w:rPr>
          <w:szCs w:val="18"/>
        </w:rPr>
        <w:t xml:space="preserve">, </w:t>
      </w:r>
      <w:r>
        <w:rPr>
          <w:szCs w:val="18"/>
        </w:rPr>
        <w:t xml:space="preserve">Safe Work Australia, </w:t>
      </w:r>
      <w:r w:rsidRPr="005C11D6">
        <w:rPr>
          <w:szCs w:val="18"/>
        </w:rPr>
        <w:t xml:space="preserve">February 2023, </w:t>
      </w:r>
      <w:r>
        <w:rPr>
          <w:szCs w:val="18"/>
        </w:rPr>
        <w:t xml:space="preserve">p 9, </w:t>
      </w:r>
      <w:r w:rsidRPr="005C11D6">
        <w:rPr>
          <w:szCs w:val="18"/>
        </w:rPr>
        <w:t>accessed 11 May 2026.</w:t>
      </w:r>
    </w:p>
  </w:footnote>
  <w:footnote w:id="681">
    <w:p w14:paraId="6F7FE7BE" w14:textId="77777777" w:rsidR="00F21CE3" w:rsidRDefault="001F4902" w:rsidP="001F4902">
      <w:pPr>
        <w:pStyle w:val="FootnoteText"/>
        <w:rPr>
          <w:szCs w:val="18"/>
        </w:rPr>
      </w:pPr>
      <w:r w:rsidRPr="005C11D6">
        <w:rPr>
          <w:rStyle w:val="FootnoteReference"/>
          <w:szCs w:val="18"/>
        </w:rPr>
        <w:footnoteRef/>
      </w:r>
      <w:r w:rsidRPr="005C11D6">
        <w:rPr>
          <w:szCs w:val="18"/>
        </w:rPr>
        <w:t xml:space="preserve"> Convention No. 155 requires Member States to formulate, implement and periodically review a coherent national policy on occupational safety and health and the working environment.</w:t>
      </w:r>
    </w:p>
    <w:p w14:paraId="2BEC004D" w14:textId="1901A767" w:rsidR="001F4902" w:rsidRPr="005C11D6" w:rsidRDefault="001F4902" w:rsidP="001F4902">
      <w:pPr>
        <w:pStyle w:val="FootnoteText"/>
        <w:rPr>
          <w:szCs w:val="18"/>
        </w:rPr>
      </w:pPr>
    </w:p>
  </w:footnote>
  <w:footnote w:id="682">
    <w:p w14:paraId="17D46683" w14:textId="3010D456" w:rsidR="001F4902" w:rsidRPr="005C11D6" w:rsidRDefault="001F4902" w:rsidP="001F4902">
      <w:pPr>
        <w:pStyle w:val="FootnoteText"/>
        <w:rPr>
          <w:szCs w:val="18"/>
        </w:rPr>
      </w:pPr>
      <w:r w:rsidRPr="005C11D6">
        <w:rPr>
          <w:rStyle w:val="FootnoteReference"/>
          <w:szCs w:val="18"/>
        </w:rPr>
        <w:footnoteRef/>
      </w:r>
      <w:r w:rsidRPr="005C11D6">
        <w:rPr>
          <w:szCs w:val="18"/>
        </w:rPr>
        <w:t xml:space="preserve"> E Humphrys, ‘</w:t>
      </w:r>
      <w:hyperlink r:id="rId557" w:history="1">
        <w:r w:rsidRPr="005C11D6">
          <w:rPr>
            <w:rStyle w:val="Hyperlink"/>
            <w:szCs w:val="18"/>
          </w:rPr>
          <w:t>Inertia in transformed times: Work health and safety admit climate change</w:t>
        </w:r>
      </w:hyperlink>
      <w:r w:rsidRPr="005C11D6">
        <w:rPr>
          <w:szCs w:val="18"/>
        </w:rPr>
        <w:t xml:space="preserve">’, </w:t>
      </w:r>
      <w:r w:rsidRPr="005C11D6">
        <w:rPr>
          <w:i/>
          <w:szCs w:val="18"/>
        </w:rPr>
        <w:t>Journal of Industrial Relations</w:t>
      </w:r>
      <w:r w:rsidRPr="005C11D6">
        <w:rPr>
          <w:szCs w:val="18"/>
        </w:rPr>
        <w:t>, 2024, 66(5</w:t>
      </w:r>
      <w:r w:rsidRPr="004E7884">
        <w:rPr>
          <w:szCs w:val="18"/>
        </w:rPr>
        <w:t>):685, p</w:t>
      </w:r>
      <w:r w:rsidRPr="005C11D6">
        <w:rPr>
          <w:szCs w:val="18"/>
        </w:rPr>
        <w:t xml:space="preserve"> 687.</w:t>
      </w:r>
    </w:p>
  </w:footnote>
  <w:footnote w:id="683">
    <w:p w14:paraId="4A6D6F94" w14:textId="77777777" w:rsidR="001F4902" w:rsidRPr="005C11D6" w:rsidRDefault="001F4902" w:rsidP="001F4902">
      <w:pPr>
        <w:pStyle w:val="FootnoteText"/>
        <w:rPr>
          <w:szCs w:val="18"/>
        </w:rPr>
      </w:pPr>
      <w:r w:rsidRPr="005C11D6">
        <w:rPr>
          <w:rStyle w:val="FootnoteReference"/>
          <w:szCs w:val="18"/>
        </w:rPr>
        <w:footnoteRef/>
      </w:r>
      <w:r w:rsidRPr="005C11D6">
        <w:rPr>
          <w:szCs w:val="18"/>
        </w:rPr>
        <w:t xml:space="preserve"> Work Health and Safety (Managing the Risks Associated with Extreme Temperatures</w:t>
      </w:r>
      <w:r>
        <w:rPr>
          <w:szCs w:val="18"/>
        </w:rPr>
        <w:t>)</w:t>
      </w:r>
      <w:r w:rsidRPr="005C11D6">
        <w:rPr>
          <w:szCs w:val="18"/>
        </w:rPr>
        <w:t xml:space="preserve"> Code of Practice 2025 (ACT).</w:t>
      </w:r>
    </w:p>
  </w:footnote>
  <w:footnote w:id="684">
    <w:p w14:paraId="635E5F40" w14:textId="5146F300" w:rsidR="001F4902" w:rsidRPr="005C11D6" w:rsidRDefault="001F4902" w:rsidP="001F4902">
      <w:pPr>
        <w:pStyle w:val="FootnoteText"/>
        <w:rPr>
          <w:szCs w:val="18"/>
        </w:rPr>
      </w:pPr>
      <w:r w:rsidRPr="005C11D6">
        <w:rPr>
          <w:rStyle w:val="FootnoteReference"/>
          <w:szCs w:val="18"/>
        </w:rPr>
        <w:footnoteRef/>
      </w:r>
      <w:r w:rsidRPr="005C11D6">
        <w:rPr>
          <w:szCs w:val="18"/>
        </w:rPr>
        <w:t xml:space="preserve"> NSW Net Zero Commission, </w:t>
      </w:r>
      <w:hyperlink r:id="rId558" w:history="1">
        <w:r w:rsidRPr="005C11D6">
          <w:rPr>
            <w:rStyle w:val="Hyperlink"/>
            <w:i/>
            <w:szCs w:val="18"/>
          </w:rPr>
          <w:t xml:space="preserve">Heat </w:t>
        </w:r>
        <w:r w:rsidR="00E966DB">
          <w:rPr>
            <w:rStyle w:val="Hyperlink"/>
            <w:i/>
            <w:szCs w:val="18"/>
          </w:rPr>
          <w:t>s</w:t>
        </w:r>
        <w:r w:rsidRPr="005C11D6">
          <w:rPr>
            <w:rStyle w:val="Hyperlink"/>
            <w:i/>
            <w:szCs w:val="18"/>
          </w:rPr>
          <w:t xml:space="preserve">tress </w:t>
        </w:r>
        <w:r w:rsidR="00E966DB">
          <w:rPr>
            <w:rStyle w:val="Hyperlink"/>
            <w:i/>
            <w:szCs w:val="18"/>
          </w:rPr>
          <w:t>s</w:t>
        </w:r>
        <w:r w:rsidRPr="005C11D6">
          <w:rPr>
            <w:rStyle w:val="Hyperlink"/>
            <w:i/>
            <w:szCs w:val="18"/>
          </w:rPr>
          <w:t xml:space="preserve">potlight </w:t>
        </w:r>
        <w:r w:rsidR="00E966DB">
          <w:rPr>
            <w:rStyle w:val="Hyperlink"/>
            <w:i/>
            <w:szCs w:val="18"/>
          </w:rPr>
          <w:t>r</w:t>
        </w:r>
        <w:r w:rsidRPr="005C11D6">
          <w:rPr>
            <w:rStyle w:val="Hyperlink"/>
            <w:i/>
            <w:szCs w:val="18"/>
          </w:rPr>
          <w:t>eport</w:t>
        </w:r>
      </w:hyperlink>
      <w:r w:rsidRPr="005C11D6">
        <w:rPr>
          <w:szCs w:val="18"/>
        </w:rPr>
        <w:t xml:space="preserve">, </w:t>
      </w:r>
      <w:r>
        <w:rPr>
          <w:szCs w:val="18"/>
        </w:rPr>
        <w:t xml:space="preserve">NSW Net Zero Commission, </w:t>
      </w:r>
      <w:r w:rsidRPr="005C11D6">
        <w:rPr>
          <w:szCs w:val="18"/>
        </w:rPr>
        <w:t xml:space="preserve">2026, </w:t>
      </w:r>
      <w:r>
        <w:rPr>
          <w:szCs w:val="18"/>
        </w:rPr>
        <w:t>p 48,</w:t>
      </w:r>
      <w:r w:rsidRPr="005C11D6" w:rsidDel="00340BE5">
        <w:rPr>
          <w:szCs w:val="18"/>
        </w:rPr>
        <w:t xml:space="preserve"> </w:t>
      </w:r>
      <w:r w:rsidRPr="005C11D6">
        <w:rPr>
          <w:szCs w:val="18"/>
        </w:rPr>
        <w:t>accessed 11 May 2026.</w:t>
      </w:r>
    </w:p>
  </w:footnote>
  <w:footnote w:id="685">
    <w:p w14:paraId="3678F5F7" w14:textId="7AE77D9D" w:rsidR="001F4902" w:rsidRPr="00C554C9" w:rsidRDefault="001F4902" w:rsidP="001F4902">
      <w:pPr>
        <w:pStyle w:val="FootnoteText"/>
        <w:rPr>
          <w:szCs w:val="18"/>
        </w:rPr>
      </w:pPr>
      <w:r w:rsidRPr="00C554C9">
        <w:rPr>
          <w:rStyle w:val="FootnoteReference"/>
          <w:szCs w:val="18"/>
        </w:rPr>
        <w:footnoteRef/>
      </w:r>
      <w:r w:rsidRPr="00C554C9">
        <w:rPr>
          <w:szCs w:val="18"/>
        </w:rPr>
        <w:t xml:space="preserve"> P Hurley, M Hildebrandt, E Knight, C Nguyen and S Hoang, </w:t>
      </w:r>
      <w:hyperlink r:id="rId559" w:history="1">
        <w:r w:rsidRPr="00C554C9">
          <w:rPr>
            <w:rStyle w:val="Hyperlink"/>
            <w:i/>
            <w:szCs w:val="18"/>
          </w:rPr>
          <w:t xml:space="preserve">Counting </w:t>
        </w:r>
        <w:r w:rsidR="00E966DB">
          <w:rPr>
            <w:rStyle w:val="Hyperlink"/>
            <w:i/>
            <w:szCs w:val="18"/>
          </w:rPr>
          <w:t>d</w:t>
        </w:r>
        <w:r w:rsidRPr="00C554C9">
          <w:rPr>
            <w:rStyle w:val="Hyperlink"/>
            <w:i/>
            <w:szCs w:val="18"/>
          </w:rPr>
          <w:t xml:space="preserve">own to </w:t>
        </w:r>
        <w:r>
          <w:rPr>
            <w:rStyle w:val="Hyperlink"/>
            <w:i/>
            <w:szCs w:val="18"/>
          </w:rPr>
          <w:t>N</w:t>
        </w:r>
        <w:r w:rsidRPr="00C554C9">
          <w:rPr>
            <w:rStyle w:val="Hyperlink"/>
            <w:i/>
            <w:szCs w:val="18"/>
          </w:rPr>
          <w:t xml:space="preserve">et </w:t>
        </w:r>
        <w:r w:rsidRPr="00C554C9" w:rsidDel="00340BE5">
          <w:rPr>
            <w:rStyle w:val="Hyperlink"/>
            <w:i/>
            <w:szCs w:val="18"/>
          </w:rPr>
          <w:t>Z</w:t>
        </w:r>
        <w:r w:rsidRPr="00C554C9">
          <w:rPr>
            <w:rStyle w:val="Hyperlink"/>
            <w:i/>
            <w:szCs w:val="18"/>
          </w:rPr>
          <w:t xml:space="preserve">ero 2050: Australian </w:t>
        </w:r>
        <w:r w:rsidR="00E966DB">
          <w:rPr>
            <w:rStyle w:val="Hyperlink"/>
            <w:i/>
            <w:szCs w:val="18"/>
          </w:rPr>
          <w:t>l</w:t>
        </w:r>
        <w:r w:rsidRPr="00C554C9">
          <w:rPr>
            <w:rStyle w:val="Hyperlink"/>
            <w:i/>
            <w:szCs w:val="18"/>
          </w:rPr>
          <w:t xml:space="preserve">abour </w:t>
        </w:r>
        <w:r w:rsidR="00E966DB">
          <w:rPr>
            <w:rStyle w:val="Hyperlink"/>
            <w:i/>
            <w:szCs w:val="18"/>
          </w:rPr>
          <w:t>m</w:t>
        </w:r>
        <w:r w:rsidRPr="00C554C9">
          <w:rPr>
            <w:rStyle w:val="Hyperlink"/>
            <w:i/>
            <w:szCs w:val="18"/>
          </w:rPr>
          <w:t>arket</w:t>
        </w:r>
        <w:r>
          <w:rPr>
            <w:rStyle w:val="Hyperlink"/>
            <w:i/>
            <w:szCs w:val="18"/>
          </w:rPr>
          <w:t xml:space="preserve"> </w:t>
        </w:r>
        <w:r w:rsidR="00E966DB">
          <w:rPr>
            <w:rStyle w:val="Hyperlink"/>
            <w:i/>
            <w:szCs w:val="18"/>
          </w:rPr>
          <w:t>i</w:t>
        </w:r>
        <w:r w:rsidRPr="00C554C9">
          <w:rPr>
            <w:rStyle w:val="Hyperlink"/>
            <w:i/>
            <w:szCs w:val="18"/>
          </w:rPr>
          <w:t xml:space="preserve">mpacts and </w:t>
        </w:r>
        <w:r w:rsidR="00E966DB">
          <w:rPr>
            <w:rStyle w:val="Hyperlink"/>
            <w:i/>
            <w:szCs w:val="18"/>
          </w:rPr>
          <w:t>r</w:t>
        </w:r>
        <w:r w:rsidRPr="00C554C9">
          <w:rPr>
            <w:rStyle w:val="Hyperlink"/>
            <w:i/>
            <w:szCs w:val="18"/>
          </w:rPr>
          <w:t xml:space="preserve">egional </w:t>
        </w:r>
        <w:r w:rsidR="00E966DB">
          <w:rPr>
            <w:rStyle w:val="Hyperlink"/>
            <w:i/>
            <w:szCs w:val="18"/>
          </w:rPr>
          <w:t>t</w:t>
        </w:r>
        <w:r w:rsidRPr="00C554C9">
          <w:rPr>
            <w:rStyle w:val="Hyperlink"/>
            <w:i/>
            <w:szCs w:val="18"/>
          </w:rPr>
          <w:t xml:space="preserve">raining </w:t>
        </w:r>
        <w:r w:rsidR="00E966DB">
          <w:rPr>
            <w:rStyle w:val="Hyperlink"/>
            <w:i/>
            <w:szCs w:val="18"/>
          </w:rPr>
          <w:t>r</w:t>
        </w:r>
        <w:r w:rsidRPr="00C554C9">
          <w:rPr>
            <w:rStyle w:val="Hyperlink"/>
            <w:i/>
            <w:szCs w:val="18"/>
          </w:rPr>
          <w:t>esponses</w:t>
        </w:r>
      </w:hyperlink>
      <w:r w:rsidRPr="00C554C9">
        <w:rPr>
          <w:i/>
          <w:szCs w:val="18"/>
        </w:rPr>
        <w:t xml:space="preserve">, </w:t>
      </w:r>
      <w:r w:rsidRPr="00C554C9">
        <w:rPr>
          <w:szCs w:val="18"/>
        </w:rPr>
        <w:t xml:space="preserve">2023, </w:t>
      </w:r>
      <w:r>
        <w:rPr>
          <w:szCs w:val="18"/>
        </w:rPr>
        <w:t xml:space="preserve">p 12, </w:t>
      </w:r>
      <w:r w:rsidRPr="00C554C9">
        <w:rPr>
          <w:szCs w:val="18"/>
        </w:rPr>
        <w:t>accessed 11 May 2026.</w:t>
      </w:r>
    </w:p>
  </w:footnote>
  <w:footnote w:id="686">
    <w:p w14:paraId="5980C4CB" w14:textId="002A6B98" w:rsidR="001F4902" w:rsidRPr="00C554C9" w:rsidRDefault="001F4902" w:rsidP="001F4902">
      <w:pPr>
        <w:pStyle w:val="FootnoteText"/>
        <w:rPr>
          <w:szCs w:val="18"/>
        </w:rPr>
      </w:pPr>
      <w:r w:rsidRPr="00C554C9">
        <w:rPr>
          <w:rStyle w:val="FootnoteReference"/>
          <w:szCs w:val="18"/>
        </w:rPr>
        <w:footnoteRef/>
      </w:r>
      <w:r w:rsidRPr="00C554C9">
        <w:rPr>
          <w:szCs w:val="18"/>
        </w:rPr>
        <w:t xml:space="preserve"> Jobs and Skills Australia</w:t>
      </w:r>
      <w:hyperlink r:id="rId560" w:history="1">
        <w:r w:rsidRPr="00C554C9">
          <w:rPr>
            <w:rStyle w:val="Hyperlink"/>
            <w:color w:val="auto"/>
            <w:szCs w:val="18"/>
            <w:u w:val="none"/>
          </w:rPr>
          <w:t>,</w:t>
        </w:r>
        <w:r w:rsidRPr="00C554C9">
          <w:rPr>
            <w:rStyle w:val="Hyperlink"/>
            <w:szCs w:val="18"/>
            <w:u w:val="none"/>
          </w:rPr>
          <w:t xml:space="preserve"> </w:t>
        </w:r>
        <w:r w:rsidRPr="00C554C9">
          <w:rPr>
            <w:rStyle w:val="Hyperlink"/>
            <w:i/>
            <w:szCs w:val="18"/>
          </w:rPr>
          <w:t xml:space="preserve">The </w:t>
        </w:r>
        <w:r w:rsidR="00E966DB">
          <w:rPr>
            <w:rStyle w:val="Hyperlink"/>
            <w:i/>
            <w:szCs w:val="18"/>
          </w:rPr>
          <w:t>c</w:t>
        </w:r>
        <w:r w:rsidRPr="00C554C9">
          <w:rPr>
            <w:rStyle w:val="Hyperlink"/>
            <w:i/>
            <w:szCs w:val="18"/>
          </w:rPr>
          <w:t xml:space="preserve">lean </w:t>
        </w:r>
        <w:r w:rsidR="00E966DB">
          <w:rPr>
            <w:rStyle w:val="Hyperlink"/>
            <w:i/>
            <w:szCs w:val="18"/>
          </w:rPr>
          <w:t>e</w:t>
        </w:r>
        <w:r w:rsidRPr="00C554C9">
          <w:rPr>
            <w:rStyle w:val="Hyperlink"/>
            <w:i/>
            <w:szCs w:val="18"/>
          </w:rPr>
          <w:t xml:space="preserve">nergy </w:t>
        </w:r>
        <w:r w:rsidR="00E966DB">
          <w:rPr>
            <w:rStyle w:val="Hyperlink"/>
            <w:i/>
            <w:szCs w:val="18"/>
          </w:rPr>
          <w:t>g</w:t>
        </w:r>
        <w:r w:rsidRPr="00C554C9">
          <w:rPr>
            <w:rStyle w:val="Hyperlink"/>
            <w:i/>
            <w:szCs w:val="18"/>
          </w:rPr>
          <w:t>eneration</w:t>
        </w:r>
      </w:hyperlink>
      <w:r w:rsidRPr="00C554C9">
        <w:rPr>
          <w:szCs w:val="18"/>
        </w:rPr>
        <w:t xml:space="preserve">, </w:t>
      </w:r>
      <w:r>
        <w:rPr>
          <w:szCs w:val="18"/>
        </w:rPr>
        <w:t xml:space="preserve">Jobs and Skills Australia, </w:t>
      </w:r>
      <w:r w:rsidRPr="00C554C9">
        <w:rPr>
          <w:szCs w:val="18"/>
        </w:rPr>
        <w:t xml:space="preserve">October 2023, </w:t>
      </w:r>
      <w:r>
        <w:rPr>
          <w:szCs w:val="18"/>
        </w:rPr>
        <w:t xml:space="preserve">p 156, </w:t>
      </w:r>
      <w:r w:rsidRPr="00C554C9">
        <w:rPr>
          <w:szCs w:val="18"/>
        </w:rPr>
        <w:t>accessed 30 April 2026.</w:t>
      </w:r>
    </w:p>
  </w:footnote>
  <w:footnote w:id="687">
    <w:p w14:paraId="3C0A8533" w14:textId="77777777" w:rsidR="001F4902" w:rsidRPr="00C554C9" w:rsidRDefault="001F4902" w:rsidP="001F4902">
      <w:pPr>
        <w:pStyle w:val="FootnoteText"/>
        <w:rPr>
          <w:szCs w:val="18"/>
        </w:rPr>
      </w:pPr>
      <w:r w:rsidRPr="00C554C9">
        <w:rPr>
          <w:rStyle w:val="FootnoteReference"/>
          <w:szCs w:val="18"/>
        </w:rPr>
        <w:footnoteRef/>
      </w:r>
      <w:r w:rsidRPr="00C554C9">
        <w:rPr>
          <w:szCs w:val="18"/>
        </w:rPr>
        <w:t xml:space="preserve"> Jobs and Skills Australia</w:t>
      </w:r>
      <w:hyperlink r:id="rId561" w:history="1">
        <w:r w:rsidRPr="00C554C9">
          <w:rPr>
            <w:rStyle w:val="Hyperlink"/>
            <w:color w:val="auto"/>
            <w:szCs w:val="18"/>
            <w:u w:val="none"/>
          </w:rPr>
          <w:t>,</w:t>
        </w:r>
        <w:r w:rsidRPr="00C554C9">
          <w:rPr>
            <w:rStyle w:val="Hyperlink"/>
            <w:szCs w:val="18"/>
            <w:u w:val="none"/>
          </w:rPr>
          <w:t xml:space="preserve"> </w:t>
        </w:r>
        <w:r w:rsidRPr="00C554C9">
          <w:rPr>
            <w:rStyle w:val="Hyperlink"/>
            <w:i/>
            <w:szCs w:val="18"/>
          </w:rPr>
          <w:t xml:space="preserve">The </w:t>
        </w:r>
        <w:r>
          <w:rPr>
            <w:rStyle w:val="Hyperlink"/>
            <w:i/>
            <w:szCs w:val="18"/>
          </w:rPr>
          <w:t>c</w:t>
        </w:r>
        <w:r w:rsidRPr="00C554C9">
          <w:rPr>
            <w:rStyle w:val="Hyperlink"/>
            <w:i/>
            <w:szCs w:val="18"/>
          </w:rPr>
          <w:t xml:space="preserve">lean </w:t>
        </w:r>
        <w:r>
          <w:rPr>
            <w:rStyle w:val="Hyperlink"/>
            <w:i/>
            <w:szCs w:val="18"/>
          </w:rPr>
          <w:t>e</w:t>
        </w:r>
        <w:r w:rsidRPr="00C554C9">
          <w:rPr>
            <w:rStyle w:val="Hyperlink"/>
            <w:i/>
            <w:szCs w:val="18"/>
          </w:rPr>
          <w:t xml:space="preserve">nergy </w:t>
        </w:r>
        <w:r>
          <w:rPr>
            <w:rStyle w:val="Hyperlink"/>
            <w:i/>
            <w:szCs w:val="18"/>
          </w:rPr>
          <w:t>g</w:t>
        </w:r>
        <w:r w:rsidRPr="00C554C9">
          <w:rPr>
            <w:rStyle w:val="Hyperlink"/>
            <w:i/>
            <w:szCs w:val="18"/>
          </w:rPr>
          <w:t>eneration</w:t>
        </w:r>
      </w:hyperlink>
      <w:r w:rsidRPr="00C554C9">
        <w:rPr>
          <w:szCs w:val="18"/>
        </w:rPr>
        <w:t xml:space="preserve">, </w:t>
      </w:r>
      <w:r>
        <w:rPr>
          <w:szCs w:val="18"/>
        </w:rPr>
        <w:t xml:space="preserve">Jobs and Skills Australia, </w:t>
      </w:r>
      <w:r w:rsidRPr="00C554C9">
        <w:rPr>
          <w:szCs w:val="18"/>
        </w:rPr>
        <w:t xml:space="preserve">October 2023, </w:t>
      </w:r>
      <w:r>
        <w:rPr>
          <w:szCs w:val="18"/>
        </w:rPr>
        <w:t>p 156</w:t>
      </w:r>
      <w:r w:rsidRPr="00C554C9">
        <w:rPr>
          <w:szCs w:val="18"/>
        </w:rPr>
        <w:t>.</w:t>
      </w:r>
    </w:p>
  </w:footnote>
  <w:footnote w:id="688">
    <w:p w14:paraId="7AA4CD1E" w14:textId="77777777" w:rsidR="001F4902" w:rsidRPr="00C554C9" w:rsidRDefault="001F4902" w:rsidP="001F4902">
      <w:pPr>
        <w:pStyle w:val="FootnoteText"/>
        <w:rPr>
          <w:szCs w:val="18"/>
        </w:rPr>
      </w:pPr>
      <w:r w:rsidRPr="00C554C9">
        <w:rPr>
          <w:rStyle w:val="FootnoteReference"/>
          <w:szCs w:val="18"/>
        </w:rPr>
        <w:footnoteRef/>
      </w:r>
      <w:r w:rsidRPr="00C554C9">
        <w:rPr>
          <w:szCs w:val="18"/>
        </w:rPr>
        <w:t xml:space="preserve"> ILO, </w:t>
      </w:r>
      <w:hyperlink r:id="rId562" w:history="1">
        <w:r w:rsidRPr="00C554C9">
          <w:rPr>
            <w:rStyle w:val="Hyperlink"/>
            <w:i/>
            <w:szCs w:val="18"/>
          </w:rPr>
          <w:t>Ensuring safety and health at work in a changing climate</w:t>
        </w:r>
      </w:hyperlink>
      <w:r w:rsidRPr="00C554C9">
        <w:rPr>
          <w:szCs w:val="18"/>
        </w:rPr>
        <w:t xml:space="preserve">, </w:t>
      </w:r>
      <w:r>
        <w:rPr>
          <w:szCs w:val="18"/>
        </w:rPr>
        <w:t xml:space="preserve">ILO, </w:t>
      </w:r>
      <w:r w:rsidRPr="00C554C9">
        <w:rPr>
          <w:szCs w:val="18"/>
        </w:rPr>
        <w:t>2024, p 104.</w:t>
      </w:r>
    </w:p>
  </w:footnote>
  <w:footnote w:id="689">
    <w:p w14:paraId="1F5DDEB4" w14:textId="77777777" w:rsidR="001F4902" w:rsidRPr="00C554C9" w:rsidRDefault="001F4902" w:rsidP="001F4902">
      <w:pPr>
        <w:pStyle w:val="FootnoteText"/>
      </w:pPr>
      <w:r w:rsidRPr="00C554C9">
        <w:rPr>
          <w:rStyle w:val="FootnoteReference"/>
          <w:szCs w:val="18"/>
        </w:rPr>
        <w:footnoteRef/>
      </w:r>
      <w:r w:rsidRPr="00C554C9">
        <w:rPr>
          <w:szCs w:val="18"/>
        </w:rPr>
        <w:t xml:space="preserve"> </w:t>
      </w:r>
      <w:hyperlink r:id="rId563" w:history="1">
        <w:r w:rsidRPr="00C554C9">
          <w:rPr>
            <w:rStyle w:val="Hyperlink"/>
            <w:szCs w:val="18"/>
          </w:rPr>
          <w:t>DCCEEW</w:t>
        </w:r>
      </w:hyperlink>
      <w:r w:rsidRPr="00C554C9">
        <w:rPr>
          <w:szCs w:val="18"/>
        </w:rPr>
        <w:t>, Submission, p 3.</w:t>
      </w:r>
    </w:p>
  </w:footnote>
  <w:footnote w:id="690">
    <w:p w14:paraId="6F355AF5" w14:textId="0B2EAB96" w:rsidR="001F4902" w:rsidRPr="00C554C9" w:rsidRDefault="001F4902" w:rsidP="001F4902">
      <w:pPr>
        <w:pStyle w:val="FootnoteText"/>
      </w:pPr>
      <w:r w:rsidRPr="00C554C9">
        <w:rPr>
          <w:rStyle w:val="FootnoteReference"/>
          <w:szCs w:val="18"/>
        </w:rPr>
        <w:footnoteRef/>
      </w:r>
      <w:r w:rsidRPr="00C554C9">
        <w:rPr>
          <w:szCs w:val="18"/>
        </w:rPr>
        <w:t xml:space="preserve"> ILO, </w:t>
      </w:r>
      <w:hyperlink r:id="rId564" w:history="1">
        <w:r w:rsidRPr="00C554C9">
          <w:rPr>
            <w:rStyle w:val="Hyperlink"/>
            <w:i/>
            <w:iCs/>
            <w:szCs w:val="18"/>
          </w:rPr>
          <w:t>Tripartite experts agree on measures to protect workers and enterprises from weather-related risks</w:t>
        </w:r>
      </w:hyperlink>
      <w:r w:rsidRPr="00087CD7">
        <w:rPr>
          <w:szCs w:val="18"/>
        </w:rPr>
        <w:t>, ILO,</w:t>
      </w:r>
      <w:r>
        <w:rPr>
          <w:i/>
          <w:iCs/>
          <w:szCs w:val="18"/>
        </w:rPr>
        <w:t xml:space="preserve"> </w:t>
      </w:r>
      <w:r w:rsidRPr="00C554C9">
        <w:rPr>
          <w:szCs w:val="18"/>
        </w:rPr>
        <w:t>28 April 2026, accessed 13 May 2026.</w:t>
      </w:r>
    </w:p>
  </w:footnote>
  <w:footnote w:id="691">
    <w:p w14:paraId="6CEF525A" w14:textId="765F86FA" w:rsidR="001F4902" w:rsidRPr="00C554C9" w:rsidRDefault="001F4902" w:rsidP="001F4902">
      <w:pPr>
        <w:pStyle w:val="FootnoteText"/>
      </w:pPr>
      <w:r w:rsidRPr="00C554C9">
        <w:rPr>
          <w:rStyle w:val="FootnoteReference"/>
        </w:rPr>
        <w:footnoteRef/>
      </w:r>
      <w:r w:rsidRPr="00C554C9">
        <w:t xml:space="preserve"> ILO, </w:t>
      </w:r>
      <w:hyperlink r:id="rId565" w:history="1">
        <w:r w:rsidRPr="00C554C9">
          <w:rPr>
            <w:rStyle w:val="Hyperlink"/>
            <w:i/>
            <w:iCs/>
          </w:rPr>
          <w:t>Ensuring safety and health at work in a changing climate</w:t>
        </w:r>
      </w:hyperlink>
      <w:r w:rsidRPr="00C554C9">
        <w:t xml:space="preserve">, </w:t>
      </w:r>
      <w:r>
        <w:t xml:space="preserve">ILO, </w:t>
      </w:r>
      <w:r w:rsidRPr="00C554C9">
        <w:t>2024, p 2.</w:t>
      </w:r>
    </w:p>
  </w:footnote>
  <w:footnote w:id="692">
    <w:p w14:paraId="34372F85" w14:textId="048D117A" w:rsidR="001F4902" w:rsidRPr="004E7884" w:rsidRDefault="001F4902" w:rsidP="001F4902">
      <w:pPr>
        <w:pStyle w:val="FootnoteText"/>
      </w:pPr>
      <w:r w:rsidRPr="00C554C9">
        <w:rPr>
          <w:rStyle w:val="FootnoteReference"/>
          <w:szCs w:val="18"/>
        </w:rPr>
        <w:footnoteRef/>
      </w:r>
      <w:r w:rsidRPr="00C554C9">
        <w:rPr>
          <w:szCs w:val="18"/>
        </w:rPr>
        <w:t xml:space="preserve"> L Wuersch, A Neher, FE Marino, L </w:t>
      </w:r>
      <w:r w:rsidRPr="004E7884">
        <w:rPr>
          <w:szCs w:val="18"/>
        </w:rPr>
        <w:t>Bamberry and R Pope, ‘</w:t>
      </w:r>
      <w:hyperlink r:id="rId566" w:history="1">
        <w:r w:rsidRPr="004E7884">
          <w:rPr>
            <w:rStyle w:val="Hyperlink"/>
            <w:szCs w:val="18"/>
          </w:rPr>
          <w:t xml:space="preserve">Impacts of </w:t>
        </w:r>
        <w:r w:rsidR="006E51BB" w:rsidRPr="004978F6">
          <w:rPr>
            <w:rStyle w:val="Hyperlink"/>
            <w:szCs w:val="18"/>
          </w:rPr>
          <w:t>c</w:t>
        </w:r>
        <w:r w:rsidRPr="004E7884">
          <w:rPr>
            <w:rStyle w:val="Hyperlink"/>
            <w:szCs w:val="18"/>
          </w:rPr>
          <w:t xml:space="preserve">limate </w:t>
        </w:r>
        <w:r w:rsidR="006E51BB" w:rsidRPr="004978F6">
          <w:rPr>
            <w:rStyle w:val="Hyperlink"/>
            <w:szCs w:val="18"/>
          </w:rPr>
          <w:t>c</w:t>
        </w:r>
        <w:r w:rsidRPr="004E7884">
          <w:rPr>
            <w:rStyle w:val="Hyperlink"/>
            <w:szCs w:val="18"/>
          </w:rPr>
          <w:t>h</w:t>
        </w:r>
        <w:bookmarkStart w:id="118" w:name="_Hlt236141244"/>
        <w:bookmarkStart w:id="119" w:name="_Hlt236141245"/>
        <w:bookmarkEnd w:id="118"/>
        <w:bookmarkEnd w:id="119"/>
        <w:r w:rsidRPr="004E7884">
          <w:rPr>
            <w:rStyle w:val="Hyperlink"/>
            <w:szCs w:val="18"/>
          </w:rPr>
          <w:t xml:space="preserve">ange on </w:t>
        </w:r>
        <w:r w:rsidR="006E51BB" w:rsidRPr="004978F6">
          <w:rPr>
            <w:rStyle w:val="Hyperlink"/>
            <w:szCs w:val="18"/>
          </w:rPr>
          <w:t>w</w:t>
        </w:r>
        <w:r w:rsidRPr="004E7884">
          <w:rPr>
            <w:rStyle w:val="Hyperlink"/>
            <w:szCs w:val="18"/>
          </w:rPr>
          <w:t xml:space="preserve">ork </w:t>
        </w:r>
        <w:r w:rsidR="006E51BB" w:rsidRPr="004978F6">
          <w:rPr>
            <w:rStyle w:val="Hyperlink"/>
            <w:szCs w:val="18"/>
          </w:rPr>
          <w:t>h</w:t>
        </w:r>
        <w:r w:rsidRPr="004E7884">
          <w:rPr>
            <w:rStyle w:val="Hyperlink"/>
            <w:szCs w:val="18"/>
          </w:rPr>
          <w:t xml:space="preserve">ealth and </w:t>
        </w:r>
        <w:r w:rsidR="006E51BB" w:rsidRPr="004978F6">
          <w:rPr>
            <w:rStyle w:val="Hyperlink"/>
            <w:szCs w:val="18"/>
          </w:rPr>
          <w:t>s</w:t>
        </w:r>
        <w:r w:rsidRPr="004E7884">
          <w:rPr>
            <w:rStyle w:val="Hyperlink"/>
            <w:szCs w:val="18"/>
          </w:rPr>
          <w:t xml:space="preserve">afety in Australia: </w:t>
        </w:r>
        <w:r w:rsidR="006E51BB" w:rsidRPr="004978F6">
          <w:rPr>
            <w:rStyle w:val="Hyperlink"/>
            <w:szCs w:val="18"/>
          </w:rPr>
          <w:t>a</w:t>
        </w:r>
        <w:r w:rsidRPr="004E7884">
          <w:rPr>
            <w:rStyle w:val="Hyperlink"/>
            <w:szCs w:val="18"/>
          </w:rPr>
          <w:t xml:space="preserve"> </w:t>
        </w:r>
        <w:r w:rsidR="006E51BB" w:rsidRPr="004978F6">
          <w:rPr>
            <w:rStyle w:val="Hyperlink"/>
            <w:szCs w:val="18"/>
          </w:rPr>
          <w:t>s</w:t>
        </w:r>
        <w:r w:rsidRPr="004E7884">
          <w:rPr>
            <w:rStyle w:val="Hyperlink"/>
            <w:szCs w:val="18"/>
          </w:rPr>
          <w:t xml:space="preserve">coping </w:t>
        </w:r>
        <w:r w:rsidR="006E51BB" w:rsidRPr="004978F6">
          <w:rPr>
            <w:rStyle w:val="Hyperlink"/>
            <w:szCs w:val="18"/>
          </w:rPr>
          <w:t>l</w:t>
        </w:r>
        <w:r w:rsidRPr="004E7884">
          <w:rPr>
            <w:rStyle w:val="Hyperlink"/>
            <w:szCs w:val="18"/>
          </w:rPr>
          <w:t xml:space="preserve">iterature </w:t>
        </w:r>
        <w:r w:rsidR="006E51BB" w:rsidRPr="004978F6">
          <w:rPr>
            <w:rStyle w:val="Hyperlink"/>
            <w:szCs w:val="18"/>
          </w:rPr>
          <w:t>r</w:t>
        </w:r>
        <w:r w:rsidRPr="004E7884">
          <w:rPr>
            <w:rStyle w:val="Hyperlink"/>
            <w:szCs w:val="18"/>
          </w:rPr>
          <w:t>eview</w:t>
        </w:r>
      </w:hyperlink>
      <w:r w:rsidRPr="004E7884">
        <w:rPr>
          <w:szCs w:val="18"/>
        </w:rPr>
        <w:t>’</w:t>
      </w:r>
      <w:r w:rsidRPr="004E7884">
        <w:rPr>
          <w:i/>
          <w:szCs w:val="18"/>
        </w:rPr>
        <w:t>, International Journal of Environment Research and Public Health</w:t>
      </w:r>
      <w:r w:rsidRPr="004E7884">
        <w:rPr>
          <w:szCs w:val="18"/>
        </w:rPr>
        <w:t>, 2023, 20(21):7004, p 3.</w:t>
      </w:r>
    </w:p>
  </w:footnote>
  <w:footnote w:id="693">
    <w:p w14:paraId="4426DFA7" w14:textId="77777777" w:rsidR="001F4902" w:rsidRPr="004E7884" w:rsidRDefault="001F4902" w:rsidP="001F4902">
      <w:pPr>
        <w:pStyle w:val="FootnoteText"/>
        <w:rPr>
          <w:szCs w:val="18"/>
        </w:rPr>
      </w:pPr>
      <w:r w:rsidRPr="004E7884">
        <w:rPr>
          <w:rStyle w:val="FootnoteReference"/>
          <w:szCs w:val="18"/>
        </w:rPr>
        <w:footnoteRef/>
      </w:r>
      <w:r w:rsidRPr="004E7884">
        <w:rPr>
          <w:szCs w:val="18"/>
        </w:rPr>
        <w:t xml:space="preserve"> Model WHS Act, s 19(3)(a).</w:t>
      </w:r>
    </w:p>
  </w:footnote>
  <w:footnote w:id="694">
    <w:p w14:paraId="225ED772" w14:textId="77777777" w:rsidR="001F4902" w:rsidRPr="00C554C9" w:rsidRDefault="001F4902" w:rsidP="001F4902">
      <w:pPr>
        <w:pStyle w:val="FootnoteText"/>
        <w:rPr>
          <w:szCs w:val="18"/>
        </w:rPr>
      </w:pPr>
      <w:r w:rsidRPr="004E7884">
        <w:rPr>
          <w:rStyle w:val="FootnoteReference"/>
          <w:szCs w:val="18"/>
        </w:rPr>
        <w:footnoteRef/>
      </w:r>
      <w:r w:rsidRPr="004E7884">
        <w:rPr>
          <w:szCs w:val="18"/>
        </w:rPr>
        <w:t xml:space="preserve"> Regs 40(f) and (e) require PCBUs to ensure that</w:t>
      </w:r>
      <w:r w:rsidRPr="00C554C9">
        <w:rPr>
          <w:szCs w:val="18"/>
        </w:rPr>
        <w:t xml:space="preserve"> workers carrying out work in extremes of heat or cold are able to carry out work without risk to health and safety and to ensure ventilation enables workers to carry out work safely respectively. Reg 43 requires PCBUs to prepare, maintain and implement an emergency plan. Reg 50 requires a PCBU to carry out air monitoring to determine the airborne concentration of a substance or mixture at the workplace to which an exposure standard applies.</w:t>
      </w:r>
    </w:p>
  </w:footnote>
  <w:footnote w:id="695">
    <w:p w14:paraId="2B7BF8B9" w14:textId="304261AF" w:rsidR="001F4902" w:rsidRPr="00C554C9" w:rsidRDefault="001F4902" w:rsidP="001F4902">
      <w:pPr>
        <w:pStyle w:val="FootnoteText"/>
        <w:rPr>
          <w:szCs w:val="18"/>
        </w:rPr>
      </w:pPr>
      <w:r w:rsidRPr="00C554C9">
        <w:rPr>
          <w:rStyle w:val="FootnoteReference"/>
          <w:szCs w:val="18"/>
        </w:rPr>
        <w:footnoteRef/>
      </w:r>
      <w:r w:rsidRPr="00C554C9">
        <w:rPr>
          <w:szCs w:val="18"/>
        </w:rPr>
        <w:t xml:space="preserve"> AIHS, </w:t>
      </w:r>
      <w:hyperlink r:id="rId567" w:history="1">
        <w:r w:rsidRPr="00C554C9">
          <w:rPr>
            <w:rStyle w:val="Hyperlink"/>
            <w:i/>
            <w:szCs w:val="18"/>
          </w:rPr>
          <w:t xml:space="preserve">AIHS </w:t>
        </w:r>
        <w:r>
          <w:rPr>
            <w:rStyle w:val="Hyperlink"/>
            <w:i/>
            <w:szCs w:val="18"/>
          </w:rPr>
          <w:t>P</w:t>
        </w:r>
        <w:r w:rsidRPr="00C554C9">
          <w:rPr>
            <w:rStyle w:val="Hyperlink"/>
            <w:i/>
            <w:szCs w:val="18"/>
          </w:rPr>
          <w:t xml:space="preserve">osition </w:t>
        </w:r>
        <w:r>
          <w:rPr>
            <w:rStyle w:val="Hyperlink"/>
            <w:i/>
            <w:szCs w:val="18"/>
          </w:rPr>
          <w:t>S</w:t>
        </w:r>
        <w:r w:rsidRPr="00C554C9">
          <w:rPr>
            <w:rStyle w:val="Hyperlink"/>
            <w:i/>
            <w:szCs w:val="18"/>
          </w:rPr>
          <w:t xml:space="preserve">tatement: </w:t>
        </w:r>
        <w:r>
          <w:rPr>
            <w:rStyle w:val="Hyperlink"/>
            <w:i/>
            <w:szCs w:val="18"/>
          </w:rPr>
          <w:t>C</w:t>
        </w:r>
        <w:r w:rsidRPr="00C554C9">
          <w:rPr>
            <w:rStyle w:val="Hyperlink"/>
            <w:i/>
            <w:szCs w:val="18"/>
          </w:rPr>
          <w:t xml:space="preserve">limate </w:t>
        </w:r>
        <w:r>
          <w:rPr>
            <w:rStyle w:val="Hyperlink"/>
            <w:i/>
            <w:szCs w:val="18"/>
          </w:rPr>
          <w:t>C</w:t>
        </w:r>
        <w:r w:rsidRPr="00C554C9">
          <w:rPr>
            <w:rStyle w:val="Hyperlink"/>
            <w:i/>
            <w:szCs w:val="18"/>
          </w:rPr>
          <w:t xml:space="preserve">hange and </w:t>
        </w:r>
        <w:r>
          <w:rPr>
            <w:rStyle w:val="Hyperlink"/>
            <w:i/>
            <w:szCs w:val="18"/>
          </w:rPr>
          <w:t>W</w:t>
        </w:r>
        <w:r w:rsidRPr="00C554C9">
          <w:rPr>
            <w:rStyle w:val="Hyperlink"/>
            <w:i/>
            <w:szCs w:val="18"/>
          </w:rPr>
          <w:t xml:space="preserve">ork </w:t>
        </w:r>
        <w:r>
          <w:rPr>
            <w:rStyle w:val="Hyperlink"/>
            <w:i/>
            <w:szCs w:val="18"/>
          </w:rPr>
          <w:t>H</w:t>
        </w:r>
        <w:r w:rsidRPr="00C554C9">
          <w:rPr>
            <w:rStyle w:val="Hyperlink"/>
            <w:i/>
            <w:szCs w:val="18"/>
          </w:rPr>
          <w:t xml:space="preserve">ealth and </w:t>
        </w:r>
        <w:r>
          <w:rPr>
            <w:rStyle w:val="Hyperlink"/>
            <w:i/>
            <w:szCs w:val="18"/>
          </w:rPr>
          <w:t>S</w:t>
        </w:r>
        <w:r w:rsidRPr="00C554C9">
          <w:rPr>
            <w:rStyle w:val="Hyperlink"/>
            <w:i/>
            <w:szCs w:val="18"/>
          </w:rPr>
          <w:t>afety</w:t>
        </w:r>
      </w:hyperlink>
      <w:r w:rsidRPr="00C554C9">
        <w:rPr>
          <w:szCs w:val="18"/>
        </w:rPr>
        <w:t xml:space="preserve">, </w:t>
      </w:r>
      <w:r>
        <w:rPr>
          <w:szCs w:val="18"/>
        </w:rPr>
        <w:t xml:space="preserve">AIHS, </w:t>
      </w:r>
      <w:r w:rsidRPr="00C554C9">
        <w:rPr>
          <w:szCs w:val="18"/>
        </w:rPr>
        <w:t>2026, accessed 23 April 2026.</w:t>
      </w:r>
    </w:p>
  </w:footnote>
  <w:footnote w:id="696">
    <w:p w14:paraId="33402318" w14:textId="77777777" w:rsidR="001F4902" w:rsidRPr="00C554C9" w:rsidRDefault="001F4902" w:rsidP="001F4902">
      <w:pPr>
        <w:pStyle w:val="FootnoteText"/>
        <w:rPr>
          <w:rFonts w:cstheme="minorHAnsi"/>
          <w:szCs w:val="18"/>
        </w:rPr>
      </w:pPr>
      <w:r w:rsidRPr="00C554C9">
        <w:rPr>
          <w:rStyle w:val="FootnoteReference"/>
          <w:rFonts w:cstheme="minorHAnsi"/>
          <w:szCs w:val="18"/>
        </w:rPr>
        <w:footnoteRef/>
      </w:r>
      <w:r w:rsidRPr="00C554C9">
        <w:rPr>
          <w:rFonts w:cstheme="minorHAnsi"/>
          <w:szCs w:val="18"/>
        </w:rPr>
        <w:t xml:space="preserve"> Model WHS Regulations, r</w:t>
      </w:r>
      <w:r>
        <w:rPr>
          <w:rFonts w:cstheme="minorHAnsi"/>
          <w:szCs w:val="18"/>
        </w:rPr>
        <w:t>eg</w:t>
      </w:r>
      <w:r w:rsidRPr="00C554C9">
        <w:rPr>
          <w:rFonts w:cstheme="minorHAnsi"/>
          <w:szCs w:val="18"/>
        </w:rPr>
        <w:t xml:space="preserve"> 55D(1).</w:t>
      </w:r>
    </w:p>
  </w:footnote>
  <w:footnote w:id="697">
    <w:p w14:paraId="3E8F2836" w14:textId="77777777" w:rsidR="001F4902" w:rsidRPr="00C554C9" w:rsidRDefault="001F4902" w:rsidP="001F4902">
      <w:pPr>
        <w:pStyle w:val="FootnoteText"/>
      </w:pPr>
      <w:r w:rsidRPr="00C554C9">
        <w:rPr>
          <w:rStyle w:val="FootnoteReference"/>
        </w:rPr>
        <w:footnoteRef/>
      </w:r>
      <w:r w:rsidRPr="00C554C9">
        <w:t xml:space="preserve"> Model WHS Regulations, r</w:t>
      </w:r>
      <w:r>
        <w:t>eg</w:t>
      </w:r>
      <w:r w:rsidRPr="00C554C9">
        <w:t xml:space="preserve"> 55D(2)(h).</w:t>
      </w:r>
    </w:p>
  </w:footnote>
  <w:footnote w:id="698">
    <w:p w14:paraId="150666F4" w14:textId="77777777" w:rsidR="001F4902" w:rsidRPr="00C554C9" w:rsidRDefault="001F4902" w:rsidP="001F4902">
      <w:pPr>
        <w:pStyle w:val="FootnoteText"/>
      </w:pPr>
      <w:r w:rsidRPr="00C554C9">
        <w:rPr>
          <w:rStyle w:val="FootnoteReference"/>
        </w:rPr>
        <w:footnoteRef/>
      </w:r>
      <w:r w:rsidRPr="00C554C9">
        <w:t xml:space="preserve"> Model WHS Regulations, r</w:t>
      </w:r>
      <w:r>
        <w:t>eg</w:t>
      </w:r>
      <w:r w:rsidRPr="00C554C9">
        <w:t xml:space="preserve"> 55A.</w:t>
      </w:r>
    </w:p>
  </w:footnote>
  <w:footnote w:id="699">
    <w:p w14:paraId="31A84F1F" w14:textId="77777777" w:rsidR="001F4902" w:rsidRPr="00C554C9" w:rsidRDefault="001F4902" w:rsidP="001F4902">
      <w:pPr>
        <w:pStyle w:val="FootnoteText"/>
      </w:pPr>
      <w:r w:rsidRPr="00C554C9">
        <w:rPr>
          <w:rStyle w:val="FootnoteReference"/>
        </w:rPr>
        <w:footnoteRef/>
      </w:r>
      <w:r w:rsidRPr="00C554C9">
        <w:t xml:space="preserve"> Safe Work Australia</w:t>
      </w:r>
      <w:r>
        <w:t>,</w:t>
      </w:r>
      <w:r w:rsidRPr="00C554C9">
        <w:t xml:space="preserve"> </w:t>
      </w:r>
      <w:r w:rsidRPr="00C554C9" w:rsidDel="00340BE5">
        <w:rPr>
          <w:i/>
          <w:iCs/>
        </w:rPr>
        <w:t>m</w:t>
      </w:r>
      <w:r w:rsidRPr="00C554C9">
        <w:rPr>
          <w:i/>
        </w:rPr>
        <w:t xml:space="preserve">odel Code of Practice: Managing </w:t>
      </w:r>
      <w:r>
        <w:rPr>
          <w:i/>
        </w:rPr>
        <w:t>p</w:t>
      </w:r>
      <w:r w:rsidRPr="00C554C9">
        <w:rPr>
          <w:i/>
        </w:rPr>
        <w:t xml:space="preserve">sychosocial </w:t>
      </w:r>
      <w:r w:rsidRPr="00C554C9" w:rsidDel="00340BE5">
        <w:rPr>
          <w:i/>
        </w:rPr>
        <w:t>h</w:t>
      </w:r>
      <w:r w:rsidRPr="00C554C9">
        <w:rPr>
          <w:i/>
        </w:rPr>
        <w:t xml:space="preserve">azards at </w:t>
      </w:r>
      <w:r w:rsidRPr="00C554C9" w:rsidDel="00340BE5">
        <w:rPr>
          <w:i/>
        </w:rPr>
        <w:t>w</w:t>
      </w:r>
      <w:r w:rsidRPr="00C554C9">
        <w:rPr>
          <w:i/>
        </w:rPr>
        <w:t>ork</w:t>
      </w:r>
      <w:r w:rsidRPr="00C554C9">
        <w:t xml:space="preserve">, </w:t>
      </w:r>
      <w:r w:rsidRPr="00C554C9">
        <w:rPr>
          <w:rFonts w:eastAsia="Aptos"/>
        </w:rPr>
        <w:t>Safe Work Australia</w:t>
      </w:r>
      <w:r w:rsidRPr="00C554C9">
        <w:t>, 2022</w:t>
      </w:r>
      <w:r>
        <w:t>,</w:t>
      </w:r>
      <w:r w:rsidRPr="00C554C9">
        <w:t xml:space="preserve"> pp 18, 48–53.</w:t>
      </w:r>
    </w:p>
  </w:footnote>
  <w:footnote w:id="700">
    <w:p w14:paraId="20F01FBF" w14:textId="77777777" w:rsidR="001F4902" w:rsidRPr="00C554C9" w:rsidRDefault="001F4902" w:rsidP="001F4902">
      <w:pPr>
        <w:pStyle w:val="FootnoteText"/>
        <w:rPr>
          <w:rFonts w:cs="Arial"/>
          <w:szCs w:val="18"/>
        </w:rPr>
      </w:pPr>
      <w:r w:rsidRPr="00C554C9">
        <w:rPr>
          <w:rStyle w:val="FootnoteReference"/>
          <w:rFonts w:cs="Arial"/>
          <w:szCs w:val="18"/>
        </w:rPr>
        <w:footnoteRef/>
      </w:r>
      <w:r w:rsidRPr="00C554C9">
        <w:rPr>
          <w:rFonts w:cs="Arial"/>
          <w:szCs w:val="18"/>
        </w:rPr>
        <w:t xml:space="preserve"> Safe Work Australia, </w:t>
      </w:r>
      <w:hyperlink r:id="rId568" w:anchor=":~:text=There%20has%20been%20a%2056,workplace%20violence%20since%202017%2D18.&amp;text=Gendered%20differences%20in%20the%20types,of%20workplace%20violence%20and%20aggression." w:history="1">
        <w:r w:rsidRPr="00C554C9">
          <w:rPr>
            <w:rStyle w:val="Hyperlink"/>
            <w:rFonts w:cs="Arial"/>
            <w:i/>
            <w:iCs/>
            <w:szCs w:val="18"/>
          </w:rPr>
          <w:t>Workplace and work-related violence and aggression in Australia report</w:t>
        </w:r>
      </w:hyperlink>
      <w:r w:rsidRPr="00C554C9">
        <w:rPr>
          <w:rFonts w:cs="Arial"/>
          <w:szCs w:val="18"/>
        </w:rPr>
        <w:t xml:space="preserve">, </w:t>
      </w:r>
      <w:r>
        <w:rPr>
          <w:rFonts w:cs="Arial"/>
          <w:szCs w:val="18"/>
        </w:rPr>
        <w:t xml:space="preserve">Safe Work Australia, </w:t>
      </w:r>
      <w:r w:rsidRPr="00C554C9">
        <w:rPr>
          <w:rFonts w:cs="Arial"/>
          <w:szCs w:val="18"/>
        </w:rPr>
        <w:t>2024.</w:t>
      </w:r>
    </w:p>
  </w:footnote>
  <w:footnote w:id="701">
    <w:p w14:paraId="50366BA8" w14:textId="6F1687E2" w:rsidR="003114D8" w:rsidRPr="00C554C9" w:rsidRDefault="003114D8" w:rsidP="003114D8">
      <w:pPr>
        <w:pStyle w:val="FootnoteText"/>
        <w:rPr>
          <w:rFonts w:cstheme="minorHAnsi"/>
          <w:szCs w:val="18"/>
        </w:rPr>
      </w:pPr>
      <w:r w:rsidRPr="00C554C9">
        <w:rPr>
          <w:rStyle w:val="FootnoteReference"/>
          <w:rFonts w:cstheme="minorHAnsi"/>
          <w:szCs w:val="18"/>
        </w:rPr>
        <w:footnoteRef/>
      </w:r>
      <w:r w:rsidRPr="00C554C9">
        <w:rPr>
          <w:rFonts w:cstheme="minorHAnsi"/>
          <w:szCs w:val="18"/>
        </w:rPr>
        <w:t xml:space="preserve"> </w:t>
      </w:r>
      <w:hyperlink r:id="rId569" w:history="1">
        <w:r w:rsidRPr="00C554C9">
          <w:rPr>
            <w:rStyle w:val="Hyperlink"/>
            <w:rFonts w:eastAsia="Aptos" w:cstheme="minorHAnsi"/>
            <w:szCs w:val="18"/>
          </w:rPr>
          <w:t>ANMF</w:t>
        </w:r>
        <w:r w:rsidRPr="00C554C9">
          <w:rPr>
            <w:rStyle w:val="Hyperlink"/>
          </w:rPr>
          <w:t xml:space="preserve"> (Vic Branch)</w:t>
        </w:r>
      </w:hyperlink>
      <w:r w:rsidRPr="00C554C9">
        <w:rPr>
          <w:rFonts w:eastAsia="Aptos" w:cstheme="minorHAnsi"/>
          <w:color w:val="000000" w:themeColor="text1"/>
          <w:szCs w:val="18"/>
        </w:rPr>
        <w:t xml:space="preserve">, Submission, p 10; </w:t>
      </w:r>
      <w:hyperlink r:id="rId570" w:history="1">
        <w:r w:rsidRPr="00C554C9">
          <w:rPr>
            <w:rStyle w:val="Hyperlink"/>
            <w:rFonts w:eastAsia="Aptos" w:cstheme="minorHAnsi"/>
            <w:szCs w:val="18"/>
          </w:rPr>
          <w:t>Community and Public Sector Union</w:t>
        </w:r>
      </w:hyperlink>
      <w:r w:rsidRPr="00C554C9">
        <w:rPr>
          <w:rFonts w:eastAsia="Aptos" w:cstheme="minorHAnsi"/>
          <w:color w:val="000000" w:themeColor="text1"/>
          <w:szCs w:val="18"/>
        </w:rPr>
        <w:t xml:space="preserve">, Submission, p 13; </w:t>
      </w:r>
      <w:hyperlink r:id="rId571" w:history="1">
        <w:r w:rsidRPr="00C554C9">
          <w:rPr>
            <w:rStyle w:val="Hyperlink"/>
            <w:rFonts w:eastAsia="Aptos" w:cstheme="minorHAnsi"/>
            <w:szCs w:val="18"/>
          </w:rPr>
          <w:t>National Joint Submission on Safety Regulation for Primary Prevention of Gendered Violence,</w:t>
        </w:r>
      </w:hyperlink>
      <w:r w:rsidRPr="00C554C9">
        <w:rPr>
          <w:rFonts w:eastAsia="Aptos" w:cstheme="minorHAnsi"/>
          <w:color w:val="000000" w:themeColor="text1"/>
          <w:szCs w:val="18"/>
        </w:rPr>
        <w:t xml:space="preserve"> Submission, pp 14–15.</w:t>
      </w:r>
    </w:p>
  </w:footnote>
  <w:footnote w:id="702">
    <w:p w14:paraId="52CCE69E" w14:textId="77777777" w:rsidR="003114D8" w:rsidRPr="00C554C9" w:rsidRDefault="003114D8" w:rsidP="003114D8">
      <w:pPr>
        <w:pStyle w:val="FootnoteText"/>
        <w:rPr>
          <w:szCs w:val="18"/>
        </w:rPr>
      </w:pPr>
      <w:r w:rsidRPr="00C554C9">
        <w:rPr>
          <w:rStyle w:val="FootnoteReference"/>
          <w:szCs w:val="18"/>
        </w:rPr>
        <w:footnoteRef/>
      </w:r>
      <w:r w:rsidRPr="00C554C9">
        <w:rPr>
          <w:szCs w:val="18"/>
        </w:rPr>
        <w:t xml:space="preserve"> </w:t>
      </w:r>
      <w:hyperlink r:id="rId572" w:history="1">
        <w:r w:rsidRPr="00C554C9">
          <w:rPr>
            <w:rStyle w:val="Hyperlink"/>
            <w:rFonts w:cstheme="minorHAnsi"/>
            <w:szCs w:val="18"/>
          </w:rPr>
          <w:t>ACTU</w:t>
        </w:r>
      </w:hyperlink>
      <w:r w:rsidRPr="00C554C9">
        <w:rPr>
          <w:szCs w:val="18"/>
        </w:rPr>
        <w:t>, Submission</w:t>
      </w:r>
      <w:r w:rsidRPr="00C554C9">
        <w:rPr>
          <w:rFonts w:cstheme="minorHAnsi"/>
          <w:szCs w:val="18"/>
        </w:rPr>
        <w:t>, p 32.</w:t>
      </w:r>
    </w:p>
  </w:footnote>
  <w:footnote w:id="703">
    <w:p w14:paraId="19B82C65" w14:textId="77777777" w:rsidR="003114D8" w:rsidRPr="00C554C9" w:rsidRDefault="003114D8" w:rsidP="003114D8">
      <w:pPr>
        <w:pStyle w:val="FootnoteText"/>
        <w:rPr>
          <w:szCs w:val="18"/>
        </w:rPr>
      </w:pPr>
      <w:r w:rsidRPr="00C554C9">
        <w:rPr>
          <w:rStyle w:val="FootnoteReference"/>
          <w:szCs w:val="18"/>
        </w:rPr>
        <w:footnoteRef/>
      </w:r>
      <w:r w:rsidRPr="00C554C9">
        <w:rPr>
          <w:szCs w:val="18"/>
        </w:rPr>
        <w:t xml:space="preserve"> </w:t>
      </w:r>
      <w:hyperlink r:id="rId573" w:history="1">
        <w:r w:rsidRPr="00C554C9">
          <w:rPr>
            <w:rStyle w:val="Hyperlink"/>
            <w:szCs w:val="18"/>
          </w:rPr>
          <w:t>New South Wales Nurses and Midwives Association</w:t>
        </w:r>
      </w:hyperlink>
      <w:r w:rsidRPr="00C554C9">
        <w:rPr>
          <w:szCs w:val="18"/>
        </w:rPr>
        <w:t>, Submission, p 26.</w:t>
      </w:r>
    </w:p>
  </w:footnote>
  <w:footnote w:id="704">
    <w:p w14:paraId="498BCEDF" w14:textId="77777777" w:rsidR="003114D8" w:rsidRPr="00C554C9" w:rsidRDefault="003114D8" w:rsidP="003114D8">
      <w:pPr>
        <w:pStyle w:val="FootnoteText"/>
        <w:rPr>
          <w:szCs w:val="18"/>
        </w:rPr>
      </w:pPr>
      <w:r w:rsidRPr="00C554C9">
        <w:rPr>
          <w:rStyle w:val="FootnoteReference"/>
          <w:szCs w:val="18"/>
        </w:rPr>
        <w:footnoteRef/>
      </w:r>
      <w:r w:rsidRPr="00C554C9">
        <w:rPr>
          <w:szCs w:val="18"/>
        </w:rPr>
        <w:t xml:space="preserve"> </w:t>
      </w:r>
      <w:hyperlink r:id="rId574" w:history="1">
        <w:r w:rsidRPr="00C554C9">
          <w:rPr>
            <w:rStyle w:val="Hyperlink"/>
            <w:szCs w:val="18"/>
          </w:rPr>
          <w:t>Shop, Distributive and Allied Employees Association</w:t>
        </w:r>
      </w:hyperlink>
      <w:r w:rsidRPr="00C554C9">
        <w:rPr>
          <w:szCs w:val="18"/>
        </w:rPr>
        <w:t>, Submission, p 5.</w:t>
      </w:r>
    </w:p>
  </w:footnote>
  <w:footnote w:id="705">
    <w:p w14:paraId="138C12FC" w14:textId="77777777" w:rsidR="003114D8" w:rsidRPr="00C554C9" w:rsidRDefault="003114D8" w:rsidP="003114D8">
      <w:pPr>
        <w:pStyle w:val="FootnoteText"/>
        <w:rPr>
          <w:szCs w:val="18"/>
        </w:rPr>
      </w:pPr>
      <w:r w:rsidRPr="00C554C9">
        <w:rPr>
          <w:rStyle w:val="FootnoteReference"/>
          <w:szCs w:val="18"/>
        </w:rPr>
        <w:footnoteRef/>
      </w:r>
      <w:r w:rsidRPr="00C554C9">
        <w:rPr>
          <w:szCs w:val="18"/>
        </w:rPr>
        <w:t xml:space="preserve"> </w:t>
      </w:r>
      <w:hyperlink r:id="rId575" w:history="1">
        <w:r w:rsidRPr="00C554C9">
          <w:rPr>
            <w:rStyle w:val="Hyperlink"/>
            <w:szCs w:val="18"/>
          </w:rPr>
          <w:t>ACTU</w:t>
        </w:r>
      </w:hyperlink>
      <w:r w:rsidRPr="00C554C9">
        <w:rPr>
          <w:szCs w:val="18"/>
        </w:rPr>
        <w:t>, Submission, p 29; Work Health and Safety (Managing Psychosocial Hazards at Work) Code of Practice 2024 (Cth).</w:t>
      </w:r>
    </w:p>
  </w:footnote>
  <w:footnote w:id="706">
    <w:p w14:paraId="7FC11C71" w14:textId="77777777" w:rsidR="003114D8" w:rsidRPr="00C554C9" w:rsidRDefault="003114D8" w:rsidP="003114D8">
      <w:pPr>
        <w:pStyle w:val="FootnoteText"/>
        <w:rPr>
          <w:szCs w:val="18"/>
        </w:rPr>
      </w:pPr>
      <w:r w:rsidRPr="00C554C9">
        <w:rPr>
          <w:rStyle w:val="FootnoteReference"/>
          <w:szCs w:val="18"/>
        </w:rPr>
        <w:footnoteRef/>
      </w:r>
      <w:r w:rsidRPr="00C554C9">
        <w:rPr>
          <w:szCs w:val="18"/>
        </w:rPr>
        <w:t xml:space="preserve"> </w:t>
      </w:r>
      <w:hyperlink r:id="rId576" w:history="1">
        <w:r w:rsidRPr="00C554C9">
          <w:rPr>
            <w:rStyle w:val="Hyperlink"/>
            <w:szCs w:val="18"/>
          </w:rPr>
          <w:t>ACCI</w:t>
        </w:r>
      </w:hyperlink>
      <w:r w:rsidRPr="00C554C9">
        <w:rPr>
          <w:szCs w:val="18"/>
        </w:rPr>
        <w:t>, Submission, pp 12–13.</w:t>
      </w:r>
    </w:p>
  </w:footnote>
  <w:footnote w:id="707">
    <w:p w14:paraId="2E6D2585" w14:textId="77777777" w:rsidR="003114D8" w:rsidRPr="00C554C9" w:rsidRDefault="003114D8" w:rsidP="003114D8">
      <w:pPr>
        <w:pStyle w:val="FootnoteText"/>
        <w:rPr>
          <w:rFonts w:cs="Arial"/>
          <w:szCs w:val="18"/>
        </w:rPr>
      </w:pPr>
      <w:r w:rsidRPr="00C554C9">
        <w:rPr>
          <w:rStyle w:val="FootnoteReference"/>
          <w:rFonts w:cstheme="minorHAnsi"/>
          <w:szCs w:val="18"/>
        </w:rPr>
        <w:footnoteRef/>
      </w:r>
      <w:r w:rsidRPr="00C554C9">
        <w:rPr>
          <w:rFonts w:cstheme="minorHAnsi"/>
          <w:szCs w:val="18"/>
        </w:rPr>
        <w:t xml:space="preserve"> </w:t>
      </w:r>
      <w:r w:rsidRPr="00C554C9">
        <w:rPr>
          <w:rFonts w:cs="Arial"/>
          <w:szCs w:val="18"/>
        </w:rPr>
        <w:t>Business Chamber Qld, Consultation, September 2025.</w:t>
      </w:r>
    </w:p>
  </w:footnote>
  <w:footnote w:id="708">
    <w:p w14:paraId="2C452C92" w14:textId="77777777" w:rsidR="003114D8" w:rsidRPr="00C554C9" w:rsidRDefault="003114D8" w:rsidP="003114D8">
      <w:pPr>
        <w:pStyle w:val="FootnoteText"/>
        <w:rPr>
          <w:rFonts w:cs="Arial"/>
          <w:szCs w:val="18"/>
        </w:rPr>
      </w:pPr>
      <w:r w:rsidRPr="00C554C9">
        <w:rPr>
          <w:rStyle w:val="FootnoteReference"/>
          <w:rFonts w:cs="Arial"/>
          <w:szCs w:val="18"/>
        </w:rPr>
        <w:footnoteRef/>
      </w:r>
      <w:r w:rsidRPr="00C554C9">
        <w:rPr>
          <w:rFonts w:cs="Arial"/>
          <w:szCs w:val="18"/>
        </w:rPr>
        <w:t xml:space="preserve"> </w:t>
      </w:r>
      <w:hyperlink r:id="rId577" w:history="1">
        <w:r w:rsidRPr="00C554C9">
          <w:rPr>
            <w:rStyle w:val="Hyperlink"/>
            <w:rFonts w:cs="Arial"/>
            <w:szCs w:val="18"/>
          </w:rPr>
          <w:t>Anonymous</w:t>
        </w:r>
      </w:hyperlink>
      <w:r w:rsidRPr="00C554C9">
        <w:rPr>
          <w:rFonts w:cs="Arial"/>
          <w:szCs w:val="18"/>
        </w:rPr>
        <w:t>, Submission #69, p 1.</w:t>
      </w:r>
    </w:p>
  </w:footnote>
  <w:footnote w:id="709">
    <w:p w14:paraId="74CB9AED" w14:textId="5A46C3CD" w:rsidR="003114D8" w:rsidRPr="00C554C9" w:rsidRDefault="003114D8" w:rsidP="003114D8">
      <w:pPr>
        <w:pStyle w:val="FootnoteText"/>
        <w:rPr>
          <w:rFonts w:cs="Arial"/>
          <w:szCs w:val="18"/>
        </w:rPr>
      </w:pPr>
      <w:r w:rsidRPr="00C554C9">
        <w:rPr>
          <w:rStyle w:val="FootnoteReference"/>
          <w:rFonts w:cs="Arial"/>
          <w:szCs w:val="18"/>
        </w:rPr>
        <w:footnoteRef/>
      </w:r>
      <w:r w:rsidRPr="00C554C9">
        <w:rPr>
          <w:rFonts w:cs="Arial"/>
          <w:szCs w:val="18"/>
        </w:rPr>
        <w:t xml:space="preserve"> </w:t>
      </w:r>
      <w:hyperlink r:id="rId578" w:history="1">
        <w:r w:rsidRPr="00C554C9">
          <w:rPr>
            <w:rStyle w:val="Hyperlink"/>
            <w:rFonts w:cs="Arial"/>
            <w:szCs w:val="18"/>
          </w:rPr>
          <w:t>NFF</w:t>
        </w:r>
      </w:hyperlink>
      <w:r w:rsidRPr="00C554C9">
        <w:rPr>
          <w:rFonts w:cs="Arial"/>
          <w:szCs w:val="18"/>
        </w:rPr>
        <w:t>, Submission, p 6.</w:t>
      </w:r>
    </w:p>
  </w:footnote>
  <w:footnote w:id="710">
    <w:p w14:paraId="420377A6" w14:textId="77777777" w:rsidR="003114D8" w:rsidRPr="00C554C9" w:rsidRDefault="003114D8" w:rsidP="003114D8">
      <w:pPr>
        <w:pStyle w:val="FootnoteText"/>
        <w:rPr>
          <w:rFonts w:cs="Arial"/>
          <w:szCs w:val="18"/>
        </w:rPr>
      </w:pPr>
      <w:r w:rsidRPr="00C554C9">
        <w:rPr>
          <w:rStyle w:val="FootnoteReference"/>
          <w:rFonts w:cs="Arial"/>
          <w:szCs w:val="18"/>
        </w:rPr>
        <w:footnoteRef/>
      </w:r>
      <w:r w:rsidRPr="00C554C9">
        <w:rPr>
          <w:rFonts w:cs="Arial"/>
          <w:szCs w:val="18"/>
        </w:rPr>
        <w:t xml:space="preserve"> </w:t>
      </w:r>
      <w:hyperlink r:id="rId579" w:history="1">
        <w:r w:rsidRPr="00C554C9">
          <w:rPr>
            <w:rStyle w:val="Hyperlink"/>
            <w:szCs w:val="18"/>
          </w:rPr>
          <w:t>Shop, Distributive and Allied Employees Association</w:t>
        </w:r>
      </w:hyperlink>
      <w:r w:rsidRPr="00C554C9">
        <w:rPr>
          <w:rFonts w:cs="Arial"/>
          <w:szCs w:val="18"/>
        </w:rPr>
        <w:t xml:space="preserve">, Submission, p 6; </w:t>
      </w:r>
      <w:hyperlink r:id="rId580" w:history="1">
        <w:r w:rsidRPr="00C554C9">
          <w:rPr>
            <w:rStyle w:val="Hyperlink"/>
            <w:rFonts w:cs="Arial"/>
            <w:szCs w:val="18"/>
          </w:rPr>
          <w:t>Anonymous</w:t>
        </w:r>
      </w:hyperlink>
      <w:r w:rsidRPr="00C554C9">
        <w:rPr>
          <w:rFonts w:cs="Arial"/>
          <w:szCs w:val="18"/>
        </w:rPr>
        <w:t>, Submission #137, p 9.</w:t>
      </w:r>
    </w:p>
  </w:footnote>
  <w:footnote w:id="711">
    <w:p w14:paraId="1A11F765" w14:textId="77777777" w:rsidR="003114D8" w:rsidRPr="00C554C9" w:rsidRDefault="003114D8" w:rsidP="003114D8">
      <w:pPr>
        <w:pStyle w:val="FootnoteText"/>
        <w:rPr>
          <w:rFonts w:cs="Arial"/>
          <w:szCs w:val="18"/>
        </w:rPr>
      </w:pPr>
      <w:r w:rsidRPr="00C554C9">
        <w:rPr>
          <w:rStyle w:val="FootnoteReference"/>
          <w:rFonts w:cs="Arial"/>
          <w:szCs w:val="18"/>
        </w:rPr>
        <w:footnoteRef/>
      </w:r>
      <w:r w:rsidRPr="00C554C9">
        <w:rPr>
          <w:rFonts w:cs="Arial"/>
          <w:szCs w:val="18"/>
        </w:rPr>
        <w:t xml:space="preserve"> </w:t>
      </w:r>
      <w:hyperlink r:id="rId581" w:history="1">
        <w:r w:rsidRPr="00C554C9">
          <w:rPr>
            <w:rStyle w:val="Hyperlink"/>
            <w:rFonts w:cs="Arial"/>
            <w:szCs w:val="18"/>
          </w:rPr>
          <w:t>The Reckoning Room</w:t>
        </w:r>
      </w:hyperlink>
      <w:r w:rsidRPr="00C554C9">
        <w:rPr>
          <w:rFonts w:cs="Arial"/>
          <w:szCs w:val="18"/>
        </w:rPr>
        <w:t xml:space="preserve">, Submission, pp 4–7; </w:t>
      </w:r>
      <w:hyperlink r:id="rId582" w:history="1">
        <w:r w:rsidRPr="00C554C9">
          <w:rPr>
            <w:rStyle w:val="Hyperlink"/>
            <w:rFonts w:cs="Arial"/>
            <w:szCs w:val="18"/>
          </w:rPr>
          <w:t>Leon Moussa</w:t>
        </w:r>
      </w:hyperlink>
      <w:r w:rsidRPr="00C554C9">
        <w:rPr>
          <w:rFonts w:cs="Arial"/>
          <w:szCs w:val="18"/>
        </w:rPr>
        <w:t>, Submission, p 1.</w:t>
      </w:r>
    </w:p>
  </w:footnote>
  <w:footnote w:id="712">
    <w:p w14:paraId="3E4C9A3C" w14:textId="77777777" w:rsidR="003114D8" w:rsidRPr="00C554C9" w:rsidRDefault="003114D8" w:rsidP="003114D8">
      <w:pPr>
        <w:pStyle w:val="FootnoteText"/>
        <w:rPr>
          <w:rFonts w:cs="Arial"/>
          <w:szCs w:val="18"/>
        </w:rPr>
      </w:pPr>
      <w:r w:rsidRPr="00C554C9">
        <w:rPr>
          <w:rStyle w:val="FootnoteReference"/>
          <w:rFonts w:cs="Arial"/>
          <w:szCs w:val="18"/>
        </w:rPr>
        <w:footnoteRef/>
      </w:r>
      <w:r w:rsidRPr="00C554C9">
        <w:rPr>
          <w:rFonts w:cs="Arial"/>
          <w:szCs w:val="18"/>
        </w:rPr>
        <w:t xml:space="preserve"> </w:t>
      </w:r>
      <w:hyperlink r:id="rId583" w:history="1">
        <w:r w:rsidRPr="00C554C9">
          <w:rPr>
            <w:rStyle w:val="Hyperlink"/>
            <w:rFonts w:eastAsia="Aptos" w:cs="Arial"/>
            <w:szCs w:val="18"/>
          </w:rPr>
          <w:t>National Joint Submission on Safety Regulation for Primary Prevention of Gendered Violence</w:t>
        </w:r>
      </w:hyperlink>
      <w:r w:rsidRPr="00C554C9">
        <w:rPr>
          <w:rFonts w:eastAsia="Aptos" w:cs="Arial"/>
          <w:color w:val="000000" w:themeColor="text1"/>
          <w:szCs w:val="18"/>
        </w:rPr>
        <w:t>, Submission, p 12.</w:t>
      </w:r>
    </w:p>
  </w:footnote>
  <w:footnote w:id="713">
    <w:p w14:paraId="1BC5C0A6" w14:textId="77777777" w:rsidR="003114D8" w:rsidRPr="00C554C9" w:rsidRDefault="003114D8" w:rsidP="003114D8">
      <w:pPr>
        <w:pStyle w:val="FootnoteText"/>
        <w:rPr>
          <w:rFonts w:cs="Arial"/>
          <w:szCs w:val="18"/>
        </w:rPr>
      </w:pPr>
      <w:r w:rsidRPr="00C554C9">
        <w:rPr>
          <w:rStyle w:val="FootnoteReference"/>
          <w:rFonts w:cs="Arial"/>
          <w:szCs w:val="18"/>
        </w:rPr>
        <w:footnoteRef/>
      </w:r>
      <w:r w:rsidRPr="00C554C9">
        <w:rPr>
          <w:rFonts w:cs="Arial"/>
          <w:szCs w:val="18"/>
        </w:rPr>
        <w:t xml:space="preserve"> Australian Medical Association, Consultation, September 2025; Professor Nareen Young, Consultation, October 2025; ACTU, Consultation, February 2026; Reconciliation Australia, Consultation, March 2026.</w:t>
      </w:r>
    </w:p>
  </w:footnote>
  <w:footnote w:id="714">
    <w:p w14:paraId="0C7C5369" w14:textId="77777777" w:rsidR="003114D8" w:rsidRPr="00C554C9" w:rsidDel="00354566" w:rsidRDefault="003114D8" w:rsidP="003114D8">
      <w:pPr>
        <w:pStyle w:val="FootnoteText"/>
        <w:rPr>
          <w:rFonts w:cs="Arial"/>
          <w:szCs w:val="18"/>
        </w:rPr>
      </w:pPr>
      <w:r w:rsidRPr="00C554C9">
        <w:rPr>
          <w:rStyle w:val="FootnoteReference"/>
          <w:rFonts w:cs="Arial"/>
          <w:szCs w:val="18"/>
        </w:rPr>
        <w:footnoteRef/>
      </w:r>
      <w:r w:rsidRPr="00C554C9">
        <w:rPr>
          <w:rFonts w:cs="Arial"/>
          <w:szCs w:val="18"/>
        </w:rPr>
        <w:t xml:space="preserve"> AHRC (Race Discrimination Team), Consultation, September 2025.</w:t>
      </w:r>
    </w:p>
  </w:footnote>
  <w:footnote w:id="715">
    <w:p w14:paraId="189891FA" w14:textId="77777777" w:rsidR="003114D8" w:rsidRPr="00C554C9" w:rsidRDefault="003114D8" w:rsidP="003114D8">
      <w:pPr>
        <w:pStyle w:val="FootnoteText"/>
        <w:rPr>
          <w:rFonts w:cs="Arial"/>
          <w:szCs w:val="18"/>
        </w:rPr>
      </w:pPr>
      <w:r w:rsidRPr="00C554C9">
        <w:rPr>
          <w:rStyle w:val="FootnoteReference"/>
          <w:rFonts w:cs="Arial"/>
          <w:szCs w:val="18"/>
        </w:rPr>
        <w:footnoteRef/>
      </w:r>
      <w:r w:rsidRPr="00C554C9">
        <w:rPr>
          <w:rFonts w:cs="Arial"/>
          <w:szCs w:val="18"/>
        </w:rPr>
        <w:t xml:space="preserve"> Australian Federation of Disability Organisations, Consultation, October 2025.</w:t>
      </w:r>
    </w:p>
  </w:footnote>
  <w:footnote w:id="716">
    <w:p w14:paraId="3024EB74" w14:textId="77777777" w:rsidR="003114D8" w:rsidRPr="00C554C9" w:rsidRDefault="003114D8" w:rsidP="003114D8">
      <w:pPr>
        <w:pStyle w:val="FootnoteText"/>
        <w:rPr>
          <w:rFonts w:cs="Arial"/>
          <w:szCs w:val="18"/>
        </w:rPr>
      </w:pPr>
      <w:r w:rsidRPr="00C554C9">
        <w:rPr>
          <w:rStyle w:val="FootnoteReference"/>
          <w:rFonts w:cs="Arial"/>
          <w:szCs w:val="18"/>
        </w:rPr>
        <w:footnoteRef/>
      </w:r>
      <w:r w:rsidRPr="00C554C9">
        <w:rPr>
          <w:rFonts w:cs="Arial"/>
          <w:szCs w:val="18"/>
        </w:rPr>
        <w:t xml:space="preserve"> </w:t>
      </w:r>
      <w:hyperlink r:id="rId584" w:history="1">
        <w:r w:rsidRPr="00C554C9">
          <w:rPr>
            <w:rStyle w:val="Hyperlink"/>
            <w:rFonts w:cs="Arial"/>
            <w:szCs w:val="18"/>
          </w:rPr>
          <w:t>National Joint Submission – Safety Regulation for Primary Prevention of Gendered Violence</w:t>
        </w:r>
      </w:hyperlink>
      <w:r w:rsidRPr="00C554C9">
        <w:rPr>
          <w:rFonts w:cs="Arial"/>
          <w:szCs w:val="18"/>
        </w:rPr>
        <w:t>, Submission, pp 57–58.</w:t>
      </w:r>
    </w:p>
  </w:footnote>
  <w:footnote w:id="717">
    <w:p w14:paraId="13698D7F" w14:textId="77777777" w:rsidR="003114D8" w:rsidRPr="00C554C9" w:rsidRDefault="003114D8" w:rsidP="003114D8">
      <w:pPr>
        <w:pStyle w:val="FootnoteText"/>
        <w:rPr>
          <w:rFonts w:cs="Arial"/>
          <w:szCs w:val="18"/>
        </w:rPr>
      </w:pPr>
      <w:r w:rsidRPr="00C554C9">
        <w:rPr>
          <w:rStyle w:val="FootnoteReference"/>
          <w:rFonts w:cs="Arial"/>
          <w:szCs w:val="18"/>
        </w:rPr>
        <w:footnoteRef/>
      </w:r>
      <w:r w:rsidRPr="00C554C9">
        <w:rPr>
          <w:rFonts w:cs="Arial"/>
          <w:szCs w:val="18"/>
        </w:rPr>
        <w:t xml:space="preserve"> </w:t>
      </w:r>
      <w:hyperlink r:id="rId585" w:history="1">
        <w:r w:rsidRPr="00C554C9">
          <w:rPr>
            <w:rStyle w:val="Hyperlink"/>
            <w:rFonts w:cs="Arial"/>
            <w:szCs w:val="18"/>
          </w:rPr>
          <w:t>Dean Yates</w:t>
        </w:r>
      </w:hyperlink>
      <w:r w:rsidRPr="00C554C9">
        <w:rPr>
          <w:rFonts w:cs="Arial"/>
          <w:szCs w:val="18"/>
        </w:rPr>
        <w:t xml:space="preserve">, Submission, pp 2, 6, 11, 14; </w:t>
      </w:r>
      <w:hyperlink r:id="rId586" w:history="1">
        <w:r w:rsidRPr="00C554C9">
          <w:rPr>
            <w:rStyle w:val="Hyperlink"/>
            <w:rFonts w:cs="Arial"/>
            <w:szCs w:val="18"/>
          </w:rPr>
          <w:t>Rev Dr Mark Layson, Nikki Jamieson, Assoc Prof Lindsay Carey</w:t>
        </w:r>
      </w:hyperlink>
      <w:r w:rsidRPr="00C554C9">
        <w:rPr>
          <w:rFonts w:cs="Arial"/>
          <w:szCs w:val="18"/>
        </w:rPr>
        <w:t>, Submission, p 5.</w:t>
      </w:r>
    </w:p>
  </w:footnote>
  <w:footnote w:id="718">
    <w:p w14:paraId="5365F822" w14:textId="77777777" w:rsidR="003114D8" w:rsidRPr="00C554C9" w:rsidRDefault="003114D8" w:rsidP="003114D8">
      <w:pPr>
        <w:pStyle w:val="FootnoteText"/>
        <w:rPr>
          <w:rFonts w:cstheme="minorHAnsi"/>
          <w:szCs w:val="18"/>
        </w:rPr>
      </w:pPr>
      <w:r w:rsidRPr="00C554C9">
        <w:rPr>
          <w:rStyle w:val="FootnoteReference"/>
          <w:rFonts w:cs="Arial"/>
          <w:szCs w:val="18"/>
        </w:rPr>
        <w:footnoteRef/>
      </w:r>
      <w:r w:rsidRPr="00C554C9">
        <w:rPr>
          <w:rFonts w:cs="Arial"/>
          <w:szCs w:val="18"/>
        </w:rPr>
        <w:t xml:space="preserve"> </w:t>
      </w:r>
      <w:hyperlink r:id="rId587" w:history="1">
        <w:r w:rsidRPr="00C554C9">
          <w:rPr>
            <w:rStyle w:val="Hyperlink"/>
            <w:rFonts w:cs="Arial"/>
            <w:szCs w:val="18"/>
          </w:rPr>
          <w:t>ACTU</w:t>
        </w:r>
      </w:hyperlink>
      <w:r w:rsidRPr="00C554C9">
        <w:rPr>
          <w:rFonts w:cs="Arial"/>
          <w:szCs w:val="18"/>
        </w:rPr>
        <w:t xml:space="preserve">, Submission, </w:t>
      </w:r>
      <w:r>
        <w:rPr>
          <w:rFonts w:cs="Arial"/>
          <w:szCs w:val="18"/>
        </w:rPr>
        <w:t>R</w:t>
      </w:r>
      <w:r w:rsidRPr="00C554C9">
        <w:rPr>
          <w:rFonts w:cs="Arial"/>
          <w:szCs w:val="18"/>
        </w:rPr>
        <w:t xml:space="preserve">ecommendation 21; Private, Submission #78, 2025, pp 1–3; </w:t>
      </w:r>
      <w:hyperlink r:id="rId588" w:history="1">
        <w:r w:rsidRPr="00C554C9">
          <w:rPr>
            <w:rStyle w:val="Hyperlink"/>
            <w:rFonts w:cs="Arial"/>
            <w:szCs w:val="18"/>
          </w:rPr>
          <w:t>Water Services Association of Australia</w:t>
        </w:r>
      </w:hyperlink>
      <w:r w:rsidRPr="00C554C9">
        <w:rPr>
          <w:rFonts w:cs="Arial"/>
          <w:szCs w:val="18"/>
        </w:rPr>
        <w:t>, Submission, p 5.</w:t>
      </w:r>
    </w:p>
  </w:footnote>
  <w:footnote w:id="719">
    <w:p w14:paraId="24993F3E" w14:textId="24F95F9E" w:rsidR="001F4902" w:rsidRPr="00C554C9" w:rsidRDefault="001F4902" w:rsidP="001F4902">
      <w:pPr>
        <w:pStyle w:val="FootnoteText"/>
        <w:rPr>
          <w:szCs w:val="18"/>
        </w:rPr>
      </w:pPr>
      <w:r w:rsidRPr="00C554C9">
        <w:rPr>
          <w:rStyle w:val="FootnoteReference"/>
          <w:szCs w:val="18"/>
        </w:rPr>
        <w:footnoteRef/>
      </w:r>
      <w:r w:rsidRPr="00C554C9">
        <w:rPr>
          <w:szCs w:val="18"/>
        </w:rPr>
        <w:t xml:space="preserve"> Safe Work Australia, </w:t>
      </w:r>
      <w:hyperlink r:id="rId589" w:history="1">
        <w:r w:rsidRPr="00C554C9">
          <w:rPr>
            <w:rStyle w:val="Hyperlink"/>
            <w:i/>
            <w:szCs w:val="18"/>
          </w:rPr>
          <w:t>National Data Set for Compensation-based Statistics</w:t>
        </w:r>
      </w:hyperlink>
      <w:r w:rsidRPr="00C554C9">
        <w:rPr>
          <w:szCs w:val="18"/>
        </w:rPr>
        <w:t xml:space="preserve"> </w:t>
      </w:r>
      <w:r>
        <w:rPr>
          <w:szCs w:val="18"/>
        </w:rPr>
        <w:t xml:space="preserve">[data set], </w:t>
      </w:r>
      <w:r w:rsidRPr="00C554C9">
        <w:rPr>
          <w:szCs w:val="18"/>
        </w:rPr>
        <w:t>n.d., accessed 6 May 2026.</w:t>
      </w:r>
    </w:p>
  </w:footnote>
  <w:footnote w:id="720">
    <w:p w14:paraId="261BF6E1" w14:textId="3ECBE5DE" w:rsidR="001F4902" w:rsidRPr="00C554C9" w:rsidRDefault="001F4902" w:rsidP="001F4902">
      <w:pPr>
        <w:pStyle w:val="FootnoteText"/>
        <w:rPr>
          <w:szCs w:val="18"/>
        </w:rPr>
      </w:pPr>
      <w:r w:rsidRPr="00C554C9">
        <w:rPr>
          <w:rStyle w:val="FootnoteReference"/>
          <w:szCs w:val="18"/>
        </w:rPr>
        <w:footnoteRef/>
      </w:r>
      <w:r w:rsidRPr="00C554C9">
        <w:rPr>
          <w:szCs w:val="18"/>
        </w:rPr>
        <w:t xml:space="preserve"> By way of illustration, only 22 of these claims were for racial harassment, despite considerable feedback that this is a common and growing hazard. It</w:t>
      </w:r>
      <w:r>
        <w:rPr>
          <w:szCs w:val="18"/>
        </w:rPr>
        <w:t xml:space="preserve"> is</w:t>
      </w:r>
      <w:r w:rsidRPr="00C554C9">
        <w:rPr>
          <w:szCs w:val="18"/>
        </w:rPr>
        <w:t xml:space="preserve"> clear that</w:t>
      </w:r>
      <w:r>
        <w:rPr>
          <w:szCs w:val="18"/>
        </w:rPr>
        <w:t>,</w:t>
      </w:r>
      <w:r w:rsidRPr="00C554C9">
        <w:rPr>
          <w:szCs w:val="18"/>
        </w:rPr>
        <w:t xml:space="preserve"> while reporting of some psychological harms has grown, the extent of some others likely remains under</w:t>
      </w:r>
      <w:r>
        <w:rPr>
          <w:szCs w:val="18"/>
        </w:rPr>
        <w:t>-</w:t>
      </w:r>
      <w:r w:rsidRPr="00C554C9">
        <w:rPr>
          <w:szCs w:val="18"/>
        </w:rPr>
        <w:t>reported.</w:t>
      </w:r>
    </w:p>
  </w:footnote>
  <w:footnote w:id="721">
    <w:p w14:paraId="19DAE8E9" w14:textId="1E2670AE" w:rsidR="001F4902" w:rsidRPr="00C554C9" w:rsidRDefault="001F4902" w:rsidP="001F4902">
      <w:pPr>
        <w:pStyle w:val="FootnoteText"/>
        <w:rPr>
          <w:szCs w:val="18"/>
        </w:rPr>
      </w:pPr>
      <w:r w:rsidRPr="00C554C9">
        <w:rPr>
          <w:rStyle w:val="FootnoteReference"/>
          <w:szCs w:val="18"/>
        </w:rPr>
        <w:footnoteRef/>
      </w:r>
      <w:r w:rsidRPr="00C554C9">
        <w:rPr>
          <w:szCs w:val="18"/>
        </w:rPr>
        <w:t xml:space="preserve"> </w:t>
      </w:r>
      <w:r w:rsidRPr="00C554C9">
        <w:rPr>
          <w:rFonts w:cstheme="minorHAnsi"/>
          <w:szCs w:val="18"/>
        </w:rPr>
        <w:t xml:space="preserve">Safe Work Australia, </w:t>
      </w:r>
      <w:hyperlink r:id="rId590" w:history="1">
        <w:r w:rsidRPr="00C554C9">
          <w:rPr>
            <w:rStyle w:val="Hyperlink"/>
            <w:rFonts w:cstheme="minorHAnsi"/>
            <w:i/>
            <w:szCs w:val="18"/>
          </w:rPr>
          <w:t xml:space="preserve">WHS </w:t>
        </w:r>
        <w:r w:rsidR="000E02F0">
          <w:rPr>
            <w:rStyle w:val="Hyperlink"/>
            <w:rFonts w:cstheme="minorHAnsi"/>
            <w:i/>
            <w:szCs w:val="18"/>
          </w:rPr>
          <w:t>p</w:t>
        </w:r>
        <w:r w:rsidRPr="00C554C9">
          <w:rPr>
            <w:rStyle w:val="Hyperlink"/>
            <w:rFonts w:cstheme="minorHAnsi"/>
            <w:i/>
            <w:szCs w:val="18"/>
          </w:rPr>
          <w:t>rosecutions</w:t>
        </w:r>
      </w:hyperlink>
      <w:r w:rsidRPr="00C554C9">
        <w:rPr>
          <w:rFonts w:cstheme="minorHAnsi"/>
          <w:szCs w:val="18"/>
        </w:rPr>
        <w:t xml:space="preserve">, </w:t>
      </w:r>
      <w:r>
        <w:rPr>
          <w:rFonts w:cstheme="minorHAnsi"/>
          <w:szCs w:val="18"/>
        </w:rPr>
        <w:t xml:space="preserve">Dashboard, Safe Work Australia, n.d., </w:t>
      </w:r>
      <w:r w:rsidRPr="00C554C9">
        <w:rPr>
          <w:rFonts w:cstheme="minorHAnsi"/>
          <w:szCs w:val="18"/>
        </w:rPr>
        <w:t>accessed 1 May 2026.</w:t>
      </w:r>
    </w:p>
  </w:footnote>
  <w:footnote w:id="722">
    <w:p w14:paraId="7E25FDF2" w14:textId="015708E9" w:rsidR="001F4902" w:rsidRPr="00C554C9" w:rsidRDefault="001F4902" w:rsidP="001F4902">
      <w:pPr>
        <w:pStyle w:val="FootnoteText"/>
        <w:rPr>
          <w:szCs w:val="18"/>
        </w:rPr>
      </w:pPr>
      <w:r w:rsidRPr="00C554C9">
        <w:rPr>
          <w:rStyle w:val="FootnoteReference"/>
          <w:szCs w:val="18"/>
        </w:rPr>
        <w:footnoteRef/>
      </w:r>
      <w:r w:rsidRPr="00C554C9">
        <w:rPr>
          <w:szCs w:val="18"/>
        </w:rPr>
        <w:t xml:space="preserve"> Safe Work Australia, </w:t>
      </w:r>
      <w:hyperlink r:id="rId591" w:history="1">
        <w:r w:rsidRPr="00C554C9">
          <w:rPr>
            <w:rStyle w:val="Hyperlink"/>
            <w:i/>
            <w:szCs w:val="18"/>
          </w:rPr>
          <w:t>National Data Set for Compensation-based Statistics</w:t>
        </w:r>
      </w:hyperlink>
      <w:r w:rsidRPr="00C554C9">
        <w:rPr>
          <w:szCs w:val="18"/>
        </w:rPr>
        <w:t xml:space="preserve"> </w:t>
      </w:r>
      <w:r>
        <w:rPr>
          <w:szCs w:val="18"/>
        </w:rPr>
        <w:t xml:space="preserve">[data set], Safe Work Australia, n.d., </w:t>
      </w:r>
      <w:r w:rsidRPr="00C554C9">
        <w:rPr>
          <w:szCs w:val="18"/>
        </w:rPr>
        <w:t>accessed 6</w:t>
      </w:r>
      <w:r w:rsidR="00200D70">
        <w:rPr>
          <w:szCs w:val="18"/>
        </w:rPr>
        <w:t> </w:t>
      </w:r>
      <w:r w:rsidRPr="00C554C9">
        <w:rPr>
          <w:szCs w:val="18"/>
        </w:rPr>
        <w:t>May 2026.</w:t>
      </w:r>
    </w:p>
  </w:footnote>
  <w:footnote w:id="723">
    <w:p w14:paraId="128C1BD0" w14:textId="1FB36E62" w:rsidR="001F4902" w:rsidRPr="00C554C9" w:rsidRDefault="001F4902" w:rsidP="001F4902">
      <w:pPr>
        <w:pStyle w:val="FootnoteText"/>
        <w:rPr>
          <w:szCs w:val="18"/>
        </w:rPr>
      </w:pPr>
      <w:r w:rsidRPr="00C554C9">
        <w:rPr>
          <w:rStyle w:val="FootnoteReference"/>
          <w:szCs w:val="18"/>
        </w:rPr>
        <w:footnoteRef/>
      </w:r>
      <w:r w:rsidRPr="00C554C9">
        <w:rPr>
          <w:szCs w:val="18"/>
        </w:rPr>
        <w:t xml:space="preserve"> For example, in the healthcare and social assistance industry, 75% of all claims for exposure to violence and harassment were made by women.</w:t>
      </w:r>
    </w:p>
  </w:footnote>
  <w:footnote w:id="724">
    <w:p w14:paraId="2413A772" w14:textId="77777777" w:rsidR="001F4902" w:rsidRPr="00C554C9" w:rsidRDefault="001F4902" w:rsidP="001F4902">
      <w:pPr>
        <w:pStyle w:val="FootnoteText"/>
        <w:rPr>
          <w:rFonts w:cstheme="minorHAnsi"/>
          <w:szCs w:val="18"/>
        </w:rPr>
      </w:pPr>
      <w:r w:rsidRPr="00C554C9">
        <w:rPr>
          <w:rStyle w:val="FootnoteReference"/>
          <w:rFonts w:cstheme="minorHAnsi"/>
          <w:szCs w:val="18"/>
        </w:rPr>
        <w:footnoteRef/>
      </w:r>
      <w:r w:rsidRPr="00C554C9">
        <w:rPr>
          <w:rFonts w:cstheme="minorHAnsi"/>
          <w:szCs w:val="18"/>
        </w:rPr>
        <w:t xml:space="preserve"> ACTU, Consultation, February 2026; Australian Medical Association, Consultation, September 2025.</w:t>
      </w:r>
    </w:p>
  </w:footnote>
  <w:footnote w:id="725">
    <w:p w14:paraId="210B92B0" w14:textId="577929D1" w:rsidR="001F4902" w:rsidRPr="00C554C9" w:rsidRDefault="001F4902" w:rsidP="001F4902">
      <w:pPr>
        <w:pStyle w:val="FootnoteText"/>
        <w:rPr>
          <w:szCs w:val="18"/>
        </w:rPr>
      </w:pPr>
      <w:r w:rsidRPr="00C554C9">
        <w:rPr>
          <w:rStyle w:val="FootnoteReference"/>
          <w:szCs w:val="18"/>
        </w:rPr>
        <w:footnoteRef/>
      </w:r>
      <w:r w:rsidRPr="00C554C9">
        <w:rPr>
          <w:szCs w:val="18"/>
        </w:rPr>
        <w:t xml:space="preserve"> N Young, J Gilbert, O Evans and J O’Leary, </w:t>
      </w:r>
      <w:hyperlink r:id="rId592" w:history="1">
        <w:r w:rsidRPr="00C554C9">
          <w:rPr>
            <w:rStyle w:val="Hyperlink"/>
            <w:i/>
            <w:szCs w:val="18"/>
          </w:rPr>
          <w:t>Gari Yala 2 (Speak the Tr</w:t>
        </w:r>
        <w:bookmarkStart w:id="123" w:name="_Hlt236140883"/>
        <w:bookmarkStart w:id="124" w:name="_Hlt236140884"/>
        <w:bookmarkEnd w:id="123"/>
        <w:bookmarkEnd w:id="124"/>
        <w:r w:rsidRPr="00C554C9">
          <w:rPr>
            <w:rStyle w:val="Hyperlink"/>
            <w:i/>
            <w:szCs w:val="18"/>
          </w:rPr>
          <w:t xml:space="preserve">uth) </w:t>
        </w:r>
        <w:r>
          <w:rPr>
            <w:rStyle w:val="Hyperlink"/>
            <w:i/>
            <w:szCs w:val="18"/>
          </w:rPr>
          <w:t>f</w:t>
        </w:r>
        <w:r w:rsidRPr="00C554C9">
          <w:rPr>
            <w:rStyle w:val="Hyperlink"/>
            <w:i/>
            <w:szCs w:val="18"/>
          </w:rPr>
          <w:t xml:space="preserve">ull </w:t>
        </w:r>
        <w:r>
          <w:rPr>
            <w:rStyle w:val="Hyperlink"/>
            <w:i/>
            <w:szCs w:val="18"/>
          </w:rPr>
          <w:t>r</w:t>
        </w:r>
        <w:r w:rsidRPr="00C554C9">
          <w:rPr>
            <w:rStyle w:val="Hyperlink"/>
            <w:i/>
            <w:szCs w:val="18"/>
          </w:rPr>
          <w:t xml:space="preserve">eport: </w:t>
        </w:r>
        <w:r w:rsidR="00200D70">
          <w:rPr>
            <w:rStyle w:val="Hyperlink"/>
            <w:i/>
            <w:szCs w:val="18"/>
          </w:rPr>
          <w:t>C</w:t>
        </w:r>
        <w:r w:rsidRPr="00C554C9">
          <w:rPr>
            <w:rStyle w:val="Hyperlink"/>
            <w:i/>
            <w:szCs w:val="18"/>
          </w:rPr>
          <w:t>entr</w:t>
        </w:r>
        <w:r w:rsidR="00974631">
          <w:rPr>
            <w:rStyle w:val="Hyperlink"/>
            <w:i/>
            <w:szCs w:val="18"/>
          </w:rPr>
          <w:t>e</w:t>
        </w:r>
        <w:r w:rsidRPr="00C554C9">
          <w:rPr>
            <w:rStyle w:val="Hyperlink"/>
            <w:i/>
            <w:szCs w:val="18"/>
          </w:rPr>
          <w:t xml:space="preserve">ing the </w:t>
        </w:r>
        <w:r>
          <w:rPr>
            <w:rStyle w:val="Hyperlink"/>
            <w:i/>
            <w:szCs w:val="18"/>
          </w:rPr>
          <w:t>w</w:t>
        </w:r>
        <w:r w:rsidRPr="00C554C9">
          <w:rPr>
            <w:rStyle w:val="Hyperlink"/>
            <w:i/>
            <w:szCs w:val="18"/>
          </w:rPr>
          <w:t xml:space="preserve">ork </w:t>
        </w:r>
        <w:r>
          <w:rPr>
            <w:rStyle w:val="Hyperlink"/>
            <w:i/>
            <w:szCs w:val="18"/>
          </w:rPr>
          <w:t>e</w:t>
        </w:r>
        <w:r w:rsidRPr="00C554C9">
          <w:rPr>
            <w:rStyle w:val="Hyperlink"/>
            <w:i/>
            <w:szCs w:val="18"/>
          </w:rPr>
          <w:t>xperiences of Aboriginal and/or Torres Strait Islander Australians in 2025</w:t>
        </w:r>
        <w:r w:rsidR="00E966DB">
          <w:rPr>
            <w:rStyle w:val="Hyperlink"/>
            <w:rFonts w:ascii="Symbol" w:eastAsia="Symbol" w:hAnsi="Symbol" w:cs="Symbol"/>
            <w:i/>
            <w:szCs w:val="18"/>
          </w:rPr>
          <w:t>-</w:t>
        </w:r>
        <w:r w:rsidRPr="00C554C9">
          <w:rPr>
            <w:rStyle w:val="Hyperlink"/>
            <w:i/>
            <w:szCs w:val="18"/>
          </w:rPr>
          <w:t>2026</w:t>
        </w:r>
      </w:hyperlink>
      <w:r w:rsidRPr="00C554C9">
        <w:rPr>
          <w:szCs w:val="18"/>
        </w:rPr>
        <w:t xml:space="preserve">, University of Technology Sydney, Gari Yala, </w:t>
      </w:r>
      <w:r>
        <w:rPr>
          <w:szCs w:val="18"/>
        </w:rPr>
        <w:t xml:space="preserve">2026, p 24, </w:t>
      </w:r>
      <w:r w:rsidRPr="00C554C9">
        <w:rPr>
          <w:szCs w:val="18"/>
        </w:rPr>
        <w:t>accessed 13 May 2026.</w:t>
      </w:r>
    </w:p>
  </w:footnote>
  <w:footnote w:id="726">
    <w:p w14:paraId="54072E59" w14:textId="70652AC3" w:rsidR="001F4902" w:rsidRPr="00C554C9" w:rsidRDefault="001F4902" w:rsidP="001F4902">
      <w:pPr>
        <w:pStyle w:val="FootnoteText"/>
      </w:pPr>
      <w:r w:rsidRPr="00C554C9">
        <w:rPr>
          <w:rStyle w:val="FootnoteReference"/>
        </w:rPr>
        <w:footnoteRef/>
      </w:r>
      <w:r w:rsidRPr="00C554C9">
        <w:t xml:space="preserve"> </w:t>
      </w:r>
      <w:r w:rsidRPr="00C554C9">
        <w:rPr>
          <w:szCs w:val="18"/>
        </w:rPr>
        <w:t xml:space="preserve">N Young, J Gilbert, O Evans and J O’Leary, </w:t>
      </w:r>
      <w:hyperlink r:id="rId593" w:history="1">
        <w:r w:rsidRPr="00C554C9">
          <w:rPr>
            <w:rStyle w:val="Hyperlink"/>
            <w:i/>
            <w:szCs w:val="18"/>
          </w:rPr>
          <w:t xml:space="preserve">Gari Yala 2 (Speak the Truth) </w:t>
        </w:r>
        <w:r>
          <w:rPr>
            <w:rStyle w:val="Hyperlink"/>
            <w:i/>
            <w:szCs w:val="18"/>
          </w:rPr>
          <w:t>f</w:t>
        </w:r>
        <w:r w:rsidRPr="00C554C9">
          <w:rPr>
            <w:rStyle w:val="Hyperlink"/>
            <w:i/>
            <w:szCs w:val="18"/>
          </w:rPr>
          <w:t xml:space="preserve">ull </w:t>
        </w:r>
        <w:r>
          <w:rPr>
            <w:rStyle w:val="Hyperlink"/>
            <w:i/>
            <w:szCs w:val="18"/>
          </w:rPr>
          <w:t>r</w:t>
        </w:r>
        <w:r w:rsidRPr="00C554C9">
          <w:rPr>
            <w:rStyle w:val="Hyperlink"/>
            <w:i/>
            <w:szCs w:val="18"/>
          </w:rPr>
          <w:t>eport:</w:t>
        </w:r>
        <w:r w:rsidR="00200D70">
          <w:rPr>
            <w:rStyle w:val="Hyperlink"/>
            <w:i/>
            <w:szCs w:val="18"/>
          </w:rPr>
          <w:t xml:space="preserve"> C</w:t>
        </w:r>
        <w:r w:rsidRPr="00C554C9">
          <w:rPr>
            <w:rStyle w:val="Hyperlink"/>
            <w:i/>
            <w:szCs w:val="18"/>
          </w:rPr>
          <w:t xml:space="preserve">entreing the </w:t>
        </w:r>
        <w:r>
          <w:rPr>
            <w:rStyle w:val="Hyperlink"/>
            <w:i/>
            <w:szCs w:val="18"/>
          </w:rPr>
          <w:t>w</w:t>
        </w:r>
        <w:r w:rsidRPr="00C554C9">
          <w:rPr>
            <w:rStyle w:val="Hyperlink"/>
            <w:i/>
            <w:szCs w:val="18"/>
          </w:rPr>
          <w:t xml:space="preserve">ork </w:t>
        </w:r>
        <w:r>
          <w:rPr>
            <w:rStyle w:val="Hyperlink"/>
            <w:i/>
            <w:szCs w:val="18"/>
          </w:rPr>
          <w:t>e</w:t>
        </w:r>
        <w:r w:rsidRPr="00C554C9">
          <w:rPr>
            <w:rStyle w:val="Hyperlink"/>
            <w:i/>
            <w:szCs w:val="18"/>
          </w:rPr>
          <w:t>xperiences of Aboriginal and/or Torres Strait Islander Australians in 2025</w:t>
        </w:r>
        <w:r w:rsidR="00E966DB">
          <w:rPr>
            <w:rStyle w:val="Hyperlink"/>
            <w:rFonts w:ascii="Symbol" w:eastAsia="Symbol" w:hAnsi="Symbol" w:cs="Symbol"/>
            <w:i/>
            <w:szCs w:val="18"/>
          </w:rPr>
          <w:t>-</w:t>
        </w:r>
        <w:r w:rsidRPr="00C554C9">
          <w:rPr>
            <w:rStyle w:val="Hyperlink"/>
            <w:i/>
            <w:szCs w:val="18"/>
          </w:rPr>
          <w:t>2026</w:t>
        </w:r>
      </w:hyperlink>
      <w:r w:rsidRPr="00C554C9">
        <w:rPr>
          <w:iCs/>
          <w:szCs w:val="18"/>
        </w:rPr>
        <w:t>,</w:t>
      </w:r>
      <w:r w:rsidRPr="00C554C9">
        <w:rPr>
          <w:szCs w:val="18"/>
        </w:rPr>
        <w:t xml:space="preserve"> </w:t>
      </w:r>
      <w:r>
        <w:rPr>
          <w:szCs w:val="18"/>
        </w:rPr>
        <w:t xml:space="preserve">University of Technology Sydney, Gari Yala, 2026, </w:t>
      </w:r>
      <w:r w:rsidRPr="00C554C9">
        <w:rPr>
          <w:szCs w:val="18"/>
        </w:rPr>
        <w:t>pp 27–28.</w:t>
      </w:r>
    </w:p>
  </w:footnote>
  <w:footnote w:id="727">
    <w:p w14:paraId="3289DFF4" w14:textId="402C7446" w:rsidR="001F4902" w:rsidRPr="004E7884" w:rsidRDefault="001F4902" w:rsidP="001F4902">
      <w:pPr>
        <w:pStyle w:val="FootnoteText"/>
      </w:pPr>
      <w:r w:rsidRPr="00C554C9">
        <w:rPr>
          <w:rStyle w:val="FootnoteReference"/>
        </w:rPr>
        <w:footnoteRef/>
      </w:r>
      <w:r w:rsidRPr="00C554C9">
        <w:rPr>
          <w:szCs w:val="18"/>
        </w:rPr>
        <w:t xml:space="preserve"> MB Nielsen, SV Einarsen, S Parveen and M </w:t>
      </w:r>
      <w:r w:rsidRPr="004E7884">
        <w:rPr>
          <w:szCs w:val="18"/>
        </w:rPr>
        <w:t>Rosander, ‘</w:t>
      </w:r>
      <w:hyperlink r:id="rId594" w:history="1">
        <w:r w:rsidRPr="004E7884">
          <w:rPr>
            <w:rStyle w:val="Hyperlink"/>
            <w:szCs w:val="18"/>
          </w:rPr>
          <w:t xml:space="preserve">Witnessing workplace bullying </w:t>
        </w:r>
        <w:r w:rsidR="00E966DB" w:rsidRPr="004E7884">
          <w:rPr>
            <w:rStyle w:val="Hyperlink"/>
            <w:rFonts w:ascii="Symbol" w:eastAsia="Symbol" w:hAnsi="Symbol" w:cs="Symbol"/>
            <w:szCs w:val="18"/>
          </w:rPr>
          <w:t>-</w:t>
        </w:r>
        <w:r w:rsidRPr="004E7884">
          <w:rPr>
            <w:rStyle w:val="Hyperlink"/>
            <w:szCs w:val="18"/>
          </w:rPr>
          <w:t xml:space="preserve"> </w:t>
        </w:r>
        <w:r w:rsidR="00974631">
          <w:rPr>
            <w:rStyle w:val="Hyperlink"/>
            <w:szCs w:val="18"/>
          </w:rPr>
          <w:t>A</w:t>
        </w:r>
        <w:r w:rsidRPr="004E7884">
          <w:rPr>
            <w:rStyle w:val="Hyperlink"/>
            <w:szCs w:val="18"/>
          </w:rPr>
          <w:t xml:space="preserve"> systematic review and meta</w:t>
        </w:r>
        <w:r w:rsidR="00974631">
          <w:rPr>
            <w:rStyle w:val="Hyperlink"/>
            <w:szCs w:val="18"/>
          </w:rPr>
          <w:noBreakHyphen/>
        </w:r>
        <w:r w:rsidRPr="004E7884">
          <w:rPr>
            <w:rStyle w:val="Hyperlink"/>
            <w:szCs w:val="18"/>
          </w:rPr>
          <w:t>analysis of individual health and well-being outcomes</w:t>
        </w:r>
      </w:hyperlink>
      <w:r w:rsidRPr="004E7884">
        <w:rPr>
          <w:szCs w:val="18"/>
        </w:rPr>
        <w:t xml:space="preserve">’, </w:t>
      </w:r>
      <w:r w:rsidRPr="004E7884">
        <w:rPr>
          <w:i/>
          <w:szCs w:val="18"/>
        </w:rPr>
        <w:t>Aggression and Violent Behaviour</w:t>
      </w:r>
      <w:r w:rsidRPr="004E7884">
        <w:rPr>
          <w:szCs w:val="18"/>
        </w:rPr>
        <w:t>, 2024, 75.</w:t>
      </w:r>
    </w:p>
  </w:footnote>
  <w:footnote w:id="728">
    <w:p w14:paraId="6E616263" w14:textId="561069C3" w:rsidR="001F4902" w:rsidRPr="00C554C9" w:rsidRDefault="001F4902" w:rsidP="001F4902">
      <w:pPr>
        <w:pStyle w:val="FootnoteText"/>
      </w:pPr>
      <w:r w:rsidRPr="004E7884">
        <w:rPr>
          <w:rStyle w:val="FootnoteReference"/>
        </w:rPr>
        <w:footnoteRef/>
      </w:r>
      <w:r w:rsidRPr="004E7884">
        <w:rPr>
          <w:szCs w:val="18"/>
        </w:rPr>
        <w:t xml:space="preserve"> V O’Keeffe, S Howard, A Neall, A Cebulla and A Hordacre, </w:t>
      </w:r>
      <w:hyperlink r:id="rId595" w:history="1">
        <w:r w:rsidRPr="004E7884">
          <w:rPr>
            <w:rStyle w:val="Hyperlink"/>
            <w:i/>
            <w:szCs w:val="18"/>
          </w:rPr>
          <w:t xml:space="preserve">Harmful behaviours in the workplace </w:t>
        </w:r>
        <w:r w:rsidR="00E966DB" w:rsidRPr="004E7884">
          <w:rPr>
            <w:rStyle w:val="Hyperlink"/>
            <w:rFonts w:ascii="Symbol" w:eastAsia="Symbol" w:hAnsi="Symbol" w:cs="Symbol"/>
            <w:i/>
            <w:szCs w:val="18"/>
          </w:rPr>
          <w:t>-</w:t>
        </w:r>
        <w:r w:rsidRPr="004E7884">
          <w:rPr>
            <w:rStyle w:val="Hyperlink"/>
            <w:i/>
            <w:szCs w:val="18"/>
          </w:rPr>
          <w:t xml:space="preserve"> </w:t>
        </w:r>
        <w:r w:rsidR="00390AC9">
          <w:rPr>
            <w:rStyle w:val="Hyperlink"/>
            <w:i/>
            <w:szCs w:val="18"/>
          </w:rPr>
          <w:t>A</w:t>
        </w:r>
        <w:r w:rsidRPr="004E7884">
          <w:rPr>
            <w:rStyle w:val="Hyperlink"/>
            <w:i/>
            <w:szCs w:val="18"/>
          </w:rPr>
          <w:t xml:space="preserve"> literature review</w:t>
        </w:r>
      </w:hyperlink>
      <w:r w:rsidRPr="00C554C9">
        <w:rPr>
          <w:szCs w:val="18"/>
        </w:rPr>
        <w:t xml:space="preserve">, Flinders University, Australian Industrial Transformation Institute, June 2024, </w:t>
      </w:r>
      <w:r>
        <w:rPr>
          <w:szCs w:val="18"/>
        </w:rPr>
        <w:t xml:space="preserve">p 63, </w:t>
      </w:r>
      <w:r w:rsidRPr="00C554C9">
        <w:rPr>
          <w:szCs w:val="18"/>
        </w:rPr>
        <w:t>accessed 13 May 2026.</w:t>
      </w:r>
    </w:p>
  </w:footnote>
  <w:footnote w:id="729">
    <w:p w14:paraId="29086C7F" w14:textId="77777777" w:rsidR="001F4902" w:rsidRPr="00C554C9" w:rsidRDefault="001F4902" w:rsidP="001F4902">
      <w:pPr>
        <w:pStyle w:val="FootnoteText"/>
        <w:rPr>
          <w:szCs w:val="18"/>
        </w:rPr>
      </w:pPr>
      <w:r w:rsidRPr="00C554C9">
        <w:rPr>
          <w:rStyle w:val="FootnoteReference"/>
          <w:szCs w:val="18"/>
        </w:rPr>
        <w:footnoteRef/>
      </w:r>
      <w:r w:rsidRPr="00C554C9">
        <w:rPr>
          <w:szCs w:val="18"/>
        </w:rPr>
        <w:t xml:space="preserve"> Reconciliation Australia, Consultation, March 2025.</w:t>
      </w:r>
    </w:p>
  </w:footnote>
  <w:footnote w:id="730">
    <w:p w14:paraId="433719C8" w14:textId="2FB33F6D" w:rsidR="001F4902" w:rsidRPr="00C554C9" w:rsidRDefault="001F4902" w:rsidP="001F4902">
      <w:pPr>
        <w:pStyle w:val="FootnoteText"/>
        <w:rPr>
          <w:szCs w:val="18"/>
        </w:rPr>
      </w:pPr>
      <w:r w:rsidRPr="00C554C9">
        <w:rPr>
          <w:rStyle w:val="FootnoteReference"/>
          <w:szCs w:val="18"/>
        </w:rPr>
        <w:footnoteRef/>
      </w:r>
      <w:r w:rsidRPr="00C554C9">
        <w:rPr>
          <w:szCs w:val="18"/>
        </w:rPr>
        <w:t xml:space="preserve"> Safe Work Australia, </w:t>
      </w:r>
      <w:hyperlink r:id="rId596" w:history="1">
        <w:r w:rsidRPr="00C554C9">
          <w:rPr>
            <w:rStyle w:val="Hyperlink"/>
            <w:i/>
            <w:szCs w:val="18"/>
          </w:rPr>
          <w:t>Research and Evaluation Strategy</w:t>
        </w:r>
        <w:r w:rsidRPr="00C554C9">
          <w:rPr>
            <w:rStyle w:val="Hyperlink"/>
            <w:i/>
            <w:iCs/>
            <w:szCs w:val="18"/>
          </w:rPr>
          <w:t>,</w:t>
        </w:r>
      </w:hyperlink>
      <w:r w:rsidRPr="00C554C9">
        <w:t xml:space="preserve"> </w:t>
      </w:r>
      <w:r>
        <w:t xml:space="preserve">Safe Work Australia, </w:t>
      </w:r>
      <w:r w:rsidRPr="00C554C9">
        <w:t>2025, accessed 13 May 2026.</w:t>
      </w:r>
    </w:p>
  </w:footnote>
  <w:footnote w:id="731">
    <w:p w14:paraId="58D8FC52" w14:textId="77777777" w:rsidR="006620F8" w:rsidRPr="00C554C9" w:rsidRDefault="006620F8" w:rsidP="006620F8">
      <w:pPr>
        <w:pStyle w:val="FootnoteText"/>
        <w:rPr>
          <w:rFonts w:cstheme="minorHAnsi"/>
          <w:szCs w:val="18"/>
        </w:rPr>
      </w:pPr>
      <w:r w:rsidRPr="00C554C9">
        <w:rPr>
          <w:rStyle w:val="FootnoteReference"/>
          <w:rFonts w:cstheme="minorHAnsi"/>
          <w:szCs w:val="18"/>
        </w:rPr>
        <w:footnoteRef/>
      </w:r>
      <w:r w:rsidRPr="00C554C9">
        <w:rPr>
          <w:rFonts w:cstheme="minorHAnsi"/>
          <w:szCs w:val="18"/>
        </w:rPr>
        <w:t xml:space="preserve"> </w:t>
      </w:r>
      <w:r w:rsidRPr="00C554C9">
        <w:rPr>
          <w:rFonts w:cstheme="minorHAnsi"/>
          <w:i/>
          <w:szCs w:val="18"/>
        </w:rPr>
        <w:t xml:space="preserve">Work Health and Safety (Mines and Petroleum Sites) Act 2013 </w:t>
      </w:r>
      <w:r w:rsidRPr="00C554C9">
        <w:rPr>
          <w:rFonts w:cstheme="minorHAnsi"/>
          <w:iCs/>
          <w:szCs w:val="18"/>
        </w:rPr>
        <w:t>(NSW)</w:t>
      </w:r>
      <w:r w:rsidRPr="00C554C9">
        <w:rPr>
          <w:rFonts w:cstheme="minorHAnsi"/>
          <w:i/>
          <w:szCs w:val="18"/>
        </w:rPr>
        <w:t xml:space="preserve"> </w:t>
      </w:r>
      <w:r w:rsidRPr="00C554C9">
        <w:rPr>
          <w:rFonts w:cstheme="minorHAnsi"/>
          <w:szCs w:val="18"/>
        </w:rPr>
        <w:t xml:space="preserve">and </w:t>
      </w:r>
      <w:r w:rsidRPr="00591284">
        <w:rPr>
          <w:rFonts w:cstheme="minorHAnsi"/>
          <w:szCs w:val="18"/>
        </w:rPr>
        <w:t>Work Health and Safety (Mines and Petroleum Sites) Regulation 2022</w:t>
      </w:r>
      <w:r w:rsidRPr="00C554C9">
        <w:rPr>
          <w:rFonts w:cstheme="minorHAnsi"/>
          <w:i/>
          <w:szCs w:val="18"/>
        </w:rPr>
        <w:t xml:space="preserve"> </w:t>
      </w:r>
      <w:r w:rsidRPr="00C554C9">
        <w:rPr>
          <w:rFonts w:cstheme="minorHAnsi"/>
          <w:iCs/>
          <w:szCs w:val="18"/>
        </w:rPr>
        <w:t>(NSW)</w:t>
      </w:r>
      <w:r w:rsidRPr="00C554C9">
        <w:rPr>
          <w:rFonts w:cstheme="minorHAnsi"/>
          <w:i/>
          <w:szCs w:val="18"/>
        </w:rPr>
        <w:t>.</w:t>
      </w:r>
    </w:p>
  </w:footnote>
  <w:footnote w:id="732">
    <w:p w14:paraId="1754AB49" w14:textId="77777777" w:rsidR="006620F8" w:rsidRPr="00C554C9" w:rsidRDefault="006620F8" w:rsidP="006620F8">
      <w:pPr>
        <w:pStyle w:val="FootnoteText"/>
        <w:rPr>
          <w:rFonts w:cstheme="minorHAnsi"/>
          <w:szCs w:val="18"/>
        </w:rPr>
      </w:pPr>
      <w:r w:rsidRPr="00C554C9">
        <w:rPr>
          <w:rStyle w:val="FootnoteReference"/>
          <w:rFonts w:cstheme="minorHAnsi"/>
          <w:szCs w:val="18"/>
        </w:rPr>
        <w:footnoteRef/>
      </w:r>
      <w:r w:rsidRPr="00C554C9">
        <w:rPr>
          <w:rFonts w:cstheme="minorHAnsi"/>
          <w:szCs w:val="18"/>
        </w:rPr>
        <w:t xml:space="preserve"> </w:t>
      </w:r>
      <w:r w:rsidRPr="00591284">
        <w:rPr>
          <w:rFonts w:cstheme="minorHAnsi"/>
          <w:szCs w:val="18"/>
        </w:rPr>
        <w:t>Work Health and Safety (Mines) Regulations 2022</w:t>
      </w:r>
      <w:r w:rsidRPr="00C554C9">
        <w:rPr>
          <w:rFonts w:cstheme="minorHAnsi"/>
          <w:i/>
          <w:szCs w:val="18"/>
        </w:rPr>
        <w:t xml:space="preserve"> </w:t>
      </w:r>
      <w:r w:rsidRPr="00C554C9">
        <w:rPr>
          <w:rFonts w:cstheme="minorHAnsi"/>
          <w:iCs/>
          <w:szCs w:val="18"/>
        </w:rPr>
        <w:t>(WA)</w:t>
      </w:r>
      <w:r w:rsidRPr="00C554C9">
        <w:rPr>
          <w:rFonts w:cstheme="minorHAnsi"/>
          <w:i/>
          <w:szCs w:val="18"/>
        </w:rPr>
        <w:t>.</w:t>
      </w:r>
    </w:p>
  </w:footnote>
  <w:footnote w:id="733">
    <w:p w14:paraId="263BCCAA" w14:textId="77777777" w:rsidR="006620F8" w:rsidRPr="00C554C9" w:rsidRDefault="006620F8" w:rsidP="006620F8">
      <w:pPr>
        <w:pStyle w:val="FootnoteText"/>
        <w:rPr>
          <w:rFonts w:cstheme="minorHAnsi"/>
          <w:szCs w:val="18"/>
        </w:rPr>
      </w:pPr>
      <w:r w:rsidRPr="00C554C9">
        <w:rPr>
          <w:rStyle w:val="FootnoteReference"/>
          <w:rFonts w:cstheme="minorHAnsi"/>
          <w:szCs w:val="18"/>
        </w:rPr>
        <w:footnoteRef/>
      </w:r>
      <w:r w:rsidRPr="00C554C9">
        <w:rPr>
          <w:rFonts w:cstheme="minorHAnsi"/>
          <w:szCs w:val="18"/>
        </w:rPr>
        <w:t xml:space="preserve"> </w:t>
      </w:r>
      <w:r w:rsidRPr="00C554C9">
        <w:rPr>
          <w:rFonts w:cstheme="minorHAnsi"/>
          <w:i/>
          <w:szCs w:val="18"/>
        </w:rPr>
        <w:t xml:space="preserve">Mines Work Health and Safety (Supplementary Requirements) Act 2012 </w:t>
      </w:r>
      <w:r w:rsidRPr="00C554C9">
        <w:rPr>
          <w:rFonts w:cstheme="minorHAnsi"/>
          <w:iCs/>
          <w:szCs w:val="18"/>
        </w:rPr>
        <w:t>(Tas)</w:t>
      </w:r>
      <w:r w:rsidRPr="00C554C9">
        <w:rPr>
          <w:rFonts w:cstheme="minorHAnsi"/>
          <w:i/>
          <w:szCs w:val="18"/>
        </w:rPr>
        <w:t xml:space="preserve"> </w:t>
      </w:r>
      <w:r w:rsidRPr="00C554C9">
        <w:rPr>
          <w:rFonts w:cstheme="minorHAnsi"/>
          <w:szCs w:val="18"/>
        </w:rPr>
        <w:t xml:space="preserve">and </w:t>
      </w:r>
      <w:r w:rsidRPr="00591284">
        <w:rPr>
          <w:rFonts w:cstheme="minorHAnsi"/>
          <w:szCs w:val="18"/>
        </w:rPr>
        <w:t>Mines Work Health and Safety (Supplementary Requirements) Regulations 2025</w:t>
      </w:r>
      <w:r w:rsidRPr="00C554C9">
        <w:rPr>
          <w:rFonts w:cstheme="minorHAnsi"/>
          <w:i/>
          <w:szCs w:val="18"/>
        </w:rPr>
        <w:t xml:space="preserve"> </w:t>
      </w:r>
      <w:r w:rsidRPr="00C554C9">
        <w:rPr>
          <w:rFonts w:cstheme="minorHAnsi"/>
          <w:iCs/>
          <w:szCs w:val="18"/>
        </w:rPr>
        <w:t>(Tas)</w:t>
      </w:r>
      <w:r w:rsidRPr="00C554C9">
        <w:rPr>
          <w:rFonts w:cstheme="minorHAnsi"/>
          <w:szCs w:val="18"/>
        </w:rPr>
        <w:t>.</w:t>
      </w:r>
    </w:p>
  </w:footnote>
  <w:footnote w:id="734">
    <w:p w14:paraId="5F2751A0" w14:textId="7F638CF7" w:rsidR="006620F8" w:rsidRPr="00C554C9" w:rsidRDefault="006620F8" w:rsidP="006620F8">
      <w:pPr>
        <w:pStyle w:val="FootnoteText"/>
        <w:rPr>
          <w:rFonts w:cstheme="minorHAnsi"/>
          <w:szCs w:val="18"/>
        </w:rPr>
      </w:pPr>
      <w:r w:rsidRPr="00C554C9">
        <w:rPr>
          <w:rStyle w:val="FootnoteReference"/>
          <w:rFonts w:cstheme="minorHAnsi"/>
          <w:szCs w:val="18"/>
        </w:rPr>
        <w:footnoteRef/>
      </w:r>
      <w:r w:rsidRPr="00C554C9">
        <w:rPr>
          <w:rFonts w:cstheme="minorHAnsi"/>
          <w:szCs w:val="18"/>
        </w:rPr>
        <w:t xml:space="preserve"> T Cvetkovski and N Weston, ‘</w:t>
      </w:r>
      <w:hyperlink r:id="rId597" w:history="1">
        <w:r w:rsidRPr="00C554C9">
          <w:rPr>
            <w:rStyle w:val="Hyperlink"/>
            <w:rFonts w:cstheme="minorHAnsi"/>
            <w:szCs w:val="18"/>
          </w:rPr>
          <w:t xml:space="preserve">Mining </w:t>
        </w:r>
        <w:r>
          <w:rPr>
            <w:rStyle w:val="Hyperlink"/>
            <w:rFonts w:cstheme="minorHAnsi"/>
            <w:szCs w:val="18"/>
          </w:rPr>
          <w:t>w</w:t>
        </w:r>
        <w:r w:rsidRPr="00C554C9">
          <w:rPr>
            <w:rStyle w:val="Hyperlink"/>
            <w:rFonts w:cstheme="minorHAnsi"/>
            <w:szCs w:val="18"/>
          </w:rPr>
          <w:t xml:space="preserve">ork </w:t>
        </w:r>
        <w:r>
          <w:rPr>
            <w:rStyle w:val="Hyperlink"/>
            <w:rFonts w:cstheme="minorHAnsi"/>
            <w:szCs w:val="18"/>
          </w:rPr>
          <w:t>h</w:t>
        </w:r>
        <w:r w:rsidRPr="00C554C9">
          <w:rPr>
            <w:rStyle w:val="Hyperlink"/>
            <w:rFonts w:cstheme="minorHAnsi"/>
            <w:szCs w:val="18"/>
          </w:rPr>
          <w:t xml:space="preserve">ealth, </w:t>
        </w:r>
        <w:r>
          <w:rPr>
            <w:rStyle w:val="Hyperlink"/>
            <w:rFonts w:cstheme="minorHAnsi"/>
            <w:szCs w:val="18"/>
          </w:rPr>
          <w:t>s</w:t>
        </w:r>
        <w:r w:rsidRPr="00C554C9">
          <w:rPr>
            <w:rStyle w:val="Hyperlink"/>
            <w:rFonts w:cstheme="minorHAnsi"/>
            <w:szCs w:val="18"/>
          </w:rPr>
          <w:t xml:space="preserve">afety </w:t>
        </w:r>
        <w:r>
          <w:rPr>
            <w:rStyle w:val="Hyperlink"/>
            <w:rFonts w:cstheme="minorHAnsi"/>
            <w:szCs w:val="18"/>
          </w:rPr>
          <w:t>l</w:t>
        </w:r>
        <w:r w:rsidRPr="00C554C9">
          <w:rPr>
            <w:rStyle w:val="Hyperlink"/>
            <w:rFonts w:cstheme="minorHAnsi"/>
            <w:szCs w:val="18"/>
          </w:rPr>
          <w:t xml:space="preserve">aws and </w:t>
        </w:r>
        <w:r>
          <w:rPr>
            <w:rStyle w:val="Hyperlink"/>
            <w:rFonts w:cstheme="minorHAnsi"/>
            <w:szCs w:val="18"/>
          </w:rPr>
          <w:t>s</w:t>
        </w:r>
        <w:r w:rsidRPr="00C554C9">
          <w:rPr>
            <w:rStyle w:val="Hyperlink"/>
            <w:rFonts w:cstheme="minorHAnsi"/>
            <w:szCs w:val="18"/>
          </w:rPr>
          <w:t xml:space="preserve">erious </w:t>
        </w:r>
        <w:r>
          <w:rPr>
            <w:rStyle w:val="Hyperlink"/>
            <w:rFonts w:cstheme="minorHAnsi"/>
            <w:szCs w:val="18"/>
          </w:rPr>
          <w:t>i</w:t>
        </w:r>
        <w:r w:rsidRPr="00C554C9">
          <w:rPr>
            <w:rStyle w:val="Hyperlink"/>
            <w:rFonts w:cstheme="minorHAnsi"/>
            <w:szCs w:val="18"/>
          </w:rPr>
          <w:t xml:space="preserve">ndustrial </w:t>
        </w:r>
        <w:r>
          <w:rPr>
            <w:rStyle w:val="Hyperlink"/>
            <w:rFonts w:cstheme="minorHAnsi"/>
            <w:szCs w:val="18"/>
          </w:rPr>
          <w:t>c</w:t>
        </w:r>
        <w:r w:rsidRPr="00C554C9">
          <w:rPr>
            <w:rStyle w:val="Hyperlink"/>
            <w:rFonts w:cstheme="minorHAnsi"/>
            <w:szCs w:val="18"/>
          </w:rPr>
          <w:t xml:space="preserve">rimes in Australia: </w:t>
        </w:r>
        <w:r>
          <w:rPr>
            <w:rStyle w:val="Hyperlink"/>
            <w:rFonts w:cstheme="minorHAnsi"/>
            <w:szCs w:val="18"/>
          </w:rPr>
          <w:t>d</w:t>
        </w:r>
        <w:r w:rsidRPr="00C554C9">
          <w:rPr>
            <w:rStyle w:val="Hyperlink"/>
            <w:rFonts w:cstheme="minorHAnsi"/>
            <w:szCs w:val="18"/>
          </w:rPr>
          <w:t xml:space="preserve">own the </w:t>
        </w:r>
        <w:r>
          <w:rPr>
            <w:rStyle w:val="Hyperlink"/>
            <w:rFonts w:cstheme="minorHAnsi"/>
            <w:szCs w:val="18"/>
          </w:rPr>
          <w:t>s</w:t>
        </w:r>
        <w:r w:rsidRPr="00C554C9">
          <w:rPr>
            <w:rStyle w:val="Hyperlink"/>
            <w:rFonts w:cstheme="minorHAnsi"/>
            <w:szCs w:val="18"/>
          </w:rPr>
          <w:t xml:space="preserve">haft of </w:t>
        </w:r>
        <w:r>
          <w:rPr>
            <w:rStyle w:val="Hyperlink"/>
            <w:rFonts w:cstheme="minorHAnsi"/>
            <w:szCs w:val="18"/>
          </w:rPr>
          <w:t>j</w:t>
        </w:r>
        <w:r w:rsidRPr="00C554C9">
          <w:rPr>
            <w:rStyle w:val="Hyperlink"/>
            <w:rFonts w:cstheme="minorHAnsi"/>
            <w:szCs w:val="18"/>
          </w:rPr>
          <w:t xml:space="preserve">urisdictional </w:t>
        </w:r>
        <w:r>
          <w:rPr>
            <w:rStyle w:val="Hyperlink"/>
            <w:rFonts w:cstheme="minorHAnsi"/>
            <w:szCs w:val="18"/>
          </w:rPr>
          <w:t>i</w:t>
        </w:r>
        <w:r w:rsidRPr="00C554C9">
          <w:rPr>
            <w:rStyle w:val="Hyperlink"/>
            <w:rFonts w:cstheme="minorHAnsi"/>
            <w:szCs w:val="18"/>
          </w:rPr>
          <w:t>nconsistency</w:t>
        </w:r>
      </w:hyperlink>
      <w:r w:rsidRPr="00C554C9">
        <w:rPr>
          <w:szCs w:val="18"/>
        </w:rPr>
        <w:t>’</w:t>
      </w:r>
      <w:r w:rsidRPr="00C554C9">
        <w:rPr>
          <w:rFonts w:cstheme="minorHAnsi"/>
          <w:i/>
          <w:szCs w:val="18"/>
        </w:rPr>
        <w:t xml:space="preserve">, </w:t>
      </w:r>
      <w:r w:rsidRPr="00C554C9">
        <w:rPr>
          <w:rFonts w:cstheme="minorHAnsi"/>
          <w:i/>
          <w:iCs/>
          <w:szCs w:val="18"/>
        </w:rPr>
        <w:t>Laws</w:t>
      </w:r>
      <w:r w:rsidRPr="00C554C9">
        <w:rPr>
          <w:rFonts w:cstheme="minorHAnsi"/>
          <w:szCs w:val="18"/>
        </w:rPr>
        <w:t>, 2025, 14(4):49.</w:t>
      </w:r>
    </w:p>
  </w:footnote>
  <w:footnote w:id="735">
    <w:p w14:paraId="027345FD" w14:textId="77777777" w:rsidR="006620F8" w:rsidRPr="00C554C9" w:rsidRDefault="006620F8" w:rsidP="006620F8">
      <w:pPr>
        <w:pStyle w:val="FootnoteText"/>
        <w:rPr>
          <w:rFonts w:cs="Arial"/>
          <w:szCs w:val="18"/>
        </w:rPr>
      </w:pPr>
      <w:r w:rsidRPr="00C554C9">
        <w:rPr>
          <w:rStyle w:val="FootnoteReference"/>
          <w:rFonts w:cstheme="minorHAnsi"/>
          <w:szCs w:val="18"/>
        </w:rPr>
        <w:footnoteRef/>
      </w:r>
      <w:r w:rsidRPr="00C554C9" w:rsidDel="00586895">
        <w:rPr>
          <w:rFonts w:cstheme="minorHAnsi"/>
          <w:szCs w:val="18"/>
        </w:rPr>
        <w:t xml:space="preserve"> </w:t>
      </w:r>
      <w:r w:rsidRPr="00C554C9">
        <w:rPr>
          <w:rFonts w:cstheme="minorHAnsi"/>
          <w:szCs w:val="18"/>
        </w:rPr>
        <w:t xml:space="preserve">Department of Natural Resources and Mines, </w:t>
      </w:r>
      <w:hyperlink r:id="rId598" w:history="1">
        <w:r w:rsidRPr="00C554C9">
          <w:rPr>
            <w:rStyle w:val="Hyperlink"/>
            <w:rFonts w:cstheme="minorHAnsi"/>
            <w:i/>
            <w:szCs w:val="18"/>
          </w:rPr>
          <w:t>Nationally consistent mine safety legislation: Queensland’s proposal for a nationally consistent legislative framework</w:t>
        </w:r>
      </w:hyperlink>
      <w:r w:rsidRPr="00C554C9">
        <w:rPr>
          <w:rFonts w:cstheme="minorHAnsi"/>
          <w:szCs w:val="18"/>
        </w:rPr>
        <w:t xml:space="preserve">, </w:t>
      </w:r>
      <w:r>
        <w:rPr>
          <w:rFonts w:cstheme="minorHAnsi"/>
          <w:szCs w:val="18"/>
        </w:rPr>
        <w:t xml:space="preserve">Queensland Government, </w:t>
      </w:r>
      <w:r w:rsidRPr="00C554C9">
        <w:rPr>
          <w:rFonts w:cstheme="minorHAnsi"/>
          <w:szCs w:val="18"/>
        </w:rPr>
        <w:t>2012,</w:t>
      </w:r>
      <w:r w:rsidRPr="00C554C9">
        <w:rPr>
          <w:rFonts w:cstheme="minorHAnsi"/>
          <w:i/>
          <w:szCs w:val="18"/>
        </w:rPr>
        <w:t xml:space="preserve"> </w:t>
      </w:r>
      <w:r w:rsidRPr="00591284">
        <w:rPr>
          <w:rFonts w:cstheme="minorHAnsi"/>
          <w:szCs w:val="18"/>
        </w:rPr>
        <w:t>p 10,</w:t>
      </w:r>
      <w:r>
        <w:rPr>
          <w:rFonts w:cstheme="minorHAnsi"/>
          <w:i/>
          <w:szCs w:val="18"/>
        </w:rPr>
        <w:t xml:space="preserve"> </w:t>
      </w:r>
      <w:r w:rsidRPr="00C554C9">
        <w:rPr>
          <w:rFonts w:cstheme="minorHAnsi"/>
          <w:szCs w:val="18"/>
        </w:rPr>
        <w:t>accessed 9 Feb</w:t>
      </w:r>
      <w:r>
        <w:rPr>
          <w:rFonts w:cstheme="minorHAnsi"/>
          <w:szCs w:val="18"/>
        </w:rPr>
        <w:t>ruary</w:t>
      </w:r>
      <w:r w:rsidRPr="00C554C9">
        <w:rPr>
          <w:rFonts w:cstheme="minorHAnsi"/>
          <w:szCs w:val="18"/>
        </w:rPr>
        <w:t xml:space="preserve"> 2026.</w:t>
      </w:r>
    </w:p>
  </w:footnote>
  <w:footnote w:id="736">
    <w:p w14:paraId="6C15CF42" w14:textId="77777777" w:rsidR="00200933" w:rsidRPr="00CA2ED5" w:rsidRDefault="00200933" w:rsidP="00200933">
      <w:pPr>
        <w:pStyle w:val="FootnoteText"/>
        <w:rPr>
          <w:rFonts w:cstheme="minorHAnsi"/>
          <w:szCs w:val="18"/>
        </w:rPr>
      </w:pPr>
      <w:r w:rsidRPr="00C554C9">
        <w:rPr>
          <w:rStyle w:val="FootnoteReference"/>
          <w:rFonts w:cstheme="minorHAnsi"/>
          <w:szCs w:val="18"/>
        </w:rPr>
        <w:footnoteRef/>
      </w:r>
      <w:r w:rsidRPr="00C554C9">
        <w:rPr>
          <w:rFonts w:cstheme="minorHAnsi"/>
          <w:szCs w:val="18"/>
        </w:rPr>
        <w:t xml:space="preserve"> </w:t>
      </w:r>
      <w:r w:rsidRPr="00586895">
        <w:rPr>
          <w:rFonts w:cstheme="minorHAnsi"/>
          <w:szCs w:val="18"/>
        </w:rPr>
        <w:t xml:space="preserve">N Beech and D Catanese, </w:t>
      </w:r>
      <w:hyperlink r:id="rId599" w:history="1">
        <w:r w:rsidRPr="00C554C9">
          <w:rPr>
            <w:rStyle w:val="Hyperlink"/>
            <w:rFonts w:cstheme="minorHAnsi"/>
            <w:i/>
            <w:szCs w:val="18"/>
          </w:rPr>
          <w:t>Australian maritime WHS laws: seeking harmony</w:t>
        </w:r>
      </w:hyperlink>
      <w:r w:rsidRPr="00C554C9">
        <w:rPr>
          <w:rFonts w:cstheme="minorHAnsi"/>
          <w:szCs w:val="18"/>
        </w:rPr>
        <w:t xml:space="preserve">, </w:t>
      </w:r>
      <w:r>
        <w:rPr>
          <w:rFonts w:cstheme="minorHAnsi"/>
          <w:szCs w:val="18"/>
        </w:rPr>
        <w:t xml:space="preserve">Hall &amp; Wilcox, </w:t>
      </w:r>
      <w:r w:rsidRPr="00C554C9">
        <w:rPr>
          <w:rFonts w:cstheme="minorHAnsi"/>
          <w:szCs w:val="18"/>
        </w:rPr>
        <w:t>2022, accessed 9 Feb</w:t>
      </w:r>
      <w:r>
        <w:rPr>
          <w:rFonts w:cstheme="minorHAnsi"/>
          <w:szCs w:val="18"/>
        </w:rPr>
        <w:t>ruary</w:t>
      </w:r>
      <w:r w:rsidRPr="00C554C9">
        <w:rPr>
          <w:rFonts w:cstheme="minorHAnsi"/>
          <w:szCs w:val="18"/>
        </w:rPr>
        <w:t xml:space="preserve"> 2026.</w:t>
      </w:r>
    </w:p>
  </w:footnote>
  <w:footnote w:id="737">
    <w:p w14:paraId="1BBD0E7D" w14:textId="77777777" w:rsidR="00200933" w:rsidRPr="00C554C9" w:rsidRDefault="00200933" w:rsidP="00200933">
      <w:pPr>
        <w:pStyle w:val="FootnoteText"/>
        <w:rPr>
          <w:rFonts w:cstheme="minorHAnsi"/>
          <w:szCs w:val="18"/>
        </w:rPr>
      </w:pPr>
      <w:r w:rsidRPr="00C554C9">
        <w:rPr>
          <w:rStyle w:val="FootnoteReference"/>
          <w:rFonts w:cstheme="minorHAnsi"/>
          <w:szCs w:val="18"/>
        </w:rPr>
        <w:footnoteRef/>
      </w:r>
      <w:r w:rsidRPr="00C554C9">
        <w:rPr>
          <w:rFonts w:cstheme="minorHAnsi"/>
          <w:szCs w:val="18"/>
        </w:rPr>
        <w:t xml:space="preserve"> For example, a ship visiting more than one port in the United States must change over to a US flag and thereby becomes subject to US domestic maritime laws.</w:t>
      </w:r>
    </w:p>
  </w:footnote>
  <w:footnote w:id="738">
    <w:p w14:paraId="3EE1A076" w14:textId="08EE71C5" w:rsidR="00200933" w:rsidRPr="00C554C9" w:rsidRDefault="00200933" w:rsidP="00200933">
      <w:pPr>
        <w:pStyle w:val="FootnoteText"/>
        <w:rPr>
          <w:rFonts w:cstheme="minorHAnsi"/>
          <w:szCs w:val="18"/>
        </w:rPr>
      </w:pPr>
      <w:r w:rsidRPr="00C554C9">
        <w:rPr>
          <w:rStyle w:val="FootnoteReference"/>
          <w:rFonts w:cstheme="minorHAnsi"/>
          <w:szCs w:val="18"/>
        </w:rPr>
        <w:footnoteRef/>
      </w:r>
      <w:r w:rsidRPr="00C554C9">
        <w:rPr>
          <w:rFonts w:cstheme="minorHAnsi"/>
          <w:szCs w:val="18"/>
        </w:rPr>
        <w:t xml:space="preserve"> </w:t>
      </w:r>
      <w:hyperlink r:id="rId600" w:history="1">
        <w:r w:rsidRPr="00C554C9">
          <w:rPr>
            <w:rStyle w:val="Hyperlink"/>
          </w:rPr>
          <w:t>Australian Maritime Safety Authority</w:t>
        </w:r>
      </w:hyperlink>
      <w:r w:rsidRPr="00C554C9">
        <w:rPr>
          <w:rFonts w:cstheme="minorHAnsi"/>
          <w:szCs w:val="18"/>
        </w:rPr>
        <w:t>, Submission, p 2.</w:t>
      </w:r>
    </w:p>
  </w:footnote>
  <w:footnote w:id="739">
    <w:p w14:paraId="70D59A8B" w14:textId="77777777" w:rsidR="00200933" w:rsidRPr="00C554C9" w:rsidRDefault="00200933" w:rsidP="00200933">
      <w:pPr>
        <w:pStyle w:val="FootnoteText"/>
        <w:rPr>
          <w:rFonts w:cstheme="minorHAnsi"/>
          <w:szCs w:val="18"/>
        </w:rPr>
      </w:pPr>
      <w:r w:rsidRPr="00C554C9">
        <w:rPr>
          <w:rStyle w:val="FootnoteReference"/>
          <w:rFonts w:cstheme="minorHAnsi"/>
          <w:szCs w:val="18"/>
        </w:rPr>
        <w:footnoteRef/>
      </w:r>
      <w:r w:rsidRPr="00C554C9">
        <w:rPr>
          <w:rFonts w:cstheme="minorHAnsi"/>
          <w:szCs w:val="18"/>
        </w:rPr>
        <w:t xml:space="preserve"> </w:t>
      </w:r>
      <w:hyperlink r:id="rId601" w:history="1">
        <w:r w:rsidRPr="00C554C9">
          <w:rPr>
            <w:rStyle w:val="Hyperlink"/>
          </w:rPr>
          <w:t>Australian Maritime Safety Authority</w:t>
        </w:r>
      </w:hyperlink>
      <w:r w:rsidRPr="00C554C9">
        <w:rPr>
          <w:rFonts w:cstheme="minorHAnsi"/>
          <w:szCs w:val="18"/>
        </w:rPr>
        <w:t>, Submission, p 3.</w:t>
      </w:r>
    </w:p>
  </w:footnote>
  <w:footnote w:id="740">
    <w:p w14:paraId="5D8D38C1" w14:textId="75943B3C" w:rsidR="00996610" w:rsidRPr="00C554C9" w:rsidRDefault="00996610" w:rsidP="00996610">
      <w:pPr>
        <w:pStyle w:val="FootnoteText"/>
        <w:rPr>
          <w:rFonts w:cs="Arial"/>
        </w:rPr>
      </w:pPr>
      <w:r w:rsidRPr="00EE7BA9">
        <w:rPr>
          <w:rStyle w:val="FootnoteReference"/>
          <w:rFonts w:cs="Aptos"/>
          <w:color w:val="000000"/>
          <w:szCs w:val="18"/>
        </w:rPr>
        <w:footnoteRef/>
      </w:r>
      <w:r w:rsidRPr="00EE7BA9">
        <w:rPr>
          <w:rFonts w:cs="Aptos"/>
          <w:color w:val="000000"/>
          <w:szCs w:val="18"/>
        </w:rPr>
        <w:t xml:space="preserve"> The Commonwealth also regulates Victorian coastal waters after Victoria referred its powers to the Commonwealth.</w:t>
      </w:r>
    </w:p>
  </w:footnote>
  <w:footnote w:id="741">
    <w:p w14:paraId="0CF6AEE6" w14:textId="77777777" w:rsidR="00F03F5C" w:rsidRPr="00C554C9" w:rsidRDefault="00F03F5C" w:rsidP="00F03F5C">
      <w:pPr>
        <w:pStyle w:val="FootnoteText"/>
        <w:rPr>
          <w:rFonts w:cstheme="minorHAnsi"/>
          <w:szCs w:val="18"/>
        </w:rPr>
      </w:pPr>
      <w:r w:rsidRPr="00C554C9">
        <w:rPr>
          <w:rStyle w:val="FootnoteReference"/>
          <w:rFonts w:cstheme="minorHAnsi"/>
          <w:szCs w:val="18"/>
        </w:rPr>
        <w:footnoteRef/>
      </w:r>
      <w:r w:rsidRPr="00C554C9">
        <w:rPr>
          <w:rFonts w:cstheme="minorHAnsi"/>
          <w:szCs w:val="18"/>
        </w:rPr>
        <w:t xml:space="preserve"> </w:t>
      </w:r>
      <w:hyperlink r:id="rId602" w:history="1">
        <w:r w:rsidRPr="00C554C9">
          <w:rPr>
            <w:rStyle w:val="Hyperlink"/>
            <w:rFonts w:cstheme="minorHAnsi"/>
            <w:szCs w:val="18"/>
          </w:rPr>
          <w:t>DCCEEW</w:t>
        </w:r>
      </w:hyperlink>
      <w:r w:rsidRPr="00C554C9">
        <w:rPr>
          <w:rFonts w:cstheme="minorHAnsi"/>
          <w:szCs w:val="18"/>
        </w:rPr>
        <w:t>, Submission, pp 5–6.</w:t>
      </w:r>
    </w:p>
  </w:footnote>
  <w:footnote w:id="742">
    <w:p w14:paraId="5AC2D800" w14:textId="77777777" w:rsidR="003C2B1B" w:rsidRPr="003C2B1B" w:rsidRDefault="003C2B1B" w:rsidP="003C2B1B">
      <w:pPr>
        <w:pStyle w:val="FootnoteText"/>
        <w:rPr>
          <w:rFonts w:cs="Aptos"/>
          <w:szCs w:val="18"/>
        </w:rPr>
      </w:pPr>
      <w:r w:rsidRPr="003C2B1B">
        <w:rPr>
          <w:rStyle w:val="FootnoteReference"/>
          <w:rFonts w:cs="Aptos"/>
          <w:szCs w:val="18"/>
        </w:rPr>
        <w:footnoteRef/>
      </w:r>
      <w:r w:rsidRPr="003C2B1B">
        <w:rPr>
          <w:rFonts w:cs="Aptos"/>
          <w:szCs w:val="18"/>
        </w:rPr>
        <w:t xml:space="preserve"> </w:t>
      </w:r>
      <w:r w:rsidRPr="003C2B1B">
        <w:rPr>
          <w:rFonts w:cs="Aptos"/>
          <w:i/>
          <w:szCs w:val="18"/>
        </w:rPr>
        <w:t>Work Health and Safety (Mines and Petroleum Sites) Act 2013</w:t>
      </w:r>
      <w:r w:rsidRPr="003C2B1B">
        <w:rPr>
          <w:rFonts w:cs="Aptos"/>
          <w:szCs w:val="18"/>
        </w:rPr>
        <w:t xml:space="preserve"> (NSW) and Work Health and Safety (Petroleum and Geothermal Energy Operations) Regulations 2022 (WA).</w:t>
      </w:r>
    </w:p>
  </w:footnote>
  <w:footnote w:id="743">
    <w:p w14:paraId="7FE54B8B" w14:textId="77777777" w:rsidR="003C2B1B" w:rsidRPr="003C2B1B" w:rsidRDefault="003C2B1B" w:rsidP="003C2B1B">
      <w:pPr>
        <w:pStyle w:val="FootnoteText"/>
        <w:rPr>
          <w:rFonts w:cs="Aptos"/>
          <w:szCs w:val="18"/>
        </w:rPr>
      </w:pPr>
      <w:r w:rsidRPr="003C2B1B">
        <w:rPr>
          <w:rStyle w:val="FootnoteReference"/>
          <w:rFonts w:cs="Aptos"/>
          <w:szCs w:val="18"/>
        </w:rPr>
        <w:footnoteRef/>
      </w:r>
      <w:r w:rsidRPr="003C2B1B">
        <w:rPr>
          <w:rFonts w:cs="Aptos"/>
          <w:szCs w:val="18"/>
        </w:rPr>
        <w:t xml:space="preserve"> Qld WHS Act, Sch 1, Pt 2, s 2.</w:t>
      </w:r>
    </w:p>
  </w:footnote>
  <w:footnote w:id="744">
    <w:p w14:paraId="1A9001A5" w14:textId="77777777" w:rsidR="003C2B1B" w:rsidRPr="003C2B1B" w:rsidRDefault="003C2B1B" w:rsidP="003C2B1B">
      <w:pPr>
        <w:pStyle w:val="FootnoteText"/>
        <w:rPr>
          <w:rFonts w:cs="Aptos"/>
          <w:szCs w:val="18"/>
        </w:rPr>
      </w:pPr>
      <w:r w:rsidRPr="003C2B1B">
        <w:rPr>
          <w:rStyle w:val="FootnoteReference"/>
          <w:rFonts w:cs="Aptos"/>
          <w:szCs w:val="18"/>
        </w:rPr>
        <w:footnoteRef/>
      </w:r>
      <w:r w:rsidRPr="003C2B1B">
        <w:rPr>
          <w:rFonts w:cs="Aptos"/>
          <w:szCs w:val="18"/>
        </w:rPr>
        <w:t xml:space="preserve"> </w:t>
      </w:r>
      <w:hyperlink r:id="rId603" w:history="1">
        <w:r w:rsidRPr="003C2B1B">
          <w:rPr>
            <w:rStyle w:val="Hyperlink"/>
            <w:rFonts w:cs="Aptos"/>
            <w:szCs w:val="18"/>
          </w:rPr>
          <w:t>Dr Shay Dougall, Dr Rachael Potter and Professor Maureen Dollard</w:t>
        </w:r>
      </w:hyperlink>
      <w:r w:rsidRPr="003C2B1B">
        <w:rPr>
          <w:rFonts w:cs="Aptos"/>
          <w:szCs w:val="18"/>
        </w:rPr>
        <w:t>, Submission, p 2.</w:t>
      </w:r>
    </w:p>
  </w:footnote>
  <w:footnote w:id="745">
    <w:p w14:paraId="219BCB05" w14:textId="57191F9B" w:rsidR="003C2B1B" w:rsidRPr="003C2B1B" w:rsidRDefault="003C2B1B" w:rsidP="003C2B1B">
      <w:pPr>
        <w:pStyle w:val="FootnoteText"/>
        <w:rPr>
          <w:rFonts w:cs="Aptos"/>
          <w:szCs w:val="18"/>
        </w:rPr>
      </w:pPr>
      <w:r w:rsidRPr="003C2B1B">
        <w:rPr>
          <w:rStyle w:val="FootnoteReference"/>
          <w:rFonts w:cs="Aptos"/>
          <w:szCs w:val="18"/>
        </w:rPr>
        <w:footnoteRef/>
      </w:r>
      <w:r w:rsidRPr="003C2B1B">
        <w:rPr>
          <w:rFonts w:cs="Aptos"/>
          <w:szCs w:val="18"/>
        </w:rPr>
        <w:t xml:space="preserve"> Qld WHS Act, Sch 1, Pt 2, Div 1, s 3.</w:t>
      </w:r>
    </w:p>
  </w:footnote>
  <w:footnote w:id="746">
    <w:p w14:paraId="4E1A5E41" w14:textId="77777777" w:rsidR="00761A5B" w:rsidRPr="00C554C9" w:rsidRDefault="00761A5B" w:rsidP="00761A5B">
      <w:pPr>
        <w:pStyle w:val="FootnoteText"/>
        <w:rPr>
          <w:rFonts w:cstheme="minorHAnsi"/>
          <w:szCs w:val="18"/>
        </w:rPr>
      </w:pPr>
      <w:r w:rsidRPr="00C554C9">
        <w:rPr>
          <w:rStyle w:val="FootnoteReference"/>
          <w:rFonts w:cstheme="minorHAnsi"/>
          <w:szCs w:val="18"/>
        </w:rPr>
        <w:footnoteRef/>
      </w:r>
      <w:r w:rsidRPr="00C554C9">
        <w:rPr>
          <w:rFonts w:cstheme="minorHAnsi"/>
          <w:szCs w:val="18"/>
        </w:rPr>
        <w:t xml:space="preserve"> Mirror legislation usually refers to a system where one jurisdiction enacts a law that is then enacted in similar terms by other jurisdictions.</w:t>
      </w:r>
    </w:p>
  </w:footnote>
  <w:footnote w:id="747">
    <w:p w14:paraId="6063E2C4" w14:textId="00F2251B" w:rsidR="00761A5B" w:rsidRPr="00C554C9" w:rsidRDefault="00761A5B" w:rsidP="00761A5B">
      <w:pPr>
        <w:pStyle w:val="FootnoteText"/>
        <w:rPr>
          <w:szCs w:val="18"/>
        </w:rPr>
      </w:pPr>
      <w:r w:rsidRPr="00761A5B">
        <w:rPr>
          <w:rStyle w:val="FootnoteReference"/>
          <w:rFonts w:cs="Aptos"/>
          <w:szCs w:val="18"/>
        </w:rPr>
        <w:footnoteRef/>
      </w:r>
      <w:r w:rsidRPr="00761A5B">
        <w:rPr>
          <w:rFonts w:cs="Aptos"/>
          <w:szCs w:val="18"/>
        </w:rPr>
        <w:t xml:space="preserve"> The HVNL applies equally to vehicles from WA and NT when they cross into one of the states or territories where the HVNL applies.</w:t>
      </w:r>
    </w:p>
  </w:footnote>
  <w:footnote w:id="748">
    <w:p w14:paraId="72FF6C71" w14:textId="7D039D1F" w:rsidR="00761A5B" w:rsidRPr="00761A5B" w:rsidRDefault="00761A5B" w:rsidP="00761A5B">
      <w:pPr>
        <w:pStyle w:val="FootnoteText"/>
        <w:rPr>
          <w:rFonts w:cs="Aptos"/>
          <w:szCs w:val="18"/>
        </w:rPr>
      </w:pPr>
      <w:r w:rsidRPr="00761A5B">
        <w:rPr>
          <w:rStyle w:val="FootnoteReference"/>
          <w:rFonts w:cs="Aptos"/>
          <w:szCs w:val="18"/>
        </w:rPr>
        <w:footnoteRef/>
      </w:r>
      <w:r w:rsidRPr="00761A5B">
        <w:rPr>
          <w:rFonts w:cs="Aptos"/>
          <w:szCs w:val="18"/>
        </w:rPr>
        <w:t xml:space="preserve"> </w:t>
      </w:r>
      <w:hyperlink r:id="rId604" w:history="1">
        <w:r w:rsidRPr="00761A5B">
          <w:rPr>
            <w:rStyle w:val="Hyperlink"/>
            <w:rFonts w:cs="Aptos"/>
            <w:szCs w:val="18"/>
          </w:rPr>
          <w:t>NHVR</w:t>
        </w:r>
      </w:hyperlink>
      <w:r w:rsidRPr="00761A5B">
        <w:rPr>
          <w:rFonts w:cs="Aptos"/>
          <w:szCs w:val="18"/>
        </w:rPr>
        <w:t>, Submission, p 6.</w:t>
      </w:r>
    </w:p>
  </w:footnote>
  <w:footnote w:id="749">
    <w:p w14:paraId="4BF012D3" w14:textId="77777777" w:rsidR="00761A5B" w:rsidRPr="00761A5B" w:rsidRDefault="00761A5B" w:rsidP="00761A5B">
      <w:pPr>
        <w:pStyle w:val="FootnoteText"/>
        <w:rPr>
          <w:rFonts w:cs="Aptos"/>
          <w:szCs w:val="18"/>
        </w:rPr>
      </w:pPr>
      <w:r w:rsidRPr="00761A5B">
        <w:rPr>
          <w:rStyle w:val="FootnoteReference"/>
          <w:rFonts w:cs="Aptos"/>
          <w:szCs w:val="18"/>
        </w:rPr>
        <w:footnoteRef/>
      </w:r>
      <w:r w:rsidRPr="00761A5B">
        <w:rPr>
          <w:rFonts w:cs="Aptos"/>
          <w:szCs w:val="18"/>
        </w:rPr>
        <w:t xml:space="preserve"> Rail Safety National Law, ss 52–56.</w:t>
      </w:r>
    </w:p>
  </w:footnote>
  <w:footnote w:id="750">
    <w:p w14:paraId="540F1885" w14:textId="77777777" w:rsidR="00761A5B" w:rsidRPr="00761A5B" w:rsidRDefault="00761A5B" w:rsidP="00761A5B">
      <w:pPr>
        <w:pStyle w:val="FootnoteText"/>
        <w:rPr>
          <w:rFonts w:cs="Aptos"/>
          <w:szCs w:val="18"/>
        </w:rPr>
      </w:pPr>
      <w:r w:rsidRPr="00761A5B">
        <w:rPr>
          <w:rStyle w:val="FootnoteReference"/>
          <w:rFonts w:cs="Aptos"/>
          <w:szCs w:val="18"/>
        </w:rPr>
        <w:footnoteRef/>
      </w:r>
      <w:r w:rsidRPr="00761A5B">
        <w:rPr>
          <w:rFonts w:cs="Aptos"/>
          <w:szCs w:val="18"/>
        </w:rPr>
        <w:t xml:space="preserve"> Heavy Vehicle National Law, s 18; Rail Safety National Law, s 48.</w:t>
      </w:r>
    </w:p>
  </w:footnote>
  <w:footnote w:id="751">
    <w:p w14:paraId="5FD8C458" w14:textId="77777777" w:rsidR="00897166" w:rsidRPr="00897166" w:rsidRDefault="00897166" w:rsidP="00897166">
      <w:pPr>
        <w:pStyle w:val="FootnoteText"/>
        <w:rPr>
          <w:rFonts w:ascii="Aptos" w:hAnsi="Aptos" w:cs="Aptos"/>
          <w:szCs w:val="18"/>
        </w:rPr>
      </w:pPr>
      <w:r w:rsidRPr="00897166">
        <w:rPr>
          <w:rStyle w:val="FootnoteReference"/>
          <w:rFonts w:ascii="Aptos" w:hAnsi="Aptos" w:cs="Aptos"/>
          <w:szCs w:val="18"/>
        </w:rPr>
        <w:footnoteRef/>
      </w:r>
      <w:r w:rsidRPr="00897166">
        <w:rPr>
          <w:rFonts w:ascii="Aptos" w:hAnsi="Aptos" w:cs="Aptos"/>
          <w:szCs w:val="18"/>
        </w:rPr>
        <w:t xml:space="preserve"> </w:t>
      </w:r>
      <w:hyperlink r:id="rId605" w:history="1">
        <w:r w:rsidRPr="00897166">
          <w:rPr>
            <w:rStyle w:val="Hyperlink"/>
            <w:rFonts w:ascii="Aptos" w:hAnsi="Aptos" w:cs="Aptos"/>
            <w:szCs w:val="18"/>
          </w:rPr>
          <w:t>NHVR</w:t>
        </w:r>
      </w:hyperlink>
      <w:r w:rsidRPr="00897166">
        <w:rPr>
          <w:rFonts w:ascii="Aptos" w:hAnsi="Aptos" w:cs="Aptos"/>
          <w:szCs w:val="18"/>
        </w:rPr>
        <w:t>, Submission, p 6.</w:t>
      </w:r>
    </w:p>
  </w:footnote>
  <w:footnote w:id="752">
    <w:p w14:paraId="19F1544A" w14:textId="77777777" w:rsidR="00897166" w:rsidRPr="00897166" w:rsidRDefault="00897166" w:rsidP="00897166">
      <w:pPr>
        <w:pStyle w:val="FootnoteText"/>
        <w:rPr>
          <w:rFonts w:ascii="Aptos" w:hAnsi="Aptos" w:cs="Aptos"/>
          <w:szCs w:val="18"/>
        </w:rPr>
      </w:pPr>
      <w:r w:rsidRPr="00897166">
        <w:rPr>
          <w:rStyle w:val="FootnoteReference"/>
          <w:rFonts w:ascii="Aptos" w:hAnsi="Aptos" w:cs="Aptos"/>
          <w:szCs w:val="18"/>
        </w:rPr>
        <w:footnoteRef/>
      </w:r>
      <w:r w:rsidRPr="00897166">
        <w:rPr>
          <w:rFonts w:ascii="Aptos" w:hAnsi="Aptos" w:cs="Aptos"/>
          <w:szCs w:val="18"/>
        </w:rPr>
        <w:t xml:space="preserve"> National Transport Commission, </w:t>
      </w:r>
      <w:hyperlink r:id="rId606" w:history="1">
        <w:r w:rsidRPr="00897166">
          <w:rPr>
            <w:rStyle w:val="Hyperlink"/>
            <w:rFonts w:ascii="Aptos" w:hAnsi="Aptos" w:cs="Aptos"/>
            <w:i/>
            <w:szCs w:val="18"/>
          </w:rPr>
          <w:t>Rail Safety National Law Review: final report</w:t>
        </w:r>
      </w:hyperlink>
      <w:r w:rsidRPr="00897166">
        <w:rPr>
          <w:rFonts w:ascii="Aptos" w:hAnsi="Aptos" w:cs="Aptos"/>
          <w:szCs w:val="18"/>
        </w:rPr>
        <w:t>, National Transport Commission, 2024, p 17, accessed 11 May 2026.</w:t>
      </w:r>
    </w:p>
  </w:footnote>
  <w:footnote w:id="753">
    <w:p w14:paraId="4C86A48F" w14:textId="787B3FF0" w:rsidR="00C178CD" w:rsidRPr="006534C0" w:rsidRDefault="00C178CD" w:rsidP="00C178CD">
      <w:pPr>
        <w:pStyle w:val="FootnoteText"/>
        <w:rPr>
          <w:rFonts w:ascii="Aptos" w:hAnsi="Aptos" w:cs="Arial"/>
          <w:szCs w:val="18"/>
        </w:rPr>
      </w:pPr>
      <w:r w:rsidRPr="006534C0">
        <w:rPr>
          <w:rStyle w:val="FootnoteReference"/>
          <w:rFonts w:ascii="Aptos" w:hAnsi="Aptos" w:cs="Arial"/>
          <w:szCs w:val="18"/>
        </w:rPr>
        <w:footnoteRef/>
      </w:r>
      <w:r w:rsidRPr="006534C0">
        <w:rPr>
          <w:rFonts w:ascii="Aptos" w:hAnsi="Aptos" w:cs="Arial"/>
          <w:szCs w:val="18"/>
        </w:rPr>
        <w:t xml:space="preserve"> H Eager and A Khouri, </w:t>
      </w:r>
      <w:hyperlink r:id="rId607" w:history="1">
        <w:r w:rsidRPr="006534C0">
          <w:rPr>
            <w:rStyle w:val="Hyperlink"/>
            <w:rFonts w:ascii="Aptos" w:hAnsi="Aptos" w:cs="Arial"/>
            <w:i/>
            <w:szCs w:val="18"/>
          </w:rPr>
          <w:t xml:space="preserve">The reach of </w:t>
        </w:r>
        <w:r>
          <w:rPr>
            <w:rStyle w:val="Hyperlink"/>
            <w:rFonts w:ascii="Aptos" w:hAnsi="Aptos" w:cs="Arial"/>
            <w:i/>
            <w:szCs w:val="18"/>
          </w:rPr>
          <w:t>w</w:t>
        </w:r>
        <w:r w:rsidRPr="006534C0">
          <w:rPr>
            <w:rStyle w:val="Hyperlink"/>
            <w:rFonts w:ascii="Aptos" w:hAnsi="Aptos" w:cs="Arial"/>
            <w:i/>
            <w:szCs w:val="18"/>
          </w:rPr>
          <w:t xml:space="preserve">ork </w:t>
        </w:r>
        <w:r>
          <w:rPr>
            <w:rStyle w:val="Hyperlink"/>
            <w:rFonts w:ascii="Aptos" w:hAnsi="Aptos" w:cs="Arial"/>
            <w:i/>
            <w:szCs w:val="18"/>
          </w:rPr>
          <w:t>h</w:t>
        </w:r>
        <w:r w:rsidRPr="006534C0">
          <w:rPr>
            <w:rStyle w:val="Hyperlink"/>
            <w:rFonts w:ascii="Aptos" w:hAnsi="Aptos" w:cs="Arial"/>
            <w:i/>
            <w:szCs w:val="18"/>
          </w:rPr>
          <w:t xml:space="preserve">ealth and </w:t>
        </w:r>
        <w:r>
          <w:rPr>
            <w:rStyle w:val="Hyperlink"/>
            <w:rFonts w:ascii="Aptos" w:hAnsi="Aptos" w:cs="Arial"/>
            <w:i/>
            <w:szCs w:val="18"/>
          </w:rPr>
          <w:t>s</w:t>
        </w:r>
        <w:r w:rsidRPr="006534C0">
          <w:rPr>
            <w:rStyle w:val="Hyperlink"/>
            <w:rFonts w:ascii="Aptos" w:hAnsi="Aptos" w:cs="Arial"/>
            <w:i/>
            <w:szCs w:val="18"/>
          </w:rPr>
          <w:t xml:space="preserve">afety </w:t>
        </w:r>
        <w:r>
          <w:rPr>
            <w:rStyle w:val="Hyperlink"/>
            <w:rFonts w:ascii="Aptos" w:hAnsi="Aptos" w:cs="Arial"/>
            <w:i/>
            <w:szCs w:val="18"/>
          </w:rPr>
          <w:t>l</w:t>
        </w:r>
        <w:r w:rsidRPr="006534C0">
          <w:rPr>
            <w:rStyle w:val="Hyperlink"/>
            <w:rFonts w:ascii="Aptos" w:hAnsi="Aptos" w:cs="Arial"/>
            <w:i/>
            <w:szCs w:val="18"/>
          </w:rPr>
          <w:t>aws in civil aviation</w:t>
        </w:r>
      </w:hyperlink>
      <w:r w:rsidRPr="006534C0">
        <w:rPr>
          <w:rFonts w:ascii="Aptos" w:hAnsi="Aptos" w:cs="Arial"/>
          <w:szCs w:val="18"/>
        </w:rPr>
        <w:t>, Minter Ellison, 2019, accessed 25 Feb 2026.</w:t>
      </w:r>
    </w:p>
  </w:footnote>
  <w:footnote w:id="754">
    <w:p w14:paraId="5EC31EF2" w14:textId="0BA1A07A" w:rsidR="007E328B" w:rsidRPr="006534C0" w:rsidRDefault="007E328B" w:rsidP="007E328B">
      <w:pPr>
        <w:pStyle w:val="FootnoteText"/>
        <w:rPr>
          <w:rFonts w:ascii="Aptos" w:hAnsi="Aptos" w:cs="Arial"/>
          <w:szCs w:val="18"/>
        </w:rPr>
      </w:pPr>
      <w:r w:rsidRPr="006534C0">
        <w:rPr>
          <w:rStyle w:val="FootnoteReference"/>
          <w:rFonts w:ascii="Aptos" w:hAnsi="Aptos" w:cs="Arial"/>
          <w:szCs w:val="18"/>
        </w:rPr>
        <w:footnoteRef/>
      </w:r>
      <w:r w:rsidRPr="006534C0">
        <w:rPr>
          <w:rFonts w:ascii="Aptos" w:hAnsi="Aptos" w:cs="Arial"/>
          <w:szCs w:val="18"/>
        </w:rPr>
        <w:t xml:space="preserve"> National Transport Commission, </w:t>
      </w:r>
      <w:hyperlink r:id="rId608" w:history="1">
        <w:r w:rsidRPr="006534C0">
          <w:rPr>
            <w:rStyle w:val="Hyperlink"/>
            <w:rFonts w:ascii="Aptos" w:hAnsi="Aptos" w:cs="Arial"/>
            <w:i/>
            <w:szCs w:val="18"/>
          </w:rPr>
          <w:t>Australian Dangerous Goods Code</w:t>
        </w:r>
      </w:hyperlink>
      <w:r w:rsidRPr="006534C0">
        <w:rPr>
          <w:rFonts w:ascii="Aptos" w:hAnsi="Aptos" w:cs="Arial"/>
          <w:szCs w:val="18"/>
        </w:rPr>
        <w:t>, n.d., accessed 9 Feb</w:t>
      </w:r>
      <w:r>
        <w:rPr>
          <w:rFonts w:ascii="Aptos" w:hAnsi="Aptos" w:cs="Arial"/>
          <w:szCs w:val="18"/>
        </w:rPr>
        <w:t>ruary</w:t>
      </w:r>
      <w:r w:rsidRPr="006534C0">
        <w:rPr>
          <w:rFonts w:ascii="Aptos" w:hAnsi="Aptos" w:cs="Arial"/>
          <w:szCs w:val="18"/>
        </w:rPr>
        <w:t xml:space="preserve"> 2026.</w:t>
      </w:r>
    </w:p>
  </w:footnote>
  <w:footnote w:id="755">
    <w:p w14:paraId="7E87125C" w14:textId="77777777" w:rsidR="007E328B" w:rsidRPr="006534C0" w:rsidRDefault="007E328B" w:rsidP="007E328B">
      <w:pPr>
        <w:pStyle w:val="FootnoteText"/>
        <w:rPr>
          <w:rFonts w:ascii="Aptos" w:hAnsi="Aptos" w:cs="Arial"/>
          <w:szCs w:val="18"/>
        </w:rPr>
      </w:pPr>
      <w:r w:rsidRPr="006534C0">
        <w:rPr>
          <w:rStyle w:val="FootnoteReference"/>
          <w:rFonts w:ascii="Aptos" w:hAnsi="Aptos" w:cs="Arial"/>
          <w:szCs w:val="18"/>
        </w:rPr>
        <w:footnoteRef/>
      </w:r>
      <w:r w:rsidRPr="006534C0">
        <w:rPr>
          <w:rFonts w:ascii="Aptos" w:hAnsi="Aptos" w:cs="Arial"/>
          <w:szCs w:val="18"/>
        </w:rPr>
        <w:t xml:space="preserve"> Qld WHS Act</w:t>
      </w:r>
      <w:r w:rsidRPr="006534C0">
        <w:rPr>
          <w:rFonts w:ascii="Aptos" w:hAnsi="Aptos" w:cs="Arial"/>
          <w:i/>
          <w:szCs w:val="18"/>
        </w:rPr>
        <w:t xml:space="preserve">, </w:t>
      </w:r>
      <w:r w:rsidRPr="006534C0">
        <w:rPr>
          <w:rFonts w:ascii="Aptos" w:hAnsi="Aptos" w:cs="Arial"/>
          <w:szCs w:val="18"/>
        </w:rPr>
        <w:t>Pt 2, Div 2, s 4.</w:t>
      </w:r>
    </w:p>
  </w:footnote>
  <w:footnote w:id="756">
    <w:p w14:paraId="1ED85B92" w14:textId="77777777" w:rsidR="007E328B" w:rsidRPr="00C554C9" w:rsidRDefault="007E328B" w:rsidP="007E328B">
      <w:pPr>
        <w:pStyle w:val="FootnoteText"/>
        <w:rPr>
          <w:rFonts w:cs="Arial"/>
          <w:szCs w:val="18"/>
        </w:rPr>
      </w:pPr>
      <w:r w:rsidRPr="006534C0">
        <w:rPr>
          <w:rStyle w:val="FootnoteReference"/>
          <w:rFonts w:ascii="Aptos" w:hAnsi="Aptos" w:cs="Arial"/>
          <w:szCs w:val="18"/>
        </w:rPr>
        <w:footnoteRef/>
      </w:r>
      <w:r w:rsidRPr="006534C0">
        <w:rPr>
          <w:rFonts w:ascii="Aptos" w:hAnsi="Aptos" w:cs="Arial"/>
          <w:szCs w:val="18"/>
        </w:rPr>
        <w:t xml:space="preserve"> </w:t>
      </w:r>
      <w:r w:rsidRPr="006534C0">
        <w:rPr>
          <w:rFonts w:ascii="Aptos" w:hAnsi="Aptos" w:cs="Arial"/>
          <w:i/>
          <w:szCs w:val="18"/>
        </w:rPr>
        <w:t xml:space="preserve">Electricity Safety Act 2022 </w:t>
      </w:r>
      <w:r w:rsidRPr="006534C0">
        <w:rPr>
          <w:rFonts w:ascii="Aptos" w:hAnsi="Aptos" w:cs="Arial"/>
          <w:szCs w:val="18"/>
        </w:rPr>
        <w:t xml:space="preserve">(Tas), </w:t>
      </w:r>
      <w:r>
        <w:rPr>
          <w:rFonts w:ascii="Aptos" w:hAnsi="Aptos" w:cs="Arial"/>
          <w:szCs w:val="18"/>
        </w:rPr>
        <w:t>P</w:t>
      </w:r>
      <w:r w:rsidRPr="006534C0">
        <w:rPr>
          <w:rFonts w:ascii="Aptos" w:hAnsi="Aptos" w:cs="Arial"/>
          <w:szCs w:val="18"/>
        </w:rPr>
        <w:t>t 1, s 7.</w:t>
      </w:r>
    </w:p>
  </w:footnote>
  <w:footnote w:id="757">
    <w:p w14:paraId="6D3DA529" w14:textId="38932873" w:rsidR="007E328B" w:rsidRPr="00C554C9" w:rsidRDefault="007E328B" w:rsidP="007E328B">
      <w:pPr>
        <w:pStyle w:val="FootnoteText"/>
      </w:pPr>
      <w:r w:rsidRPr="00C554C9">
        <w:rPr>
          <w:rStyle w:val="FootnoteReference"/>
          <w:rFonts w:cs="Arial"/>
          <w:szCs w:val="18"/>
        </w:rPr>
        <w:footnoteRef/>
      </w:r>
      <w:r w:rsidRPr="00C554C9">
        <w:rPr>
          <w:rFonts w:cs="Arial"/>
          <w:szCs w:val="18"/>
        </w:rPr>
        <w:t xml:space="preserve"> </w:t>
      </w:r>
      <w:r w:rsidRPr="00C554C9">
        <w:rPr>
          <w:rFonts w:cs="Arial"/>
          <w:i/>
          <w:szCs w:val="18"/>
        </w:rPr>
        <w:t>Safety in Recreational Water Activities Act 2011</w:t>
      </w:r>
      <w:r w:rsidRPr="00C554C9">
        <w:rPr>
          <w:rFonts w:cs="Arial"/>
          <w:szCs w:val="18"/>
        </w:rPr>
        <w:t xml:space="preserve"> (Qld), s 4(3).</w:t>
      </w:r>
    </w:p>
  </w:footnote>
  <w:footnote w:id="758">
    <w:p w14:paraId="7878929C" w14:textId="77AEEC01" w:rsidR="00756EB2" w:rsidRPr="00C554C9" w:rsidRDefault="00756EB2" w:rsidP="00756EB2">
      <w:pPr>
        <w:pStyle w:val="FootnoteText"/>
        <w:rPr>
          <w:rFonts w:cs="Arial"/>
          <w:i/>
          <w:szCs w:val="18"/>
        </w:rPr>
      </w:pPr>
      <w:r w:rsidRPr="00C554C9">
        <w:rPr>
          <w:rStyle w:val="FootnoteReference"/>
          <w:rFonts w:cs="Arial"/>
          <w:szCs w:val="18"/>
        </w:rPr>
        <w:footnoteRef/>
      </w:r>
      <w:r w:rsidRPr="00C554C9">
        <w:rPr>
          <w:rFonts w:cs="Arial"/>
          <w:szCs w:val="18"/>
        </w:rPr>
        <w:t xml:space="preserve"> </w:t>
      </w:r>
      <w:r w:rsidRPr="00C554C9">
        <w:rPr>
          <w:rFonts w:cs="Arial"/>
          <w:iCs/>
          <w:szCs w:val="18"/>
        </w:rPr>
        <w:t>FW Act</w:t>
      </w:r>
      <w:r w:rsidRPr="00C554C9">
        <w:rPr>
          <w:rFonts w:cs="Arial"/>
          <w:szCs w:val="18"/>
        </w:rPr>
        <w:t>, s 3.</w:t>
      </w:r>
    </w:p>
  </w:footnote>
  <w:footnote w:id="759">
    <w:p w14:paraId="1CB47EEE" w14:textId="740AFB88" w:rsidR="007F5607" w:rsidRPr="00C554C9" w:rsidRDefault="007F5607" w:rsidP="007F5607">
      <w:pPr>
        <w:pStyle w:val="FootnoteText"/>
        <w:rPr>
          <w:rFonts w:cs="Arial"/>
          <w:szCs w:val="18"/>
        </w:rPr>
      </w:pPr>
      <w:r w:rsidRPr="00C554C9">
        <w:rPr>
          <w:rStyle w:val="FootnoteReference"/>
          <w:rFonts w:cs="Arial"/>
          <w:szCs w:val="18"/>
        </w:rPr>
        <w:footnoteRef/>
      </w:r>
      <w:r w:rsidRPr="00C554C9">
        <w:rPr>
          <w:rFonts w:cs="Arial"/>
          <w:szCs w:val="18"/>
        </w:rPr>
        <w:t xml:space="preserve"> Safe Work Australia, </w:t>
      </w:r>
      <w:hyperlink r:id="rId609" w:history="1">
        <w:r w:rsidRPr="00C554C9">
          <w:rPr>
            <w:rStyle w:val="Hyperlink"/>
            <w:rFonts w:cs="Arial"/>
            <w:i/>
            <w:szCs w:val="18"/>
          </w:rPr>
          <w:t>Sexual and gender-based harassment – WHS duties</w:t>
        </w:r>
      </w:hyperlink>
      <w:r w:rsidRPr="00C554C9">
        <w:rPr>
          <w:rFonts w:cs="Arial"/>
          <w:szCs w:val="18"/>
        </w:rPr>
        <w:t xml:space="preserve">, </w:t>
      </w:r>
      <w:r>
        <w:rPr>
          <w:rFonts w:cs="Arial"/>
          <w:szCs w:val="18"/>
        </w:rPr>
        <w:t xml:space="preserve">Safe Work Australia, </w:t>
      </w:r>
      <w:r w:rsidRPr="00C554C9">
        <w:rPr>
          <w:rFonts w:cs="Arial"/>
          <w:szCs w:val="18"/>
        </w:rPr>
        <w:t>n.d., accessed 12</w:t>
      </w:r>
      <w:r w:rsidR="00377239">
        <w:rPr>
          <w:rFonts w:cs="Arial"/>
          <w:szCs w:val="18"/>
        </w:rPr>
        <w:t> </w:t>
      </w:r>
      <w:r w:rsidRPr="00C554C9">
        <w:rPr>
          <w:rFonts w:cs="Arial"/>
          <w:szCs w:val="18"/>
        </w:rPr>
        <w:t>Feb</w:t>
      </w:r>
      <w:r>
        <w:rPr>
          <w:rFonts w:cs="Arial"/>
          <w:szCs w:val="18"/>
        </w:rPr>
        <w:t>ruary</w:t>
      </w:r>
      <w:r w:rsidR="00377239">
        <w:rPr>
          <w:rFonts w:cs="Arial"/>
          <w:szCs w:val="18"/>
        </w:rPr>
        <w:t> </w:t>
      </w:r>
      <w:r w:rsidRPr="00C554C9">
        <w:rPr>
          <w:rFonts w:cs="Arial"/>
          <w:szCs w:val="18"/>
        </w:rPr>
        <w:t>2026.</w:t>
      </w:r>
    </w:p>
  </w:footnote>
  <w:footnote w:id="760">
    <w:p w14:paraId="5376292E" w14:textId="4BD9D436" w:rsidR="007F5607" w:rsidRPr="00C554C9" w:rsidRDefault="007F5607" w:rsidP="007F5607">
      <w:pPr>
        <w:pStyle w:val="FootnoteText"/>
        <w:rPr>
          <w:rFonts w:cs="Arial"/>
          <w:szCs w:val="18"/>
        </w:rPr>
      </w:pPr>
      <w:r w:rsidRPr="00C554C9">
        <w:rPr>
          <w:rStyle w:val="FootnoteReference"/>
          <w:rFonts w:cs="Arial"/>
          <w:szCs w:val="18"/>
        </w:rPr>
        <w:footnoteRef/>
      </w:r>
      <w:r w:rsidRPr="00C554C9">
        <w:rPr>
          <w:rFonts w:cs="Arial"/>
          <w:szCs w:val="18"/>
        </w:rPr>
        <w:t xml:space="preserve"> AHRC, </w:t>
      </w:r>
      <w:hyperlink r:id="rId610" w:history="1">
        <w:r w:rsidRPr="00C554C9">
          <w:rPr>
            <w:rStyle w:val="Hyperlink"/>
            <w:rFonts w:cs="Arial"/>
            <w:i/>
            <w:szCs w:val="18"/>
          </w:rPr>
          <w:t>Respect@Work: National Inquiry into Sexual Harassment in Australian Workplaces</w:t>
        </w:r>
      </w:hyperlink>
      <w:r w:rsidRPr="00C554C9">
        <w:rPr>
          <w:rFonts w:cs="Arial"/>
          <w:szCs w:val="18"/>
        </w:rPr>
        <w:t xml:space="preserve">, </w:t>
      </w:r>
      <w:r>
        <w:rPr>
          <w:rFonts w:cs="Arial"/>
          <w:szCs w:val="18"/>
        </w:rPr>
        <w:t xml:space="preserve">AHRC, </w:t>
      </w:r>
      <w:r w:rsidRPr="00C554C9">
        <w:rPr>
          <w:rFonts w:cs="Arial"/>
          <w:szCs w:val="18"/>
        </w:rPr>
        <w:t>2020, accessed 13</w:t>
      </w:r>
      <w:r w:rsidR="00377239">
        <w:rPr>
          <w:rFonts w:cs="Arial"/>
          <w:szCs w:val="18"/>
        </w:rPr>
        <w:t> </w:t>
      </w:r>
      <w:r w:rsidRPr="00C554C9">
        <w:rPr>
          <w:rFonts w:cs="Arial"/>
          <w:szCs w:val="18"/>
        </w:rPr>
        <w:t>May</w:t>
      </w:r>
      <w:r w:rsidR="00377239">
        <w:rPr>
          <w:rFonts w:cs="Arial"/>
          <w:szCs w:val="18"/>
        </w:rPr>
        <w:t> </w:t>
      </w:r>
      <w:r w:rsidRPr="00C554C9">
        <w:rPr>
          <w:rFonts w:cs="Arial"/>
          <w:szCs w:val="18"/>
        </w:rPr>
        <w:t>2026.</w:t>
      </w:r>
    </w:p>
  </w:footnote>
  <w:footnote w:id="761">
    <w:p w14:paraId="7716B6CE" w14:textId="4338B8BD" w:rsidR="007F5607" w:rsidRPr="00C554C9" w:rsidRDefault="007F5607" w:rsidP="007F5607">
      <w:pPr>
        <w:pStyle w:val="FootnoteText"/>
        <w:rPr>
          <w:rFonts w:cstheme="minorHAnsi"/>
          <w:szCs w:val="18"/>
        </w:rPr>
      </w:pPr>
      <w:r w:rsidRPr="00586895">
        <w:rPr>
          <w:rStyle w:val="FootnoteReference"/>
          <w:rFonts w:cs="Arial"/>
          <w:szCs w:val="18"/>
        </w:rPr>
        <w:footnoteRef/>
      </w:r>
      <w:r w:rsidRPr="00586895" w:rsidDel="00586895">
        <w:rPr>
          <w:rFonts w:cs="Arial"/>
          <w:szCs w:val="18"/>
        </w:rPr>
        <w:t xml:space="preserve"> </w:t>
      </w:r>
      <w:r w:rsidRPr="00586895">
        <w:rPr>
          <w:rFonts w:cs="Arial"/>
          <w:szCs w:val="18"/>
        </w:rPr>
        <w:t>Royal Commission into Violence, Abuse, Neglect and Exploitation of People with Disability, ‘</w:t>
      </w:r>
      <w:hyperlink r:id="rId611" w:tgtFrame="_blank" w:history="1">
        <w:r w:rsidRPr="00586895">
          <w:rPr>
            <w:rStyle w:val="Hyperlink"/>
            <w:rFonts w:cs="Arial"/>
            <w:szCs w:val="18"/>
          </w:rPr>
          <w:t xml:space="preserve">Executive summary: </w:t>
        </w:r>
        <w:r w:rsidR="00377239">
          <w:rPr>
            <w:rStyle w:val="Hyperlink"/>
            <w:rFonts w:cs="Arial"/>
            <w:szCs w:val="18"/>
          </w:rPr>
          <w:t>O</w:t>
        </w:r>
        <w:r w:rsidRPr="00586895">
          <w:rPr>
            <w:rStyle w:val="Hyperlink"/>
            <w:rFonts w:cs="Arial"/>
            <w:szCs w:val="18"/>
          </w:rPr>
          <w:t>ur vision for an inclusive Australia and recommendations</w:t>
        </w:r>
      </w:hyperlink>
      <w:r w:rsidRPr="00586895">
        <w:t>’</w:t>
      </w:r>
      <w:r w:rsidRPr="00586895">
        <w:rPr>
          <w:rFonts w:cs="Arial"/>
          <w:szCs w:val="18"/>
        </w:rPr>
        <w:t xml:space="preserve">, </w:t>
      </w:r>
      <w:r w:rsidRPr="00586895">
        <w:rPr>
          <w:rFonts w:cs="Arial"/>
          <w:i/>
          <w:iCs/>
          <w:szCs w:val="18"/>
        </w:rPr>
        <w:t>Final report</w:t>
      </w:r>
      <w:r w:rsidRPr="00586895">
        <w:rPr>
          <w:rFonts w:cs="Arial"/>
          <w:szCs w:val="18"/>
        </w:rPr>
        <w:t>, Commonwealth of Australia, 2023, p 205.</w:t>
      </w:r>
    </w:p>
  </w:footnote>
  <w:footnote w:id="762">
    <w:p w14:paraId="3D6FE8A9" w14:textId="34E4A6D0" w:rsidR="007F5607" w:rsidRPr="00C554C9" w:rsidRDefault="007F5607" w:rsidP="007F5607">
      <w:pPr>
        <w:pStyle w:val="FootnoteText"/>
        <w:rPr>
          <w:rFonts w:cstheme="minorHAnsi"/>
          <w:szCs w:val="18"/>
        </w:rPr>
      </w:pPr>
      <w:r w:rsidRPr="00C554C9">
        <w:rPr>
          <w:rStyle w:val="FootnoteReference"/>
          <w:rFonts w:cstheme="minorHAnsi"/>
          <w:szCs w:val="18"/>
        </w:rPr>
        <w:footnoteRef/>
      </w:r>
      <w:r w:rsidRPr="00C554C9">
        <w:rPr>
          <w:rFonts w:cstheme="minorHAnsi"/>
          <w:szCs w:val="18"/>
        </w:rPr>
        <w:t xml:space="preserve"> </w:t>
      </w:r>
      <w:r w:rsidRPr="00586895">
        <w:rPr>
          <w:rFonts w:cs="Arial"/>
          <w:szCs w:val="18"/>
        </w:rPr>
        <w:t>Royal Commission into Violence, Abuse, Neglect and Exploitation of People with Disability</w:t>
      </w:r>
      <w:r w:rsidRPr="00C554C9">
        <w:rPr>
          <w:rFonts w:cstheme="minorHAnsi"/>
          <w:szCs w:val="18"/>
        </w:rPr>
        <w:t xml:space="preserve">, </w:t>
      </w:r>
      <w:hyperlink r:id="rId612" w:history="1">
        <w:r w:rsidRPr="00C554C9">
          <w:rPr>
            <w:rStyle w:val="Hyperlink"/>
            <w:rFonts w:cstheme="minorHAnsi"/>
            <w:i/>
            <w:szCs w:val="18"/>
          </w:rPr>
          <w:t xml:space="preserve">Final </w:t>
        </w:r>
        <w:r>
          <w:rPr>
            <w:rStyle w:val="Hyperlink"/>
            <w:rFonts w:cstheme="minorHAnsi"/>
            <w:i/>
            <w:szCs w:val="18"/>
          </w:rPr>
          <w:t>r</w:t>
        </w:r>
        <w:r w:rsidRPr="00C554C9">
          <w:rPr>
            <w:rStyle w:val="Hyperlink"/>
            <w:rFonts w:cstheme="minorHAnsi"/>
            <w:i/>
            <w:szCs w:val="18"/>
          </w:rPr>
          <w:t>eport</w:t>
        </w:r>
        <w:r>
          <w:rPr>
            <w:rStyle w:val="Hyperlink"/>
            <w:rFonts w:cstheme="minorHAnsi"/>
            <w:i/>
            <w:szCs w:val="18"/>
          </w:rPr>
          <w:t>,</w:t>
        </w:r>
        <w:r w:rsidRPr="00067534" w:rsidDel="00586895">
          <w:rPr>
            <w:rStyle w:val="Hyperlink"/>
            <w:rFonts w:cstheme="minorHAnsi"/>
            <w:szCs w:val="18"/>
          </w:rPr>
          <w:t xml:space="preserve"> </w:t>
        </w:r>
        <w:r w:rsidRPr="00067534">
          <w:rPr>
            <w:rStyle w:val="Hyperlink"/>
            <w:rFonts w:cstheme="minorHAnsi"/>
            <w:szCs w:val="18"/>
          </w:rPr>
          <w:t xml:space="preserve">Volume 7, Inclusive education, employment and housing </w:t>
        </w:r>
        <w:r w:rsidDel="00586895">
          <w:rPr>
            <w:rStyle w:val="Hyperlink"/>
            <w:rFonts w:eastAsia="Symbol" w:cstheme="minorHAnsi"/>
            <w:szCs w:val="18"/>
          </w:rPr>
          <w:t>-</w:t>
        </w:r>
        <w:r w:rsidRPr="00067534">
          <w:rPr>
            <w:rStyle w:val="Hyperlink"/>
            <w:rFonts w:cstheme="minorHAnsi"/>
            <w:szCs w:val="18"/>
          </w:rPr>
          <w:t xml:space="preserve"> Part B</w:t>
        </w:r>
      </w:hyperlink>
      <w:r w:rsidRPr="00C554C9">
        <w:rPr>
          <w:rFonts w:cstheme="minorHAnsi"/>
          <w:szCs w:val="18"/>
        </w:rPr>
        <w:t>, 2023, pp 433–434.</w:t>
      </w:r>
    </w:p>
  </w:footnote>
  <w:footnote w:id="763">
    <w:p w14:paraId="093D5D8F" w14:textId="77777777" w:rsidR="007F5607" w:rsidRPr="00C554C9" w:rsidRDefault="007F5607" w:rsidP="007F5607">
      <w:pPr>
        <w:pStyle w:val="FootnoteText"/>
        <w:rPr>
          <w:rFonts w:cstheme="minorHAnsi"/>
          <w:szCs w:val="18"/>
        </w:rPr>
      </w:pPr>
      <w:r w:rsidRPr="00C554C9">
        <w:rPr>
          <w:rStyle w:val="FootnoteReference"/>
          <w:rFonts w:cstheme="minorHAnsi"/>
          <w:szCs w:val="18"/>
        </w:rPr>
        <w:footnoteRef/>
      </w:r>
      <w:r w:rsidRPr="00C554C9">
        <w:rPr>
          <w:rFonts w:cstheme="minorHAnsi"/>
          <w:szCs w:val="18"/>
        </w:rPr>
        <w:t xml:space="preserve"> AHRC, </w:t>
      </w:r>
      <w:hyperlink r:id="rId613" w:history="1">
        <w:r w:rsidRPr="00C554C9">
          <w:rPr>
            <w:rStyle w:val="Hyperlink"/>
            <w:rFonts w:cstheme="minorHAnsi"/>
            <w:i/>
            <w:szCs w:val="18"/>
          </w:rPr>
          <w:t>The National Anti-Racism Framework</w:t>
        </w:r>
      </w:hyperlink>
      <w:r w:rsidRPr="00C554C9">
        <w:rPr>
          <w:rFonts w:cstheme="minorHAnsi"/>
          <w:szCs w:val="18"/>
        </w:rPr>
        <w:t xml:space="preserve">, </w:t>
      </w:r>
      <w:r>
        <w:rPr>
          <w:rFonts w:cstheme="minorHAnsi"/>
          <w:szCs w:val="18"/>
        </w:rPr>
        <w:t xml:space="preserve">AHRC, </w:t>
      </w:r>
      <w:r w:rsidRPr="00C554C9">
        <w:rPr>
          <w:rFonts w:cstheme="minorHAnsi"/>
          <w:szCs w:val="18"/>
        </w:rPr>
        <w:t>2024, p 16.</w:t>
      </w:r>
    </w:p>
  </w:footnote>
  <w:footnote w:id="764">
    <w:p w14:paraId="123AF957" w14:textId="71369C27" w:rsidR="007F5607" w:rsidRPr="00C554C9" w:rsidRDefault="007F5607" w:rsidP="007F5607">
      <w:pPr>
        <w:pStyle w:val="FootnoteText"/>
        <w:rPr>
          <w:rFonts w:cs="Arial"/>
          <w:szCs w:val="18"/>
        </w:rPr>
      </w:pPr>
      <w:r w:rsidRPr="00C554C9">
        <w:rPr>
          <w:rStyle w:val="FootnoteReference"/>
          <w:rFonts w:cstheme="minorHAnsi"/>
          <w:szCs w:val="18"/>
        </w:rPr>
        <w:footnoteRef/>
      </w:r>
      <w:r w:rsidRPr="00C554C9">
        <w:rPr>
          <w:rFonts w:cstheme="minorHAnsi"/>
          <w:szCs w:val="18"/>
        </w:rPr>
        <w:t xml:space="preserve"> AHRC, </w:t>
      </w:r>
      <w:hyperlink r:id="rId614" w:history="1">
        <w:r w:rsidRPr="00C554C9">
          <w:rPr>
            <w:rStyle w:val="Hyperlink"/>
            <w:rFonts w:cstheme="minorHAnsi"/>
            <w:i/>
            <w:szCs w:val="18"/>
          </w:rPr>
          <w:t>The National Anti-Racism Framework</w:t>
        </w:r>
      </w:hyperlink>
      <w:r w:rsidRPr="00C554C9">
        <w:rPr>
          <w:rFonts w:cstheme="minorHAnsi"/>
          <w:szCs w:val="18"/>
        </w:rPr>
        <w:t xml:space="preserve">, </w:t>
      </w:r>
      <w:r>
        <w:rPr>
          <w:rFonts w:cstheme="minorHAnsi"/>
          <w:szCs w:val="18"/>
        </w:rPr>
        <w:t xml:space="preserve">AHRC, </w:t>
      </w:r>
      <w:r w:rsidRPr="00C554C9">
        <w:rPr>
          <w:rFonts w:cstheme="minorHAnsi"/>
          <w:szCs w:val="18"/>
        </w:rPr>
        <w:t>2024, p 18.</w:t>
      </w:r>
    </w:p>
  </w:footnote>
  <w:footnote w:id="765">
    <w:p w14:paraId="5E8D2B50" w14:textId="77777777" w:rsidR="001200B9" w:rsidRPr="00C554C9" w:rsidRDefault="001200B9" w:rsidP="001200B9">
      <w:pPr>
        <w:pStyle w:val="FootnoteText"/>
      </w:pPr>
      <w:r w:rsidRPr="00C554C9">
        <w:rPr>
          <w:rStyle w:val="FootnoteReference"/>
        </w:rPr>
        <w:footnoteRef/>
      </w:r>
      <w:r w:rsidRPr="00C554C9">
        <w:t xml:space="preserve"> In Vic</w:t>
      </w:r>
      <w:r>
        <w:t>toria</w:t>
      </w:r>
      <w:r w:rsidRPr="00C554C9">
        <w:t xml:space="preserve"> an HSR may exercise their powers upon election without being trained.</w:t>
      </w:r>
    </w:p>
  </w:footnote>
  <w:footnote w:id="766">
    <w:p w14:paraId="576A1BB2" w14:textId="77777777" w:rsidR="00DA7D6B" w:rsidRPr="00087B36" w:rsidRDefault="00DA7D6B" w:rsidP="00DA7D6B">
      <w:pPr>
        <w:pStyle w:val="FootnoteText"/>
      </w:pPr>
      <w:r w:rsidRPr="00087B36">
        <w:rPr>
          <w:rStyle w:val="FootnoteReference"/>
        </w:rPr>
        <w:footnoteRef/>
      </w:r>
      <w:r w:rsidRPr="00087B36">
        <w:t xml:space="preserve"> Note: this Part includes a number of unique additional provisions in some states (rather than variations to model WHS Act provisions).</w:t>
      </w:r>
    </w:p>
  </w:footnote>
  <w:footnote w:id="767">
    <w:p w14:paraId="623241A4" w14:textId="77777777" w:rsidR="006B75AE" w:rsidRPr="00087B36" w:rsidRDefault="006B75AE" w:rsidP="006B75AE">
      <w:pPr>
        <w:pStyle w:val="FootnoteText"/>
      </w:pPr>
      <w:r w:rsidRPr="00087B36">
        <w:rPr>
          <w:rStyle w:val="FootnoteReference"/>
        </w:rPr>
        <w:footnoteRef/>
      </w:r>
      <w:r w:rsidRPr="00087B36">
        <w:t xml:space="preserve"> Note: this Part includes a number of unique additional provisions in some states (rather than variations to model WHS Act provisions).</w:t>
      </w:r>
    </w:p>
  </w:footnote>
  <w:footnote w:id="768">
    <w:p w14:paraId="77809AC9" w14:textId="0DAE3870" w:rsidR="00DA7D6B" w:rsidRPr="00087B36" w:rsidRDefault="00DA7D6B" w:rsidP="00DA7D6B">
      <w:pPr>
        <w:pStyle w:val="FootnoteText"/>
      </w:pPr>
      <w:r w:rsidRPr="00087B36">
        <w:rPr>
          <w:rStyle w:val="FootnoteReference"/>
        </w:rPr>
        <w:footnoteRef/>
      </w:r>
      <w:r w:rsidRPr="00087B36">
        <w:rPr>
          <w:szCs w:val="18"/>
        </w:rPr>
        <w:t xml:space="preserve"> Safe Work Australia, </w:t>
      </w:r>
      <w:hyperlink r:id="rId615" w:history="1">
        <w:r w:rsidRPr="00087B36">
          <w:rPr>
            <w:rStyle w:val="Hyperlink"/>
            <w:i/>
            <w:szCs w:val="18"/>
          </w:rPr>
          <w:t xml:space="preserve">Our </w:t>
        </w:r>
        <w:r w:rsidR="004E7884">
          <w:rPr>
            <w:rStyle w:val="Hyperlink"/>
            <w:i/>
            <w:szCs w:val="18"/>
          </w:rPr>
          <w:t>d</w:t>
        </w:r>
        <w:r w:rsidRPr="00087B36">
          <w:rPr>
            <w:rStyle w:val="Hyperlink"/>
            <w:i/>
            <w:szCs w:val="18"/>
          </w:rPr>
          <w:t xml:space="preserve">ata. Your </w:t>
        </w:r>
        <w:r w:rsidR="004E7884">
          <w:rPr>
            <w:rStyle w:val="Hyperlink"/>
            <w:i/>
            <w:szCs w:val="18"/>
          </w:rPr>
          <w:t>s</w:t>
        </w:r>
        <w:r w:rsidRPr="00087B36">
          <w:rPr>
            <w:rStyle w:val="Hyperlink"/>
            <w:i/>
            <w:szCs w:val="18"/>
          </w:rPr>
          <w:t>tories: Work-related fatalities</w:t>
        </w:r>
      </w:hyperlink>
      <w:r w:rsidRPr="00087B36">
        <w:rPr>
          <w:szCs w:val="18"/>
        </w:rPr>
        <w:t>, SWA website, 2026, accessed 26 May 2026.</w:t>
      </w:r>
    </w:p>
  </w:footnote>
  <w:footnote w:id="769">
    <w:p w14:paraId="1BBF0A55" w14:textId="136BC802" w:rsidR="00DA7D6B" w:rsidRPr="00087B36" w:rsidRDefault="00DA7D6B" w:rsidP="00DA7D6B">
      <w:pPr>
        <w:pStyle w:val="FootnoteText"/>
      </w:pPr>
      <w:r w:rsidRPr="00087B36">
        <w:rPr>
          <w:rStyle w:val="FootnoteReference"/>
        </w:rPr>
        <w:footnoteRef/>
      </w:r>
      <w:r w:rsidRPr="00087B36">
        <w:t xml:space="preserve"> Safe Work Australia </w:t>
      </w:r>
      <w:r>
        <w:t xml:space="preserve">and </w:t>
      </w:r>
      <w:r w:rsidRPr="00087B36">
        <w:t xml:space="preserve">Deloitte Access Economics, </w:t>
      </w:r>
      <w:hyperlink r:id="rId616" w:history="1">
        <w:r w:rsidRPr="00087B36">
          <w:rPr>
            <w:rStyle w:val="Hyperlink"/>
            <w:i/>
          </w:rPr>
          <w:t>Safer, healthier, wealthier: The economic value of reducing work</w:t>
        </w:r>
        <w:r w:rsidR="00A713D2">
          <w:rPr>
            <w:rStyle w:val="Hyperlink"/>
            <w:i/>
          </w:rPr>
          <w:t> </w:t>
        </w:r>
        <w:r w:rsidRPr="00087B36">
          <w:rPr>
            <w:rStyle w:val="Hyperlink"/>
            <w:i/>
          </w:rPr>
          <w:t>related injuries and illnesses</w:t>
        </w:r>
      </w:hyperlink>
      <w:r w:rsidRPr="00087B36">
        <w:rPr>
          <w:i/>
        </w:rPr>
        <w:t xml:space="preserve">, </w:t>
      </w:r>
      <w:r w:rsidRPr="00087B36">
        <w:t>2022, accessed 26 May 2026.</w:t>
      </w:r>
    </w:p>
  </w:footnote>
  <w:footnote w:id="770">
    <w:p w14:paraId="0AFC155B" w14:textId="619DD18E" w:rsidR="00DA7D6B" w:rsidRPr="00087B36" w:rsidRDefault="00DA7D6B" w:rsidP="00DA7D6B">
      <w:pPr>
        <w:pStyle w:val="FootnoteText"/>
      </w:pPr>
      <w:r w:rsidRPr="00087B36">
        <w:rPr>
          <w:rStyle w:val="FootnoteReference"/>
        </w:rPr>
        <w:footnoteRef/>
      </w:r>
      <w:r w:rsidRPr="00087B36">
        <w:t xml:space="preserve"> Safe Work Australia </w:t>
      </w:r>
      <w:r>
        <w:t xml:space="preserve">and </w:t>
      </w:r>
      <w:r w:rsidRPr="00087B36">
        <w:t xml:space="preserve">Deloitte Access Economics, </w:t>
      </w:r>
      <w:hyperlink r:id="rId617" w:history="1">
        <w:r w:rsidRPr="00087B36">
          <w:rPr>
            <w:rStyle w:val="Hyperlink"/>
            <w:i/>
          </w:rPr>
          <w:t xml:space="preserve">Safer, healthier, wealthier: </w:t>
        </w:r>
        <w:r>
          <w:rPr>
            <w:rStyle w:val="Hyperlink"/>
            <w:i/>
          </w:rPr>
          <w:t>t</w:t>
        </w:r>
        <w:r w:rsidRPr="00087B36">
          <w:rPr>
            <w:rStyle w:val="Hyperlink"/>
            <w:i/>
          </w:rPr>
          <w:t>he economic value of reducing work</w:t>
        </w:r>
        <w:r w:rsidR="00583CE0">
          <w:rPr>
            <w:rStyle w:val="Hyperlink"/>
            <w:i/>
          </w:rPr>
          <w:noBreakHyphen/>
        </w:r>
        <w:r w:rsidRPr="00087B36">
          <w:rPr>
            <w:rStyle w:val="Hyperlink"/>
            <w:i/>
          </w:rPr>
          <w:t>related injuries and illnesses</w:t>
        </w:r>
      </w:hyperlink>
      <w:r w:rsidRPr="00087B36">
        <w:rPr>
          <w:i/>
        </w:rPr>
        <w:t xml:space="preserve">, </w:t>
      </w:r>
      <w:r w:rsidRPr="00087B36">
        <w:t>2022, p 13, accessed 26 May 2026.</w:t>
      </w:r>
    </w:p>
  </w:footnote>
  <w:footnote w:id="771">
    <w:p w14:paraId="03CBF990" w14:textId="77777777" w:rsidR="00DA7D6B" w:rsidRPr="00087B36" w:rsidRDefault="00DA7D6B" w:rsidP="00DA7D6B">
      <w:pPr>
        <w:pStyle w:val="FootnoteText"/>
      </w:pPr>
      <w:r w:rsidRPr="00087B36">
        <w:rPr>
          <w:rStyle w:val="FootnoteReference"/>
        </w:rPr>
        <w:footnoteRef/>
      </w:r>
      <w:r w:rsidRPr="00087B36">
        <w:t xml:space="preserve"> Australian Institute of Health and Welfare, </w:t>
      </w:r>
      <w:hyperlink r:id="rId618" w:history="1">
        <w:r w:rsidRPr="00087B36">
          <w:rPr>
            <w:rStyle w:val="Hyperlink"/>
            <w:i/>
          </w:rPr>
          <w:t xml:space="preserve">Australian </w:t>
        </w:r>
        <w:r>
          <w:rPr>
            <w:rStyle w:val="Hyperlink"/>
            <w:i/>
          </w:rPr>
          <w:t>b</w:t>
        </w:r>
        <w:r w:rsidRPr="00087B36">
          <w:rPr>
            <w:rStyle w:val="Hyperlink"/>
            <w:i/>
          </w:rPr>
          <w:t xml:space="preserve">urden of </w:t>
        </w:r>
        <w:r>
          <w:rPr>
            <w:rStyle w:val="Hyperlink"/>
            <w:i/>
          </w:rPr>
          <w:t>d</w:t>
        </w:r>
        <w:r w:rsidRPr="00087B36">
          <w:rPr>
            <w:rStyle w:val="Hyperlink"/>
            <w:i/>
          </w:rPr>
          <w:t xml:space="preserve">isease </w:t>
        </w:r>
        <w:r>
          <w:rPr>
            <w:rStyle w:val="Hyperlink"/>
            <w:i/>
          </w:rPr>
          <w:t>s</w:t>
        </w:r>
        <w:r w:rsidRPr="00087B36">
          <w:rPr>
            <w:rStyle w:val="Hyperlink"/>
            <w:i/>
          </w:rPr>
          <w:t>tudy 2024</w:t>
        </w:r>
      </w:hyperlink>
      <w:r w:rsidRPr="00087B36">
        <w:t xml:space="preserve">, Australian Government, </w:t>
      </w:r>
      <w:r>
        <w:t xml:space="preserve">2024, </w:t>
      </w:r>
      <w:r w:rsidRPr="00087B36">
        <w:t>accessed 20 May 2026.</w:t>
      </w:r>
    </w:p>
  </w:footnote>
  <w:footnote w:id="772">
    <w:p w14:paraId="4331B0F3" w14:textId="4F98FDE9" w:rsidR="00DA7D6B" w:rsidRPr="00087B36" w:rsidRDefault="00DA7D6B" w:rsidP="00DA7D6B">
      <w:pPr>
        <w:pStyle w:val="FootnoteText"/>
      </w:pPr>
      <w:r w:rsidRPr="00087B36">
        <w:rPr>
          <w:rStyle w:val="FootnoteReference"/>
        </w:rPr>
        <w:footnoteRef/>
      </w:r>
      <w:r w:rsidRPr="00087B36">
        <w:t xml:space="preserve"> Office of Impact Assessment, Department of the Prime Minister and Cabinet, </w:t>
      </w:r>
      <w:hyperlink r:id="rId619" w:history="1">
        <w:r w:rsidRPr="00087B36">
          <w:rPr>
            <w:rStyle w:val="Hyperlink"/>
            <w:i/>
          </w:rPr>
          <w:t>Value of statistical life</w:t>
        </w:r>
      </w:hyperlink>
      <w:r w:rsidRPr="00087B36">
        <w:t xml:space="preserve">, Guidance </w:t>
      </w:r>
      <w:r>
        <w:t>n</w:t>
      </w:r>
      <w:r w:rsidRPr="00087B36">
        <w:t>ote, January 2026, accessed 20 May 2026.</w:t>
      </w:r>
    </w:p>
  </w:footnote>
  <w:footnote w:id="773">
    <w:p w14:paraId="645E377C" w14:textId="77777777" w:rsidR="00DA7D6B" w:rsidRDefault="00DA7D6B" w:rsidP="00DA7D6B">
      <w:pPr>
        <w:pStyle w:val="FootnoteText"/>
      </w:pPr>
      <w:r w:rsidRPr="00087B36">
        <w:rPr>
          <w:rStyle w:val="FootnoteReference"/>
        </w:rPr>
        <w:footnoteRef/>
      </w:r>
      <w:r w:rsidRPr="00087B36">
        <w:t xml:space="preserve"> </w:t>
      </w:r>
      <w:r>
        <w:t xml:space="preserve">S </w:t>
      </w:r>
      <w:r w:rsidRPr="00087B36">
        <w:t xml:space="preserve">O’Neill, </w:t>
      </w:r>
      <w:r>
        <w:t xml:space="preserve">A </w:t>
      </w:r>
      <w:r w:rsidRPr="00087B36">
        <w:t>Cheung</w:t>
      </w:r>
      <w:r>
        <w:t xml:space="preserve"> and S </w:t>
      </w:r>
      <w:r w:rsidRPr="00087B36">
        <w:t>Holley</w:t>
      </w:r>
      <w:r w:rsidRPr="00087B36" w:rsidDel="00586895">
        <w:t xml:space="preserve">, </w:t>
      </w:r>
      <w:r w:rsidRPr="00087B36">
        <w:t>Macquarie University International Governance and Performance Research Centre, Safe Work Australia, sponsoring body and CPA Australia sponsoring body</w:t>
      </w:r>
      <w:r>
        <w:t>,</w:t>
      </w:r>
      <w:r w:rsidRPr="00087B36">
        <w:t> </w:t>
      </w:r>
      <w:hyperlink r:id="rId620" w:history="1">
        <w:r w:rsidRPr="00087B36">
          <w:rPr>
            <w:rStyle w:val="Hyperlink"/>
            <w:i/>
          </w:rPr>
          <w:t>The business case for safe, healthy &amp; productive work: implications for resource allocation: procurement, contracting and infrastructure decisions</w:t>
        </w:r>
      </w:hyperlink>
      <w:r w:rsidRPr="00087B36">
        <w:rPr>
          <w:i/>
        </w:rPr>
        <w:t>,</w:t>
      </w:r>
      <w:r w:rsidRPr="00087B36">
        <w:t> Macquarie University, NSW, 2014, accessed 20 May 2026.</w:t>
      </w:r>
    </w:p>
  </w:footnote>
  <w:footnote w:id="774">
    <w:p w14:paraId="0D838EC1" w14:textId="0D7A47D4" w:rsidR="00DA7D6B" w:rsidRPr="00087B36" w:rsidRDefault="00DA7D6B" w:rsidP="00DA7D6B">
      <w:pPr>
        <w:pStyle w:val="FootnoteText"/>
      </w:pPr>
      <w:r w:rsidRPr="00087B36">
        <w:rPr>
          <w:rStyle w:val="FootnoteReference"/>
        </w:rPr>
        <w:footnoteRef/>
      </w:r>
      <w:r w:rsidRPr="00087B36">
        <w:t xml:space="preserve"> Safe Work Australia, </w:t>
      </w:r>
      <w:hyperlink r:id="rId621" w:history="1">
        <w:r w:rsidRPr="00087B36">
          <w:rPr>
            <w:rStyle w:val="Hyperlink"/>
            <w:i/>
          </w:rPr>
          <w:t xml:space="preserve">Our </w:t>
        </w:r>
        <w:r w:rsidR="000E02F0">
          <w:rPr>
            <w:rStyle w:val="Hyperlink"/>
            <w:i/>
          </w:rPr>
          <w:t>d</w:t>
        </w:r>
        <w:r w:rsidRPr="00087B36">
          <w:rPr>
            <w:rStyle w:val="Hyperlink"/>
            <w:i/>
          </w:rPr>
          <w:t xml:space="preserve">ata. Your </w:t>
        </w:r>
        <w:r w:rsidR="000E02F0">
          <w:rPr>
            <w:rStyle w:val="Hyperlink"/>
            <w:i/>
          </w:rPr>
          <w:t>s</w:t>
        </w:r>
        <w:r w:rsidRPr="00087B36">
          <w:rPr>
            <w:rStyle w:val="Hyperlink"/>
            <w:i/>
          </w:rPr>
          <w:t xml:space="preserve">tories: Jurisdictional </w:t>
        </w:r>
        <w:r w:rsidR="000E02F0">
          <w:rPr>
            <w:rStyle w:val="Hyperlink"/>
            <w:i/>
          </w:rPr>
          <w:t>c</w:t>
        </w:r>
        <w:r w:rsidRPr="00087B36">
          <w:rPr>
            <w:rStyle w:val="Hyperlink"/>
            <w:i/>
          </w:rPr>
          <w:t>omparison</w:t>
        </w:r>
      </w:hyperlink>
      <w:r w:rsidRPr="00087B36">
        <w:t>, SWA website, 2026, accessed 26 May 2026.</w:t>
      </w:r>
    </w:p>
  </w:footnote>
  <w:footnote w:id="775">
    <w:p w14:paraId="0B083B83" w14:textId="77777777" w:rsidR="00DA7D6B" w:rsidRDefault="00DA7D6B" w:rsidP="00DA7D6B">
      <w:pPr>
        <w:pStyle w:val="FootnoteText"/>
      </w:pPr>
      <w:r w:rsidRPr="00087B36">
        <w:rPr>
          <w:rStyle w:val="FootnoteReference"/>
        </w:rPr>
        <w:footnoteRef/>
      </w:r>
      <w:r w:rsidRPr="00087B36">
        <w:t xml:space="preserve"> N/A means ‘not applicable’.</w:t>
      </w:r>
    </w:p>
  </w:footnote>
  <w:footnote w:id="776">
    <w:p w14:paraId="6F931A6D" w14:textId="2804A050" w:rsidR="00FD2C78" w:rsidRDefault="00FD2C78">
      <w:pPr>
        <w:pStyle w:val="FootnoteText"/>
      </w:pPr>
      <w:r>
        <w:rPr>
          <w:rStyle w:val="FootnoteReference"/>
        </w:rPr>
        <w:footnoteRef/>
      </w:r>
      <w:r>
        <w:t xml:space="preserve"> </w:t>
      </w:r>
      <w:r w:rsidRPr="00FD2C78">
        <w:t>Proactive workplace visits are those not resulting from a complaint or workplace incident</w:t>
      </w:r>
      <w:r>
        <w:t>.</w:t>
      </w:r>
    </w:p>
  </w:footnote>
  <w:footnote w:id="777">
    <w:p w14:paraId="448AF08F" w14:textId="2341A163" w:rsidR="00936905" w:rsidRPr="00087B36" w:rsidRDefault="00936905" w:rsidP="00936905">
      <w:pPr>
        <w:pStyle w:val="FootnoteText"/>
        <w:rPr>
          <w:szCs w:val="18"/>
        </w:rPr>
      </w:pPr>
      <w:r w:rsidRPr="00087B36">
        <w:rPr>
          <w:rStyle w:val="FootnoteReference"/>
          <w:szCs w:val="18"/>
        </w:rPr>
        <w:footnoteRef/>
      </w:r>
      <w:r w:rsidRPr="00087B36">
        <w:rPr>
          <w:szCs w:val="18"/>
        </w:rPr>
        <w:t xml:space="preserve"> Industry refers to the range of economic activities undertaken by a business to produce goods and services</w:t>
      </w:r>
      <w:r w:rsidR="000F402B">
        <w:rPr>
          <w:szCs w:val="18"/>
        </w:rPr>
        <w:t xml:space="preserve"> </w:t>
      </w:r>
      <w:r w:rsidR="000F402B">
        <w:rPr>
          <w:rFonts w:ascii="Symbol" w:eastAsia="Symbol" w:hAnsi="Symbol" w:cs="Symbol"/>
          <w:szCs w:val="18"/>
        </w:rPr>
        <w:t>-</w:t>
      </w:r>
      <w:r w:rsidRPr="00087B36">
        <w:rPr>
          <w:szCs w:val="18"/>
        </w:rPr>
        <w:t xml:space="preserve"> and is categorised using the Australian Bureau of Statistics’ </w:t>
      </w:r>
      <w:hyperlink r:id="rId622" w:tgtFrame="_blank" w:tooltip="https://www.abs.gov.au/statistics/classifications/anzsco-australian-and-new-zealand-standard-classification-occupations/2022" w:history="1">
        <w:r w:rsidRPr="00087B36">
          <w:rPr>
            <w:rStyle w:val="Hyperlink"/>
            <w:szCs w:val="18"/>
          </w:rPr>
          <w:t>Australian and New Zealand Standard Industrial Classification (ANZSIC)</w:t>
        </w:r>
      </w:hyperlink>
      <w:r w:rsidRPr="00087B36">
        <w:rPr>
          <w:szCs w:val="18"/>
        </w:rPr>
        <w:t>.</w:t>
      </w:r>
    </w:p>
  </w:footnote>
  <w:footnote w:id="778">
    <w:p w14:paraId="414B988E" w14:textId="4508E6DF" w:rsidR="00917336" w:rsidRDefault="00917336" w:rsidP="00917336">
      <w:pPr>
        <w:pStyle w:val="FootnoteText"/>
      </w:pPr>
      <w:r>
        <w:rPr>
          <w:rStyle w:val="FootnoteReference"/>
        </w:rPr>
        <w:footnoteRef/>
      </w:r>
      <w:r>
        <w:t xml:space="preserve"> </w:t>
      </w:r>
      <w:r w:rsidRPr="00C30B5E">
        <w:rPr>
          <w:szCs w:val="18"/>
        </w:rPr>
        <w:t xml:space="preserve">In the </w:t>
      </w:r>
      <w:r>
        <w:rPr>
          <w:szCs w:val="18"/>
        </w:rPr>
        <w:t>NT</w:t>
      </w:r>
      <w:r w:rsidRPr="00C30B5E">
        <w:rPr>
          <w:szCs w:val="18"/>
        </w:rPr>
        <w:t xml:space="preserve">, the regulator requires the consent of the </w:t>
      </w:r>
      <w:r>
        <w:rPr>
          <w:szCs w:val="18"/>
        </w:rPr>
        <w:t>DPP</w:t>
      </w:r>
      <w:r w:rsidRPr="00C30B5E">
        <w:rPr>
          <w:szCs w:val="18"/>
        </w:rPr>
        <w:t xml:space="preserve"> to bring proceedings for a Category 1, Category 2 or Category</w:t>
      </w:r>
      <w:r>
        <w:rPr>
          <w:szCs w:val="18"/>
        </w:rPr>
        <w:t> </w:t>
      </w:r>
      <w:r w:rsidRPr="00C30B5E">
        <w:rPr>
          <w:szCs w:val="18"/>
        </w:rPr>
        <w:t>3 offence in respect of a death or for industrial manslaughter.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63653AB8" w14:paraId="7246C1C9" w14:textId="77777777" w:rsidTr="63653AB8">
      <w:trPr>
        <w:trHeight w:val="300"/>
      </w:trPr>
      <w:tc>
        <w:tcPr>
          <w:tcW w:w="3005" w:type="dxa"/>
        </w:tcPr>
        <w:p w14:paraId="2E4BBC58" w14:textId="332F9972" w:rsidR="63653AB8" w:rsidRDefault="63653AB8" w:rsidP="63653AB8">
          <w:pPr>
            <w:pStyle w:val="Header"/>
            <w:ind w:left="-115"/>
          </w:pPr>
        </w:p>
      </w:tc>
      <w:tc>
        <w:tcPr>
          <w:tcW w:w="3005" w:type="dxa"/>
        </w:tcPr>
        <w:p w14:paraId="4574FC49" w14:textId="11720478" w:rsidR="63653AB8" w:rsidRDefault="63653AB8" w:rsidP="63653AB8">
          <w:pPr>
            <w:pStyle w:val="Header"/>
            <w:jc w:val="center"/>
          </w:pPr>
        </w:p>
      </w:tc>
      <w:tc>
        <w:tcPr>
          <w:tcW w:w="3005" w:type="dxa"/>
        </w:tcPr>
        <w:p w14:paraId="1CF36B67" w14:textId="64FB63A9" w:rsidR="63653AB8" w:rsidRDefault="63653AB8" w:rsidP="63653AB8">
          <w:pPr>
            <w:pStyle w:val="Header"/>
            <w:ind w:right="-115"/>
            <w:jc w:val="right"/>
          </w:pPr>
        </w:p>
      </w:tc>
    </w:tr>
  </w:tbl>
  <w:p w14:paraId="4DDEA6D4" w14:textId="09056D26" w:rsidR="00E01DDF" w:rsidRDefault="00E01D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6A6FA" w14:textId="6E62A15C" w:rsidR="000746F6" w:rsidRDefault="00B82AAC">
    <w:pPr>
      <w:pStyle w:val="Header"/>
    </w:pPr>
    <w:r>
      <w:rPr>
        <w:noProof/>
      </w:rPr>
      <w:drawing>
        <wp:anchor distT="0" distB="0" distL="114300" distR="114300" simplePos="0" relativeHeight="251658241" behindDoc="1" locked="0" layoutInCell="1" allowOverlap="1" wp14:anchorId="0D0380D1" wp14:editId="2120FFF8">
          <wp:simplePos x="0" y="0"/>
          <wp:positionH relativeFrom="margin">
            <wp:posOffset>-923925</wp:posOffset>
          </wp:positionH>
          <wp:positionV relativeFrom="margin">
            <wp:posOffset>-914097</wp:posOffset>
          </wp:positionV>
          <wp:extent cx="7570381" cy="10704110"/>
          <wp:effectExtent l="0" t="0" r="0" b="2540"/>
          <wp:wrapNone/>
          <wp:docPr id="9030692" name="Picture 3" descr="Cover design for the report titled &quot;2026 Best Practice Review of the model Work Health and Safety laws Final report.&quot;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449310" name="Picture 3" descr="Cover design for the report titled &quot;2026 Best Practice Review of the model Work Health and Safety laws Final report.&quot; ">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70381" cy="10704110"/>
                  </a:xfrm>
                  <a:prstGeom prst="rect">
                    <a:avLst/>
                  </a:prstGeom>
                </pic:spPr>
              </pic:pic>
            </a:graphicData>
          </a:graphic>
          <wp14:sizeRelH relativeFrom="page">
            <wp14:pctWidth>0</wp14:pctWidth>
          </wp14:sizeRelH>
          <wp14:sizeRelV relativeFrom="page">
            <wp14:pctHeight>0</wp14:pctHeight>
          </wp14:sizeRelV>
        </wp:anchor>
      </w:drawing>
    </w:r>
  </w:p>
  <w:p w14:paraId="6A4CDCF8" w14:textId="580C63EF" w:rsidR="000746F6" w:rsidRDefault="000746F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63653AB8" w14:paraId="59BA0AF8" w14:textId="77777777" w:rsidTr="63653AB8">
      <w:trPr>
        <w:trHeight w:val="300"/>
      </w:trPr>
      <w:tc>
        <w:tcPr>
          <w:tcW w:w="3245" w:type="dxa"/>
        </w:tcPr>
        <w:p w14:paraId="798791F0" w14:textId="1B7FAFCA" w:rsidR="63653AB8" w:rsidRDefault="63653AB8" w:rsidP="63653AB8">
          <w:pPr>
            <w:pStyle w:val="Header"/>
            <w:ind w:left="-115"/>
          </w:pPr>
        </w:p>
      </w:tc>
      <w:tc>
        <w:tcPr>
          <w:tcW w:w="3245" w:type="dxa"/>
        </w:tcPr>
        <w:p w14:paraId="056D3C21" w14:textId="36B160CD" w:rsidR="63653AB8" w:rsidRDefault="63653AB8" w:rsidP="63653AB8">
          <w:pPr>
            <w:pStyle w:val="Header"/>
            <w:jc w:val="center"/>
          </w:pPr>
        </w:p>
      </w:tc>
      <w:tc>
        <w:tcPr>
          <w:tcW w:w="3245" w:type="dxa"/>
        </w:tcPr>
        <w:p w14:paraId="4116FF9A" w14:textId="285DE19F" w:rsidR="63653AB8" w:rsidRDefault="63653AB8" w:rsidP="63653AB8">
          <w:pPr>
            <w:pStyle w:val="Header"/>
            <w:ind w:right="-115"/>
            <w:jc w:val="right"/>
          </w:pPr>
        </w:p>
      </w:tc>
    </w:tr>
  </w:tbl>
  <w:p w14:paraId="4111A978" w14:textId="696630FC" w:rsidR="00E01DDF" w:rsidRDefault="00E01DD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B7043" w14:textId="59A4813C" w:rsidR="000746F6" w:rsidRDefault="000746F6">
    <w:pPr>
      <w:pStyle w:val="Header"/>
    </w:pPr>
  </w:p>
  <w:p w14:paraId="67AEA795" w14:textId="77777777" w:rsidR="000746F6" w:rsidRDefault="000746F6">
    <w:pPr>
      <w:pStyle w:val="Header"/>
    </w:pPr>
  </w:p>
  <w:p w14:paraId="325FF90A" w14:textId="77777777" w:rsidR="000746F6" w:rsidRDefault="000746F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63653AB8" w14:paraId="04E55863" w14:textId="77777777" w:rsidTr="63653AB8">
      <w:trPr>
        <w:trHeight w:val="300"/>
      </w:trPr>
      <w:tc>
        <w:tcPr>
          <w:tcW w:w="3245" w:type="dxa"/>
        </w:tcPr>
        <w:p w14:paraId="38A0851C" w14:textId="04EA8E30" w:rsidR="63653AB8" w:rsidRDefault="63653AB8" w:rsidP="63653AB8">
          <w:pPr>
            <w:pStyle w:val="Header"/>
            <w:ind w:left="-115"/>
          </w:pPr>
        </w:p>
      </w:tc>
      <w:tc>
        <w:tcPr>
          <w:tcW w:w="3245" w:type="dxa"/>
        </w:tcPr>
        <w:p w14:paraId="6CA92573" w14:textId="102D03A6" w:rsidR="63653AB8" w:rsidRDefault="63653AB8" w:rsidP="63653AB8">
          <w:pPr>
            <w:pStyle w:val="Header"/>
            <w:jc w:val="center"/>
          </w:pPr>
        </w:p>
      </w:tc>
      <w:tc>
        <w:tcPr>
          <w:tcW w:w="3245" w:type="dxa"/>
        </w:tcPr>
        <w:p w14:paraId="36413BA9" w14:textId="24E682A4" w:rsidR="63653AB8" w:rsidRDefault="63653AB8" w:rsidP="63653AB8">
          <w:pPr>
            <w:pStyle w:val="Header"/>
            <w:ind w:right="-115"/>
            <w:jc w:val="right"/>
          </w:pPr>
        </w:p>
      </w:tc>
    </w:tr>
  </w:tbl>
  <w:p w14:paraId="2F3176C2" w14:textId="373E180B" w:rsidR="00E01DDF" w:rsidRDefault="00E01DD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5CE8E" w14:textId="247B78E2" w:rsidR="000746F6" w:rsidRDefault="002309E3" w:rsidP="002309E3">
    <w:pPr>
      <w:pStyle w:val="Header"/>
      <w:tabs>
        <w:tab w:val="clear" w:pos="4513"/>
        <w:tab w:val="clear" w:pos="9026"/>
        <w:tab w:val="center" w:pos="4873"/>
      </w:tabs>
    </w:pPr>
    <w:r>
      <w:tab/>
    </w:r>
  </w:p>
  <w:p w14:paraId="1701FA93" w14:textId="198D876A" w:rsidR="000746F6" w:rsidRDefault="000746F6">
    <w:pPr>
      <w:pStyle w:val="Header"/>
    </w:pPr>
  </w:p>
  <w:p w14:paraId="41F69CD7" w14:textId="12D1BBA1" w:rsidR="000746F6" w:rsidRDefault="000746F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63653AB8" w14:paraId="6BC73EF0" w14:textId="77777777" w:rsidTr="63653AB8">
      <w:trPr>
        <w:trHeight w:val="300"/>
      </w:trPr>
      <w:tc>
        <w:tcPr>
          <w:tcW w:w="3245" w:type="dxa"/>
        </w:tcPr>
        <w:p w14:paraId="3784B237" w14:textId="629CFF06" w:rsidR="63653AB8" w:rsidRDefault="63653AB8" w:rsidP="63653AB8">
          <w:pPr>
            <w:pStyle w:val="Header"/>
            <w:ind w:left="-115"/>
          </w:pPr>
        </w:p>
      </w:tc>
      <w:tc>
        <w:tcPr>
          <w:tcW w:w="3245" w:type="dxa"/>
        </w:tcPr>
        <w:p w14:paraId="6EF9B208" w14:textId="1E0DCCB3" w:rsidR="63653AB8" w:rsidRDefault="63653AB8" w:rsidP="63653AB8">
          <w:pPr>
            <w:pStyle w:val="Header"/>
            <w:jc w:val="center"/>
          </w:pPr>
        </w:p>
      </w:tc>
      <w:tc>
        <w:tcPr>
          <w:tcW w:w="3245" w:type="dxa"/>
        </w:tcPr>
        <w:p w14:paraId="62584BEB" w14:textId="06CB754F" w:rsidR="63653AB8" w:rsidRDefault="63653AB8" w:rsidP="63653AB8">
          <w:pPr>
            <w:pStyle w:val="Header"/>
            <w:ind w:right="-115"/>
            <w:jc w:val="right"/>
          </w:pPr>
        </w:p>
      </w:tc>
    </w:tr>
  </w:tbl>
  <w:p w14:paraId="10B572E0" w14:textId="5DABE0DB" w:rsidR="00E01DDF" w:rsidRDefault="00E01DD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B6053" w14:textId="01083251" w:rsidR="002309E3" w:rsidRDefault="00635849" w:rsidP="002309E3">
    <w:pPr>
      <w:pStyle w:val="Header"/>
      <w:tabs>
        <w:tab w:val="clear" w:pos="4513"/>
        <w:tab w:val="clear" w:pos="9026"/>
        <w:tab w:val="center" w:pos="4873"/>
      </w:tabs>
    </w:pPr>
    <w:r>
      <w:rPr>
        <w:noProof/>
      </w:rPr>
      <w:drawing>
        <wp:anchor distT="0" distB="0" distL="114300" distR="114300" simplePos="0" relativeHeight="251658243" behindDoc="1" locked="0" layoutInCell="1" allowOverlap="1" wp14:anchorId="491BBB1E" wp14:editId="0E0980C9">
          <wp:simplePos x="0" y="0"/>
          <wp:positionH relativeFrom="column">
            <wp:posOffset>1703716</wp:posOffset>
          </wp:positionH>
          <wp:positionV relativeFrom="page">
            <wp:posOffset>0</wp:posOffset>
          </wp:positionV>
          <wp:extent cx="5225523" cy="2505075"/>
          <wp:effectExtent l="0" t="0" r="0" b="0"/>
          <wp:wrapNone/>
          <wp:docPr id="35693725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317948" name="Picture 1">
                    <a:extLst>
                      <a:ext uri="{C183D7F6-B498-43B3-948B-1728B52AA6E4}">
                        <adec:decorative xmlns:adec="http://schemas.microsoft.com/office/drawing/2017/decorative" val="1"/>
                      </a:ext>
                    </a:extLst>
                  </pic:cNvPr>
                  <pic:cNvPicPr/>
                </pic:nvPicPr>
                <pic:blipFill rotWithShape="1">
                  <a:blip r:embed="rId1">
                    <a:extLst>
                      <a:ext uri="{28A0092B-C50C-407E-A947-70E740481C1C}">
                        <a14:useLocalDpi xmlns:a14="http://schemas.microsoft.com/office/drawing/2010/main" val="0"/>
                      </a:ext>
                    </a:extLst>
                  </a:blip>
                  <a:srcRect l="2865" t="19899" r="29128" b="57048"/>
                  <a:stretch>
                    <a:fillRect/>
                  </a:stretch>
                </pic:blipFill>
                <pic:spPr bwMode="auto">
                  <a:xfrm>
                    <a:off x="0" y="0"/>
                    <a:ext cx="5225523" cy="25050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1" locked="0" layoutInCell="1" allowOverlap="1" wp14:anchorId="13396091" wp14:editId="58B8F4CC">
              <wp:simplePos x="0" y="0"/>
              <wp:positionH relativeFrom="column">
                <wp:posOffset>-754812</wp:posOffset>
              </wp:positionH>
              <wp:positionV relativeFrom="paragraph">
                <wp:posOffset>-493347</wp:posOffset>
              </wp:positionV>
              <wp:extent cx="7684135" cy="2552700"/>
              <wp:effectExtent l="0" t="0" r="0" b="0"/>
              <wp:wrapNone/>
              <wp:docPr id="574004151"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84135" cy="2552700"/>
                      </a:xfrm>
                      <a:prstGeom prst="rect">
                        <a:avLst/>
                      </a:prstGeom>
                      <a:solidFill>
                        <a:schemeClr val="tx2">
                          <a:lumMod val="5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14="http://schemas.microsoft.com/office/drawing/2010/main" xmlns:pic="http://schemas.openxmlformats.org/drawingml/2006/picture" xmlns:adec="http://schemas.microsoft.com/office/drawing/2017/decorative" xmlns:a="http://schemas.openxmlformats.org/drawingml/2006/main">
          <w:pict w14:anchorId="438F7821">
            <v:rect id="Rectangle 2" style="position:absolute;margin-left:-59.45pt;margin-top:-38.85pt;width:605.05pt;height:20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lt="&quot;&quot;" o:spid="_x0000_s1026" fillcolor="#15054c [1615]" stroked="f" strokeweight="2pt" w14:anchorId="799AEAC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"/>
          </w:pict>
        </mc:Fallback>
      </mc:AlternateContent>
    </w:r>
    <w:r w:rsidR="002309E3">
      <w:tab/>
    </w:r>
  </w:p>
  <w:p w14:paraId="054B0A9A" w14:textId="77777777" w:rsidR="002309E3" w:rsidRDefault="002309E3">
    <w:pPr>
      <w:pStyle w:val="Header"/>
    </w:pPr>
  </w:p>
  <w:p w14:paraId="2AE25D22" w14:textId="77777777" w:rsidR="002309E3" w:rsidRDefault="002309E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8"/>
      <w:gridCol w:w="3009"/>
      <w:gridCol w:w="3009"/>
    </w:tblGrid>
    <w:tr w:rsidR="63653AB8" w14:paraId="0A2860A2" w14:textId="77777777" w:rsidTr="63653AB8">
      <w:trPr>
        <w:trHeight w:val="300"/>
      </w:trPr>
      <w:tc>
        <w:tcPr>
          <w:tcW w:w="3245" w:type="dxa"/>
        </w:tcPr>
        <w:p w14:paraId="1CC7BC7C" w14:textId="4422CAA3" w:rsidR="63653AB8" w:rsidRDefault="63653AB8" w:rsidP="63653AB8">
          <w:pPr>
            <w:pStyle w:val="Header"/>
            <w:ind w:left="-115"/>
          </w:pPr>
        </w:p>
      </w:tc>
      <w:tc>
        <w:tcPr>
          <w:tcW w:w="3245" w:type="dxa"/>
        </w:tcPr>
        <w:p w14:paraId="095BC00E" w14:textId="4B802C0F" w:rsidR="63653AB8" w:rsidRDefault="63653AB8" w:rsidP="63653AB8">
          <w:pPr>
            <w:pStyle w:val="Header"/>
            <w:jc w:val="center"/>
          </w:pPr>
        </w:p>
      </w:tc>
      <w:tc>
        <w:tcPr>
          <w:tcW w:w="3245" w:type="dxa"/>
        </w:tcPr>
        <w:p w14:paraId="06008979" w14:textId="6B4B379C" w:rsidR="63653AB8" w:rsidRDefault="63653AB8" w:rsidP="63653AB8">
          <w:pPr>
            <w:pStyle w:val="Header"/>
            <w:ind w:right="-115"/>
            <w:jc w:val="right"/>
          </w:pPr>
        </w:p>
      </w:tc>
    </w:tr>
  </w:tbl>
  <w:p w14:paraId="22A5CAF1" w14:textId="771E2F60" w:rsidR="00E01DDF" w:rsidRDefault="00E01DD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63653AB8" w14:paraId="2567D968" w14:textId="77777777" w:rsidTr="63653AB8">
      <w:trPr>
        <w:trHeight w:val="300"/>
      </w:trPr>
      <w:tc>
        <w:tcPr>
          <w:tcW w:w="3245" w:type="dxa"/>
        </w:tcPr>
        <w:p w14:paraId="4EDBEA0F" w14:textId="7519EA1B" w:rsidR="63653AB8" w:rsidRDefault="63653AB8" w:rsidP="63653AB8">
          <w:pPr>
            <w:pStyle w:val="Header"/>
            <w:ind w:left="-115"/>
          </w:pPr>
        </w:p>
      </w:tc>
      <w:tc>
        <w:tcPr>
          <w:tcW w:w="3245" w:type="dxa"/>
        </w:tcPr>
        <w:p w14:paraId="4C805E29" w14:textId="66517431" w:rsidR="63653AB8" w:rsidRDefault="63653AB8" w:rsidP="63653AB8">
          <w:pPr>
            <w:pStyle w:val="Header"/>
            <w:jc w:val="center"/>
          </w:pPr>
        </w:p>
      </w:tc>
      <w:tc>
        <w:tcPr>
          <w:tcW w:w="3245" w:type="dxa"/>
        </w:tcPr>
        <w:p w14:paraId="5365496D" w14:textId="20531C8E" w:rsidR="63653AB8" w:rsidRDefault="63653AB8" w:rsidP="63653AB8">
          <w:pPr>
            <w:pStyle w:val="Header"/>
            <w:ind w:right="-115"/>
            <w:jc w:val="right"/>
          </w:pPr>
        </w:p>
      </w:tc>
    </w:tr>
  </w:tbl>
  <w:p w14:paraId="31F68A32" w14:textId="19752B9D" w:rsidR="00E01DDF" w:rsidRDefault="00E01DD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63653AB8" w14:paraId="0CD26361" w14:textId="77777777" w:rsidTr="63653AB8">
      <w:trPr>
        <w:trHeight w:val="300"/>
      </w:trPr>
      <w:tc>
        <w:tcPr>
          <w:tcW w:w="3245" w:type="dxa"/>
        </w:tcPr>
        <w:p w14:paraId="158A80FF" w14:textId="38954CAB" w:rsidR="63653AB8" w:rsidRDefault="63653AB8" w:rsidP="63653AB8">
          <w:pPr>
            <w:pStyle w:val="Header"/>
            <w:ind w:left="-115"/>
          </w:pPr>
        </w:p>
      </w:tc>
      <w:tc>
        <w:tcPr>
          <w:tcW w:w="3245" w:type="dxa"/>
        </w:tcPr>
        <w:p w14:paraId="4F578721" w14:textId="41BE8A90" w:rsidR="63653AB8" w:rsidRDefault="63653AB8" w:rsidP="63653AB8">
          <w:pPr>
            <w:pStyle w:val="Header"/>
            <w:jc w:val="center"/>
          </w:pPr>
        </w:p>
      </w:tc>
      <w:tc>
        <w:tcPr>
          <w:tcW w:w="3245" w:type="dxa"/>
        </w:tcPr>
        <w:p w14:paraId="676C3BE0" w14:textId="65E9290A" w:rsidR="63653AB8" w:rsidRDefault="63653AB8" w:rsidP="63653AB8">
          <w:pPr>
            <w:pStyle w:val="Header"/>
            <w:ind w:right="-115"/>
            <w:jc w:val="right"/>
          </w:pPr>
        </w:p>
      </w:tc>
    </w:tr>
  </w:tbl>
  <w:p w14:paraId="2F97E67B" w14:textId="120D5B49" w:rsidR="00E01DDF" w:rsidRDefault="00E01DDF">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8"/>
      <w:gridCol w:w="3009"/>
      <w:gridCol w:w="3009"/>
    </w:tblGrid>
    <w:tr w:rsidR="63653AB8" w14:paraId="63BE5647" w14:textId="77777777" w:rsidTr="63653AB8">
      <w:trPr>
        <w:trHeight w:val="300"/>
      </w:trPr>
      <w:tc>
        <w:tcPr>
          <w:tcW w:w="3245" w:type="dxa"/>
        </w:tcPr>
        <w:p w14:paraId="10C92B95" w14:textId="11632843" w:rsidR="63653AB8" w:rsidRDefault="63653AB8" w:rsidP="63653AB8">
          <w:pPr>
            <w:pStyle w:val="Header"/>
            <w:ind w:left="-115"/>
          </w:pPr>
        </w:p>
      </w:tc>
      <w:tc>
        <w:tcPr>
          <w:tcW w:w="3245" w:type="dxa"/>
        </w:tcPr>
        <w:p w14:paraId="0847D3C3" w14:textId="515A2B8A" w:rsidR="63653AB8" w:rsidRDefault="63653AB8" w:rsidP="63653AB8">
          <w:pPr>
            <w:pStyle w:val="Header"/>
            <w:jc w:val="center"/>
          </w:pPr>
        </w:p>
      </w:tc>
      <w:tc>
        <w:tcPr>
          <w:tcW w:w="3245" w:type="dxa"/>
        </w:tcPr>
        <w:p w14:paraId="0C158261" w14:textId="7E3CD89B" w:rsidR="63653AB8" w:rsidRDefault="63653AB8" w:rsidP="63653AB8">
          <w:pPr>
            <w:pStyle w:val="Header"/>
            <w:ind w:right="-115"/>
            <w:jc w:val="right"/>
          </w:pPr>
        </w:p>
      </w:tc>
    </w:tr>
  </w:tbl>
  <w:p w14:paraId="7233F964" w14:textId="542A8AD8" w:rsidR="00E01DDF" w:rsidRDefault="00E01DD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4E411" w14:textId="0D1F0BB3" w:rsidR="00CD246D" w:rsidRDefault="00CD246D">
    <w:pPr>
      <w:pStyle w:val="Header"/>
    </w:pPr>
  </w:p>
  <w:p w14:paraId="06DE09FE" w14:textId="300BC73D" w:rsidR="00CD246D" w:rsidRDefault="00CD246D">
    <w:pPr>
      <w:pStyle w:val="Header"/>
    </w:pPr>
  </w:p>
  <w:p w14:paraId="0F31FB87" w14:textId="4EE72C87" w:rsidR="00CD246D" w:rsidRDefault="00E9508B">
    <w:pPr>
      <w:pStyle w:val="Header"/>
    </w:pPr>
    <w:r>
      <w:rPr>
        <w:noProof/>
      </w:rPr>
      <w:drawing>
        <wp:anchor distT="0" distB="0" distL="114300" distR="114300" simplePos="0" relativeHeight="251658242" behindDoc="1" locked="0" layoutInCell="1" allowOverlap="1" wp14:anchorId="69201B8F" wp14:editId="28AF1135">
          <wp:simplePos x="0" y="0"/>
          <wp:positionH relativeFrom="column">
            <wp:posOffset>-942975</wp:posOffset>
          </wp:positionH>
          <wp:positionV relativeFrom="paragraph">
            <wp:posOffset>173990</wp:posOffset>
          </wp:positionV>
          <wp:extent cx="6315075" cy="778510"/>
          <wp:effectExtent l="0" t="0" r="9525" b="2540"/>
          <wp:wrapNone/>
          <wp:docPr id="794590038"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249572"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315075" cy="778510"/>
                  </a:xfrm>
                  <a:prstGeom prst="rect">
                    <a:avLst/>
                  </a:prstGeom>
                </pic:spPr>
              </pic:pic>
            </a:graphicData>
          </a:graphic>
          <wp14:sizeRelH relativeFrom="page">
            <wp14:pctWidth>0</wp14:pctWidth>
          </wp14:sizeRelH>
          <wp14:sizeRelV relativeFrom="page">
            <wp14:pctHeight>0</wp14:pctHeight>
          </wp14:sizeRelV>
        </wp:anchor>
      </w:drawing>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63653AB8" w14:paraId="2FFFDB8D" w14:textId="77777777" w:rsidTr="63653AB8">
      <w:trPr>
        <w:trHeight w:val="300"/>
      </w:trPr>
      <w:tc>
        <w:tcPr>
          <w:tcW w:w="3005" w:type="dxa"/>
        </w:tcPr>
        <w:p w14:paraId="5195C90B" w14:textId="58623815" w:rsidR="63653AB8" w:rsidRDefault="63653AB8" w:rsidP="63653AB8">
          <w:pPr>
            <w:pStyle w:val="Header"/>
            <w:ind w:left="-115"/>
          </w:pPr>
        </w:p>
      </w:tc>
      <w:tc>
        <w:tcPr>
          <w:tcW w:w="3005" w:type="dxa"/>
        </w:tcPr>
        <w:p w14:paraId="4C78A758" w14:textId="52522662" w:rsidR="63653AB8" w:rsidRDefault="63653AB8" w:rsidP="63653AB8">
          <w:pPr>
            <w:pStyle w:val="Header"/>
            <w:jc w:val="center"/>
          </w:pPr>
        </w:p>
      </w:tc>
      <w:tc>
        <w:tcPr>
          <w:tcW w:w="3005" w:type="dxa"/>
        </w:tcPr>
        <w:p w14:paraId="3DEAA486" w14:textId="07D9EECC" w:rsidR="63653AB8" w:rsidRDefault="63653AB8" w:rsidP="63653AB8">
          <w:pPr>
            <w:pStyle w:val="Header"/>
            <w:ind w:right="-115"/>
            <w:jc w:val="right"/>
          </w:pPr>
        </w:p>
      </w:tc>
    </w:tr>
  </w:tbl>
  <w:p w14:paraId="1C3C6C0C" w14:textId="00C14089" w:rsidR="00E01DDF" w:rsidRDefault="00E01DDF">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63653AB8" w14:paraId="1CFF9997" w14:textId="77777777" w:rsidTr="63653AB8">
      <w:trPr>
        <w:trHeight w:val="300"/>
      </w:trPr>
      <w:tc>
        <w:tcPr>
          <w:tcW w:w="3005" w:type="dxa"/>
        </w:tcPr>
        <w:p w14:paraId="6B682B32" w14:textId="1C1A383B" w:rsidR="63653AB8" w:rsidRDefault="63653AB8" w:rsidP="63653AB8">
          <w:pPr>
            <w:pStyle w:val="Header"/>
            <w:ind w:left="-115"/>
          </w:pPr>
        </w:p>
      </w:tc>
      <w:tc>
        <w:tcPr>
          <w:tcW w:w="3005" w:type="dxa"/>
        </w:tcPr>
        <w:p w14:paraId="71500E88" w14:textId="4091CE3D" w:rsidR="63653AB8" w:rsidRDefault="63653AB8" w:rsidP="63653AB8">
          <w:pPr>
            <w:pStyle w:val="Header"/>
            <w:jc w:val="center"/>
          </w:pPr>
        </w:p>
      </w:tc>
      <w:tc>
        <w:tcPr>
          <w:tcW w:w="3005" w:type="dxa"/>
        </w:tcPr>
        <w:p w14:paraId="6CFD3D01" w14:textId="4B0840FE" w:rsidR="63653AB8" w:rsidRDefault="63653AB8" w:rsidP="63653AB8">
          <w:pPr>
            <w:pStyle w:val="Header"/>
            <w:ind w:right="-115"/>
            <w:jc w:val="right"/>
          </w:pPr>
        </w:p>
      </w:tc>
    </w:tr>
  </w:tbl>
  <w:p w14:paraId="18D06917" w14:textId="2134D24D" w:rsidR="00E01DDF" w:rsidRDefault="00E01DD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63653AB8" w14:paraId="7CCF3568" w14:textId="77777777" w:rsidTr="63653AB8">
      <w:trPr>
        <w:trHeight w:val="300"/>
      </w:trPr>
      <w:tc>
        <w:tcPr>
          <w:tcW w:w="3005" w:type="dxa"/>
        </w:tcPr>
        <w:p w14:paraId="4059A69A" w14:textId="0F799EBC" w:rsidR="63653AB8" w:rsidRDefault="63653AB8" w:rsidP="63653AB8">
          <w:pPr>
            <w:pStyle w:val="Header"/>
            <w:ind w:left="-115"/>
          </w:pPr>
        </w:p>
      </w:tc>
      <w:tc>
        <w:tcPr>
          <w:tcW w:w="3005" w:type="dxa"/>
        </w:tcPr>
        <w:p w14:paraId="2EA99050" w14:textId="4EEBC37A" w:rsidR="63653AB8" w:rsidRDefault="63653AB8" w:rsidP="63653AB8">
          <w:pPr>
            <w:pStyle w:val="Header"/>
            <w:jc w:val="center"/>
          </w:pPr>
        </w:p>
      </w:tc>
      <w:tc>
        <w:tcPr>
          <w:tcW w:w="3005" w:type="dxa"/>
        </w:tcPr>
        <w:p w14:paraId="3CC26D92" w14:textId="2100F2E5" w:rsidR="63653AB8" w:rsidRDefault="63653AB8" w:rsidP="63653AB8">
          <w:pPr>
            <w:pStyle w:val="Header"/>
            <w:ind w:right="-115"/>
            <w:jc w:val="right"/>
          </w:pPr>
        </w:p>
      </w:tc>
    </w:tr>
  </w:tbl>
  <w:p w14:paraId="175349B0" w14:textId="19B7234B" w:rsidR="00E01DDF" w:rsidRDefault="00E01DD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63653AB8" w14:paraId="487C7535" w14:textId="77777777" w:rsidTr="63653AB8">
      <w:trPr>
        <w:trHeight w:val="300"/>
      </w:trPr>
      <w:tc>
        <w:tcPr>
          <w:tcW w:w="3005" w:type="dxa"/>
        </w:tcPr>
        <w:p w14:paraId="740CD29B" w14:textId="08F018F6" w:rsidR="63653AB8" w:rsidRDefault="63653AB8" w:rsidP="63653AB8">
          <w:pPr>
            <w:pStyle w:val="Header"/>
            <w:ind w:left="-115"/>
          </w:pPr>
        </w:p>
      </w:tc>
      <w:tc>
        <w:tcPr>
          <w:tcW w:w="3005" w:type="dxa"/>
        </w:tcPr>
        <w:p w14:paraId="54F9C2DD" w14:textId="0B12110F" w:rsidR="63653AB8" w:rsidRDefault="63653AB8" w:rsidP="63653AB8">
          <w:pPr>
            <w:pStyle w:val="Header"/>
            <w:jc w:val="center"/>
          </w:pPr>
        </w:p>
      </w:tc>
      <w:tc>
        <w:tcPr>
          <w:tcW w:w="3005" w:type="dxa"/>
        </w:tcPr>
        <w:p w14:paraId="2E19E38E" w14:textId="05525DB7" w:rsidR="63653AB8" w:rsidRDefault="63653AB8" w:rsidP="63653AB8">
          <w:pPr>
            <w:pStyle w:val="Header"/>
            <w:ind w:right="-115"/>
            <w:jc w:val="right"/>
          </w:pPr>
        </w:p>
      </w:tc>
    </w:tr>
  </w:tbl>
  <w:p w14:paraId="196F876E" w14:textId="34ECAE80" w:rsidR="00E01DDF" w:rsidRDefault="00E01DDF">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63653AB8" w14:paraId="5D7F815F" w14:textId="77777777" w:rsidTr="63653AB8">
      <w:trPr>
        <w:trHeight w:val="300"/>
      </w:trPr>
      <w:tc>
        <w:tcPr>
          <w:tcW w:w="3005" w:type="dxa"/>
        </w:tcPr>
        <w:p w14:paraId="52F5A43E" w14:textId="25B920FD" w:rsidR="63653AB8" w:rsidRDefault="63653AB8" w:rsidP="63653AB8">
          <w:pPr>
            <w:pStyle w:val="Header"/>
            <w:ind w:left="-115"/>
          </w:pPr>
        </w:p>
      </w:tc>
      <w:tc>
        <w:tcPr>
          <w:tcW w:w="3005" w:type="dxa"/>
        </w:tcPr>
        <w:p w14:paraId="4FC09940" w14:textId="6C3042A8" w:rsidR="63653AB8" w:rsidRDefault="63653AB8" w:rsidP="63653AB8">
          <w:pPr>
            <w:pStyle w:val="Header"/>
            <w:jc w:val="center"/>
          </w:pPr>
        </w:p>
      </w:tc>
      <w:tc>
        <w:tcPr>
          <w:tcW w:w="3005" w:type="dxa"/>
        </w:tcPr>
        <w:p w14:paraId="73D8F6B5" w14:textId="520AAD54" w:rsidR="63653AB8" w:rsidRDefault="63653AB8" w:rsidP="63653AB8">
          <w:pPr>
            <w:pStyle w:val="Header"/>
            <w:ind w:right="-115"/>
            <w:jc w:val="right"/>
          </w:pPr>
        </w:p>
      </w:tc>
    </w:tr>
  </w:tbl>
  <w:p w14:paraId="4B3ED3D7" w14:textId="4E6E2E9A" w:rsidR="00E01DDF" w:rsidRDefault="00E01DD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63653AB8" w14:paraId="56B3D8EB" w14:textId="77777777" w:rsidTr="63653AB8">
      <w:trPr>
        <w:trHeight w:val="300"/>
      </w:trPr>
      <w:tc>
        <w:tcPr>
          <w:tcW w:w="3005" w:type="dxa"/>
        </w:tcPr>
        <w:p w14:paraId="3D976527" w14:textId="6D33A1D8" w:rsidR="63653AB8" w:rsidRDefault="63653AB8" w:rsidP="63653AB8">
          <w:pPr>
            <w:pStyle w:val="Header"/>
            <w:ind w:left="-115"/>
          </w:pPr>
        </w:p>
      </w:tc>
      <w:tc>
        <w:tcPr>
          <w:tcW w:w="3005" w:type="dxa"/>
        </w:tcPr>
        <w:p w14:paraId="6AF46524" w14:textId="174F424F" w:rsidR="63653AB8" w:rsidRDefault="63653AB8" w:rsidP="63653AB8">
          <w:pPr>
            <w:pStyle w:val="Header"/>
            <w:jc w:val="center"/>
          </w:pPr>
        </w:p>
      </w:tc>
      <w:tc>
        <w:tcPr>
          <w:tcW w:w="3005" w:type="dxa"/>
        </w:tcPr>
        <w:p w14:paraId="7D98AC8F" w14:textId="2F56BD4A" w:rsidR="63653AB8" w:rsidRDefault="63653AB8" w:rsidP="63653AB8">
          <w:pPr>
            <w:pStyle w:val="Header"/>
            <w:ind w:right="-115"/>
            <w:jc w:val="right"/>
          </w:pPr>
        </w:p>
      </w:tc>
    </w:tr>
  </w:tbl>
  <w:p w14:paraId="1E92092D" w14:textId="562F9135" w:rsidR="00E01DDF" w:rsidRDefault="00E01DD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63653AB8" w14:paraId="5E41D94B" w14:textId="77777777" w:rsidTr="63653AB8">
      <w:trPr>
        <w:trHeight w:val="300"/>
      </w:trPr>
      <w:tc>
        <w:tcPr>
          <w:tcW w:w="3005" w:type="dxa"/>
        </w:tcPr>
        <w:p w14:paraId="2E369B89" w14:textId="060881FA" w:rsidR="63653AB8" w:rsidRDefault="63653AB8" w:rsidP="63653AB8">
          <w:pPr>
            <w:pStyle w:val="Header"/>
            <w:ind w:left="-115"/>
          </w:pPr>
        </w:p>
      </w:tc>
      <w:tc>
        <w:tcPr>
          <w:tcW w:w="3005" w:type="dxa"/>
        </w:tcPr>
        <w:p w14:paraId="09B8455A" w14:textId="5D63FB13" w:rsidR="63653AB8" w:rsidRDefault="63653AB8" w:rsidP="63653AB8">
          <w:pPr>
            <w:pStyle w:val="Header"/>
            <w:jc w:val="center"/>
          </w:pPr>
        </w:p>
      </w:tc>
      <w:tc>
        <w:tcPr>
          <w:tcW w:w="3005" w:type="dxa"/>
        </w:tcPr>
        <w:p w14:paraId="18F6372A" w14:textId="21B7EDCB" w:rsidR="63653AB8" w:rsidRDefault="63653AB8" w:rsidP="63653AB8">
          <w:pPr>
            <w:pStyle w:val="Header"/>
            <w:ind w:right="-115"/>
            <w:jc w:val="right"/>
          </w:pPr>
        </w:p>
      </w:tc>
    </w:tr>
  </w:tbl>
  <w:p w14:paraId="683E40B6" w14:textId="2616CAB2" w:rsidR="00E01DDF" w:rsidRDefault="00E01DDF">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63653AB8" w14:paraId="09E8EC4D" w14:textId="77777777" w:rsidTr="63653AB8">
      <w:trPr>
        <w:trHeight w:val="300"/>
      </w:trPr>
      <w:tc>
        <w:tcPr>
          <w:tcW w:w="3245" w:type="dxa"/>
        </w:tcPr>
        <w:p w14:paraId="55CC853C" w14:textId="15A34E41" w:rsidR="63653AB8" w:rsidRDefault="63653AB8" w:rsidP="63653AB8">
          <w:pPr>
            <w:pStyle w:val="Header"/>
            <w:ind w:left="-115"/>
          </w:pPr>
        </w:p>
      </w:tc>
      <w:tc>
        <w:tcPr>
          <w:tcW w:w="3245" w:type="dxa"/>
        </w:tcPr>
        <w:p w14:paraId="5BB6A1DE" w14:textId="68DE8FC4" w:rsidR="63653AB8" w:rsidRDefault="63653AB8" w:rsidP="63653AB8">
          <w:pPr>
            <w:pStyle w:val="Header"/>
            <w:jc w:val="center"/>
          </w:pPr>
        </w:p>
      </w:tc>
      <w:tc>
        <w:tcPr>
          <w:tcW w:w="3245" w:type="dxa"/>
        </w:tcPr>
        <w:p w14:paraId="30F463C9" w14:textId="5D638B66" w:rsidR="63653AB8" w:rsidRDefault="63653AB8" w:rsidP="63653AB8">
          <w:pPr>
            <w:pStyle w:val="Header"/>
            <w:ind w:right="-115"/>
            <w:jc w:val="right"/>
          </w:pPr>
        </w:p>
      </w:tc>
    </w:tr>
  </w:tbl>
  <w:p w14:paraId="66CCF06F" w14:textId="6880B339" w:rsidR="00E01DDF" w:rsidRDefault="00E01DD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A7402" w14:textId="1388FFB3" w:rsidR="0051787D" w:rsidRDefault="00B55277">
    <w:pPr>
      <w:pStyle w:val="Header"/>
    </w:pPr>
    <w:r>
      <w:rPr>
        <w:noProof/>
      </w:rPr>
      <mc:AlternateContent>
        <mc:Choice Requires="wps">
          <w:drawing>
            <wp:anchor distT="0" distB="0" distL="114300" distR="114300" simplePos="0" relativeHeight="251658244" behindDoc="1" locked="0" layoutInCell="1" allowOverlap="1" wp14:anchorId="20A67000" wp14:editId="7E78EA28">
              <wp:simplePos x="0" y="0"/>
              <wp:positionH relativeFrom="column">
                <wp:posOffset>-1048109</wp:posOffset>
              </wp:positionH>
              <wp:positionV relativeFrom="margin">
                <wp:posOffset>-980440</wp:posOffset>
              </wp:positionV>
              <wp:extent cx="11308774" cy="2552700"/>
              <wp:effectExtent l="0" t="0" r="6985" b="0"/>
              <wp:wrapNone/>
              <wp:docPr id="1725785832" name="Rectangl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1308774" cy="2552700"/>
                      </a:xfrm>
                      <a:prstGeom prst="rect">
                        <a:avLst/>
                      </a:prstGeom>
                      <a:solidFill>
                        <a:schemeClr val="tx2">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dec="http://schemas.microsoft.com/office/drawing/2017/decorative" xmlns:a="http://schemas.openxmlformats.org/drawingml/2006/main">
          <w:pict w14:anchorId="356A241E">
            <v:rect id="Rectangle 2" style="position:absolute;margin-left:-82.55pt;margin-top:-77.2pt;width:890.45pt;height:201pt;z-index:-251658236;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middle" alt="&quot;&quot;" o:spid="_x0000_s1026" fillcolor="#cbbdfa [671]" stroked="f" strokeweight="2pt" w14:anchorId="60E9A99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">
              <w10:wrap anchory="margin"/>
            </v:rect>
          </w:pict>
        </mc:Fallback>
      </mc:AlternateContent>
    </w:r>
  </w:p>
  <w:p w14:paraId="5C614CD0" w14:textId="77777777" w:rsidR="0051787D" w:rsidRDefault="0051787D">
    <w:pPr>
      <w:pStyle w:val="Header"/>
    </w:pPr>
  </w:p>
  <w:p w14:paraId="1BCCAA78" w14:textId="56F1C114" w:rsidR="0051787D" w:rsidRDefault="0051787D">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63653AB8" w14:paraId="3D29F6E0" w14:textId="77777777" w:rsidTr="63653AB8">
      <w:trPr>
        <w:trHeight w:val="300"/>
      </w:trPr>
      <w:tc>
        <w:tcPr>
          <w:tcW w:w="3245" w:type="dxa"/>
        </w:tcPr>
        <w:p w14:paraId="7D104F63" w14:textId="4FEF18B0" w:rsidR="63653AB8" w:rsidRDefault="63653AB8" w:rsidP="63653AB8">
          <w:pPr>
            <w:pStyle w:val="Header"/>
            <w:ind w:left="-115"/>
          </w:pPr>
        </w:p>
      </w:tc>
      <w:tc>
        <w:tcPr>
          <w:tcW w:w="3245" w:type="dxa"/>
        </w:tcPr>
        <w:p w14:paraId="58F878B7" w14:textId="49B8B45C" w:rsidR="63653AB8" w:rsidRDefault="63653AB8" w:rsidP="63653AB8">
          <w:pPr>
            <w:pStyle w:val="Header"/>
            <w:jc w:val="center"/>
          </w:pPr>
        </w:p>
      </w:tc>
      <w:tc>
        <w:tcPr>
          <w:tcW w:w="3245" w:type="dxa"/>
        </w:tcPr>
        <w:p w14:paraId="29CD400F" w14:textId="2D57957F" w:rsidR="63653AB8" w:rsidRDefault="63653AB8" w:rsidP="63653AB8">
          <w:pPr>
            <w:pStyle w:val="Header"/>
            <w:ind w:right="-115"/>
            <w:jc w:val="right"/>
          </w:pPr>
        </w:p>
      </w:tc>
    </w:tr>
  </w:tbl>
  <w:p w14:paraId="5E0B2918" w14:textId="35F69597" w:rsidR="00E01DDF" w:rsidRDefault="00E01DDF">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63653AB8" w14:paraId="229797B0" w14:textId="77777777" w:rsidTr="63653AB8">
      <w:trPr>
        <w:trHeight w:val="300"/>
      </w:trPr>
      <w:tc>
        <w:tcPr>
          <w:tcW w:w="3245" w:type="dxa"/>
        </w:tcPr>
        <w:p w14:paraId="2FA0A8A6" w14:textId="78B3C436" w:rsidR="63653AB8" w:rsidRDefault="63653AB8" w:rsidP="63653AB8">
          <w:pPr>
            <w:pStyle w:val="Header"/>
            <w:ind w:left="-115"/>
          </w:pPr>
        </w:p>
      </w:tc>
      <w:tc>
        <w:tcPr>
          <w:tcW w:w="3245" w:type="dxa"/>
        </w:tcPr>
        <w:p w14:paraId="3A36C84F" w14:textId="63637147" w:rsidR="63653AB8" w:rsidRDefault="63653AB8" w:rsidP="63653AB8">
          <w:pPr>
            <w:pStyle w:val="Header"/>
            <w:jc w:val="center"/>
          </w:pPr>
        </w:p>
      </w:tc>
      <w:tc>
        <w:tcPr>
          <w:tcW w:w="3245" w:type="dxa"/>
        </w:tcPr>
        <w:p w14:paraId="01D75C7B" w14:textId="51F1CFCB" w:rsidR="63653AB8" w:rsidRDefault="63653AB8" w:rsidP="63653AB8">
          <w:pPr>
            <w:pStyle w:val="Header"/>
            <w:ind w:right="-115"/>
            <w:jc w:val="right"/>
          </w:pPr>
        </w:p>
      </w:tc>
    </w:tr>
  </w:tbl>
  <w:p w14:paraId="11A145A3" w14:textId="402144ED" w:rsidR="00E01DDF" w:rsidRDefault="00E01DD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8"/>
      <w:gridCol w:w="3009"/>
      <w:gridCol w:w="3009"/>
    </w:tblGrid>
    <w:tr w:rsidR="63653AB8" w14:paraId="1406AB04" w14:textId="77777777" w:rsidTr="63653AB8">
      <w:trPr>
        <w:trHeight w:val="300"/>
      </w:trPr>
      <w:tc>
        <w:tcPr>
          <w:tcW w:w="4890" w:type="dxa"/>
        </w:tcPr>
        <w:p w14:paraId="7AFF907B" w14:textId="653FE36D" w:rsidR="63653AB8" w:rsidRDefault="63653AB8" w:rsidP="63653AB8">
          <w:pPr>
            <w:pStyle w:val="Header"/>
            <w:ind w:left="-115"/>
          </w:pPr>
        </w:p>
      </w:tc>
      <w:tc>
        <w:tcPr>
          <w:tcW w:w="4890" w:type="dxa"/>
        </w:tcPr>
        <w:p w14:paraId="7402D22C" w14:textId="30E4720A" w:rsidR="63653AB8" w:rsidRDefault="63653AB8" w:rsidP="63653AB8">
          <w:pPr>
            <w:pStyle w:val="Header"/>
            <w:jc w:val="center"/>
          </w:pPr>
        </w:p>
      </w:tc>
      <w:tc>
        <w:tcPr>
          <w:tcW w:w="4890" w:type="dxa"/>
        </w:tcPr>
        <w:p w14:paraId="3B0200D1" w14:textId="06EF07E8" w:rsidR="63653AB8" w:rsidRDefault="63653AB8" w:rsidP="63653AB8">
          <w:pPr>
            <w:pStyle w:val="Header"/>
            <w:ind w:right="-115"/>
            <w:jc w:val="right"/>
          </w:pPr>
        </w:p>
      </w:tc>
    </w:tr>
  </w:tbl>
  <w:p w14:paraId="32DBA567" w14:textId="14FE590E" w:rsidR="00E01DDF" w:rsidRDefault="00E01DD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8"/>
      <w:gridCol w:w="3009"/>
      <w:gridCol w:w="3009"/>
    </w:tblGrid>
    <w:tr w:rsidR="63653AB8" w14:paraId="607B6971" w14:textId="77777777" w:rsidTr="63653AB8">
      <w:trPr>
        <w:trHeight w:val="300"/>
      </w:trPr>
      <w:tc>
        <w:tcPr>
          <w:tcW w:w="4890" w:type="dxa"/>
        </w:tcPr>
        <w:p w14:paraId="04AEBDB8" w14:textId="5BFA0090" w:rsidR="63653AB8" w:rsidRDefault="63653AB8" w:rsidP="63653AB8">
          <w:pPr>
            <w:pStyle w:val="Header"/>
            <w:ind w:left="-115"/>
          </w:pPr>
        </w:p>
      </w:tc>
      <w:tc>
        <w:tcPr>
          <w:tcW w:w="4890" w:type="dxa"/>
        </w:tcPr>
        <w:p w14:paraId="1F5DE49B" w14:textId="7ECB5AF2" w:rsidR="63653AB8" w:rsidRDefault="63653AB8" w:rsidP="63653AB8">
          <w:pPr>
            <w:pStyle w:val="Header"/>
            <w:jc w:val="center"/>
          </w:pPr>
        </w:p>
      </w:tc>
      <w:tc>
        <w:tcPr>
          <w:tcW w:w="4890" w:type="dxa"/>
        </w:tcPr>
        <w:p w14:paraId="0B9D90B5" w14:textId="09149C82" w:rsidR="63653AB8" w:rsidRDefault="63653AB8" w:rsidP="63653AB8">
          <w:pPr>
            <w:pStyle w:val="Header"/>
            <w:ind w:right="-115"/>
            <w:jc w:val="right"/>
          </w:pPr>
        </w:p>
      </w:tc>
    </w:tr>
  </w:tbl>
  <w:p w14:paraId="1DD352E8" w14:textId="5B5AADA4" w:rsidR="00E01DDF" w:rsidRDefault="00E01DDF">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8"/>
      <w:gridCol w:w="3009"/>
      <w:gridCol w:w="3009"/>
    </w:tblGrid>
    <w:tr w:rsidR="63653AB8" w14:paraId="7B4C6308" w14:textId="77777777" w:rsidTr="63653AB8">
      <w:trPr>
        <w:trHeight w:val="300"/>
      </w:trPr>
      <w:tc>
        <w:tcPr>
          <w:tcW w:w="4890" w:type="dxa"/>
        </w:tcPr>
        <w:p w14:paraId="1866446D" w14:textId="27AD14C5" w:rsidR="63653AB8" w:rsidRDefault="63653AB8" w:rsidP="63653AB8">
          <w:pPr>
            <w:pStyle w:val="Header"/>
            <w:ind w:left="-115"/>
          </w:pPr>
        </w:p>
      </w:tc>
      <w:tc>
        <w:tcPr>
          <w:tcW w:w="4890" w:type="dxa"/>
        </w:tcPr>
        <w:p w14:paraId="1BB22EA3" w14:textId="18CE9A06" w:rsidR="63653AB8" w:rsidRDefault="63653AB8" w:rsidP="63653AB8">
          <w:pPr>
            <w:pStyle w:val="Header"/>
            <w:jc w:val="center"/>
          </w:pPr>
        </w:p>
      </w:tc>
      <w:tc>
        <w:tcPr>
          <w:tcW w:w="4890" w:type="dxa"/>
        </w:tcPr>
        <w:p w14:paraId="4DF78F3F" w14:textId="0D693726" w:rsidR="63653AB8" w:rsidRDefault="63653AB8" w:rsidP="63653AB8">
          <w:pPr>
            <w:pStyle w:val="Header"/>
            <w:ind w:right="-115"/>
            <w:jc w:val="right"/>
          </w:pPr>
        </w:p>
      </w:tc>
    </w:tr>
  </w:tbl>
  <w:p w14:paraId="3CEB878D" w14:textId="286AABF8" w:rsidR="00E01DDF" w:rsidRDefault="00E01DD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8"/>
      <w:gridCol w:w="3009"/>
      <w:gridCol w:w="3009"/>
    </w:tblGrid>
    <w:tr w:rsidR="63653AB8" w14:paraId="0980B8BF" w14:textId="77777777" w:rsidTr="63653AB8">
      <w:trPr>
        <w:trHeight w:val="300"/>
      </w:trPr>
      <w:tc>
        <w:tcPr>
          <w:tcW w:w="4890" w:type="dxa"/>
        </w:tcPr>
        <w:p w14:paraId="314F5B52" w14:textId="4B989028" w:rsidR="63653AB8" w:rsidRDefault="63653AB8" w:rsidP="63653AB8">
          <w:pPr>
            <w:pStyle w:val="Header"/>
            <w:ind w:left="-115"/>
          </w:pPr>
        </w:p>
      </w:tc>
      <w:tc>
        <w:tcPr>
          <w:tcW w:w="4890" w:type="dxa"/>
        </w:tcPr>
        <w:p w14:paraId="651F811E" w14:textId="2E6CFE15" w:rsidR="63653AB8" w:rsidRDefault="63653AB8" w:rsidP="63653AB8">
          <w:pPr>
            <w:pStyle w:val="Header"/>
            <w:jc w:val="center"/>
          </w:pPr>
        </w:p>
      </w:tc>
      <w:tc>
        <w:tcPr>
          <w:tcW w:w="4890" w:type="dxa"/>
        </w:tcPr>
        <w:p w14:paraId="263B0BF0" w14:textId="1107E816" w:rsidR="63653AB8" w:rsidRDefault="63653AB8" w:rsidP="63653AB8">
          <w:pPr>
            <w:pStyle w:val="Header"/>
            <w:ind w:right="-115"/>
            <w:jc w:val="right"/>
          </w:pPr>
        </w:p>
      </w:tc>
    </w:tr>
  </w:tbl>
  <w:p w14:paraId="7CF2D7DC" w14:textId="59F5E297" w:rsidR="00E01DDF" w:rsidRDefault="00E01DD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8"/>
      <w:gridCol w:w="3009"/>
      <w:gridCol w:w="3009"/>
    </w:tblGrid>
    <w:tr w:rsidR="63653AB8" w14:paraId="6CA82EF6" w14:textId="77777777" w:rsidTr="63653AB8">
      <w:trPr>
        <w:trHeight w:val="300"/>
      </w:trPr>
      <w:tc>
        <w:tcPr>
          <w:tcW w:w="3245" w:type="dxa"/>
        </w:tcPr>
        <w:p w14:paraId="59449BFB" w14:textId="69A49B3F" w:rsidR="63653AB8" w:rsidRDefault="63653AB8" w:rsidP="63653AB8">
          <w:pPr>
            <w:pStyle w:val="Header"/>
            <w:ind w:left="-115"/>
          </w:pPr>
        </w:p>
      </w:tc>
      <w:tc>
        <w:tcPr>
          <w:tcW w:w="3245" w:type="dxa"/>
        </w:tcPr>
        <w:p w14:paraId="03DB5E98" w14:textId="2A731BB5" w:rsidR="63653AB8" w:rsidRDefault="63653AB8" w:rsidP="63653AB8">
          <w:pPr>
            <w:pStyle w:val="Header"/>
            <w:jc w:val="center"/>
          </w:pPr>
        </w:p>
      </w:tc>
      <w:tc>
        <w:tcPr>
          <w:tcW w:w="3245" w:type="dxa"/>
        </w:tcPr>
        <w:p w14:paraId="1AAF94B6" w14:textId="1D5B7AF1" w:rsidR="63653AB8" w:rsidRDefault="63653AB8" w:rsidP="63653AB8">
          <w:pPr>
            <w:pStyle w:val="Header"/>
            <w:ind w:right="-115"/>
            <w:jc w:val="right"/>
          </w:pPr>
        </w:p>
      </w:tc>
    </w:tr>
  </w:tbl>
  <w:p w14:paraId="0D7D3D0F" w14:textId="20A7B78A" w:rsidR="00E01DDF" w:rsidRDefault="00E01DDF">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8"/>
      <w:gridCol w:w="3009"/>
      <w:gridCol w:w="3009"/>
    </w:tblGrid>
    <w:tr w:rsidR="63653AB8" w14:paraId="0F1203EB" w14:textId="77777777" w:rsidTr="63653AB8">
      <w:trPr>
        <w:trHeight w:val="300"/>
      </w:trPr>
      <w:tc>
        <w:tcPr>
          <w:tcW w:w="3245" w:type="dxa"/>
        </w:tcPr>
        <w:p w14:paraId="3F91C94F" w14:textId="3C499EAE" w:rsidR="63653AB8" w:rsidRDefault="63653AB8" w:rsidP="63653AB8">
          <w:pPr>
            <w:pStyle w:val="Header"/>
            <w:ind w:left="-115"/>
          </w:pPr>
        </w:p>
      </w:tc>
      <w:tc>
        <w:tcPr>
          <w:tcW w:w="3245" w:type="dxa"/>
        </w:tcPr>
        <w:p w14:paraId="4FB521AB" w14:textId="288748F0" w:rsidR="63653AB8" w:rsidRDefault="63653AB8" w:rsidP="63653AB8">
          <w:pPr>
            <w:pStyle w:val="Header"/>
            <w:jc w:val="center"/>
          </w:pPr>
        </w:p>
      </w:tc>
      <w:tc>
        <w:tcPr>
          <w:tcW w:w="3245" w:type="dxa"/>
        </w:tcPr>
        <w:p w14:paraId="4E19C05E" w14:textId="62C3CAD0" w:rsidR="63653AB8" w:rsidRDefault="63653AB8" w:rsidP="63653AB8">
          <w:pPr>
            <w:pStyle w:val="Header"/>
            <w:ind w:right="-115"/>
            <w:jc w:val="right"/>
          </w:pPr>
        </w:p>
      </w:tc>
    </w:tr>
  </w:tbl>
  <w:p w14:paraId="703AD3C0" w14:textId="0BA7A549" w:rsidR="00E01DDF" w:rsidRDefault="00E01DD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8"/>
      <w:gridCol w:w="3009"/>
      <w:gridCol w:w="3009"/>
    </w:tblGrid>
    <w:tr w:rsidR="63653AB8" w14:paraId="5BCDC8EA" w14:textId="77777777" w:rsidTr="63653AB8">
      <w:trPr>
        <w:trHeight w:val="300"/>
      </w:trPr>
      <w:tc>
        <w:tcPr>
          <w:tcW w:w="3250" w:type="dxa"/>
        </w:tcPr>
        <w:p w14:paraId="657351BF" w14:textId="278142AE" w:rsidR="63653AB8" w:rsidRDefault="63653AB8" w:rsidP="63653AB8">
          <w:pPr>
            <w:pStyle w:val="Header"/>
            <w:ind w:left="-115"/>
          </w:pPr>
        </w:p>
      </w:tc>
      <w:tc>
        <w:tcPr>
          <w:tcW w:w="3250" w:type="dxa"/>
        </w:tcPr>
        <w:p w14:paraId="6316B9C1" w14:textId="1266C55D" w:rsidR="63653AB8" w:rsidRDefault="63653AB8" w:rsidP="63653AB8">
          <w:pPr>
            <w:pStyle w:val="Header"/>
            <w:jc w:val="center"/>
          </w:pPr>
        </w:p>
      </w:tc>
      <w:tc>
        <w:tcPr>
          <w:tcW w:w="3250" w:type="dxa"/>
        </w:tcPr>
        <w:p w14:paraId="308E4E56" w14:textId="14CCCF01" w:rsidR="63653AB8" w:rsidRDefault="63653AB8" w:rsidP="63653AB8">
          <w:pPr>
            <w:pStyle w:val="Header"/>
            <w:ind w:right="-115"/>
            <w:jc w:val="right"/>
          </w:pPr>
        </w:p>
      </w:tc>
    </w:tr>
  </w:tbl>
  <w:p w14:paraId="76792732" w14:textId="10319EF0" w:rsidR="00E01DDF" w:rsidRDefault="00E01DD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0"/>
      <w:gridCol w:w="3250"/>
      <w:gridCol w:w="3250"/>
    </w:tblGrid>
    <w:tr w:rsidR="63653AB8" w14:paraId="37601A89" w14:textId="77777777" w:rsidTr="63653AB8">
      <w:trPr>
        <w:trHeight w:val="300"/>
      </w:trPr>
      <w:tc>
        <w:tcPr>
          <w:tcW w:w="3250" w:type="dxa"/>
        </w:tcPr>
        <w:p w14:paraId="39CF698A" w14:textId="472B6015" w:rsidR="63653AB8" w:rsidRDefault="63653AB8" w:rsidP="63653AB8">
          <w:pPr>
            <w:pStyle w:val="Header"/>
            <w:ind w:left="-115"/>
          </w:pPr>
        </w:p>
      </w:tc>
      <w:tc>
        <w:tcPr>
          <w:tcW w:w="3250" w:type="dxa"/>
        </w:tcPr>
        <w:p w14:paraId="269A891F" w14:textId="5BD981C5" w:rsidR="63653AB8" w:rsidRDefault="63653AB8" w:rsidP="63653AB8">
          <w:pPr>
            <w:pStyle w:val="Header"/>
            <w:jc w:val="center"/>
          </w:pPr>
        </w:p>
      </w:tc>
      <w:tc>
        <w:tcPr>
          <w:tcW w:w="3250" w:type="dxa"/>
        </w:tcPr>
        <w:p w14:paraId="6D03A19D" w14:textId="3DBCEFE9" w:rsidR="63653AB8" w:rsidRDefault="63653AB8" w:rsidP="63653AB8">
          <w:pPr>
            <w:pStyle w:val="Header"/>
            <w:ind w:right="-115"/>
            <w:jc w:val="right"/>
          </w:pPr>
        </w:p>
      </w:tc>
    </w:tr>
  </w:tbl>
  <w:p w14:paraId="4313441D" w14:textId="4A2051C4" w:rsidR="00E01DDF" w:rsidRDefault="00E01DDF">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8"/>
      <w:gridCol w:w="3009"/>
      <w:gridCol w:w="3009"/>
    </w:tblGrid>
    <w:tr w:rsidR="63653AB8" w14:paraId="64FFA240" w14:textId="77777777" w:rsidTr="63653AB8">
      <w:trPr>
        <w:trHeight w:val="300"/>
      </w:trPr>
      <w:tc>
        <w:tcPr>
          <w:tcW w:w="3250" w:type="dxa"/>
        </w:tcPr>
        <w:p w14:paraId="53F68ACC" w14:textId="0ED0E832" w:rsidR="63653AB8" w:rsidRDefault="63653AB8" w:rsidP="63653AB8">
          <w:pPr>
            <w:pStyle w:val="Header"/>
            <w:ind w:left="-115"/>
          </w:pPr>
        </w:p>
      </w:tc>
      <w:tc>
        <w:tcPr>
          <w:tcW w:w="3250" w:type="dxa"/>
        </w:tcPr>
        <w:p w14:paraId="4BC7B269" w14:textId="7595DE89" w:rsidR="63653AB8" w:rsidRDefault="63653AB8" w:rsidP="63653AB8">
          <w:pPr>
            <w:pStyle w:val="Header"/>
            <w:jc w:val="center"/>
          </w:pPr>
        </w:p>
      </w:tc>
      <w:tc>
        <w:tcPr>
          <w:tcW w:w="3250" w:type="dxa"/>
        </w:tcPr>
        <w:p w14:paraId="2D41EC77" w14:textId="748F0085" w:rsidR="63653AB8" w:rsidRDefault="63653AB8" w:rsidP="63653AB8">
          <w:pPr>
            <w:pStyle w:val="Header"/>
            <w:ind w:right="-115"/>
            <w:jc w:val="right"/>
          </w:pPr>
        </w:p>
      </w:tc>
    </w:tr>
  </w:tbl>
  <w:p w14:paraId="66941A25" w14:textId="4347AEE9" w:rsidR="00E01DDF" w:rsidRDefault="00E01DD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0"/>
      <w:gridCol w:w="3250"/>
      <w:gridCol w:w="3250"/>
    </w:tblGrid>
    <w:tr w:rsidR="63653AB8" w14:paraId="7F7BB89E" w14:textId="77777777" w:rsidTr="63653AB8">
      <w:trPr>
        <w:trHeight w:val="300"/>
      </w:trPr>
      <w:tc>
        <w:tcPr>
          <w:tcW w:w="3250" w:type="dxa"/>
        </w:tcPr>
        <w:p w14:paraId="3F6EFEB7" w14:textId="70A2AC0B" w:rsidR="63653AB8" w:rsidRDefault="63653AB8" w:rsidP="63653AB8">
          <w:pPr>
            <w:pStyle w:val="Header"/>
            <w:ind w:left="-115"/>
          </w:pPr>
        </w:p>
      </w:tc>
      <w:tc>
        <w:tcPr>
          <w:tcW w:w="3250" w:type="dxa"/>
        </w:tcPr>
        <w:p w14:paraId="0D0B4FB0" w14:textId="503BF123" w:rsidR="63653AB8" w:rsidRDefault="63653AB8" w:rsidP="63653AB8">
          <w:pPr>
            <w:pStyle w:val="Header"/>
            <w:jc w:val="center"/>
          </w:pPr>
        </w:p>
      </w:tc>
      <w:tc>
        <w:tcPr>
          <w:tcW w:w="3250" w:type="dxa"/>
        </w:tcPr>
        <w:p w14:paraId="491BB219" w14:textId="3FFFFFD5" w:rsidR="63653AB8" w:rsidRDefault="63653AB8" w:rsidP="63653AB8">
          <w:pPr>
            <w:pStyle w:val="Header"/>
            <w:ind w:right="-115"/>
            <w:jc w:val="right"/>
          </w:pPr>
        </w:p>
      </w:tc>
    </w:tr>
  </w:tbl>
  <w:p w14:paraId="0C7FA3FE" w14:textId="57B25EE8" w:rsidR="00E01DDF" w:rsidRDefault="00E01DD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50"/>
      <w:gridCol w:w="3250"/>
      <w:gridCol w:w="3250"/>
    </w:tblGrid>
    <w:tr w:rsidR="63653AB8" w14:paraId="079AFFBE" w14:textId="77777777" w:rsidTr="63653AB8">
      <w:trPr>
        <w:trHeight w:val="300"/>
      </w:trPr>
      <w:tc>
        <w:tcPr>
          <w:tcW w:w="3250" w:type="dxa"/>
        </w:tcPr>
        <w:p w14:paraId="09995235" w14:textId="224E1C9E" w:rsidR="63653AB8" w:rsidRDefault="63653AB8" w:rsidP="63653AB8">
          <w:pPr>
            <w:pStyle w:val="Header"/>
            <w:ind w:left="-115"/>
          </w:pPr>
        </w:p>
      </w:tc>
      <w:tc>
        <w:tcPr>
          <w:tcW w:w="3250" w:type="dxa"/>
        </w:tcPr>
        <w:p w14:paraId="49DD4E50" w14:textId="79B4DDC7" w:rsidR="63653AB8" w:rsidRDefault="63653AB8" w:rsidP="63653AB8">
          <w:pPr>
            <w:pStyle w:val="Header"/>
            <w:jc w:val="center"/>
          </w:pPr>
        </w:p>
      </w:tc>
      <w:tc>
        <w:tcPr>
          <w:tcW w:w="3250" w:type="dxa"/>
        </w:tcPr>
        <w:p w14:paraId="31D543AB" w14:textId="19BE1282" w:rsidR="63653AB8" w:rsidRDefault="63653AB8" w:rsidP="63653AB8">
          <w:pPr>
            <w:pStyle w:val="Header"/>
            <w:ind w:right="-115"/>
            <w:jc w:val="right"/>
          </w:pPr>
        </w:p>
      </w:tc>
    </w:tr>
  </w:tbl>
  <w:p w14:paraId="0B5D344E" w14:textId="53971ED2" w:rsidR="00E01DDF" w:rsidRDefault="00E01DDF">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63653AB8" w14:paraId="464C350F" w14:textId="77777777" w:rsidTr="63653AB8">
      <w:trPr>
        <w:trHeight w:val="300"/>
      </w:trPr>
      <w:tc>
        <w:tcPr>
          <w:tcW w:w="3245" w:type="dxa"/>
        </w:tcPr>
        <w:p w14:paraId="23C32469" w14:textId="674271A6" w:rsidR="63653AB8" w:rsidRDefault="63653AB8" w:rsidP="63653AB8">
          <w:pPr>
            <w:pStyle w:val="Header"/>
            <w:ind w:left="-115"/>
          </w:pPr>
        </w:p>
      </w:tc>
      <w:tc>
        <w:tcPr>
          <w:tcW w:w="3245" w:type="dxa"/>
        </w:tcPr>
        <w:p w14:paraId="32C94EF4" w14:textId="32120814" w:rsidR="63653AB8" w:rsidRDefault="63653AB8" w:rsidP="63653AB8">
          <w:pPr>
            <w:pStyle w:val="Header"/>
            <w:jc w:val="center"/>
          </w:pPr>
        </w:p>
      </w:tc>
      <w:tc>
        <w:tcPr>
          <w:tcW w:w="3245" w:type="dxa"/>
        </w:tcPr>
        <w:p w14:paraId="32CA2D7D" w14:textId="23024CD3" w:rsidR="63653AB8" w:rsidRDefault="63653AB8" w:rsidP="63653AB8">
          <w:pPr>
            <w:pStyle w:val="Header"/>
            <w:ind w:right="-115"/>
            <w:jc w:val="right"/>
          </w:pPr>
        </w:p>
      </w:tc>
    </w:tr>
  </w:tbl>
  <w:p w14:paraId="3D2BD5FF" w14:textId="5A63150F" w:rsidR="00E01DDF" w:rsidRDefault="00E01D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5080A454"/>
    <w:lvl w:ilvl="0">
      <w:start w:val="1"/>
      <w:numFmt w:val="decimal"/>
      <w:pStyle w:val="ListNumber2"/>
      <w:lvlText w:val="%1."/>
      <w:lvlJc w:val="left"/>
      <w:pPr>
        <w:tabs>
          <w:tab w:val="num" w:pos="643"/>
        </w:tabs>
        <w:ind w:left="643" w:hanging="360"/>
      </w:pPr>
    </w:lvl>
  </w:abstractNum>
  <w:abstractNum w:abstractNumId="1" w15:restartNumberingAfterBreak="0">
    <w:nsid w:val="FFFFFF88"/>
    <w:multiLevelType w:val="singleLevel"/>
    <w:tmpl w:val="DF7C25D4"/>
    <w:lvl w:ilvl="0">
      <w:start w:val="1"/>
      <w:numFmt w:val="decimal"/>
      <w:pStyle w:val="ListNumber"/>
      <w:lvlText w:val="%1."/>
      <w:lvlJc w:val="left"/>
      <w:pPr>
        <w:ind w:left="567" w:hanging="397"/>
      </w:pPr>
      <w:rPr>
        <w:rFonts w:hint="default"/>
        <w:sz w:val="22"/>
        <w:szCs w:val="22"/>
      </w:rPr>
    </w:lvl>
  </w:abstractNum>
  <w:abstractNum w:abstractNumId="2" w15:restartNumberingAfterBreak="0">
    <w:nsid w:val="02272E3E"/>
    <w:multiLevelType w:val="hybridMultilevel"/>
    <w:tmpl w:val="5BB6C144"/>
    <w:lvl w:ilvl="0" w:tplc="0C090019">
      <w:start w:val="1"/>
      <w:numFmt w:val="lowerLetter"/>
      <w:lvlText w:val="%1."/>
      <w:lvlJc w:val="left"/>
      <w:pPr>
        <w:ind w:left="643" w:hanging="360"/>
      </w:pPr>
    </w:lvl>
    <w:lvl w:ilvl="1" w:tplc="0C090019" w:tentative="1">
      <w:start w:val="1"/>
      <w:numFmt w:val="lowerLetter"/>
      <w:lvlText w:val="%2."/>
      <w:lvlJc w:val="left"/>
      <w:pPr>
        <w:ind w:left="1363" w:hanging="360"/>
      </w:pPr>
    </w:lvl>
    <w:lvl w:ilvl="2" w:tplc="0C09001B" w:tentative="1">
      <w:start w:val="1"/>
      <w:numFmt w:val="lowerRoman"/>
      <w:lvlText w:val="%3."/>
      <w:lvlJc w:val="right"/>
      <w:pPr>
        <w:ind w:left="2083" w:hanging="180"/>
      </w:pPr>
    </w:lvl>
    <w:lvl w:ilvl="3" w:tplc="0C09000F" w:tentative="1">
      <w:start w:val="1"/>
      <w:numFmt w:val="decimal"/>
      <w:lvlText w:val="%4."/>
      <w:lvlJc w:val="left"/>
      <w:pPr>
        <w:ind w:left="2803" w:hanging="360"/>
      </w:pPr>
    </w:lvl>
    <w:lvl w:ilvl="4" w:tplc="0C090019" w:tentative="1">
      <w:start w:val="1"/>
      <w:numFmt w:val="lowerLetter"/>
      <w:lvlText w:val="%5."/>
      <w:lvlJc w:val="left"/>
      <w:pPr>
        <w:ind w:left="3523" w:hanging="360"/>
      </w:pPr>
    </w:lvl>
    <w:lvl w:ilvl="5" w:tplc="0C09001B" w:tentative="1">
      <w:start w:val="1"/>
      <w:numFmt w:val="lowerRoman"/>
      <w:lvlText w:val="%6."/>
      <w:lvlJc w:val="right"/>
      <w:pPr>
        <w:ind w:left="4243" w:hanging="180"/>
      </w:pPr>
    </w:lvl>
    <w:lvl w:ilvl="6" w:tplc="0C09000F" w:tentative="1">
      <w:start w:val="1"/>
      <w:numFmt w:val="decimal"/>
      <w:lvlText w:val="%7."/>
      <w:lvlJc w:val="left"/>
      <w:pPr>
        <w:ind w:left="4963" w:hanging="360"/>
      </w:pPr>
    </w:lvl>
    <w:lvl w:ilvl="7" w:tplc="0C090019" w:tentative="1">
      <w:start w:val="1"/>
      <w:numFmt w:val="lowerLetter"/>
      <w:lvlText w:val="%8."/>
      <w:lvlJc w:val="left"/>
      <w:pPr>
        <w:ind w:left="5683" w:hanging="360"/>
      </w:pPr>
    </w:lvl>
    <w:lvl w:ilvl="8" w:tplc="0C09001B" w:tentative="1">
      <w:start w:val="1"/>
      <w:numFmt w:val="lowerRoman"/>
      <w:lvlText w:val="%9."/>
      <w:lvlJc w:val="right"/>
      <w:pPr>
        <w:ind w:left="6403" w:hanging="180"/>
      </w:pPr>
    </w:lvl>
  </w:abstractNum>
  <w:abstractNum w:abstractNumId="3" w15:restartNumberingAfterBreak="0">
    <w:nsid w:val="051F13C4"/>
    <w:multiLevelType w:val="multilevel"/>
    <w:tmpl w:val="3C24BC4C"/>
    <w:lvl w:ilvl="0">
      <w:start w:val="1"/>
      <w:numFmt w:val="decimal"/>
      <w:pStyle w:val="Bulletlevel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0BC064A2"/>
    <w:multiLevelType w:val="hybridMultilevel"/>
    <w:tmpl w:val="F1364548"/>
    <w:lvl w:ilvl="0" w:tplc="FFFFFFFF">
      <w:start w:val="1"/>
      <w:numFmt w:val="lowerLetter"/>
      <w:lvlText w:val="%1."/>
      <w:lvlJc w:val="left"/>
      <w:pPr>
        <w:ind w:left="947" w:hanging="380"/>
      </w:pPr>
      <w:rPr>
        <w:rFonts w:hint="default"/>
        <w:sz w:val="2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5" w15:restartNumberingAfterBreak="0">
    <w:nsid w:val="1406647D"/>
    <w:multiLevelType w:val="hybridMultilevel"/>
    <w:tmpl w:val="B73E74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723" w:hanging="360"/>
      </w:pPr>
      <w:rPr>
        <w:rFonts w:ascii="Courier New" w:hAnsi="Courier New" w:cs="Courier New" w:hint="default"/>
      </w:rPr>
    </w:lvl>
    <w:lvl w:ilvl="2" w:tplc="0C090005" w:tentative="1">
      <w:start w:val="1"/>
      <w:numFmt w:val="bullet"/>
      <w:lvlText w:val=""/>
      <w:lvlJc w:val="left"/>
      <w:pPr>
        <w:ind w:left="2443" w:hanging="360"/>
      </w:pPr>
      <w:rPr>
        <w:rFonts w:ascii="Wingdings" w:hAnsi="Wingdings" w:hint="default"/>
      </w:rPr>
    </w:lvl>
    <w:lvl w:ilvl="3" w:tplc="0C090001" w:tentative="1">
      <w:start w:val="1"/>
      <w:numFmt w:val="bullet"/>
      <w:lvlText w:val=""/>
      <w:lvlJc w:val="left"/>
      <w:pPr>
        <w:ind w:left="3163" w:hanging="360"/>
      </w:pPr>
      <w:rPr>
        <w:rFonts w:ascii="Symbol" w:hAnsi="Symbol" w:hint="default"/>
      </w:rPr>
    </w:lvl>
    <w:lvl w:ilvl="4" w:tplc="0C090003" w:tentative="1">
      <w:start w:val="1"/>
      <w:numFmt w:val="bullet"/>
      <w:lvlText w:val="o"/>
      <w:lvlJc w:val="left"/>
      <w:pPr>
        <w:ind w:left="3883" w:hanging="360"/>
      </w:pPr>
      <w:rPr>
        <w:rFonts w:ascii="Courier New" w:hAnsi="Courier New" w:cs="Courier New" w:hint="default"/>
      </w:rPr>
    </w:lvl>
    <w:lvl w:ilvl="5" w:tplc="0C090005" w:tentative="1">
      <w:start w:val="1"/>
      <w:numFmt w:val="bullet"/>
      <w:lvlText w:val=""/>
      <w:lvlJc w:val="left"/>
      <w:pPr>
        <w:ind w:left="4603" w:hanging="360"/>
      </w:pPr>
      <w:rPr>
        <w:rFonts w:ascii="Wingdings" w:hAnsi="Wingdings" w:hint="default"/>
      </w:rPr>
    </w:lvl>
    <w:lvl w:ilvl="6" w:tplc="0C090001" w:tentative="1">
      <w:start w:val="1"/>
      <w:numFmt w:val="bullet"/>
      <w:lvlText w:val=""/>
      <w:lvlJc w:val="left"/>
      <w:pPr>
        <w:ind w:left="5323" w:hanging="360"/>
      </w:pPr>
      <w:rPr>
        <w:rFonts w:ascii="Symbol" w:hAnsi="Symbol" w:hint="default"/>
      </w:rPr>
    </w:lvl>
    <w:lvl w:ilvl="7" w:tplc="0C090003" w:tentative="1">
      <w:start w:val="1"/>
      <w:numFmt w:val="bullet"/>
      <w:lvlText w:val="o"/>
      <w:lvlJc w:val="left"/>
      <w:pPr>
        <w:ind w:left="6043" w:hanging="360"/>
      </w:pPr>
      <w:rPr>
        <w:rFonts w:ascii="Courier New" w:hAnsi="Courier New" w:cs="Courier New" w:hint="default"/>
      </w:rPr>
    </w:lvl>
    <w:lvl w:ilvl="8" w:tplc="0C090005" w:tentative="1">
      <w:start w:val="1"/>
      <w:numFmt w:val="bullet"/>
      <w:lvlText w:val=""/>
      <w:lvlJc w:val="left"/>
      <w:pPr>
        <w:ind w:left="6763" w:hanging="360"/>
      </w:pPr>
      <w:rPr>
        <w:rFonts w:ascii="Wingdings" w:hAnsi="Wingdings" w:hint="default"/>
      </w:rPr>
    </w:lvl>
  </w:abstractNum>
  <w:abstractNum w:abstractNumId="6" w15:restartNumberingAfterBreak="0">
    <w:nsid w:val="14DB57FA"/>
    <w:multiLevelType w:val="hybridMultilevel"/>
    <w:tmpl w:val="9DF8A284"/>
    <w:lvl w:ilvl="0" w:tplc="0C090019">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7" w15:restartNumberingAfterBreak="0">
    <w:nsid w:val="169C077E"/>
    <w:multiLevelType w:val="hybridMultilevel"/>
    <w:tmpl w:val="B6020BDC"/>
    <w:lvl w:ilvl="0" w:tplc="0C090015">
      <w:start w:val="1"/>
      <w:numFmt w:val="upperLetter"/>
      <w:lvlText w:val="%1."/>
      <w:lvlJc w:val="left"/>
      <w:pPr>
        <w:ind w:left="1021" w:hanging="380"/>
      </w:pPr>
      <w:rPr>
        <w:rFonts w:hint="default"/>
        <w:b w:val="0"/>
        <w:bCs/>
      </w:rPr>
    </w:lvl>
    <w:lvl w:ilvl="1" w:tplc="FFFFFFFF">
      <w:start w:val="1"/>
      <w:numFmt w:val="lowerLetter"/>
      <w:lvlText w:val="%2."/>
      <w:lvlJc w:val="left"/>
      <w:pPr>
        <w:ind w:left="785" w:hanging="360"/>
      </w:pPr>
    </w:lvl>
    <w:lvl w:ilvl="2" w:tplc="FFFFFFFF">
      <w:start w:val="1"/>
      <w:numFmt w:val="lowerRoman"/>
      <w:lvlText w:val="%3."/>
      <w:lvlJc w:val="right"/>
      <w:pPr>
        <w:ind w:left="1456" w:hanging="180"/>
      </w:pPr>
    </w:lvl>
    <w:lvl w:ilvl="3" w:tplc="FFFFFFFF">
      <w:start w:val="1"/>
      <w:numFmt w:val="lowerLetter"/>
      <w:lvlText w:val="%4."/>
      <w:lvlJc w:val="left"/>
      <w:pPr>
        <w:ind w:left="720"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8" w15:restartNumberingAfterBreak="0">
    <w:nsid w:val="18327664"/>
    <w:multiLevelType w:val="multilevel"/>
    <w:tmpl w:val="1A044A64"/>
    <w:lvl w:ilvl="0">
      <w:start w:val="1"/>
      <w:numFmt w:val="decimal"/>
      <w:pStyle w:val="NumberLevel1"/>
      <w:lvlText w:val="%1."/>
      <w:lvlJc w:val="left"/>
      <w:pPr>
        <w:tabs>
          <w:tab w:val="num" w:pos="709"/>
        </w:tabs>
        <w:ind w:left="0" w:hanging="709"/>
      </w:pPr>
      <w:rPr>
        <w:rFonts w:hint="default"/>
        <w:i w:val="0"/>
        <w:iCs/>
        <w:color w:val="auto"/>
        <w:sz w:val="20"/>
      </w:rPr>
    </w:lvl>
    <w:lvl w:ilvl="1">
      <w:start w:val="1"/>
      <w:numFmt w:val="decimal"/>
      <w:pStyle w:val="NumberLevel2"/>
      <w:lvlText w:val="%1.%2."/>
      <w:lvlJc w:val="left"/>
      <w:pPr>
        <w:tabs>
          <w:tab w:val="num" w:pos="709"/>
        </w:tabs>
        <w:ind w:left="0" w:hanging="709"/>
      </w:pPr>
      <w:rPr>
        <w:rFonts w:hint="default"/>
        <w:sz w:val="20"/>
      </w:rPr>
    </w:lvl>
    <w:lvl w:ilvl="2">
      <w:start w:val="1"/>
      <w:numFmt w:val="decimal"/>
      <w:pStyle w:val="NumberLevel3"/>
      <w:lvlText w:val="%1.%2.%3."/>
      <w:lvlJc w:val="left"/>
      <w:pPr>
        <w:tabs>
          <w:tab w:val="num" w:pos="709"/>
        </w:tabs>
        <w:ind w:left="0" w:hanging="709"/>
      </w:pPr>
      <w:rPr>
        <w:rFonts w:hint="default"/>
        <w:sz w:val="20"/>
      </w:rPr>
    </w:lvl>
    <w:lvl w:ilvl="3">
      <w:start w:val="1"/>
      <w:numFmt w:val="lowerLetter"/>
      <w:pStyle w:val="NumberLevel4"/>
      <w:lvlText w:val="%4."/>
      <w:lvlJc w:val="left"/>
      <w:pPr>
        <w:tabs>
          <w:tab w:val="num" w:pos="709"/>
        </w:tabs>
        <w:ind w:left="425" w:hanging="425"/>
      </w:pPr>
      <w:rPr>
        <w:rFonts w:hint="default"/>
      </w:rPr>
    </w:lvl>
    <w:lvl w:ilvl="4">
      <w:start w:val="1"/>
      <w:numFmt w:val="bullet"/>
      <w:pStyle w:val="NumberLevel5"/>
      <w:lvlText w:val=""/>
      <w:lvlJc w:val="left"/>
      <w:pPr>
        <w:tabs>
          <w:tab w:val="num" w:pos="709"/>
        </w:tabs>
        <w:ind w:left="425" w:hanging="425"/>
      </w:pPr>
      <w:rPr>
        <w:rFonts w:ascii="Symbol" w:hAnsi="Symbol" w:hint="default"/>
        <w:b w:val="0"/>
        <w:i w:val="0"/>
        <w:color w:val="auto"/>
      </w:rPr>
    </w:lvl>
    <w:lvl w:ilvl="5">
      <w:start w:val="1"/>
      <w:numFmt w:val="bullet"/>
      <w:pStyle w:val="NumberLevel6"/>
      <w:lvlText w:val="–"/>
      <w:lvlJc w:val="left"/>
      <w:pPr>
        <w:tabs>
          <w:tab w:val="num" w:pos="1418"/>
        </w:tabs>
        <w:ind w:left="851" w:hanging="426"/>
      </w:pPr>
      <w:rPr>
        <w:rFonts w:hint="default"/>
        <w:b w:val="0"/>
        <w:i w:val="0"/>
      </w:rPr>
    </w:lvl>
    <w:lvl w:ilvl="6">
      <w:start w:val="1"/>
      <w:numFmt w:val="bullet"/>
      <w:pStyle w:val="NumberLevel7"/>
      <w:lvlText w:val="–"/>
      <w:lvlJc w:val="left"/>
      <w:pPr>
        <w:tabs>
          <w:tab w:val="num" w:pos="1843"/>
        </w:tabs>
        <w:ind w:left="1276" w:hanging="425"/>
      </w:pPr>
      <w:rPr>
        <w:rFonts w:hint="default"/>
        <w:b w:val="0"/>
        <w:i w:val="0"/>
      </w:rPr>
    </w:lvl>
    <w:lvl w:ilvl="7">
      <w:start w:val="1"/>
      <w:numFmt w:val="bullet"/>
      <w:pStyle w:val="NumberLevel8"/>
      <w:lvlText w:val="–"/>
      <w:lvlJc w:val="left"/>
      <w:pPr>
        <w:tabs>
          <w:tab w:val="num" w:pos="2410"/>
        </w:tabs>
        <w:ind w:left="1701" w:hanging="425"/>
      </w:pPr>
      <w:rPr>
        <w:rFonts w:hint="default"/>
        <w:b w:val="0"/>
        <w:i w:val="0"/>
      </w:rPr>
    </w:lvl>
    <w:lvl w:ilvl="8">
      <w:start w:val="1"/>
      <w:numFmt w:val="bullet"/>
      <w:pStyle w:val="NumberLevel9"/>
      <w:lvlText w:val="–"/>
      <w:lvlJc w:val="left"/>
      <w:pPr>
        <w:tabs>
          <w:tab w:val="num" w:pos="2835"/>
        </w:tabs>
        <w:ind w:left="2126" w:hanging="425"/>
      </w:pPr>
      <w:rPr>
        <w:rFonts w:hint="default"/>
        <w:b w:val="0"/>
        <w:i w:val="0"/>
      </w:rPr>
    </w:lvl>
  </w:abstractNum>
  <w:abstractNum w:abstractNumId="9" w15:restartNumberingAfterBreak="0">
    <w:nsid w:val="196D1DEF"/>
    <w:multiLevelType w:val="multilevel"/>
    <w:tmpl w:val="92541FE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A641EC9"/>
    <w:multiLevelType w:val="hybridMultilevel"/>
    <w:tmpl w:val="CC9E4F1E"/>
    <w:lvl w:ilvl="0" w:tplc="FFFFFFFF">
      <w:start w:val="1"/>
      <w:numFmt w:val="upperLetter"/>
      <w:lvlText w:val="%1."/>
      <w:lvlJc w:val="left"/>
      <w:pPr>
        <w:ind w:left="785"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A6F5073"/>
    <w:multiLevelType w:val="hybridMultilevel"/>
    <w:tmpl w:val="E0AA807E"/>
    <w:lvl w:ilvl="0" w:tplc="0156BE86">
      <w:start w:val="1"/>
      <w:numFmt w:val="decimal"/>
      <w:pStyle w:val="Heading1"/>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B7F1CCD"/>
    <w:multiLevelType w:val="hybridMultilevel"/>
    <w:tmpl w:val="E8F486E6"/>
    <w:lvl w:ilvl="0" w:tplc="3CF4A554">
      <w:start w:val="1"/>
      <w:numFmt w:val="lowerRoman"/>
      <w:pStyle w:val="Listnumber3tables"/>
      <w:lvlText w:val="%1."/>
      <w:lvlJc w:val="right"/>
      <w:pPr>
        <w:ind w:left="1474" w:hanging="227"/>
      </w:pPr>
      <w:rPr>
        <w:rFonts w:hint="default"/>
      </w:rPr>
    </w:lvl>
    <w:lvl w:ilvl="1" w:tplc="0C090019" w:tentative="1">
      <w:start w:val="1"/>
      <w:numFmt w:val="lowerLetter"/>
      <w:lvlText w:val="%2."/>
      <w:lvlJc w:val="left"/>
      <w:pPr>
        <w:ind w:left="2081" w:hanging="360"/>
      </w:pPr>
    </w:lvl>
    <w:lvl w:ilvl="2" w:tplc="0C09001B" w:tentative="1">
      <w:start w:val="1"/>
      <w:numFmt w:val="lowerRoman"/>
      <w:lvlText w:val="%3."/>
      <w:lvlJc w:val="right"/>
      <w:pPr>
        <w:ind w:left="2801" w:hanging="180"/>
      </w:pPr>
    </w:lvl>
    <w:lvl w:ilvl="3" w:tplc="0C09000F" w:tentative="1">
      <w:start w:val="1"/>
      <w:numFmt w:val="decimal"/>
      <w:lvlText w:val="%4."/>
      <w:lvlJc w:val="left"/>
      <w:pPr>
        <w:ind w:left="3521" w:hanging="360"/>
      </w:pPr>
    </w:lvl>
    <w:lvl w:ilvl="4" w:tplc="0C090019" w:tentative="1">
      <w:start w:val="1"/>
      <w:numFmt w:val="lowerLetter"/>
      <w:lvlText w:val="%5."/>
      <w:lvlJc w:val="left"/>
      <w:pPr>
        <w:ind w:left="4241" w:hanging="360"/>
      </w:pPr>
    </w:lvl>
    <w:lvl w:ilvl="5" w:tplc="0C09001B" w:tentative="1">
      <w:start w:val="1"/>
      <w:numFmt w:val="lowerRoman"/>
      <w:lvlText w:val="%6."/>
      <w:lvlJc w:val="right"/>
      <w:pPr>
        <w:ind w:left="4961" w:hanging="180"/>
      </w:pPr>
    </w:lvl>
    <w:lvl w:ilvl="6" w:tplc="0C09000F" w:tentative="1">
      <w:start w:val="1"/>
      <w:numFmt w:val="decimal"/>
      <w:lvlText w:val="%7."/>
      <w:lvlJc w:val="left"/>
      <w:pPr>
        <w:ind w:left="5681" w:hanging="360"/>
      </w:pPr>
    </w:lvl>
    <w:lvl w:ilvl="7" w:tplc="0C090019" w:tentative="1">
      <w:start w:val="1"/>
      <w:numFmt w:val="lowerLetter"/>
      <w:lvlText w:val="%8."/>
      <w:lvlJc w:val="left"/>
      <w:pPr>
        <w:ind w:left="6401" w:hanging="360"/>
      </w:pPr>
    </w:lvl>
    <w:lvl w:ilvl="8" w:tplc="0C09001B" w:tentative="1">
      <w:start w:val="1"/>
      <w:numFmt w:val="lowerRoman"/>
      <w:lvlText w:val="%9."/>
      <w:lvlJc w:val="right"/>
      <w:pPr>
        <w:ind w:left="7121" w:hanging="180"/>
      </w:pPr>
    </w:lvl>
  </w:abstractNum>
  <w:abstractNum w:abstractNumId="13" w15:restartNumberingAfterBreak="0">
    <w:nsid w:val="1CBC0DE2"/>
    <w:multiLevelType w:val="hybridMultilevel"/>
    <w:tmpl w:val="A8320AD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1F606950"/>
    <w:multiLevelType w:val="hybridMultilevel"/>
    <w:tmpl w:val="EC4A7AA0"/>
    <w:lvl w:ilvl="0" w:tplc="0C090019">
      <w:start w:val="1"/>
      <w:numFmt w:val="lowerLetter"/>
      <w:lvlText w:val="%1."/>
      <w:lvlJc w:val="left"/>
      <w:pPr>
        <w:ind w:left="643" w:hanging="360"/>
      </w:pPr>
    </w:lvl>
    <w:lvl w:ilvl="1" w:tplc="0C090019" w:tentative="1">
      <w:start w:val="1"/>
      <w:numFmt w:val="lowerLetter"/>
      <w:lvlText w:val="%2."/>
      <w:lvlJc w:val="left"/>
      <w:pPr>
        <w:ind w:left="1363" w:hanging="360"/>
      </w:pPr>
    </w:lvl>
    <w:lvl w:ilvl="2" w:tplc="0C09001B" w:tentative="1">
      <w:start w:val="1"/>
      <w:numFmt w:val="lowerRoman"/>
      <w:lvlText w:val="%3."/>
      <w:lvlJc w:val="right"/>
      <w:pPr>
        <w:ind w:left="2083" w:hanging="180"/>
      </w:pPr>
    </w:lvl>
    <w:lvl w:ilvl="3" w:tplc="0C09000F" w:tentative="1">
      <w:start w:val="1"/>
      <w:numFmt w:val="decimal"/>
      <w:lvlText w:val="%4."/>
      <w:lvlJc w:val="left"/>
      <w:pPr>
        <w:ind w:left="2803" w:hanging="360"/>
      </w:pPr>
    </w:lvl>
    <w:lvl w:ilvl="4" w:tplc="0C090019" w:tentative="1">
      <w:start w:val="1"/>
      <w:numFmt w:val="lowerLetter"/>
      <w:lvlText w:val="%5."/>
      <w:lvlJc w:val="left"/>
      <w:pPr>
        <w:ind w:left="3523" w:hanging="360"/>
      </w:pPr>
    </w:lvl>
    <w:lvl w:ilvl="5" w:tplc="0C09001B" w:tentative="1">
      <w:start w:val="1"/>
      <w:numFmt w:val="lowerRoman"/>
      <w:lvlText w:val="%6."/>
      <w:lvlJc w:val="right"/>
      <w:pPr>
        <w:ind w:left="4243" w:hanging="180"/>
      </w:pPr>
    </w:lvl>
    <w:lvl w:ilvl="6" w:tplc="0C09000F" w:tentative="1">
      <w:start w:val="1"/>
      <w:numFmt w:val="decimal"/>
      <w:lvlText w:val="%7."/>
      <w:lvlJc w:val="left"/>
      <w:pPr>
        <w:ind w:left="4963" w:hanging="360"/>
      </w:pPr>
    </w:lvl>
    <w:lvl w:ilvl="7" w:tplc="0C090019" w:tentative="1">
      <w:start w:val="1"/>
      <w:numFmt w:val="lowerLetter"/>
      <w:lvlText w:val="%8."/>
      <w:lvlJc w:val="left"/>
      <w:pPr>
        <w:ind w:left="5683" w:hanging="360"/>
      </w:pPr>
    </w:lvl>
    <w:lvl w:ilvl="8" w:tplc="0C09001B" w:tentative="1">
      <w:start w:val="1"/>
      <w:numFmt w:val="lowerRoman"/>
      <w:lvlText w:val="%9."/>
      <w:lvlJc w:val="right"/>
      <w:pPr>
        <w:ind w:left="6403" w:hanging="180"/>
      </w:pPr>
    </w:lvl>
  </w:abstractNum>
  <w:abstractNum w:abstractNumId="15" w15:restartNumberingAfterBreak="0">
    <w:nsid w:val="26EB37DF"/>
    <w:multiLevelType w:val="hybridMultilevel"/>
    <w:tmpl w:val="70166ACE"/>
    <w:lvl w:ilvl="0" w:tplc="0C090019">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6" w15:restartNumberingAfterBreak="0">
    <w:nsid w:val="2C9462EE"/>
    <w:multiLevelType w:val="multilevel"/>
    <w:tmpl w:val="822680B4"/>
    <w:lvl w:ilvl="0">
      <w:start w:val="1"/>
      <w:numFmt w:val="decimal"/>
      <w:pStyle w:val="SWABullet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2EC87B8A"/>
    <w:multiLevelType w:val="hybridMultilevel"/>
    <w:tmpl w:val="54F823AE"/>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2079" w:hanging="360"/>
      </w:pPr>
      <w:rPr>
        <w:rFonts w:ascii="Courier New" w:hAnsi="Courier New" w:cs="Courier New" w:hint="default"/>
      </w:rPr>
    </w:lvl>
    <w:lvl w:ilvl="2" w:tplc="0C090005" w:tentative="1">
      <w:start w:val="1"/>
      <w:numFmt w:val="bullet"/>
      <w:lvlText w:val=""/>
      <w:lvlJc w:val="left"/>
      <w:pPr>
        <w:ind w:left="2799" w:hanging="360"/>
      </w:pPr>
      <w:rPr>
        <w:rFonts w:ascii="Wingdings" w:hAnsi="Wingdings" w:hint="default"/>
      </w:rPr>
    </w:lvl>
    <w:lvl w:ilvl="3" w:tplc="0C090001" w:tentative="1">
      <w:start w:val="1"/>
      <w:numFmt w:val="bullet"/>
      <w:lvlText w:val=""/>
      <w:lvlJc w:val="left"/>
      <w:pPr>
        <w:ind w:left="3519" w:hanging="360"/>
      </w:pPr>
      <w:rPr>
        <w:rFonts w:ascii="Symbol" w:hAnsi="Symbol" w:hint="default"/>
      </w:rPr>
    </w:lvl>
    <w:lvl w:ilvl="4" w:tplc="0C090003" w:tentative="1">
      <w:start w:val="1"/>
      <w:numFmt w:val="bullet"/>
      <w:lvlText w:val="o"/>
      <w:lvlJc w:val="left"/>
      <w:pPr>
        <w:ind w:left="4239" w:hanging="360"/>
      </w:pPr>
      <w:rPr>
        <w:rFonts w:ascii="Courier New" w:hAnsi="Courier New" w:cs="Courier New" w:hint="default"/>
      </w:rPr>
    </w:lvl>
    <w:lvl w:ilvl="5" w:tplc="0C090005" w:tentative="1">
      <w:start w:val="1"/>
      <w:numFmt w:val="bullet"/>
      <w:lvlText w:val=""/>
      <w:lvlJc w:val="left"/>
      <w:pPr>
        <w:ind w:left="4959" w:hanging="360"/>
      </w:pPr>
      <w:rPr>
        <w:rFonts w:ascii="Wingdings" w:hAnsi="Wingdings" w:hint="default"/>
      </w:rPr>
    </w:lvl>
    <w:lvl w:ilvl="6" w:tplc="0C090001" w:tentative="1">
      <w:start w:val="1"/>
      <w:numFmt w:val="bullet"/>
      <w:lvlText w:val=""/>
      <w:lvlJc w:val="left"/>
      <w:pPr>
        <w:ind w:left="5679" w:hanging="360"/>
      </w:pPr>
      <w:rPr>
        <w:rFonts w:ascii="Symbol" w:hAnsi="Symbol" w:hint="default"/>
      </w:rPr>
    </w:lvl>
    <w:lvl w:ilvl="7" w:tplc="0C090003" w:tentative="1">
      <w:start w:val="1"/>
      <w:numFmt w:val="bullet"/>
      <w:lvlText w:val="o"/>
      <w:lvlJc w:val="left"/>
      <w:pPr>
        <w:ind w:left="6399" w:hanging="360"/>
      </w:pPr>
      <w:rPr>
        <w:rFonts w:ascii="Courier New" w:hAnsi="Courier New" w:cs="Courier New" w:hint="default"/>
      </w:rPr>
    </w:lvl>
    <w:lvl w:ilvl="8" w:tplc="0C090005" w:tentative="1">
      <w:start w:val="1"/>
      <w:numFmt w:val="bullet"/>
      <w:lvlText w:val=""/>
      <w:lvlJc w:val="left"/>
      <w:pPr>
        <w:ind w:left="7119" w:hanging="360"/>
      </w:pPr>
      <w:rPr>
        <w:rFonts w:ascii="Wingdings" w:hAnsi="Wingdings" w:hint="default"/>
      </w:rPr>
    </w:lvl>
  </w:abstractNum>
  <w:abstractNum w:abstractNumId="18" w15:restartNumberingAfterBreak="0">
    <w:nsid w:val="30B420A2"/>
    <w:multiLevelType w:val="hybridMultilevel"/>
    <w:tmpl w:val="BE5EC938"/>
    <w:lvl w:ilvl="0" w:tplc="FFFFFFFF">
      <w:start w:val="1"/>
      <w:numFmt w:val="upperLetter"/>
      <w:lvlText w:val="%1."/>
      <w:lvlJc w:val="left"/>
      <w:pPr>
        <w:ind w:left="1021" w:hanging="380"/>
      </w:pPr>
      <w:rPr>
        <w:rFonts w:hint="default"/>
        <w:b w:val="0"/>
        <w:bCs/>
      </w:rPr>
    </w:lvl>
    <w:lvl w:ilvl="1" w:tplc="FFFFFFFF">
      <w:start w:val="1"/>
      <w:numFmt w:val="lowerLetter"/>
      <w:lvlText w:val="%2."/>
      <w:lvlJc w:val="left"/>
      <w:pPr>
        <w:ind w:left="785" w:hanging="360"/>
      </w:pPr>
    </w:lvl>
    <w:lvl w:ilvl="2" w:tplc="FFFFFFFF">
      <w:start w:val="1"/>
      <w:numFmt w:val="lowerRoman"/>
      <w:lvlText w:val="%3."/>
      <w:lvlJc w:val="right"/>
      <w:pPr>
        <w:ind w:left="1456" w:hanging="180"/>
      </w:pPr>
    </w:lvl>
    <w:lvl w:ilvl="3" w:tplc="FFFFFFFF">
      <w:start w:val="1"/>
      <w:numFmt w:val="upperLetter"/>
      <w:lvlText w:val="%4."/>
      <w:lvlJc w:val="left"/>
      <w:pPr>
        <w:ind w:left="720"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19" w15:restartNumberingAfterBreak="0">
    <w:nsid w:val="31E3172F"/>
    <w:multiLevelType w:val="hybridMultilevel"/>
    <w:tmpl w:val="47BA2408"/>
    <w:lvl w:ilvl="0" w:tplc="0C090019">
      <w:start w:val="1"/>
      <w:numFmt w:val="lowerLetter"/>
      <w:lvlText w:val="%1."/>
      <w:lvlJc w:val="left"/>
      <w:pPr>
        <w:ind w:left="643" w:hanging="360"/>
      </w:pPr>
    </w:lvl>
    <w:lvl w:ilvl="1" w:tplc="0C090019" w:tentative="1">
      <w:start w:val="1"/>
      <w:numFmt w:val="lowerLetter"/>
      <w:lvlText w:val="%2."/>
      <w:lvlJc w:val="left"/>
      <w:pPr>
        <w:ind w:left="1363" w:hanging="360"/>
      </w:pPr>
    </w:lvl>
    <w:lvl w:ilvl="2" w:tplc="0C09001B" w:tentative="1">
      <w:start w:val="1"/>
      <w:numFmt w:val="lowerRoman"/>
      <w:lvlText w:val="%3."/>
      <w:lvlJc w:val="right"/>
      <w:pPr>
        <w:ind w:left="2083" w:hanging="180"/>
      </w:pPr>
    </w:lvl>
    <w:lvl w:ilvl="3" w:tplc="0C09000F" w:tentative="1">
      <w:start w:val="1"/>
      <w:numFmt w:val="decimal"/>
      <w:lvlText w:val="%4."/>
      <w:lvlJc w:val="left"/>
      <w:pPr>
        <w:ind w:left="2803" w:hanging="360"/>
      </w:pPr>
    </w:lvl>
    <w:lvl w:ilvl="4" w:tplc="0C090019" w:tentative="1">
      <w:start w:val="1"/>
      <w:numFmt w:val="lowerLetter"/>
      <w:lvlText w:val="%5."/>
      <w:lvlJc w:val="left"/>
      <w:pPr>
        <w:ind w:left="3523" w:hanging="360"/>
      </w:pPr>
    </w:lvl>
    <w:lvl w:ilvl="5" w:tplc="0C09001B" w:tentative="1">
      <w:start w:val="1"/>
      <w:numFmt w:val="lowerRoman"/>
      <w:lvlText w:val="%6."/>
      <w:lvlJc w:val="right"/>
      <w:pPr>
        <w:ind w:left="4243" w:hanging="180"/>
      </w:pPr>
    </w:lvl>
    <w:lvl w:ilvl="6" w:tplc="0C09000F" w:tentative="1">
      <w:start w:val="1"/>
      <w:numFmt w:val="decimal"/>
      <w:lvlText w:val="%7."/>
      <w:lvlJc w:val="left"/>
      <w:pPr>
        <w:ind w:left="4963" w:hanging="360"/>
      </w:pPr>
    </w:lvl>
    <w:lvl w:ilvl="7" w:tplc="0C090019" w:tentative="1">
      <w:start w:val="1"/>
      <w:numFmt w:val="lowerLetter"/>
      <w:lvlText w:val="%8."/>
      <w:lvlJc w:val="left"/>
      <w:pPr>
        <w:ind w:left="5683" w:hanging="360"/>
      </w:pPr>
    </w:lvl>
    <w:lvl w:ilvl="8" w:tplc="0C09001B" w:tentative="1">
      <w:start w:val="1"/>
      <w:numFmt w:val="lowerRoman"/>
      <w:lvlText w:val="%9."/>
      <w:lvlJc w:val="right"/>
      <w:pPr>
        <w:ind w:left="6403" w:hanging="180"/>
      </w:pPr>
    </w:lvl>
  </w:abstractNum>
  <w:abstractNum w:abstractNumId="20" w15:restartNumberingAfterBreak="0">
    <w:nsid w:val="327318BA"/>
    <w:multiLevelType w:val="hybridMultilevel"/>
    <w:tmpl w:val="9A008A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2812B9F"/>
    <w:multiLevelType w:val="hybridMultilevel"/>
    <w:tmpl w:val="FE689CF8"/>
    <w:lvl w:ilvl="0" w:tplc="0C090015">
      <w:start w:val="1"/>
      <w:numFmt w:val="upperLetter"/>
      <w:lvlText w:val="%1."/>
      <w:lvlJc w:val="left"/>
      <w:pPr>
        <w:ind w:left="1021" w:hanging="380"/>
      </w:pPr>
      <w:rPr>
        <w:rFonts w:hint="default"/>
        <w:b w:val="0"/>
        <w:bCs/>
      </w:rPr>
    </w:lvl>
    <w:lvl w:ilvl="1" w:tplc="FFFFFFFF">
      <w:start w:val="1"/>
      <w:numFmt w:val="lowerLetter"/>
      <w:lvlText w:val="%2."/>
      <w:lvlJc w:val="left"/>
      <w:pPr>
        <w:ind w:left="785" w:hanging="360"/>
      </w:pPr>
    </w:lvl>
    <w:lvl w:ilvl="2" w:tplc="FFFFFFFF">
      <w:start w:val="1"/>
      <w:numFmt w:val="lowerRoman"/>
      <w:lvlText w:val="%3."/>
      <w:lvlJc w:val="right"/>
      <w:pPr>
        <w:ind w:left="1456" w:hanging="180"/>
      </w:pPr>
    </w:lvl>
    <w:lvl w:ilvl="3" w:tplc="FFFFFFFF">
      <w:start w:val="1"/>
      <w:numFmt w:val="lowerLetter"/>
      <w:lvlText w:val="%4."/>
      <w:lvlJc w:val="left"/>
      <w:pPr>
        <w:ind w:left="720"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22" w15:restartNumberingAfterBreak="0">
    <w:nsid w:val="37C421C7"/>
    <w:multiLevelType w:val="hybridMultilevel"/>
    <w:tmpl w:val="7C60CCEA"/>
    <w:lvl w:ilvl="0" w:tplc="FFFFFFFF">
      <w:start w:val="1"/>
      <w:numFmt w:val="lowerLetter"/>
      <w:lvlText w:val="%1."/>
      <w:lvlJc w:val="left"/>
      <w:pPr>
        <w:ind w:left="947" w:hanging="380"/>
      </w:pPr>
      <w:rPr>
        <w:rFonts w:hint="default"/>
        <w:sz w:val="2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3" w15:restartNumberingAfterBreak="0">
    <w:nsid w:val="37F14999"/>
    <w:multiLevelType w:val="hybridMultilevel"/>
    <w:tmpl w:val="6C6021F4"/>
    <w:lvl w:ilvl="0" w:tplc="0C090019">
      <w:start w:val="1"/>
      <w:numFmt w:val="lowerLetter"/>
      <w:lvlText w:val="%1."/>
      <w:lvlJc w:val="left"/>
      <w:pPr>
        <w:ind w:left="643" w:hanging="360"/>
      </w:pPr>
    </w:lvl>
    <w:lvl w:ilvl="1" w:tplc="0C090019" w:tentative="1">
      <w:start w:val="1"/>
      <w:numFmt w:val="lowerLetter"/>
      <w:lvlText w:val="%2."/>
      <w:lvlJc w:val="left"/>
      <w:pPr>
        <w:ind w:left="1363" w:hanging="360"/>
      </w:pPr>
    </w:lvl>
    <w:lvl w:ilvl="2" w:tplc="0C09001B" w:tentative="1">
      <w:start w:val="1"/>
      <w:numFmt w:val="lowerRoman"/>
      <w:lvlText w:val="%3."/>
      <w:lvlJc w:val="right"/>
      <w:pPr>
        <w:ind w:left="2083" w:hanging="180"/>
      </w:pPr>
    </w:lvl>
    <w:lvl w:ilvl="3" w:tplc="0C09000F" w:tentative="1">
      <w:start w:val="1"/>
      <w:numFmt w:val="decimal"/>
      <w:lvlText w:val="%4."/>
      <w:lvlJc w:val="left"/>
      <w:pPr>
        <w:ind w:left="2803" w:hanging="360"/>
      </w:pPr>
    </w:lvl>
    <w:lvl w:ilvl="4" w:tplc="0C090019" w:tentative="1">
      <w:start w:val="1"/>
      <w:numFmt w:val="lowerLetter"/>
      <w:lvlText w:val="%5."/>
      <w:lvlJc w:val="left"/>
      <w:pPr>
        <w:ind w:left="3523" w:hanging="360"/>
      </w:pPr>
    </w:lvl>
    <w:lvl w:ilvl="5" w:tplc="0C09001B" w:tentative="1">
      <w:start w:val="1"/>
      <w:numFmt w:val="lowerRoman"/>
      <w:lvlText w:val="%6."/>
      <w:lvlJc w:val="right"/>
      <w:pPr>
        <w:ind w:left="4243" w:hanging="180"/>
      </w:pPr>
    </w:lvl>
    <w:lvl w:ilvl="6" w:tplc="0C09000F" w:tentative="1">
      <w:start w:val="1"/>
      <w:numFmt w:val="decimal"/>
      <w:lvlText w:val="%7."/>
      <w:lvlJc w:val="left"/>
      <w:pPr>
        <w:ind w:left="4963" w:hanging="360"/>
      </w:pPr>
    </w:lvl>
    <w:lvl w:ilvl="7" w:tplc="0C090019" w:tentative="1">
      <w:start w:val="1"/>
      <w:numFmt w:val="lowerLetter"/>
      <w:lvlText w:val="%8."/>
      <w:lvlJc w:val="left"/>
      <w:pPr>
        <w:ind w:left="5683" w:hanging="360"/>
      </w:pPr>
    </w:lvl>
    <w:lvl w:ilvl="8" w:tplc="0C09001B" w:tentative="1">
      <w:start w:val="1"/>
      <w:numFmt w:val="lowerRoman"/>
      <w:lvlText w:val="%9."/>
      <w:lvlJc w:val="right"/>
      <w:pPr>
        <w:ind w:left="6403" w:hanging="180"/>
      </w:pPr>
    </w:lvl>
  </w:abstractNum>
  <w:abstractNum w:abstractNumId="24" w15:restartNumberingAfterBreak="0">
    <w:nsid w:val="39CD370E"/>
    <w:multiLevelType w:val="hybridMultilevel"/>
    <w:tmpl w:val="840C3648"/>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5" w15:restartNumberingAfterBreak="0">
    <w:nsid w:val="3F00157B"/>
    <w:multiLevelType w:val="hybridMultilevel"/>
    <w:tmpl w:val="7C60CCEA"/>
    <w:lvl w:ilvl="0" w:tplc="FFFFFFFF">
      <w:start w:val="1"/>
      <w:numFmt w:val="lowerLetter"/>
      <w:lvlText w:val="%1."/>
      <w:lvlJc w:val="left"/>
      <w:pPr>
        <w:ind w:left="947" w:hanging="380"/>
      </w:pPr>
      <w:rPr>
        <w:rFonts w:hint="default"/>
        <w:sz w:val="2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6" w15:restartNumberingAfterBreak="0">
    <w:nsid w:val="42DF3A2B"/>
    <w:multiLevelType w:val="hybridMultilevel"/>
    <w:tmpl w:val="22A67ACE"/>
    <w:lvl w:ilvl="0" w:tplc="C526D47A">
      <w:start w:val="1"/>
      <w:numFmt w:val="decimal"/>
      <w:pStyle w:val="Listnumbertables"/>
      <w:lvlText w:val="%1."/>
      <w:lvlJc w:val="left"/>
      <w:pPr>
        <w:ind w:left="567" w:hanging="397"/>
      </w:pPr>
      <w:rPr>
        <w:rFonts w:hint="default"/>
        <w:b w:val="0"/>
        <w:bCs/>
        <w:sz w:val="20"/>
        <w:szCs w:val="22"/>
      </w:rPr>
    </w:lvl>
    <w:lvl w:ilvl="1" w:tplc="0C090019" w:tentative="1">
      <w:start w:val="1"/>
      <w:numFmt w:val="lowerLetter"/>
      <w:lvlText w:val="%2."/>
      <w:lvlJc w:val="left"/>
      <w:pPr>
        <w:ind w:left="1610" w:hanging="360"/>
      </w:pPr>
    </w:lvl>
    <w:lvl w:ilvl="2" w:tplc="0C09001B" w:tentative="1">
      <w:start w:val="1"/>
      <w:numFmt w:val="lowerRoman"/>
      <w:lvlText w:val="%3."/>
      <w:lvlJc w:val="right"/>
      <w:pPr>
        <w:ind w:left="2330" w:hanging="180"/>
      </w:pPr>
    </w:lvl>
    <w:lvl w:ilvl="3" w:tplc="0C09000F" w:tentative="1">
      <w:start w:val="1"/>
      <w:numFmt w:val="decimal"/>
      <w:lvlText w:val="%4."/>
      <w:lvlJc w:val="left"/>
      <w:pPr>
        <w:ind w:left="3050" w:hanging="360"/>
      </w:pPr>
    </w:lvl>
    <w:lvl w:ilvl="4" w:tplc="0C090019" w:tentative="1">
      <w:start w:val="1"/>
      <w:numFmt w:val="lowerLetter"/>
      <w:lvlText w:val="%5."/>
      <w:lvlJc w:val="left"/>
      <w:pPr>
        <w:ind w:left="3770" w:hanging="360"/>
      </w:pPr>
    </w:lvl>
    <w:lvl w:ilvl="5" w:tplc="0C09001B" w:tentative="1">
      <w:start w:val="1"/>
      <w:numFmt w:val="lowerRoman"/>
      <w:lvlText w:val="%6."/>
      <w:lvlJc w:val="right"/>
      <w:pPr>
        <w:ind w:left="4490" w:hanging="180"/>
      </w:pPr>
    </w:lvl>
    <w:lvl w:ilvl="6" w:tplc="0C09000F" w:tentative="1">
      <w:start w:val="1"/>
      <w:numFmt w:val="decimal"/>
      <w:lvlText w:val="%7."/>
      <w:lvlJc w:val="left"/>
      <w:pPr>
        <w:ind w:left="5210" w:hanging="360"/>
      </w:pPr>
    </w:lvl>
    <w:lvl w:ilvl="7" w:tplc="0C090019" w:tentative="1">
      <w:start w:val="1"/>
      <w:numFmt w:val="lowerLetter"/>
      <w:lvlText w:val="%8."/>
      <w:lvlJc w:val="left"/>
      <w:pPr>
        <w:ind w:left="5930" w:hanging="360"/>
      </w:pPr>
    </w:lvl>
    <w:lvl w:ilvl="8" w:tplc="0C09001B" w:tentative="1">
      <w:start w:val="1"/>
      <w:numFmt w:val="lowerRoman"/>
      <w:lvlText w:val="%9."/>
      <w:lvlJc w:val="right"/>
      <w:pPr>
        <w:ind w:left="6650" w:hanging="180"/>
      </w:pPr>
    </w:lvl>
  </w:abstractNum>
  <w:abstractNum w:abstractNumId="27" w15:restartNumberingAfterBreak="0">
    <w:nsid w:val="46002F54"/>
    <w:multiLevelType w:val="multilevel"/>
    <w:tmpl w:val="BE2AE52A"/>
    <w:lvl w:ilvl="0">
      <w:start w:val="1"/>
      <w:numFmt w:val="decimal"/>
      <w:pStyle w:val="NumberingSWA"/>
      <w:lvlText w:val="%1."/>
      <w:lvlJc w:val="left"/>
      <w:pPr>
        <w:ind w:left="3196" w:hanging="3054"/>
      </w:pPr>
      <w:rPr>
        <w:rFonts w:hint="default"/>
        <w:b w:val="0"/>
        <w:bCs/>
        <w:sz w:val="22"/>
        <w:szCs w:val="22"/>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8B752A7"/>
    <w:multiLevelType w:val="hybridMultilevel"/>
    <w:tmpl w:val="240E93EA"/>
    <w:lvl w:ilvl="0" w:tplc="0C090019">
      <w:start w:val="1"/>
      <w:numFmt w:val="lowerLetter"/>
      <w:lvlText w:val="%1."/>
      <w:lvlJc w:val="left"/>
      <w:pPr>
        <w:ind w:left="643" w:hanging="360"/>
      </w:pPr>
    </w:lvl>
    <w:lvl w:ilvl="1" w:tplc="0C090019" w:tentative="1">
      <w:start w:val="1"/>
      <w:numFmt w:val="lowerLetter"/>
      <w:lvlText w:val="%2."/>
      <w:lvlJc w:val="left"/>
      <w:pPr>
        <w:ind w:left="1363" w:hanging="360"/>
      </w:pPr>
    </w:lvl>
    <w:lvl w:ilvl="2" w:tplc="0C09001B" w:tentative="1">
      <w:start w:val="1"/>
      <w:numFmt w:val="lowerRoman"/>
      <w:lvlText w:val="%3."/>
      <w:lvlJc w:val="right"/>
      <w:pPr>
        <w:ind w:left="2083" w:hanging="180"/>
      </w:pPr>
    </w:lvl>
    <w:lvl w:ilvl="3" w:tplc="0C09000F" w:tentative="1">
      <w:start w:val="1"/>
      <w:numFmt w:val="decimal"/>
      <w:lvlText w:val="%4."/>
      <w:lvlJc w:val="left"/>
      <w:pPr>
        <w:ind w:left="2803" w:hanging="360"/>
      </w:pPr>
    </w:lvl>
    <w:lvl w:ilvl="4" w:tplc="0C090019" w:tentative="1">
      <w:start w:val="1"/>
      <w:numFmt w:val="lowerLetter"/>
      <w:lvlText w:val="%5."/>
      <w:lvlJc w:val="left"/>
      <w:pPr>
        <w:ind w:left="3523" w:hanging="360"/>
      </w:pPr>
    </w:lvl>
    <w:lvl w:ilvl="5" w:tplc="0C09001B" w:tentative="1">
      <w:start w:val="1"/>
      <w:numFmt w:val="lowerRoman"/>
      <w:lvlText w:val="%6."/>
      <w:lvlJc w:val="right"/>
      <w:pPr>
        <w:ind w:left="4243" w:hanging="180"/>
      </w:pPr>
    </w:lvl>
    <w:lvl w:ilvl="6" w:tplc="0C09000F" w:tentative="1">
      <w:start w:val="1"/>
      <w:numFmt w:val="decimal"/>
      <w:lvlText w:val="%7."/>
      <w:lvlJc w:val="left"/>
      <w:pPr>
        <w:ind w:left="4963" w:hanging="360"/>
      </w:pPr>
    </w:lvl>
    <w:lvl w:ilvl="7" w:tplc="0C090019" w:tentative="1">
      <w:start w:val="1"/>
      <w:numFmt w:val="lowerLetter"/>
      <w:lvlText w:val="%8."/>
      <w:lvlJc w:val="left"/>
      <w:pPr>
        <w:ind w:left="5683" w:hanging="360"/>
      </w:pPr>
    </w:lvl>
    <w:lvl w:ilvl="8" w:tplc="0C09001B" w:tentative="1">
      <w:start w:val="1"/>
      <w:numFmt w:val="lowerRoman"/>
      <w:lvlText w:val="%9."/>
      <w:lvlJc w:val="right"/>
      <w:pPr>
        <w:ind w:left="6403" w:hanging="180"/>
      </w:pPr>
    </w:lvl>
  </w:abstractNum>
  <w:abstractNum w:abstractNumId="29" w15:restartNumberingAfterBreak="0">
    <w:nsid w:val="492026E5"/>
    <w:multiLevelType w:val="hybridMultilevel"/>
    <w:tmpl w:val="CC9E4F1E"/>
    <w:lvl w:ilvl="0" w:tplc="0C090015">
      <w:start w:val="1"/>
      <w:numFmt w:val="upperLetter"/>
      <w:lvlText w:val="%1."/>
      <w:lvlJc w:val="left"/>
      <w:pPr>
        <w:ind w:left="785"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4A555E26"/>
    <w:multiLevelType w:val="hybridMultilevel"/>
    <w:tmpl w:val="59D0F5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AED2DCF"/>
    <w:multiLevelType w:val="hybridMultilevel"/>
    <w:tmpl w:val="21F879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CB4517F"/>
    <w:multiLevelType w:val="hybridMultilevel"/>
    <w:tmpl w:val="47DC1410"/>
    <w:lvl w:ilvl="0" w:tplc="0A26AFB8">
      <w:start w:val="1"/>
      <w:numFmt w:val="lowerLetter"/>
      <w:lvlText w:val="%1."/>
      <w:lvlJc w:val="left"/>
      <w:pPr>
        <w:ind w:left="1440" w:hanging="360"/>
      </w:pPr>
      <w:rPr>
        <w:color w:val="FFFFFF" w:themeColor="background1"/>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3" w15:restartNumberingAfterBreak="0">
    <w:nsid w:val="554458A5"/>
    <w:multiLevelType w:val="multilevel"/>
    <w:tmpl w:val="319460B8"/>
    <w:lvl w:ilvl="0">
      <w:start w:val="1"/>
      <w:numFmt w:val="bullet"/>
      <w:lvlText w:val=""/>
      <w:lvlJc w:val="left"/>
      <w:pPr>
        <w:ind w:left="1287" w:hanging="567"/>
      </w:pPr>
      <w:rPr>
        <w:rFonts w:ascii="Symbol" w:hAnsi="Symbol" w:hint="default"/>
      </w:rPr>
    </w:lvl>
    <w:lvl w:ilvl="1">
      <w:start w:val="1"/>
      <w:numFmt w:val="decimal"/>
      <w:pStyle w:val="ListParagraphbodycopy"/>
      <w:isLgl/>
      <w:lvlText w:val="%1.%2"/>
      <w:lvlJc w:val="left"/>
      <w:pPr>
        <w:ind w:left="1440" w:hanging="720"/>
      </w:pPr>
      <w:rPr>
        <w:rFonts w:cs="Times New Roman" w:hint="default"/>
        <w:b w:val="0"/>
        <w:sz w:val="20"/>
      </w:rPr>
    </w:lvl>
    <w:lvl w:ilvl="2">
      <w:start w:val="1"/>
      <w:numFmt w:val="none"/>
      <w:lvlRestart w:val="1"/>
      <w:isLgl/>
      <w:lvlText w:val="%1."/>
      <w:lvlJc w:val="left"/>
      <w:pPr>
        <w:ind w:left="1287" w:hanging="567"/>
      </w:pPr>
      <w:rPr>
        <w:rFonts w:hint="default"/>
      </w:rPr>
    </w:lvl>
    <w:lvl w:ilvl="3">
      <w:start w:val="1"/>
      <w:numFmt w:val="decimal"/>
      <w:isLgl/>
      <w:lvlText w:val="%1.%4"/>
      <w:lvlJc w:val="left"/>
      <w:pPr>
        <w:ind w:left="1440" w:hanging="720"/>
      </w:pPr>
      <w:rPr>
        <w:rFonts w:hint="default"/>
      </w:rPr>
    </w:lvl>
    <w:lvl w:ilvl="4">
      <w:start w:val="1"/>
      <w:numFmt w:val="decimal"/>
      <w:isLgl/>
      <w:lvlText w:val="%1.%2.%3.%4.%5"/>
      <w:lvlJc w:val="left"/>
      <w:pPr>
        <w:ind w:left="1800" w:hanging="1080"/>
      </w:pPr>
      <w:rPr>
        <w:rFonts w:cs="Times New Roman" w:hint="default"/>
        <w:sz w:val="20"/>
      </w:rPr>
    </w:lvl>
    <w:lvl w:ilvl="5">
      <w:start w:val="1"/>
      <w:numFmt w:val="decimal"/>
      <w:isLgl/>
      <w:lvlText w:val="%1.%2.%3.%4.%5.%6"/>
      <w:lvlJc w:val="left"/>
      <w:pPr>
        <w:ind w:left="1800" w:hanging="1080"/>
      </w:pPr>
      <w:rPr>
        <w:rFonts w:cs="Times New Roman" w:hint="default"/>
        <w:sz w:val="20"/>
      </w:rPr>
    </w:lvl>
    <w:lvl w:ilvl="6">
      <w:start w:val="1"/>
      <w:numFmt w:val="decimal"/>
      <w:isLgl/>
      <w:lvlText w:val="%1.%2.%3.%4.%5.%6.%7"/>
      <w:lvlJc w:val="left"/>
      <w:pPr>
        <w:ind w:left="2160" w:hanging="1440"/>
      </w:pPr>
      <w:rPr>
        <w:rFonts w:cs="Times New Roman" w:hint="default"/>
        <w:sz w:val="20"/>
      </w:rPr>
    </w:lvl>
    <w:lvl w:ilvl="7">
      <w:start w:val="1"/>
      <w:numFmt w:val="decimal"/>
      <w:isLgl/>
      <w:lvlText w:val="%1.%2.%3.%4.%5.%6.%7.%8"/>
      <w:lvlJc w:val="left"/>
      <w:pPr>
        <w:ind w:left="2160" w:hanging="1440"/>
      </w:pPr>
      <w:rPr>
        <w:rFonts w:cs="Times New Roman" w:hint="default"/>
        <w:sz w:val="20"/>
      </w:rPr>
    </w:lvl>
    <w:lvl w:ilvl="8">
      <w:start w:val="1"/>
      <w:numFmt w:val="decimal"/>
      <w:isLgl/>
      <w:lvlText w:val="%1.%2.%3.%4.%5.%6.%7.%8.%9"/>
      <w:lvlJc w:val="left"/>
      <w:pPr>
        <w:ind w:left="2520" w:hanging="1800"/>
      </w:pPr>
      <w:rPr>
        <w:rFonts w:cs="Times New Roman" w:hint="default"/>
        <w:sz w:val="20"/>
      </w:rPr>
    </w:lvl>
  </w:abstractNum>
  <w:abstractNum w:abstractNumId="34" w15:restartNumberingAfterBreak="0">
    <w:nsid w:val="5BD9508F"/>
    <w:multiLevelType w:val="hybridMultilevel"/>
    <w:tmpl w:val="BE5EC938"/>
    <w:lvl w:ilvl="0" w:tplc="0C090015">
      <w:start w:val="1"/>
      <w:numFmt w:val="upperLetter"/>
      <w:lvlText w:val="%1."/>
      <w:lvlJc w:val="left"/>
      <w:pPr>
        <w:ind w:left="1021" w:hanging="380"/>
      </w:pPr>
      <w:rPr>
        <w:rFonts w:hint="default"/>
        <w:b w:val="0"/>
        <w:bCs/>
      </w:rPr>
    </w:lvl>
    <w:lvl w:ilvl="1" w:tplc="0C090019">
      <w:start w:val="1"/>
      <w:numFmt w:val="lowerLetter"/>
      <w:lvlText w:val="%2."/>
      <w:lvlJc w:val="left"/>
      <w:pPr>
        <w:ind w:left="785" w:hanging="360"/>
      </w:pPr>
    </w:lvl>
    <w:lvl w:ilvl="2" w:tplc="0C09001B">
      <w:start w:val="1"/>
      <w:numFmt w:val="lowerRoman"/>
      <w:lvlText w:val="%3."/>
      <w:lvlJc w:val="right"/>
      <w:pPr>
        <w:ind w:left="1456" w:hanging="180"/>
      </w:pPr>
    </w:lvl>
    <w:lvl w:ilvl="3" w:tplc="0C090015">
      <w:start w:val="1"/>
      <w:numFmt w:val="upperLetter"/>
      <w:lvlText w:val="%4."/>
      <w:lvlJc w:val="left"/>
      <w:pPr>
        <w:ind w:left="720" w:hanging="360"/>
      </w:pPr>
    </w:lvl>
    <w:lvl w:ilvl="4" w:tplc="0C090019" w:tentative="1">
      <w:start w:val="1"/>
      <w:numFmt w:val="lowerLetter"/>
      <w:lvlText w:val="%5."/>
      <w:lvlJc w:val="left"/>
      <w:pPr>
        <w:ind w:left="3523" w:hanging="360"/>
      </w:pPr>
    </w:lvl>
    <w:lvl w:ilvl="5" w:tplc="0C09001B" w:tentative="1">
      <w:start w:val="1"/>
      <w:numFmt w:val="lowerRoman"/>
      <w:lvlText w:val="%6."/>
      <w:lvlJc w:val="right"/>
      <w:pPr>
        <w:ind w:left="4243" w:hanging="180"/>
      </w:pPr>
    </w:lvl>
    <w:lvl w:ilvl="6" w:tplc="0C09000F" w:tentative="1">
      <w:start w:val="1"/>
      <w:numFmt w:val="decimal"/>
      <w:lvlText w:val="%7."/>
      <w:lvlJc w:val="left"/>
      <w:pPr>
        <w:ind w:left="4963" w:hanging="360"/>
      </w:pPr>
    </w:lvl>
    <w:lvl w:ilvl="7" w:tplc="0C090019" w:tentative="1">
      <w:start w:val="1"/>
      <w:numFmt w:val="lowerLetter"/>
      <w:lvlText w:val="%8."/>
      <w:lvlJc w:val="left"/>
      <w:pPr>
        <w:ind w:left="5683" w:hanging="360"/>
      </w:pPr>
    </w:lvl>
    <w:lvl w:ilvl="8" w:tplc="0C09001B" w:tentative="1">
      <w:start w:val="1"/>
      <w:numFmt w:val="lowerRoman"/>
      <w:lvlText w:val="%9."/>
      <w:lvlJc w:val="right"/>
      <w:pPr>
        <w:ind w:left="6403" w:hanging="180"/>
      </w:pPr>
    </w:lvl>
  </w:abstractNum>
  <w:abstractNum w:abstractNumId="35" w15:restartNumberingAfterBreak="0">
    <w:nsid w:val="5F406E6C"/>
    <w:multiLevelType w:val="hybridMultilevel"/>
    <w:tmpl w:val="7C60CCEA"/>
    <w:lvl w:ilvl="0" w:tplc="FFFFFFFF">
      <w:start w:val="1"/>
      <w:numFmt w:val="lowerLetter"/>
      <w:lvlText w:val="%1."/>
      <w:lvlJc w:val="left"/>
      <w:pPr>
        <w:ind w:left="947" w:hanging="380"/>
      </w:pPr>
      <w:rPr>
        <w:rFonts w:hint="default"/>
        <w:sz w:val="2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6" w15:restartNumberingAfterBreak="0">
    <w:nsid w:val="652F12A5"/>
    <w:multiLevelType w:val="hybridMultilevel"/>
    <w:tmpl w:val="ED06AD42"/>
    <w:lvl w:ilvl="0" w:tplc="0C090001">
      <w:start w:val="1"/>
      <w:numFmt w:val="bullet"/>
      <w:lvlText w:val=""/>
      <w:lvlJc w:val="left"/>
      <w:pPr>
        <w:ind w:left="927" w:hanging="360"/>
      </w:pPr>
      <w:rPr>
        <w:rFonts w:ascii="Symbol" w:hAnsi="Symbol" w:hint="default"/>
      </w:rPr>
    </w:lvl>
    <w:lvl w:ilvl="1" w:tplc="0C090003" w:tentative="1">
      <w:start w:val="1"/>
      <w:numFmt w:val="bullet"/>
      <w:lvlText w:val="o"/>
      <w:lvlJc w:val="left"/>
      <w:pPr>
        <w:ind w:left="2079" w:hanging="360"/>
      </w:pPr>
      <w:rPr>
        <w:rFonts w:ascii="Courier New" w:hAnsi="Courier New" w:cs="Courier New" w:hint="default"/>
      </w:rPr>
    </w:lvl>
    <w:lvl w:ilvl="2" w:tplc="0C090005" w:tentative="1">
      <w:start w:val="1"/>
      <w:numFmt w:val="bullet"/>
      <w:lvlText w:val=""/>
      <w:lvlJc w:val="left"/>
      <w:pPr>
        <w:ind w:left="2799" w:hanging="360"/>
      </w:pPr>
      <w:rPr>
        <w:rFonts w:ascii="Wingdings" w:hAnsi="Wingdings" w:hint="default"/>
      </w:rPr>
    </w:lvl>
    <w:lvl w:ilvl="3" w:tplc="0C090001" w:tentative="1">
      <w:start w:val="1"/>
      <w:numFmt w:val="bullet"/>
      <w:lvlText w:val=""/>
      <w:lvlJc w:val="left"/>
      <w:pPr>
        <w:ind w:left="3519" w:hanging="360"/>
      </w:pPr>
      <w:rPr>
        <w:rFonts w:ascii="Symbol" w:hAnsi="Symbol" w:hint="default"/>
      </w:rPr>
    </w:lvl>
    <w:lvl w:ilvl="4" w:tplc="0C090003" w:tentative="1">
      <w:start w:val="1"/>
      <w:numFmt w:val="bullet"/>
      <w:lvlText w:val="o"/>
      <w:lvlJc w:val="left"/>
      <w:pPr>
        <w:ind w:left="4239" w:hanging="360"/>
      </w:pPr>
      <w:rPr>
        <w:rFonts w:ascii="Courier New" w:hAnsi="Courier New" w:cs="Courier New" w:hint="default"/>
      </w:rPr>
    </w:lvl>
    <w:lvl w:ilvl="5" w:tplc="0C090005" w:tentative="1">
      <w:start w:val="1"/>
      <w:numFmt w:val="bullet"/>
      <w:lvlText w:val=""/>
      <w:lvlJc w:val="left"/>
      <w:pPr>
        <w:ind w:left="4959" w:hanging="360"/>
      </w:pPr>
      <w:rPr>
        <w:rFonts w:ascii="Wingdings" w:hAnsi="Wingdings" w:hint="default"/>
      </w:rPr>
    </w:lvl>
    <w:lvl w:ilvl="6" w:tplc="0C090001" w:tentative="1">
      <w:start w:val="1"/>
      <w:numFmt w:val="bullet"/>
      <w:lvlText w:val=""/>
      <w:lvlJc w:val="left"/>
      <w:pPr>
        <w:ind w:left="5679" w:hanging="360"/>
      </w:pPr>
      <w:rPr>
        <w:rFonts w:ascii="Symbol" w:hAnsi="Symbol" w:hint="default"/>
      </w:rPr>
    </w:lvl>
    <w:lvl w:ilvl="7" w:tplc="0C090003" w:tentative="1">
      <w:start w:val="1"/>
      <w:numFmt w:val="bullet"/>
      <w:lvlText w:val="o"/>
      <w:lvlJc w:val="left"/>
      <w:pPr>
        <w:ind w:left="6399" w:hanging="360"/>
      </w:pPr>
      <w:rPr>
        <w:rFonts w:ascii="Courier New" w:hAnsi="Courier New" w:cs="Courier New" w:hint="default"/>
      </w:rPr>
    </w:lvl>
    <w:lvl w:ilvl="8" w:tplc="0C090005" w:tentative="1">
      <w:start w:val="1"/>
      <w:numFmt w:val="bullet"/>
      <w:lvlText w:val=""/>
      <w:lvlJc w:val="left"/>
      <w:pPr>
        <w:ind w:left="7119" w:hanging="360"/>
      </w:pPr>
      <w:rPr>
        <w:rFonts w:ascii="Wingdings" w:hAnsi="Wingdings" w:hint="default"/>
      </w:rPr>
    </w:lvl>
  </w:abstractNum>
  <w:abstractNum w:abstractNumId="37" w15:restartNumberingAfterBreak="0">
    <w:nsid w:val="660653A2"/>
    <w:multiLevelType w:val="hybridMultilevel"/>
    <w:tmpl w:val="7C60CCEA"/>
    <w:lvl w:ilvl="0" w:tplc="FFFFFFFF">
      <w:start w:val="1"/>
      <w:numFmt w:val="lowerLetter"/>
      <w:lvlText w:val="%1."/>
      <w:lvlJc w:val="left"/>
      <w:pPr>
        <w:ind w:left="947" w:hanging="380"/>
      </w:pPr>
      <w:rPr>
        <w:rFonts w:hint="default"/>
        <w:sz w:val="2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8" w15:restartNumberingAfterBreak="0">
    <w:nsid w:val="69B47E19"/>
    <w:multiLevelType w:val="hybridMultilevel"/>
    <w:tmpl w:val="159427C2"/>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816A4C68">
      <w:start w:val="7"/>
      <w:numFmt w:val="decimal"/>
      <w:lvlText w:val="%3."/>
      <w:lvlJc w:val="left"/>
      <w:pPr>
        <w:ind w:left="2340" w:hanging="360"/>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6A34259D"/>
    <w:multiLevelType w:val="hybridMultilevel"/>
    <w:tmpl w:val="7C60CCEA"/>
    <w:lvl w:ilvl="0" w:tplc="FFFFFFFF">
      <w:start w:val="1"/>
      <w:numFmt w:val="lowerLetter"/>
      <w:lvlText w:val="%1."/>
      <w:lvlJc w:val="left"/>
      <w:pPr>
        <w:ind w:left="947" w:hanging="380"/>
      </w:pPr>
      <w:rPr>
        <w:rFonts w:hint="default"/>
        <w:sz w:val="2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0" w15:restartNumberingAfterBreak="0">
    <w:nsid w:val="6E9229A8"/>
    <w:multiLevelType w:val="hybridMultilevel"/>
    <w:tmpl w:val="7C60CCEA"/>
    <w:lvl w:ilvl="0" w:tplc="FFFFFFFF">
      <w:start w:val="1"/>
      <w:numFmt w:val="lowerLetter"/>
      <w:lvlText w:val="%1."/>
      <w:lvlJc w:val="left"/>
      <w:pPr>
        <w:ind w:left="947" w:hanging="380"/>
      </w:pPr>
      <w:rPr>
        <w:rFonts w:hint="default"/>
        <w:sz w:val="2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1" w15:restartNumberingAfterBreak="0">
    <w:nsid w:val="71BC13A4"/>
    <w:multiLevelType w:val="hybridMultilevel"/>
    <w:tmpl w:val="7C60CCEA"/>
    <w:lvl w:ilvl="0" w:tplc="FFFFFFFF">
      <w:start w:val="1"/>
      <w:numFmt w:val="lowerLetter"/>
      <w:lvlText w:val="%1."/>
      <w:lvlJc w:val="left"/>
      <w:pPr>
        <w:ind w:left="947" w:hanging="380"/>
      </w:pPr>
      <w:rPr>
        <w:rFonts w:hint="default"/>
        <w:sz w:val="2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2" w15:restartNumberingAfterBreak="0">
    <w:nsid w:val="726D0AF9"/>
    <w:multiLevelType w:val="hybridMultilevel"/>
    <w:tmpl w:val="7C60CCEA"/>
    <w:lvl w:ilvl="0" w:tplc="FFFFFFFF">
      <w:start w:val="1"/>
      <w:numFmt w:val="lowerLetter"/>
      <w:lvlText w:val="%1."/>
      <w:lvlJc w:val="left"/>
      <w:pPr>
        <w:ind w:left="947" w:hanging="380"/>
      </w:pPr>
      <w:rPr>
        <w:rFonts w:hint="default"/>
        <w:sz w:val="2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3" w15:restartNumberingAfterBreak="0">
    <w:nsid w:val="767D6FA6"/>
    <w:multiLevelType w:val="hybridMultilevel"/>
    <w:tmpl w:val="26D2B40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723" w:hanging="360"/>
      </w:pPr>
      <w:rPr>
        <w:rFonts w:ascii="Courier New" w:hAnsi="Courier New" w:cs="Courier New" w:hint="default"/>
      </w:rPr>
    </w:lvl>
    <w:lvl w:ilvl="2" w:tplc="0C090005" w:tentative="1">
      <w:start w:val="1"/>
      <w:numFmt w:val="bullet"/>
      <w:lvlText w:val=""/>
      <w:lvlJc w:val="left"/>
      <w:pPr>
        <w:ind w:left="2443" w:hanging="360"/>
      </w:pPr>
      <w:rPr>
        <w:rFonts w:ascii="Wingdings" w:hAnsi="Wingdings" w:hint="default"/>
      </w:rPr>
    </w:lvl>
    <w:lvl w:ilvl="3" w:tplc="0C090001" w:tentative="1">
      <w:start w:val="1"/>
      <w:numFmt w:val="bullet"/>
      <w:lvlText w:val=""/>
      <w:lvlJc w:val="left"/>
      <w:pPr>
        <w:ind w:left="3163" w:hanging="360"/>
      </w:pPr>
      <w:rPr>
        <w:rFonts w:ascii="Symbol" w:hAnsi="Symbol" w:hint="default"/>
      </w:rPr>
    </w:lvl>
    <w:lvl w:ilvl="4" w:tplc="0C090003" w:tentative="1">
      <w:start w:val="1"/>
      <w:numFmt w:val="bullet"/>
      <w:lvlText w:val="o"/>
      <w:lvlJc w:val="left"/>
      <w:pPr>
        <w:ind w:left="3883" w:hanging="360"/>
      </w:pPr>
      <w:rPr>
        <w:rFonts w:ascii="Courier New" w:hAnsi="Courier New" w:cs="Courier New" w:hint="default"/>
      </w:rPr>
    </w:lvl>
    <w:lvl w:ilvl="5" w:tplc="0C090005" w:tentative="1">
      <w:start w:val="1"/>
      <w:numFmt w:val="bullet"/>
      <w:lvlText w:val=""/>
      <w:lvlJc w:val="left"/>
      <w:pPr>
        <w:ind w:left="4603" w:hanging="360"/>
      </w:pPr>
      <w:rPr>
        <w:rFonts w:ascii="Wingdings" w:hAnsi="Wingdings" w:hint="default"/>
      </w:rPr>
    </w:lvl>
    <w:lvl w:ilvl="6" w:tplc="0C090001" w:tentative="1">
      <w:start w:val="1"/>
      <w:numFmt w:val="bullet"/>
      <w:lvlText w:val=""/>
      <w:lvlJc w:val="left"/>
      <w:pPr>
        <w:ind w:left="5323" w:hanging="360"/>
      </w:pPr>
      <w:rPr>
        <w:rFonts w:ascii="Symbol" w:hAnsi="Symbol" w:hint="default"/>
      </w:rPr>
    </w:lvl>
    <w:lvl w:ilvl="7" w:tplc="0C090003" w:tentative="1">
      <w:start w:val="1"/>
      <w:numFmt w:val="bullet"/>
      <w:lvlText w:val="o"/>
      <w:lvlJc w:val="left"/>
      <w:pPr>
        <w:ind w:left="6043" w:hanging="360"/>
      </w:pPr>
      <w:rPr>
        <w:rFonts w:ascii="Courier New" w:hAnsi="Courier New" w:cs="Courier New" w:hint="default"/>
      </w:rPr>
    </w:lvl>
    <w:lvl w:ilvl="8" w:tplc="0C090005" w:tentative="1">
      <w:start w:val="1"/>
      <w:numFmt w:val="bullet"/>
      <w:lvlText w:val=""/>
      <w:lvlJc w:val="left"/>
      <w:pPr>
        <w:ind w:left="6763" w:hanging="360"/>
      </w:pPr>
      <w:rPr>
        <w:rFonts w:ascii="Wingdings" w:hAnsi="Wingdings" w:hint="default"/>
      </w:rPr>
    </w:lvl>
  </w:abstractNum>
  <w:abstractNum w:abstractNumId="44" w15:restartNumberingAfterBreak="0">
    <w:nsid w:val="771A7DA8"/>
    <w:multiLevelType w:val="hybridMultilevel"/>
    <w:tmpl w:val="93768176"/>
    <w:lvl w:ilvl="0" w:tplc="0C64A558">
      <w:start w:val="2"/>
      <w:numFmt w:val="bullet"/>
      <w:pStyle w:val="Boxedshadedbullets"/>
      <w:lvlText w:val="•"/>
      <w:lvlJc w:val="left"/>
      <w:pPr>
        <w:ind w:left="927" w:hanging="360"/>
      </w:pPr>
      <w:rPr>
        <w:rFonts w:ascii="Aptos" w:eastAsiaTheme="minorHAnsi" w:hAnsi="Aptos" w:cstheme="minorBidi" w:hint="default"/>
      </w:rPr>
    </w:lvl>
    <w:lvl w:ilvl="1" w:tplc="0C090003">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45" w15:restartNumberingAfterBreak="0">
    <w:nsid w:val="796149C5"/>
    <w:multiLevelType w:val="hybridMultilevel"/>
    <w:tmpl w:val="9A228A8C"/>
    <w:lvl w:ilvl="0" w:tplc="FFFFFFFF">
      <w:start w:val="1"/>
      <w:numFmt w:val="upperLetter"/>
      <w:lvlText w:val="%1."/>
      <w:lvlJc w:val="left"/>
      <w:pPr>
        <w:ind w:left="1021" w:hanging="380"/>
      </w:pPr>
      <w:rPr>
        <w:rFonts w:hint="default"/>
        <w:b w:val="0"/>
        <w:bCs/>
      </w:rPr>
    </w:lvl>
    <w:lvl w:ilvl="1" w:tplc="FFFFFFFF">
      <w:start w:val="1"/>
      <w:numFmt w:val="lowerLetter"/>
      <w:lvlText w:val="%2."/>
      <w:lvlJc w:val="left"/>
      <w:pPr>
        <w:ind w:left="785" w:hanging="360"/>
      </w:pPr>
    </w:lvl>
    <w:lvl w:ilvl="2" w:tplc="FFFFFFFF">
      <w:start w:val="1"/>
      <w:numFmt w:val="lowerRoman"/>
      <w:lvlText w:val="%3."/>
      <w:lvlJc w:val="right"/>
      <w:pPr>
        <w:ind w:left="1456" w:hanging="180"/>
      </w:pPr>
    </w:lvl>
    <w:lvl w:ilvl="3" w:tplc="FFFFFFFF">
      <w:start w:val="1"/>
      <w:numFmt w:val="upperLetter"/>
      <w:lvlText w:val="%4."/>
      <w:lvlJc w:val="left"/>
      <w:pPr>
        <w:ind w:left="720"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46" w15:restartNumberingAfterBreak="0">
    <w:nsid w:val="79FC0F4D"/>
    <w:multiLevelType w:val="hybridMultilevel"/>
    <w:tmpl w:val="C99AC0A8"/>
    <w:lvl w:ilvl="0" w:tplc="FFFFFFFF">
      <w:start w:val="1"/>
      <w:numFmt w:val="upperLetter"/>
      <w:lvlText w:val="%1."/>
      <w:lvlJc w:val="left"/>
      <w:pPr>
        <w:ind w:left="1021" w:hanging="380"/>
      </w:pPr>
      <w:rPr>
        <w:rFonts w:hint="default"/>
        <w:sz w:val="20"/>
      </w:rPr>
    </w:lvl>
    <w:lvl w:ilvl="1" w:tplc="FFFFFFFF" w:tentative="1">
      <w:start w:val="1"/>
      <w:numFmt w:val="lowerLetter"/>
      <w:lvlText w:val="%2."/>
      <w:lvlJc w:val="left"/>
      <w:pPr>
        <w:ind w:left="2081" w:hanging="360"/>
      </w:pPr>
    </w:lvl>
    <w:lvl w:ilvl="2" w:tplc="FFFFFFFF" w:tentative="1">
      <w:start w:val="1"/>
      <w:numFmt w:val="lowerRoman"/>
      <w:lvlText w:val="%3."/>
      <w:lvlJc w:val="right"/>
      <w:pPr>
        <w:ind w:left="2801" w:hanging="180"/>
      </w:pPr>
    </w:lvl>
    <w:lvl w:ilvl="3" w:tplc="FFFFFFFF" w:tentative="1">
      <w:start w:val="1"/>
      <w:numFmt w:val="decimal"/>
      <w:lvlText w:val="%4."/>
      <w:lvlJc w:val="left"/>
      <w:pPr>
        <w:ind w:left="3521" w:hanging="360"/>
      </w:pPr>
    </w:lvl>
    <w:lvl w:ilvl="4" w:tplc="FFFFFFFF" w:tentative="1">
      <w:start w:val="1"/>
      <w:numFmt w:val="lowerLetter"/>
      <w:lvlText w:val="%5."/>
      <w:lvlJc w:val="left"/>
      <w:pPr>
        <w:ind w:left="4241" w:hanging="360"/>
      </w:pPr>
    </w:lvl>
    <w:lvl w:ilvl="5" w:tplc="FFFFFFFF" w:tentative="1">
      <w:start w:val="1"/>
      <w:numFmt w:val="lowerRoman"/>
      <w:lvlText w:val="%6."/>
      <w:lvlJc w:val="right"/>
      <w:pPr>
        <w:ind w:left="4961" w:hanging="180"/>
      </w:pPr>
    </w:lvl>
    <w:lvl w:ilvl="6" w:tplc="FFFFFFFF" w:tentative="1">
      <w:start w:val="1"/>
      <w:numFmt w:val="decimal"/>
      <w:lvlText w:val="%7."/>
      <w:lvlJc w:val="left"/>
      <w:pPr>
        <w:ind w:left="5681" w:hanging="360"/>
      </w:pPr>
    </w:lvl>
    <w:lvl w:ilvl="7" w:tplc="FFFFFFFF" w:tentative="1">
      <w:start w:val="1"/>
      <w:numFmt w:val="lowerLetter"/>
      <w:lvlText w:val="%8."/>
      <w:lvlJc w:val="left"/>
      <w:pPr>
        <w:ind w:left="6401" w:hanging="360"/>
      </w:pPr>
    </w:lvl>
    <w:lvl w:ilvl="8" w:tplc="FFFFFFFF" w:tentative="1">
      <w:start w:val="1"/>
      <w:numFmt w:val="lowerRoman"/>
      <w:lvlText w:val="%9."/>
      <w:lvlJc w:val="right"/>
      <w:pPr>
        <w:ind w:left="7121" w:hanging="180"/>
      </w:pPr>
    </w:lvl>
  </w:abstractNum>
  <w:abstractNum w:abstractNumId="47" w15:restartNumberingAfterBreak="0">
    <w:nsid w:val="7B622750"/>
    <w:multiLevelType w:val="hybridMultilevel"/>
    <w:tmpl w:val="A844D3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D15675E"/>
    <w:multiLevelType w:val="hybridMultilevel"/>
    <w:tmpl w:val="969A0388"/>
    <w:lvl w:ilvl="0" w:tplc="B5287122">
      <w:start w:val="1"/>
      <w:numFmt w:val="bullet"/>
      <w:pStyle w:val="ListBullet2"/>
      <w:lvlText w:val="o"/>
      <w:lvlJc w:val="left"/>
      <w:pPr>
        <w:ind w:left="643" w:hanging="360"/>
      </w:pPr>
    </w:lvl>
    <w:lvl w:ilvl="1" w:tplc="0C090003" w:tentative="1">
      <w:start w:val="1"/>
      <w:numFmt w:val="bullet"/>
      <w:lvlText w:val="o"/>
      <w:lvlJc w:val="left"/>
      <w:pPr>
        <w:ind w:left="1363" w:hanging="360"/>
      </w:pPr>
      <w:rPr>
        <w:rFonts w:ascii="Courier New" w:hAnsi="Courier New" w:cs="Courier New" w:hint="default"/>
      </w:rPr>
    </w:lvl>
    <w:lvl w:ilvl="2" w:tplc="0C090005" w:tentative="1">
      <w:start w:val="1"/>
      <w:numFmt w:val="bullet"/>
      <w:lvlText w:val=""/>
      <w:lvlJc w:val="left"/>
      <w:pPr>
        <w:ind w:left="2083" w:hanging="360"/>
      </w:pPr>
      <w:rPr>
        <w:rFonts w:ascii="Wingdings" w:hAnsi="Wingdings" w:hint="default"/>
      </w:rPr>
    </w:lvl>
    <w:lvl w:ilvl="3" w:tplc="0C090001" w:tentative="1">
      <w:start w:val="1"/>
      <w:numFmt w:val="bullet"/>
      <w:lvlText w:val=""/>
      <w:lvlJc w:val="left"/>
      <w:pPr>
        <w:ind w:left="2803" w:hanging="360"/>
      </w:pPr>
      <w:rPr>
        <w:rFonts w:ascii="Symbol" w:hAnsi="Symbol" w:hint="default"/>
      </w:rPr>
    </w:lvl>
    <w:lvl w:ilvl="4" w:tplc="0C090003" w:tentative="1">
      <w:start w:val="1"/>
      <w:numFmt w:val="bullet"/>
      <w:lvlText w:val="o"/>
      <w:lvlJc w:val="left"/>
      <w:pPr>
        <w:ind w:left="3523" w:hanging="360"/>
      </w:pPr>
      <w:rPr>
        <w:rFonts w:ascii="Courier New" w:hAnsi="Courier New" w:cs="Courier New" w:hint="default"/>
      </w:rPr>
    </w:lvl>
    <w:lvl w:ilvl="5" w:tplc="0C090005" w:tentative="1">
      <w:start w:val="1"/>
      <w:numFmt w:val="bullet"/>
      <w:lvlText w:val=""/>
      <w:lvlJc w:val="left"/>
      <w:pPr>
        <w:ind w:left="4243" w:hanging="360"/>
      </w:pPr>
      <w:rPr>
        <w:rFonts w:ascii="Wingdings" w:hAnsi="Wingdings" w:hint="default"/>
      </w:rPr>
    </w:lvl>
    <w:lvl w:ilvl="6" w:tplc="0C090001" w:tentative="1">
      <w:start w:val="1"/>
      <w:numFmt w:val="bullet"/>
      <w:lvlText w:val=""/>
      <w:lvlJc w:val="left"/>
      <w:pPr>
        <w:ind w:left="4963" w:hanging="360"/>
      </w:pPr>
      <w:rPr>
        <w:rFonts w:ascii="Symbol" w:hAnsi="Symbol" w:hint="default"/>
      </w:rPr>
    </w:lvl>
    <w:lvl w:ilvl="7" w:tplc="0C090003" w:tentative="1">
      <w:start w:val="1"/>
      <w:numFmt w:val="bullet"/>
      <w:lvlText w:val="o"/>
      <w:lvlJc w:val="left"/>
      <w:pPr>
        <w:ind w:left="5683" w:hanging="360"/>
      </w:pPr>
      <w:rPr>
        <w:rFonts w:ascii="Courier New" w:hAnsi="Courier New" w:cs="Courier New" w:hint="default"/>
      </w:rPr>
    </w:lvl>
    <w:lvl w:ilvl="8" w:tplc="0C090005" w:tentative="1">
      <w:start w:val="1"/>
      <w:numFmt w:val="bullet"/>
      <w:lvlText w:val=""/>
      <w:lvlJc w:val="left"/>
      <w:pPr>
        <w:ind w:left="6403" w:hanging="360"/>
      </w:pPr>
      <w:rPr>
        <w:rFonts w:ascii="Wingdings" w:hAnsi="Wingdings" w:hint="default"/>
      </w:rPr>
    </w:lvl>
  </w:abstractNum>
  <w:abstractNum w:abstractNumId="49" w15:restartNumberingAfterBreak="0">
    <w:nsid w:val="7D7428FA"/>
    <w:multiLevelType w:val="multilevel"/>
    <w:tmpl w:val="2FB47B52"/>
    <w:lvl w:ilvl="0">
      <w:start w:val="4"/>
      <w:numFmt w:val="bullet"/>
      <w:lvlText w:val=""/>
      <w:lvlJc w:val="left"/>
      <w:pPr>
        <w:ind w:left="567" w:hanging="567"/>
      </w:pPr>
      <w:rPr>
        <w:rFonts w:ascii="Symbol" w:hAnsi="Symbol" w:hint="default"/>
      </w:rPr>
    </w:lvl>
    <w:lvl w:ilvl="1">
      <w:start w:val="2"/>
      <w:numFmt w:val="decimal"/>
      <w:isLgl/>
      <w:lvlText w:val="%1.%2"/>
      <w:lvlJc w:val="left"/>
      <w:pPr>
        <w:ind w:left="720" w:hanging="720"/>
      </w:pPr>
      <w:rPr>
        <w:rFonts w:cs="Times New Roman" w:hint="default"/>
        <w:b w:val="0"/>
        <w:sz w:val="20"/>
      </w:rPr>
    </w:lvl>
    <w:lvl w:ilvl="2">
      <w:start w:val="1"/>
      <w:numFmt w:val="decimal"/>
      <w:lvlRestart w:val="0"/>
      <w:pStyle w:val="SWAHeading1"/>
      <w:lvlText w:val="%3."/>
      <w:lvlJc w:val="left"/>
      <w:pPr>
        <w:ind w:left="567" w:hanging="567"/>
      </w:pPr>
      <w:rPr>
        <w:rFonts w:hint="default"/>
      </w:rPr>
    </w:lvl>
    <w:lvl w:ilvl="3">
      <w:start w:val="1"/>
      <w:numFmt w:val="decimal"/>
      <w:pStyle w:val="SWAHeading2"/>
      <w:isLgl/>
      <w:lvlText w:val="%3.%4"/>
      <w:lvlJc w:val="left"/>
      <w:pPr>
        <w:ind w:left="720" w:hanging="720"/>
      </w:pPr>
      <w:rPr>
        <w:rFonts w:hint="default"/>
        <w:b/>
        <w:bCs w:val="0"/>
      </w:rPr>
    </w:lvl>
    <w:lvl w:ilvl="4">
      <w:start w:val="1"/>
      <w:numFmt w:val="decimal"/>
      <w:isLgl/>
      <w:lvlText w:val="%1.%2.%3.%4.%5"/>
      <w:lvlJc w:val="left"/>
      <w:pPr>
        <w:ind w:left="1080" w:hanging="1080"/>
      </w:pPr>
      <w:rPr>
        <w:rFonts w:cs="Times New Roman" w:hint="default"/>
        <w:sz w:val="20"/>
      </w:rPr>
    </w:lvl>
    <w:lvl w:ilvl="5">
      <w:start w:val="1"/>
      <w:numFmt w:val="decimal"/>
      <w:isLgl/>
      <w:lvlText w:val="%1.%2.%3.%4.%5.%6"/>
      <w:lvlJc w:val="left"/>
      <w:pPr>
        <w:ind w:left="1080" w:hanging="1080"/>
      </w:pPr>
      <w:rPr>
        <w:rFonts w:cs="Times New Roman" w:hint="default"/>
        <w:sz w:val="20"/>
      </w:rPr>
    </w:lvl>
    <w:lvl w:ilvl="6">
      <w:start w:val="1"/>
      <w:numFmt w:val="decimal"/>
      <w:isLgl/>
      <w:lvlText w:val="%1.%2.%3.%4.%5.%6.%7"/>
      <w:lvlJc w:val="left"/>
      <w:pPr>
        <w:ind w:left="1440" w:hanging="1440"/>
      </w:pPr>
      <w:rPr>
        <w:rFonts w:cs="Times New Roman" w:hint="default"/>
        <w:sz w:val="20"/>
      </w:rPr>
    </w:lvl>
    <w:lvl w:ilvl="7">
      <w:start w:val="1"/>
      <w:numFmt w:val="decimal"/>
      <w:isLgl/>
      <w:lvlText w:val="%1.%2.%3.%4.%5.%6.%7.%8"/>
      <w:lvlJc w:val="left"/>
      <w:pPr>
        <w:ind w:left="1440" w:hanging="1440"/>
      </w:pPr>
      <w:rPr>
        <w:rFonts w:cs="Times New Roman" w:hint="default"/>
        <w:sz w:val="20"/>
      </w:rPr>
    </w:lvl>
    <w:lvl w:ilvl="8">
      <w:start w:val="1"/>
      <w:numFmt w:val="decimal"/>
      <w:isLgl/>
      <w:lvlText w:val="%1.%2.%3.%4.%5.%6.%7.%8.%9"/>
      <w:lvlJc w:val="left"/>
      <w:pPr>
        <w:ind w:left="1800" w:hanging="1800"/>
      </w:pPr>
      <w:rPr>
        <w:rFonts w:cs="Times New Roman" w:hint="default"/>
        <w:sz w:val="20"/>
      </w:rPr>
    </w:lvl>
  </w:abstractNum>
  <w:abstractNum w:abstractNumId="50" w15:restartNumberingAfterBreak="0">
    <w:nsid w:val="7D9C0F7D"/>
    <w:multiLevelType w:val="hybridMultilevel"/>
    <w:tmpl w:val="9FF6363C"/>
    <w:lvl w:ilvl="0" w:tplc="0C090019">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51" w15:restartNumberingAfterBreak="0">
    <w:nsid w:val="7ECD56B4"/>
    <w:multiLevelType w:val="hybridMultilevel"/>
    <w:tmpl w:val="B8B2179A"/>
    <w:lvl w:ilvl="0" w:tplc="B3067386">
      <w:start w:val="1"/>
      <w:numFmt w:val="bullet"/>
      <w:pStyle w:val="ListBullet"/>
      <w:lvlText w:val=""/>
      <w:lvlJc w:val="left"/>
      <w:pPr>
        <w:ind w:left="720" w:hanging="360"/>
      </w:pPr>
      <w:rPr>
        <w:rFonts w:ascii="Symbol" w:hAnsi="Symbol" w:hint="default"/>
        <w:vertAlign w:val="baseli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7F2C11F4"/>
    <w:multiLevelType w:val="hybridMultilevel"/>
    <w:tmpl w:val="5F605ADA"/>
    <w:lvl w:ilvl="0" w:tplc="0C090017">
      <w:start w:val="1"/>
      <w:numFmt w:val="lowerLetter"/>
      <w:lvlText w:val="%1)"/>
      <w:lvlJc w:val="left"/>
      <w:pPr>
        <w:ind w:left="1100" w:hanging="380"/>
      </w:pPr>
      <w:rPr>
        <w:rFonts w:hint="default"/>
        <w:b w:val="0"/>
        <w:bCs/>
      </w:rPr>
    </w:lvl>
    <w:lvl w:ilvl="1" w:tplc="FFFFFFFF">
      <w:start w:val="1"/>
      <w:numFmt w:val="lowerLetter"/>
      <w:lvlText w:val="%2."/>
      <w:lvlJc w:val="left"/>
      <w:pPr>
        <w:ind w:left="864" w:hanging="360"/>
      </w:pPr>
    </w:lvl>
    <w:lvl w:ilvl="2" w:tplc="FFFFFFFF">
      <w:start w:val="1"/>
      <w:numFmt w:val="lowerRoman"/>
      <w:lvlText w:val="%3."/>
      <w:lvlJc w:val="right"/>
      <w:pPr>
        <w:ind w:left="1535" w:hanging="180"/>
      </w:pPr>
    </w:lvl>
    <w:lvl w:ilvl="3" w:tplc="FFFFFFFF">
      <w:start w:val="1"/>
      <w:numFmt w:val="upperLetter"/>
      <w:lvlText w:val="%4."/>
      <w:lvlJc w:val="left"/>
      <w:pPr>
        <w:ind w:left="799" w:hanging="360"/>
      </w:pPr>
    </w:lvl>
    <w:lvl w:ilvl="4" w:tplc="FFFFFFFF" w:tentative="1">
      <w:start w:val="1"/>
      <w:numFmt w:val="lowerLetter"/>
      <w:lvlText w:val="%5."/>
      <w:lvlJc w:val="left"/>
      <w:pPr>
        <w:ind w:left="3602" w:hanging="360"/>
      </w:pPr>
    </w:lvl>
    <w:lvl w:ilvl="5" w:tplc="FFFFFFFF" w:tentative="1">
      <w:start w:val="1"/>
      <w:numFmt w:val="lowerRoman"/>
      <w:lvlText w:val="%6."/>
      <w:lvlJc w:val="right"/>
      <w:pPr>
        <w:ind w:left="4322" w:hanging="180"/>
      </w:pPr>
    </w:lvl>
    <w:lvl w:ilvl="6" w:tplc="FFFFFFFF" w:tentative="1">
      <w:start w:val="1"/>
      <w:numFmt w:val="decimal"/>
      <w:lvlText w:val="%7."/>
      <w:lvlJc w:val="left"/>
      <w:pPr>
        <w:ind w:left="5042" w:hanging="360"/>
      </w:pPr>
    </w:lvl>
    <w:lvl w:ilvl="7" w:tplc="FFFFFFFF" w:tentative="1">
      <w:start w:val="1"/>
      <w:numFmt w:val="lowerLetter"/>
      <w:lvlText w:val="%8."/>
      <w:lvlJc w:val="left"/>
      <w:pPr>
        <w:ind w:left="5762" w:hanging="360"/>
      </w:pPr>
    </w:lvl>
    <w:lvl w:ilvl="8" w:tplc="FFFFFFFF" w:tentative="1">
      <w:start w:val="1"/>
      <w:numFmt w:val="lowerRoman"/>
      <w:lvlText w:val="%9."/>
      <w:lvlJc w:val="right"/>
      <w:pPr>
        <w:ind w:left="6482" w:hanging="180"/>
      </w:pPr>
    </w:lvl>
  </w:abstractNum>
  <w:num w:numId="1" w16cid:durableId="43915700">
    <w:abstractNumId w:val="51"/>
  </w:num>
  <w:num w:numId="2" w16cid:durableId="1839879499">
    <w:abstractNumId w:val="1"/>
  </w:num>
  <w:num w:numId="3" w16cid:durableId="1062144588">
    <w:abstractNumId w:val="48"/>
  </w:num>
  <w:num w:numId="4" w16cid:durableId="199436826">
    <w:abstractNumId w:val="16"/>
  </w:num>
  <w:num w:numId="5" w16cid:durableId="1748771899">
    <w:abstractNumId w:val="3"/>
  </w:num>
  <w:num w:numId="6" w16cid:durableId="1020936201">
    <w:abstractNumId w:val="11"/>
  </w:num>
  <w:num w:numId="7" w16cid:durableId="872621870">
    <w:abstractNumId w:val="33"/>
  </w:num>
  <w:num w:numId="8" w16cid:durableId="1191795628">
    <w:abstractNumId w:val="49"/>
  </w:num>
  <w:num w:numId="9" w16cid:durableId="1890341103">
    <w:abstractNumId w:val="44"/>
  </w:num>
  <w:num w:numId="10" w16cid:durableId="132723821">
    <w:abstractNumId w:val="1"/>
    <w:lvlOverride w:ilvl="0">
      <w:startOverride w:val="1"/>
    </w:lvlOverride>
  </w:num>
  <w:num w:numId="11" w16cid:durableId="462650711">
    <w:abstractNumId w:val="26"/>
  </w:num>
  <w:num w:numId="12" w16cid:durableId="2113933293">
    <w:abstractNumId w:val="1"/>
    <w:lvlOverride w:ilvl="0">
      <w:startOverride w:val="1"/>
    </w:lvlOverride>
  </w:num>
  <w:num w:numId="13" w16cid:durableId="939484888">
    <w:abstractNumId w:val="1"/>
    <w:lvlOverride w:ilvl="0">
      <w:startOverride w:val="18"/>
    </w:lvlOverride>
  </w:num>
  <w:num w:numId="14" w16cid:durableId="2129541384">
    <w:abstractNumId w:val="12"/>
  </w:num>
  <w:num w:numId="15" w16cid:durableId="1568028042">
    <w:abstractNumId w:val="34"/>
    <w:lvlOverride w:ilvl="0">
      <w:startOverride w:val="1"/>
    </w:lvlOverride>
  </w:num>
  <w:num w:numId="16" w16cid:durableId="1893928348">
    <w:abstractNumId w:val="34"/>
    <w:lvlOverride w:ilvl="0">
      <w:startOverride w:val="1"/>
    </w:lvlOverride>
  </w:num>
  <w:num w:numId="17" w16cid:durableId="1421833859">
    <w:abstractNumId w:val="34"/>
    <w:lvlOverride w:ilvl="0">
      <w:startOverride w:val="1"/>
    </w:lvlOverride>
  </w:num>
  <w:num w:numId="18" w16cid:durableId="2091731866">
    <w:abstractNumId w:val="13"/>
  </w:num>
  <w:num w:numId="19" w16cid:durableId="1910185060">
    <w:abstractNumId w:val="34"/>
    <w:lvlOverride w:ilvl="0">
      <w:startOverride w:val="1"/>
    </w:lvlOverride>
  </w:num>
  <w:num w:numId="20" w16cid:durableId="995256909">
    <w:abstractNumId w:val="34"/>
    <w:lvlOverride w:ilvl="0">
      <w:startOverride w:val="1"/>
    </w:lvlOverride>
  </w:num>
  <w:num w:numId="21" w16cid:durableId="2039768183">
    <w:abstractNumId w:val="34"/>
    <w:lvlOverride w:ilvl="0">
      <w:startOverride w:val="1"/>
    </w:lvlOverride>
  </w:num>
  <w:num w:numId="22" w16cid:durableId="1200162115">
    <w:abstractNumId w:val="27"/>
  </w:num>
  <w:num w:numId="23" w16cid:durableId="229846767">
    <w:abstractNumId w:val="31"/>
  </w:num>
  <w:num w:numId="24" w16cid:durableId="787511445">
    <w:abstractNumId w:val="20"/>
  </w:num>
  <w:num w:numId="25" w16cid:durableId="1595357773">
    <w:abstractNumId w:val="30"/>
  </w:num>
  <w:num w:numId="26" w16cid:durableId="1811364383">
    <w:abstractNumId w:val="47"/>
  </w:num>
  <w:num w:numId="27" w16cid:durableId="238446182">
    <w:abstractNumId w:val="29"/>
  </w:num>
  <w:num w:numId="28" w16cid:durableId="513153892">
    <w:abstractNumId w:val="7"/>
  </w:num>
  <w:num w:numId="29" w16cid:durableId="965280102">
    <w:abstractNumId w:val="21"/>
  </w:num>
  <w:num w:numId="30" w16cid:durableId="66803590">
    <w:abstractNumId w:val="8"/>
  </w:num>
  <w:num w:numId="31" w16cid:durableId="1421756854">
    <w:abstractNumId w:val="4"/>
  </w:num>
  <w:num w:numId="32" w16cid:durableId="2076008189">
    <w:abstractNumId w:val="38"/>
  </w:num>
  <w:num w:numId="33" w16cid:durableId="193351819">
    <w:abstractNumId w:val="49"/>
    <w:lvlOverride w:ilvl="0">
      <w:startOverride w:val="4"/>
    </w:lvlOverride>
    <w:lvlOverride w:ilvl="1">
      <w:startOverride w:val="2"/>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60791125">
    <w:abstractNumId w:val="9"/>
  </w:num>
  <w:num w:numId="35" w16cid:durableId="1555894471">
    <w:abstractNumId w:val="40"/>
  </w:num>
  <w:num w:numId="36" w16cid:durableId="1891502432">
    <w:abstractNumId w:val="0"/>
  </w:num>
  <w:num w:numId="37" w16cid:durableId="236478233">
    <w:abstractNumId w:val="18"/>
  </w:num>
  <w:num w:numId="38" w16cid:durableId="1913540045">
    <w:abstractNumId w:val="34"/>
  </w:num>
  <w:num w:numId="39" w16cid:durableId="822894478">
    <w:abstractNumId w:val="46"/>
  </w:num>
  <w:num w:numId="40" w16cid:durableId="897937837">
    <w:abstractNumId w:val="42"/>
  </w:num>
  <w:num w:numId="41" w16cid:durableId="1102872383">
    <w:abstractNumId w:val="41"/>
  </w:num>
  <w:num w:numId="42" w16cid:durableId="135298118">
    <w:abstractNumId w:val="22"/>
  </w:num>
  <w:num w:numId="43" w16cid:durableId="1103649999">
    <w:abstractNumId w:val="37"/>
  </w:num>
  <w:num w:numId="44" w16cid:durableId="886063908">
    <w:abstractNumId w:val="25"/>
  </w:num>
  <w:num w:numId="45" w16cid:durableId="931355765">
    <w:abstractNumId w:val="39"/>
  </w:num>
  <w:num w:numId="46" w16cid:durableId="122696679">
    <w:abstractNumId w:val="35"/>
  </w:num>
  <w:num w:numId="47" w16cid:durableId="1817183516">
    <w:abstractNumId w:val="24"/>
  </w:num>
  <w:num w:numId="48" w16cid:durableId="1587156333">
    <w:abstractNumId w:val="52"/>
  </w:num>
  <w:num w:numId="49" w16cid:durableId="1356495686">
    <w:abstractNumId w:val="45"/>
  </w:num>
  <w:num w:numId="50" w16cid:durableId="1291284491">
    <w:abstractNumId w:val="10"/>
  </w:num>
  <w:num w:numId="51" w16cid:durableId="2032680633">
    <w:abstractNumId w:val="2"/>
  </w:num>
  <w:num w:numId="52" w16cid:durableId="454761934">
    <w:abstractNumId w:val="14"/>
  </w:num>
  <w:num w:numId="53" w16cid:durableId="1201556525">
    <w:abstractNumId w:val="19"/>
  </w:num>
  <w:num w:numId="54" w16cid:durableId="2085224736">
    <w:abstractNumId w:val="28"/>
  </w:num>
  <w:num w:numId="55" w16cid:durableId="468910501">
    <w:abstractNumId w:val="23"/>
  </w:num>
  <w:num w:numId="56" w16cid:durableId="461457984">
    <w:abstractNumId w:val="32"/>
  </w:num>
  <w:num w:numId="57" w16cid:durableId="97915955">
    <w:abstractNumId w:val="6"/>
  </w:num>
  <w:num w:numId="58" w16cid:durableId="2040154439">
    <w:abstractNumId w:val="50"/>
  </w:num>
  <w:num w:numId="59" w16cid:durableId="153225874">
    <w:abstractNumId w:val="15"/>
  </w:num>
  <w:num w:numId="60" w16cid:durableId="1536843020">
    <w:abstractNumId w:val="36"/>
  </w:num>
  <w:num w:numId="61" w16cid:durableId="560747232">
    <w:abstractNumId w:val="17"/>
  </w:num>
  <w:num w:numId="62" w16cid:durableId="827523799">
    <w:abstractNumId w:val="5"/>
  </w:num>
  <w:num w:numId="63" w16cid:durableId="337658943">
    <w:abstractNumId w:val="43"/>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34C"/>
    <w:rsid w:val="0000087C"/>
    <w:rsid w:val="000008FE"/>
    <w:rsid w:val="00001F60"/>
    <w:rsid w:val="0000279C"/>
    <w:rsid w:val="00002968"/>
    <w:rsid w:val="00002AAD"/>
    <w:rsid w:val="00002F84"/>
    <w:rsid w:val="000032EA"/>
    <w:rsid w:val="000033F8"/>
    <w:rsid w:val="0000344B"/>
    <w:rsid w:val="00003CCD"/>
    <w:rsid w:val="00003ECC"/>
    <w:rsid w:val="00003EDA"/>
    <w:rsid w:val="00004BF9"/>
    <w:rsid w:val="0000513E"/>
    <w:rsid w:val="000053EE"/>
    <w:rsid w:val="00005FD8"/>
    <w:rsid w:val="000061EF"/>
    <w:rsid w:val="00006738"/>
    <w:rsid w:val="00006E95"/>
    <w:rsid w:val="00007078"/>
    <w:rsid w:val="00007093"/>
    <w:rsid w:val="000073ED"/>
    <w:rsid w:val="0000798C"/>
    <w:rsid w:val="000079DB"/>
    <w:rsid w:val="00007A9C"/>
    <w:rsid w:val="00007EB8"/>
    <w:rsid w:val="0001017F"/>
    <w:rsid w:val="000107EF"/>
    <w:rsid w:val="000108F5"/>
    <w:rsid w:val="00012E3A"/>
    <w:rsid w:val="00012E6C"/>
    <w:rsid w:val="0001348E"/>
    <w:rsid w:val="0001350D"/>
    <w:rsid w:val="00013811"/>
    <w:rsid w:val="0001401D"/>
    <w:rsid w:val="0001457F"/>
    <w:rsid w:val="000145E4"/>
    <w:rsid w:val="000150B2"/>
    <w:rsid w:val="00016291"/>
    <w:rsid w:val="0001640D"/>
    <w:rsid w:val="00016EF3"/>
    <w:rsid w:val="000172B5"/>
    <w:rsid w:val="000172FD"/>
    <w:rsid w:val="00020141"/>
    <w:rsid w:val="00020CA2"/>
    <w:rsid w:val="000214C6"/>
    <w:rsid w:val="0002150D"/>
    <w:rsid w:val="0002183E"/>
    <w:rsid w:val="00021974"/>
    <w:rsid w:val="0002200F"/>
    <w:rsid w:val="000223BD"/>
    <w:rsid w:val="00022920"/>
    <w:rsid w:val="00022BE3"/>
    <w:rsid w:val="00022F20"/>
    <w:rsid w:val="000239CF"/>
    <w:rsid w:val="00023BDC"/>
    <w:rsid w:val="00023F81"/>
    <w:rsid w:val="0002478A"/>
    <w:rsid w:val="00024863"/>
    <w:rsid w:val="00024D26"/>
    <w:rsid w:val="00024E0B"/>
    <w:rsid w:val="00025504"/>
    <w:rsid w:val="00025D4D"/>
    <w:rsid w:val="00025F3F"/>
    <w:rsid w:val="00026310"/>
    <w:rsid w:val="00026DAE"/>
    <w:rsid w:val="00026E2A"/>
    <w:rsid w:val="00026F10"/>
    <w:rsid w:val="0002701D"/>
    <w:rsid w:val="000273EF"/>
    <w:rsid w:val="00027458"/>
    <w:rsid w:val="0003005E"/>
    <w:rsid w:val="000303DC"/>
    <w:rsid w:val="00030A19"/>
    <w:rsid w:val="00030BE4"/>
    <w:rsid w:val="00031705"/>
    <w:rsid w:val="00031898"/>
    <w:rsid w:val="00031E5B"/>
    <w:rsid w:val="0003257A"/>
    <w:rsid w:val="0003264D"/>
    <w:rsid w:val="000332F9"/>
    <w:rsid w:val="000333F8"/>
    <w:rsid w:val="00033778"/>
    <w:rsid w:val="00033A09"/>
    <w:rsid w:val="00034368"/>
    <w:rsid w:val="00034577"/>
    <w:rsid w:val="000349B9"/>
    <w:rsid w:val="00034B67"/>
    <w:rsid w:val="00035788"/>
    <w:rsid w:val="00035CCC"/>
    <w:rsid w:val="0003673C"/>
    <w:rsid w:val="0003695D"/>
    <w:rsid w:val="000378B7"/>
    <w:rsid w:val="00040255"/>
    <w:rsid w:val="00040B75"/>
    <w:rsid w:val="0004202C"/>
    <w:rsid w:val="0004205A"/>
    <w:rsid w:val="00042225"/>
    <w:rsid w:val="000428F7"/>
    <w:rsid w:val="00042A67"/>
    <w:rsid w:val="00042ECD"/>
    <w:rsid w:val="00042FB4"/>
    <w:rsid w:val="00043370"/>
    <w:rsid w:val="000438B4"/>
    <w:rsid w:val="000439D1"/>
    <w:rsid w:val="00044439"/>
    <w:rsid w:val="000448AC"/>
    <w:rsid w:val="00044A09"/>
    <w:rsid w:val="000460B0"/>
    <w:rsid w:val="00046288"/>
    <w:rsid w:val="000462B1"/>
    <w:rsid w:val="0004633C"/>
    <w:rsid w:val="00046490"/>
    <w:rsid w:val="000465AD"/>
    <w:rsid w:val="000472BE"/>
    <w:rsid w:val="000474AB"/>
    <w:rsid w:val="000475F3"/>
    <w:rsid w:val="000479BB"/>
    <w:rsid w:val="0005076F"/>
    <w:rsid w:val="00050F66"/>
    <w:rsid w:val="000511BF"/>
    <w:rsid w:val="000526DD"/>
    <w:rsid w:val="00053743"/>
    <w:rsid w:val="00053E7A"/>
    <w:rsid w:val="0005474B"/>
    <w:rsid w:val="00054AE3"/>
    <w:rsid w:val="00054D5C"/>
    <w:rsid w:val="00055265"/>
    <w:rsid w:val="00055BD5"/>
    <w:rsid w:val="00056A39"/>
    <w:rsid w:val="00056CB1"/>
    <w:rsid w:val="00057266"/>
    <w:rsid w:val="000600EC"/>
    <w:rsid w:val="00060DBF"/>
    <w:rsid w:val="0006181A"/>
    <w:rsid w:val="00062090"/>
    <w:rsid w:val="0006211B"/>
    <w:rsid w:val="00062547"/>
    <w:rsid w:val="00062F12"/>
    <w:rsid w:val="000633AB"/>
    <w:rsid w:val="00063FDA"/>
    <w:rsid w:val="000641ED"/>
    <w:rsid w:val="00064D68"/>
    <w:rsid w:val="00066430"/>
    <w:rsid w:val="000666AF"/>
    <w:rsid w:val="00067463"/>
    <w:rsid w:val="000674F0"/>
    <w:rsid w:val="00070331"/>
    <w:rsid w:val="000703B4"/>
    <w:rsid w:val="00070530"/>
    <w:rsid w:val="00070659"/>
    <w:rsid w:val="00070AA5"/>
    <w:rsid w:val="00070CC4"/>
    <w:rsid w:val="00071104"/>
    <w:rsid w:val="0007318C"/>
    <w:rsid w:val="00073894"/>
    <w:rsid w:val="000746F6"/>
    <w:rsid w:val="000747C8"/>
    <w:rsid w:val="00074BB6"/>
    <w:rsid w:val="000759AC"/>
    <w:rsid w:val="00075A28"/>
    <w:rsid w:val="00075B07"/>
    <w:rsid w:val="0007645B"/>
    <w:rsid w:val="000770C4"/>
    <w:rsid w:val="000770F6"/>
    <w:rsid w:val="0008048D"/>
    <w:rsid w:val="0008069B"/>
    <w:rsid w:val="00080B5D"/>
    <w:rsid w:val="00080F0D"/>
    <w:rsid w:val="000815E1"/>
    <w:rsid w:val="0008167C"/>
    <w:rsid w:val="00081D41"/>
    <w:rsid w:val="000828BD"/>
    <w:rsid w:val="000833BA"/>
    <w:rsid w:val="000837A1"/>
    <w:rsid w:val="00083845"/>
    <w:rsid w:val="00084C50"/>
    <w:rsid w:val="00084F78"/>
    <w:rsid w:val="00084FA6"/>
    <w:rsid w:val="000856EA"/>
    <w:rsid w:val="00085AC8"/>
    <w:rsid w:val="00085EA3"/>
    <w:rsid w:val="000865C1"/>
    <w:rsid w:val="00086AE2"/>
    <w:rsid w:val="00086F04"/>
    <w:rsid w:val="00087F3E"/>
    <w:rsid w:val="00087FD9"/>
    <w:rsid w:val="0009156C"/>
    <w:rsid w:val="000915E3"/>
    <w:rsid w:val="000919A0"/>
    <w:rsid w:val="00091B4F"/>
    <w:rsid w:val="000927AD"/>
    <w:rsid w:val="00092E2F"/>
    <w:rsid w:val="00093A30"/>
    <w:rsid w:val="00093D24"/>
    <w:rsid w:val="00096E51"/>
    <w:rsid w:val="00097908"/>
    <w:rsid w:val="00097D31"/>
    <w:rsid w:val="000A05F2"/>
    <w:rsid w:val="000A0817"/>
    <w:rsid w:val="000A0D37"/>
    <w:rsid w:val="000A0FD3"/>
    <w:rsid w:val="000A1534"/>
    <w:rsid w:val="000A1802"/>
    <w:rsid w:val="000A1863"/>
    <w:rsid w:val="000A1C30"/>
    <w:rsid w:val="000A1C49"/>
    <w:rsid w:val="000A1DFE"/>
    <w:rsid w:val="000A27D6"/>
    <w:rsid w:val="000A2B70"/>
    <w:rsid w:val="000A2F32"/>
    <w:rsid w:val="000A320D"/>
    <w:rsid w:val="000A3E93"/>
    <w:rsid w:val="000A4916"/>
    <w:rsid w:val="000A51AC"/>
    <w:rsid w:val="000A5416"/>
    <w:rsid w:val="000A54E3"/>
    <w:rsid w:val="000A58F8"/>
    <w:rsid w:val="000A5BAB"/>
    <w:rsid w:val="000A7170"/>
    <w:rsid w:val="000B0047"/>
    <w:rsid w:val="000B09D4"/>
    <w:rsid w:val="000B15CB"/>
    <w:rsid w:val="000B2B4D"/>
    <w:rsid w:val="000B2CDD"/>
    <w:rsid w:val="000B30F8"/>
    <w:rsid w:val="000B3DF1"/>
    <w:rsid w:val="000B408E"/>
    <w:rsid w:val="000B46C0"/>
    <w:rsid w:val="000B47AC"/>
    <w:rsid w:val="000B53B1"/>
    <w:rsid w:val="000B5880"/>
    <w:rsid w:val="000B65CC"/>
    <w:rsid w:val="000B6C80"/>
    <w:rsid w:val="000B717F"/>
    <w:rsid w:val="000B76CE"/>
    <w:rsid w:val="000C0186"/>
    <w:rsid w:val="000C10F2"/>
    <w:rsid w:val="000C132F"/>
    <w:rsid w:val="000C13F9"/>
    <w:rsid w:val="000C1B3D"/>
    <w:rsid w:val="000C23C9"/>
    <w:rsid w:val="000C3289"/>
    <w:rsid w:val="000C486B"/>
    <w:rsid w:val="000C48DA"/>
    <w:rsid w:val="000C5133"/>
    <w:rsid w:val="000C566D"/>
    <w:rsid w:val="000C56B1"/>
    <w:rsid w:val="000C59EA"/>
    <w:rsid w:val="000C6649"/>
    <w:rsid w:val="000C6B69"/>
    <w:rsid w:val="000C6EAC"/>
    <w:rsid w:val="000C716E"/>
    <w:rsid w:val="000C754A"/>
    <w:rsid w:val="000C7558"/>
    <w:rsid w:val="000C76F3"/>
    <w:rsid w:val="000C7800"/>
    <w:rsid w:val="000C78A8"/>
    <w:rsid w:val="000C7F8C"/>
    <w:rsid w:val="000D0FD7"/>
    <w:rsid w:val="000D1911"/>
    <w:rsid w:val="000D1A7E"/>
    <w:rsid w:val="000D25FD"/>
    <w:rsid w:val="000D26F7"/>
    <w:rsid w:val="000D2F92"/>
    <w:rsid w:val="000D3809"/>
    <w:rsid w:val="000D4766"/>
    <w:rsid w:val="000D5322"/>
    <w:rsid w:val="000D58C8"/>
    <w:rsid w:val="000D6179"/>
    <w:rsid w:val="000D736F"/>
    <w:rsid w:val="000D7C8B"/>
    <w:rsid w:val="000D7DBE"/>
    <w:rsid w:val="000E0089"/>
    <w:rsid w:val="000E02F0"/>
    <w:rsid w:val="000E0589"/>
    <w:rsid w:val="000E0B92"/>
    <w:rsid w:val="000E0FB7"/>
    <w:rsid w:val="000E1285"/>
    <w:rsid w:val="000E1514"/>
    <w:rsid w:val="000E16C6"/>
    <w:rsid w:val="000E1D6D"/>
    <w:rsid w:val="000E20E5"/>
    <w:rsid w:val="000E25EB"/>
    <w:rsid w:val="000E272D"/>
    <w:rsid w:val="000E276E"/>
    <w:rsid w:val="000E2C19"/>
    <w:rsid w:val="000E3A00"/>
    <w:rsid w:val="000E4362"/>
    <w:rsid w:val="000E465B"/>
    <w:rsid w:val="000E52F4"/>
    <w:rsid w:val="000E6779"/>
    <w:rsid w:val="000E6E47"/>
    <w:rsid w:val="000F0120"/>
    <w:rsid w:val="000F06C0"/>
    <w:rsid w:val="000F0849"/>
    <w:rsid w:val="000F149E"/>
    <w:rsid w:val="000F1819"/>
    <w:rsid w:val="000F187C"/>
    <w:rsid w:val="000F1AB4"/>
    <w:rsid w:val="000F34FE"/>
    <w:rsid w:val="000F391F"/>
    <w:rsid w:val="000F39C7"/>
    <w:rsid w:val="000F3DFF"/>
    <w:rsid w:val="000F402B"/>
    <w:rsid w:val="000F4119"/>
    <w:rsid w:val="000F479F"/>
    <w:rsid w:val="000F68AB"/>
    <w:rsid w:val="000F6A2D"/>
    <w:rsid w:val="000F6A2F"/>
    <w:rsid w:val="000F77B0"/>
    <w:rsid w:val="000F786D"/>
    <w:rsid w:val="000F78AB"/>
    <w:rsid w:val="0010089E"/>
    <w:rsid w:val="00101011"/>
    <w:rsid w:val="001013A7"/>
    <w:rsid w:val="001013C0"/>
    <w:rsid w:val="00101627"/>
    <w:rsid w:val="001018E0"/>
    <w:rsid w:val="00103ED0"/>
    <w:rsid w:val="00104770"/>
    <w:rsid w:val="0010536E"/>
    <w:rsid w:val="001054D1"/>
    <w:rsid w:val="001057E0"/>
    <w:rsid w:val="00105CAF"/>
    <w:rsid w:val="00106676"/>
    <w:rsid w:val="00107055"/>
    <w:rsid w:val="00107146"/>
    <w:rsid w:val="00107EFF"/>
    <w:rsid w:val="00110C71"/>
    <w:rsid w:val="00110EE9"/>
    <w:rsid w:val="001116D9"/>
    <w:rsid w:val="00111889"/>
    <w:rsid w:val="001119BB"/>
    <w:rsid w:val="00111D4B"/>
    <w:rsid w:val="0011217C"/>
    <w:rsid w:val="00112195"/>
    <w:rsid w:val="001126DA"/>
    <w:rsid w:val="00112974"/>
    <w:rsid w:val="0011368E"/>
    <w:rsid w:val="001153B5"/>
    <w:rsid w:val="00115545"/>
    <w:rsid w:val="001163FC"/>
    <w:rsid w:val="00116922"/>
    <w:rsid w:val="001169A7"/>
    <w:rsid w:val="00116A6F"/>
    <w:rsid w:val="001171A3"/>
    <w:rsid w:val="0011765C"/>
    <w:rsid w:val="001200A9"/>
    <w:rsid w:val="001200B9"/>
    <w:rsid w:val="00121927"/>
    <w:rsid w:val="001219D0"/>
    <w:rsid w:val="0012320B"/>
    <w:rsid w:val="0012372B"/>
    <w:rsid w:val="0012393F"/>
    <w:rsid w:val="00123ECC"/>
    <w:rsid w:val="00123EE2"/>
    <w:rsid w:val="001255E5"/>
    <w:rsid w:val="00125E47"/>
    <w:rsid w:val="0012616D"/>
    <w:rsid w:val="00126BF7"/>
    <w:rsid w:val="00126C3A"/>
    <w:rsid w:val="00127095"/>
    <w:rsid w:val="001279E2"/>
    <w:rsid w:val="00127B58"/>
    <w:rsid w:val="0013009C"/>
    <w:rsid w:val="00130239"/>
    <w:rsid w:val="001328BF"/>
    <w:rsid w:val="00132A82"/>
    <w:rsid w:val="00132BB0"/>
    <w:rsid w:val="00133D42"/>
    <w:rsid w:val="001342DD"/>
    <w:rsid w:val="0013514B"/>
    <w:rsid w:val="00135883"/>
    <w:rsid w:val="0013648B"/>
    <w:rsid w:val="001368A5"/>
    <w:rsid w:val="00136F55"/>
    <w:rsid w:val="00137A60"/>
    <w:rsid w:val="00137BEC"/>
    <w:rsid w:val="00140226"/>
    <w:rsid w:val="0014023A"/>
    <w:rsid w:val="0014144A"/>
    <w:rsid w:val="001419F4"/>
    <w:rsid w:val="001420B3"/>
    <w:rsid w:val="001420BF"/>
    <w:rsid w:val="00142572"/>
    <w:rsid w:val="00142C73"/>
    <w:rsid w:val="00143035"/>
    <w:rsid w:val="001437B0"/>
    <w:rsid w:val="0014382B"/>
    <w:rsid w:val="00143FF5"/>
    <w:rsid w:val="00144C11"/>
    <w:rsid w:val="00145062"/>
    <w:rsid w:val="00146434"/>
    <w:rsid w:val="00150297"/>
    <w:rsid w:val="00150BB4"/>
    <w:rsid w:val="00150C1C"/>
    <w:rsid w:val="0015132F"/>
    <w:rsid w:val="0015164B"/>
    <w:rsid w:val="0015327B"/>
    <w:rsid w:val="0015405F"/>
    <w:rsid w:val="001547C0"/>
    <w:rsid w:val="00154930"/>
    <w:rsid w:val="00155206"/>
    <w:rsid w:val="00155306"/>
    <w:rsid w:val="00156590"/>
    <w:rsid w:val="0015680E"/>
    <w:rsid w:val="00157015"/>
    <w:rsid w:val="001576FD"/>
    <w:rsid w:val="001579F9"/>
    <w:rsid w:val="00160A39"/>
    <w:rsid w:val="00160ABF"/>
    <w:rsid w:val="001625E4"/>
    <w:rsid w:val="00162C73"/>
    <w:rsid w:val="00162D17"/>
    <w:rsid w:val="00163346"/>
    <w:rsid w:val="001638B2"/>
    <w:rsid w:val="00163EC8"/>
    <w:rsid w:val="001649F7"/>
    <w:rsid w:val="00164F64"/>
    <w:rsid w:val="001657DF"/>
    <w:rsid w:val="00165A5B"/>
    <w:rsid w:val="00166429"/>
    <w:rsid w:val="0016789A"/>
    <w:rsid w:val="00170584"/>
    <w:rsid w:val="0017077D"/>
    <w:rsid w:val="001725A6"/>
    <w:rsid w:val="00172FC4"/>
    <w:rsid w:val="0017304B"/>
    <w:rsid w:val="00173542"/>
    <w:rsid w:val="00173B56"/>
    <w:rsid w:val="00173C42"/>
    <w:rsid w:val="00174994"/>
    <w:rsid w:val="001749AB"/>
    <w:rsid w:val="00175FCC"/>
    <w:rsid w:val="001762CE"/>
    <w:rsid w:val="001763D4"/>
    <w:rsid w:val="00176493"/>
    <w:rsid w:val="0017651B"/>
    <w:rsid w:val="0017673A"/>
    <w:rsid w:val="0017695A"/>
    <w:rsid w:val="001776EB"/>
    <w:rsid w:val="0018103E"/>
    <w:rsid w:val="001810AD"/>
    <w:rsid w:val="001811D7"/>
    <w:rsid w:val="00181B1E"/>
    <w:rsid w:val="00181B6C"/>
    <w:rsid w:val="00181DB5"/>
    <w:rsid w:val="00182852"/>
    <w:rsid w:val="00183D7E"/>
    <w:rsid w:val="00183E50"/>
    <w:rsid w:val="00184B85"/>
    <w:rsid w:val="00185698"/>
    <w:rsid w:val="00185E90"/>
    <w:rsid w:val="001900D9"/>
    <w:rsid w:val="00190E44"/>
    <w:rsid w:val="001928B7"/>
    <w:rsid w:val="00192E1E"/>
    <w:rsid w:val="00192E3B"/>
    <w:rsid w:val="00193D5D"/>
    <w:rsid w:val="00193E81"/>
    <w:rsid w:val="0019482E"/>
    <w:rsid w:val="0019483B"/>
    <w:rsid w:val="00195AB7"/>
    <w:rsid w:val="00195EF6"/>
    <w:rsid w:val="001966CE"/>
    <w:rsid w:val="001969F1"/>
    <w:rsid w:val="0019737E"/>
    <w:rsid w:val="001975BB"/>
    <w:rsid w:val="00197C17"/>
    <w:rsid w:val="00197E58"/>
    <w:rsid w:val="001A01AA"/>
    <w:rsid w:val="001A0200"/>
    <w:rsid w:val="001A0DFC"/>
    <w:rsid w:val="001A14EF"/>
    <w:rsid w:val="001A155D"/>
    <w:rsid w:val="001A224C"/>
    <w:rsid w:val="001A247C"/>
    <w:rsid w:val="001A25A8"/>
    <w:rsid w:val="001A356A"/>
    <w:rsid w:val="001A3C6F"/>
    <w:rsid w:val="001A3EE3"/>
    <w:rsid w:val="001A40A7"/>
    <w:rsid w:val="001A437E"/>
    <w:rsid w:val="001A4612"/>
    <w:rsid w:val="001A6FBC"/>
    <w:rsid w:val="001A7138"/>
    <w:rsid w:val="001A7F6A"/>
    <w:rsid w:val="001B0BF2"/>
    <w:rsid w:val="001B0C27"/>
    <w:rsid w:val="001B14D9"/>
    <w:rsid w:val="001B15F7"/>
    <w:rsid w:val="001B1EDF"/>
    <w:rsid w:val="001B1F13"/>
    <w:rsid w:val="001B2AB4"/>
    <w:rsid w:val="001B2D42"/>
    <w:rsid w:val="001B3B23"/>
    <w:rsid w:val="001B3E20"/>
    <w:rsid w:val="001B41DD"/>
    <w:rsid w:val="001B447A"/>
    <w:rsid w:val="001B4640"/>
    <w:rsid w:val="001B478A"/>
    <w:rsid w:val="001B4877"/>
    <w:rsid w:val="001B4C9F"/>
    <w:rsid w:val="001B5541"/>
    <w:rsid w:val="001B5D07"/>
    <w:rsid w:val="001B6644"/>
    <w:rsid w:val="001B7D0A"/>
    <w:rsid w:val="001C007D"/>
    <w:rsid w:val="001C01B0"/>
    <w:rsid w:val="001C078C"/>
    <w:rsid w:val="001C0DE8"/>
    <w:rsid w:val="001C1568"/>
    <w:rsid w:val="001C1A27"/>
    <w:rsid w:val="001C21C5"/>
    <w:rsid w:val="001C2A06"/>
    <w:rsid w:val="001C2B13"/>
    <w:rsid w:val="001C3738"/>
    <w:rsid w:val="001C4C59"/>
    <w:rsid w:val="001C51B2"/>
    <w:rsid w:val="001C5473"/>
    <w:rsid w:val="001C675B"/>
    <w:rsid w:val="001C6F84"/>
    <w:rsid w:val="001C7435"/>
    <w:rsid w:val="001C7D5B"/>
    <w:rsid w:val="001D0E31"/>
    <w:rsid w:val="001D16FB"/>
    <w:rsid w:val="001D1728"/>
    <w:rsid w:val="001D1EF6"/>
    <w:rsid w:val="001D2180"/>
    <w:rsid w:val="001D24BE"/>
    <w:rsid w:val="001D2A94"/>
    <w:rsid w:val="001D2B00"/>
    <w:rsid w:val="001D3F06"/>
    <w:rsid w:val="001D4041"/>
    <w:rsid w:val="001D45F5"/>
    <w:rsid w:val="001D49D3"/>
    <w:rsid w:val="001D49E9"/>
    <w:rsid w:val="001D4B1F"/>
    <w:rsid w:val="001D4B78"/>
    <w:rsid w:val="001D4F1B"/>
    <w:rsid w:val="001D4F74"/>
    <w:rsid w:val="001D5058"/>
    <w:rsid w:val="001D523C"/>
    <w:rsid w:val="001D5369"/>
    <w:rsid w:val="001D53A0"/>
    <w:rsid w:val="001D5E8B"/>
    <w:rsid w:val="001D645D"/>
    <w:rsid w:val="001D6587"/>
    <w:rsid w:val="001D6782"/>
    <w:rsid w:val="001D6870"/>
    <w:rsid w:val="001D6BD1"/>
    <w:rsid w:val="001D79A1"/>
    <w:rsid w:val="001D7F4A"/>
    <w:rsid w:val="001E06B7"/>
    <w:rsid w:val="001E0C03"/>
    <w:rsid w:val="001E1456"/>
    <w:rsid w:val="001E2740"/>
    <w:rsid w:val="001E3E2F"/>
    <w:rsid w:val="001E5E56"/>
    <w:rsid w:val="001E61D2"/>
    <w:rsid w:val="001E6536"/>
    <w:rsid w:val="001E662C"/>
    <w:rsid w:val="001E70CA"/>
    <w:rsid w:val="001E74B4"/>
    <w:rsid w:val="001E7711"/>
    <w:rsid w:val="001E788D"/>
    <w:rsid w:val="001E7A9B"/>
    <w:rsid w:val="001E7BA8"/>
    <w:rsid w:val="001E7C6A"/>
    <w:rsid w:val="001F06FC"/>
    <w:rsid w:val="001F0798"/>
    <w:rsid w:val="001F0884"/>
    <w:rsid w:val="001F0AA0"/>
    <w:rsid w:val="001F0AE6"/>
    <w:rsid w:val="001F0B51"/>
    <w:rsid w:val="001F11B6"/>
    <w:rsid w:val="001F189B"/>
    <w:rsid w:val="001F18EC"/>
    <w:rsid w:val="001F1DC0"/>
    <w:rsid w:val="001F215F"/>
    <w:rsid w:val="001F2819"/>
    <w:rsid w:val="001F2B08"/>
    <w:rsid w:val="001F2B1B"/>
    <w:rsid w:val="001F3052"/>
    <w:rsid w:val="001F34D0"/>
    <w:rsid w:val="001F3BD4"/>
    <w:rsid w:val="001F4902"/>
    <w:rsid w:val="001F59C4"/>
    <w:rsid w:val="001F6410"/>
    <w:rsid w:val="001F655C"/>
    <w:rsid w:val="001F6D7B"/>
    <w:rsid w:val="001F75A5"/>
    <w:rsid w:val="001F79BB"/>
    <w:rsid w:val="002007C5"/>
    <w:rsid w:val="00200933"/>
    <w:rsid w:val="00200946"/>
    <w:rsid w:val="00200965"/>
    <w:rsid w:val="00200D70"/>
    <w:rsid w:val="0020101A"/>
    <w:rsid w:val="0020118C"/>
    <w:rsid w:val="00201AAB"/>
    <w:rsid w:val="00201AE9"/>
    <w:rsid w:val="00201D68"/>
    <w:rsid w:val="002022C3"/>
    <w:rsid w:val="00202B0C"/>
    <w:rsid w:val="00202B51"/>
    <w:rsid w:val="00203AA6"/>
    <w:rsid w:val="00204AA2"/>
    <w:rsid w:val="0020542B"/>
    <w:rsid w:val="00205B98"/>
    <w:rsid w:val="00205F52"/>
    <w:rsid w:val="00206088"/>
    <w:rsid w:val="00206124"/>
    <w:rsid w:val="00206165"/>
    <w:rsid w:val="00206F69"/>
    <w:rsid w:val="00207B95"/>
    <w:rsid w:val="0021043F"/>
    <w:rsid w:val="0021172D"/>
    <w:rsid w:val="00211B25"/>
    <w:rsid w:val="002122C9"/>
    <w:rsid w:val="00212E21"/>
    <w:rsid w:val="00213252"/>
    <w:rsid w:val="0021350E"/>
    <w:rsid w:val="00213E51"/>
    <w:rsid w:val="00214390"/>
    <w:rsid w:val="00215860"/>
    <w:rsid w:val="00216268"/>
    <w:rsid w:val="00216AF9"/>
    <w:rsid w:val="00216F2C"/>
    <w:rsid w:val="0021723B"/>
    <w:rsid w:val="00220D7D"/>
    <w:rsid w:val="0022128A"/>
    <w:rsid w:val="00222442"/>
    <w:rsid w:val="002224FB"/>
    <w:rsid w:val="00222911"/>
    <w:rsid w:val="002229A2"/>
    <w:rsid w:val="002238E4"/>
    <w:rsid w:val="002239DB"/>
    <w:rsid w:val="002243A2"/>
    <w:rsid w:val="00224A2F"/>
    <w:rsid w:val="002251E5"/>
    <w:rsid w:val="002252C3"/>
    <w:rsid w:val="00225914"/>
    <w:rsid w:val="00225919"/>
    <w:rsid w:val="00225B6A"/>
    <w:rsid w:val="00226857"/>
    <w:rsid w:val="00227FD6"/>
    <w:rsid w:val="00230488"/>
    <w:rsid w:val="002309E3"/>
    <w:rsid w:val="00230DA4"/>
    <w:rsid w:val="002314AD"/>
    <w:rsid w:val="0023181C"/>
    <w:rsid w:val="00232247"/>
    <w:rsid w:val="0023260D"/>
    <w:rsid w:val="00233652"/>
    <w:rsid w:val="002336AF"/>
    <w:rsid w:val="00234197"/>
    <w:rsid w:val="00234295"/>
    <w:rsid w:val="0023454E"/>
    <w:rsid w:val="002345E2"/>
    <w:rsid w:val="00234A24"/>
    <w:rsid w:val="00234BA0"/>
    <w:rsid w:val="00234C27"/>
    <w:rsid w:val="00234FBC"/>
    <w:rsid w:val="00235028"/>
    <w:rsid w:val="0023536A"/>
    <w:rsid w:val="002357E0"/>
    <w:rsid w:val="00236018"/>
    <w:rsid w:val="0023721A"/>
    <w:rsid w:val="00237F23"/>
    <w:rsid w:val="0024070A"/>
    <w:rsid w:val="002413AE"/>
    <w:rsid w:val="00241746"/>
    <w:rsid w:val="00242788"/>
    <w:rsid w:val="00242CA9"/>
    <w:rsid w:val="00243363"/>
    <w:rsid w:val="0024408D"/>
    <w:rsid w:val="00244261"/>
    <w:rsid w:val="00245FED"/>
    <w:rsid w:val="00246EF7"/>
    <w:rsid w:val="00246F76"/>
    <w:rsid w:val="00247B68"/>
    <w:rsid w:val="002502C8"/>
    <w:rsid w:val="002503D5"/>
    <w:rsid w:val="00250495"/>
    <w:rsid w:val="002511C4"/>
    <w:rsid w:val="00251DA2"/>
    <w:rsid w:val="0025233F"/>
    <w:rsid w:val="0025248C"/>
    <w:rsid w:val="00252BCF"/>
    <w:rsid w:val="00252C33"/>
    <w:rsid w:val="00252C3A"/>
    <w:rsid w:val="00253BF6"/>
    <w:rsid w:val="00253CFA"/>
    <w:rsid w:val="0025456E"/>
    <w:rsid w:val="002551EB"/>
    <w:rsid w:val="002558CF"/>
    <w:rsid w:val="00255903"/>
    <w:rsid w:val="00256051"/>
    <w:rsid w:val="002569B3"/>
    <w:rsid w:val="002569B9"/>
    <w:rsid w:val="002572D4"/>
    <w:rsid w:val="002575C6"/>
    <w:rsid w:val="002578E7"/>
    <w:rsid w:val="00260D71"/>
    <w:rsid w:val="002613A9"/>
    <w:rsid w:val="0026169C"/>
    <w:rsid w:val="002618DC"/>
    <w:rsid w:val="00261B44"/>
    <w:rsid w:val="00261E26"/>
    <w:rsid w:val="00261E56"/>
    <w:rsid w:val="00262526"/>
    <w:rsid w:val="00262D31"/>
    <w:rsid w:val="00263358"/>
    <w:rsid w:val="002635A0"/>
    <w:rsid w:val="00263882"/>
    <w:rsid w:val="00264773"/>
    <w:rsid w:val="00264F01"/>
    <w:rsid w:val="00265937"/>
    <w:rsid w:val="00265E57"/>
    <w:rsid w:val="00266F39"/>
    <w:rsid w:val="00267645"/>
    <w:rsid w:val="00267D68"/>
    <w:rsid w:val="00267FCA"/>
    <w:rsid w:val="0027010B"/>
    <w:rsid w:val="00270363"/>
    <w:rsid w:val="00270424"/>
    <w:rsid w:val="00270803"/>
    <w:rsid w:val="00270BE2"/>
    <w:rsid w:val="00270D9D"/>
    <w:rsid w:val="002712D5"/>
    <w:rsid w:val="0027176F"/>
    <w:rsid w:val="002724C9"/>
    <w:rsid w:val="00273539"/>
    <w:rsid w:val="00273CDA"/>
    <w:rsid w:val="00273E81"/>
    <w:rsid w:val="00274576"/>
    <w:rsid w:val="002749D2"/>
    <w:rsid w:val="00274B62"/>
    <w:rsid w:val="00274EDF"/>
    <w:rsid w:val="002755F2"/>
    <w:rsid w:val="0027612F"/>
    <w:rsid w:val="002761A2"/>
    <w:rsid w:val="002768ED"/>
    <w:rsid w:val="002773A1"/>
    <w:rsid w:val="00277779"/>
    <w:rsid w:val="002779DE"/>
    <w:rsid w:val="002802CD"/>
    <w:rsid w:val="00280AF8"/>
    <w:rsid w:val="00280B25"/>
    <w:rsid w:val="00281A46"/>
    <w:rsid w:val="00282029"/>
    <w:rsid w:val="002828E2"/>
    <w:rsid w:val="00282F89"/>
    <w:rsid w:val="00283455"/>
    <w:rsid w:val="00283533"/>
    <w:rsid w:val="00283639"/>
    <w:rsid w:val="002842A8"/>
    <w:rsid w:val="002855F8"/>
    <w:rsid w:val="00285971"/>
    <w:rsid w:val="00286901"/>
    <w:rsid w:val="00286CF6"/>
    <w:rsid w:val="00286FF0"/>
    <w:rsid w:val="0028740D"/>
    <w:rsid w:val="002876E4"/>
    <w:rsid w:val="00290497"/>
    <w:rsid w:val="002909C0"/>
    <w:rsid w:val="002914C6"/>
    <w:rsid w:val="00291510"/>
    <w:rsid w:val="00291D7C"/>
    <w:rsid w:val="00291F7C"/>
    <w:rsid w:val="00292362"/>
    <w:rsid w:val="00292435"/>
    <w:rsid w:val="00292573"/>
    <w:rsid w:val="00292BCA"/>
    <w:rsid w:val="00293AD3"/>
    <w:rsid w:val="00294CE8"/>
    <w:rsid w:val="00295E19"/>
    <w:rsid w:val="00295F87"/>
    <w:rsid w:val="00295FEC"/>
    <w:rsid w:val="0029620C"/>
    <w:rsid w:val="00296A1D"/>
    <w:rsid w:val="00297631"/>
    <w:rsid w:val="00297A8A"/>
    <w:rsid w:val="00297B9B"/>
    <w:rsid w:val="00297CF2"/>
    <w:rsid w:val="002A01A1"/>
    <w:rsid w:val="002A02DC"/>
    <w:rsid w:val="002A0865"/>
    <w:rsid w:val="002A1051"/>
    <w:rsid w:val="002A160A"/>
    <w:rsid w:val="002A23DD"/>
    <w:rsid w:val="002A2641"/>
    <w:rsid w:val="002A3169"/>
    <w:rsid w:val="002A36D9"/>
    <w:rsid w:val="002A37C4"/>
    <w:rsid w:val="002A43DA"/>
    <w:rsid w:val="002A4618"/>
    <w:rsid w:val="002A4F34"/>
    <w:rsid w:val="002A5626"/>
    <w:rsid w:val="002A62D0"/>
    <w:rsid w:val="002A67BF"/>
    <w:rsid w:val="002A7115"/>
    <w:rsid w:val="002A7F16"/>
    <w:rsid w:val="002B0474"/>
    <w:rsid w:val="002B0687"/>
    <w:rsid w:val="002B0CE5"/>
    <w:rsid w:val="002B0F21"/>
    <w:rsid w:val="002B1004"/>
    <w:rsid w:val="002B109C"/>
    <w:rsid w:val="002B16E3"/>
    <w:rsid w:val="002B2521"/>
    <w:rsid w:val="002B2796"/>
    <w:rsid w:val="002B2867"/>
    <w:rsid w:val="002B2C5D"/>
    <w:rsid w:val="002B3B1C"/>
    <w:rsid w:val="002B4809"/>
    <w:rsid w:val="002B48A2"/>
    <w:rsid w:val="002B4F91"/>
    <w:rsid w:val="002B5ACE"/>
    <w:rsid w:val="002B6D9A"/>
    <w:rsid w:val="002B7317"/>
    <w:rsid w:val="002B768C"/>
    <w:rsid w:val="002B77CB"/>
    <w:rsid w:val="002B7973"/>
    <w:rsid w:val="002B7F89"/>
    <w:rsid w:val="002C00A4"/>
    <w:rsid w:val="002C024B"/>
    <w:rsid w:val="002C0903"/>
    <w:rsid w:val="002C0C97"/>
    <w:rsid w:val="002C0CB3"/>
    <w:rsid w:val="002C11EB"/>
    <w:rsid w:val="002C2A42"/>
    <w:rsid w:val="002C2D6E"/>
    <w:rsid w:val="002C30B6"/>
    <w:rsid w:val="002C32FA"/>
    <w:rsid w:val="002C400C"/>
    <w:rsid w:val="002C4CFE"/>
    <w:rsid w:val="002C5974"/>
    <w:rsid w:val="002C5997"/>
    <w:rsid w:val="002C5F82"/>
    <w:rsid w:val="002C60D1"/>
    <w:rsid w:val="002C7256"/>
    <w:rsid w:val="002C733F"/>
    <w:rsid w:val="002C7687"/>
    <w:rsid w:val="002C7CC7"/>
    <w:rsid w:val="002D0075"/>
    <w:rsid w:val="002D0331"/>
    <w:rsid w:val="002D06F3"/>
    <w:rsid w:val="002D0868"/>
    <w:rsid w:val="002D0A16"/>
    <w:rsid w:val="002D0CDD"/>
    <w:rsid w:val="002D1919"/>
    <w:rsid w:val="002D26A6"/>
    <w:rsid w:val="002D38AD"/>
    <w:rsid w:val="002D3BE5"/>
    <w:rsid w:val="002D3EB4"/>
    <w:rsid w:val="002D3EB9"/>
    <w:rsid w:val="002D4243"/>
    <w:rsid w:val="002D4576"/>
    <w:rsid w:val="002D546F"/>
    <w:rsid w:val="002D5632"/>
    <w:rsid w:val="002D631D"/>
    <w:rsid w:val="002D6710"/>
    <w:rsid w:val="002D7756"/>
    <w:rsid w:val="002D77E1"/>
    <w:rsid w:val="002E08D2"/>
    <w:rsid w:val="002E0B1E"/>
    <w:rsid w:val="002E0CC7"/>
    <w:rsid w:val="002E140F"/>
    <w:rsid w:val="002E1B60"/>
    <w:rsid w:val="002E33D6"/>
    <w:rsid w:val="002E3DF5"/>
    <w:rsid w:val="002E4437"/>
    <w:rsid w:val="002E45EE"/>
    <w:rsid w:val="002E4AB7"/>
    <w:rsid w:val="002E4C03"/>
    <w:rsid w:val="002E5259"/>
    <w:rsid w:val="002E5930"/>
    <w:rsid w:val="002E6120"/>
    <w:rsid w:val="002E6255"/>
    <w:rsid w:val="002E6967"/>
    <w:rsid w:val="002E6AF2"/>
    <w:rsid w:val="002F02EC"/>
    <w:rsid w:val="002F0508"/>
    <w:rsid w:val="002F055D"/>
    <w:rsid w:val="002F1EDE"/>
    <w:rsid w:val="002F1F49"/>
    <w:rsid w:val="002F3396"/>
    <w:rsid w:val="002F3594"/>
    <w:rsid w:val="002F4531"/>
    <w:rsid w:val="002F47BB"/>
    <w:rsid w:val="002F4BC0"/>
    <w:rsid w:val="002F4C07"/>
    <w:rsid w:val="002F4DDC"/>
    <w:rsid w:val="002F5212"/>
    <w:rsid w:val="002F560B"/>
    <w:rsid w:val="002F584C"/>
    <w:rsid w:val="002F680B"/>
    <w:rsid w:val="002F771A"/>
    <w:rsid w:val="002F7E52"/>
    <w:rsid w:val="003016E7"/>
    <w:rsid w:val="0030178A"/>
    <w:rsid w:val="0030197C"/>
    <w:rsid w:val="003019B0"/>
    <w:rsid w:val="003019CA"/>
    <w:rsid w:val="0030215E"/>
    <w:rsid w:val="00302234"/>
    <w:rsid w:val="00302DBB"/>
    <w:rsid w:val="00303286"/>
    <w:rsid w:val="0030377A"/>
    <w:rsid w:val="00303D1C"/>
    <w:rsid w:val="003040EA"/>
    <w:rsid w:val="00304F1A"/>
    <w:rsid w:val="00305061"/>
    <w:rsid w:val="00305AAB"/>
    <w:rsid w:val="00305ED8"/>
    <w:rsid w:val="003067A8"/>
    <w:rsid w:val="00306D4F"/>
    <w:rsid w:val="00307847"/>
    <w:rsid w:val="0030798A"/>
    <w:rsid w:val="00307D3B"/>
    <w:rsid w:val="00307F8A"/>
    <w:rsid w:val="00310682"/>
    <w:rsid w:val="003114D8"/>
    <w:rsid w:val="00311851"/>
    <w:rsid w:val="003119C6"/>
    <w:rsid w:val="00311B47"/>
    <w:rsid w:val="00312387"/>
    <w:rsid w:val="00312B82"/>
    <w:rsid w:val="00312E4E"/>
    <w:rsid w:val="00313A07"/>
    <w:rsid w:val="00313B4A"/>
    <w:rsid w:val="00314F59"/>
    <w:rsid w:val="00315D4C"/>
    <w:rsid w:val="003160B7"/>
    <w:rsid w:val="003165E6"/>
    <w:rsid w:val="003166F8"/>
    <w:rsid w:val="003167AD"/>
    <w:rsid w:val="00317244"/>
    <w:rsid w:val="0032024C"/>
    <w:rsid w:val="0032071F"/>
    <w:rsid w:val="00320B67"/>
    <w:rsid w:val="00321445"/>
    <w:rsid w:val="00322530"/>
    <w:rsid w:val="003236C0"/>
    <w:rsid w:val="00323AEB"/>
    <w:rsid w:val="00323F1A"/>
    <w:rsid w:val="003243AB"/>
    <w:rsid w:val="003247EC"/>
    <w:rsid w:val="00324A7C"/>
    <w:rsid w:val="00324AA7"/>
    <w:rsid w:val="0032525C"/>
    <w:rsid w:val="00325341"/>
    <w:rsid w:val="00325F83"/>
    <w:rsid w:val="00330CFA"/>
    <w:rsid w:val="003312B3"/>
    <w:rsid w:val="00331321"/>
    <w:rsid w:val="00331469"/>
    <w:rsid w:val="003315D5"/>
    <w:rsid w:val="00331A04"/>
    <w:rsid w:val="00331C02"/>
    <w:rsid w:val="0033288B"/>
    <w:rsid w:val="00332914"/>
    <w:rsid w:val="00332E75"/>
    <w:rsid w:val="00333026"/>
    <w:rsid w:val="00333118"/>
    <w:rsid w:val="00333318"/>
    <w:rsid w:val="00333470"/>
    <w:rsid w:val="00334073"/>
    <w:rsid w:val="00334AE7"/>
    <w:rsid w:val="00335C6B"/>
    <w:rsid w:val="00335F66"/>
    <w:rsid w:val="0033647C"/>
    <w:rsid w:val="00336A12"/>
    <w:rsid w:val="00337285"/>
    <w:rsid w:val="003376D0"/>
    <w:rsid w:val="00337755"/>
    <w:rsid w:val="00337928"/>
    <w:rsid w:val="00340C93"/>
    <w:rsid w:val="00341764"/>
    <w:rsid w:val="00341B1F"/>
    <w:rsid w:val="00341D16"/>
    <w:rsid w:val="00342146"/>
    <w:rsid w:val="00342666"/>
    <w:rsid w:val="00342A46"/>
    <w:rsid w:val="00343747"/>
    <w:rsid w:val="00343931"/>
    <w:rsid w:val="00343D33"/>
    <w:rsid w:val="00344DD9"/>
    <w:rsid w:val="00344F4A"/>
    <w:rsid w:val="00344FFE"/>
    <w:rsid w:val="00345615"/>
    <w:rsid w:val="00345D79"/>
    <w:rsid w:val="00345E52"/>
    <w:rsid w:val="003461CC"/>
    <w:rsid w:val="00347A30"/>
    <w:rsid w:val="0035006A"/>
    <w:rsid w:val="003505D9"/>
    <w:rsid w:val="003506E6"/>
    <w:rsid w:val="003507A7"/>
    <w:rsid w:val="003508A0"/>
    <w:rsid w:val="00350EA9"/>
    <w:rsid w:val="003511A9"/>
    <w:rsid w:val="00351375"/>
    <w:rsid w:val="0035169F"/>
    <w:rsid w:val="00351B87"/>
    <w:rsid w:val="0035212D"/>
    <w:rsid w:val="00352BC8"/>
    <w:rsid w:val="00352E60"/>
    <w:rsid w:val="00352F1B"/>
    <w:rsid w:val="003531CE"/>
    <w:rsid w:val="00353678"/>
    <w:rsid w:val="00353DF3"/>
    <w:rsid w:val="00354246"/>
    <w:rsid w:val="00354343"/>
    <w:rsid w:val="00354BDD"/>
    <w:rsid w:val="00354DCC"/>
    <w:rsid w:val="00354ED6"/>
    <w:rsid w:val="00354F14"/>
    <w:rsid w:val="0035532B"/>
    <w:rsid w:val="00355C30"/>
    <w:rsid w:val="00356436"/>
    <w:rsid w:val="0035738B"/>
    <w:rsid w:val="003577BE"/>
    <w:rsid w:val="00357B6C"/>
    <w:rsid w:val="003600E4"/>
    <w:rsid w:val="003601C4"/>
    <w:rsid w:val="00360505"/>
    <w:rsid w:val="00360B2C"/>
    <w:rsid w:val="0036140C"/>
    <w:rsid w:val="00361FBB"/>
    <w:rsid w:val="0036204B"/>
    <w:rsid w:val="0036207F"/>
    <w:rsid w:val="003627F9"/>
    <w:rsid w:val="003629CC"/>
    <w:rsid w:val="00364727"/>
    <w:rsid w:val="00364E9A"/>
    <w:rsid w:val="003652E7"/>
    <w:rsid w:val="00365737"/>
    <w:rsid w:val="003657EF"/>
    <w:rsid w:val="00365AD1"/>
    <w:rsid w:val="003660DA"/>
    <w:rsid w:val="00366805"/>
    <w:rsid w:val="0036692A"/>
    <w:rsid w:val="00366CDD"/>
    <w:rsid w:val="003674F0"/>
    <w:rsid w:val="00367953"/>
    <w:rsid w:val="00370359"/>
    <w:rsid w:val="00370C38"/>
    <w:rsid w:val="00371BB3"/>
    <w:rsid w:val="00372508"/>
    <w:rsid w:val="003726E7"/>
    <w:rsid w:val="00374ABD"/>
    <w:rsid w:val="0037534A"/>
    <w:rsid w:val="0037546D"/>
    <w:rsid w:val="00375A7D"/>
    <w:rsid w:val="00375AE1"/>
    <w:rsid w:val="0037620A"/>
    <w:rsid w:val="00376357"/>
    <w:rsid w:val="003765C6"/>
    <w:rsid w:val="00376B3C"/>
    <w:rsid w:val="003771FF"/>
    <w:rsid w:val="00377239"/>
    <w:rsid w:val="00377283"/>
    <w:rsid w:val="00377812"/>
    <w:rsid w:val="003804F2"/>
    <w:rsid w:val="00380B59"/>
    <w:rsid w:val="00381398"/>
    <w:rsid w:val="00382B18"/>
    <w:rsid w:val="003838B3"/>
    <w:rsid w:val="00383B01"/>
    <w:rsid w:val="00383CE1"/>
    <w:rsid w:val="003840E7"/>
    <w:rsid w:val="00384EEE"/>
    <w:rsid w:val="0038644B"/>
    <w:rsid w:val="00386983"/>
    <w:rsid w:val="00386DFA"/>
    <w:rsid w:val="0038703B"/>
    <w:rsid w:val="003876EF"/>
    <w:rsid w:val="003876FF"/>
    <w:rsid w:val="003900B1"/>
    <w:rsid w:val="00390688"/>
    <w:rsid w:val="00390AC9"/>
    <w:rsid w:val="003912F6"/>
    <w:rsid w:val="00391318"/>
    <w:rsid w:val="003914C3"/>
    <w:rsid w:val="0039212C"/>
    <w:rsid w:val="003923A7"/>
    <w:rsid w:val="00392418"/>
    <w:rsid w:val="0039253E"/>
    <w:rsid w:val="00392718"/>
    <w:rsid w:val="00392F5E"/>
    <w:rsid w:val="003932AB"/>
    <w:rsid w:val="00393662"/>
    <w:rsid w:val="00394090"/>
    <w:rsid w:val="00394FC5"/>
    <w:rsid w:val="003963A3"/>
    <w:rsid w:val="00396C25"/>
    <w:rsid w:val="00397396"/>
    <w:rsid w:val="0039759F"/>
    <w:rsid w:val="003975CF"/>
    <w:rsid w:val="00397701"/>
    <w:rsid w:val="0039786A"/>
    <w:rsid w:val="003A07EE"/>
    <w:rsid w:val="003A0CD9"/>
    <w:rsid w:val="003A1608"/>
    <w:rsid w:val="003A1B67"/>
    <w:rsid w:val="003A249F"/>
    <w:rsid w:val="003A263C"/>
    <w:rsid w:val="003A2DAA"/>
    <w:rsid w:val="003A354E"/>
    <w:rsid w:val="003A3B74"/>
    <w:rsid w:val="003A3EDD"/>
    <w:rsid w:val="003A426F"/>
    <w:rsid w:val="003A4334"/>
    <w:rsid w:val="003A4747"/>
    <w:rsid w:val="003A51AB"/>
    <w:rsid w:val="003A5944"/>
    <w:rsid w:val="003A5B6C"/>
    <w:rsid w:val="003A5DF3"/>
    <w:rsid w:val="003A64BA"/>
    <w:rsid w:val="003A6B7A"/>
    <w:rsid w:val="003A77EE"/>
    <w:rsid w:val="003A7CC8"/>
    <w:rsid w:val="003A7D44"/>
    <w:rsid w:val="003B004E"/>
    <w:rsid w:val="003B0659"/>
    <w:rsid w:val="003B1E53"/>
    <w:rsid w:val="003B30C2"/>
    <w:rsid w:val="003B399D"/>
    <w:rsid w:val="003B42C1"/>
    <w:rsid w:val="003B42FA"/>
    <w:rsid w:val="003B507C"/>
    <w:rsid w:val="003B58E0"/>
    <w:rsid w:val="003B6121"/>
    <w:rsid w:val="003B6635"/>
    <w:rsid w:val="003B6D3C"/>
    <w:rsid w:val="003B6E52"/>
    <w:rsid w:val="003B7E50"/>
    <w:rsid w:val="003B7EFB"/>
    <w:rsid w:val="003C065A"/>
    <w:rsid w:val="003C08E7"/>
    <w:rsid w:val="003C0D3A"/>
    <w:rsid w:val="003C26C2"/>
    <w:rsid w:val="003C28D1"/>
    <w:rsid w:val="003C29AF"/>
    <w:rsid w:val="003C2B1B"/>
    <w:rsid w:val="003C2C45"/>
    <w:rsid w:val="003C2E3E"/>
    <w:rsid w:val="003C2EEF"/>
    <w:rsid w:val="003C3271"/>
    <w:rsid w:val="003C368C"/>
    <w:rsid w:val="003C37EB"/>
    <w:rsid w:val="003C3CC0"/>
    <w:rsid w:val="003C4D85"/>
    <w:rsid w:val="003C501F"/>
    <w:rsid w:val="003C672D"/>
    <w:rsid w:val="003C67CA"/>
    <w:rsid w:val="003C6961"/>
    <w:rsid w:val="003C6A73"/>
    <w:rsid w:val="003C6ABE"/>
    <w:rsid w:val="003C6C48"/>
    <w:rsid w:val="003C72FE"/>
    <w:rsid w:val="003C7E38"/>
    <w:rsid w:val="003D077F"/>
    <w:rsid w:val="003D1828"/>
    <w:rsid w:val="003D344C"/>
    <w:rsid w:val="003D38F0"/>
    <w:rsid w:val="003D42DF"/>
    <w:rsid w:val="003D46ED"/>
    <w:rsid w:val="003D4AC8"/>
    <w:rsid w:val="003D5568"/>
    <w:rsid w:val="003D5A98"/>
    <w:rsid w:val="003D604A"/>
    <w:rsid w:val="003D6259"/>
    <w:rsid w:val="003D67FF"/>
    <w:rsid w:val="003D6BA0"/>
    <w:rsid w:val="003D6F8F"/>
    <w:rsid w:val="003D71E1"/>
    <w:rsid w:val="003D7BA5"/>
    <w:rsid w:val="003E1280"/>
    <w:rsid w:val="003E1C21"/>
    <w:rsid w:val="003E1F2F"/>
    <w:rsid w:val="003E2BE3"/>
    <w:rsid w:val="003E2DA7"/>
    <w:rsid w:val="003E2F76"/>
    <w:rsid w:val="003E3C79"/>
    <w:rsid w:val="003E3F6B"/>
    <w:rsid w:val="003E4801"/>
    <w:rsid w:val="003E487B"/>
    <w:rsid w:val="003E4CA7"/>
    <w:rsid w:val="003E5076"/>
    <w:rsid w:val="003E50A9"/>
    <w:rsid w:val="003E5621"/>
    <w:rsid w:val="003E5A69"/>
    <w:rsid w:val="003E71F8"/>
    <w:rsid w:val="003F0193"/>
    <w:rsid w:val="003F0249"/>
    <w:rsid w:val="003F101B"/>
    <w:rsid w:val="003F1733"/>
    <w:rsid w:val="003F1A8D"/>
    <w:rsid w:val="003F26BA"/>
    <w:rsid w:val="003F3C26"/>
    <w:rsid w:val="003F4E9B"/>
    <w:rsid w:val="003F5869"/>
    <w:rsid w:val="003F594A"/>
    <w:rsid w:val="003F6A37"/>
    <w:rsid w:val="003F749E"/>
    <w:rsid w:val="00400E45"/>
    <w:rsid w:val="00401778"/>
    <w:rsid w:val="0040228C"/>
    <w:rsid w:val="00402795"/>
    <w:rsid w:val="00402D75"/>
    <w:rsid w:val="00402F42"/>
    <w:rsid w:val="004030E5"/>
    <w:rsid w:val="004035AC"/>
    <w:rsid w:val="00403767"/>
    <w:rsid w:val="004038C1"/>
    <w:rsid w:val="00403A20"/>
    <w:rsid w:val="00403B77"/>
    <w:rsid w:val="004048EC"/>
    <w:rsid w:val="00405B37"/>
    <w:rsid w:val="00405F54"/>
    <w:rsid w:val="00406C91"/>
    <w:rsid w:val="00407244"/>
    <w:rsid w:val="00407288"/>
    <w:rsid w:val="0040738D"/>
    <w:rsid w:val="004073DF"/>
    <w:rsid w:val="0040758F"/>
    <w:rsid w:val="00407BEA"/>
    <w:rsid w:val="004100BB"/>
    <w:rsid w:val="00410154"/>
    <w:rsid w:val="004105AC"/>
    <w:rsid w:val="004105BB"/>
    <w:rsid w:val="00410B6A"/>
    <w:rsid w:val="004113D3"/>
    <w:rsid w:val="004114DF"/>
    <w:rsid w:val="0041217F"/>
    <w:rsid w:val="004129C4"/>
    <w:rsid w:val="004141CC"/>
    <w:rsid w:val="004150B0"/>
    <w:rsid w:val="00415B36"/>
    <w:rsid w:val="00415CCE"/>
    <w:rsid w:val="004160AD"/>
    <w:rsid w:val="004165D7"/>
    <w:rsid w:val="00417E99"/>
    <w:rsid w:val="00420096"/>
    <w:rsid w:val="004202EB"/>
    <w:rsid w:val="00420332"/>
    <w:rsid w:val="004215D6"/>
    <w:rsid w:val="004221EC"/>
    <w:rsid w:val="004229B5"/>
    <w:rsid w:val="00423E3B"/>
    <w:rsid w:val="004240D4"/>
    <w:rsid w:val="0042458A"/>
    <w:rsid w:val="0042465A"/>
    <w:rsid w:val="0042476A"/>
    <w:rsid w:val="00424ACA"/>
    <w:rsid w:val="004267C1"/>
    <w:rsid w:val="00426CDB"/>
    <w:rsid w:val="0042711C"/>
    <w:rsid w:val="00427349"/>
    <w:rsid w:val="00427579"/>
    <w:rsid w:val="00427641"/>
    <w:rsid w:val="00427728"/>
    <w:rsid w:val="004277F1"/>
    <w:rsid w:val="00430351"/>
    <w:rsid w:val="0043059A"/>
    <w:rsid w:val="00430B24"/>
    <w:rsid w:val="00430CE7"/>
    <w:rsid w:val="00430EBE"/>
    <w:rsid w:val="004313ED"/>
    <w:rsid w:val="00432DF0"/>
    <w:rsid w:val="004334C8"/>
    <w:rsid w:val="004340F1"/>
    <w:rsid w:val="00434CC5"/>
    <w:rsid w:val="00436E12"/>
    <w:rsid w:val="00437488"/>
    <w:rsid w:val="00440840"/>
    <w:rsid w:val="00440A35"/>
    <w:rsid w:val="00440B3D"/>
    <w:rsid w:val="00441B48"/>
    <w:rsid w:val="004420D1"/>
    <w:rsid w:val="00442A21"/>
    <w:rsid w:val="00442BBD"/>
    <w:rsid w:val="0044384F"/>
    <w:rsid w:val="004440A1"/>
    <w:rsid w:val="004442A4"/>
    <w:rsid w:val="0044503C"/>
    <w:rsid w:val="0044521D"/>
    <w:rsid w:val="00445A2D"/>
    <w:rsid w:val="00445D25"/>
    <w:rsid w:val="00446512"/>
    <w:rsid w:val="00446BB7"/>
    <w:rsid w:val="0044726D"/>
    <w:rsid w:val="004475CB"/>
    <w:rsid w:val="00447786"/>
    <w:rsid w:val="00450507"/>
    <w:rsid w:val="004505F1"/>
    <w:rsid w:val="00450A53"/>
    <w:rsid w:val="00450BB6"/>
    <w:rsid w:val="00451613"/>
    <w:rsid w:val="00452DCB"/>
    <w:rsid w:val="00453A3E"/>
    <w:rsid w:val="00454248"/>
    <w:rsid w:val="00454269"/>
    <w:rsid w:val="00454995"/>
    <w:rsid w:val="00454A34"/>
    <w:rsid w:val="00455CC7"/>
    <w:rsid w:val="00455F8E"/>
    <w:rsid w:val="00456534"/>
    <w:rsid w:val="00456AF3"/>
    <w:rsid w:val="0045724B"/>
    <w:rsid w:val="004576D8"/>
    <w:rsid w:val="0045786A"/>
    <w:rsid w:val="004602AD"/>
    <w:rsid w:val="00460444"/>
    <w:rsid w:val="00461608"/>
    <w:rsid w:val="00461715"/>
    <w:rsid w:val="0046184E"/>
    <w:rsid w:val="00461A38"/>
    <w:rsid w:val="00461E87"/>
    <w:rsid w:val="0046334C"/>
    <w:rsid w:val="0046390D"/>
    <w:rsid w:val="00463D8E"/>
    <w:rsid w:val="004641B1"/>
    <w:rsid w:val="00464704"/>
    <w:rsid w:val="0046505F"/>
    <w:rsid w:val="0046533D"/>
    <w:rsid w:val="00465B88"/>
    <w:rsid w:val="00465BD9"/>
    <w:rsid w:val="00465BF9"/>
    <w:rsid w:val="00465F20"/>
    <w:rsid w:val="00467961"/>
    <w:rsid w:val="00467BC3"/>
    <w:rsid w:val="00470602"/>
    <w:rsid w:val="00471189"/>
    <w:rsid w:val="00471BD3"/>
    <w:rsid w:val="004729EC"/>
    <w:rsid w:val="00472A0E"/>
    <w:rsid w:val="004736F1"/>
    <w:rsid w:val="004739CB"/>
    <w:rsid w:val="00473CD1"/>
    <w:rsid w:val="0047480E"/>
    <w:rsid w:val="00474B75"/>
    <w:rsid w:val="00474F13"/>
    <w:rsid w:val="004751E3"/>
    <w:rsid w:val="0047537F"/>
    <w:rsid w:val="0047562A"/>
    <w:rsid w:val="00475820"/>
    <w:rsid w:val="00475A2F"/>
    <w:rsid w:val="00475BFC"/>
    <w:rsid w:val="00475EBD"/>
    <w:rsid w:val="00476989"/>
    <w:rsid w:val="00476A0C"/>
    <w:rsid w:val="00477082"/>
    <w:rsid w:val="00477A55"/>
    <w:rsid w:val="00480DBA"/>
    <w:rsid w:val="004812B1"/>
    <w:rsid w:val="004815EE"/>
    <w:rsid w:val="00481DC1"/>
    <w:rsid w:val="00482307"/>
    <w:rsid w:val="00482B03"/>
    <w:rsid w:val="00482EC4"/>
    <w:rsid w:val="00483243"/>
    <w:rsid w:val="004833E7"/>
    <w:rsid w:val="00483EF3"/>
    <w:rsid w:val="004845B1"/>
    <w:rsid w:val="00484AC4"/>
    <w:rsid w:val="004852D1"/>
    <w:rsid w:val="00486180"/>
    <w:rsid w:val="004862B8"/>
    <w:rsid w:val="00486B33"/>
    <w:rsid w:val="00487408"/>
    <w:rsid w:val="00487C1E"/>
    <w:rsid w:val="00490293"/>
    <w:rsid w:val="00490DB3"/>
    <w:rsid w:val="00491534"/>
    <w:rsid w:val="00495F63"/>
    <w:rsid w:val="0049628B"/>
    <w:rsid w:val="004962EC"/>
    <w:rsid w:val="004964A7"/>
    <w:rsid w:val="004978F6"/>
    <w:rsid w:val="00497AB4"/>
    <w:rsid w:val="004A051B"/>
    <w:rsid w:val="004A08AE"/>
    <w:rsid w:val="004A178A"/>
    <w:rsid w:val="004A17EE"/>
    <w:rsid w:val="004A2952"/>
    <w:rsid w:val="004A3C05"/>
    <w:rsid w:val="004A40A4"/>
    <w:rsid w:val="004A4C50"/>
    <w:rsid w:val="004A526E"/>
    <w:rsid w:val="004A58DF"/>
    <w:rsid w:val="004A58F5"/>
    <w:rsid w:val="004A5C78"/>
    <w:rsid w:val="004A690C"/>
    <w:rsid w:val="004A7611"/>
    <w:rsid w:val="004A7EA6"/>
    <w:rsid w:val="004B0077"/>
    <w:rsid w:val="004B019C"/>
    <w:rsid w:val="004B0B42"/>
    <w:rsid w:val="004B100C"/>
    <w:rsid w:val="004B116A"/>
    <w:rsid w:val="004B1727"/>
    <w:rsid w:val="004B30BF"/>
    <w:rsid w:val="004B5B22"/>
    <w:rsid w:val="004B6714"/>
    <w:rsid w:val="004B6759"/>
    <w:rsid w:val="004B694D"/>
    <w:rsid w:val="004B6F18"/>
    <w:rsid w:val="004B6F81"/>
    <w:rsid w:val="004B73ED"/>
    <w:rsid w:val="004B78C7"/>
    <w:rsid w:val="004C10C9"/>
    <w:rsid w:val="004C1199"/>
    <w:rsid w:val="004C1667"/>
    <w:rsid w:val="004C17CD"/>
    <w:rsid w:val="004C186B"/>
    <w:rsid w:val="004C1CE3"/>
    <w:rsid w:val="004C23C8"/>
    <w:rsid w:val="004C24EB"/>
    <w:rsid w:val="004C2695"/>
    <w:rsid w:val="004C30C4"/>
    <w:rsid w:val="004C3B4D"/>
    <w:rsid w:val="004C3BF2"/>
    <w:rsid w:val="004C3F07"/>
    <w:rsid w:val="004C3F68"/>
    <w:rsid w:val="004C449A"/>
    <w:rsid w:val="004C4CCD"/>
    <w:rsid w:val="004C535E"/>
    <w:rsid w:val="004C5A31"/>
    <w:rsid w:val="004C5EA5"/>
    <w:rsid w:val="004C6310"/>
    <w:rsid w:val="004C6F22"/>
    <w:rsid w:val="004C6FB2"/>
    <w:rsid w:val="004C7531"/>
    <w:rsid w:val="004D034D"/>
    <w:rsid w:val="004D0386"/>
    <w:rsid w:val="004D0580"/>
    <w:rsid w:val="004D0684"/>
    <w:rsid w:val="004D0EB1"/>
    <w:rsid w:val="004D1058"/>
    <w:rsid w:val="004D138D"/>
    <w:rsid w:val="004D17F5"/>
    <w:rsid w:val="004D19FE"/>
    <w:rsid w:val="004D1DC4"/>
    <w:rsid w:val="004D22EA"/>
    <w:rsid w:val="004D2636"/>
    <w:rsid w:val="004D314E"/>
    <w:rsid w:val="004D4CC1"/>
    <w:rsid w:val="004D51A0"/>
    <w:rsid w:val="004D5545"/>
    <w:rsid w:val="004D597D"/>
    <w:rsid w:val="004D5A23"/>
    <w:rsid w:val="004D612D"/>
    <w:rsid w:val="004D6347"/>
    <w:rsid w:val="004D6D7C"/>
    <w:rsid w:val="004D7397"/>
    <w:rsid w:val="004D73BE"/>
    <w:rsid w:val="004D7541"/>
    <w:rsid w:val="004D79B0"/>
    <w:rsid w:val="004D7F99"/>
    <w:rsid w:val="004E02C2"/>
    <w:rsid w:val="004E1194"/>
    <w:rsid w:val="004E1A0D"/>
    <w:rsid w:val="004E1B50"/>
    <w:rsid w:val="004E1D13"/>
    <w:rsid w:val="004E29DE"/>
    <w:rsid w:val="004E2A15"/>
    <w:rsid w:val="004E2B74"/>
    <w:rsid w:val="004E2C18"/>
    <w:rsid w:val="004E2F23"/>
    <w:rsid w:val="004E3294"/>
    <w:rsid w:val="004E420D"/>
    <w:rsid w:val="004E432C"/>
    <w:rsid w:val="004E44D2"/>
    <w:rsid w:val="004E4823"/>
    <w:rsid w:val="004E4B65"/>
    <w:rsid w:val="004E4E08"/>
    <w:rsid w:val="004E58F5"/>
    <w:rsid w:val="004E62C0"/>
    <w:rsid w:val="004E689E"/>
    <w:rsid w:val="004E69EB"/>
    <w:rsid w:val="004E6B55"/>
    <w:rsid w:val="004E6C67"/>
    <w:rsid w:val="004E6D84"/>
    <w:rsid w:val="004E75E2"/>
    <w:rsid w:val="004E7884"/>
    <w:rsid w:val="004E7A2C"/>
    <w:rsid w:val="004E7A36"/>
    <w:rsid w:val="004F0639"/>
    <w:rsid w:val="004F162F"/>
    <w:rsid w:val="004F1D66"/>
    <w:rsid w:val="004F2604"/>
    <w:rsid w:val="004F2615"/>
    <w:rsid w:val="004F41D2"/>
    <w:rsid w:val="004F48FE"/>
    <w:rsid w:val="004F5419"/>
    <w:rsid w:val="004F5625"/>
    <w:rsid w:val="004F58A0"/>
    <w:rsid w:val="004F64BA"/>
    <w:rsid w:val="004F6A1F"/>
    <w:rsid w:val="004F6D78"/>
    <w:rsid w:val="004F6F95"/>
    <w:rsid w:val="004F70E3"/>
    <w:rsid w:val="004F73EC"/>
    <w:rsid w:val="004F78C9"/>
    <w:rsid w:val="004F78E8"/>
    <w:rsid w:val="004F7903"/>
    <w:rsid w:val="004F7EC7"/>
    <w:rsid w:val="0050004F"/>
    <w:rsid w:val="00500A80"/>
    <w:rsid w:val="00500C07"/>
    <w:rsid w:val="00500C7D"/>
    <w:rsid w:val="0050254D"/>
    <w:rsid w:val="00502D7C"/>
    <w:rsid w:val="0050305D"/>
    <w:rsid w:val="00503524"/>
    <w:rsid w:val="0050368C"/>
    <w:rsid w:val="00503E70"/>
    <w:rsid w:val="00503EAF"/>
    <w:rsid w:val="0050473C"/>
    <w:rsid w:val="00504832"/>
    <w:rsid w:val="00505365"/>
    <w:rsid w:val="005058A4"/>
    <w:rsid w:val="005058A9"/>
    <w:rsid w:val="005062DC"/>
    <w:rsid w:val="005066EF"/>
    <w:rsid w:val="00506746"/>
    <w:rsid w:val="00506EA0"/>
    <w:rsid w:val="00507CBF"/>
    <w:rsid w:val="00507EDD"/>
    <w:rsid w:val="00507F2D"/>
    <w:rsid w:val="00510935"/>
    <w:rsid w:val="00510FBC"/>
    <w:rsid w:val="005115A6"/>
    <w:rsid w:val="005115F2"/>
    <w:rsid w:val="00511AB1"/>
    <w:rsid w:val="00512386"/>
    <w:rsid w:val="0051239D"/>
    <w:rsid w:val="00513600"/>
    <w:rsid w:val="00513735"/>
    <w:rsid w:val="0051383D"/>
    <w:rsid w:val="0051388D"/>
    <w:rsid w:val="0051392D"/>
    <w:rsid w:val="00513E30"/>
    <w:rsid w:val="005145ED"/>
    <w:rsid w:val="0051544A"/>
    <w:rsid w:val="00515AC1"/>
    <w:rsid w:val="00515B02"/>
    <w:rsid w:val="005169E8"/>
    <w:rsid w:val="005176CE"/>
    <w:rsid w:val="0051787D"/>
    <w:rsid w:val="005202AE"/>
    <w:rsid w:val="00520563"/>
    <w:rsid w:val="00520D22"/>
    <w:rsid w:val="00520FCD"/>
    <w:rsid w:val="0052138C"/>
    <w:rsid w:val="00521722"/>
    <w:rsid w:val="0052196B"/>
    <w:rsid w:val="0052326D"/>
    <w:rsid w:val="005234DE"/>
    <w:rsid w:val="00523621"/>
    <w:rsid w:val="00523E84"/>
    <w:rsid w:val="005243A1"/>
    <w:rsid w:val="0052488A"/>
    <w:rsid w:val="00525D2B"/>
    <w:rsid w:val="0052600A"/>
    <w:rsid w:val="005270D0"/>
    <w:rsid w:val="00527472"/>
    <w:rsid w:val="00527B93"/>
    <w:rsid w:val="0053044A"/>
    <w:rsid w:val="00530CDB"/>
    <w:rsid w:val="00530FF5"/>
    <w:rsid w:val="005317DA"/>
    <w:rsid w:val="00531B59"/>
    <w:rsid w:val="00532805"/>
    <w:rsid w:val="00532AAF"/>
    <w:rsid w:val="00532B3A"/>
    <w:rsid w:val="005336AC"/>
    <w:rsid w:val="0053390D"/>
    <w:rsid w:val="00533E61"/>
    <w:rsid w:val="00535086"/>
    <w:rsid w:val="00535145"/>
    <w:rsid w:val="00535405"/>
    <w:rsid w:val="00535636"/>
    <w:rsid w:val="00535E24"/>
    <w:rsid w:val="005363A8"/>
    <w:rsid w:val="005372C4"/>
    <w:rsid w:val="005374FD"/>
    <w:rsid w:val="00537546"/>
    <w:rsid w:val="0053782F"/>
    <w:rsid w:val="00540A25"/>
    <w:rsid w:val="00540AC2"/>
    <w:rsid w:val="00540F96"/>
    <w:rsid w:val="00540F9B"/>
    <w:rsid w:val="005412D1"/>
    <w:rsid w:val="0054135B"/>
    <w:rsid w:val="00541389"/>
    <w:rsid w:val="00541670"/>
    <w:rsid w:val="0054194F"/>
    <w:rsid w:val="0054211A"/>
    <w:rsid w:val="0054238B"/>
    <w:rsid w:val="00542B94"/>
    <w:rsid w:val="00542E13"/>
    <w:rsid w:val="005432AF"/>
    <w:rsid w:val="00543C32"/>
    <w:rsid w:val="00543F16"/>
    <w:rsid w:val="00544091"/>
    <w:rsid w:val="00544206"/>
    <w:rsid w:val="0054498A"/>
    <w:rsid w:val="00544C91"/>
    <w:rsid w:val="00544CAE"/>
    <w:rsid w:val="00544EB6"/>
    <w:rsid w:val="0054516E"/>
    <w:rsid w:val="00545665"/>
    <w:rsid w:val="00545DED"/>
    <w:rsid w:val="005462C4"/>
    <w:rsid w:val="00546679"/>
    <w:rsid w:val="00546680"/>
    <w:rsid w:val="00546A75"/>
    <w:rsid w:val="00546D84"/>
    <w:rsid w:val="00547474"/>
    <w:rsid w:val="0054779F"/>
    <w:rsid w:val="00547BFC"/>
    <w:rsid w:val="00547F9E"/>
    <w:rsid w:val="0055016F"/>
    <w:rsid w:val="0055090A"/>
    <w:rsid w:val="00551C3E"/>
    <w:rsid w:val="005524AC"/>
    <w:rsid w:val="00552A37"/>
    <w:rsid w:val="00552DA7"/>
    <w:rsid w:val="00552E3D"/>
    <w:rsid w:val="00553056"/>
    <w:rsid w:val="00553206"/>
    <w:rsid w:val="00553959"/>
    <w:rsid w:val="005546F1"/>
    <w:rsid w:val="0055471B"/>
    <w:rsid w:val="005555CA"/>
    <w:rsid w:val="005559C9"/>
    <w:rsid w:val="00555BEC"/>
    <w:rsid w:val="00556EC0"/>
    <w:rsid w:val="00557742"/>
    <w:rsid w:val="005578F2"/>
    <w:rsid w:val="00557ECF"/>
    <w:rsid w:val="00557FDF"/>
    <w:rsid w:val="00560310"/>
    <w:rsid w:val="00560332"/>
    <w:rsid w:val="005607B9"/>
    <w:rsid w:val="00560CB6"/>
    <w:rsid w:val="0056119B"/>
    <w:rsid w:val="0056181B"/>
    <w:rsid w:val="0056192C"/>
    <w:rsid w:val="00561ACE"/>
    <w:rsid w:val="005621C8"/>
    <w:rsid w:val="005624CA"/>
    <w:rsid w:val="005625B0"/>
    <w:rsid w:val="005626D8"/>
    <w:rsid w:val="00562E66"/>
    <w:rsid w:val="0056314B"/>
    <w:rsid w:val="00563495"/>
    <w:rsid w:val="00563C2E"/>
    <w:rsid w:val="00563F9E"/>
    <w:rsid w:val="0056515E"/>
    <w:rsid w:val="005653FD"/>
    <w:rsid w:val="0056598D"/>
    <w:rsid w:val="0056624D"/>
    <w:rsid w:val="005667AF"/>
    <w:rsid w:val="005668A9"/>
    <w:rsid w:val="0056777D"/>
    <w:rsid w:val="0056795E"/>
    <w:rsid w:val="00570B00"/>
    <w:rsid w:val="00571705"/>
    <w:rsid w:val="00571CF2"/>
    <w:rsid w:val="00571D98"/>
    <w:rsid w:val="00572052"/>
    <w:rsid w:val="00572749"/>
    <w:rsid w:val="0057321C"/>
    <w:rsid w:val="0057400E"/>
    <w:rsid w:val="005748DA"/>
    <w:rsid w:val="0057493E"/>
    <w:rsid w:val="00574B44"/>
    <w:rsid w:val="00574C20"/>
    <w:rsid w:val="00574E7E"/>
    <w:rsid w:val="005756B8"/>
    <w:rsid w:val="00576298"/>
    <w:rsid w:val="00576D69"/>
    <w:rsid w:val="00576F3C"/>
    <w:rsid w:val="00577113"/>
    <w:rsid w:val="005774E4"/>
    <w:rsid w:val="0057798E"/>
    <w:rsid w:val="00577C90"/>
    <w:rsid w:val="00580EBD"/>
    <w:rsid w:val="00581294"/>
    <w:rsid w:val="0058132E"/>
    <w:rsid w:val="00581D77"/>
    <w:rsid w:val="005822D8"/>
    <w:rsid w:val="005824A7"/>
    <w:rsid w:val="0058261D"/>
    <w:rsid w:val="00582735"/>
    <w:rsid w:val="005829B6"/>
    <w:rsid w:val="00582C2A"/>
    <w:rsid w:val="00583078"/>
    <w:rsid w:val="00583747"/>
    <w:rsid w:val="00583CE0"/>
    <w:rsid w:val="00583EFF"/>
    <w:rsid w:val="005842F6"/>
    <w:rsid w:val="00584823"/>
    <w:rsid w:val="005850E7"/>
    <w:rsid w:val="00585363"/>
    <w:rsid w:val="00586946"/>
    <w:rsid w:val="005875D8"/>
    <w:rsid w:val="005875FB"/>
    <w:rsid w:val="00587637"/>
    <w:rsid w:val="00587D36"/>
    <w:rsid w:val="005902A1"/>
    <w:rsid w:val="00590807"/>
    <w:rsid w:val="00590AE2"/>
    <w:rsid w:val="00590E3E"/>
    <w:rsid w:val="00592CFF"/>
    <w:rsid w:val="005934AB"/>
    <w:rsid w:val="00593B4B"/>
    <w:rsid w:val="00593E59"/>
    <w:rsid w:val="0059406E"/>
    <w:rsid w:val="0059483E"/>
    <w:rsid w:val="00595230"/>
    <w:rsid w:val="00595474"/>
    <w:rsid w:val="00595EAC"/>
    <w:rsid w:val="0059652F"/>
    <w:rsid w:val="00596A78"/>
    <w:rsid w:val="00596AF5"/>
    <w:rsid w:val="00596B06"/>
    <w:rsid w:val="005A079A"/>
    <w:rsid w:val="005A0A6E"/>
    <w:rsid w:val="005A1183"/>
    <w:rsid w:val="005A205F"/>
    <w:rsid w:val="005A23D3"/>
    <w:rsid w:val="005A2ADB"/>
    <w:rsid w:val="005A2D65"/>
    <w:rsid w:val="005A2E0F"/>
    <w:rsid w:val="005A357B"/>
    <w:rsid w:val="005A4DA7"/>
    <w:rsid w:val="005A5B8A"/>
    <w:rsid w:val="005A5D3A"/>
    <w:rsid w:val="005A5F56"/>
    <w:rsid w:val="005A666A"/>
    <w:rsid w:val="005B0190"/>
    <w:rsid w:val="005B3050"/>
    <w:rsid w:val="005B491A"/>
    <w:rsid w:val="005B52D8"/>
    <w:rsid w:val="005B554F"/>
    <w:rsid w:val="005B5661"/>
    <w:rsid w:val="005B5774"/>
    <w:rsid w:val="005B5D53"/>
    <w:rsid w:val="005B61AB"/>
    <w:rsid w:val="005B61FF"/>
    <w:rsid w:val="005B626E"/>
    <w:rsid w:val="005B63C4"/>
    <w:rsid w:val="005B64F6"/>
    <w:rsid w:val="005B6AA0"/>
    <w:rsid w:val="005B71B2"/>
    <w:rsid w:val="005B74AD"/>
    <w:rsid w:val="005C0535"/>
    <w:rsid w:val="005C13A9"/>
    <w:rsid w:val="005C1A24"/>
    <w:rsid w:val="005C1D73"/>
    <w:rsid w:val="005C309A"/>
    <w:rsid w:val="005C4A45"/>
    <w:rsid w:val="005C5285"/>
    <w:rsid w:val="005C53A0"/>
    <w:rsid w:val="005C5430"/>
    <w:rsid w:val="005C572B"/>
    <w:rsid w:val="005C663C"/>
    <w:rsid w:val="005C6B35"/>
    <w:rsid w:val="005C7279"/>
    <w:rsid w:val="005C731D"/>
    <w:rsid w:val="005D0E57"/>
    <w:rsid w:val="005D17ED"/>
    <w:rsid w:val="005D17FD"/>
    <w:rsid w:val="005D1B8E"/>
    <w:rsid w:val="005D1C4C"/>
    <w:rsid w:val="005D2170"/>
    <w:rsid w:val="005D23EC"/>
    <w:rsid w:val="005D3754"/>
    <w:rsid w:val="005D3C50"/>
    <w:rsid w:val="005D46B2"/>
    <w:rsid w:val="005D4979"/>
    <w:rsid w:val="005D4982"/>
    <w:rsid w:val="005D4AB0"/>
    <w:rsid w:val="005D5282"/>
    <w:rsid w:val="005D6788"/>
    <w:rsid w:val="005D6B99"/>
    <w:rsid w:val="005D7041"/>
    <w:rsid w:val="005D7C4E"/>
    <w:rsid w:val="005D7D31"/>
    <w:rsid w:val="005D7FD8"/>
    <w:rsid w:val="005E02C9"/>
    <w:rsid w:val="005E03D0"/>
    <w:rsid w:val="005E0BE2"/>
    <w:rsid w:val="005E0EA5"/>
    <w:rsid w:val="005E0F5B"/>
    <w:rsid w:val="005E0FCF"/>
    <w:rsid w:val="005E1304"/>
    <w:rsid w:val="005E1986"/>
    <w:rsid w:val="005E1A16"/>
    <w:rsid w:val="005E1BD3"/>
    <w:rsid w:val="005E24DF"/>
    <w:rsid w:val="005E3253"/>
    <w:rsid w:val="005E3DF7"/>
    <w:rsid w:val="005E481E"/>
    <w:rsid w:val="005E5268"/>
    <w:rsid w:val="005E53AD"/>
    <w:rsid w:val="005E54EA"/>
    <w:rsid w:val="005E5596"/>
    <w:rsid w:val="005E5A14"/>
    <w:rsid w:val="005E5BED"/>
    <w:rsid w:val="005E6C35"/>
    <w:rsid w:val="005E6C3B"/>
    <w:rsid w:val="005E70B3"/>
    <w:rsid w:val="005E7597"/>
    <w:rsid w:val="005E7B6A"/>
    <w:rsid w:val="005F02CB"/>
    <w:rsid w:val="005F1021"/>
    <w:rsid w:val="005F1119"/>
    <w:rsid w:val="005F1E76"/>
    <w:rsid w:val="005F2069"/>
    <w:rsid w:val="005F26A8"/>
    <w:rsid w:val="005F2AC6"/>
    <w:rsid w:val="005F2FF7"/>
    <w:rsid w:val="005F3A7F"/>
    <w:rsid w:val="005F418E"/>
    <w:rsid w:val="005F4755"/>
    <w:rsid w:val="005F4D5D"/>
    <w:rsid w:val="005F53CA"/>
    <w:rsid w:val="005F55BD"/>
    <w:rsid w:val="005F6328"/>
    <w:rsid w:val="005F6A81"/>
    <w:rsid w:val="005F6F4C"/>
    <w:rsid w:val="005F7874"/>
    <w:rsid w:val="005F7AB8"/>
    <w:rsid w:val="005F7DFB"/>
    <w:rsid w:val="00600267"/>
    <w:rsid w:val="00600678"/>
    <w:rsid w:val="00600A8B"/>
    <w:rsid w:val="00600FAC"/>
    <w:rsid w:val="00601092"/>
    <w:rsid w:val="00601CAD"/>
    <w:rsid w:val="00601D32"/>
    <w:rsid w:val="00602009"/>
    <w:rsid w:val="00602206"/>
    <w:rsid w:val="0060257C"/>
    <w:rsid w:val="00602CD6"/>
    <w:rsid w:val="00602D2E"/>
    <w:rsid w:val="006036A1"/>
    <w:rsid w:val="0060386A"/>
    <w:rsid w:val="0060390D"/>
    <w:rsid w:val="00604F6A"/>
    <w:rsid w:val="00605283"/>
    <w:rsid w:val="006063E7"/>
    <w:rsid w:val="00606627"/>
    <w:rsid w:val="00606D51"/>
    <w:rsid w:val="0060707C"/>
    <w:rsid w:val="006073D8"/>
    <w:rsid w:val="00607490"/>
    <w:rsid w:val="0060778F"/>
    <w:rsid w:val="00607898"/>
    <w:rsid w:val="00607AB6"/>
    <w:rsid w:val="00610BCC"/>
    <w:rsid w:val="006118CF"/>
    <w:rsid w:val="0061212F"/>
    <w:rsid w:val="006121B3"/>
    <w:rsid w:val="0061226F"/>
    <w:rsid w:val="006125F9"/>
    <w:rsid w:val="006133EE"/>
    <w:rsid w:val="00613740"/>
    <w:rsid w:val="006138DE"/>
    <w:rsid w:val="00613B00"/>
    <w:rsid w:val="006144BA"/>
    <w:rsid w:val="0061455F"/>
    <w:rsid w:val="00615608"/>
    <w:rsid w:val="00615EFF"/>
    <w:rsid w:val="006163BB"/>
    <w:rsid w:val="006164E1"/>
    <w:rsid w:val="00616890"/>
    <w:rsid w:val="00616B7B"/>
    <w:rsid w:val="00617121"/>
    <w:rsid w:val="00617B75"/>
    <w:rsid w:val="00617FF4"/>
    <w:rsid w:val="00620880"/>
    <w:rsid w:val="00620F0A"/>
    <w:rsid w:val="00621099"/>
    <w:rsid w:val="00622327"/>
    <w:rsid w:val="00622450"/>
    <w:rsid w:val="00622C16"/>
    <w:rsid w:val="00623A59"/>
    <w:rsid w:val="00623B2B"/>
    <w:rsid w:val="00624388"/>
    <w:rsid w:val="006243E7"/>
    <w:rsid w:val="00624F48"/>
    <w:rsid w:val="00625343"/>
    <w:rsid w:val="006256EE"/>
    <w:rsid w:val="006259F4"/>
    <w:rsid w:val="00626231"/>
    <w:rsid w:val="00627C24"/>
    <w:rsid w:val="00627D93"/>
    <w:rsid w:val="006322B7"/>
    <w:rsid w:val="006322F7"/>
    <w:rsid w:val="006322FE"/>
    <w:rsid w:val="0063235C"/>
    <w:rsid w:val="006325D0"/>
    <w:rsid w:val="006329B7"/>
    <w:rsid w:val="00632A5A"/>
    <w:rsid w:val="00633A0B"/>
    <w:rsid w:val="0063406E"/>
    <w:rsid w:val="00635112"/>
    <w:rsid w:val="00635192"/>
    <w:rsid w:val="00635849"/>
    <w:rsid w:val="00636AE5"/>
    <w:rsid w:val="00636D41"/>
    <w:rsid w:val="006404BD"/>
    <w:rsid w:val="00641826"/>
    <w:rsid w:val="006418D3"/>
    <w:rsid w:val="00641E43"/>
    <w:rsid w:val="00642C66"/>
    <w:rsid w:val="0064314F"/>
    <w:rsid w:val="0064438C"/>
    <w:rsid w:val="006453AA"/>
    <w:rsid w:val="0064575B"/>
    <w:rsid w:val="00645EC1"/>
    <w:rsid w:val="00645EF1"/>
    <w:rsid w:val="00645FD3"/>
    <w:rsid w:val="006461FE"/>
    <w:rsid w:val="00646C40"/>
    <w:rsid w:val="006501A1"/>
    <w:rsid w:val="006505A7"/>
    <w:rsid w:val="00650794"/>
    <w:rsid w:val="006516FE"/>
    <w:rsid w:val="00652AC0"/>
    <w:rsid w:val="006533F2"/>
    <w:rsid w:val="00653514"/>
    <w:rsid w:val="00653BA0"/>
    <w:rsid w:val="0065414A"/>
    <w:rsid w:val="006541C0"/>
    <w:rsid w:val="0065452A"/>
    <w:rsid w:val="00654EC4"/>
    <w:rsid w:val="0065536C"/>
    <w:rsid w:val="00655A0A"/>
    <w:rsid w:val="006567AA"/>
    <w:rsid w:val="00656D2D"/>
    <w:rsid w:val="006570C9"/>
    <w:rsid w:val="00657231"/>
    <w:rsid w:val="00657895"/>
    <w:rsid w:val="0065796C"/>
    <w:rsid w:val="006608D3"/>
    <w:rsid w:val="00660E7C"/>
    <w:rsid w:val="0066105A"/>
    <w:rsid w:val="00661083"/>
    <w:rsid w:val="00661B65"/>
    <w:rsid w:val="006620F8"/>
    <w:rsid w:val="006624D5"/>
    <w:rsid w:val="006627B3"/>
    <w:rsid w:val="006630A2"/>
    <w:rsid w:val="00663887"/>
    <w:rsid w:val="00663E0F"/>
    <w:rsid w:val="00663E78"/>
    <w:rsid w:val="00664056"/>
    <w:rsid w:val="0066529D"/>
    <w:rsid w:val="0066563E"/>
    <w:rsid w:val="00665D80"/>
    <w:rsid w:val="006664A3"/>
    <w:rsid w:val="00666AF6"/>
    <w:rsid w:val="006673C0"/>
    <w:rsid w:val="0067019E"/>
    <w:rsid w:val="00670587"/>
    <w:rsid w:val="00670A38"/>
    <w:rsid w:val="0067158B"/>
    <w:rsid w:val="00671E18"/>
    <w:rsid w:val="00672027"/>
    <w:rsid w:val="006724AE"/>
    <w:rsid w:val="00673FB2"/>
    <w:rsid w:val="00675018"/>
    <w:rsid w:val="00675991"/>
    <w:rsid w:val="00676CAD"/>
    <w:rsid w:val="006777D3"/>
    <w:rsid w:val="00677EB0"/>
    <w:rsid w:val="00680702"/>
    <w:rsid w:val="00680D1A"/>
    <w:rsid w:val="0068115F"/>
    <w:rsid w:val="006812D9"/>
    <w:rsid w:val="00681CD9"/>
    <w:rsid w:val="00682540"/>
    <w:rsid w:val="00682E97"/>
    <w:rsid w:val="00683570"/>
    <w:rsid w:val="00684669"/>
    <w:rsid w:val="0068528C"/>
    <w:rsid w:val="0068565C"/>
    <w:rsid w:val="00685ABF"/>
    <w:rsid w:val="00685DA9"/>
    <w:rsid w:val="006860D5"/>
    <w:rsid w:val="0068626E"/>
    <w:rsid w:val="006863DE"/>
    <w:rsid w:val="006874C0"/>
    <w:rsid w:val="00687683"/>
    <w:rsid w:val="00687819"/>
    <w:rsid w:val="006909AC"/>
    <w:rsid w:val="00690B06"/>
    <w:rsid w:val="006915D9"/>
    <w:rsid w:val="006916A2"/>
    <w:rsid w:val="006919AD"/>
    <w:rsid w:val="00691B09"/>
    <w:rsid w:val="00691B90"/>
    <w:rsid w:val="00692877"/>
    <w:rsid w:val="00693333"/>
    <w:rsid w:val="00693A01"/>
    <w:rsid w:val="00693B1D"/>
    <w:rsid w:val="00693E38"/>
    <w:rsid w:val="0069418C"/>
    <w:rsid w:val="00694292"/>
    <w:rsid w:val="00694424"/>
    <w:rsid w:val="00694599"/>
    <w:rsid w:val="006945F6"/>
    <w:rsid w:val="006947F8"/>
    <w:rsid w:val="00694E87"/>
    <w:rsid w:val="00695C1C"/>
    <w:rsid w:val="00696293"/>
    <w:rsid w:val="006968E7"/>
    <w:rsid w:val="00696978"/>
    <w:rsid w:val="00696D20"/>
    <w:rsid w:val="00696EA6"/>
    <w:rsid w:val="00696FE0"/>
    <w:rsid w:val="006975CD"/>
    <w:rsid w:val="0069763E"/>
    <w:rsid w:val="006A0846"/>
    <w:rsid w:val="006A08F3"/>
    <w:rsid w:val="006A0D9D"/>
    <w:rsid w:val="006A10F9"/>
    <w:rsid w:val="006A1507"/>
    <w:rsid w:val="006A18F2"/>
    <w:rsid w:val="006A1D4B"/>
    <w:rsid w:val="006A2DB1"/>
    <w:rsid w:val="006A3B2D"/>
    <w:rsid w:val="006A42F9"/>
    <w:rsid w:val="006A4B4B"/>
    <w:rsid w:val="006A4FE7"/>
    <w:rsid w:val="006A5939"/>
    <w:rsid w:val="006A5DF7"/>
    <w:rsid w:val="006A601C"/>
    <w:rsid w:val="006A66C9"/>
    <w:rsid w:val="006A6DE1"/>
    <w:rsid w:val="006A7E4D"/>
    <w:rsid w:val="006B0516"/>
    <w:rsid w:val="006B09F7"/>
    <w:rsid w:val="006B0C98"/>
    <w:rsid w:val="006B112C"/>
    <w:rsid w:val="006B12C1"/>
    <w:rsid w:val="006B1872"/>
    <w:rsid w:val="006B23B9"/>
    <w:rsid w:val="006B2C5B"/>
    <w:rsid w:val="006B2FF9"/>
    <w:rsid w:val="006B32BE"/>
    <w:rsid w:val="006B4948"/>
    <w:rsid w:val="006B4C1D"/>
    <w:rsid w:val="006B60BE"/>
    <w:rsid w:val="006B6123"/>
    <w:rsid w:val="006B6FD5"/>
    <w:rsid w:val="006B75AE"/>
    <w:rsid w:val="006B76B6"/>
    <w:rsid w:val="006B7C6D"/>
    <w:rsid w:val="006B7E85"/>
    <w:rsid w:val="006B7F1B"/>
    <w:rsid w:val="006C0722"/>
    <w:rsid w:val="006C12D9"/>
    <w:rsid w:val="006C1A9C"/>
    <w:rsid w:val="006C236B"/>
    <w:rsid w:val="006C2F6B"/>
    <w:rsid w:val="006C361C"/>
    <w:rsid w:val="006C3C9D"/>
    <w:rsid w:val="006C4129"/>
    <w:rsid w:val="006C42F7"/>
    <w:rsid w:val="006C5745"/>
    <w:rsid w:val="006C63E9"/>
    <w:rsid w:val="006C6524"/>
    <w:rsid w:val="006C6634"/>
    <w:rsid w:val="006C6645"/>
    <w:rsid w:val="006C69CC"/>
    <w:rsid w:val="006C6DC9"/>
    <w:rsid w:val="006C7518"/>
    <w:rsid w:val="006C7872"/>
    <w:rsid w:val="006C79E9"/>
    <w:rsid w:val="006C7B49"/>
    <w:rsid w:val="006C7C94"/>
    <w:rsid w:val="006C7DB0"/>
    <w:rsid w:val="006D0415"/>
    <w:rsid w:val="006D078B"/>
    <w:rsid w:val="006D0B13"/>
    <w:rsid w:val="006D0BA1"/>
    <w:rsid w:val="006D0BA9"/>
    <w:rsid w:val="006D1704"/>
    <w:rsid w:val="006D17E9"/>
    <w:rsid w:val="006D1933"/>
    <w:rsid w:val="006D2358"/>
    <w:rsid w:val="006D25DF"/>
    <w:rsid w:val="006D27D8"/>
    <w:rsid w:val="006D289D"/>
    <w:rsid w:val="006D3AE8"/>
    <w:rsid w:val="006D4A36"/>
    <w:rsid w:val="006D5995"/>
    <w:rsid w:val="006D5A8E"/>
    <w:rsid w:val="006D5D79"/>
    <w:rsid w:val="006D663E"/>
    <w:rsid w:val="006D6D50"/>
    <w:rsid w:val="006D735E"/>
    <w:rsid w:val="006E0064"/>
    <w:rsid w:val="006E011A"/>
    <w:rsid w:val="006E04C3"/>
    <w:rsid w:val="006E0CE2"/>
    <w:rsid w:val="006E14BA"/>
    <w:rsid w:val="006E1660"/>
    <w:rsid w:val="006E16E1"/>
    <w:rsid w:val="006E1BEC"/>
    <w:rsid w:val="006E1E1C"/>
    <w:rsid w:val="006E1EF9"/>
    <w:rsid w:val="006E1F69"/>
    <w:rsid w:val="006E249A"/>
    <w:rsid w:val="006E33F0"/>
    <w:rsid w:val="006E3BD7"/>
    <w:rsid w:val="006E40F7"/>
    <w:rsid w:val="006E50BD"/>
    <w:rsid w:val="006E51BB"/>
    <w:rsid w:val="006E5216"/>
    <w:rsid w:val="006E539A"/>
    <w:rsid w:val="006E5A29"/>
    <w:rsid w:val="006E61C6"/>
    <w:rsid w:val="006E6240"/>
    <w:rsid w:val="006E63DD"/>
    <w:rsid w:val="006E643F"/>
    <w:rsid w:val="006E6738"/>
    <w:rsid w:val="006E6DC8"/>
    <w:rsid w:val="006E7F5C"/>
    <w:rsid w:val="006F013B"/>
    <w:rsid w:val="006F0B0D"/>
    <w:rsid w:val="006F0D40"/>
    <w:rsid w:val="006F227E"/>
    <w:rsid w:val="006F2DC8"/>
    <w:rsid w:val="006F2FD4"/>
    <w:rsid w:val="006F2FD7"/>
    <w:rsid w:val="006F302F"/>
    <w:rsid w:val="006F39CB"/>
    <w:rsid w:val="006F3F8E"/>
    <w:rsid w:val="006F48EF"/>
    <w:rsid w:val="006F4CA4"/>
    <w:rsid w:val="006F5016"/>
    <w:rsid w:val="006F5290"/>
    <w:rsid w:val="006F5626"/>
    <w:rsid w:val="006F5689"/>
    <w:rsid w:val="006F5D79"/>
    <w:rsid w:val="006F5F31"/>
    <w:rsid w:val="006F616A"/>
    <w:rsid w:val="006F6229"/>
    <w:rsid w:val="006F6DA1"/>
    <w:rsid w:val="006F7044"/>
    <w:rsid w:val="006F7499"/>
    <w:rsid w:val="006F76A6"/>
    <w:rsid w:val="007009D9"/>
    <w:rsid w:val="00700B5F"/>
    <w:rsid w:val="00701CFC"/>
    <w:rsid w:val="00702D7C"/>
    <w:rsid w:val="00703F89"/>
    <w:rsid w:val="0070509A"/>
    <w:rsid w:val="00705340"/>
    <w:rsid w:val="00705CFB"/>
    <w:rsid w:val="00706821"/>
    <w:rsid w:val="007072F2"/>
    <w:rsid w:val="00707980"/>
    <w:rsid w:val="00710BA4"/>
    <w:rsid w:val="007119EC"/>
    <w:rsid w:val="00711F77"/>
    <w:rsid w:val="0071206E"/>
    <w:rsid w:val="00712634"/>
    <w:rsid w:val="007133B0"/>
    <w:rsid w:val="00713963"/>
    <w:rsid w:val="00713E4C"/>
    <w:rsid w:val="00715144"/>
    <w:rsid w:val="00715181"/>
    <w:rsid w:val="00715338"/>
    <w:rsid w:val="0071564C"/>
    <w:rsid w:val="0071626B"/>
    <w:rsid w:val="00716B0F"/>
    <w:rsid w:val="00717AEB"/>
    <w:rsid w:val="00720196"/>
    <w:rsid w:val="00720235"/>
    <w:rsid w:val="00720368"/>
    <w:rsid w:val="00722135"/>
    <w:rsid w:val="007224C1"/>
    <w:rsid w:val="007229A5"/>
    <w:rsid w:val="007230A3"/>
    <w:rsid w:val="007230A6"/>
    <w:rsid w:val="0072399D"/>
    <w:rsid w:val="00723C5A"/>
    <w:rsid w:val="00723C97"/>
    <w:rsid w:val="00723CB6"/>
    <w:rsid w:val="00724391"/>
    <w:rsid w:val="0072464B"/>
    <w:rsid w:val="00725190"/>
    <w:rsid w:val="0072528D"/>
    <w:rsid w:val="00725E3A"/>
    <w:rsid w:val="0072616C"/>
    <w:rsid w:val="007265AE"/>
    <w:rsid w:val="00726829"/>
    <w:rsid w:val="0072724D"/>
    <w:rsid w:val="007272AD"/>
    <w:rsid w:val="007275DA"/>
    <w:rsid w:val="00727CA9"/>
    <w:rsid w:val="007300AF"/>
    <w:rsid w:val="007305A4"/>
    <w:rsid w:val="007308B5"/>
    <w:rsid w:val="00730928"/>
    <w:rsid w:val="00731B4B"/>
    <w:rsid w:val="00731CE4"/>
    <w:rsid w:val="0073297F"/>
    <w:rsid w:val="00733946"/>
    <w:rsid w:val="00733AD1"/>
    <w:rsid w:val="00733FA2"/>
    <w:rsid w:val="00734267"/>
    <w:rsid w:val="007346B0"/>
    <w:rsid w:val="0073485C"/>
    <w:rsid w:val="0073560F"/>
    <w:rsid w:val="00735661"/>
    <w:rsid w:val="0073568A"/>
    <w:rsid w:val="00735F02"/>
    <w:rsid w:val="00736667"/>
    <w:rsid w:val="007371AD"/>
    <w:rsid w:val="00737741"/>
    <w:rsid w:val="0074037C"/>
    <w:rsid w:val="007407F5"/>
    <w:rsid w:val="00740A19"/>
    <w:rsid w:val="00740AE1"/>
    <w:rsid w:val="007412AD"/>
    <w:rsid w:val="00741584"/>
    <w:rsid w:val="00741651"/>
    <w:rsid w:val="00741E13"/>
    <w:rsid w:val="00742FCC"/>
    <w:rsid w:val="007431C4"/>
    <w:rsid w:val="007438F1"/>
    <w:rsid w:val="00743D1F"/>
    <w:rsid w:val="00744970"/>
    <w:rsid w:val="00744A54"/>
    <w:rsid w:val="00744BE5"/>
    <w:rsid w:val="00745977"/>
    <w:rsid w:val="00747121"/>
    <w:rsid w:val="0074789B"/>
    <w:rsid w:val="00747D04"/>
    <w:rsid w:val="007507D6"/>
    <w:rsid w:val="007516DF"/>
    <w:rsid w:val="00752208"/>
    <w:rsid w:val="00752866"/>
    <w:rsid w:val="0075456F"/>
    <w:rsid w:val="00754A52"/>
    <w:rsid w:val="00754D72"/>
    <w:rsid w:val="00755608"/>
    <w:rsid w:val="007557D5"/>
    <w:rsid w:val="00755A63"/>
    <w:rsid w:val="00755D47"/>
    <w:rsid w:val="007560DA"/>
    <w:rsid w:val="0075669A"/>
    <w:rsid w:val="007566F6"/>
    <w:rsid w:val="00756EB2"/>
    <w:rsid w:val="00757056"/>
    <w:rsid w:val="00757A1E"/>
    <w:rsid w:val="00761A5B"/>
    <w:rsid w:val="007620F4"/>
    <w:rsid w:val="00762451"/>
    <w:rsid w:val="0076263F"/>
    <w:rsid w:val="007628C8"/>
    <w:rsid w:val="00763AD2"/>
    <w:rsid w:val="007648FE"/>
    <w:rsid w:val="00764A4E"/>
    <w:rsid w:val="00764CA9"/>
    <w:rsid w:val="00765E33"/>
    <w:rsid w:val="00766635"/>
    <w:rsid w:val="007666D5"/>
    <w:rsid w:val="00766E9D"/>
    <w:rsid w:val="00767169"/>
    <w:rsid w:val="00767BA0"/>
    <w:rsid w:val="00770388"/>
    <w:rsid w:val="0077041D"/>
    <w:rsid w:val="00770677"/>
    <w:rsid w:val="00771199"/>
    <w:rsid w:val="00771CC6"/>
    <w:rsid w:val="00772C47"/>
    <w:rsid w:val="0077317D"/>
    <w:rsid w:val="00773767"/>
    <w:rsid w:val="00773F4B"/>
    <w:rsid w:val="00774396"/>
    <w:rsid w:val="00774981"/>
    <w:rsid w:val="00774BDC"/>
    <w:rsid w:val="00775093"/>
    <w:rsid w:val="0077543E"/>
    <w:rsid w:val="00775484"/>
    <w:rsid w:val="007759C6"/>
    <w:rsid w:val="00775F0A"/>
    <w:rsid w:val="0077624B"/>
    <w:rsid w:val="00776D98"/>
    <w:rsid w:val="00780787"/>
    <w:rsid w:val="0078083D"/>
    <w:rsid w:val="00781384"/>
    <w:rsid w:val="00781C95"/>
    <w:rsid w:val="00781E91"/>
    <w:rsid w:val="00782381"/>
    <w:rsid w:val="007828B2"/>
    <w:rsid w:val="00783361"/>
    <w:rsid w:val="007834FC"/>
    <w:rsid w:val="00783E64"/>
    <w:rsid w:val="007845E3"/>
    <w:rsid w:val="0078467C"/>
    <w:rsid w:val="007853C8"/>
    <w:rsid w:val="007864DD"/>
    <w:rsid w:val="00786668"/>
    <w:rsid w:val="007866A7"/>
    <w:rsid w:val="00786849"/>
    <w:rsid w:val="00786A20"/>
    <w:rsid w:val="007871D2"/>
    <w:rsid w:val="007876E0"/>
    <w:rsid w:val="00787741"/>
    <w:rsid w:val="00787E7A"/>
    <w:rsid w:val="00790A83"/>
    <w:rsid w:val="0079134C"/>
    <w:rsid w:val="0079152F"/>
    <w:rsid w:val="00791F73"/>
    <w:rsid w:val="0079208E"/>
    <w:rsid w:val="007926F7"/>
    <w:rsid w:val="00794656"/>
    <w:rsid w:val="0079550A"/>
    <w:rsid w:val="007955D3"/>
    <w:rsid w:val="00795BA9"/>
    <w:rsid w:val="00795D69"/>
    <w:rsid w:val="00795E8F"/>
    <w:rsid w:val="00795F48"/>
    <w:rsid w:val="007967E1"/>
    <w:rsid w:val="0079693C"/>
    <w:rsid w:val="007A077E"/>
    <w:rsid w:val="007A09B1"/>
    <w:rsid w:val="007A0C5B"/>
    <w:rsid w:val="007A1116"/>
    <w:rsid w:val="007A1523"/>
    <w:rsid w:val="007A2A8D"/>
    <w:rsid w:val="007A3984"/>
    <w:rsid w:val="007A3A60"/>
    <w:rsid w:val="007A4508"/>
    <w:rsid w:val="007A467C"/>
    <w:rsid w:val="007A46E1"/>
    <w:rsid w:val="007A472B"/>
    <w:rsid w:val="007A48CE"/>
    <w:rsid w:val="007A4A8A"/>
    <w:rsid w:val="007A4EF2"/>
    <w:rsid w:val="007A57A8"/>
    <w:rsid w:val="007A6105"/>
    <w:rsid w:val="007A6378"/>
    <w:rsid w:val="007A6382"/>
    <w:rsid w:val="007A663B"/>
    <w:rsid w:val="007A676B"/>
    <w:rsid w:val="007A6C83"/>
    <w:rsid w:val="007A6CB9"/>
    <w:rsid w:val="007A7005"/>
    <w:rsid w:val="007A742E"/>
    <w:rsid w:val="007A7C69"/>
    <w:rsid w:val="007A7E2C"/>
    <w:rsid w:val="007A7F5E"/>
    <w:rsid w:val="007B0088"/>
    <w:rsid w:val="007B06B5"/>
    <w:rsid w:val="007B1154"/>
    <w:rsid w:val="007B116E"/>
    <w:rsid w:val="007B21C7"/>
    <w:rsid w:val="007B2C90"/>
    <w:rsid w:val="007B3705"/>
    <w:rsid w:val="007B3D24"/>
    <w:rsid w:val="007B4261"/>
    <w:rsid w:val="007B570A"/>
    <w:rsid w:val="007B5832"/>
    <w:rsid w:val="007B587C"/>
    <w:rsid w:val="007B61D3"/>
    <w:rsid w:val="007B624D"/>
    <w:rsid w:val="007B646E"/>
    <w:rsid w:val="007B67BA"/>
    <w:rsid w:val="007B7A4C"/>
    <w:rsid w:val="007C08C0"/>
    <w:rsid w:val="007C13F9"/>
    <w:rsid w:val="007C1A31"/>
    <w:rsid w:val="007C1D2D"/>
    <w:rsid w:val="007C1D3F"/>
    <w:rsid w:val="007C2612"/>
    <w:rsid w:val="007C29BE"/>
    <w:rsid w:val="007C3D12"/>
    <w:rsid w:val="007C438D"/>
    <w:rsid w:val="007C4CBE"/>
    <w:rsid w:val="007C53C5"/>
    <w:rsid w:val="007C56A2"/>
    <w:rsid w:val="007C5852"/>
    <w:rsid w:val="007C645E"/>
    <w:rsid w:val="007C66FC"/>
    <w:rsid w:val="007C6CA0"/>
    <w:rsid w:val="007C6E4B"/>
    <w:rsid w:val="007C772A"/>
    <w:rsid w:val="007C7A8F"/>
    <w:rsid w:val="007D02BB"/>
    <w:rsid w:val="007D06B3"/>
    <w:rsid w:val="007D0838"/>
    <w:rsid w:val="007D0DFB"/>
    <w:rsid w:val="007D0EFC"/>
    <w:rsid w:val="007D186A"/>
    <w:rsid w:val="007D1F80"/>
    <w:rsid w:val="007D3BC1"/>
    <w:rsid w:val="007D459B"/>
    <w:rsid w:val="007D49D0"/>
    <w:rsid w:val="007D4A38"/>
    <w:rsid w:val="007D4B5E"/>
    <w:rsid w:val="007D50A6"/>
    <w:rsid w:val="007D54F7"/>
    <w:rsid w:val="007D56D0"/>
    <w:rsid w:val="007D5FAD"/>
    <w:rsid w:val="007D69D7"/>
    <w:rsid w:val="007D69DA"/>
    <w:rsid w:val="007D6C91"/>
    <w:rsid w:val="007D7099"/>
    <w:rsid w:val="007D7D2C"/>
    <w:rsid w:val="007D7FFE"/>
    <w:rsid w:val="007E0281"/>
    <w:rsid w:val="007E0371"/>
    <w:rsid w:val="007E0423"/>
    <w:rsid w:val="007E083B"/>
    <w:rsid w:val="007E2ABF"/>
    <w:rsid w:val="007E328B"/>
    <w:rsid w:val="007E340D"/>
    <w:rsid w:val="007E36C6"/>
    <w:rsid w:val="007E37D2"/>
    <w:rsid w:val="007E4385"/>
    <w:rsid w:val="007E465D"/>
    <w:rsid w:val="007E496A"/>
    <w:rsid w:val="007E4E7F"/>
    <w:rsid w:val="007E520F"/>
    <w:rsid w:val="007E52F3"/>
    <w:rsid w:val="007E552F"/>
    <w:rsid w:val="007E6501"/>
    <w:rsid w:val="007E662D"/>
    <w:rsid w:val="007E6800"/>
    <w:rsid w:val="007E7387"/>
    <w:rsid w:val="007E7D08"/>
    <w:rsid w:val="007E7FBF"/>
    <w:rsid w:val="007F01FC"/>
    <w:rsid w:val="007F1084"/>
    <w:rsid w:val="007F1480"/>
    <w:rsid w:val="007F1F96"/>
    <w:rsid w:val="007F27E9"/>
    <w:rsid w:val="007F2852"/>
    <w:rsid w:val="007F2DC2"/>
    <w:rsid w:val="007F3476"/>
    <w:rsid w:val="007F3D36"/>
    <w:rsid w:val="007F3DAD"/>
    <w:rsid w:val="007F43C6"/>
    <w:rsid w:val="007F4515"/>
    <w:rsid w:val="007F4E6D"/>
    <w:rsid w:val="007F5607"/>
    <w:rsid w:val="007F5872"/>
    <w:rsid w:val="007F6AFF"/>
    <w:rsid w:val="007F6C03"/>
    <w:rsid w:val="007F6E80"/>
    <w:rsid w:val="007F6FFA"/>
    <w:rsid w:val="007F7289"/>
    <w:rsid w:val="007F748D"/>
    <w:rsid w:val="007F7863"/>
    <w:rsid w:val="007F7B80"/>
    <w:rsid w:val="008003B0"/>
    <w:rsid w:val="00800816"/>
    <w:rsid w:val="0080204B"/>
    <w:rsid w:val="00802DF3"/>
    <w:rsid w:val="0080355F"/>
    <w:rsid w:val="00803E15"/>
    <w:rsid w:val="00804510"/>
    <w:rsid w:val="00804AD7"/>
    <w:rsid w:val="00804D2B"/>
    <w:rsid w:val="00804EFA"/>
    <w:rsid w:val="00805D9E"/>
    <w:rsid w:val="00805DE9"/>
    <w:rsid w:val="008062B2"/>
    <w:rsid w:val="00806375"/>
    <w:rsid w:val="0080678E"/>
    <w:rsid w:val="0080686C"/>
    <w:rsid w:val="0080698D"/>
    <w:rsid w:val="00806AA7"/>
    <w:rsid w:val="00810239"/>
    <w:rsid w:val="00810D86"/>
    <w:rsid w:val="00810E2A"/>
    <w:rsid w:val="00811723"/>
    <w:rsid w:val="008127FC"/>
    <w:rsid w:val="008132E8"/>
    <w:rsid w:val="0081343B"/>
    <w:rsid w:val="00813844"/>
    <w:rsid w:val="00813B92"/>
    <w:rsid w:val="00813EBD"/>
    <w:rsid w:val="008144E6"/>
    <w:rsid w:val="00814B23"/>
    <w:rsid w:val="00815E73"/>
    <w:rsid w:val="00816273"/>
    <w:rsid w:val="008166C5"/>
    <w:rsid w:val="00816723"/>
    <w:rsid w:val="00816BB8"/>
    <w:rsid w:val="00817857"/>
    <w:rsid w:val="00820175"/>
    <w:rsid w:val="00820781"/>
    <w:rsid w:val="00820AED"/>
    <w:rsid w:val="0082246D"/>
    <w:rsid w:val="008226DA"/>
    <w:rsid w:val="00823B05"/>
    <w:rsid w:val="00823EDA"/>
    <w:rsid w:val="00824CE8"/>
    <w:rsid w:val="0082535E"/>
    <w:rsid w:val="008256E6"/>
    <w:rsid w:val="008262DD"/>
    <w:rsid w:val="008262FB"/>
    <w:rsid w:val="00826BD9"/>
    <w:rsid w:val="00826BDB"/>
    <w:rsid w:val="00826D12"/>
    <w:rsid w:val="00827051"/>
    <w:rsid w:val="00827BE6"/>
    <w:rsid w:val="00827EDB"/>
    <w:rsid w:val="0083013F"/>
    <w:rsid w:val="008310E3"/>
    <w:rsid w:val="00831291"/>
    <w:rsid w:val="008316DA"/>
    <w:rsid w:val="00831750"/>
    <w:rsid w:val="00831AC0"/>
    <w:rsid w:val="00832078"/>
    <w:rsid w:val="00832397"/>
    <w:rsid w:val="00833076"/>
    <w:rsid w:val="00834227"/>
    <w:rsid w:val="00834639"/>
    <w:rsid w:val="00835A1E"/>
    <w:rsid w:val="00835DA2"/>
    <w:rsid w:val="0083620A"/>
    <w:rsid w:val="00836C8B"/>
    <w:rsid w:val="00836C9D"/>
    <w:rsid w:val="00836EC6"/>
    <w:rsid w:val="0083790E"/>
    <w:rsid w:val="00840507"/>
    <w:rsid w:val="00840729"/>
    <w:rsid w:val="00841997"/>
    <w:rsid w:val="008423D4"/>
    <w:rsid w:val="00842703"/>
    <w:rsid w:val="00842739"/>
    <w:rsid w:val="00842899"/>
    <w:rsid w:val="00842F46"/>
    <w:rsid w:val="008431EE"/>
    <w:rsid w:val="00843579"/>
    <w:rsid w:val="0084397A"/>
    <w:rsid w:val="00844881"/>
    <w:rsid w:val="008457B3"/>
    <w:rsid w:val="008459B6"/>
    <w:rsid w:val="008460B0"/>
    <w:rsid w:val="008467C5"/>
    <w:rsid w:val="00846814"/>
    <w:rsid w:val="008476BB"/>
    <w:rsid w:val="008502CC"/>
    <w:rsid w:val="00850503"/>
    <w:rsid w:val="008508EC"/>
    <w:rsid w:val="00850A25"/>
    <w:rsid w:val="00850D72"/>
    <w:rsid w:val="00850E8E"/>
    <w:rsid w:val="00850F4C"/>
    <w:rsid w:val="00851147"/>
    <w:rsid w:val="0085132A"/>
    <w:rsid w:val="0085171F"/>
    <w:rsid w:val="00851D3D"/>
    <w:rsid w:val="00851F59"/>
    <w:rsid w:val="00852019"/>
    <w:rsid w:val="00852FDC"/>
    <w:rsid w:val="00852FEF"/>
    <w:rsid w:val="008530B3"/>
    <w:rsid w:val="00853222"/>
    <w:rsid w:val="008536E1"/>
    <w:rsid w:val="00854339"/>
    <w:rsid w:val="00854C17"/>
    <w:rsid w:val="00855082"/>
    <w:rsid w:val="00855A3E"/>
    <w:rsid w:val="00855D6B"/>
    <w:rsid w:val="00856343"/>
    <w:rsid w:val="00856509"/>
    <w:rsid w:val="00856832"/>
    <w:rsid w:val="00856CD7"/>
    <w:rsid w:val="0085764F"/>
    <w:rsid w:val="00857C26"/>
    <w:rsid w:val="00857D54"/>
    <w:rsid w:val="008603FB"/>
    <w:rsid w:val="00860BF1"/>
    <w:rsid w:val="0086100D"/>
    <w:rsid w:val="008612F7"/>
    <w:rsid w:val="008617D4"/>
    <w:rsid w:val="00861A52"/>
    <w:rsid w:val="00861C99"/>
    <w:rsid w:val="00862062"/>
    <w:rsid w:val="00862525"/>
    <w:rsid w:val="008626FD"/>
    <w:rsid w:val="00863165"/>
    <w:rsid w:val="008637E1"/>
    <w:rsid w:val="00863A3B"/>
    <w:rsid w:val="00864281"/>
    <w:rsid w:val="00864905"/>
    <w:rsid w:val="00864A1C"/>
    <w:rsid w:val="00864D77"/>
    <w:rsid w:val="00865795"/>
    <w:rsid w:val="00866255"/>
    <w:rsid w:val="008662F9"/>
    <w:rsid w:val="00866CBA"/>
    <w:rsid w:val="00866FDC"/>
    <w:rsid w:val="0086755F"/>
    <w:rsid w:val="00867BA4"/>
    <w:rsid w:val="00871AD2"/>
    <w:rsid w:val="00872368"/>
    <w:rsid w:val="0087245E"/>
    <w:rsid w:val="00872802"/>
    <w:rsid w:val="00872D6D"/>
    <w:rsid w:val="008732A9"/>
    <w:rsid w:val="0087406A"/>
    <w:rsid w:val="00874230"/>
    <w:rsid w:val="00874C0F"/>
    <w:rsid w:val="00875538"/>
    <w:rsid w:val="00875AAD"/>
    <w:rsid w:val="00875D9A"/>
    <w:rsid w:val="00876160"/>
    <w:rsid w:val="008762F0"/>
    <w:rsid w:val="008766B1"/>
    <w:rsid w:val="00877635"/>
    <w:rsid w:val="00880449"/>
    <w:rsid w:val="0088069E"/>
    <w:rsid w:val="0088134B"/>
    <w:rsid w:val="0088172E"/>
    <w:rsid w:val="0088194D"/>
    <w:rsid w:val="00881C34"/>
    <w:rsid w:val="00881DCC"/>
    <w:rsid w:val="00882377"/>
    <w:rsid w:val="00882439"/>
    <w:rsid w:val="00882502"/>
    <w:rsid w:val="008832CA"/>
    <w:rsid w:val="00883791"/>
    <w:rsid w:val="00883B09"/>
    <w:rsid w:val="00884080"/>
    <w:rsid w:val="00884311"/>
    <w:rsid w:val="0088478A"/>
    <w:rsid w:val="00884999"/>
    <w:rsid w:val="00884CCF"/>
    <w:rsid w:val="0088529B"/>
    <w:rsid w:val="008854F3"/>
    <w:rsid w:val="00885787"/>
    <w:rsid w:val="0088586F"/>
    <w:rsid w:val="00885A96"/>
    <w:rsid w:val="00885F2B"/>
    <w:rsid w:val="00886189"/>
    <w:rsid w:val="00886444"/>
    <w:rsid w:val="00886C75"/>
    <w:rsid w:val="00887BE0"/>
    <w:rsid w:val="00890885"/>
    <w:rsid w:val="00890941"/>
    <w:rsid w:val="00890D2E"/>
    <w:rsid w:val="008912A9"/>
    <w:rsid w:val="00891745"/>
    <w:rsid w:val="0089286A"/>
    <w:rsid w:val="00892AFC"/>
    <w:rsid w:val="00892CF6"/>
    <w:rsid w:val="00893374"/>
    <w:rsid w:val="00893A11"/>
    <w:rsid w:val="00893C83"/>
    <w:rsid w:val="0089483B"/>
    <w:rsid w:val="0089563F"/>
    <w:rsid w:val="00895F4D"/>
    <w:rsid w:val="00896756"/>
    <w:rsid w:val="00896A4F"/>
    <w:rsid w:val="00896E46"/>
    <w:rsid w:val="00896F26"/>
    <w:rsid w:val="00897132"/>
    <w:rsid w:val="00897166"/>
    <w:rsid w:val="008A020A"/>
    <w:rsid w:val="008A0412"/>
    <w:rsid w:val="008A11BF"/>
    <w:rsid w:val="008A19E2"/>
    <w:rsid w:val="008A1E0A"/>
    <w:rsid w:val="008A1E9E"/>
    <w:rsid w:val="008A29D1"/>
    <w:rsid w:val="008A2DFC"/>
    <w:rsid w:val="008A3263"/>
    <w:rsid w:val="008A3F8A"/>
    <w:rsid w:val="008A40EE"/>
    <w:rsid w:val="008A41AA"/>
    <w:rsid w:val="008A41C3"/>
    <w:rsid w:val="008A4403"/>
    <w:rsid w:val="008A4B72"/>
    <w:rsid w:val="008A586E"/>
    <w:rsid w:val="008A590A"/>
    <w:rsid w:val="008A5959"/>
    <w:rsid w:val="008A597A"/>
    <w:rsid w:val="008A64FC"/>
    <w:rsid w:val="008A658B"/>
    <w:rsid w:val="008B0A8A"/>
    <w:rsid w:val="008B11FF"/>
    <w:rsid w:val="008B1E3B"/>
    <w:rsid w:val="008B1F0D"/>
    <w:rsid w:val="008B2055"/>
    <w:rsid w:val="008B29A6"/>
    <w:rsid w:val="008B2B2B"/>
    <w:rsid w:val="008B2E3C"/>
    <w:rsid w:val="008B38C1"/>
    <w:rsid w:val="008B390B"/>
    <w:rsid w:val="008B3C95"/>
    <w:rsid w:val="008B412D"/>
    <w:rsid w:val="008B48F3"/>
    <w:rsid w:val="008B49BA"/>
    <w:rsid w:val="008B554C"/>
    <w:rsid w:val="008B5AD0"/>
    <w:rsid w:val="008B5DCC"/>
    <w:rsid w:val="008B6768"/>
    <w:rsid w:val="008B6E05"/>
    <w:rsid w:val="008B6E86"/>
    <w:rsid w:val="008B6F9C"/>
    <w:rsid w:val="008B744E"/>
    <w:rsid w:val="008C1B77"/>
    <w:rsid w:val="008C1F0C"/>
    <w:rsid w:val="008C3548"/>
    <w:rsid w:val="008C36D6"/>
    <w:rsid w:val="008C37E4"/>
    <w:rsid w:val="008C485C"/>
    <w:rsid w:val="008C4B87"/>
    <w:rsid w:val="008C53E8"/>
    <w:rsid w:val="008C5DD4"/>
    <w:rsid w:val="008C6831"/>
    <w:rsid w:val="008C69BB"/>
    <w:rsid w:val="008C6EDB"/>
    <w:rsid w:val="008C72BE"/>
    <w:rsid w:val="008C74B3"/>
    <w:rsid w:val="008C758B"/>
    <w:rsid w:val="008C7A5C"/>
    <w:rsid w:val="008C7D28"/>
    <w:rsid w:val="008D053B"/>
    <w:rsid w:val="008D0DE2"/>
    <w:rsid w:val="008D10E8"/>
    <w:rsid w:val="008D1905"/>
    <w:rsid w:val="008D2760"/>
    <w:rsid w:val="008D2EE3"/>
    <w:rsid w:val="008D310C"/>
    <w:rsid w:val="008D3466"/>
    <w:rsid w:val="008D3624"/>
    <w:rsid w:val="008D38A2"/>
    <w:rsid w:val="008D39DA"/>
    <w:rsid w:val="008D5C67"/>
    <w:rsid w:val="008D5CFE"/>
    <w:rsid w:val="008D7B9D"/>
    <w:rsid w:val="008E0049"/>
    <w:rsid w:val="008E01D3"/>
    <w:rsid w:val="008E0C65"/>
    <w:rsid w:val="008E1B10"/>
    <w:rsid w:val="008E1CE4"/>
    <w:rsid w:val="008E20C9"/>
    <w:rsid w:val="008E28F9"/>
    <w:rsid w:val="008E2A96"/>
    <w:rsid w:val="008E3224"/>
    <w:rsid w:val="008E3730"/>
    <w:rsid w:val="008E3DCB"/>
    <w:rsid w:val="008E41C5"/>
    <w:rsid w:val="008E4293"/>
    <w:rsid w:val="008E44DF"/>
    <w:rsid w:val="008E4E91"/>
    <w:rsid w:val="008E5293"/>
    <w:rsid w:val="008E53B0"/>
    <w:rsid w:val="008E5A2E"/>
    <w:rsid w:val="008E5CBF"/>
    <w:rsid w:val="008E5F6B"/>
    <w:rsid w:val="008E63FD"/>
    <w:rsid w:val="008E72B8"/>
    <w:rsid w:val="008E7766"/>
    <w:rsid w:val="008E7785"/>
    <w:rsid w:val="008E7FA0"/>
    <w:rsid w:val="008F02AB"/>
    <w:rsid w:val="008F0375"/>
    <w:rsid w:val="008F03CD"/>
    <w:rsid w:val="008F09C8"/>
    <w:rsid w:val="008F1462"/>
    <w:rsid w:val="008F1A41"/>
    <w:rsid w:val="008F36E0"/>
    <w:rsid w:val="008F3C10"/>
    <w:rsid w:val="008F3DB5"/>
    <w:rsid w:val="008F3F28"/>
    <w:rsid w:val="008F494A"/>
    <w:rsid w:val="008F49F1"/>
    <w:rsid w:val="008F54DE"/>
    <w:rsid w:val="008F56BC"/>
    <w:rsid w:val="008F5D92"/>
    <w:rsid w:val="008F6094"/>
    <w:rsid w:val="008F6264"/>
    <w:rsid w:val="008F64BB"/>
    <w:rsid w:val="008F64F5"/>
    <w:rsid w:val="008F65E4"/>
    <w:rsid w:val="008F68CF"/>
    <w:rsid w:val="008F6B7E"/>
    <w:rsid w:val="008F6BB7"/>
    <w:rsid w:val="008F76B1"/>
    <w:rsid w:val="008F7D9B"/>
    <w:rsid w:val="00900458"/>
    <w:rsid w:val="009006BD"/>
    <w:rsid w:val="009009C0"/>
    <w:rsid w:val="00900EB0"/>
    <w:rsid w:val="00901323"/>
    <w:rsid w:val="00901DF4"/>
    <w:rsid w:val="009029EC"/>
    <w:rsid w:val="009030F1"/>
    <w:rsid w:val="00903679"/>
    <w:rsid w:val="00903EBA"/>
    <w:rsid w:val="00903F2D"/>
    <w:rsid w:val="00904565"/>
    <w:rsid w:val="00905184"/>
    <w:rsid w:val="009052B4"/>
    <w:rsid w:val="00905A93"/>
    <w:rsid w:val="00906073"/>
    <w:rsid w:val="009060EA"/>
    <w:rsid w:val="0090655B"/>
    <w:rsid w:val="00907392"/>
    <w:rsid w:val="00910808"/>
    <w:rsid w:val="00910D4A"/>
    <w:rsid w:val="0091194C"/>
    <w:rsid w:val="00911D9F"/>
    <w:rsid w:val="00912145"/>
    <w:rsid w:val="00912A75"/>
    <w:rsid w:val="0091321B"/>
    <w:rsid w:val="00913D32"/>
    <w:rsid w:val="00913F00"/>
    <w:rsid w:val="0091408F"/>
    <w:rsid w:val="00914630"/>
    <w:rsid w:val="00915049"/>
    <w:rsid w:val="009157CA"/>
    <w:rsid w:val="00915C81"/>
    <w:rsid w:val="00916473"/>
    <w:rsid w:val="009164CB"/>
    <w:rsid w:val="0091666C"/>
    <w:rsid w:val="00916839"/>
    <w:rsid w:val="00917110"/>
    <w:rsid w:val="00917336"/>
    <w:rsid w:val="00917FD7"/>
    <w:rsid w:val="00920FBF"/>
    <w:rsid w:val="00921170"/>
    <w:rsid w:val="009215CE"/>
    <w:rsid w:val="009220C4"/>
    <w:rsid w:val="0092215B"/>
    <w:rsid w:val="009222F9"/>
    <w:rsid w:val="00922E00"/>
    <w:rsid w:val="00923A8C"/>
    <w:rsid w:val="009244C2"/>
    <w:rsid w:val="00924560"/>
    <w:rsid w:val="00924772"/>
    <w:rsid w:val="00924E9B"/>
    <w:rsid w:val="00925389"/>
    <w:rsid w:val="009257E5"/>
    <w:rsid w:val="00926A4C"/>
    <w:rsid w:val="00926C32"/>
    <w:rsid w:val="00926ED7"/>
    <w:rsid w:val="00927705"/>
    <w:rsid w:val="00927B9A"/>
    <w:rsid w:val="009307C7"/>
    <w:rsid w:val="00930F72"/>
    <w:rsid w:val="00931924"/>
    <w:rsid w:val="00931ADC"/>
    <w:rsid w:val="00932C77"/>
    <w:rsid w:val="00932D61"/>
    <w:rsid w:val="0093334D"/>
    <w:rsid w:val="0093360C"/>
    <w:rsid w:val="00933D72"/>
    <w:rsid w:val="00933E5E"/>
    <w:rsid w:val="009343E0"/>
    <w:rsid w:val="0093510B"/>
    <w:rsid w:val="00935111"/>
    <w:rsid w:val="0093572F"/>
    <w:rsid w:val="00935BAB"/>
    <w:rsid w:val="00935BC8"/>
    <w:rsid w:val="00935C06"/>
    <w:rsid w:val="0093654F"/>
    <w:rsid w:val="00936905"/>
    <w:rsid w:val="0093700B"/>
    <w:rsid w:val="00937700"/>
    <w:rsid w:val="0093782F"/>
    <w:rsid w:val="00937E74"/>
    <w:rsid w:val="009403C0"/>
    <w:rsid w:val="00940FB1"/>
    <w:rsid w:val="00941176"/>
    <w:rsid w:val="00941487"/>
    <w:rsid w:val="00941665"/>
    <w:rsid w:val="00941FE2"/>
    <w:rsid w:val="0094227E"/>
    <w:rsid w:val="00942B07"/>
    <w:rsid w:val="00943155"/>
    <w:rsid w:val="00943337"/>
    <w:rsid w:val="00943730"/>
    <w:rsid w:val="009439D5"/>
    <w:rsid w:val="00943C97"/>
    <w:rsid w:val="00945BCA"/>
    <w:rsid w:val="00945EBD"/>
    <w:rsid w:val="009460EB"/>
    <w:rsid w:val="00946132"/>
    <w:rsid w:val="00946664"/>
    <w:rsid w:val="00946832"/>
    <w:rsid w:val="00946D57"/>
    <w:rsid w:val="00946F55"/>
    <w:rsid w:val="009476A6"/>
    <w:rsid w:val="00947B1E"/>
    <w:rsid w:val="00950B22"/>
    <w:rsid w:val="00950FA6"/>
    <w:rsid w:val="009510FA"/>
    <w:rsid w:val="00952B23"/>
    <w:rsid w:val="009532C0"/>
    <w:rsid w:val="009540D1"/>
    <w:rsid w:val="00954389"/>
    <w:rsid w:val="00954B99"/>
    <w:rsid w:val="00954D2B"/>
    <w:rsid w:val="009553C9"/>
    <w:rsid w:val="00955E31"/>
    <w:rsid w:val="00955F37"/>
    <w:rsid w:val="009560DA"/>
    <w:rsid w:val="009563D2"/>
    <w:rsid w:val="00956682"/>
    <w:rsid w:val="009568DD"/>
    <w:rsid w:val="00956C82"/>
    <w:rsid w:val="00956CEF"/>
    <w:rsid w:val="00957B2D"/>
    <w:rsid w:val="00957C0E"/>
    <w:rsid w:val="00960369"/>
    <w:rsid w:val="00962D21"/>
    <w:rsid w:val="00963C1E"/>
    <w:rsid w:val="00964453"/>
    <w:rsid w:val="00964872"/>
    <w:rsid w:val="00964A17"/>
    <w:rsid w:val="00964AAF"/>
    <w:rsid w:val="00964D9A"/>
    <w:rsid w:val="00964EE3"/>
    <w:rsid w:val="00965026"/>
    <w:rsid w:val="00965281"/>
    <w:rsid w:val="009656BC"/>
    <w:rsid w:val="009662A7"/>
    <w:rsid w:val="00966547"/>
    <w:rsid w:val="00966B88"/>
    <w:rsid w:val="00966DD6"/>
    <w:rsid w:val="009678DD"/>
    <w:rsid w:val="009700E0"/>
    <w:rsid w:val="00970421"/>
    <w:rsid w:val="0097197B"/>
    <w:rsid w:val="00971F9C"/>
    <w:rsid w:val="00972320"/>
    <w:rsid w:val="0097283D"/>
    <w:rsid w:val="00972C87"/>
    <w:rsid w:val="00973523"/>
    <w:rsid w:val="00973D67"/>
    <w:rsid w:val="009740C0"/>
    <w:rsid w:val="0097422D"/>
    <w:rsid w:val="00974631"/>
    <w:rsid w:val="00974867"/>
    <w:rsid w:val="0097550B"/>
    <w:rsid w:val="00975F55"/>
    <w:rsid w:val="00976291"/>
    <w:rsid w:val="009763A1"/>
    <w:rsid w:val="00976EFC"/>
    <w:rsid w:val="0097746F"/>
    <w:rsid w:val="0097765B"/>
    <w:rsid w:val="0097765C"/>
    <w:rsid w:val="00977A70"/>
    <w:rsid w:val="00980536"/>
    <w:rsid w:val="009807DA"/>
    <w:rsid w:val="00980ECB"/>
    <w:rsid w:val="009810C6"/>
    <w:rsid w:val="00981124"/>
    <w:rsid w:val="0098160F"/>
    <w:rsid w:val="0098197B"/>
    <w:rsid w:val="00981C0B"/>
    <w:rsid w:val="00982055"/>
    <w:rsid w:val="00982317"/>
    <w:rsid w:val="009828F1"/>
    <w:rsid w:val="00982FB6"/>
    <w:rsid w:val="0098369F"/>
    <w:rsid w:val="009838A8"/>
    <w:rsid w:val="00983928"/>
    <w:rsid w:val="00983969"/>
    <w:rsid w:val="00983C8E"/>
    <w:rsid w:val="00984662"/>
    <w:rsid w:val="009848E1"/>
    <w:rsid w:val="00984B9D"/>
    <w:rsid w:val="00984F2F"/>
    <w:rsid w:val="00985A4B"/>
    <w:rsid w:val="009866C7"/>
    <w:rsid w:val="00986FCD"/>
    <w:rsid w:val="009874C5"/>
    <w:rsid w:val="009877FA"/>
    <w:rsid w:val="0099107A"/>
    <w:rsid w:val="00991D96"/>
    <w:rsid w:val="00992E79"/>
    <w:rsid w:val="009933C2"/>
    <w:rsid w:val="00993934"/>
    <w:rsid w:val="0099444F"/>
    <w:rsid w:val="009946D5"/>
    <w:rsid w:val="00994FB5"/>
    <w:rsid w:val="009950CA"/>
    <w:rsid w:val="009954E3"/>
    <w:rsid w:val="009955BA"/>
    <w:rsid w:val="009955D1"/>
    <w:rsid w:val="00996610"/>
    <w:rsid w:val="009971F7"/>
    <w:rsid w:val="00997B00"/>
    <w:rsid w:val="009A0175"/>
    <w:rsid w:val="009A068B"/>
    <w:rsid w:val="009A09FF"/>
    <w:rsid w:val="009A0C83"/>
    <w:rsid w:val="009A0F5D"/>
    <w:rsid w:val="009A0F8D"/>
    <w:rsid w:val="009A144F"/>
    <w:rsid w:val="009A1CEF"/>
    <w:rsid w:val="009A2037"/>
    <w:rsid w:val="009A2468"/>
    <w:rsid w:val="009A2EC1"/>
    <w:rsid w:val="009A49C6"/>
    <w:rsid w:val="009A4ADC"/>
    <w:rsid w:val="009A5904"/>
    <w:rsid w:val="009A5A12"/>
    <w:rsid w:val="009A6A7A"/>
    <w:rsid w:val="009A72AE"/>
    <w:rsid w:val="009A74C3"/>
    <w:rsid w:val="009A7C7E"/>
    <w:rsid w:val="009A7DD2"/>
    <w:rsid w:val="009A7E66"/>
    <w:rsid w:val="009A7EBB"/>
    <w:rsid w:val="009B0D07"/>
    <w:rsid w:val="009B0D73"/>
    <w:rsid w:val="009B10B0"/>
    <w:rsid w:val="009B136A"/>
    <w:rsid w:val="009B1D3E"/>
    <w:rsid w:val="009B27C0"/>
    <w:rsid w:val="009B28B4"/>
    <w:rsid w:val="009B2DD5"/>
    <w:rsid w:val="009B312B"/>
    <w:rsid w:val="009B3302"/>
    <w:rsid w:val="009B3D70"/>
    <w:rsid w:val="009B3FA2"/>
    <w:rsid w:val="009B4BAE"/>
    <w:rsid w:val="009B5DB9"/>
    <w:rsid w:val="009B6479"/>
    <w:rsid w:val="009B700E"/>
    <w:rsid w:val="009B7094"/>
    <w:rsid w:val="009B7A11"/>
    <w:rsid w:val="009B7AB2"/>
    <w:rsid w:val="009B7FAF"/>
    <w:rsid w:val="009C0473"/>
    <w:rsid w:val="009C0645"/>
    <w:rsid w:val="009C123C"/>
    <w:rsid w:val="009C18B9"/>
    <w:rsid w:val="009C19D1"/>
    <w:rsid w:val="009C20A1"/>
    <w:rsid w:val="009C20BF"/>
    <w:rsid w:val="009C27E0"/>
    <w:rsid w:val="009C296A"/>
    <w:rsid w:val="009C2E3E"/>
    <w:rsid w:val="009C30F9"/>
    <w:rsid w:val="009C3B7C"/>
    <w:rsid w:val="009C4FDA"/>
    <w:rsid w:val="009C51A5"/>
    <w:rsid w:val="009C5393"/>
    <w:rsid w:val="009C56D4"/>
    <w:rsid w:val="009C5D4E"/>
    <w:rsid w:val="009C6EDF"/>
    <w:rsid w:val="009D0FBB"/>
    <w:rsid w:val="009D1756"/>
    <w:rsid w:val="009D218F"/>
    <w:rsid w:val="009D21A2"/>
    <w:rsid w:val="009D242B"/>
    <w:rsid w:val="009D243D"/>
    <w:rsid w:val="009D2788"/>
    <w:rsid w:val="009D2F5B"/>
    <w:rsid w:val="009D35AD"/>
    <w:rsid w:val="009D3733"/>
    <w:rsid w:val="009D3902"/>
    <w:rsid w:val="009D4B16"/>
    <w:rsid w:val="009D4C27"/>
    <w:rsid w:val="009D4CD4"/>
    <w:rsid w:val="009D5266"/>
    <w:rsid w:val="009D5714"/>
    <w:rsid w:val="009D5862"/>
    <w:rsid w:val="009D58D9"/>
    <w:rsid w:val="009D5D3C"/>
    <w:rsid w:val="009D6FFF"/>
    <w:rsid w:val="009D71C5"/>
    <w:rsid w:val="009D7227"/>
    <w:rsid w:val="009D7C0C"/>
    <w:rsid w:val="009E0077"/>
    <w:rsid w:val="009E08B1"/>
    <w:rsid w:val="009E123F"/>
    <w:rsid w:val="009E1D89"/>
    <w:rsid w:val="009E1F9E"/>
    <w:rsid w:val="009E21C0"/>
    <w:rsid w:val="009E2882"/>
    <w:rsid w:val="009E29CF"/>
    <w:rsid w:val="009E2F06"/>
    <w:rsid w:val="009E3BAE"/>
    <w:rsid w:val="009E47FD"/>
    <w:rsid w:val="009E49EC"/>
    <w:rsid w:val="009E4EEA"/>
    <w:rsid w:val="009E58DF"/>
    <w:rsid w:val="009E6401"/>
    <w:rsid w:val="009E732B"/>
    <w:rsid w:val="009E7827"/>
    <w:rsid w:val="009F0124"/>
    <w:rsid w:val="009F044F"/>
    <w:rsid w:val="009F07A7"/>
    <w:rsid w:val="009F094F"/>
    <w:rsid w:val="009F0B41"/>
    <w:rsid w:val="009F0DDC"/>
    <w:rsid w:val="009F158C"/>
    <w:rsid w:val="009F2D82"/>
    <w:rsid w:val="009F388E"/>
    <w:rsid w:val="009F4FAA"/>
    <w:rsid w:val="009F514C"/>
    <w:rsid w:val="009F519D"/>
    <w:rsid w:val="009F5A62"/>
    <w:rsid w:val="009F5A75"/>
    <w:rsid w:val="009F602F"/>
    <w:rsid w:val="009F61B8"/>
    <w:rsid w:val="009F670D"/>
    <w:rsid w:val="009F6825"/>
    <w:rsid w:val="009F6D6F"/>
    <w:rsid w:val="009F6ED7"/>
    <w:rsid w:val="009F6F15"/>
    <w:rsid w:val="009F7B28"/>
    <w:rsid w:val="00A00390"/>
    <w:rsid w:val="00A00426"/>
    <w:rsid w:val="00A01C81"/>
    <w:rsid w:val="00A022D7"/>
    <w:rsid w:val="00A02465"/>
    <w:rsid w:val="00A02AEC"/>
    <w:rsid w:val="00A035E8"/>
    <w:rsid w:val="00A04072"/>
    <w:rsid w:val="00A04B91"/>
    <w:rsid w:val="00A050BE"/>
    <w:rsid w:val="00A05BC8"/>
    <w:rsid w:val="00A05FD7"/>
    <w:rsid w:val="00A06586"/>
    <w:rsid w:val="00A06872"/>
    <w:rsid w:val="00A068F7"/>
    <w:rsid w:val="00A06CCF"/>
    <w:rsid w:val="00A076D8"/>
    <w:rsid w:val="00A07C10"/>
    <w:rsid w:val="00A102CE"/>
    <w:rsid w:val="00A10BBC"/>
    <w:rsid w:val="00A113AF"/>
    <w:rsid w:val="00A1210E"/>
    <w:rsid w:val="00A131DB"/>
    <w:rsid w:val="00A1486C"/>
    <w:rsid w:val="00A15EED"/>
    <w:rsid w:val="00A16066"/>
    <w:rsid w:val="00A17687"/>
    <w:rsid w:val="00A17B0B"/>
    <w:rsid w:val="00A17B42"/>
    <w:rsid w:val="00A200C6"/>
    <w:rsid w:val="00A216E4"/>
    <w:rsid w:val="00A22242"/>
    <w:rsid w:val="00A2268D"/>
    <w:rsid w:val="00A227E8"/>
    <w:rsid w:val="00A22E95"/>
    <w:rsid w:val="00A2312E"/>
    <w:rsid w:val="00A2359C"/>
    <w:rsid w:val="00A23B2A"/>
    <w:rsid w:val="00A243F0"/>
    <w:rsid w:val="00A24EC9"/>
    <w:rsid w:val="00A252DD"/>
    <w:rsid w:val="00A254A2"/>
    <w:rsid w:val="00A25600"/>
    <w:rsid w:val="00A25651"/>
    <w:rsid w:val="00A261F1"/>
    <w:rsid w:val="00A26738"/>
    <w:rsid w:val="00A26803"/>
    <w:rsid w:val="00A270D9"/>
    <w:rsid w:val="00A27228"/>
    <w:rsid w:val="00A278F7"/>
    <w:rsid w:val="00A27E89"/>
    <w:rsid w:val="00A30443"/>
    <w:rsid w:val="00A32FA5"/>
    <w:rsid w:val="00A331B3"/>
    <w:rsid w:val="00A33781"/>
    <w:rsid w:val="00A337C6"/>
    <w:rsid w:val="00A33E5E"/>
    <w:rsid w:val="00A34385"/>
    <w:rsid w:val="00A343FE"/>
    <w:rsid w:val="00A34ACC"/>
    <w:rsid w:val="00A34F86"/>
    <w:rsid w:val="00A35272"/>
    <w:rsid w:val="00A35C3D"/>
    <w:rsid w:val="00A3646D"/>
    <w:rsid w:val="00A36AA7"/>
    <w:rsid w:val="00A36F89"/>
    <w:rsid w:val="00A372EE"/>
    <w:rsid w:val="00A376CE"/>
    <w:rsid w:val="00A40503"/>
    <w:rsid w:val="00A405E9"/>
    <w:rsid w:val="00A41152"/>
    <w:rsid w:val="00A41B19"/>
    <w:rsid w:val="00A41E91"/>
    <w:rsid w:val="00A42FC0"/>
    <w:rsid w:val="00A43BC7"/>
    <w:rsid w:val="00A44015"/>
    <w:rsid w:val="00A44995"/>
    <w:rsid w:val="00A44DE5"/>
    <w:rsid w:val="00A45966"/>
    <w:rsid w:val="00A4634E"/>
    <w:rsid w:val="00A465BD"/>
    <w:rsid w:val="00A4710D"/>
    <w:rsid w:val="00A47852"/>
    <w:rsid w:val="00A47BE1"/>
    <w:rsid w:val="00A47E29"/>
    <w:rsid w:val="00A50437"/>
    <w:rsid w:val="00A50485"/>
    <w:rsid w:val="00A50924"/>
    <w:rsid w:val="00A50D6C"/>
    <w:rsid w:val="00A524C5"/>
    <w:rsid w:val="00A52FCE"/>
    <w:rsid w:val="00A53370"/>
    <w:rsid w:val="00A5353E"/>
    <w:rsid w:val="00A53E87"/>
    <w:rsid w:val="00A5432B"/>
    <w:rsid w:val="00A5447D"/>
    <w:rsid w:val="00A545B0"/>
    <w:rsid w:val="00A54EF4"/>
    <w:rsid w:val="00A554BA"/>
    <w:rsid w:val="00A5559D"/>
    <w:rsid w:val="00A5567A"/>
    <w:rsid w:val="00A55997"/>
    <w:rsid w:val="00A55DF8"/>
    <w:rsid w:val="00A563B6"/>
    <w:rsid w:val="00A566E7"/>
    <w:rsid w:val="00A56F89"/>
    <w:rsid w:val="00A573B8"/>
    <w:rsid w:val="00A57879"/>
    <w:rsid w:val="00A607A9"/>
    <w:rsid w:val="00A61599"/>
    <w:rsid w:val="00A6168F"/>
    <w:rsid w:val="00A61F23"/>
    <w:rsid w:val="00A61F5B"/>
    <w:rsid w:val="00A62DBA"/>
    <w:rsid w:val="00A6418E"/>
    <w:rsid w:val="00A642E7"/>
    <w:rsid w:val="00A645D4"/>
    <w:rsid w:val="00A648BC"/>
    <w:rsid w:val="00A64C7C"/>
    <w:rsid w:val="00A65771"/>
    <w:rsid w:val="00A65F85"/>
    <w:rsid w:val="00A663CC"/>
    <w:rsid w:val="00A66F9F"/>
    <w:rsid w:val="00A67A15"/>
    <w:rsid w:val="00A7076C"/>
    <w:rsid w:val="00A711ED"/>
    <w:rsid w:val="00A713D2"/>
    <w:rsid w:val="00A7194B"/>
    <w:rsid w:val="00A72B74"/>
    <w:rsid w:val="00A72CCB"/>
    <w:rsid w:val="00A72D53"/>
    <w:rsid w:val="00A73556"/>
    <w:rsid w:val="00A737C3"/>
    <w:rsid w:val="00A73978"/>
    <w:rsid w:val="00A741AF"/>
    <w:rsid w:val="00A743CF"/>
    <w:rsid w:val="00A75792"/>
    <w:rsid w:val="00A75EC0"/>
    <w:rsid w:val="00A76747"/>
    <w:rsid w:val="00A76F78"/>
    <w:rsid w:val="00A77423"/>
    <w:rsid w:val="00A774BB"/>
    <w:rsid w:val="00A775D5"/>
    <w:rsid w:val="00A77A66"/>
    <w:rsid w:val="00A77DC2"/>
    <w:rsid w:val="00A80205"/>
    <w:rsid w:val="00A807C5"/>
    <w:rsid w:val="00A8080F"/>
    <w:rsid w:val="00A80E74"/>
    <w:rsid w:val="00A80E84"/>
    <w:rsid w:val="00A81551"/>
    <w:rsid w:val="00A81D94"/>
    <w:rsid w:val="00A827EC"/>
    <w:rsid w:val="00A82A37"/>
    <w:rsid w:val="00A82F51"/>
    <w:rsid w:val="00A83186"/>
    <w:rsid w:val="00A83862"/>
    <w:rsid w:val="00A83D72"/>
    <w:rsid w:val="00A842C6"/>
    <w:rsid w:val="00A842DA"/>
    <w:rsid w:val="00A84521"/>
    <w:rsid w:val="00A84D7D"/>
    <w:rsid w:val="00A84D8A"/>
    <w:rsid w:val="00A85D6E"/>
    <w:rsid w:val="00A85D84"/>
    <w:rsid w:val="00A861D9"/>
    <w:rsid w:val="00A86A8F"/>
    <w:rsid w:val="00A87F74"/>
    <w:rsid w:val="00A90893"/>
    <w:rsid w:val="00A912D9"/>
    <w:rsid w:val="00A9137E"/>
    <w:rsid w:val="00A9141E"/>
    <w:rsid w:val="00A917C0"/>
    <w:rsid w:val="00A91A03"/>
    <w:rsid w:val="00A92513"/>
    <w:rsid w:val="00A926E0"/>
    <w:rsid w:val="00A92EB6"/>
    <w:rsid w:val="00A935A5"/>
    <w:rsid w:val="00A93A52"/>
    <w:rsid w:val="00A94CEF"/>
    <w:rsid w:val="00A94E00"/>
    <w:rsid w:val="00A94F46"/>
    <w:rsid w:val="00A9506D"/>
    <w:rsid w:val="00A961D1"/>
    <w:rsid w:val="00A96F73"/>
    <w:rsid w:val="00A97494"/>
    <w:rsid w:val="00A97A8C"/>
    <w:rsid w:val="00A97ECC"/>
    <w:rsid w:val="00AA0169"/>
    <w:rsid w:val="00AA1428"/>
    <w:rsid w:val="00AA236E"/>
    <w:rsid w:val="00AA2B02"/>
    <w:rsid w:val="00AA2C5A"/>
    <w:rsid w:val="00AA2CAD"/>
    <w:rsid w:val="00AA2CC2"/>
    <w:rsid w:val="00AA2D3E"/>
    <w:rsid w:val="00AA3162"/>
    <w:rsid w:val="00AA32B4"/>
    <w:rsid w:val="00AA32F6"/>
    <w:rsid w:val="00AA3FB2"/>
    <w:rsid w:val="00AA4F54"/>
    <w:rsid w:val="00AA5480"/>
    <w:rsid w:val="00AA5E15"/>
    <w:rsid w:val="00AA60A2"/>
    <w:rsid w:val="00AA6650"/>
    <w:rsid w:val="00AA7D3D"/>
    <w:rsid w:val="00AB0F4D"/>
    <w:rsid w:val="00AB1326"/>
    <w:rsid w:val="00AB2130"/>
    <w:rsid w:val="00AB245B"/>
    <w:rsid w:val="00AB27C0"/>
    <w:rsid w:val="00AB34D5"/>
    <w:rsid w:val="00AB3E7C"/>
    <w:rsid w:val="00AB415E"/>
    <w:rsid w:val="00AB4728"/>
    <w:rsid w:val="00AB5765"/>
    <w:rsid w:val="00AB5979"/>
    <w:rsid w:val="00AB5A1A"/>
    <w:rsid w:val="00AB5A84"/>
    <w:rsid w:val="00AB5B99"/>
    <w:rsid w:val="00AB5EDF"/>
    <w:rsid w:val="00AB6843"/>
    <w:rsid w:val="00AB7630"/>
    <w:rsid w:val="00AB7A22"/>
    <w:rsid w:val="00AB7F3D"/>
    <w:rsid w:val="00AC0097"/>
    <w:rsid w:val="00AC054B"/>
    <w:rsid w:val="00AC0CD1"/>
    <w:rsid w:val="00AC0D86"/>
    <w:rsid w:val="00AC1858"/>
    <w:rsid w:val="00AC24B0"/>
    <w:rsid w:val="00AC28F9"/>
    <w:rsid w:val="00AC373D"/>
    <w:rsid w:val="00AC3EBC"/>
    <w:rsid w:val="00AC53AD"/>
    <w:rsid w:val="00AC5452"/>
    <w:rsid w:val="00AC5578"/>
    <w:rsid w:val="00AC5764"/>
    <w:rsid w:val="00AC6529"/>
    <w:rsid w:val="00AC676D"/>
    <w:rsid w:val="00AC7AD7"/>
    <w:rsid w:val="00AD0431"/>
    <w:rsid w:val="00AD0657"/>
    <w:rsid w:val="00AD08B3"/>
    <w:rsid w:val="00AD0C12"/>
    <w:rsid w:val="00AD0C75"/>
    <w:rsid w:val="00AD1858"/>
    <w:rsid w:val="00AD1BA0"/>
    <w:rsid w:val="00AD23CF"/>
    <w:rsid w:val="00AD2796"/>
    <w:rsid w:val="00AD2885"/>
    <w:rsid w:val="00AD2FE5"/>
    <w:rsid w:val="00AD361A"/>
    <w:rsid w:val="00AD3C48"/>
    <w:rsid w:val="00AD3D8B"/>
    <w:rsid w:val="00AD4453"/>
    <w:rsid w:val="00AD4A74"/>
    <w:rsid w:val="00AD5093"/>
    <w:rsid w:val="00AD5167"/>
    <w:rsid w:val="00AD5453"/>
    <w:rsid w:val="00AD5709"/>
    <w:rsid w:val="00AD7242"/>
    <w:rsid w:val="00AD7E48"/>
    <w:rsid w:val="00AE0200"/>
    <w:rsid w:val="00AE0637"/>
    <w:rsid w:val="00AE21DB"/>
    <w:rsid w:val="00AE272F"/>
    <w:rsid w:val="00AE2962"/>
    <w:rsid w:val="00AE3BF3"/>
    <w:rsid w:val="00AE3CE2"/>
    <w:rsid w:val="00AE3F1E"/>
    <w:rsid w:val="00AE3F8F"/>
    <w:rsid w:val="00AE4461"/>
    <w:rsid w:val="00AE5828"/>
    <w:rsid w:val="00AE5AAA"/>
    <w:rsid w:val="00AE6BB1"/>
    <w:rsid w:val="00AE733D"/>
    <w:rsid w:val="00AE7628"/>
    <w:rsid w:val="00AE77A2"/>
    <w:rsid w:val="00AF00A4"/>
    <w:rsid w:val="00AF035C"/>
    <w:rsid w:val="00AF1EED"/>
    <w:rsid w:val="00AF1FE4"/>
    <w:rsid w:val="00AF20E0"/>
    <w:rsid w:val="00AF21BB"/>
    <w:rsid w:val="00AF2548"/>
    <w:rsid w:val="00AF28C3"/>
    <w:rsid w:val="00AF3193"/>
    <w:rsid w:val="00AF332D"/>
    <w:rsid w:val="00AF3355"/>
    <w:rsid w:val="00AF3474"/>
    <w:rsid w:val="00AF3545"/>
    <w:rsid w:val="00AF4014"/>
    <w:rsid w:val="00AF493B"/>
    <w:rsid w:val="00AF4F7D"/>
    <w:rsid w:val="00AF573B"/>
    <w:rsid w:val="00AF5E15"/>
    <w:rsid w:val="00AF5E17"/>
    <w:rsid w:val="00AF6360"/>
    <w:rsid w:val="00AF6653"/>
    <w:rsid w:val="00AF6A60"/>
    <w:rsid w:val="00AF70A2"/>
    <w:rsid w:val="00AF70F1"/>
    <w:rsid w:val="00AF73D9"/>
    <w:rsid w:val="00AF78F3"/>
    <w:rsid w:val="00AF79D4"/>
    <w:rsid w:val="00AF7C96"/>
    <w:rsid w:val="00B00481"/>
    <w:rsid w:val="00B012B9"/>
    <w:rsid w:val="00B020A1"/>
    <w:rsid w:val="00B023B1"/>
    <w:rsid w:val="00B0247D"/>
    <w:rsid w:val="00B02C6B"/>
    <w:rsid w:val="00B02D72"/>
    <w:rsid w:val="00B0441D"/>
    <w:rsid w:val="00B04AFB"/>
    <w:rsid w:val="00B05316"/>
    <w:rsid w:val="00B05887"/>
    <w:rsid w:val="00B0603D"/>
    <w:rsid w:val="00B060CD"/>
    <w:rsid w:val="00B064D8"/>
    <w:rsid w:val="00B06812"/>
    <w:rsid w:val="00B06A44"/>
    <w:rsid w:val="00B06A67"/>
    <w:rsid w:val="00B07543"/>
    <w:rsid w:val="00B078D9"/>
    <w:rsid w:val="00B10679"/>
    <w:rsid w:val="00B10F9B"/>
    <w:rsid w:val="00B111A4"/>
    <w:rsid w:val="00B112FF"/>
    <w:rsid w:val="00B127C1"/>
    <w:rsid w:val="00B12FE1"/>
    <w:rsid w:val="00B13697"/>
    <w:rsid w:val="00B13878"/>
    <w:rsid w:val="00B13AA4"/>
    <w:rsid w:val="00B1401D"/>
    <w:rsid w:val="00B142DE"/>
    <w:rsid w:val="00B1454F"/>
    <w:rsid w:val="00B14ABF"/>
    <w:rsid w:val="00B14EE2"/>
    <w:rsid w:val="00B150D5"/>
    <w:rsid w:val="00B15A3D"/>
    <w:rsid w:val="00B15B4C"/>
    <w:rsid w:val="00B16B15"/>
    <w:rsid w:val="00B1714E"/>
    <w:rsid w:val="00B176BD"/>
    <w:rsid w:val="00B177FB"/>
    <w:rsid w:val="00B17BE9"/>
    <w:rsid w:val="00B201F5"/>
    <w:rsid w:val="00B20CD5"/>
    <w:rsid w:val="00B20E61"/>
    <w:rsid w:val="00B21D35"/>
    <w:rsid w:val="00B21E4B"/>
    <w:rsid w:val="00B221D0"/>
    <w:rsid w:val="00B22AD6"/>
    <w:rsid w:val="00B22F2F"/>
    <w:rsid w:val="00B23157"/>
    <w:rsid w:val="00B23668"/>
    <w:rsid w:val="00B23C06"/>
    <w:rsid w:val="00B23C1A"/>
    <w:rsid w:val="00B24385"/>
    <w:rsid w:val="00B243FB"/>
    <w:rsid w:val="00B245CE"/>
    <w:rsid w:val="00B250D5"/>
    <w:rsid w:val="00B251D4"/>
    <w:rsid w:val="00B2566C"/>
    <w:rsid w:val="00B2603B"/>
    <w:rsid w:val="00B27265"/>
    <w:rsid w:val="00B27A12"/>
    <w:rsid w:val="00B30A8B"/>
    <w:rsid w:val="00B30B84"/>
    <w:rsid w:val="00B30C69"/>
    <w:rsid w:val="00B30E1D"/>
    <w:rsid w:val="00B31664"/>
    <w:rsid w:val="00B3179A"/>
    <w:rsid w:val="00B3196E"/>
    <w:rsid w:val="00B32037"/>
    <w:rsid w:val="00B3226E"/>
    <w:rsid w:val="00B32497"/>
    <w:rsid w:val="00B32BF7"/>
    <w:rsid w:val="00B32C82"/>
    <w:rsid w:val="00B33A45"/>
    <w:rsid w:val="00B33C0D"/>
    <w:rsid w:val="00B341B5"/>
    <w:rsid w:val="00B34CA8"/>
    <w:rsid w:val="00B34EFE"/>
    <w:rsid w:val="00B35119"/>
    <w:rsid w:val="00B35253"/>
    <w:rsid w:val="00B355A9"/>
    <w:rsid w:val="00B36CD5"/>
    <w:rsid w:val="00B37849"/>
    <w:rsid w:val="00B37B21"/>
    <w:rsid w:val="00B37C4A"/>
    <w:rsid w:val="00B405C2"/>
    <w:rsid w:val="00B40C56"/>
    <w:rsid w:val="00B40F2B"/>
    <w:rsid w:val="00B414A8"/>
    <w:rsid w:val="00B42713"/>
    <w:rsid w:val="00B4340A"/>
    <w:rsid w:val="00B43900"/>
    <w:rsid w:val="00B44357"/>
    <w:rsid w:val="00B445C9"/>
    <w:rsid w:val="00B45517"/>
    <w:rsid w:val="00B456F8"/>
    <w:rsid w:val="00B45F8C"/>
    <w:rsid w:val="00B464A5"/>
    <w:rsid w:val="00B472BC"/>
    <w:rsid w:val="00B47467"/>
    <w:rsid w:val="00B47F16"/>
    <w:rsid w:val="00B47F63"/>
    <w:rsid w:val="00B50679"/>
    <w:rsid w:val="00B50788"/>
    <w:rsid w:val="00B52361"/>
    <w:rsid w:val="00B528DE"/>
    <w:rsid w:val="00B52DD8"/>
    <w:rsid w:val="00B52E25"/>
    <w:rsid w:val="00B5335F"/>
    <w:rsid w:val="00B5337D"/>
    <w:rsid w:val="00B536C8"/>
    <w:rsid w:val="00B55277"/>
    <w:rsid w:val="00B558CD"/>
    <w:rsid w:val="00B55BFB"/>
    <w:rsid w:val="00B56A1A"/>
    <w:rsid w:val="00B605AE"/>
    <w:rsid w:val="00B6078C"/>
    <w:rsid w:val="00B60F94"/>
    <w:rsid w:val="00B6137B"/>
    <w:rsid w:val="00B613C3"/>
    <w:rsid w:val="00B61DBB"/>
    <w:rsid w:val="00B62201"/>
    <w:rsid w:val="00B62597"/>
    <w:rsid w:val="00B62607"/>
    <w:rsid w:val="00B62AB0"/>
    <w:rsid w:val="00B6310E"/>
    <w:rsid w:val="00B6315F"/>
    <w:rsid w:val="00B634A7"/>
    <w:rsid w:val="00B638F0"/>
    <w:rsid w:val="00B646C9"/>
    <w:rsid w:val="00B64D09"/>
    <w:rsid w:val="00B650C0"/>
    <w:rsid w:val="00B65263"/>
    <w:rsid w:val="00B6578B"/>
    <w:rsid w:val="00B663B1"/>
    <w:rsid w:val="00B66C5A"/>
    <w:rsid w:val="00B678A7"/>
    <w:rsid w:val="00B67CDB"/>
    <w:rsid w:val="00B67EF4"/>
    <w:rsid w:val="00B70404"/>
    <w:rsid w:val="00B70CF2"/>
    <w:rsid w:val="00B70EAF"/>
    <w:rsid w:val="00B71277"/>
    <w:rsid w:val="00B716B9"/>
    <w:rsid w:val="00B71BA3"/>
    <w:rsid w:val="00B71EE5"/>
    <w:rsid w:val="00B72551"/>
    <w:rsid w:val="00B7283F"/>
    <w:rsid w:val="00B72C2C"/>
    <w:rsid w:val="00B7309B"/>
    <w:rsid w:val="00B73BEF"/>
    <w:rsid w:val="00B74A10"/>
    <w:rsid w:val="00B752BE"/>
    <w:rsid w:val="00B75378"/>
    <w:rsid w:val="00B75BEB"/>
    <w:rsid w:val="00B75EEB"/>
    <w:rsid w:val="00B75F8B"/>
    <w:rsid w:val="00B769A5"/>
    <w:rsid w:val="00B76DC4"/>
    <w:rsid w:val="00B77B1A"/>
    <w:rsid w:val="00B8056F"/>
    <w:rsid w:val="00B81622"/>
    <w:rsid w:val="00B817DF"/>
    <w:rsid w:val="00B82AAC"/>
    <w:rsid w:val="00B831D3"/>
    <w:rsid w:val="00B83A88"/>
    <w:rsid w:val="00B83C76"/>
    <w:rsid w:val="00B843B6"/>
    <w:rsid w:val="00B84432"/>
    <w:rsid w:val="00B84A14"/>
    <w:rsid w:val="00B84C22"/>
    <w:rsid w:val="00B84D7F"/>
    <w:rsid w:val="00B84F7B"/>
    <w:rsid w:val="00B8556F"/>
    <w:rsid w:val="00B857FB"/>
    <w:rsid w:val="00B8742B"/>
    <w:rsid w:val="00B9066F"/>
    <w:rsid w:val="00B90C27"/>
    <w:rsid w:val="00B91768"/>
    <w:rsid w:val="00B91CBE"/>
    <w:rsid w:val="00B91E26"/>
    <w:rsid w:val="00B925AA"/>
    <w:rsid w:val="00B92D5B"/>
    <w:rsid w:val="00B92E81"/>
    <w:rsid w:val="00B93993"/>
    <w:rsid w:val="00B93A57"/>
    <w:rsid w:val="00B94400"/>
    <w:rsid w:val="00B9442E"/>
    <w:rsid w:val="00B94FBA"/>
    <w:rsid w:val="00B95AE1"/>
    <w:rsid w:val="00B9632C"/>
    <w:rsid w:val="00BA064D"/>
    <w:rsid w:val="00BA18FF"/>
    <w:rsid w:val="00BA200A"/>
    <w:rsid w:val="00BA2254"/>
    <w:rsid w:val="00BA25BF"/>
    <w:rsid w:val="00BA2BF2"/>
    <w:rsid w:val="00BA38D2"/>
    <w:rsid w:val="00BA417B"/>
    <w:rsid w:val="00BA425F"/>
    <w:rsid w:val="00BA43AA"/>
    <w:rsid w:val="00BA4AC4"/>
    <w:rsid w:val="00BA4DB2"/>
    <w:rsid w:val="00BA51A8"/>
    <w:rsid w:val="00BA52E9"/>
    <w:rsid w:val="00BA59F9"/>
    <w:rsid w:val="00BA5BA1"/>
    <w:rsid w:val="00BA73BE"/>
    <w:rsid w:val="00BA789E"/>
    <w:rsid w:val="00BA796E"/>
    <w:rsid w:val="00BA7C1E"/>
    <w:rsid w:val="00BB08C0"/>
    <w:rsid w:val="00BB0AE9"/>
    <w:rsid w:val="00BB0CF2"/>
    <w:rsid w:val="00BB0E7C"/>
    <w:rsid w:val="00BB1D6D"/>
    <w:rsid w:val="00BB229C"/>
    <w:rsid w:val="00BB248C"/>
    <w:rsid w:val="00BB2DE1"/>
    <w:rsid w:val="00BB3877"/>
    <w:rsid w:val="00BB3A66"/>
    <w:rsid w:val="00BB4317"/>
    <w:rsid w:val="00BB4C26"/>
    <w:rsid w:val="00BB4F6C"/>
    <w:rsid w:val="00BB5215"/>
    <w:rsid w:val="00BB5849"/>
    <w:rsid w:val="00BB5A74"/>
    <w:rsid w:val="00BB6600"/>
    <w:rsid w:val="00BB70A9"/>
    <w:rsid w:val="00BB795A"/>
    <w:rsid w:val="00BC06C2"/>
    <w:rsid w:val="00BC0724"/>
    <w:rsid w:val="00BC08F5"/>
    <w:rsid w:val="00BC0B4B"/>
    <w:rsid w:val="00BC2CB1"/>
    <w:rsid w:val="00BC3215"/>
    <w:rsid w:val="00BC34F5"/>
    <w:rsid w:val="00BC3798"/>
    <w:rsid w:val="00BC406C"/>
    <w:rsid w:val="00BC40C4"/>
    <w:rsid w:val="00BC4148"/>
    <w:rsid w:val="00BC41EC"/>
    <w:rsid w:val="00BC45FD"/>
    <w:rsid w:val="00BC46AC"/>
    <w:rsid w:val="00BC4C23"/>
    <w:rsid w:val="00BC4F41"/>
    <w:rsid w:val="00BC513B"/>
    <w:rsid w:val="00BC580C"/>
    <w:rsid w:val="00BC5DEE"/>
    <w:rsid w:val="00BC6181"/>
    <w:rsid w:val="00BC63F5"/>
    <w:rsid w:val="00BC7190"/>
    <w:rsid w:val="00BC7BAB"/>
    <w:rsid w:val="00BC7C70"/>
    <w:rsid w:val="00BD070E"/>
    <w:rsid w:val="00BD0B56"/>
    <w:rsid w:val="00BD0C81"/>
    <w:rsid w:val="00BD0DFC"/>
    <w:rsid w:val="00BD1276"/>
    <w:rsid w:val="00BD1698"/>
    <w:rsid w:val="00BD1C46"/>
    <w:rsid w:val="00BD2131"/>
    <w:rsid w:val="00BD2569"/>
    <w:rsid w:val="00BD26E7"/>
    <w:rsid w:val="00BD2746"/>
    <w:rsid w:val="00BD346A"/>
    <w:rsid w:val="00BD3E29"/>
    <w:rsid w:val="00BD4312"/>
    <w:rsid w:val="00BD43EE"/>
    <w:rsid w:val="00BD4E0C"/>
    <w:rsid w:val="00BD5338"/>
    <w:rsid w:val="00BD5442"/>
    <w:rsid w:val="00BD5571"/>
    <w:rsid w:val="00BD5AF0"/>
    <w:rsid w:val="00BD5B9A"/>
    <w:rsid w:val="00BD6086"/>
    <w:rsid w:val="00BD73C8"/>
    <w:rsid w:val="00BD755F"/>
    <w:rsid w:val="00BE092C"/>
    <w:rsid w:val="00BE133F"/>
    <w:rsid w:val="00BE16BE"/>
    <w:rsid w:val="00BE1819"/>
    <w:rsid w:val="00BE1AA7"/>
    <w:rsid w:val="00BE1FEE"/>
    <w:rsid w:val="00BE2676"/>
    <w:rsid w:val="00BE295D"/>
    <w:rsid w:val="00BE3188"/>
    <w:rsid w:val="00BE4133"/>
    <w:rsid w:val="00BE424B"/>
    <w:rsid w:val="00BE4AD0"/>
    <w:rsid w:val="00BE5BF5"/>
    <w:rsid w:val="00BE5C56"/>
    <w:rsid w:val="00BE70CF"/>
    <w:rsid w:val="00BE7496"/>
    <w:rsid w:val="00BE7838"/>
    <w:rsid w:val="00BE79D5"/>
    <w:rsid w:val="00BE7D7E"/>
    <w:rsid w:val="00BF069E"/>
    <w:rsid w:val="00BF0B3C"/>
    <w:rsid w:val="00BF15E8"/>
    <w:rsid w:val="00BF1975"/>
    <w:rsid w:val="00BF1C92"/>
    <w:rsid w:val="00BF1F99"/>
    <w:rsid w:val="00BF204D"/>
    <w:rsid w:val="00BF21B5"/>
    <w:rsid w:val="00BF23C9"/>
    <w:rsid w:val="00BF2420"/>
    <w:rsid w:val="00BF28A5"/>
    <w:rsid w:val="00BF2905"/>
    <w:rsid w:val="00BF2FAC"/>
    <w:rsid w:val="00BF3241"/>
    <w:rsid w:val="00BF3870"/>
    <w:rsid w:val="00BF3EE3"/>
    <w:rsid w:val="00BF3F5A"/>
    <w:rsid w:val="00BF4AA9"/>
    <w:rsid w:val="00BF4B46"/>
    <w:rsid w:val="00BF5300"/>
    <w:rsid w:val="00BF7B5E"/>
    <w:rsid w:val="00C00148"/>
    <w:rsid w:val="00C00344"/>
    <w:rsid w:val="00C01066"/>
    <w:rsid w:val="00C01350"/>
    <w:rsid w:val="00C01611"/>
    <w:rsid w:val="00C01BE1"/>
    <w:rsid w:val="00C02AE4"/>
    <w:rsid w:val="00C0331E"/>
    <w:rsid w:val="00C039F0"/>
    <w:rsid w:val="00C03D26"/>
    <w:rsid w:val="00C03DA8"/>
    <w:rsid w:val="00C03EA5"/>
    <w:rsid w:val="00C0432F"/>
    <w:rsid w:val="00C04C74"/>
    <w:rsid w:val="00C05655"/>
    <w:rsid w:val="00C05774"/>
    <w:rsid w:val="00C06885"/>
    <w:rsid w:val="00C06B8A"/>
    <w:rsid w:val="00C06C1F"/>
    <w:rsid w:val="00C0734B"/>
    <w:rsid w:val="00C07D29"/>
    <w:rsid w:val="00C07E34"/>
    <w:rsid w:val="00C1000E"/>
    <w:rsid w:val="00C100EA"/>
    <w:rsid w:val="00C102E1"/>
    <w:rsid w:val="00C107C8"/>
    <w:rsid w:val="00C1144E"/>
    <w:rsid w:val="00C11ED4"/>
    <w:rsid w:val="00C125AA"/>
    <w:rsid w:val="00C12A06"/>
    <w:rsid w:val="00C12CE4"/>
    <w:rsid w:val="00C134CB"/>
    <w:rsid w:val="00C1381C"/>
    <w:rsid w:val="00C141EC"/>
    <w:rsid w:val="00C144E9"/>
    <w:rsid w:val="00C1476B"/>
    <w:rsid w:val="00C16287"/>
    <w:rsid w:val="00C163A8"/>
    <w:rsid w:val="00C16569"/>
    <w:rsid w:val="00C16642"/>
    <w:rsid w:val="00C16888"/>
    <w:rsid w:val="00C16E15"/>
    <w:rsid w:val="00C178CD"/>
    <w:rsid w:val="00C17C17"/>
    <w:rsid w:val="00C202D5"/>
    <w:rsid w:val="00C21D53"/>
    <w:rsid w:val="00C21F9E"/>
    <w:rsid w:val="00C22283"/>
    <w:rsid w:val="00C22761"/>
    <w:rsid w:val="00C22A12"/>
    <w:rsid w:val="00C2301F"/>
    <w:rsid w:val="00C24046"/>
    <w:rsid w:val="00C243A3"/>
    <w:rsid w:val="00C2482A"/>
    <w:rsid w:val="00C24EAC"/>
    <w:rsid w:val="00C2507C"/>
    <w:rsid w:val="00C250A9"/>
    <w:rsid w:val="00C25367"/>
    <w:rsid w:val="00C254A0"/>
    <w:rsid w:val="00C2599E"/>
    <w:rsid w:val="00C25BB3"/>
    <w:rsid w:val="00C25FF9"/>
    <w:rsid w:val="00C26CBE"/>
    <w:rsid w:val="00C26F2B"/>
    <w:rsid w:val="00C270E0"/>
    <w:rsid w:val="00C27C04"/>
    <w:rsid w:val="00C27D80"/>
    <w:rsid w:val="00C30D3E"/>
    <w:rsid w:val="00C30DE4"/>
    <w:rsid w:val="00C3106F"/>
    <w:rsid w:val="00C3108C"/>
    <w:rsid w:val="00C31F44"/>
    <w:rsid w:val="00C321F3"/>
    <w:rsid w:val="00C332D9"/>
    <w:rsid w:val="00C33AB5"/>
    <w:rsid w:val="00C33C0C"/>
    <w:rsid w:val="00C33FB3"/>
    <w:rsid w:val="00C344A9"/>
    <w:rsid w:val="00C3482F"/>
    <w:rsid w:val="00C34A90"/>
    <w:rsid w:val="00C34EB0"/>
    <w:rsid w:val="00C3540D"/>
    <w:rsid w:val="00C3574A"/>
    <w:rsid w:val="00C35A5B"/>
    <w:rsid w:val="00C36D29"/>
    <w:rsid w:val="00C40481"/>
    <w:rsid w:val="00C409C6"/>
    <w:rsid w:val="00C40C4F"/>
    <w:rsid w:val="00C42779"/>
    <w:rsid w:val="00C42AA6"/>
    <w:rsid w:val="00C42D33"/>
    <w:rsid w:val="00C43156"/>
    <w:rsid w:val="00C431FF"/>
    <w:rsid w:val="00C432DA"/>
    <w:rsid w:val="00C4331B"/>
    <w:rsid w:val="00C4333E"/>
    <w:rsid w:val="00C4360D"/>
    <w:rsid w:val="00C43722"/>
    <w:rsid w:val="00C4377E"/>
    <w:rsid w:val="00C438F6"/>
    <w:rsid w:val="00C43A8C"/>
    <w:rsid w:val="00C445B2"/>
    <w:rsid w:val="00C446B1"/>
    <w:rsid w:val="00C449AA"/>
    <w:rsid w:val="00C44A3F"/>
    <w:rsid w:val="00C44C76"/>
    <w:rsid w:val="00C4503E"/>
    <w:rsid w:val="00C453EE"/>
    <w:rsid w:val="00C45DA5"/>
    <w:rsid w:val="00C45FED"/>
    <w:rsid w:val="00C47828"/>
    <w:rsid w:val="00C479C4"/>
    <w:rsid w:val="00C50D44"/>
    <w:rsid w:val="00C5107B"/>
    <w:rsid w:val="00C5144D"/>
    <w:rsid w:val="00C51950"/>
    <w:rsid w:val="00C5211F"/>
    <w:rsid w:val="00C527D9"/>
    <w:rsid w:val="00C539F3"/>
    <w:rsid w:val="00C53EF3"/>
    <w:rsid w:val="00C54549"/>
    <w:rsid w:val="00C54733"/>
    <w:rsid w:val="00C54B15"/>
    <w:rsid w:val="00C54EFC"/>
    <w:rsid w:val="00C55110"/>
    <w:rsid w:val="00C552CB"/>
    <w:rsid w:val="00C55C38"/>
    <w:rsid w:val="00C55F2A"/>
    <w:rsid w:val="00C5639C"/>
    <w:rsid w:val="00C567FF"/>
    <w:rsid w:val="00C569E0"/>
    <w:rsid w:val="00C56C77"/>
    <w:rsid w:val="00C575EB"/>
    <w:rsid w:val="00C57BB8"/>
    <w:rsid w:val="00C57BC3"/>
    <w:rsid w:val="00C601AB"/>
    <w:rsid w:val="00C602DE"/>
    <w:rsid w:val="00C60656"/>
    <w:rsid w:val="00C6085C"/>
    <w:rsid w:val="00C60913"/>
    <w:rsid w:val="00C6121E"/>
    <w:rsid w:val="00C61A1D"/>
    <w:rsid w:val="00C621B4"/>
    <w:rsid w:val="00C62925"/>
    <w:rsid w:val="00C62BDE"/>
    <w:rsid w:val="00C62F77"/>
    <w:rsid w:val="00C62F91"/>
    <w:rsid w:val="00C6382D"/>
    <w:rsid w:val="00C63DCC"/>
    <w:rsid w:val="00C64EEF"/>
    <w:rsid w:val="00C666E5"/>
    <w:rsid w:val="00C6750A"/>
    <w:rsid w:val="00C67C8F"/>
    <w:rsid w:val="00C67F7E"/>
    <w:rsid w:val="00C70607"/>
    <w:rsid w:val="00C7082D"/>
    <w:rsid w:val="00C71180"/>
    <w:rsid w:val="00C711B9"/>
    <w:rsid w:val="00C712D2"/>
    <w:rsid w:val="00C717B3"/>
    <w:rsid w:val="00C73694"/>
    <w:rsid w:val="00C741CE"/>
    <w:rsid w:val="00C742EB"/>
    <w:rsid w:val="00C74579"/>
    <w:rsid w:val="00C74762"/>
    <w:rsid w:val="00C7505A"/>
    <w:rsid w:val="00C75470"/>
    <w:rsid w:val="00C75F1A"/>
    <w:rsid w:val="00C765F5"/>
    <w:rsid w:val="00C768A5"/>
    <w:rsid w:val="00C76D95"/>
    <w:rsid w:val="00C77E04"/>
    <w:rsid w:val="00C8051D"/>
    <w:rsid w:val="00C80D29"/>
    <w:rsid w:val="00C8152D"/>
    <w:rsid w:val="00C818F0"/>
    <w:rsid w:val="00C82175"/>
    <w:rsid w:val="00C82813"/>
    <w:rsid w:val="00C83471"/>
    <w:rsid w:val="00C835D7"/>
    <w:rsid w:val="00C83657"/>
    <w:rsid w:val="00C83B48"/>
    <w:rsid w:val="00C84509"/>
    <w:rsid w:val="00C8481D"/>
    <w:rsid w:val="00C84E21"/>
    <w:rsid w:val="00C84EE2"/>
    <w:rsid w:val="00C850C9"/>
    <w:rsid w:val="00C85670"/>
    <w:rsid w:val="00C85867"/>
    <w:rsid w:val="00C85B96"/>
    <w:rsid w:val="00C861D4"/>
    <w:rsid w:val="00C865B7"/>
    <w:rsid w:val="00C872AC"/>
    <w:rsid w:val="00C87800"/>
    <w:rsid w:val="00C8795A"/>
    <w:rsid w:val="00C90072"/>
    <w:rsid w:val="00C90659"/>
    <w:rsid w:val="00C9103C"/>
    <w:rsid w:val="00C91908"/>
    <w:rsid w:val="00C922F9"/>
    <w:rsid w:val="00C92520"/>
    <w:rsid w:val="00C925D7"/>
    <w:rsid w:val="00C92D5D"/>
    <w:rsid w:val="00C93CAD"/>
    <w:rsid w:val="00C93F50"/>
    <w:rsid w:val="00C9415C"/>
    <w:rsid w:val="00C94454"/>
    <w:rsid w:val="00C9502F"/>
    <w:rsid w:val="00C952C5"/>
    <w:rsid w:val="00C95B81"/>
    <w:rsid w:val="00C96413"/>
    <w:rsid w:val="00C96DA7"/>
    <w:rsid w:val="00C9704C"/>
    <w:rsid w:val="00CA0604"/>
    <w:rsid w:val="00CA1499"/>
    <w:rsid w:val="00CA1909"/>
    <w:rsid w:val="00CA29DE"/>
    <w:rsid w:val="00CA30C0"/>
    <w:rsid w:val="00CA323B"/>
    <w:rsid w:val="00CA34C1"/>
    <w:rsid w:val="00CA3B95"/>
    <w:rsid w:val="00CA50FE"/>
    <w:rsid w:val="00CA63C3"/>
    <w:rsid w:val="00CA64B7"/>
    <w:rsid w:val="00CA7A04"/>
    <w:rsid w:val="00CA7EF2"/>
    <w:rsid w:val="00CB0115"/>
    <w:rsid w:val="00CB06B4"/>
    <w:rsid w:val="00CB0C7F"/>
    <w:rsid w:val="00CB2635"/>
    <w:rsid w:val="00CB35D2"/>
    <w:rsid w:val="00CB46D8"/>
    <w:rsid w:val="00CB5539"/>
    <w:rsid w:val="00CB5930"/>
    <w:rsid w:val="00CB60F7"/>
    <w:rsid w:val="00CB6355"/>
    <w:rsid w:val="00CB65E0"/>
    <w:rsid w:val="00CB6814"/>
    <w:rsid w:val="00CB6A24"/>
    <w:rsid w:val="00CB6E4B"/>
    <w:rsid w:val="00CB6F64"/>
    <w:rsid w:val="00CB76A5"/>
    <w:rsid w:val="00CB7C0C"/>
    <w:rsid w:val="00CB7D03"/>
    <w:rsid w:val="00CB7EF6"/>
    <w:rsid w:val="00CB7FDE"/>
    <w:rsid w:val="00CC05FB"/>
    <w:rsid w:val="00CC0664"/>
    <w:rsid w:val="00CC07D8"/>
    <w:rsid w:val="00CC0A99"/>
    <w:rsid w:val="00CC0B40"/>
    <w:rsid w:val="00CC0C03"/>
    <w:rsid w:val="00CC0DAA"/>
    <w:rsid w:val="00CC170F"/>
    <w:rsid w:val="00CC19A9"/>
    <w:rsid w:val="00CC1A6B"/>
    <w:rsid w:val="00CC1BB1"/>
    <w:rsid w:val="00CC1DDB"/>
    <w:rsid w:val="00CC1EE7"/>
    <w:rsid w:val="00CC2AA2"/>
    <w:rsid w:val="00CC2BA9"/>
    <w:rsid w:val="00CC40B8"/>
    <w:rsid w:val="00CC4264"/>
    <w:rsid w:val="00CC45EB"/>
    <w:rsid w:val="00CC4C3B"/>
    <w:rsid w:val="00CC5A36"/>
    <w:rsid w:val="00CC72D5"/>
    <w:rsid w:val="00CC737C"/>
    <w:rsid w:val="00CC759F"/>
    <w:rsid w:val="00CC776C"/>
    <w:rsid w:val="00CC7C7C"/>
    <w:rsid w:val="00CD008B"/>
    <w:rsid w:val="00CD0550"/>
    <w:rsid w:val="00CD06A8"/>
    <w:rsid w:val="00CD0B7A"/>
    <w:rsid w:val="00CD1226"/>
    <w:rsid w:val="00CD14A3"/>
    <w:rsid w:val="00CD17C8"/>
    <w:rsid w:val="00CD1A37"/>
    <w:rsid w:val="00CD2099"/>
    <w:rsid w:val="00CD246D"/>
    <w:rsid w:val="00CD29A3"/>
    <w:rsid w:val="00CD3013"/>
    <w:rsid w:val="00CD44AF"/>
    <w:rsid w:val="00CD4B3E"/>
    <w:rsid w:val="00CD4F92"/>
    <w:rsid w:val="00CD5358"/>
    <w:rsid w:val="00CD57F0"/>
    <w:rsid w:val="00CD59AD"/>
    <w:rsid w:val="00CD5BA4"/>
    <w:rsid w:val="00CD6284"/>
    <w:rsid w:val="00CD6E76"/>
    <w:rsid w:val="00CD7556"/>
    <w:rsid w:val="00CD78DC"/>
    <w:rsid w:val="00CD797C"/>
    <w:rsid w:val="00CD79DD"/>
    <w:rsid w:val="00CD7CD2"/>
    <w:rsid w:val="00CE0195"/>
    <w:rsid w:val="00CE08F1"/>
    <w:rsid w:val="00CE0AC1"/>
    <w:rsid w:val="00CE15CE"/>
    <w:rsid w:val="00CE1785"/>
    <w:rsid w:val="00CE181B"/>
    <w:rsid w:val="00CE27AC"/>
    <w:rsid w:val="00CE2EF0"/>
    <w:rsid w:val="00CE34DF"/>
    <w:rsid w:val="00CE4084"/>
    <w:rsid w:val="00CE4C95"/>
    <w:rsid w:val="00CE55DE"/>
    <w:rsid w:val="00CE642E"/>
    <w:rsid w:val="00CE65DC"/>
    <w:rsid w:val="00CE68FA"/>
    <w:rsid w:val="00CE6959"/>
    <w:rsid w:val="00CE6FA5"/>
    <w:rsid w:val="00CF06CA"/>
    <w:rsid w:val="00CF0950"/>
    <w:rsid w:val="00CF0AB2"/>
    <w:rsid w:val="00CF0AFC"/>
    <w:rsid w:val="00CF0C6C"/>
    <w:rsid w:val="00CF129D"/>
    <w:rsid w:val="00CF1AB6"/>
    <w:rsid w:val="00CF2BBF"/>
    <w:rsid w:val="00CF34F9"/>
    <w:rsid w:val="00CF3600"/>
    <w:rsid w:val="00CF4338"/>
    <w:rsid w:val="00CF5B29"/>
    <w:rsid w:val="00CF5DD5"/>
    <w:rsid w:val="00CF5E83"/>
    <w:rsid w:val="00CF7AB3"/>
    <w:rsid w:val="00D0009A"/>
    <w:rsid w:val="00D01A66"/>
    <w:rsid w:val="00D01FDC"/>
    <w:rsid w:val="00D02C36"/>
    <w:rsid w:val="00D02DDD"/>
    <w:rsid w:val="00D0332F"/>
    <w:rsid w:val="00D037E7"/>
    <w:rsid w:val="00D0460F"/>
    <w:rsid w:val="00D04814"/>
    <w:rsid w:val="00D05160"/>
    <w:rsid w:val="00D05829"/>
    <w:rsid w:val="00D05B4A"/>
    <w:rsid w:val="00D07074"/>
    <w:rsid w:val="00D1080C"/>
    <w:rsid w:val="00D1081F"/>
    <w:rsid w:val="00D1162F"/>
    <w:rsid w:val="00D12427"/>
    <w:rsid w:val="00D12734"/>
    <w:rsid w:val="00D13349"/>
    <w:rsid w:val="00D13905"/>
    <w:rsid w:val="00D13AB7"/>
    <w:rsid w:val="00D13E76"/>
    <w:rsid w:val="00D14253"/>
    <w:rsid w:val="00D14A0A"/>
    <w:rsid w:val="00D153B4"/>
    <w:rsid w:val="00D16D7D"/>
    <w:rsid w:val="00D171DD"/>
    <w:rsid w:val="00D1721F"/>
    <w:rsid w:val="00D17747"/>
    <w:rsid w:val="00D17796"/>
    <w:rsid w:val="00D17AF0"/>
    <w:rsid w:val="00D17BC1"/>
    <w:rsid w:val="00D20995"/>
    <w:rsid w:val="00D21B11"/>
    <w:rsid w:val="00D22D7F"/>
    <w:rsid w:val="00D22E5C"/>
    <w:rsid w:val="00D23149"/>
    <w:rsid w:val="00D23586"/>
    <w:rsid w:val="00D23E35"/>
    <w:rsid w:val="00D24892"/>
    <w:rsid w:val="00D25151"/>
    <w:rsid w:val="00D256AF"/>
    <w:rsid w:val="00D25C58"/>
    <w:rsid w:val="00D26034"/>
    <w:rsid w:val="00D2611C"/>
    <w:rsid w:val="00D2679C"/>
    <w:rsid w:val="00D26876"/>
    <w:rsid w:val="00D274ED"/>
    <w:rsid w:val="00D27820"/>
    <w:rsid w:val="00D27F61"/>
    <w:rsid w:val="00D30447"/>
    <w:rsid w:val="00D30A54"/>
    <w:rsid w:val="00D3105F"/>
    <w:rsid w:val="00D313ED"/>
    <w:rsid w:val="00D3146C"/>
    <w:rsid w:val="00D31531"/>
    <w:rsid w:val="00D323FF"/>
    <w:rsid w:val="00D3255B"/>
    <w:rsid w:val="00D32C08"/>
    <w:rsid w:val="00D33962"/>
    <w:rsid w:val="00D33A2A"/>
    <w:rsid w:val="00D3410F"/>
    <w:rsid w:val="00D34670"/>
    <w:rsid w:val="00D34BFD"/>
    <w:rsid w:val="00D3503C"/>
    <w:rsid w:val="00D35A51"/>
    <w:rsid w:val="00D35FCE"/>
    <w:rsid w:val="00D36C2C"/>
    <w:rsid w:val="00D3701D"/>
    <w:rsid w:val="00D3718E"/>
    <w:rsid w:val="00D37458"/>
    <w:rsid w:val="00D3779B"/>
    <w:rsid w:val="00D37886"/>
    <w:rsid w:val="00D40F71"/>
    <w:rsid w:val="00D4144D"/>
    <w:rsid w:val="00D4158E"/>
    <w:rsid w:val="00D4180C"/>
    <w:rsid w:val="00D41812"/>
    <w:rsid w:val="00D4190A"/>
    <w:rsid w:val="00D41C35"/>
    <w:rsid w:val="00D41E29"/>
    <w:rsid w:val="00D42CDE"/>
    <w:rsid w:val="00D43AA7"/>
    <w:rsid w:val="00D43DAB"/>
    <w:rsid w:val="00D4498F"/>
    <w:rsid w:val="00D45211"/>
    <w:rsid w:val="00D4599E"/>
    <w:rsid w:val="00D45F2F"/>
    <w:rsid w:val="00D477EB"/>
    <w:rsid w:val="00D50141"/>
    <w:rsid w:val="00D51217"/>
    <w:rsid w:val="00D516B2"/>
    <w:rsid w:val="00D51912"/>
    <w:rsid w:val="00D51ACC"/>
    <w:rsid w:val="00D51E58"/>
    <w:rsid w:val="00D5229E"/>
    <w:rsid w:val="00D53A7E"/>
    <w:rsid w:val="00D53C56"/>
    <w:rsid w:val="00D541FD"/>
    <w:rsid w:val="00D54284"/>
    <w:rsid w:val="00D54906"/>
    <w:rsid w:val="00D55141"/>
    <w:rsid w:val="00D5554A"/>
    <w:rsid w:val="00D55786"/>
    <w:rsid w:val="00D560B0"/>
    <w:rsid w:val="00D563D8"/>
    <w:rsid w:val="00D56508"/>
    <w:rsid w:val="00D57000"/>
    <w:rsid w:val="00D57192"/>
    <w:rsid w:val="00D57199"/>
    <w:rsid w:val="00D579E6"/>
    <w:rsid w:val="00D57B9E"/>
    <w:rsid w:val="00D6064F"/>
    <w:rsid w:val="00D615F7"/>
    <w:rsid w:val="00D62383"/>
    <w:rsid w:val="00D62F6B"/>
    <w:rsid w:val="00D62FE3"/>
    <w:rsid w:val="00D636BC"/>
    <w:rsid w:val="00D63D98"/>
    <w:rsid w:val="00D6408E"/>
    <w:rsid w:val="00D648A5"/>
    <w:rsid w:val="00D64BCE"/>
    <w:rsid w:val="00D64FBF"/>
    <w:rsid w:val="00D6549B"/>
    <w:rsid w:val="00D66B86"/>
    <w:rsid w:val="00D66D30"/>
    <w:rsid w:val="00D66D97"/>
    <w:rsid w:val="00D66E73"/>
    <w:rsid w:val="00D677B2"/>
    <w:rsid w:val="00D70A87"/>
    <w:rsid w:val="00D70CAF"/>
    <w:rsid w:val="00D70D4A"/>
    <w:rsid w:val="00D71684"/>
    <w:rsid w:val="00D72354"/>
    <w:rsid w:val="00D730E6"/>
    <w:rsid w:val="00D735CC"/>
    <w:rsid w:val="00D73ADC"/>
    <w:rsid w:val="00D73F07"/>
    <w:rsid w:val="00D74842"/>
    <w:rsid w:val="00D7589F"/>
    <w:rsid w:val="00D7591B"/>
    <w:rsid w:val="00D75970"/>
    <w:rsid w:val="00D7666A"/>
    <w:rsid w:val="00D76705"/>
    <w:rsid w:val="00D76EE9"/>
    <w:rsid w:val="00D7712A"/>
    <w:rsid w:val="00D80503"/>
    <w:rsid w:val="00D807EF"/>
    <w:rsid w:val="00D80836"/>
    <w:rsid w:val="00D80928"/>
    <w:rsid w:val="00D80B6C"/>
    <w:rsid w:val="00D8142B"/>
    <w:rsid w:val="00D81457"/>
    <w:rsid w:val="00D81AC5"/>
    <w:rsid w:val="00D81F36"/>
    <w:rsid w:val="00D82257"/>
    <w:rsid w:val="00D82A33"/>
    <w:rsid w:val="00D82D8E"/>
    <w:rsid w:val="00D83026"/>
    <w:rsid w:val="00D83E6C"/>
    <w:rsid w:val="00D84136"/>
    <w:rsid w:val="00D8451D"/>
    <w:rsid w:val="00D84BF4"/>
    <w:rsid w:val="00D85610"/>
    <w:rsid w:val="00D85BBF"/>
    <w:rsid w:val="00D85C06"/>
    <w:rsid w:val="00D86C37"/>
    <w:rsid w:val="00D876C5"/>
    <w:rsid w:val="00D87F63"/>
    <w:rsid w:val="00D90595"/>
    <w:rsid w:val="00D90CE9"/>
    <w:rsid w:val="00D918F5"/>
    <w:rsid w:val="00D925E5"/>
    <w:rsid w:val="00D92DD4"/>
    <w:rsid w:val="00D930D8"/>
    <w:rsid w:val="00D93365"/>
    <w:rsid w:val="00D93656"/>
    <w:rsid w:val="00D93A59"/>
    <w:rsid w:val="00D93D5F"/>
    <w:rsid w:val="00D93EE0"/>
    <w:rsid w:val="00D94543"/>
    <w:rsid w:val="00D94848"/>
    <w:rsid w:val="00D95E34"/>
    <w:rsid w:val="00D95F44"/>
    <w:rsid w:val="00D96C60"/>
    <w:rsid w:val="00D96CBE"/>
    <w:rsid w:val="00D96F47"/>
    <w:rsid w:val="00D971DF"/>
    <w:rsid w:val="00D97262"/>
    <w:rsid w:val="00D977F2"/>
    <w:rsid w:val="00DA00F2"/>
    <w:rsid w:val="00DA0718"/>
    <w:rsid w:val="00DA0C58"/>
    <w:rsid w:val="00DA0ED6"/>
    <w:rsid w:val="00DA0F5B"/>
    <w:rsid w:val="00DA0F71"/>
    <w:rsid w:val="00DA10FD"/>
    <w:rsid w:val="00DA1279"/>
    <w:rsid w:val="00DA18DB"/>
    <w:rsid w:val="00DA1AB1"/>
    <w:rsid w:val="00DA2113"/>
    <w:rsid w:val="00DA245F"/>
    <w:rsid w:val="00DA2D9B"/>
    <w:rsid w:val="00DA342E"/>
    <w:rsid w:val="00DA34A9"/>
    <w:rsid w:val="00DA3675"/>
    <w:rsid w:val="00DA36D8"/>
    <w:rsid w:val="00DA3C88"/>
    <w:rsid w:val="00DA4061"/>
    <w:rsid w:val="00DA41E8"/>
    <w:rsid w:val="00DA43DD"/>
    <w:rsid w:val="00DA4401"/>
    <w:rsid w:val="00DA495D"/>
    <w:rsid w:val="00DA56DB"/>
    <w:rsid w:val="00DA5E5D"/>
    <w:rsid w:val="00DA639D"/>
    <w:rsid w:val="00DA6744"/>
    <w:rsid w:val="00DA68FE"/>
    <w:rsid w:val="00DA697D"/>
    <w:rsid w:val="00DA6BAA"/>
    <w:rsid w:val="00DA6C2C"/>
    <w:rsid w:val="00DA6E3D"/>
    <w:rsid w:val="00DA7D35"/>
    <w:rsid w:val="00DA7D6B"/>
    <w:rsid w:val="00DB08ED"/>
    <w:rsid w:val="00DB0DBF"/>
    <w:rsid w:val="00DB0F89"/>
    <w:rsid w:val="00DB113C"/>
    <w:rsid w:val="00DB21F0"/>
    <w:rsid w:val="00DB2231"/>
    <w:rsid w:val="00DB25DB"/>
    <w:rsid w:val="00DB2B31"/>
    <w:rsid w:val="00DB363E"/>
    <w:rsid w:val="00DB50DC"/>
    <w:rsid w:val="00DB5273"/>
    <w:rsid w:val="00DB538A"/>
    <w:rsid w:val="00DB56DC"/>
    <w:rsid w:val="00DB5D93"/>
    <w:rsid w:val="00DB635F"/>
    <w:rsid w:val="00DB6BB2"/>
    <w:rsid w:val="00DB6D4B"/>
    <w:rsid w:val="00DB7A0C"/>
    <w:rsid w:val="00DB7AD8"/>
    <w:rsid w:val="00DB7B01"/>
    <w:rsid w:val="00DB7BB6"/>
    <w:rsid w:val="00DC052B"/>
    <w:rsid w:val="00DC0C23"/>
    <w:rsid w:val="00DC0C97"/>
    <w:rsid w:val="00DC0E47"/>
    <w:rsid w:val="00DC1320"/>
    <w:rsid w:val="00DC1452"/>
    <w:rsid w:val="00DC162C"/>
    <w:rsid w:val="00DC18F2"/>
    <w:rsid w:val="00DC290A"/>
    <w:rsid w:val="00DC327A"/>
    <w:rsid w:val="00DC359A"/>
    <w:rsid w:val="00DC3A08"/>
    <w:rsid w:val="00DC3B57"/>
    <w:rsid w:val="00DC3E2B"/>
    <w:rsid w:val="00DC3EBA"/>
    <w:rsid w:val="00DC3FF5"/>
    <w:rsid w:val="00DC420D"/>
    <w:rsid w:val="00DC4C9E"/>
    <w:rsid w:val="00DC4D80"/>
    <w:rsid w:val="00DC522B"/>
    <w:rsid w:val="00DC55DB"/>
    <w:rsid w:val="00DC59DD"/>
    <w:rsid w:val="00DC5A25"/>
    <w:rsid w:val="00DC5CB0"/>
    <w:rsid w:val="00DC60DA"/>
    <w:rsid w:val="00DC642D"/>
    <w:rsid w:val="00DC7AC0"/>
    <w:rsid w:val="00DD00AA"/>
    <w:rsid w:val="00DD0DDF"/>
    <w:rsid w:val="00DD11ED"/>
    <w:rsid w:val="00DD1DBD"/>
    <w:rsid w:val="00DD207C"/>
    <w:rsid w:val="00DD3723"/>
    <w:rsid w:val="00DD3D6A"/>
    <w:rsid w:val="00DD43F2"/>
    <w:rsid w:val="00DD54CA"/>
    <w:rsid w:val="00DD5D1B"/>
    <w:rsid w:val="00DD5E64"/>
    <w:rsid w:val="00DD5EBD"/>
    <w:rsid w:val="00DD5EE4"/>
    <w:rsid w:val="00DD5F33"/>
    <w:rsid w:val="00DD5F3C"/>
    <w:rsid w:val="00DD5F4D"/>
    <w:rsid w:val="00DD616A"/>
    <w:rsid w:val="00DD6450"/>
    <w:rsid w:val="00DD6961"/>
    <w:rsid w:val="00DD7288"/>
    <w:rsid w:val="00DE0A2B"/>
    <w:rsid w:val="00DE0B63"/>
    <w:rsid w:val="00DE15F8"/>
    <w:rsid w:val="00DE1BCB"/>
    <w:rsid w:val="00DE2021"/>
    <w:rsid w:val="00DE2B2C"/>
    <w:rsid w:val="00DE2C3F"/>
    <w:rsid w:val="00DE331A"/>
    <w:rsid w:val="00DE33C9"/>
    <w:rsid w:val="00DE3FD5"/>
    <w:rsid w:val="00DE41E2"/>
    <w:rsid w:val="00DE4739"/>
    <w:rsid w:val="00DE57D3"/>
    <w:rsid w:val="00DE5D1C"/>
    <w:rsid w:val="00DE6A13"/>
    <w:rsid w:val="00DE6AD0"/>
    <w:rsid w:val="00DE7141"/>
    <w:rsid w:val="00DF01B0"/>
    <w:rsid w:val="00DF1260"/>
    <w:rsid w:val="00DF1564"/>
    <w:rsid w:val="00DF1707"/>
    <w:rsid w:val="00DF2788"/>
    <w:rsid w:val="00DF283F"/>
    <w:rsid w:val="00DF299B"/>
    <w:rsid w:val="00DF2BC6"/>
    <w:rsid w:val="00DF2CCA"/>
    <w:rsid w:val="00DF2FD3"/>
    <w:rsid w:val="00DF41AA"/>
    <w:rsid w:val="00DF4693"/>
    <w:rsid w:val="00DF5917"/>
    <w:rsid w:val="00DF6CC2"/>
    <w:rsid w:val="00DF6CE7"/>
    <w:rsid w:val="00DF726D"/>
    <w:rsid w:val="00E00288"/>
    <w:rsid w:val="00E00C61"/>
    <w:rsid w:val="00E00F36"/>
    <w:rsid w:val="00E01DDF"/>
    <w:rsid w:val="00E02029"/>
    <w:rsid w:val="00E02B74"/>
    <w:rsid w:val="00E02F65"/>
    <w:rsid w:val="00E03D4C"/>
    <w:rsid w:val="00E03ED5"/>
    <w:rsid w:val="00E043F5"/>
    <w:rsid w:val="00E0460B"/>
    <w:rsid w:val="00E04D2F"/>
    <w:rsid w:val="00E0536B"/>
    <w:rsid w:val="00E059D0"/>
    <w:rsid w:val="00E05E4D"/>
    <w:rsid w:val="00E05E95"/>
    <w:rsid w:val="00E05FE5"/>
    <w:rsid w:val="00E07778"/>
    <w:rsid w:val="00E07C68"/>
    <w:rsid w:val="00E10DA9"/>
    <w:rsid w:val="00E111B1"/>
    <w:rsid w:val="00E1134C"/>
    <w:rsid w:val="00E11A3D"/>
    <w:rsid w:val="00E12B07"/>
    <w:rsid w:val="00E12BA3"/>
    <w:rsid w:val="00E1364A"/>
    <w:rsid w:val="00E13A0E"/>
    <w:rsid w:val="00E13A57"/>
    <w:rsid w:val="00E13DBD"/>
    <w:rsid w:val="00E14BDF"/>
    <w:rsid w:val="00E15940"/>
    <w:rsid w:val="00E160D4"/>
    <w:rsid w:val="00E1674D"/>
    <w:rsid w:val="00E178D6"/>
    <w:rsid w:val="00E20009"/>
    <w:rsid w:val="00E20BB0"/>
    <w:rsid w:val="00E21BC0"/>
    <w:rsid w:val="00E21F51"/>
    <w:rsid w:val="00E23C12"/>
    <w:rsid w:val="00E23E71"/>
    <w:rsid w:val="00E24A47"/>
    <w:rsid w:val="00E24F72"/>
    <w:rsid w:val="00E25840"/>
    <w:rsid w:val="00E25C41"/>
    <w:rsid w:val="00E261F7"/>
    <w:rsid w:val="00E26333"/>
    <w:rsid w:val="00E2733D"/>
    <w:rsid w:val="00E27A41"/>
    <w:rsid w:val="00E27DA5"/>
    <w:rsid w:val="00E306E4"/>
    <w:rsid w:val="00E30C65"/>
    <w:rsid w:val="00E30E76"/>
    <w:rsid w:val="00E3151E"/>
    <w:rsid w:val="00E31FF6"/>
    <w:rsid w:val="00E32195"/>
    <w:rsid w:val="00E3291D"/>
    <w:rsid w:val="00E32BF4"/>
    <w:rsid w:val="00E33E22"/>
    <w:rsid w:val="00E33EFB"/>
    <w:rsid w:val="00E34455"/>
    <w:rsid w:val="00E35ACC"/>
    <w:rsid w:val="00E36081"/>
    <w:rsid w:val="00E36086"/>
    <w:rsid w:val="00E36352"/>
    <w:rsid w:val="00E366F1"/>
    <w:rsid w:val="00E3683F"/>
    <w:rsid w:val="00E368B1"/>
    <w:rsid w:val="00E36A77"/>
    <w:rsid w:val="00E36EF0"/>
    <w:rsid w:val="00E3754C"/>
    <w:rsid w:val="00E37877"/>
    <w:rsid w:val="00E37D02"/>
    <w:rsid w:val="00E403EE"/>
    <w:rsid w:val="00E404D5"/>
    <w:rsid w:val="00E40544"/>
    <w:rsid w:val="00E40F66"/>
    <w:rsid w:val="00E42382"/>
    <w:rsid w:val="00E4249E"/>
    <w:rsid w:val="00E42FB0"/>
    <w:rsid w:val="00E4305F"/>
    <w:rsid w:val="00E43347"/>
    <w:rsid w:val="00E43AD1"/>
    <w:rsid w:val="00E43C59"/>
    <w:rsid w:val="00E43CAC"/>
    <w:rsid w:val="00E4404C"/>
    <w:rsid w:val="00E444EB"/>
    <w:rsid w:val="00E4454F"/>
    <w:rsid w:val="00E44DAB"/>
    <w:rsid w:val="00E45B58"/>
    <w:rsid w:val="00E46A28"/>
    <w:rsid w:val="00E46C43"/>
    <w:rsid w:val="00E46CDA"/>
    <w:rsid w:val="00E470C3"/>
    <w:rsid w:val="00E47100"/>
    <w:rsid w:val="00E4733B"/>
    <w:rsid w:val="00E474F3"/>
    <w:rsid w:val="00E47CB2"/>
    <w:rsid w:val="00E50707"/>
    <w:rsid w:val="00E50746"/>
    <w:rsid w:val="00E50BD8"/>
    <w:rsid w:val="00E50E6F"/>
    <w:rsid w:val="00E514A8"/>
    <w:rsid w:val="00E51694"/>
    <w:rsid w:val="00E516BF"/>
    <w:rsid w:val="00E519F6"/>
    <w:rsid w:val="00E51CA5"/>
    <w:rsid w:val="00E51EBD"/>
    <w:rsid w:val="00E522D7"/>
    <w:rsid w:val="00E52C3B"/>
    <w:rsid w:val="00E56436"/>
    <w:rsid w:val="00E57D02"/>
    <w:rsid w:val="00E61890"/>
    <w:rsid w:val="00E61972"/>
    <w:rsid w:val="00E61CAC"/>
    <w:rsid w:val="00E61F8E"/>
    <w:rsid w:val="00E6439B"/>
    <w:rsid w:val="00E64FB5"/>
    <w:rsid w:val="00E658D2"/>
    <w:rsid w:val="00E65B0A"/>
    <w:rsid w:val="00E669E7"/>
    <w:rsid w:val="00E66BFE"/>
    <w:rsid w:val="00E673CD"/>
    <w:rsid w:val="00E67484"/>
    <w:rsid w:val="00E67BBF"/>
    <w:rsid w:val="00E71526"/>
    <w:rsid w:val="00E718FA"/>
    <w:rsid w:val="00E7193B"/>
    <w:rsid w:val="00E71945"/>
    <w:rsid w:val="00E7198E"/>
    <w:rsid w:val="00E724C7"/>
    <w:rsid w:val="00E73142"/>
    <w:rsid w:val="00E73318"/>
    <w:rsid w:val="00E734A7"/>
    <w:rsid w:val="00E73993"/>
    <w:rsid w:val="00E73FA7"/>
    <w:rsid w:val="00E7427A"/>
    <w:rsid w:val="00E757FA"/>
    <w:rsid w:val="00E75F34"/>
    <w:rsid w:val="00E76F1F"/>
    <w:rsid w:val="00E772AA"/>
    <w:rsid w:val="00E7747A"/>
    <w:rsid w:val="00E7765A"/>
    <w:rsid w:val="00E778C1"/>
    <w:rsid w:val="00E77C43"/>
    <w:rsid w:val="00E77C70"/>
    <w:rsid w:val="00E77E66"/>
    <w:rsid w:val="00E801D5"/>
    <w:rsid w:val="00E807FE"/>
    <w:rsid w:val="00E80842"/>
    <w:rsid w:val="00E80C33"/>
    <w:rsid w:val="00E81028"/>
    <w:rsid w:val="00E8112E"/>
    <w:rsid w:val="00E813E1"/>
    <w:rsid w:val="00E81A10"/>
    <w:rsid w:val="00E8201C"/>
    <w:rsid w:val="00E82FC5"/>
    <w:rsid w:val="00E834D3"/>
    <w:rsid w:val="00E843F4"/>
    <w:rsid w:val="00E84904"/>
    <w:rsid w:val="00E85025"/>
    <w:rsid w:val="00E8605B"/>
    <w:rsid w:val="00E86936"/>
    <w:rsid w:val="00E86CAC"/>
    <w:rsid w:val="00E86E55"/>
    <w:rsid w:val="00E87469"/>
    <w:rsid w:val="00E90B2C"/>
    <w:rsid w:val="00E912F1"/>
    <w:rsid w:val="00E9171F"/>
    <w:rsid w:val="00E91EBE"/>
    <w:rsid w:val="00E91F43"/>
    <w:rsid w:val="00E92503"/>
    <w:rsid w:val="00E925CB"/>
    <w:rsid w:val="00E9360C"/>
    <w:rsid w:val="00E93D01"/>
    <w:rsid w:val="00E93E01"/>
    <w:rsid w:val="00E93E35"/>
    <w:rsid w:val="00E94BD5"/>
    <w:rsid w:val="00E95039"/>
    <w:rsid w:val="00E9508B"/>
    <w:rsid w:val="00E95354"/>
    <w:rsid w:val="00E966DB"/>
    <w:rsid w:val="00E9749E"/>
    <w:rsid w:val="00E97603"/>
    <w:rsid w:val="00E97616"/>
    <w:rsid w:val="00EA0DD7"/>
    <w:rsid w:val="00EA190B"/>
    <w:rsid w:val="00EA1BC3"/>
    <w:rsid w:val="00EA1C80"/>
    <w:rsid w:val="00EA1E3B"/>
    <w:rsid w:val="00EA213E"/>
    <w:rsid w:val="00EA2312"/>
    <w:rsid w:val="00EA244F"/>
    <w:rsid w:val="00EA2B7E"/>
    <w:rsid w:val="00EA2D24"/>
    <w:rsid w:val="00EA2D36"/>
    <w:rsid w:val="00EA3679"/>
    <w:rsid w:val="00EA454C"/>
    <w:rsid w:val="00EA4F7C"/>
    <w:rsid w:val="00EA5370"/>
    <w:rsid w:val="00EA586E"/>
    <w:rsid w:val="00EA5E49"/>
    <w:rsid w:val="00EA62EE"/>
    <w:rsid w:val="00EA6ADA"/>
    <w:rsid w:val="00EA738E"/>
    <w:rsid w:val="00EA76C3"/>
    <w:rsid w:val="00EB0CBB"/>
    <w:rsid w:val="00EB1498"/>
    <w:rsid w:val="00EB22E4"/>
    <w:rsid w:val="00EB2AC7"/>
    <w:rsid w:val="00EB3097"/>
    <w:rsid w:val="00EB32B9"/>
    <w:rsid w:val="00EB33A4"/>
    <w:rsid w:val="00EB37C3"/>
    <w:rsid w:val="00EB3AD4"/>
    <w:rsid w:val="00EB3C05"/>
    <w:rsid w:val="00EB415A"/>
    <w:rsid w:val="00EB4CC5"/>
    <w:rsid w:val="00EB4F8C"/>
    <w:rsid w:val="00EB5267"/>
    <w:rsid w:val="00EB540D"/>
    <w:rsid w:val="00EB5AD5"/>
    <w:rsid w:val="00EB6359"/>
    <w:rsid w:val="00EB6B13"/>
    <w:rsid w:val="00EB74A3"/>
    <w:rsid w:val="00EB7C33"/>
    <w:rsid w:val="00EC00F2"/>
    <w:rsid w:val="00EC0F2D"/>
    <w:rsid w:val="00EC1EC3"/>
    <w:rsid w:val="00EC1F32"/>
    <w:rsid w:val="00EC205E"/>
    <w:rsid w:val="00EC267D"/>
    <w:rsid w:val="00EC333F"/>
    <w:rsid w:val="00EC39F8"/>
    <w:rsid w:val="00EC3BAA"/>
    <w:rsid w:val="00EC4320"/>
    <w:rsid w:val="00EC4D5A"/>
    <w:rsid w:val="00EC5662"/>
    <w:rsid w:val="00EC5DC4"/>
    <w:rsid w:val="00EC6553"/>
    <w:rsid w:val="00EC6DCB"/>
    <w:rsid w:val="00EC702F"/>
    <w:rsid w:val="00EC7203"/>
    <w:rsid w:val="00EC7A6F"/>
    <w:rsid w:val="00ED0418"/>
    <w:rsid w:val="00ED077E"/>
    <w:rsid w:val="00ED081B"/>
    <w:rsid w:val="00ED1AD3"/>
    <w:rsid w:val="00ED2054"/>
    <w:rsid w:val="00ED21F9"/>
    <w:rsid w:val="00ED2542"/>
    <w:rsid w:val="00ED3688"/>
    <w:rsid w:val="00ED4131"/>
    <w:rsid w:val="00ED4162"/>
    <w:rsid w:val="00ED4B69"/>
    <w:rsid w:val="00ED5104"/>
    <w:rsid w:val="00ED56E5"/>
    <w:rsid w:val="00ED5F4D"/>
    <w:rsid w:val="00ED6079"/>
    <w:rsid w:val="00ED637F"/>
    <w:rsid w:val="00ED70EF"/>
    <w:rsid w:val="00ED756E"/>
    <w:rsid w:val="00ED75BF"/>
    <w:rsid w:val="00EE00E3"/>
    <w:rsid w:val="00EE0163"/>
    <w:rsid w:val="00EE0AE2"/>
    <w:rsid w:val="00EE13C9"/>
    <w:rsid w:val="00EE1446"/>
    <w:rsid w:val="00EE14D3"/>
    <w:rsid w:val="00EE1B86"/>
    <w:rsid w:val="00EE1CF5"/>
    <w:rsid w:val="00EE233F"/>
    <w:rsid w:val="00EE25EA"/>
    <w:rsid w:val="00EE3F0E"/>
    <w:rsid w:val="00EE439B"/>
    <w:rsid w:val="00EE4BCE"/>
    <w:rsid w:val="00EE4CAF"/>
    <w:rsid w:val="00EE4DBD"/>
    <w:rsid w:val="00EE5EEA"/>
    <w:rsid w:val="00EE6889"/>
    <w:rsid w:val="00EE7146"/>
    <w:rsid w:val="00EE73BE"/>
    <w:rsid w:val="00EE7BA9"/>
    <w:rsid w:val="00EE7D59"/>
    <w:rsid w:val="00EF0422"/>
    <w:rsid w:val="00EF057F"/>
    <w:rsid w:val="00EF1536"/>
    <w:rsid w:val="00EF2876"/>
    <w:rsid w:val="00EF2E82"/>
    <w:rsid w:val="00EF317C"/>
    <w:rsid w:val="00EF320A"/>
    <w:rsid w:val="00EF3AFC"/>
    <w:rsid w:val="00EF3CB2"/>
    <w:rsid w:val="00EF3EDA"/>
    <w:rsid w:val="00EF4A6B"/>
    <w:rsid w:val="00EF4BAC"/>
    <w:rsid w:val="00EF50AD"/>
    <w:rsid w:val="00EF638F"/>
    <w:rsid w:val="00EF6C92"/>
    <w:rsid w:val="00EF6E89"/>
    <w:rsid w:val="00EF727A"/>
    <w:rsid w:val="00EF7429"/>
    <w:rsid w:val="00EF776A"/>
    <w:rsid w:val="00EF7902"/>
    <w:rsid w:val="00F00338"/>
    <w:rsid w:val="00F00F0F"/>
    <w:rsid w:val="00F01378"/>
    <w:rsid w:val="00F01404"/>
    <w:rsid w:val="00F01466"/>
    <w:rsid w:val="00F01721"/>
    <w:rsid w:val="00F0182D"/>
    <w:rsid w:val="00F02108"/>
    <w:rsid w:val="00F027B5"/>
    <w:rsid w:val="00F02CD1"/>
    <w:rsid w:val="00F02FD7"/>
    <w:rsid w:val="00F03098"/>
    <w:rsid w:val="00F03F5C"/>
    <w:rsid w:val="00F06259"/>
    <w:rsid w:val="00F069C4"/>
    <w:rsid w:val="00F06B1D"/>
    <w:rsid w:val="00F074A2"/>
    <w:rsid w:val="00F1036D"/>
    <w:rsid w:val="00F11B16"/>
    <w:rsid w:val="00F124B9"/>
    <w:rsid w:val="00F14809"/>
    <w:rsid w:val="00F14A4A"/>
    <w:rsid w:val="00F14A5D"/>
    <w:rsid w:val="00F14A82"/>
    <w:rsid w:val="00F159EB"/>
    <w:rsid w:val="00F15BE7"/>
    <w:rsid w:val="00F15D3B"/>
    <w:rsid w:val="00F165DE"/>
    <w:rsid w:val="00F16738"/>
    <w:rsid w:val="00F1713D"/>
    <w:rsid w:val="00F201DC"/>
    <w:rsid w:val="00F20904"/>
    <w:rsid w:val="00F20A2B"/>
    <w:rsid w:val="00F21475"/>
    <w:rsid w:val="00F217BD"/>
    <w:rsid w:val="00F217CA"/>
    <w:rsid w:val="00F21C29"/>
    <w:rsid w:val="00F21C79"/>
    <w:rsid w:val="00F21CE3"/>
    <w:rsid w:val="00F21EC4"/>
    <w:rsid w:val="00F22266"/>
    <w:rsid w:val="00F22DAB"/>
    <w:rsid w:val="00F22F22"/>
    <w:rsid w:val="00F2310A"/>
    <w:rsid w:val="00F24053"/>
    <w:rsid w:val="00F24097"/>
    <w:rsid w:val="00F244A5"/>
    <w:rsid w:val="00F24706"/>
    <w:rsid w:val="00F24783"/>
    <w:rsid w:val="00F250A7"/>
    <w:rsid w:val="00F2580F"/>
    <w:rsid w:val="00F25CB2"/>
    <w:rsid w:val="00F26335"/>
    <w:rsid w:val="00F26641"/>
    <w:rsid w:val="00F26BF8"/>
    <w:rsid w:val="00F26EE4"/>
    <w:rsid w:val="00F270C4"/>
    <w:rsid w:val="00F27E93"/>
    <w:rsid w:val="00F30340"/>
    <w:rsid w:val="00F307A8"/>
    <w:rsid w:val="00F30C24"/>
    <w:rsid w:val="00F312B3"/>
    <w:rsid w:val="00F3139E"/>
    <w:rsid w:val="00F32009"/>
    <w:rsid w:val="00F3251F"/>
    <w:rsid w:val="00F32687"/>
    <w:rsid w:val="00F32A37"/>
    <w:rsid w:val="00F32B32"/>
    <w:rsid w:val="00F32BC7"/>
    <w:rsid w:val="00F33182"/>
    <w:rsid w:val="00F334C5"/>
    <w:rsid w:val="00F3365D"/>
    <w:rsid w:val="00F338E0"/>
    <w:rsid w:val="00F34250"/>
    <w:rsid w:val="00F342BB"/>
    <w:rsid w:val="00F348A5"/>
    <w:rsid w:val="00F34AB2"/>
    <w:rsid w:val="00F35011"/>
    <w:rsid w:val="00F35D76"/>
    <w:rsid w:val="00F36343"/>
    <w:rsid w:val="00F3635F"/>
    <w:rsid w:val="00F36D24"/>
    <w:rsid w:val="00F36F79"/>
    <w:rsid w:val="00F37497"/>
    <w:rsid w:val="00F400E1"/>
    <w:rsid w:val="00F401C4"/>
    <w:rsid w:val="00F404EA"/>
    <w:rsid w:val="00F404F2"/>
    <w:rsid w:val="00F40501"/>
    <w:rsid w:val="00F40663"/>
    <w:rsid w:val="00F40795"/>
    <w:rsid w:val="00F409D8"/>
    <w:rsid w:val="00F40FAC"/>
    <w:rsid w:val="00F411F1"/>
    <w:rsid w:val="00F413CF"/>
    <w:rsid w:val="00F41960"/>
    <w:rsid w:val="00F41F44"/>
    <w:rsid w:val="00F42F33"/>
    <w:rsid w:val="00F43F67"/>
    <w:rsid w:val="00F44645"/>
    <w:rsid w:val="00F44852"/>
    <w:rsid w:val="00F44D77"/>
    <w:rsid w:val="00F45416"/>
    <w:rsid w:val="00F45A11"/>
    <w:rsid w:val="00F45AEE"/>
    <w:rsid w:val="00F45BFC"/>
    <w:rsid w:val="00F45C8D"/>
    <w:rsid w:val="00F465BA"/>
    <w:rsid w:val="00F477CA"/>
    <w:rsid w:val="00F47D47"/>
    <w:rsid w:val="00F47E1D"/>
    <w:rsid w:val="00F47FA2"/>
    <w:rsid w:val="00F50CC1"/>
    <w:rsid w:val="00F5241D"/>
    <w:rsid w:val="00F52580"/>
    <w:rsid w:val="00F52D4E"/>
    <w:rsid w:val="00F52EC4"/>
    <w:rsid w:val="00F532A4"/>
    <w:rsid w:val="00F539DC"/>
    <w:rsid w:val="00F53D44"/>
    <w:rsid w:val="00F5454F"/>
    <w:rsid w:val="00F546AE"/>
    <w:rsid w:val="00F54A24"/>
    <w:rsid w:val="00F54C99"/>
    <w:rsid w:val="00F551F9"/>
    <w:rsid w:val="00F55936"/>
    <w:rsid w:val="00F55FAE"/>
    <w:rsid w:val="00F56591"/>
    <w:rsid w:val="00F576AB"/>
    <w:rsid w:val="00F579D7"/>
    <w:rsid w:val="00F60322"/>
    <w:rsid w:val="00F606B7"/>
    <w:rsid w:val="00F60770"/>
    <w:rsid w:val="00F6116E"/>
    <w:rsid w:val="00F61658"/>
    <w:rsid w:val="00F618FD"/>
    <w:rsid w:val="00F61A16"/>
    <w:rsid w:val="00F629CD"/>
    <w:rsid w:val="00F63D27"/>
    <w:rsid w:val="00F63E53"/>
    <w:rsid w:val="00F64897"/>
    <w:rsid w:val="00F64CAF"/>
    <w:rsid w:val="00F6520B"/>
    <w:rsid w:val="00F65714"/>
    <w:rsid w:val="00F65951"/>
    <w:rsid w:val="00F65BF9"/>
    <w:rsid w:val="00F66AA4"/>
    <w:rsid w:val="00F67434"/>
    <w:rsid w:val="00F70CD2"/>
    <w:rsid w:val="00F71200"/>
    <w:rsid w:val="00F717EE"/>
    <w:rsid w:val="00F71ECF"/>
    <w:rsid w:val="00F71F7F"/>
    <w:rsid w:val="00F72450"/>
    <w:rsid w:val="00F72A83"/>
    <w:rsid w:val="00F72A92"/>
    <w:rsid w:val="00F73475"/>
    <w:rsid w:val="00F73741"/>
    <w:rsid w:val="00F738A6"/>
    <w:rsid w:val="00F73B4A"/>
    <w:rsid w:val="00F741C6"/>
    <w:rsid w:val="00F74B09"/>
    <w:rsid w:val="00F758D0"/>
    <w:rsid w:val="00F75A8F"/>
    <w:rsid w:val="00F775C5"/>
    <w:rsid w:val="00F7775B"/>
    <w:rsid w:val="00F77C7D"/>
    <w:rsid w:val="00F80599"/>
    <w:rsid w:val="00F80889"/>
    <w:rsid w:val="00F80B53"/>
    <w:rsid w:val="00F81575"/>
    <w:rsid w:val="00F820E9"/>
    <w:rsid w:val="00F821E6"/>
    <w:rsid w:val="00F826F7"/>
    <w:rsid w:val="00F82BFB"/>
    <w:rsid w:val="00F834CE"/>
    <w:rsid w:val="00F83D22"/>
    <w:rsid w:val="00F83DFE"/>
    <w:rsid w:val="00F841EB"/>
    <w:rsid w:val="00F84EB8"/>
    <w:rsid w:val="00F85639"/>
    <w:rsid w:val="00F8565B"/>
    <w:rsid w:val="00F869C8"/>
    <w:rsid w:val="00F879FE"/>
    <w:rsid w:val="00F9014F"/>
    <w:rsid w:val="00F9056D"/>
    <w:rsid w:val="00F915BA"/>
    <w:rsid w:val="00F917EB"/>
    <w:rsid w:val="00F91BE4"/>
    <w:rsid w:val="00F91EC2"/>
    <w:rsid w:val="00F93A04"/>
    <w:rsid w:val="00F93F3C"/>
    <w:rsid w:val="00F93FD4"/>
    <w:rsid w:val="00F9475F"/>
    <w:rsid w:val="00F951FB"/>
    <w:rsid w:val="00F953E9"/>
    <w:rsid w:val="00F95682"/>
    <w:rsid w:val="00F964EE"/>
    <w:rsid w:val="00F9690F"/>
    <w:rsid w:val="00F97429"/>
    <w:rsid w:val="00F9745C"/>
    <w:rsid w:val="00F97CF1"/>
    <w:rsid w:val="00F97F06"/>
    <w:rsid w:val="00FA0010"/>
    <w:rsid w:val="00FA034F"/>
    <w:rsid w:val="00FA08F9"/>
    <w:rsid w:val="00FA128D"/>
    <w:rsid w:val="00FA12FA"/>
    <w:rsid w:val="00FA2EE0"/>
    <w:rsid w:val="00FA3074"/>
    <w:rsid w:val="00FA3352"/>
    <w:rsid w:val="00FA3996"/>
    <w:rsid w:val="00FA3A87"/>
    <w:rsid w:val="00FA420B"/>
    <w:rsid w:val="00FA476A"/>
    <w:rsid w:val="00FA478E"/>
    <w:rsid w:val="00FA4CD4"/>
    <w:rsid w:val="00FA62A8"/>
    <w:rsid w:val="00FA6AA4"/>
    <w:rsid w:val="00FA74BE"/>
    <w:rsid w:val="00FA7E25"/>
    <w:rsid w:val="00FA7F52"/>
    <w:rsid w:val="00FB00E7"/>
    <w:rsid w:val="00FB0145"/>
    <w:rsid w:val="00FB023D"/>
    <w:rsid w:val="00FB04D4"/>
    <w:rsid w:val="00FB0951"/>
    <w:rsid w:val="00FB1439"/>
    <w:rsid w:val="00FB148C"/>
    <w:rsid w:val="00FB1C30"/>
    <w:rsid w:val="00FB2069"/>
    <w:rsid w:val="00FB2081"/>
    <w:rsid w:val="00FB2C40"/>
    <w:rsid w:val="00FB37FB"/>
    <w:rsid w:val="00FB385C"/>
    <w:rsid w:val="00FB3EF8"/>
    <w:rsid w:val="00FB435F"/>
    <w:rsid w:val="00FB47E1"/>
    <w:rsid w:val="00FB5702"/>
    <w:rsid w:val="00FB5F0A"/>
    <w:rsid w:val="00FB6A9A"/>
    <w:rsid w:val="00FB6CD1"/>
    <w:rsid w:val="00FB74B2"/>
    <w:rsid w:val="00FB7641"/>
    <w:rsid w:val="00FC0090"/>
    <w:rsid w:val="00FC0325"/>
    <w:rsid w:val="00FC0340"/>
    <w:rsid w:val="00FC06B1"/>
    <w:rsid w:val="00FC1D68"/>
    <w:rsid w:val="00FC484B"/>
    <w:rsid w:val="00FC521E"/>
    <w:rsid w:val="00FC57A4"/>
    <w:rsid w:val="00FC5E40"/>
    <w:rsid w:val="00FC63C8"/>
    <w:rsid w:val="00FC6E97"/>
    <w:rsid w:val="00FC752E"/>
    <w:rsid w:val="00FC778B"/>
    <w:rsid w:val="00FD032D"/>
    <w:rsid w:val="00FD09E4"/>
    <w:rsid w:val="00FD17EB"/>
    <w:rsid w:val="00FD196C"/>
    <w:rsid w:val="00FD2836"/>
    <w:rsid w:val="00FD2A96"/>
    <w:rsid w:val="00FD2C78"/>
    <w:rsid w:val="00FD3021"/>
    <w:rsid w:val="00FD3816"/>
    <w:rsid w:val="00FD3C9A"/>
    <w:rsid w:val="00FD51E3"/>
    <w:rsid w:val="00FD55B9"/>
    <w:rsid w:val="00FD56BB"/>
    <w:rsid w:val="00FD58AB"/>
    <w:rsid w:val="00FD5910"/>
    <w:rsid w:val="00FD5C04"/>
    <w:rsid w:val="00FD6AAD"/>
    <w:rsid w:val="00FD7843"/>
    <w:rsid w:val="00FD785F"/>
    <w:rsid w:val="00FD7B96"/>
    <w:rsid w:val="00FD7CAB"/>
    <w:rsid w:val="00FE020D"/>
    <w:rsid w:val="00FE0386"/>
    <w:rsid w:val="00FE0F32"/>
    <w:rsid w:val="00FE16D7"/>
    <w:rsid w:val="00FE17B2"/>
    <w:rsid w:val="00FE1D55"/>
    <w:rsid w:val="00FE1ED3"/>
    <w:rsid w:val="00FE2362"/>
    <w:rsid w:val="00FE2509"/>
    <w:rsid w:val="00FE2DE5"/>
    <w:rsid w:val="00FE3336"/>
    <w:rsid w:val="00FE359B"/>
    <w:rsid w:val="00FE3C03"/>
    <w:rsid w:val="00FE3CB2"/>
    <w:rsid w:val="00FE411A"/>
    <w:rsid w:val="00FE4232"/>
    <w:rsid w:val="00FE455E"/>
    <w:rsid w:val="00FE5D2B"/>
    <w:rsid w:val="00FE6B89"/>
    <w:rsid w:val="00FE6D65"/>
    <w:rsid w:val="00FE76F6"/>
    <w:rsid w:val="00FE7EFE"/>
    <w:rsid w:val="00FF0CB7"/>
    <w:rsid w:val="00FF0F26"/>
    <w:rsid w:val="00FF1627"/>
    <w:rsid w:val="00FF192D"/>
    <w:rsid w:val="00FF1FE2"/>
    <w:rsid w:val="00FF2950"/>
    <w:rsid w:val="00FF3844"/>
    <w:rsid w:val="00FF3B41"/>
    <w:rsid w:val="00FF5179"/>
    <w:rsid w:val="00FF591B"/>
    <w:rsid w:val="00FF5CB3"/>
    <w:rsid w:val="00FF5EB7"/>
    <w:rsid w:val="00FF5EC5"/>
    <w:rsid w:val="00FF6721"/>
    <w:rsid w:val="00FF68F0"/>
    <w:rsid w:val="00FF6908"/>
    <w:rsid w:val="00FF6BD7"/>
    <w:rsid w:val="00FF6E3D"/>
    <w:rsid w:val="00FF71E7"/>
    <w:rsid w:val="0304BBD3"/>
    <w:rsid w:val="106AC6C2"/>
    <w:rsid w:val="14C86E79"/>
    <w:rsid w:val="15EAAB7C"/>
    <w:rsid w:val="2F0E3D93"/>
    <w:rsid w:val="34DBE257"/>
    <w:rsid w:val="41DFAEA0"/>
    <w:rsid w:val="512D9710"/>
    <w:rsid w:val="519A4ACD"/>
    <w:rsid w:val="5732D48D"/>
    <w:rsid w:val="60E9350B"/>
    <w:rsid w:val="63653AB8"/>
    <w:rsid w:val="72ABB2D8"/>
    <w:rsid w:val="7EABDDF4"/>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CDB482"/>
  <w15:chartTrackingRefBased/>
  <w15:docId w15:val="{7569E405-5FF2-4776-ABC6-E0A5EB280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20D1"/>
    <w:pPr>
      <w:spacing w:after="120" w:line="264" w:lineRule="auto"/>
      <w:contextualSpacing/>
    </w:pPr>
    <w:rPr>
      <w:rFonts w:ascii="Arial" w:hAnsi="Arial"/>
      <w:szCs w:val="24"/>
    </w:rPr>
  </w:style>
  <w:style w:type="paragraph" w:styleId="Heading1">
    <w:name w:val="heading 1"/>
    <w:aliases w:val="Numbered Heading 1"/>
    <w:basedOn w:val="Title"/>
    <w:next w:val="Normal"/>
    <w:link w:val="Heading1Char"/>
    <w:qFormat/>
    <w:rsid w:val="00F820E9"/>
    <w:pPr>
      <w:numPr>
        <w:numId w:val="6"/>
      </w:numPr>
      <w:spacing w:after="240"/>
      <w:ind w:right="2977"/>
      <w:outlineLvl w:val="0"/>
    </w:pPr>
    <w:rPr>
      <w:rFonts w:cs="Arial"/>
      <w:sz w:val="36"/>
      <w:szCs w:val="36"/>
    </w:rPr>
  </w:style>
  <w:style w:type="paragraph" w:styleId="Heading2">
    <w:name w:val="heading 2"/>
    <w:aliases w:val="Numbered Heading 2"/>
    <w:basedOn w:val="Normal"/>
    <w:next w:val="Normal"/>
    <w:link w:val="Heading2Char"/>
    <w:semiHidden/>
    <w:unhideWhenUsed/>
    <w:rsid w:val="006777D3"/>
    <w:pPr>
      <w:keepNext/>
      <w:tabs>
        <w:tab w:val="left" w:pos="425"/>
      </w:tabs>
      <w:spacing w:before="360" w:after="240"/>
      <w:outlineLvl w:val="1"/>
    </w:pPr>
    <w:rPr>
      <w:rFonts w:eastAsiaTheme="majorEastAsia" w:cstheme="majorBidi"/>
      <w:iCs/>
      <w:sz w:val="28"/>
      <w:szCs w:val="28"/>
    </w:rPr>
  </w:style>
  <w:style w:type="paragraph" w:styleId="Heading3">
    <w:name w:val="heading 3"/>
    <w:basedOn w:val="Normal"/>
    <w:next w:val="Normal"/>
    <w:link w:val="Heading3Char"/>
    <w:semiHidden/>
    <w:unhideWhenUsed/>
    <w:qFormat/>
    <w:rsid w:val="007C438D"/>
    <w:pPr>
      <w:spacing w:before="240"/>
      <w:outlineLvl w:val="2"/>
    </w:pPr>
    <w:rPr>
      <w:rFonts w:ascii="Arial Bold" w:hAnsi="Arial Bold"/>
      <w:b/>
      <w:bCs/>
      <w:color w:val="4877E0" w:themeColor="accent1"/>
      <w:sz w:val="24"/>
    </w:rPr>
  </w:style>
  <w:style w:type="paragraph" w:styleId="Heading4">
    <w:name w:val="heading 4"/>
    <w:basedOn w:val="Normal"/>
    <w:next w:val="Normal"/>
    <w:link w:val="Heading4Char"/>
    <w:uiPriority w:val="9"/>
    <w:unhideWhenUsed/>
    <w:qFormat/>
    <w:rsid w:val="00E6439B"/>
    <w:pPr>
      <w:spacing w:before="200"/>
      <w:outlineLvl w:val="3"/>
    </w:pPr>
    <w:rPr>
      <w:rFonts w:eastAsiaTheme="majorEastAsia" w:cs="Arial"/>
      <w:b/>
      <w:bCs/>
      <w:i/>
      <w:iCs/>
      <w:szCs w:val="22"/>
    </w:rPr>
  </w:style>
  <w:style w:type="paragraph" w:styleId="Heading5">
    <w:name w:val="heading 5"/>
    <w:basedOn w:val="Normal"/>
    <w:next w:val="Normal"/>
    <w:link w:val="Heading5Char"/>
    <w:uiPriority w:val="9"/>
    <w:unhideWhenUsed/>
    <w:qFormat/>
    <w:rsid w:val="008D5CFE"/>
    <w:pPr>
      <w:spacing w:before="360"/>
      <w:outlineLvl w:val="4"/>
    </w:pPr>
    <w:rPr>
      <w:rFonts w:eastAsiaTheme="majorEastAsia" w:cs="Arial"/>
      <w:b/>
      <w:bCs/>
      <w:color w:val="7F7F7F" w:themeColor="text1" w:themeTint="80"/>
      <w:szCs w:val="22"/>
    </w:rPr>
  </w:style>
  <w:style w:type="paragraph" w:styleId="Heading6">
    <w:name w:val="heading 6"/>
    <w:basedOn w:val="Normal"/>
    <w:next w:val="Normal"/>
    <w:link w:val="Heading6Char"/>
    <w:uiPriority w:val="9"/>
    <w:semiHidden/>
    <w:unhideWhenUsed/>
    <w:qFormat/>
    <w:rsid w:val="00FB5F0A"/>
    <w:pPr>
      <w:spacing w:after="0" w:line="271" w:lineRule="auto"/>
      <w:outlineLvl w:val="5"/>
    </w:pPr>
    <w:rPr>
      <w:rFonts w:asciiTheme="majorHAnsi" w:eastAsiaTheme="majorEastAsia" w:hAnsiTheme="majorHAnsi" w:cstheme="majorBidi"/>
      <w:b/>
      <w:bCs/>
      <w:i/>
      <w:iCs/>
      <w:color w:val="7F7F7F" w:themeColor="text1" w:themeTint="80"/>
      <w:szCs w:val="22"/>
    </w:rPr>
  </w:style>
  <w:style w:type="paragraph" w:styleId="Heading7">
    <w:name w:val="heading 7"/>
    <w:basedOn w:val="Normal"/>
    <w:next w:val="Normal"/>
    <w:link w:val="Heading7Char"/>
    <w:uiPriority w:val="9"/>
    <w:semiHidden/>
    <w:unhideWhenUsed/>
    <w:qFormat/>
    <w:rsid w:val="00FB5F0A"/>
    <w:pPr>
      <w:spacing w:after="0"/>
      <w:outlineLvl w:val="6"/>
    </w:pPr>
    <w:rPr>
      <w:rFonts w:asciiTheme="majorHAnsi" w:eastAsiaTheme="majorEastAsia" w:hAnsiTheme="majorHAnsi" w:cstheme="majorBidi"/>
      <w:i/>
      <w:iCs/>
      <w:szCs w:val="22"/>
    </w:rPr>
  </w:style>
  <w:style w:type="paragraph" w:styleId="Heading8">
    <w:name w:val="heading 8"/>
    <w:basedOn w:val="Normal"/>
    <w:next w:val="Normal"/>
    <w:link w:val="Heading8Char"/>
    <w:uiPriority w:val="9"/>
    <w:semiHidden/>
    <w:unhideWhenUsed/>
    <w:qFormat/>
    <w:rsid w:val="00FB5F0A"/>
    <w:pPr>
      <w:spacing w:after="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FB5F0A"/>
    <w:pPr>
      <w:spacing w:after="0"/>
      <w:outlineLvl w:val="8"/>
    </w:pPr>
    <w:rPr>
      <w:rFonts w:asciiTheme="majorHAnsi" w:eastAsiaTheme="majorEastAsia" w:hAnsiTheme="majorHAnsi" w:cstheme="majorBidi"/>
      <w:i/>
      <w:iCs/>
      <w:spacing w:val="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xedshaded">
    <w:name w:val="Boxed/shaded"/>
    <w:basedOn w:val="Normal"/>
    <w:qFormat/>
    <w:rsid w:val="00BF204D"/>
    <w:pPr>
      <w:keepNext/>
      <w:keepLines/>
      <w:pBdr>
        <w:top w:val="single" w:sz="8" w:space="10" w:color="E7E6E6" w:themeColor="background2"/>
        <w:left w:val="single" w:sz="8" w:space="10" w:color="E7E6E6" w:themeColor="background2"/>
        <w:bottom w:val="single" w:sz="8" w:space="10" w:color="E7E6E6" w:themeColor="background2"/>
        <w:right w:val="single" w:sz="8" w:space="10" w:color="E7E6E6" w:themeColor="background2"/>
      </w:pBdr>
      <w:shd w:val="clear" w:color="auto" w:fill="E7E6E6" w:themeFill="background2"/>
      <w:spacing w:line="216" w:lineRule="auto"/>
      <w:ind w:left="284" w:right="237"/>
      <w:contextualSpacing w:val="0"/>
    </w:pPr>
    <w:rPr>
      <w:rFonts w:asciiTheme="minorHAnsi" w:hAnsiTheme="minorHAnsi"/>
    </w:rPr>
  </w:style>
  <w:style w:type="paragraph" w:customStyle="1" w:styleId="Disclaimer">
    <w:name w:val="Disclaimer"/>
    <w:basedOn w:val="Normal"/>
    <w:qFormat/>
    <w:rsid w:val="002309E3"/>
    <w:pPr>
      <w:spacing w:after="60" w:line="240" w:lineRule="auto"/>
      <w:contextualSpacing w:val="0"/>
    </w:pPr>
    <w:rPr>
      <w:rFonts w:asciiTheme="minorHAnsi" w:hAnsiTheme="minorHAnsi"/>
      <w:sz w:val="16"/>
    </w:rPr>
  </w:style>
  <w:style w:type="paragraph" w:customStyle="1" w:styleId="SWABullets">
    <w:name w:val="SWA Bullets"/>
    <w:basedOn w:val="Normal"/>
    <w:link w:val="SWABulletsChar"/>
    <w:semiHidden/>
    <w:qFormat/>
    <w:locked/>
    <w:rsid w:val="00FB5F0A"/>
    <w:pPr>
      <w:numPr>
        <w:numId w:val="4"/>
      </w:numPr>
      <w:tabs>
        <w:tab w:val="clear" w:pos="720"/>
        <w:tab w:val="num" w:pos="360"/>
      </w:tabs>
      <w:overflowPunct w:val="0"/>
      <w:autoSpaceDE w:val="0"/>
      <w:autoSpaceDN w:val="0"/>
      <w:adjustRightInd w:val="0"/>
      <w:spacing w:after="0"/>
      <w:ind w:left="0" w:firstLine="0"/>
      <w:textAlignment w:val="baseline"/>
    </w:pPr>
    <w:rPr>
      <w:rFonts w:eastAsia="Times New Roman" w:cs="Times New Roman"/>
      <w:lang w:eastAsia="en-AU"/>
    </w:rPr>
  </w:style>
  <w:style w:type="character" w:customStyle="1" w:styleId="SWABulletsChar">
    <w:name w:val="SWA Bullets Char"/>
    <w:basedOn w:val="DefaultParagraphFont"/>
    <w:link w:val="SWABullets"/>
    <w:semiHidden/>
    <w:rsid w:val="00FB5F0A"/>
    <w:rPr>
      <w:rFonts w:ascii="Arial" w:eastAsia="Times New Roman" w:hAnsi="Arial" w:cs="Times New Roman"/>
      <w:szCs w:val="24"/>
      <w:lang w:eastAsia="en-AU"/>
    </w:rPr>
  </w:style>
  <w:style w:type="paragraph" w:customStyle="1" w:styleId="TOC">
    <w:name w:val="TOC"/>
    <w:basedOn w:val="TOC1"/>
    <w:link w:val="TOCChar"/>
    <w:qFormat/>
    <w:rsid w:val="002309E3"/>
    <w:pPr>
      <w:tabs>
        <w:tab w:val="right" w:leader="dot" w:pos="9344"/>
      </w:tabs>
      <w:spacing w:before="360" w:after="360"/>
    </w:pPr>
    <w:rPr>
      <w:rFonts w:asciiTheme="majorHAnsi" w:eastAsia="Times New Roman" w:hAnsiTheme="majorHAnsi"/>
      <w:bCs w:val="0"/>
      <w:caps/>
      <w:sz w:val="32"/>
      <w:szCs w:val="32"/>
    </w:rPr>
  </w:style>
  <w:style w:type="character" w:customStyle="1" w:styleId="TOCChar">
    <w:name w:val="TOC Char"/>
    <w:basedOn w:val="DefaultParagraphFont"/>
    <w:link w:val="TOC"/>
    <w:rsid w:val="002309E3"/>
    <w:rPr>
      <w:rFonts w:asciiTheme="majorHAnsi" w:eastAsia="Times New Roman" w:hAnsiTheme="majorHAnsi"/>
      <w:b/>
      <w:caps/>
      <w:noProof/>
      <w:sz w:val="32"/>
      <w:szCs w:val="32"/>
    </w:rPr>
  </w:style>
  <w:style w:type="paragraph" w:styleId="TOC1">
    <w:name w:val="toc 1"/>
    <w:basedOn w:val="Normal"/>
    <w:next w:val="Normal"/>
    <w:autoRedefine/>
    <w:uiPriority w:val="39"/>
    <w:unhideWhenUsed/>
    <w:rsid w:val="002309E3"/>
    <w:pPr>
      <w:tabs>
        <w:tab w:val="left" w:pos="440"/>
        <w:tab w:val="right" w:leader="dot" w:pos="9016"/>
      </w:tabs>
      <w:spacing w:after="100"/>
      <w:contextualSpacing w:val="0"/>
    </w:pPr>
    <w:rPr>
      <w:rFonts w:asciiTheme="minorHAnsi" w:hAnsiTheme="minorHAnsi"/>
      <w:b/>
      <w:bCs/>
      <w:noProof/>
    </w:rPr>
  </w:style>
  <w:style w:type="paragraph" w:customStyle="1" w:styleId="Link">
    <w:name w:val="Link"/>
    <w:basedOn w:val="Normal"/>
    <w:link w:val="LinkChar"/>
    <w:qFormat/>
    <w:rsid w:val="00FB5F0A"/>
    <w:pPr>
      <w:spacing w:after="0"/>
    </w:pPr>
    <w:rPr>
      <w:rFonts w:eastAsia="Times New Roman" w:cs="Times New Roman"/>
      <w:lang w:eastAsia="en-AU"/>
    </w:rPr>
  </w:style>
  <w:style w:type="character" w:customStyle="1" w:styleId="LinkChar">
    <w:name w:val="Link Char"/>
    <w:basedOn w:val="DefaultParagraphFont"/>
    <w:link w:val="Link"/>
    <w:rsid w:val="00FB5F0A"/>
    <w:rPr>
      <w:rFonts w:ascii="Arial" w:eastAsia="Times New Roman" w:hAnsi="Arial" w:cs="Times New Roman"/>
      <w:sz w:val="20"/>
      <w:szCs w:val="24"/>
      <w:lang w:eastAsia="en-AU"/>
    </w:rPr>
  </w:style>
  <w:style w:type="character" w:customStyle="1" w:styleId="Emphasised">
    <w:name w:val="Emphasised"/>
    <w:uiPriority w:val="1"/>
    <w:qFormat/>
    <w:rsid w:val="00FB5F0A"/>
    <w:rPr>
      <w:sz w:val="32"/>
      <w:szCs w:val="32"/>
    </w:rPr>
  </w:style>
  <w:style w:type="paragraph" w:customStyle="1" w:styleId="SWA-NORMAL">
    <w:name w:val="SWA - NORMAL"/>
    <w:basedOn w:val="Normal"/>
    <w:qFormat/>
    <w:locked/>
    <w:rsid w:val="00FB5F0A"/>
    <w:pPr>
      <w:tabs>
        <w:tab w:val="left" w:pos="425"/>
      </w:tabs>
    </w:pPr>
  </w:style>
  <w:style w:type="paragraph" w:customStyle="1" w:styleId="TableContent">
    <w:name w:val="Table Content"/>
    <w:basedOn w:val="Normal"/>
    <w:link w:val="TableContentChar"/>
    <w:qFormat/>
    <w:rsid w:val="00DC522B"/>
    <w:pPr>
      <w:spacing w:before="120"/>
    </w:pPr>
    <w:rPr>
      <w:b/>
    </w:rPr>
  </w:style>
  <w:style w:type="character" w:customStyle="1" w:styleId="TableContentChar">
    <w:name w:val="Table Content Char"/>
    <w:basedOn w:val="DefaultParagraphFont"/>
    <w:link w:val="TableContent"/>
    <w:rsid w:val="00DC522B"/>
    <w:rPr>
      <w:rFonts w:ascii="Arial" w:hAnsi="Arial"/>
      <w:b/>
      <w:szCs w:val="24"/>
    </w:rPr>
  </w:style>
  <w:style w:type="paragraph" w:customStyle="1" w:styleId="Reporttitle">
    <w:name w:val="Report title"/>
    <w:basedOn w:val="Normal"/>
    <w:uiPriority w:val="19"/>
    <w:qFormat/>
    <w:rsid w:val="00FB5F0A"/>
    <w:pPr>
      <w:spacing w:after="0" w:line="560" w:lineRule="exact"/>
    </w:pPr>
    <w:rPr>
      <w:rFonts w:eastAsia="Times New Roman" w:cs="Times New Roman"/>
      <w:b/>
      <w:color w:val="EB9C3A" w:themeColor="accent2"/>
      <w:spacing w:val="-28"/>
      <w:sz w:val="53"/>
      <w:lang w:eastAsia="en-AU"/>
    </w:rPr>
  </w:style>
  <w:style w:type="paragraph" w:customStyle="1" w:styleId="Reportsubtitle">
    <w:name w:val="Report subtitle"/>
    <w:basedOn w:val="Normal"/>
    <w:uiPriority w:val="20"/>
    <w:qFormat/>
    <w:rsid w:val="00FB5F0A"/>
    <w:pPr>
      <w:spacing w:after="200" w:line="560" w:lineRule="exact"/>
    </w:pPr>
    <w:rPr>
      <w:rFonts w:eastAsia="Times New Roman" w:cs="Times New Roman"/>
      <w:color w:val="323232"/>
      <w:spacing w:val="-28"/>
      <w:sz w:val="48"/>
      <w:lang w:eastAsia="en-AU"/>
    </w:rPr>
  </w:style>
  <w:style w:type="paragraph" w:customStyle="1" w:styleId="Positionprofile">
    <w:name w:val="Position profile"/>
    <w:basedOn w:val="Normal"/>
    <w:qFormat/>
    <w:rsid w:val="00FB5F0A"/>
    <w:pPr>
      <w:keepNext/>
      <w:spacing w:after="240" w:line="240" w:lineRule="atLeast"/>
    </w:pPr>
    <w:rPr>
      <w:rFonts w:eastAsia="Times New Roman"/>
      <w:sz w:val="24"/>
      <w:lang w:eastAsia="en-AU"/>
    </w:rPr>
  </w:style>
  <w:style w:type="paragraph" w:customStyle="1" w:styleId="Paragraphbeforelist">
    <w:name w:val="Paragraph before list"/>
    <w:basedOn w:val="Paragraph"/>
    <w:uiPriority w:val="4"/>
    <w:qFormat/>
    <w:rsid w:val="00FB5F0A"/>
    <w:pPr>
      <w:spacing w:after="80"/>
    </w:pPr>
  </w:style>
  <w:style w:type="paragraph" w:customStyle="1" w:styleId="Bulletlevel1">
    <w:name w:val="Bullet level 1"/>
    <w:basedOn w:val="ListBullet"/>
    <w:uiPriority w:val="5"/>
    <w:qFormat/>
    <w:rsid w:val="00FB5F0A"/>
    <w:pPr>
      <w:numPr>
        <w:numId w:val="0"/>
      </w:numPr>
      <w:spacing w:line="240" w:lineRule="atLeast"/>
      <w:ind w:left="295" w:hanging="360"/>
    </w:pPr>
    <w:rPr>
      <w:lang w:eastAsia="en-AU"/>
    </w:rPr>
  </w:style>
  <w:style w:type="paragraph" w:styleId="ListBullet">
    <w:name w:val="List Bullet"/>
    <w:basedOn w:val="Normal"/>
    <w:qFormat/>
    <w:rsid w:val="002309E3"/>
    <w:pPr>
      <w:numPr>
        <w:numId w:val="1"/>
      </w:numPr>
      <w:spacing w:before="80" w:after="80" w:line="216" w:lineRule="auto"/>
      <w:contextualSpacing w:val="0"/>
    </w:pPr>
    <w:rPr>
      <w:rFonts w:asciiTheme="minorHAnsi" w:eastAsia="Arial" w:hAnsiTheme="minorHAnsi"/>
    </w:rPr>
  </w:style>
  <w:style w:type="paragraph" w:customStyle="1" w:styleId="Paragraph">
    <w:name w:val="Paragraph"/>
    <w:basedOn w:val="Normal"/>
    <w:link w:val="ParagraphChar"/>
    <w:qFormat/>
    <w:rsid w:val="002309E3"/>
    <w:pPr>
      <w:widowControl w:val="0"/>
      <w:spacing w:before="120" w:line="240" w:lineRule="auto"/>
      <w:contextualSpacing w:val="0"/>
    </w:pPr>
    <w:rPr>
      <w:rFonts w:asciiTheme="minorHAnsi" w:eastAsia="Times New Roman" w:hAnsiTheme="minorHAnsi"/>
      <w:lang w:eastAsia="en-AU"/>
    </w:rPr>
  </w:style>
  <w:style w:type="paragraph" w:customStyle="1" w:styleId="Bulletlevel2">
    <w:name w:val="Bullet level 2"/>
    <w:basedOn w:val="ListBullet2"/>
    <w:uiPriority w:val="7"/>
    <w:qFormat/>
    <w:rsid w:val="00FB5F0A"/>
    <w:pPr>
      <w:numPr>
        <w:numId w:val="5"/>
      </w:numPr>
      <w:spacing w:line="240" w:lineRule="atLeast"/>
    </w:pPr>
    <w:rPr>
      <w:rFonts w:eastAsia="Times New Roman"/>
      <w:lang w:eastAsia="en-AU"/>
    </w:rPr>
  </w:style>
  <w:style w:type="paragraph" w:styleId="ListBullet2">
    <w:name w:val="List Bullet 2"/>
    <w:basedOn w:val="Normal"/>
    <w:qFormat/>
    <w:rsid w:val="006C7872"/>
    <w:pPr>
      <w:numPr>
        <w:numId w:val="3"/>
      </w:numPr>
      <w:spacing w:before="40" w:after="40" w:line="216" w:lineRule="auto"/>
      <w:contextualSpacing w:val="0"/>
    </w:pPr>
    <w:rPr>
      <w:rFonts w:asciiTheme="minorHAnsi" w:hAnsiTheme="minorHAnsi"/>
    </w:rPr>
  </w:style>
  <w:style w:type="paragraph" w:customStyle="1" w:styleId="Bulletlevel2last">
    <w:name w:val="Bullet level 2 last"/>
    <w:basedOn w:val="Bulletlevel2"/>
    <w:uiPriority w:val="8"/>
    <w:qFormat/>
    <w:rsid w:val="00FB5F0A"/>
    <w:pPr>
      <w:spacing w:after="240"/>
    </w:pPr>
  </w:style>
  <w:style w:type="paragraph" w:customStyle="1" w:styleId="SWAHeading2">
    <w:name w:val="SWA Heading 2"/>
    <w:next w:val="Paragraph"/>
    <w:link w:val="SWAHeading2Char"/>
    <w:qFormat/>
    <w:rsid w:val="000D26F7"/>
    <w:pPr>
      <w:numPr>
        <w:ilvl w:val="3"/>
        <w:numId w:val="8"/>
      </w:numPr>
      <w:spacing w:before="200" w:after="120"/>
      <w:outlineLvl w:val="1"/>
    </w:pPr>
    <w:rPr>
      <w:rFonts w:asciiTheme="majorHAnsi" w:eastAsiaTheme="majorEastAsia" w:hAnsiTheme="majorHAnsi" w:cstheme="majorBidi"/>
      <w:b/>
      <w:bCs/>
      <w:iCs/>
      <w:color w:val="2B0A99" w:themeColor="text2"/>
      <w:sz w:val="32"/>
      <w:szCs w:val="40"/>
    </w:rPr>
  </w:style>
  <w:style w:type="character" w:customStyle="1" w:styleId="SWAHeading2Char">
    <w:name w:val="SWA Heading 2 Char"/>
    <w:basedOn w:val="Heading2Char"/>
    <w:link w:val="SWAHeading2"/>
    <w:rsid w:val="000D26F7"/>
    <w:rPr>
      <w:rFonts w:asciiTheme="majorHAnsi" w:eastAsiaTheme="majorEastAsia" w:hAnsiTheme="majorHAnsi" w:cstheme="majorBidi"/>
      <w:b/>
      <w:bCs/>
      <w:iCs/>
      <w:color w:val="2B0A99" w:themeColor="text2"/>
      <w:sz w:val="32"/>
      <w:szCs w:val="40"/>
    </w:rPr>
  </w:style>
  <w:style w:type="character" w:customStyle="1" w:styleId="Heading2Char">
    <w:name w:val="Heading 2 Char"/>
    <w:aliases w:val="Numbered Heading 2 Char"/>
    <w:basedOn w:val="DefaultParagraphFont"/>
    <w:link w:val="Heading2"/>
    <w:semiHidden/>
    <w:rsid w:val="00FB5F0A"/>
    <w:rPr>
      <w:rFonts w:ascii="Arial" w:eastAsiaTheme="majorEastAsia" w:hAnsi="Arial" w:cstheme="majorBidi"/>
      <w:iCs/>
      <w:sz w:val="28"/>
      <w:szCs w:val="28"/>
    </w:rPr>
  </w:style>
  <w:style w:type="character" w:customStyle="1" w:styleId="Heading1Char">
    <w:name w:val="Heading 1 Char"/>
    <w:aliases w:val="Numbered Heading 1 Char"/>
    <w:basedOn w:val="DefaultParagraphFont"/>
    <w:link w:val="Heading1"/>
    <w:rsid w:val="00F820E9"/>
    <w:rPr>
      <w:rFonts w:ascii="Arial" w:hAnsi="Arial" w:cs="Arial"/>
      <w:b/>
      <w:bCs/>
      <w:sz w:val="36"/>
      <w:szCs w:val="36"/>
    </w:rPr>
  </w:style>
  <w:style w:type="paragraph" w:styleId="Title">
    <w:name w:val="Title"/>
    <w:basedOn w:val="Normal"/>
    <w:next w:val="Heading1"/>
    <w:link w:val="TitleChar"/>
    <w:uiPriority w:val="1"/>
    <w:qFormat/>
    <w:rsid w:val="00FB5F0A"/>
    <w:pPr>
      <w:tabs>
        <w:tab w:val="left" w:pos="425"/>
      </w:tabs>
      <w:spacing w:before="480" w:after="360"/>
    </w:pPr>
    <w:rPr>
      <w:b/>
      <w:bCs/>
      <w:sz w:val="56"/>
      <w:szCs w:val="56"/>
    </w:rPr>
  </w:style>
  <w:style w:type="character" w:customStyle="1" w:styleId="TitleChar">
    <w:name w:val="Title Char"/>
    <w:basedOn w:val="DefaultParagraphFont"/>
    <w:link w:val="Title"/>
    <w:uiPriority w:val="1"/>
    <w:rsid w:val="00FB5F0A"/>
    <w:rPr>
      <w:rFonts w:ascii="Arial" w:hAnsi="Arial" w:cs="Arial"/>
      <w:b/>
      <w:bCs/>
      <w:sz w:val="56"/>
      <w:szCs w:val="56"/>
    </w:rPr>
  </w:style>
  <w:style w:type="character" w:customStyle="1" w:styleId="Heading3Char">
    <w:name w:val="Heading 3 Char"/>
    <w:basedOn w:val="DefaultParagraphFont"/>
    <w:link w:val="Heading3"/>
    <w:semiHidden/>
    <w:rsid w:val="007C438D"/>
    <w:rPr>
      <w:rFonts w:ascii="Arial Bold" w:hAnsi="Arial Bold"/>
      <w:b/>
      <w:bCs/>
      <w:color w:val="4877E0" w:themeColor="accent1"/>
      <w:sz w:val="24"/>
      <w:szCs w:val="24"/>
    </w:rPr>
  </w:style>
  <w:style w:type="character" w:customStyle="1" w:styleId="Heading4Char">
    <w:name w:val="Heading 4 Char"/>
    <w:basedOn w:val="DefaultParagraphFont"/>
    <w:link w:val="Heading4"/>
    <w:uiPriority w:val="9"/>
    <w:rsid w:val="00E6439B"/>
    <w:rPr>
      <w:rFonts w:ascii="Arial" w:eastAsiaTheme="majorEastAsia" w:hAnsi="Arial" w:cs="Arial"/>
      <w:b/>
      <w:bCs/>
      <w:i/>
      <w:iCs/>
      <w:sz w:val="20"/>
    </w:rPr>
  </w:style>
  <w:style w:type="character" w:customStyle="1" w:styleId="Heading5Char">
    <w:name w:val="Heading 5 Char"/>
    <w:basedOn w:val="DefaultParagraphFont"/>
    <w:link w:val="Heading5"/>
    <w:uiPriority w:val="9"/>
    <w:rsid w:val="008D5CFE"/>
    <w:rPr>
      <w:rFonts w:ascii="Arial" w:eastAsiaTheme="majorEastAsia" w:hAnsi="Arial" w:cs="Arial"/>
      <w:b/>
      <w:bCs/>
      <w:color w:val="7F7F7F" w:themeColor="text1" w:themeTint="80"/>
      <w:sz w:val="20"/>
    </w:rPr>
  </w:style>
  <w:style w:type="character" w:customStyle="1" w:styleId="Heading6Char">
    <w:name w:val="Heading 6 Char"/>
    <w:basedOn w:val="DefaultParagraphFont"/>
    <w:link w:val="Heading6"/>
    <w:uiPriority w:val="9"/>
    <w:semiHidden/>
    <w:rsid w:val="00FB5F0A"/>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FB5F0A"/>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FB5F0A"/>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FB5F0A"/>
    <w:rPr>
      <w:rFonts w:asciiTheme="majorHAnsi" w:eastAsiaTheme="majorEastAsia" w:hAnsiTheme="majorHAnsi" w:cstheme="majorBidi"/>
      <w:i/>
      <w:iCs/>
      <w:spacing w:val="5"/>
      <w:sz w:val="20"/>
      <w:szCs w:val="20"/>
    </w:rPr>
  </w:style>
  <w:style w:type="paragraph" w:styleId="Caption">
    <w:name w:val="caption"/>
    <w:aliases w:val="Table heading"/>
    <w:basedOn w:val="Normal"/>
    <w:next w:val="Normal"/>
    <w:qFormat/>
    <w:rsid w:val="00BC0B4B"/>
    <w:pPr>
      <w:keepNext/>
      <w:overflowPunct w:val="0"/>
      <w:autoSpaceDE w:val="0"/>
      <w:autoSpaceDN w:val="0"/>
      <w:adjustRightInd w:val="0"/>
      <w:spacing w:before="240" w:after="80"/>
      <w:textAlignment w:val="baseline"/>
    </w:pPr>
    <w:rPr>
      <w:rFonts w:asciiTheme="minorHAnsi" w:hAnsiTheme="minorHAnsi"/>
      <w:b/>
      <w:bCs/>
    </w:rPr>
  </w:style>
  <w:style w:type="paragraph" w:styleId="ListNumber">
    <w:name w:val="List Number"/>
    <w:basedOn w:val="Normal"/>
    <w:qFormat/>
    <w:rsid w:val="002309E3"/>
    <w:pPr>
      <w:numPr>
        <w:numId w:val="2"/>
      </w:numPr>
      <w:spacing w:before="80" w:line="216" w:lineRule="auto"/>
      <w:contextualSpacing w:val="0"/>
    </w:pPr>
    <w:rPr>
      <w:rFonts w:asciiTheme="minorHAnsi" w:eastAsia="Times New Roman" w:hAnsiTheme="minorHAnsi" w:cs="Times New Roman"/>
    </w:rPr>
  </w:style>
  <w:style w:type="paragraph" w:styleId="ListNumber2">
    <w:name w:val="List Number 2"/>
    <w:aliases w:val="alpha"/>
    <w:basedOn w:val="Normal"/>
    <w:qFormat/>
    <w:rsid w:val="00B81622"/>
    <w:pPr>
      <w:numPr>
        <w:numId w:val="36"/>
      </w:numPr>
      <w:spacing w:before="40" w:after="40" w:line="216" w:lineRule="auto"/>
      <w:contextualSpacing w:val="0"/>
    </w:pPr>
    <w:rPr>
      <w:rFonts w:asciiTheme="minorHAnsi" w:eastAsia="Times New Roman" w:hAnsiTheme="minorHAnsi" w:cs="Times New Roman"/>
    </w:rPr>
  </w:style>
  <w:style w:type="paragraph" w:styleId="Subtitle">
    <w:name w:val="Subtitle"/>
    <w:basedOn w:val="Normal"/>
    <w:next w:val="Normal"/>
    <w:link w:val="SubtitleChar"/>
    <w:uiPriority w:val="2"/>
    <w:qFormat/>
    <w:rsid w:val="008F3F28"/>
    <w:pPr>
      <w:spacing w:after="60"/>
    </w:pPr>
    <w:rPr>
      <w:rFonts w:eastAsiaTheme="majorEastAsia" w:cstheme="majorBidi"/>
      <w:color w:val="2B0A99" w:themeColor="text2"/>
      <w:sz w:val="36"/>
      <w:szCs w:val="40"/>
    </w:rPr>
  </w:style>
  <w:style w:type="character" w:customStyle="1" w:styleId="SubtitleChar">
    <w:name w:val="Subtitle Char"/>
    <w:basedOn w:val="DefaultParagraphFont"/>
    <w:link w:val="Subtitle"/>
    <w:uiPriority w:val="2"/>
    <w:rsid w:val="008F3F28"/>
    <w:rPr>
      <w:rFonts w:ascii="Arial" w:eastAsiaTheme="majorEastAsia" w:hAnsi="Arial" w:cstheme="majorBidi"/>
      <w:color w:val="2B0A99" w:themeColor="text2"/>
      <w:sz w:val="36"/>
      <w:szCs w:val="40"/>
    </w:rPr>
  </w:style>
  <w:style w:type="character" w:styleId="Strong">
    <w:name w:val="Strong"/>
    <w:uiPriority w:val="22"/>
    <w:qFormat/>
    <w:rsid w:val="00FB5F0A"/>
    <w:rPr>
      <w:b/>
      <w:bCs/>
    </w:rPr>
  </w:style>
  <w:style w:type="character" w:styleId="Emphasis">
    <w:name w:val="Emphasis"/>
    <w:qFormat/>
    <w:rsid w:val="00FB5F0A"/>
    <w:rPr>
      <w:bCs/>
      <w:i/>
    </w:rPr>
  </w:style>
  <w:style w:type="paragraph" w:styleId="ListParagraph">
    <w:name w:val="List Paragraph"/>
    <w:aliases w:val="Italicised ABS,List Paragraph1,List Paragraph11,Recommendation,Numbered paragraph,L,NFP GP Bulleted List,FooterText,numbered,Paragraphe de liste1,Bulletr List Paragraph,列出段落,列出段落1,List Paragraph2,List Paragraph21,Listeafsnit1,リスト段落1"/>
    <w:basedOn w:val="Normal"/>
    <w:link w:val="ListParagraphChar"/>
    <w:uiPriority w:val="34"/>
    <w:qFormat/>
    <w:rsid w:val="00FB5F0A"/>
    <w:pPr>
      <w:tabs>
        <w:tab w:val="num" w:pos="720"/>
      </w:tabs>
      <w:ind w:left="1440" w:hanging="360"/>
    </w:pPr>
  </w:style>
  <w:style w:type="character" w:customStyle="1" w:styleId="ListParagraphChar">
    <w:name w:val="List Paragraph Char"/>
    <w:aliases w:val="Italicised ABS Char,List Paragraph1 Char,List Paragraph11 Char,Recommendation Char,Numbered paragraph Char,L Char,NFP GP Bulleted List Char,FooterText Char,numbered Char,Paragraphe de liste1 Char,Bulletr List Paragraph Char,列出段落 Char"/>
    <w:basedOn w:val="DefaultParagraphFont"/>
    <w:link w:val="ListParagraph"/>
    <w:uiPriority w:val="34"/>
    <w:qFormat/>
    <w:rsid w:val="00FB5F0A"/>
    <w:rPr>
      <w:rFonts w:ascii="Arial" w:hAnsi="Arial" w:cs="Arial"/>
      <w:sz w:val="20"/>
      <w:szCs w:val="20"/>
    </w:rPr>
  </w:style>
  <w:style w:type="paragraph" w:styleId="Quote">
    <w:name w:val="Quote"/>
    <w:aliases w:val="Summary"/>
    <w:basedOn w:val="Normal"/>
    <w:next w:val="Normal"/>
    <w:link w:val="QuoteChar"/>
    <w:uiPriority w:val="29"/>
    <w:qFormat/>
    <w:rsid w:val="008D5CFE"/>
    <w:pPr>
      <w:spacing w:before="120"/>
      <w:ind w:left="425" w:right="425"/>
    </w:pPr>
    <w:rPr>
      <w:i/>
      <w:szCs w:val="22"/>
    </w:rPr>
  </w:style>
  <w:style w:type="character" w:customStyle="1" w:styleId="QuoteChar">
    <w:name w:val="Quote Char"/>
    <w:aliases w:val="Summary Char"/>
    <w:basedOn w:val="DefaultParagraphFont"/>
    <w:link w:val="Quote"/>
    <w:uiPriority w:val="29"/>
    <w:rsid w:val="008D5CFE"/>
    <w:rPr>
      <w:rFonts w:ascii="Arial" w:hAnsi="Arial"/>
      <w:i/>
      <w:sz w:val="20"/>
    </w:rPr>
  </w:style>
  <w:style w:type="paragraph" w:styleId="IntenseQuote">
    <w:name w:val="Intense Quote"/>
    <w:basedOn w:val="Normal"/>
    <w:next w:val="Normal"/>
    <w:link w:val="IntenseQuoteChar"/>
    <w:uiPriority w:val="30"/>
    <w:qFormat/>
    <w:rsid w:val="00FB5F0A"/>
    <w:pPr>
      <w:pBdr>
        <w:top w:val="single" w:sz="4" w:space="10" w:color="4877E0" w:themeColor="accent1"/>
        <w:bottom w:val="single" w:sz="4" w:space="10" w:color="4877E0" w:themeColor="accent1"/>
      </w:pBdr>
      <w:spacing w:before="360" w:after="360"/>
      <w:ind w:left="864" w:right="864"/>
      <w:jc w:val="center"/>
    </w:pPr>
    <w:rPr>
      <w:i/>
      <w:iCs/>
      <w:color w:val="4877E0" w:themeColor="accent1"/>
    </w:rPr>
  </w:style>
  <w:style w:type="character" w:customStyle="1" w:styleId="IntenseQuoteChar">
    <w:name w:val="Intense Quote Char"/>
    <w:basedOn w:val="DefaultParagraphFont"/>
    <w:link w:val="IntenseQuote"/>
    <w:uiPriority w:val="30"/>
    <w:rsid w:val="00FB5F0A"/>
    <w:rPr>
      <w:rFonts w:ascii="Arial" w:hAnsi="Arial" w:cs="Arial"/>
      <w:i/>
      <w:iCs/>
      <w:color w:val="4877E0" w:themeColor="accent1"/>
      <w:sz w:val="20"/>
      <w:szCs w:val="20"/>
    </w:rPr>
  </w:style>
  <w:style w:type="paragraph" w:styleId="TOCHeading">
    <w:name w:val="TOC Heading"/>
    <w:basedOn w:val="Heading1"/>
    <w:next w:val="Normal"/>
    <w:uiPriority w:val="39"/>
    <w:unhideWhenUsed/>
    <w:qFormat/>
    <w:rsid w:val="00FB5F0A"/>
    <w:pPr>
      <w:outlineLvl w:val="9"/>
    </w:pPr>
    <w:rPr>
      <w:b w:val="0"/>
      <w:bCs w:val="0"/>
      <w:sz w:val="56"/>
      <w:szCs w:val="20"/>
      <w:lang w:bidi="en-US"/>
    </w:rPr>
  </w:style>
  <w:style w:type="paragraph" w:styleId="TOC2">
    <w:name w:val="toc 2"/>
    <w:basedOn w:val="Normal"/>
    <w:next w:val="Normal"/>
    <w:autoRedefine/>
    <w:uiPriority w:val="39"/>
    <w:unhideWhenUsed/>
    <w:rsid w:val="002309E3"/>
    <w:pPr>
      <w:tabs>
        <w:tab w:val="left" w:pos="993"/>
        <w:tab w:val="right" w:leader="dot" w:pos="9016"/>
      </w:tabs>
      <w:spacing w:after="100"/>
      <w:ind w:left="426"/>
      <w:contextualSpacing w:val="0"/>
    </w:pPr>
    <w:rPr>
      <w:rFonts w:asciiTheme="minorHAnsi" w:hAnsiTheme="minorHAnsi"/>
    </w:rPr>
  </w:style>
  <w:style w:type="paragraph" w:customStyle="1" w:styleId="Boxed">
    <w:name w:val="Boxed"/>
    <w:basedOn w:val="Normal"/>
    <w:rsid w:val="00FB5F0A"/>
    <w:pPr>
      <w:pBdr>
        <w:top w:val="single" w:sz="2" w:space="10" w:color="A6A6A6" w:themeColor="background1" w:themeShade="A6"/>
        <w:left w:val="single" w:sz="2" w:space="4" w:color="A6A6A6" w:themeColor="background1" w:themeShade="A6"/>
        <w:bottom w:val="single" w:sz="2" w:space="10" w:color="A6A6A6" w:themeColor="background1" w:themeShade="A6"/>
        <w:right w:val="single" w:sz="2" w:space="4" w:color="A6A6A6" w:themeColor="background1" w:themeShade="A6"/>
      </w:pBdr>
    </w:pPr>
  </w:style>
  <w:style w:type="paragraph" w:styleId="Footer">
    <w:name w:val="footer"/>
    <w:basedOn w:val="Normal"/>
    <w:link w:val="FooterChar"/>
    <w:uiPriority w:val="99"/>
    <w:rsid w:val="00FB5F0A"/>
    <w:pPr>
      <w:tabs>
        <w:tab w:val="center" w:pos="4513"/>
        <w:tab w:val="right" w:pos="9026"/>
      </w:tabs>
      <w:spacing w:after="0"/>
    </w:pPr>
    <w:rPr>
      <w:sz w:val="16"/>
    </w:rPr>
  </w:style>
  <w:style w:type="character" w:customStyle="1" w:styleId="FooterChar">
    <w:name w:val="Footer Char"/>
    <w:basedOn w:val="DefaultParagraphFont"/>
    <w:link w:val="Footer"/>
    <w:uiPriority w:val="99"/>
    <w:rsid w:val="00FB5F0A"/>
    <w:rPr>
      <w:rFonts w:ascii="Arial" w:hAnsi="Arial"/>
      <w:sz w:val="16"/>
      <w:szCs w:val="24"/>
    </w:rPr>
  </w:style>
  <w:style w:type="paragraph" w:styleId="Header">
    <w:name w:val="header"/>
    <w:basedOn w:val="Normal"/>
    <w:link w:val="HeaderChar"/>
    <w:uiPriority w:val="99"/>
    <w:rsid w:val="00FB5F0A"/>
    <w:pPr>
      <w:tabs>
        <w:tab w:val="center" w:pos="4513"/>
        <w:tab w:val="right" w:pos="9026"/>
      </w:tabs>
      <w:spacing w:after="0"/>
    </w:pPr>
  </w:style>
  <w:style w:type="character" w:customStyle="1" w:styleId="HeaderChar">
    <w:name w:val="Header Char"/>
    <w:basedOn w:val="DefaultParagraphFont"/>
    <w:link w:val="Header"/>
    <w:uiPriority w:val="99"/>
    <w:rsid w:val="00FB5F0A"/>
    <w:rPr>
      <w:rFonts w:ascii="Arial" w:hAnsi="Arial"/>
      <w:szCs w:val="24"/>
    </w:rPr>
  </w:style>
  <w:style w:type="character" w:styleId="Hyperlink">
    <w:name w:val="Hyperlink"/>
    <w:basedOn w:val="DefaultParagraphFont"/>
    <w:uiPriority w:val="99"/>
    <w:rsid w:val="00FB5F0A"/>
    <w:rPr>
      <w:color w:val="145B85"/>
      <w:u w:val="single"/>
    </w:rPr>
  </w:style>
  <w:style w:type="paragraph" w:customStyle="1" w:styleId="Titledate">
    <w:name w:val="Title date"/>
    <w:basedOn w:val="TOC1"/>
    <w:qFormat/>
    <w:rsid w:val="00FB5F0A"/>
    <w:pPr>
      <w:tabs>
        <w:tab w:val="left" w:pos="357"/>
        <w:tab w:val="right" w:leader="dot" w:pos="9072"/>
      </w:tabs>
    </w:pPr>
    <w:rPr>
      <w:bCs w:val="0"/>
      <w:caps/>
      <w:sz w:val="36"/>
      <w:szCs w:val="36"/>
    </w:rPr>
  </w:style>
  <w:style w:type="character" w:customStyle="1" w:styleId="SWADisclaimerheadingChar">
    <w:name w:val="SWA Disclaimer heading Char"/>
    <w:basedOn w:val="DefaultParagraphFont"/>
    <w:link w:val="SWADisclaimerheading"/>
    <w:locked/>
    <w:rsid w:val="002309E3"/>
    <w:rPr>
      <w:rFonts w:asciiTheme="majorHAnsi" w:eastAsiaTheme="majorEastAsia" w:hAnsiTheme="majorHAnsi" w:cstheme="majorBidi"/>
      <w:b/>
      <w:spacing w:val="-3"/>
      <w:sz w:val="18"/>
      <w:szCs w:val="14"/>
    </w:rPr>
  </w:style>
  <w:style w:type="paragraph" w:customStyle="1" w:styleId="SWADisclaimerheading">
    <w:name w:val="SWA Disclaimer heading"/>
    <w:basedOn w:val="Normal"/>
    <w:link w:val="SWADisclaimerheadingChar"/>
    <w:qFormat/>
    <w:rsid w:val="002309E3"/>
    <w:pPr>
      <w:spacing w:before="120" w:line="276" w:lineRule="auto"/>
    </w:pPr>
    <w:rPr>
      <w:rFonts w:asciiTheme="majorHAnsi" w:eastAsiaTheme="majorEastAsia" w:hAnsiTheme="majorHAnsi" w:cstheme="majorBidi"/>
      <w:b/>
      <w:spacing w:val="-3"/>
      <w:sz w:val="18"/>
      <w:szCs w:val="14"/>
    </w:rPr>
  </w:style>
  <w:style w:type="paragraph" w:styleId="TOC3">
    <w:name w:val="toc 3"/>
    <w:basedOn w:val="Normal"/>
    <w:next w:val="Normal"/>
    <w:autoRedefine/>
    <w:uiPriority w:val="39"/>
    <w:unhideWhenUsed/>
    <w:rsid w:val="002309E3"/>
    <w:pPr>
      <w:tabs>
        <w:tab w:val="right" w:leader="dot" w:pos="9016"/>
      </w:tabs>
      <w:spacing w:after="100"/>
      <w:ind w:left="993"/>
      <w:contextualSpacing w:val="0"/>
    </w:pPr>
    <w:rPr>
      <w:rFonts w:asciiTheme="minorHAnsi" w:hAnsiTheme="minorHAnsi"/>
      <w:i/>
      <w:iCs/>
      <w:noProof/>
    </w:rPr>
  </w:style>
  <w:style w:type="table" w:styleId="LightShading-Accent2">
    <w:name w:val="Light Shading Accent 2"/>
    <w:aliases w:val="SWA Table Style"/>
    <w:basedOn w:val="TableNormal"/>
    <w:uiPriority w:val="60"/>
    <w:rsid w:val="00711F77"/>
    <w:pPr>
      <w:spacing w:before="80" w:after="80" w:line="240" w:lineRule="auto"/>
    </w:pPr>
    <w:rPr>
      <w:rFonts w:ascii="Arial" w:hAnsi="Arial"/>
      <w:sz w:val="20"/>
    </w:rPr>
    <w:tblPr>
      <w:tblStyleRowBandSize w:val="1"/>
      <w:tblStyleColBandSize w:val="1"/>
      <w:tblBorders>
        <w:top w:val="dotted" w:sz="4" w:space="0" w:color="FFFFFF" w:themeColor="background1"/>
        <w:left w:val="dotted" w:sz="4" w:space="0" w:color="FFFFFF" w:themeColor="background1"/>
        <w:bottom w:val="dotted" w:sz="4" w:space="0" w:color="FFFFFF" w:themeColor="background1"/>
        <w:right w:val="dotted" w:sz="4" w:space="0" w:color="FFFFFF" w:themeColor="background1"/>
        <w:insideH w:val="dotted" w:sz="4" w:space="0" w:color="FFFFFF" w:themeColor="background1"/>
        <w:insideV w:val="dotted" w:sz="4" w:space="0" w:color="FFFFFF" w:themeColor="background1"/>
      </w:tblBorders>
    </w:tblPr>
    <w:tcPr>
      <w:shd w:val="clear" w:color="auto" w:fill="FFFFFF" w:themeFill="background1"/>
    </w:tcPr>
    <w:tblStylePr w:type="firstRow">
      <w:pPr>
        <w:wordWrap/>
        <w:spacing w:beforeLines="0" w:before="80" w:beforeAutospacing="0" w:afterLines="0" w:after="80" w:afterAutospacing="0" w:line="240" w:lineRule="auto"/>
        <w:jc w:val="left"/>
      </w:pPr>
      <w:rPr>
        <w:rFonts w:ascii="Arial" w:hAnsi="Arial"/>
        <w:b/>
        <w:bCs/>
        <w:color w:val="FFFFFF" w:themeColor="background1"/>
        <w:sz w:val="20"/>
      </w:rPr>
      <w:tblPr/>
      <w:tcPr>
        <w:shd w:val="clear" w:color="auto" w:fill="2B0A99" w:themeFill="text2"/>
      </w:tcPr>
    </w:tblStylePr>
    <w:tblStylePr w:type="lastRow">
      <w:pPr>
        <w:wordWrap/>
        <w:spacing w:beforeLines="0" w:before="80" w:beforeAutospacing="0" w:afterLines="0" w:after="80" w:afterAutospacing="0" w:line="240" w:lineRule="auto"/>
      </w:pPr>
      <w:rPr>
        <w:rFonts w:ascii="DotumChe" w:hAnsi="DotumChe"/>
        <w:b/>
        <w:bCs/>
        <w:color w:val="F8F8F8"/>
        <w:sz w:val="20"/>
      </w:rPr>
      <w:tblPr/>
      <w:tcPr>
        <w:tcBorders>
          <w:top w:val="nil"/>
          <w:left w:val="nil"/>
          <w:bottom w:val="nil"/>
          <w:right w:val="nil"/>
          <w:insideH w:val="nil"/>
          <w:insideV w:val="nil"/>
          <w:tl2br w:val="nil"/>
          <w:tr2bl w:val="nil"/>
        </w:tcBorders>
        <w:shd w:val="clear" w:color="auto" w:fill="878686"/>
      </w:tcPr>
    </w:tblStylePr>
    <w:tblStylePr w:type="firstCol">
      <w:rPr>
        <w:rFonts w:ascii="Arial" w:hAnsi="Arial"/>
        <w:b/>
        <w:bCs/>
        <w:sz w:val="20"/>
      </w:rPr>
    </w:tblStylePr>
    <w:tblStylePr w:type="lastCol">
      <w:rPr>
        <w:rFonts w:ascii="Arial" w:hAnsi="Arial"/>
        <w:b/>
        <w:bCs/>
        <w:sz w:val="20"/>
      </w:rPr>
      <w:tblPr/>
      <w:tcPr>
        <w:shd w:val="clear" w:color="auto" w:fill="D9D9D9" w:themeFill="background1" w:themeFillShade="D9"/>
      </w:tcPr>
    </w:tblStylePr>
    <w:tblStylePr w:type="band1Horz">
      <w:pPr>
        <w:wordWrap/>
        <w:spacing w:beforeLines="0" w:before="80" w:beforeAutospacing="0" w:afterLines="0" w:after="80" w:afterAutospacing="0"/>
      </w:pPr>
      <w:tblPr/>
      <w:tcPr>
        <w:shd w:val="clear" w:color="auto" w:fill="EFEFEF"/>
      </w:tcPr>
    </w:tblStylePr>
    <w:tblStylePr w:type="band2Horz">
      <w:pPr>
        <w:wordWrap/>
        <w:spacing w:beforeLines="0" w:before="80" w:beforeAutospacing="0" w:afterLines="0" w:after="80" w:afterAutospacing="0"/>
      </w:pPr>
      <w:tblPr/>
      <w:tcPr>
        <w:tcBorders>
          <w:top w:val="dashSmallGap" w:sz="4" w:space="0" w:color="FFFFFF" w:themeColor="background1"/>
          <w:left w:val="dashSmallGap" w:sz="4" w:space="0" w:color="FFFFFF" w:themeColor="background1"/>
          <w:bottom w:val="dashSmallGap" w:sz="4" w:space="0" w:color="FFFFFF" w:themeColor="background1"/>
          <w:right w:val="dashSmallGap" w:sz="4" w:space="0" w:color="FFFFFF" w:themeColor="background1"/>
          <w:insideH w:val="dashSmallGap" w:sz="4" w:space="0" w:color="FFFFFF" w:themeColor="background1"/>
          <w:insideV w:val="dashSmallGap" w:sz="4" w:space="0" w:color="FFFFFF" w:themeColor="background1"/>
        </w:tcBorders>
      </w:tcPr>
    </w:tblStylePr>
  </w:style>
  <w:style w:type="paragraph" w:customStyle="1" w:styleId="SWAHeading1">
    <w:name w:val="SWA Heading 1"/>
    <w:next w:val="Paragraph"/>
    <w:qFormat/>
    <w:rsid w:val="00635849"/>
    <w:pPr>
      <w:numPr>
        <w:ilvl w:val="2"/>
        <w:numId w:val="8"/>
      </w:numPr>
      <w:spacing w:before="1800" w:after="480"/>
      <w:outlineLvl w:val="0"/>
    </w:pPr>
    <w:rPr>
      <w:rFonts w:asciiTheme="majorHAnsi" w:hAnsiTheme="majorHAnsi" w:cs="Arial"/>
      <w:b/>
      <w:bCs/>
      <w:sz w:val="40"/>
      <w:szCs w:val="40"/>
    </w:rPr>
  </w:style>
  <w:style w:type="paragraph" w:customStyle="1" w:styleId="Emphasisquote">
    <w:name w:val="Emphasis quote"/>
    <w:next w:val="Paragraph"/>
    <w:link w:val="EmphasisquoteChar"/>
    <w:qFormat/>
    <w:rsid w:val="00104770"/>
    <w:pPr>
      <w:spacing w:before="40" w:after="40" w:line="240" w:lineRule="auto"/>
      <w:ind w:left="284" w:right="107"/>
    </w:pPr>
    <w:rPr>
      <w:i/>
      <w:iCs/>
      <w:szCs w:val="24"/>
      <w:lang w:eastAsia="en-AU"/>
    </w:rPr>
  </w:style>
  <w:style w:type="character" w:styleId="BookTitle">
    <w:name w:val="Book Title"/>
    <w:basedOn w:val="DefaultParagraphFont"/>
    <w:uiPriority w:val="33"/>
    <w:qFormat/>
    <w:rsid w:val="00DB7B01"/>
    <w:rPr>
      <w:b/>
      <w:bCs/>
      <w:i/>
      <w:iCs/>
      <w:spacing w:val="5"/>
    </w:rPr>
  </w:style>
  <w:style w:type="character" w:customStyle="1" w:styleId="EmphasisquoteChar">
    <w:name w:val="Emphasis quote Char"/>
    <w:basedOn w:val="QuoteChar"/>
    <w:link w:val="Emphasisquote"/>
    <w:rsid w:val="00104770"/>
    <w:rPr>
      <w:rFonts w:ascii="Arial" w:hAnsi="Arial"/>
      <w:i/>
      <w:iCs/>
      <w:sz w:val="20"/>
      <w:szCs w:val="24"/>
      <w:lang w:eastAsia="en-AU"/>
    </w:rPr>
  </w:style>
  <w:style w:type="table" w:styleId="TableGrid">
    <w:name w:val="Table Grid"/>
    <w:basedOn w:val="TableNormal"/>
    <w:uiPriority w:val="39"/>
    <w:rsid w:val="001579F9"/>
    <w:pPr>
      <w:spacing w:after="0" w:line="240" w:lineRule="auto"/>
    </w:pPr>
    <w:tblPr>
      <w:tblBorders>
        <w:insideH w:val="single" w:sz="4" w:space="0" w:color="C970ED" w:themeColor="accent4" w:themeTint="66"/>
      </w:tblBorders>
      <w:tblCellMar>
        <w:top w:w="85" w:type="dxa"/>
        <w:left w:w="142" w:type="dxa"/>
        <w:bottom w:w="85" w:type="dxa"/>
        <w:right w:w="142" w:type="dxa"/>
      </w:tblCellMar>
    </w:tblPr>
    <w:tcPr>
      <w:shd w:val="clear" w:color="auto" w:fill="F4E1FB"/>
    </w:tcPr>
    <w:tblStylePr w:type="firstRow">
      <w:rPr>
        <w:b/>
      </w:rPr>
      <w:tblPr/>
      <w:tcPr>
        <w:shd w:val="clear" w:color="auto" w:fill="C970ED" w:themeFill="accent4" w:themeFillTint="66"/>
      </w:tcPr>
    </w:tblStylePr>
  </w:style>
  <w:style w:type="paragraph" w:customStyle="1" w:styleId="paragraph0">
    <w:name w:val="paragraph"/>
    <w:basedOn w:val="Normal"/>
    <w:rsid w:val="00241746"/>
    <w:pPr>
      <w:spacing w:before="100" w:beforeAutospacing="1" w:after="100" w:afterAutospacing="1"/>
    </w:pPr>
    <w:rPr>
      <w:rFonts w:ascii="Times New Roman" w:eastAsia="Times New Roman" w:hAnsi="Times New Roman" w:cs="Times New Roman"/>
      <w:sz w:val="24"/>
      <w:lang w:eastAsia="en-AU"/>
    </w:rPr>
  </w:style>
  <w:style w:type="character" w:customStyle="1" w:styleId="normaltextrun">
    <w:name w:val="normaltextrun"/>
    <w:basedOn w:val="DefaultParagraphFont"/>
    <w:rsid w:val="00241746"/>
  </w:style>
  <w:style w:type="character" w:customStyle="1" w:styleId="eop">
    <w:name w:val="eop"/>
    <w:basedOn w:val="DefaultParagraphFont"/>
    <w:rsid w:val="00241746"/>
  </w:style>
  <w:style w:type="paragraph" w:customStyle="1" w:styleId="SWA1stHeading">
    <w:name w:val="SWA 1st Heading"/>
    <w:basedOn w:val="Normal"/>
    <w:link w:val="SWA1stHeadingChar"/>
    <w:rsid w:val="00EC267D"/>
  </w:style>
  <w:style w:type="paragraph" w:customStyle="1" w:styleId="ListParagraphh1">
    <w:name w:val="List Paragraph h1"/>
    <w:aliases w:val="SWA heading 1"/>
    <w:basedOn w:val="SWAHeading1"/>
    <w:next w:val="ListParagraphbodycopy"/>
    <w:link w:val="ListParagraphh1Char"/>
    <w:qFormat/>
    <w:rsid w:val="00B112FF"/>
    <w:pPr>
      <w:numPr>
        <w:ilvl w:val="0"/>
        <w:numId w:val="0"/>
      </w:numPr>
    </w:pPr>
  </w:style>
  <w:style w:type="paragraph" w:customStyle="1" w:styleId="ListParagraphbodycopy">
    <w:name w:val="List Paragraph body copy"/>
    <w:basedOn w:val="SWA1stHeading"/>
    <w:link w:val="ListParagraphbodycopyChar"/>
    <w:qFormat/>
    <w:rsid w:val="001649F7"/>
    <w:pPr>
      <w:numPr>
        <w:ilvl w:val="1"/>
        <w:numId w:val="7"/>
      </w:numPr>
      <w:contextualSpacing w:val="0"/>
    </w:pPr>
  </w:style>
  <w:style w:type="character" w:customStyle="1" w:styleId="SWA1stHeadingChar">
    <w:name w:val="SWA 1st Heading Char"/>
    <w:basedOn w:val="DefaultParagraphFont"/>
    <w:link w:val="SWA1stHeading"/>
    <w:rsid w:val="00EC267D"/>
    <w:rPr>
      <w:rFonts w:ascii="Arial" w:hAnsi="Arial"/>
      <w:sz w:val="20"/>
      <w:szCs w:val="24"/>
    </w:rPr>
  </w:style>
  <w:style w:type="character" w:customStyle="1" w:styleId="ListParagraphh1Char">
    <w:name w:val="List Paragraph h1 Char"/>
    <w:aliases w:val="SWA heading 1 Char"/>
    <w:basedOn w:val="SWA1stHeadingChar"/>
    <w:link w:val="ListParagraphh1"/>
    <w:rsid w:val="00B112FF"/>
    <w:rPr>
      <w:rFonts w:asciiTheme="majorHAnsi" w:hAnsiTheme="majorHAnsi" w:cs="Arial"/>
      <w:b/>
      <w:bCs/>
      <w:sz w:val="40"/>
      <w:szCs w:val="40"/>
    </w:rPr>
  </w:style>
  <w:style w:type="character" w:customStyle="1" w:styleId="ListParagraphbodycopyChar">
    <w:name w:val="List Paragraph body copy Char"/>
    <w:basedOn w:val="ListParagraphh1Char"/>
    <w:link w:val="ListParagraphbodycopy"/>
    <w:rsid w:val="001649F7"/>
    <w:rPr>
      <w:rFonts w:ascii="Arial" w:hAnsi="Arial" w:cs="Arial"/>
      <w:b w:val="0"/>
      <w:bCs w:val="0"/>
      <w:sz w:val="40"/>
      <w:szCs w:val="24"/>
    </w:rPr>
  </w:style>
  <w:style w:type="paragraph" w:customStyle="1" w:styleId="SWAHeading3">
    <w:name w:val="SWA Heading 3"/>
    <w:next w:val="Paragraph"/>
    <w:qFormat/>
    <w:rsid w:val="0051787D"/>
    <w:pPr>
      <w:spacing w:before="240" w:after="120"/>
      <w:outlineLvl w:val="2"/>
    </w:pPr>
    <w:rPr>
      <w:rFonts w:cs="Arial"/>
      <w:color w:val="2B0A99" w:themeColor="text2"/>
      <w:sz w:val="28"/>
      <w:szCs w:val="32"/>
    </w:rPr>
  </w:style>
  <w:style w:type="paragraph" w:customStyle="1" w:styleId="SWAHeading4">
    <w:name w:val="SWA Heading 4"/>
    <w:qFormat/>
    <w:rsid w:val="004420D1"/>
    <w:pPr>
      <w:spacing w:before="240"/>
      <w:outlineLvl w:val="3"/>
    </w:pPr>
    <w:rPr>
      <w:rFonts w:eastAsiaTheme="majorEastAsia" w:cs="Arial"/>
      <w:b/>
      <w:bCs/>
      <w:iCs/>
      <w:sz w:val="24"/>
      <w:szCs w:val="28"/>
    </w:rPr>
  </w:style>
  <w:style w:type="paragraph" w:customStyle="1" w:styleId="SWAHeading5">
    <w:name w:val="SWA Heading 5"/>
    <w:next w:val="Paragraph"/>
    <w:qFormat/>
    <w:rsid w:val="0051787D"/>
    <w:pPr>
      <w:spacing w:before="240" w:line="264" w:lineRule="auto"/>
      <w:outlineLvl w:val="4"/>
    </w:pPr>
    <w:rPr>
      <w:rFonts w:eastAsiaTheme="majorEastAsia" w:cs="Arial"/>
      <w:b/>
      <w:bCs/>
      <w:color w:val="7F7F7F" w:themeColor="text1" w:themeTint="80"/>
      <w:sz w:val="24"/>
    </w:rPr>
  </w:style>
  <w:style w:type="character" w:styleId="PlaceholderText">
    <w:name w:val="Placeholder Text"/>
    <w:basedOn w:val="DefaultParagraphFont"/>
    <w:uiPriority w:val="99"/>
    <w:semiHidden/>
    <w:rsid w:val="00E36081"/>
    <w:rPr>
      <w:color w:val="666666"/>
    </w:rPr>
  </w:style>
  <w:style w:type="table" w:customStyle="1" w:styleId="Style1">
    <w:name w:val="Style1"/>
    <w:basedOn w:val="TableNormal"/>
    <w:uiPriority w:val="99"/>
    <w:rsid w:val="00711F77"/>
    <w:pPr>
      <w:spacing w:after="0" w:line="240" w:lineRule="auto"/>
    </w:pPr>
    <w:rPr>
      <w:rFonts w:ascii="Times New Roman" w:eastAsia="Times New Roman" w:hAnsi="Times New Roman" w:cs="Times New Roman"/>
      <w:sz w:val="20"/>
      <w:szCs w:val="20"/>
      <w:lang w:val="en-GB" w:eastAsia="ja-JP"/>
    </w:rPr>
    <w:tblPr>
      <w:tblBorders>
        <w:left w:val="single" w:sz="24" w:space="0" w:color="EB9C3A" w:themeColor="accent2"/>
      </w:tblBorders>
    </w:tblPr>
    <w:tcPr>
      <w:shd w:val="clear" w:color="auto" w:fill="FBEBD7" w:themeFill="accent2" w:themeFillTint="33"/>
    </w:tcPr>
  </w:style>
  <w:style w:type="table" w:customStyle="1" w:styleId="Style2">
    <w:name w:val="Style2"/>
    <w:basedOn w:val="TableNormal"/>
    <w:uiPriority w:val="99"/>
    <w:rsid w:val="00711F77"/>
    <w:pPr>
      <w:spacing w:after="0" w:line="240" w:lineRule="auto"/>
    </w:pPr>
    <w:tblPr>
      <w:tblBorders>
        <w:left w:val="single" w:sz="24" w:space="0" w:color="EB9C3A" w:themeColor="accent2"/>
      </w:tblBorders>
      <w:tblCellMar>
        <w:left w:w="198" w:type="dxa"/>
      </w:tblCellMar>
    </w:tblPr>
    <w:tcPr>
      <w:shd w:val="clear" w:color="auto" w:fill="FBEBD7" w:themeFill="accent2" w:themeFillTint="33"/>
    </w:tcPr>
  </w:style>
  <w:style w:type="character" w:customStyle="1" w:styleId="ParagraphChar">
    <w:name w:val="Paragraph Char"/>
    <w:basedOn w:val="DefaultParagraphFont"/>
    <w:link w:val="Paragraph"/>
    <w:rsid w:val="002309E3"/>
    <w:rPr>
      <w:rFonts w:eastAsia="Times New Roman"/>
      <w:szCs w:val="24"/>
      <w:lang w:eastAsia="en-AU"/>
    </w:rPr>
  </w:style>
  <w:style w:type="paragraph" w:customStyle="1" w:styleId="Harmonisationboxedblue">
    <w:name w:val="Harmonisation boxed (blue)"/>
    <w:basedOn w:val="Boxedshaded"/>
    <w:qFormat/>
    <w:rsid w:val="005E02C9"/>
    <w:pPr>
      <w:pBdr>
        <w:top w:val="single" w:sz="8" w:space="10" w:color="DAE3F8" w:themeColor="accent1" w:themeTint="33"/>
        <w:left w:val="single" w:sz="8" w:space="10" w:color="DAE3F8" w:themeColor="accent1" w:themeTint="33"/>
        <w:bottom w:val="single" w:sz="8" w:space="10" w:color="DAE3F8" w:themeColor="accent1" w:themeTint="33"/>
        <w:right w:val="single" w:sz="8" w:space="10" w:color="DAE3F8" w:themeColor="accent1" w:themeTint="33"/>
      </w:pBdr>
      <w:shd w:val="clear" w:color="auto" w:fill="DAE3F8" w:themeFill="accent1" w:themeFillTint="33"/>
      <w:spacing w:before="120"/>
      <w:ind w:left="709" w:hanging="425"/>
    </w:pPr>
  </w:style>
  <w:style w:type="paragraph" w:customStyle="1" w:styleId="WHSframeworkboxedpurple">
    <w:name w:val="WHS framework boxed (purple)"/>
    <w:basedOn w:val="Boxedshaded"/>
    <w:qFormat/>
    <w:rsid w:val="00D95E34"/>
    <w:pPr>
      <w:pBdr>
        <w:top w:val="single" w:sz="8" w:space="10" w:color="E1D8FC"/>
        <w:left w:val="single" w:sz="8" w:space="10" w:color="E1D8FC"/>
        <w:bottom w:val="single" w:sz="8" w:space="10" w:color="E1D8FC"/>
        <w:right w:val="single" w:sz="8" w:space="10" w:color="E1D8FC"/>
      </w:pBdr>
      <w:shd w:val="clear" w:color="auto" w:fill="E1D8FC"/>
      <w:spacing w:before="120"/>
      <w:ind w:left="709" w:hanging="425"/>
    </w:pPr>
  </w:style>
  <w:style w:type="paragraph" w:customStyle="1" w:styleId="sublistharmonisationboxblue">
    <w:name w:val="sublist harmonisation box (blue)"/>
    <w:basedOn w:val="Harmonisationboxedblue"/>
    <w:qFormat/>
    <w:rsid w:val="005E02C9"/>
    <w:pPr>
      <w:tabs>
        <w:tab w:val="left" w:pos="1276"/>
      </w:tabs>
      <w:spacing w:before="40" w:after="40"/>
      <w:ind w:left="284" w:firstLine="567"/>
    </w:pPr>
  </w:style>
  <w:style w:type="paragraph" w:customStyle="1" w:styleId="sublistwhsframeworkboxedpurple">
    <w:name w:val="sublist whs framework boxed (purple)"/>
    <w:basedOn w:val="WHSframeworkboxedpurple"/>
    <w:qFormat/>
    <w:rsid w:val="00D95E34"/>
    <w:pPr>
      <w:tabs>
        <w:tab w:val="left" w:pos="1276"/>
      </w:tabs>
      <w:spacing w:before="40" w:after="40"/>
      <w:ind w:left="284" w:firstLine="567"/>
    </w:pPr>
  </w:style>
  <w:style w:type="paragraph" w:customStyle="1" w:styleId="WHSframeworkboxheader">
    <w:name w:val="WHS framework box header"/>
    <w:basedOn w:val="WHSframeworkboxedpurple"/>
    <w:qFormat/>
    <w:rsid w:val="00D95E34"/>
    <w:rPr>
      <w:b/>
      <w:bCs/>
    </w:rPr>
  </w:style>
  <w:style w:type="table" w:customStyle="1" w:styleId="Style3">
    <w:name w:val="Style3"/>
    <w:basedOn w:val="TableNormal"/>
    <w:uiPriority w:val="99"/>
    <w:rsid w:val="001579F9"/>
    <w:pPr>
      <w:spacing w:after="0" w:line="240" w:lineRule="auto"/>
    </w:pPr>
    <w:tblPr>
      <w:tblBorders>
        <w:insideH w:val="single" w:sz="4" w:space="0" w:color="4877E0" w:themeColor="accent1"/>
      </w:tblBorders>
      <w:tblCellMar>
        <w:top w:w="85" w:type="dxa"/>
        <w:left w:w="142" w:type="dxa"/>
        <w:bottom w:w="85" w:type="dxa"/>
        <w:right w:w="142" w:type="dxa"/>
      </w:tblCellMar>
    </w:tblPr>
    <w:tcPr>
      <w:shd w:val="clear" w:color="auto" w:fill="DAE3F8" w:themeFill="accent1" w:themeFillTint="33"/>
    </w:tcPr>
    <w:tblStylePr w:type="firstRow">
      <w:rPr>
        <w:b/>
        <w:color w:val="FFFFFF" w:themeColor="background1"/>
      </w:rPr>
      <w:tblPr/>
      <w:tcPr>
        <w:shd w:val="clear" w:color="auto" w:fill="4877E0" w:themeFill="accent1"/>
      </w:tcPr>
    </w:tblStylePr>
  </w:style>
  <w:style w:type="table" w:customStyle="1" w:styleId="Style4">
    <w:name w:val="Style4"/>
    <w:basedOn w:val="TableNormal"/>
    <w:uiPriority w:val="99"/>
    <w:rsid w:val="002309E3"/>
    <w:pPr>
      <w:spacing w:after="0" w:line="216" w:lineRule="auto"/>
    </w:pPr>
    <w:tblPr>
      <w:tblBorders>
        <w:insideH w:val="single" w:sz="4" w:space="0" w:color="987CF6" w:themeColor="text2" w:themeTint="66"/>
      </w:tblBorders>
      <w:tblCellMar>
        <w:top w:w="85" w:type="dxa"/>
        <w:left w:w="142" w:type="dxa"/>
        <w:bottom w:w="85" w:type="dxa"/>
        <w:right w:w="142" w:type="dxa"/>
      </w:tblCellMar>
    </w:tblPr>
    <w:tcPr>
      <w:shd w:val="clear" w:color="auto" w:fill="E1D8FC"/>
    </w:tcPr>
    <w:tblStylePr w:type="firstRow">
      <w:pPr>
        <w:wordWrap/>
        <w:spacing w:beforeLines="0" w:before="0" w:beforeAutospacing="0" w:afterLines="0" w:after="0" w:afterAutospacing="0"/>
      </w:pPr>
      <w:rPr>
        <w:b/>
        <w:color w:val="FFFFFF" w:themeColor="background1"/>
        <w:sz w:val="22"/>
      </w:rPr>
      <w:tblPr/>
      <w:tcPr>
        <w:shd w:val="clear" w:color="auto" w:fill="987CF6" w:themeFill="text2" w:themeFillTint="66"/>
      </w:tcPr>
    </w:tblStylePr>
  </w:style>
  <w:style w:type="table" w:customStyle="1" w:styleId="Style5">
    <w:name w:val="Style5"/>
    <w:basedOn w:val="TableNormal"/>
    <w:uiPriority w:val="99"/>
    <w:rsid w:val="001579F9"/>
    <w:pPr>
      <w:spacing w:after="0" w:line="240" w:lineRule="auto"/>
    </w:pPr>
    <w:tblPr>
      <w:tblBorders>
        <w:insideH w:val="single" w:sz="4" w:space="0" w:color="EB9C3A" w:themeColor="accent2"/>
      </w:tblBorders>
      <w:tblCellMar>
        <w:top w:w="85" w:type="dxa"/>
        <w:left w:w="142" w:type="dxa"/>
        <w:bottom w:w="85" w:type="dxa"/>
        <w:right w:w="142" w:type="dxa"/>
      </w:tblCellMar>
    </w:tblPr>
    <w:tcPr>
      <w:shd w:val="clear" w:color="auto" w:fill="FBEBD7" w:themeFill="accent2" w:themeFillTint="33"/>
    </w:tcPr>
    <w:tblStylePr w:type="firstRow">
      <w:rPr>
        <w:b/>
      </w:rPr>
      <w:tblPr/>
      <w:tcPr>
        <w:shd w:val="clear" w:color="auto" w:fill="EB9C3A" w:themeFill="accent2"/>
      </w:tcPr>
    </w:tblStylePr>
  </w:style>
  <w:style w:type="table" w:customStyle="1" w:styleId="Style6">
    <w:name w:val="Style6"/>
    <w:basedOn w:val="TableNormal"/>
    <w:uiPriority w:val="99"/>
    <w:rsid w:val="001579F9"/>
    <w:pPr>
      <w:spacing w:after="0" w:line="240" w:lineRule="auto"/>
    </w:pPr>
    <w:tblPr>
      <w:tblBorders>
        <w:insideH w:val="single" w:sz="4" w:space="0" w:color="3861EA" w:themeColor="accent5" w:themeTint="80"/>
      </w:tblBorders>
      <w:tblCellMar>
        <w:top w:w="85" w:type="dxa"/>
        <w:left w:w="142" w:type="dxa"/>
        <w:bottom w:w="85" w:type="dxa"/>
        <w:right w:w="142" w:type="dxa"/>
      </w:tblCellMar>
    </w:tblPr>
    <w:tcPr>
      <w:shd w:val="clear" w:color="auto" w:fill="9BB0F4" w:themeFill="accent5" w:themeFillTint="40"/>
    </w:tcPr>
    <w:tblStylePr w:type="firstRow">
      <w:rPr>
        <w:b/>
        <w:color w:val="FFFFFF" w:themeColor="background1"/>
      </w:rPr>
      <w:tblPr/>
      <w:tcPr>
        <w:shd w:val="clear" w:color="auto" w:fill="3861EA" w:themeFill="accent5" w:themeFillTint="80"/>
      </w:tcPr>
    </w:tblStylePr>
  </w:style>
  <w:style w:type="table" w:customStyle="1" w:styleId="Style7">
    <w:name w:val="Style7"/>
    <w:basedOn w:val="TableNormal"/>
    <w:uiPriority w:val="99"/>
    <w:rsid w:val="001579F9"/>
    <w:pPr>
      <w:spacing w:after="0" w:line="240" w:lineRule="auto"/>
    </w:pPr>
    <w:rPr>
      <w:color w:val="FFFFFF" w:themeColor="background1"/>
    </w:rPr>
    <w:tblPr>
      <w:tblBorders>
        <w:insideH w:val="single" w:sz="4" w:space="0" w:color="2B0A99" w:themeColor="text2"/>
      </w:tblBorders>
      <w:tblCellMar>
        <w:top w:w="85" w:type="dxa"/>
        <w:left w:w="142" w:type="dxa"/>
        <w:bottom w:w="85" w:type="dxa"/>
        <w:right w:w="142" w:type="dxa"/>
      </w:tblCellMar>
    </w:tblPr>
    <w:tcPr>
      <w:shd w:val="clear" w:color="auto" w:fill="643BF2" w:themeFill="text2" w:themeFillTint="99"/>
    </w:tcPr>
    <w:tblStylePr w:type="firstRow">
      <w:rPr>
        <w:b/>
      </w:rPr>
      <w:tblPr/>
      <w:tcPr>
        <w:shd w:val="clear" w:color="auto" w:fill="2B0A99" w:themeFill="text2"/>
      </w:tcPr>
    </w:tblStylePr>
  </w:style>
  <w:style w:type="table" w:customStyle="1" w:styleId="Style8">
    <w:name w:val="Style8"/>
    <w:basedOn w:val="TableNormal"/>
    <w:uiPriority w:val="99"/>
    <w:rsid w:val="001579F9"/>
    <w:pPr>
      <w:spacing w:after="0" w:line="240" w:lineRule="auto"/>
    </w:pPr>
    <w:tblPr>
      <w:tblBorders>
        <w:insideH w:val="single" w:sz="4" w:space="0" w:color="F7677E" w:themeColor="accent3" w:themeTint="99"/>
      </w:tblBorders>
      <w:tblCellMar>
        <w:top w:w="85" w:type="dxa"/>
        <w:left w:w="142" w:type="dxa"/>
        <w:bottom w:w="85" w:type="dxa"/>
        <w:right w:w="142" w:type="dxa"/>
      </w:tblCellMar>
    </w:tblPr>
    <w:tcPr>
      <w:shd w:val="clear" w:color="auto" w:fill="FCCCD3" w:themeFill="accent3" w:themeFillTint="33"/>
    </w:tcPr>
    <w:tblStylePr w:type="firstRow">
      <w:rPr>
        <w:b/>
      </w:rPr>
      <w:tblPr/>
      <w:tcPr>
        <w:shd w:val="clear" w:color="auto" w:fill="F7677E" w:themeFill="accent3" w:themeFillTint="99"/>
      </w:tcPr>
    </w:tblStylePr>
  </w:style>
  <w:style w:type="paragraph" w:customStyle="1" w:styleId="Listnumbertables">
    <w:name w:val="List number (tables)"/>
    <w:basedOn w:val="ListNumber"/>
    <w:qFormat/>
    <w:rsid w:val="002309E3"/>
    <w:pPr>
      <w:numPr>
        <w:numId w:val="11"/>
      </w:numPr>
      <w:spacing w:after="80"/>
    </w:pPr>
    <w:rPr>
      <w:sz w:val="20"/>
    </w:rPr>
  </w:style>
  <w:style w:type="paragraph" w:customStyle="1" w:styleId="Listnumber2tables">
    <w:name w:val="List number 2 (tables)"/>
    <w:basedOn w:val="ListNumber2"/>
    <w:qFormat/>
    <w:rsid w:val="002309E3"/>
    <w:rPr>
      <w:sz w:val="20"/>
      <w:szCs w:val="22"/>
    </w:rPr>
  </w:style>
  <w:style w:type="paragraph" w:styleId="FootnoteText">
    <w:name w:val="footnote text"/>
    <w:aliases w:val="fn,FT,ft,SD Footnote Text,Footnote Text AG"/>
    <w:basedOn w:val="Normal"/>
    <w:link w:val="FootnoteTextChar"/>
    <w:uiPriority w:val="99"/>
    <w:unhideWhenUsed/>
    <w:qFormat/>
    <w:rsid w:val="002309E3"/>
    <w:pPr>
      <w:spacing w:after="0" w:line="240" w:lineRule="auto"/>
    </w:pPr>
    <w:rPr>
      <w:rFonts w:asciiTheme="minorHAnsi" w:hAnsiTheme="minorHAnsi"/>
      <w:sz w:val="18"/>
      <w:szCs w:val="20"/>
    </w:rPr>
  </w:style>
  <w:style w:type="character" w:customStyle="1" w:styleId="FootnoteTextChar">
    <w:name w:val="Footnote Text Char"/>
    <w:aliases w:val="fn Char,FT Char,ft Char,SD Footnote Text Char,Footnote Text AG Char"/>
    <w:basedOn w:val="DefaultParagraphFont"/>
    <w:link w:val="FootnoteText"/>
    <w:uiPriority w:val="99"/>
    <w:rsid w:val="002309E3"/>
    <w:rPr>
      <w:sz w:val="18"/>
      <w:szCs w:val="20"/>
    </w:rPr>
  </w:style>
  <w:style w:type="character" w:styleId="FootnoteReference">
    <w:name w:val="footnote reference"/>
    <w:aliases w:val="NO,fr,(NECG) Footnote Reference,Ref,de nota al pie"/>
    <w:basedOn w:val="DefaultParagraphFont"/>
    <w:uiPriority w:val="99"/>
    <w:unhideWhenUsed/>
    <w:rsid w:val="002309E3"/>
    <w:rPr>
      <w:vertAlign w:val="superscript"/>
    </w:rPr>
  </w:style>
  <w:style w:type="character" w:styleId="CommentReference">
    <w:name w:val="annotation reference"/>
    <w:basedOn w:val="DefaultParagraphFont"/>
    <w:uiPriority w:val="99"/>
    <w:semiHidden/>
    <w:unhideWhenUsed/>
    <w:rsid w:val="002309E3"/>
    <w:rPr>
      <w:sz w:val="16"/>
      <w:szCs w:val="16"/>
    </w:rPr>
  </w:style>
  <w:style w:type="paragraph" w:styleId="CommentText">
    <w:name w:val="annotation text"/>
    <w:basedOn w:val="Normal"/>
    <w:link w:val="CommentTextChar"/>
    <w:uiPriority w:val="99"/>
    <w:unhideWhenUsed/>
    <w:rsid w:val="002309E3"/>
    <w:pPr>
      <w:spacing w:line="240" w:lineRule="auto"/>
    </w:pPr>
    <w:rPr>
      <w:sz w:val="20"/>
      <w:szCs w:val="20"/>
    </w:rPr>
  </w:style>
  <w:style w:type="character" w:customStyle="1" w:styleId="CommentTextChar">
    <w:name w:val="Comment Text Char"/>
    <w:basedOn w:val="DefaultParagraphFont"/>
    <w:link w:val="CommentText"/>
    <w:uiPriority w:val="99"/>
    <w:rsid w:val="002309E3"/>
    <w:rPr>
      <w:rFonts w:ascii="Arial" w:hAnsi="Arial"/>
      <w:sz w:val="20"/>
      <w:szCs w:val="20"/>
    </w:rPr>
  </w:style>
  <w:style w:type="paragraph" w:customStyle="1" w:styleId="Tableheader">
    <w:name w:val="Table header"/>
    <w:basedOn w:val="Paragraph"/>
    <w:qFormat/>
    <w:rsid w:val="00B55277"/>
    <w:pPr>
      <w:spacing w:before="0" w:after="0"/>
    </w:pPr>
    <w:rPr>
      <w:rFonts w:asciiTheme="majorHAnsi" w:hAnsiTheme="majorHAnsi"/>
    </w:rPr>
  </w:style>
  <w:style w:type="paragraph" w:customStyle="1" w:styleId="Paragraphtable">
    <w:name w:val="Paragraph (table)"/>
    <w:basedOn w:val="Paragraph"/>
    <w:qFormat/>
    <w:rsid w:val="00D1162F"/>
    <w:pPr>
      <w:spacing w:before="0" w:after="40"/>
    </w:pPr>
    <w:rPr>
      <w:bCs/>
      <w:sz w:val="20"/>
      <w:szCs w:val="22"/>
    </w:rPr>
  </w:style>
  <w:style w:type="paragraph" w:customStyle="1" w:styleId="Boxedshadedbullets">
    <w:name w:val="Boxed/shaded bullets"/>
    <w:basedOn w:val="Boxedshaded"/>
    <w:qFormat/>
    <w:rsid w:val="00BF204D"/>
    <w:pPr>
      <w:numPr>
        <w:numId w:val="9"/>
      </w:numPr>
      <w:ind w:left="567" w:hanging="283"/>
    </w:pPr>
  </w:style>
  <w:style w:type="paragraph" w:customStyle="1" w:styleId="Paragraphhangingindent">
    <w:name w:val="Paragraph (hanging indent)"/>
    <w:basedOn w:val="Paragraph"/>
    <w:qFormat/>
    <w:rsid w:val="0051787D"/>
    <w:pPr>
      <w:ind w:left="567" w:hanging="578"/>
    </w:pPr>
    <w:rPr>
      <w:lang w:eastAsia="en-US"/>
    </w:rPr>
  </w:style>
  <w:style w:type="paragraph" w:customStyle="1" w:styleId="Appendixheading2">
    <w:name w:val="Appendix heading 2"/>
    <w:basedOn w:val="SWAHeading2"/>
    <w:next w:val="Paragraph"/>
    <w:qFormat/>
    <w:rsid w:val="00B55277"/>
    <w:pPr>
      <w:numPr>
        <w:ilvl w:val="0"/>
        <w:numId w:val="0"/>
      </w:numPr>
    </w:pPr>
  </w:style>
  <w:style w:type="paragraph" w:customStyle="1" w:styleId="Listnumber3tables">
    <w:name w:val="List number 3 (tables)"/>
    <w:basedOn w:val="Listnumber2tables"/>
    <w:qFormat/>
    <w:rsid w:val="00B55277"/>
    <w:pPr>
      <w:numPr>
        <w:numId w:val="14"/>
      </w:numPr>
    </w:pPr>
  </w:style>
  <w:style w:type="table" w:customStyle="1" w:styleId="Style9">
    <w:name w:val="Style9"/>
    <w:basedOn w:val="TableNormal"/>
    <w:uiPriority w:val="99"/>
    <w:rsid w:val="00461E87"/>
    <w:pPr>
      <w:spacing w:after="0" w:line="240" w:lineRule="auto"/>
    </w:pPr>
    <w:tblPr>
      <w:tblBorders>
        <w:insideH w:val="single" w:sz="4" w:space="0" w:color="D9D9D9" w:themeColor="background1" w:themeShade="D9"/>
      </w:tblBorders>
      <w:tblCellMar>
        <w:top w:w="113" w:type="dxa"/>
        <w:left w:w="142" w:type="dxa"/>
        <w:bottom w:w="113" w:type="dxa"/>
        <w:right w:w="142" w:type="dxa"/>
      </w:tblCellMar>
    </w:tblPr>
    <w:tcPr>
      <w:shd w:val="clear" w:color="auto" w:fill="auto"/>
    </w:tcPr>
  </w:style>
  <w:style w:type="table" w:styleId="PlainTable2">
    <w:name w:val="Plain Table 2"/>
    <w:basedOn w:val="TableNormal"/>
    <w:uiPriority w:val="42"/>
    <w:rsid w:val="00222911"/>
    <w:pPr>
      <w:spacing w:after="0" w:line="240" w:lineRule="auto"/>
    </w:pPr>
    <w:rPr>
      <w:rFonts w:ascii="Times New Roman" w:eastAsia="PMingLiU" w:hAnsi="Times New Roman" w:cs="Times New Roman"/>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ommentSubject">
    <w:name w:val="annotation subject"/>
    <w:basedOn w:val="CommentText"/>
    <w:next w:val="CommentText"/>
    <w:link w:val="CommentSubjectChar"/>
    <w:uiPriority w:val="99"/>
    <w:semiHidden/>
    <w:unhideWhenUsed/>
    <w:rsid w:val="00866FDC"/>
    <w:rPr>
      <w:b/>
      <w:bCs/>
    </w:rPr>
  </w:style>
  <w:style w:type="character" w:customStyle="1" w:styleId="CommentSubjectChar">
    <w:name w:val="Comment Subject Char"/>
    <w:basedOn w:val="CommentTextChar"/>
    <w:link w:val="CommentSubject"/>
    <w:uiPriority w:val="99"/>
    <w:semiHidden/>
    <w:rsid w:val="00866FDC"/>
    <w:rPr>
      <w:rFonts w:ascii="Arial" w:hAnsi="Arial"/>
      <w:b/>
      <w:bCs/>
      <w:sz w:val="20"/>
      <w:szCs w:val="20"/>
    </w:rPr>
  </w:style>
  <w:style w:type="character" w:styleId="Mention">
    <w:name w:val="Mention"/>
    <w:basedOn w:val="DefaultParagraphFont"/>
    <w:uiPriority w:val="99"/>
    <w:unhideWhenUsed/>
    <w:rsid w:val="00866FDC"/>
    <w:rPr>
      <w:color w:val="2B579A"/>
      <w:shd w:val="clear" w:color="auto" w:fill="E1DFDD"/>
    </w:rPr>
  </w:style>
  <w:style w:type="character" w:styleId="FollowedHyperlink">
    <w:name w:val="FollowedHyperlink"/>
    <w:basedOn w:val="DefaultParagraphFont"/>
    <w:uiPriority w:val="99"/>
    <w:semiHidden/>
    <w:unhideWhenUsed/>
    <w:rsid w:val="006073D8"/>
    <w:rPr>
      <w:color w:val="E80C30" w:themeColor="followedHyperlink"/>
      <w:u w:val="single"/>
    </w:rPr>
  </w:style>
  <w:style w:type="character" w:styleId="UnresolvedMention">
    <w:name w:val="Unresolved Mention"/>
    <w:basedOn w:val="DefaultParagraphFont"/>
    <w:uiPriority w:val="99"/>
    <w:semiHidden/>
    <w:unhideWhenUsed/>
    <w:rsid w:val="00E07778"/>
    <w:rPr>
      <w:color w:val="605E5C"/>
      <w:shd w:val="clear" w:color="auto" w:fill="E1DFDD"/>
    </w:rPr>
  </w:style>
  <w:style w:type="table" w:customStyle="1" w:styleId="TableGrid1">
    <w:name w:val="Table Grid1"/>
    <w:basedOn w:val="TableNormal"/>
    <w:next w:val="TableGrid"/>
    <w:uiPriority w:val="39"/>
    <w:rsid w:val="008532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ingSWA">
    <w:name w:val="Numbering SWA"/>
    <w:basedOn w:val="Normal"/>
    <w:qFormat/>
    <w:rsid w:val="004E1D13"/>
    <w:pPr>
      <w:numPr>
        <w:numId w:val="22"/>
      </w:numPr>
      <w:spacing w:line="240" w:lineRule="exact"/>
      <w:ind w:left="0" w:firstLine="0"/>
      <w:contextualSpacing w:val="0"/>
    </w:pPr>
    <w:rPr>
      <w:rFonts w:cs="Arial"/>
      <w:color w:val="404040"/>
      <w:szCs w:val="20"/>
    </w:rPr>
  </w:style>
  <w:style w:type="paragraph" w:styleId="Revision">
    <w:name w:val="Revision"/>
    <w:hidden/>
    <w:uiPriority w:val="99"/>
    <w:semiHidden/>
    <w:rsid w:val="00AF3355"/>
    <w:pPr>
      <w:spacing w:after="0" w:line="240" w:lineRule="auto"/>
    </w:pPr>
    <w:rPr>
      <w:rFonts w:ascii="Arial" w:hAnsi="Arial"/>
      <w:szCs w:val="24"/>
    </w:rPr>
  </w:style>
  <w:style w:type="table" w:customStyle="1" w:styleId="TableGrid2">
    <w:name w:val="Table Grid2"/>
    <w:basedOn w:val="TableNormal"/>
    <w:next w:val="TableGrid"/>
    <w:uiPriority w:val="39"/>
    <w:rsid w:val="00F546AE"/>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9F07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D55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3377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F82B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476A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3F3C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6351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8020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5E1A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IntenseReference">
    <w:name w:val="Intense Reference"/>
    <w:basedOn w:val="DefaultParagraphFont"/>
    <w:uiPriority w:val="32"/>
    <w:qFormat/>
    <w:rsid w:val="005E1A16"/>
    <w:rPr>
      <w:b/>
      <w:bCs/>
      <w:smallCaps/>
      <w:color w:val="2050BD" w:themeColor="accent1" w:themeShade="BF"/>
      <w:spacing w:val="5"/>
    </w:rPr>
  </w:style>
  <w:style w:type="paragraph" w:customStyle="1" w:styleId="NumberLevel1">
    <w:name w:val="Number Level 1"/>
    <w:aliases w:val="N1,hea Level 1"/>
    <w:basedOn w:val="Normal"/>
    <w:link w:val="NumberLevel1Char"/>
    <w:qFormat/>
    <w:rsid w:val="005E1A16"/>
    <w:pPr>
      <w:numPr>
        <w:numId w:val="30"/>
      </w:numPr>
      <w:tabs>
        <w:tab w:val="num" w:pos="360"/>
      </w:tabs>
      <w:spacing w:before="140" w:after="140" w:line="280" w:lineRule="atLeast"/>
      <w:contextualSpacing w:val="0"/>
    </w:pPr>
    <w:rPr>
      <w:rFonts w:eastAsia="Times New Roman" w:cs="Arial"/>
      <w:szCs w:val="22"/>
      <w:lang w:eastAsia="en-AU"/>
    </w:rPr>
  </w:style>
  <w:style w:type="paragraph" w:customStyle="1" w:styleId="NumberLevel2">
    <w:name w:val="Number Level 2"/>
    <w:aliases w:val="N2"/>
    <w:basedOn w:val="Normal"/>
    <w:qFormat/>
    <w:rsid w:val="005E1A16"/>
    <w:pPr>
      <w:numPr>
        <w:ilvl w:val="1"/>
        <w:numId w:val="30"/>
      </w:numPr>
      <w:tabs>
        <w:tab w:val="num" w:pos="360"/>
      </w:tabs>
      <w:spacing w:before="140" w:after="140" w:line="280" w:lineRule="atLeast"/>
      <w:contextualSpacing w:val="0"/>
    </w:pPr>
    <w:rPr>
      <w:rFonts w:eastAsia="Times New Roman" w:cs="Arial"/>
      <w:szCs w:val="22"/>
      <w:lang w:eastAsia="en-AU"/>
    </w:rPr>
  </w:style>
  <w:style w:type="paragraph" w:customStyle="1" w:styleId="NumberLevel3">
    <w:name w:val="Number Level 3"/>
    <w:aliases w:val="N3"/>
    <w:basedOn w:val="Normal"/>
    <w:qFormat/>
    <w:rsid w:val="005E1A16"/>
    <w:pPr>
      <w:numPr>
        <w:ilvl w:val="2"/>
        <w:numId w:val="30"/>
      </w:numPr>
      <w:tabs>
        <w:tab w:val="num" w:pos="360"/>
      </w:tabs>
      <w:spacing w:before="140" w:after="140" w:line="280" w:lineRule="atLeast"/>
      <w:contextualSpacing w:val="0"/>
    </w:pPr>
    <w:rPr>
      <w:rFonts w:eastAsia="Times New Roman" w:cs="Arial"/>
      <w:szCs w:val="22"/>
      <w:lang w:eastAsia="en-AU"/>
    </w:rPr>
  </w:style>
  <w:style w:type="paragraph" w:customStyle="1" w:styleId="NumberLevel4">
    <w:name w:val="Number Level 4"/>
    <w:aliases w:val="N4"/>
    <w:basedOn w:val="Normal"/>
    <w:qFormat/>
    <w:rsid w:val="005E1A16"/>
    <w:pPr>
      <w:numPr>
        <w:ilvl w:val="3"/>
        <w:numId w:val="30"/>
      </w:numPr>
      <w:spacing w:after="140" w:line="280" w:lineRule="atLeast"/>
      <w:contextualSpacing w:val="0"/>
    </w:pPr>
    <w:rPr>
      <w:rFonts w:eastAsia="Times New Roman" w:cs="Arial"/>
      <w:szCs w:val="22"/>
      <w:lang w:eastAsia="en-AU"/>
    </w:rPr>
  </w:style>
  <w:style w:type="paragraph" w:customStyle="1" w:styleId="NumberLevel5">
    <w:name w:val="Number Level 5"/>
    <w:aliases w:val="N5"/>
    <w:basedOn w:val="Normal"/>
    <w:semiHidden/>
    <w:rsid w:val="005E1A16"/>
    <w:pPr>
      <w:numPr>
        <w:ilvl w:val="4"/>
        <w:numId w:val="30"/>
      </w:numPr>
      <w:spacing w:after="140" w:line="280" w:lineRule="atLeast"/>
      <w:contextualSpacing w:val="0"/>
    </w:pPr>
    <w:rPr>
      <w:rFonts w:eastAsia="Times New Roman" w:cs="Arial"/>
      <w:szCs w:val="22"/>
      <w:lang w:eastAsia="en-AU"/>
    </w:rPr>
  </w:style>
  <w:style w:type="paragraph" w:customStyle="1" w:styleId="NumberLevel6">
    <w:name w:val="Number Level 6"/>
    <w:basedOn w:val="NumberLevel5"/>
    <w:semiHidden/>
    <w:rsid w:val="005E1A16"/>
    <w:pPr>
      <w:numPr>
        <w:ilvl w:val="5"/>
      </w:numPr>
      <w:tabs>
        <w:tab w:val="num" w:pos="360"/>
        <w:tab w:val="num" w:pos="709"/>
      </w:tabs>
    </w:pPr>
  </w:style>
  <w:style w:type="paragraph" w:customStyle="1" w:styleId="NumberLevel7">
    <w:name w:val="Number Level 7"/>
    <w:basedOn w:val="NumberLevel6"/>
    <w:semiHidden/>
    <w:rsid w:val="005E1A16"/>
    <w:pPr>
      <w:numPr>
        <w:ilvl w:val="6"/>
      </w:numPr>
      <w:tabs>
        <w:tab w:val="clear" w:pos="1418"/>
        <w:tab w:val="clear" w:pos="1843"/>
        <w:tab w:val="num" w:pos="360"/>
        <w:tab w:val="num" w:pos="709"/>
      </w:tabs>
    </w:pPr>
  </w:style>
  <w:style w:type="paragraph" w:customStyle="1" w:styleId="NumberLevel8">
    <w:name w:val="Number Level 8"/>
    <w:basedOn w:val="NumberLevel7"/>
    <w:semiHidden/>
    <w:rsid w:val="005E1A16"/>
    <w:pPr>
      <w:numPr>
        <w:ilvl w:val="7"/>
      </w:numPr>
      <w:tabs>
        <w:tab w:val="clear" w:pos="2410"/>
        <w:tab w:val="num" w:pos="360"/>
        <w:tab w:val="num" w:pos="709"/>
      </w:tabs>
    </w:pPr>
  </w:style>
  <w:style w:type="paragraph" w:customStyle="1" w:styleId="NumberLevel9">
    <w:name w:val="Number Level 9"/>
    <w:basedOn w:val="NumberLevel8"/>
    <w:semiHidden/>
    <w:rsid w:val="005E1A16"/>
    <w:pPr>
      <w:numPr>
        <w:ilvl w:val="8"/>
      </w:numPr>
      <w:tabs>
        <w:tab w:val="clear" w:pos="2835"/>
        <w:tab w:val="num" w:pos="360"/>
        <w:tab w:val="num" w:pos="709"/>
      </w:tabs>
    </w:pPr>
  </w:style>
  <w:style w:type="table" w:customStyle="1" w:styleId="TableGrid12">
    <w:name w:val="Table Grid12"/>
    <w:basedOn w:val="TableNormal"/>
    <w:next w:val="TableGrid"/>
    <w:uiPriority w:val="39"/>
    <w:rsid w:val="005E1A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TextAG1">
    <w:name w:val="Footnote Text AG1"/>
    <w:basedOn w:val="Normal"/>
    <w:next w:val="FootnoteText"/>
    <w:uiPriority w:val="99"/>
    <w:unhideWhenUsed/>
    <w:qFormat/>
    <w:rsid w:val="005E1A16"/>
    <w:pPr>
      <w:spacing w:after="0" w:line="240" w:lineRule="auto"/>
    </w:pPr>
    <w:rPr>
      <w:rFonts w:eastAsia="MS Mincho" w:cs="Arial"/>
      <w:sz w:val="20"/>
      <w:szCs w:val="20"/>
      <w:lang w:val="en-GB" w:eastAsia="ja-JP"/>
    </w:rPr>
  </w:style>
  <w:style w:type="character" w:customStyle="1" w:styleId="Hyperlink1">
    <w:name w:val="Hyperlink1"/>
    <w:basedOn w:val="DefaultParagraphFont"/>
    <w:uiPriority w:val="99"/>
    <w:unhideWhenUsed/>
    <w:rsid w:val="005E1A16"/>
    <w:rPr>
      <w:color w:val="467886"/>
      <w:u w:val="single"/>
    </w:rPr>
  </w:style>
  <w:style w:type="character" w:customStyle="1" w:styleId="NumberLevel1Char">
    <w:name w:val="Number Level 1 Char"/>
    <w:basedOn w:val="DefaultParagraphFont"/>
    <w:link w:val="NumberLevel1"/>
    <w:rsid w:val="005E1A16"/>
    <w:rPr>
      <w:rFonts w:ascii="Arial" w:eastAsia="Times New Roman" w:hAnsi="Arial" w:cs="Arial"/>
      <w:lang w:eastAsia="en-AU"/>
    </w:rPr>
  </w:style>
  <w:style w:type="paragraph" w:customStyle="1" w:styleId="ListBullet2tables">
    <w:name w:val="List Bullet 2 (tables)"/>
    <w:qFormat/>
    <w:rsid w:val="00BF204D"/>
    <w:pPr>
      <w:ind w:left="643" w:hanging="360"/>
    </w:pPr>
    <w:rPr>
      <w:rFonts w:cs="Courier New"/>
      <w:sz w:val="20"/>
      <w:szCs w:val="20"/>
    </w:rPr>
  </w:style>
  <w:style w:type="paragraph" w:customStyle="1" w:styleId="SWAh12ndline">
    <w:name w:val="SWA h1 2nd line"/>
    <w:basedOn w:val="SWAHeading1"/>
    <w:qFormat/>
    <w:rsid w:val="004420D1"/>
    <w:pPr>
      <w:numPr>
        <w:ilvl w:val="0"/>
        <w:numId w:val="0"/>
      </w:numPr>
      <w:spacing w:before="0"/>
      <w:ind w:left="567"/>
      <w:outlineLvl w:val="9"/>
    </w:pPr>
  </w:style>
  <w:style w:type="paragraph" w:styleId="PlainText">
    <w:name w:val="Plain Text"/>
    <w:basedOn w:val="Normal"/>
    <w:link w:val="PlainTextChar"/>
    <w:uiPriority w:val="99"/>
    <w:unhideWhenUsed/>
    <w:rsid w:val="00DC1320"/>
    <w:pPr>
      <w:spacing w:after="0" w:line="240" w:lineRule="auto"/>
      <w:contextualSpacing w:val="0"/>
    </w:pPr>
    <w:rPr>
      <w:rFonts w:asciiTheme="minorHAnsi" w:hAnsiTheme="minorHAnsi"/>
      <w:sz w:val="21"/>
      <w:szCs w:val="21"/>
    </w:rPr>
  </w:style>
  <w:style w:type="character" w:customStyle="1" w:styleId="PlainTextChar">
    <w:name w:val="Plain Text Char"/>
    <w:basedOn w:val="DefaultParagraphFont"/>
    <w:link w:val="PlainText"/>
    <w:uiPriority w:val="99"/>
    <w:rsid w:val="00DC1320"/>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3644621">
      <w:bodyDiv w:val="1"/>
      <w:marLeft w:val="0"/>
      <w:marRight w:val="0"/>
      <w:marTop w:val="0"/>
      <w:marBottom w:val="0"/>
      <w:divBdr>
        <w:top w:val="none" w:sz="0" w:space="0" w:color="auto"/>
        <w:left w:val="none" w:sz="0" w:space="0" w:color="auto"/>
        <w:bottom w:val="none" w:sz="0" w:space="0" w:color="auto"/>
        <w:right w:val="none" w:sz="0" w:space="0" w:color="auto"/>
      </w:divBdr>
      <w:divsChild>
        <w:div w:id="187987174">
          <w:marLeft w:val="0"/>
          <w:marRight w:val="0"/>
          <w:marTop w:val="0"/>
          <w:marBottom w:val="0"/>
          <w:divBdr>
            <w:top w:val="none" w:sz="0" w:space="0" w:color="auto"/>
            <w:left w:val="none" w:sz="0" w:space="0" w:color="auto"/>
            <w:bottom w:val="none" w:sz="0" w:space="0" w:color="auto"/>
            <w:right w:val="none" w:sz="0" w:space="0" w:color="auto"/>
          </w:divBdr>
          <w:divsChild>
            <w:div w:id="217056483">
              <w:marLeft w:val="0"/>
              <w:marRight w:val="0"/>
              <w:marTop w:val="0"/>
              <w:marBottom w:val="0"/>
              <w:divBdr>
                <w:top w:val="none" w:sz="0" w:space="0" w:color="auto"/>
                <w:left w:val="none" w:sz="0" w:space="0" w:color="auto"/>
                <w:bottom w:val="none" w:sz="0" w:space="0" w:color="auto"/>
                <w:right w:val="none" w:sz="0" w:space="0" w:color="auto"/>
              </w:divBdr>
            </w:div>
          </w:divsChild>
        </w:div>
        <w:div w:id="460459748">
          <w:marLeft w:val="0"/>
          <w:marRight w:val="0"/>
          <w:marTop w:val="0"/>
          <w:marBottom w:val="0"/>
          <w:divBdr>
            <w:top w:val="none" w:sz="0" w:space="0" w:color="auto"/>
            <w:left w:val="none" w:sz="0" w:space="0" w:color="auto"/>
            <w:bottom w:val="none" w:sz="0" w:space="0" w:color="auto"/>
            <w:right w:val="none" w:sz="0" w:space="0" w:color="auto"/>
          </w:divBdr>
          <w:divsChild>
            <w:div w:id="124321812">
              <w:marLeft w:val="0"/>
              <w:marRight w:val="0"/>
              <w:marTop w:val="0"/>
              <w:marBottom w:val="0"/>
              <w:divBdr>
                <w:top w:val="none" w:sz="0" w:space="0" w:color="auto"/>
                <w:left w:val="none" w:sz="0" w:space="0" w:color="auto"/>
                <w:bottom w:val="none" w:sz="0" w:space="0" w:color="auto"/>
                <w:right w:val="none" w:sz="0" w:space="0" w:color="auto"/>
              </w:divBdr>
            </w:div>
            <w:div w:id="195698239">
              <w:marLeft w:val="0"/>
              <w:marRight w:val="0"/>
              <w:marTop w:val="0"/>
              <w:marBottom w:val="0"/>
              <w:divBdr>
                <w:top w:val="none" w:sz="0" w:space="0" w:color="auto"/>
                <w:left w:val="none" w:sz="0" w:space="0" w:color="auto"/>
                <w:bottom w:val="none" w:sz="0" w:space="0" w:color="auto"/>
                <w:right w:val="none" w:sz="0" w:space="0" w:color="auto"/>
              </w:divBdr>
            </w:div>
            <w:div w:id="296227862">
              <w:marLeft w:val="0"/>
              <w:marRight w:val="0"/>
              <w:marTop w:val="0"/>
              <w:marBottom w:val="0"/>
              <w:divBdr>
                <w:top w:val="none" w:sz="0" w:space="0" w:color="auto"/>
                <w:left w:val="none" w:sz="0" w:space="0" w:color="auto"/>
                <w:bottom w:val="none" w:sz="0" w:space="0" w:color="auto"/>
                <w:right w:val="none" w:sz="0" w:space="0" w:color="auto"/>
              </w:divBdr>
            </w:div>
            <w:div w:id="601189270">
              <w:marLeft w:val="0"/>
              <w:marRight w:val="0"/>
              <w:marTop w:val="0"/>
              <w:marBottom w:val="0"/>
              <w:divBdr>
                <w:top w:val="none" w:sz="0" w:space="0" w:color="auto"/>
                <w:left w:val="none" w:sz="0" w:space="0" w:color="auto"/>
                <w:bottom w:val="none" w:sz="0" w:space="0" w:color="auto"/>
                <w:right w:val="none" w:sz="0" w:space="0" w:color="auto"/>
              </w:divBdr>
            </w:div>
            <w:div w:id="1144740122">
              <w:marLeft w:val="0"/>
              <w:marRight w:val="0"/>
              <w:marTop w:val="0"/>
              <w:marBottom w:val="0"/>
              <w:divBdr>
                <w:top w:val="none" w:sz="0" w:space="0" w:color="auto"/>
                <w:left w:val="none" w:sz="0" w:space="0" w:color="auto"/>
                <w:bottom w:val="none" w:sz="0" w:space="0" w:color="auto"/>
                <w:right w:val="none" w:sz="0" w:space="0" w:color="auto"/>
              </w:divBdr>
            </w:div>
            <w:div w:id="1837498551">
              <w:marLeft w:val="0"/>
              <w:marRight w:val="0"/>
              <w:marTop w:val="0"/>
              <w:marBottom w:val="0"/>
              <w:divBdr>
                <w:top w:val="none" w:sz="0" w:space="0" w:color="auto"/>
                <w:left w:val="none" w:sz="0" w:space="0" w:color="auto"/>
                <w:bottom w:val="none" w:sz="0" w:space="0" w:color="auto"/>
                <w:right w:val="none" w:sz="0" w:space="0" w:color="auto"/>
              </w:divBdr>
            </w:div>
            <w:div w:id="1958364659">
              <w:marLeft w:val="0"/>
              <w:marRight w:val="0"/>
              <w:marTop w:val="0"/>
              <w:marBottom w:val="0"/>
              <w:divBdr>
                <w:top w:val="none" w:sz="0" w:space="0" w:color="auto"/>
                <w:left w:val="none" w:sz="0" w:space="0" w:color="auto"/>
                <w:bottom w:val="none" w:sz="0" w:space="0" w:color="auto"/>
                <w:right w:val="none" w:sz="0" w:space="0" w:color="auto"/>
              </w:divBdr>
            </w:div>
            <w:div w:id="1982611097">
              <w:marLeft w:val="0"/>
              <w:marRight w:val="0"/>
              <w:marTop w:val="0"/>
              <w:marBottom w:val="0"/>
              <w:divBdr>
                <w:top w:val="none" w:sz="0" w:space="0" w:color="auto"/>
                <w:left w:val="none" w:sz="0" w:space="0" w:color="auto"/>
                <w:bottom w:val="none" w:sz="0" w:space="0" w:color="auto"/>
                <w:right w:val="none" w:sz="0" w:space="0" w:color="auto"/>
              </w:divBdr>
            </w:div>
          </w:divsChild>
        </w:div>
        <w:div w:id="590939772">
          <w:marLeft w:val="0"/>
          <w:marRight w:val="0"/>
          <w:marTop w:val="0"/>
          <w:marBottom w:val="0"/>
          <w:divBdr>
            <w:top w:val="none" w:sz="0" w:space="0" w:color="auto"/>
            <w:left w:val="none" w:sz="0" w:space="0" w:color="auto"/>
            <w:bottom w:val="none" w:sz="0" w:space="0" w:color="auto"/>
            <w:right w:val="none" w:sz="0" w:space="0" w:color="auto"/>
          </w:divBdr>
          <w:divsChild>
            <w:div w:id="57674079">
              <w:marLeft w:val="0"/>
              <w:marRight w:val="0"/>
              <w:marTop w:val="0"/>
              <w:marBottom w:val="0"/>
              <w:divBdr>
                <w:top w:val="none" w:sz="0" w:space="0" w:color="auto"/>
                <w:left w:val="none" w:sz="0" w:space="0" w:color="auto"/>
                <w:bottom w:val="none" w:sz="0" w:space="0" w:color="auto"/>
                <w:right w:val="none" w:sz="0" w:space="0" w:color="auto"/>
              </w:divBdr>
            </w:div>
            <w:div w:id="136923546">
              <w:marLeft w:val="0"/>
              <w:marRight w:val="0"/>
              <w:marTop w:val="0"/>
              <w:marBottom w:val="0"/>
              <w:divBdr>
                <w:top w:val="none" w:sz="0" w:space="0" w:color="auto"/>
                <w:left w:val="none" w:sz="0" w:space="0" w:color="auto"/>
                <w:bottom w:val="none" w:sz="0" w:space="0" w:color="auto"/>
                <w:right w:val="none" w:sz="0" w:space="0" w:color="auto"/>
              </w:divBdr>
            </w:div>
            <w:div w:id="376053623">
              <w:marLeft w:val="0"/>
              <w:marRight w:val="0"/>
              <w:marTop w:val="0"/>
              <w:marBottom w:val="0"/>
              <w:divBdr>
                <w:top w:val="none" w:sz="0" w:space="0" w:color="auto"/>
                <w:left w:val="none" w:sz="0" w:space="0" w:color="auto"/>
                <w:bottom w:val="none" w:sz="0" w:space="0" w:color="auto"/>
                <w:right w:val="none" w:sz="0" w:space="0" w:color="auto"/>
              </w:divBdr>
            </w:div>
            <w:div w:id="515461091">
              <w:marLeft w:val="0"/>
              <w:marRight w:val="0"/>
              <w:marTop w:val="0"/>
              <w:marBottom w:val="0"/>
              <w:divBdr>
                <w:top w:val="none" w:sz="0" w:space="0" w:color="auto"/>
                <w:left w:val="none" w:sz="0" w:space="0" w:color="auto"/>
                <w:bottom w:val="none" w:sz="0" w:space="0" w:color="auto"/>
                <w:right w:val="none" w:sz="0" w:space="0" w:color="auto"/>
              </w:divBdr>
            </w:div>
            <w:div w:id="576477440">
              <w:marLeft w:val="0"/>
              <w:marRight w:val="0"/>
              <w:marTop w:val="0"/>
              <w:marBottom w:val="0"/>
              <w:divBdr>
                <w:top w:val="none" w:sz="0" w:space="0" w:color="auto"/>
                <w:left w:val="none" w:sz="0" w:space="0" w:color="auto"/>
                <w:bottom w:val="none" w:sz="0" w:space="0" w:color="auto"/>
                <w:right w:val="none" w:sz="0" w:space="0" w:color="auto"/>
              </w:divBdr>
            </w:div>
            <w:div w:id="657542246">
              <w:marLeft w:val="0"/>
              <w:marRight w:val="0"/>
              <w:marTop w:val="0"/>
              <w:marBottom w:val="0"/>
              <w:divBdr>
                <w:top w:val="none" w:sz="0" w:space="0" w:color="auto"/>
                <w:left w:val="none" w:sz="0" w:space="0" w:color="auto"/>
                <w:bottom w:val="none" w:sz="0" w:space="0" w:color="auto"/>
                <w:right w:val="none" w:sz="0" w:space="0" w:color="auto"/>
              </w:divBdr>
            </w:div>
            <w:div w:id="991787584">
              <w:marLeft w:val="0"/>
              <w:marRight w:val="0"/>
              <w:marTop w:val="0"/>
              <w:marBottom w:val="0"/>
              <w:divBdr>
                <w:top w:val="none" w:sz="0" w:space="0" w:color="auto"/>
                <w:left w:val="none" w:sz="0" w:space="0" w:color="auto"/>
                <w:bottom w:val="none" w:sz="0" w:space="0" w:color="auto"/>
                <w:right w:val="none" w:sz="0" w:space="0" w:color="auto"/>
              </w:divBdr>
            </w:div>
            <w:div w:id="1418551130">
              <w:marLeft w:val="0"/>
              <w:marRight w:val="0"/>
              <w:marTop w:val="0"/>
              <w:marBottom w:val="0"/>
              <w:divBdr>
                <w:top w:val="none" w:sz="0" w:space="0" w:color="auto"/>
                <w:left w:val="none" w:sz="0" w:space="0" w:color="auto"/>
                <w:bottom w:val="none" w:sz="0" w:space="0" w:color="auto"/>
                <w:right w:val="none" w:sz="0" w:space="0" w:color="auto"/>
              </w:divBdr>
            </w:div>
            <w:div w:id="2022773702">
              <w:marLeft w:val="0"/>
              <w:marRight w:val="0"/>
              <w:marTop w:val="0"/>
              <w:marBottom w:val="0"/>
              <w:divBdr>
                <w:top w:val="none" w:sz="0" w:space="0" w:color="auto"/>
                <w:left w:val="none" w:sz="0" w:space="0" w:color="auto"/>
                <w:bottom w:val="none" w:sz="0" w:space="0" w:color="auto"/>
                <w:right w:val="none" w:sz="0" w:space="0" w:color="auto"/>
              </w:divBdr>
            </w:div>
          </w:divsChild>
        </w:div>
        <w:div w:id="1368531116">
          <w:marLeft w:val="0"/>
          <w:marRight w:val="0"/>
          <w:marTop w:val="0"/>
          <w:marBottom w:val="0"/>
          <w:divBdr>
            <w:top w:val="none" w:sz="0" w:space="0" w:color="auto"/>
            <w:left w:val="none" w:sz="0" w:space="0" w:color="auto"/>
            <w:bottom w:val="none" w:sz="0" w:space="0" w:color="auto"/>
            <w:right w:val="none" w:sz="0" w:space="0" w:color="auto"/>
          </w:divBdr>
          <w:divsChild>
            <w:div w:id="103704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egislation.nsw.gov.au/view/whole/html/inforce/current/sl-2025-0440" TargetMode="External"/><Relationship Id="rId21" Type="http://schemas.openxmlformats.org/officeDocument/2006/relationships/footer" Target="footer4.xml"/><Relationship Id="rId42" Type="http://schemas.openxmlformats.org/officeDocument/2006/relationships/header" Target="header21.xml"/><Relationship Id="rId63" Type="http://schemas.openxmlformats.org/officeDocument/2006/relationships/hyperlink" Target="https://content.legislation.vic.gov.au/sites/default/files/2025-08/04-107aa045-authorised.PDF" TargetMode="External"/><Relationship Id="rId84" Type="http://schemas.openxmlformats.org/officeDocument/2006/relationships/hyperlink" Target="https://www.legislation.wa.gov.au/legislation/prod/filestore.nsf/FileURL/mrdoc_49498.pdf/$FILE/Work%20Health%20and%20Safety%20Act%202020%20-%20%5B00-h0-02%5D.pdf?OpenElement" TargetMode="External"/><Relationship Id="rId138" Type="http://schemas.openxmlformats.org/officeDocument/2006/relationships/header" Target="header34.xml"/><Relationship Id="rId107" Type="http://schemas.openxmlformats.org/officeDocument/2006/relationships/hyperlink" Target="https://www.legislation.wa.gov.au/legislation/prod/filestore.nsf/FileURL/mrdoc_49498.pdf/$FILE/Work%20Health%20and%20Safety%20Act%202020%20-%20%5B00-h0-02%5D.pdf?OpenElement" TargetMode="External"/><Relationship Id="rId11" Type="http://schemas.openxmlformats.org/officeDocument/2006/relationships/header" Target="header1.xml"/><Relationship Id="rId32" Type="http://schemas.openxmlformats.org/officeDocument/2006/relationships/header" Target="header13.xml"/><Relationship Id="rId37" Type="http://schemas.openxmlformats.org/officeDocument/2006/relationships/header" Target="header16.xml"/><Relationship Id="rId53" Type="http://schemas.openxmlformats.org/officeDocument/2006/relationships/hyperlink" Target="https://www.legislation.qld.gov.au/view/html/inforce/current/act-2011-018" TargetMode="External"/><Relationship Id="rId58" Type="http://schemas.openxmlformats.org/officeDocument/2006/relationships/hyperlink" Target="https://www.legislation.qld.gov.au/view/html/inforce/current/act-2011-018" TargetMode="External"/><Relationship Id="rId74" Type="http://schemas.openxmlformats.org/officeDocument/2006/relationships/hyperlink" Target="https://www.legislation.sa.gov.au/_legislation-documents/lz/c/a/work-health-and-safety-act-2012/current/2012.40.auth.pdf" TargetMode="External"/><Relationship Id="rId79" Type="http://schemas.openxmlformats.org/officeDocument/2006/relationships/hyperlink" Target="https://legislation.nsw.gov.au/view/html/inforce/current/act-2011-010" TargetMode="External"/><Relationship Id="rId102" Type="http://schemas.openxmlformats.org/officeDocument/2006/relationships/hyperlink" Target="https://www.legislation.sa.gov.au/_legislation-documents/lz/c/a/work-health-and-safety-act-2012/current/2012.40.auth.pdf" TargetMode="External"/><Relationship Id="rId123" Type="http://schemas.openxmlformats.org/officeDocument/2006/relationships/header" Target="header30.xml"/><Relationship Id="rId128" Type="http://schemas.openxmlformats.org/officeDocument/2006/relationships/chart" Target="charts/chart5.xml"/><Relationship Id="rId5" Type="http://schemas.openxmlformats.org/officeDocument/2006/relationships/numbering" Target="numbering.xml"/><Relationship Id="rId90" Type="http://schemas.openxmlformats.org/officeDocument/2006/relationships/hyperlink" Target="https://www.legislation.wa.gov.au/legislation/prod/filestore.nsf/FileURL/mrdoc_49498.pdf/$FILE/Work%20Health%20and%20Safety%20Act%202020%20-%20%5B00-h0-02%5D.pdf?OpenElement" TargetMode="External"/><Relationship Id="rId95" Type="http://schemas.openxmlformats.org/officeDocument/2006/relationships/hyperlink" Target="https://legislation.act.gov.au/View/a/2011-35/current/html/2011-35.html" TargetMode="External"/><Relationship Id="rId22" Type="http://schemas.openxmlformats.org/officeDocument/2006/relationships/header" Target="header6.xml"/><Relationship Id="rId27" Type="http://schemas.openxmlformats.org/officeDocument/2006/relationships/hyperlink" Target="https://www.legislation.vic.gov.au/as-made/acts/restricting-non-disclosure-agreements-sexual-harassment-work-act-2025" TargetMode="External"/><Relationship Id="rId43" Type="http://schemas.openxmlformats.org/officeDocument/2006/relationships/header" Target="header22.xml"/><Relationship Id="rId48" Type="http://schemas.openxmlformats.org/officeDocument/2006/relationships/hyperlink" Target="https://www.legislation.qld.gov.au/view/html/inforce/current/act-2011-018" TargetMode="External"/><Relationship Id="rId64" Type="http://schemas.openxmlformats.org/officeDocument/2006/relationships/hyperlink" Target="https://content.legislation.vic.gov.au/sites/default/files/2025-08/04-107aa045-authorised.PDF" TargetMode="External"/><Relationship Id="rId69" Type="http://schemas.openxmlformats.org/officeDocument/2006/relationships/hyperlink" Target="https://www.legislation.qld.gov.au/view/html/inforce/current/act-2011-018" TargetMode="External"/><Relationship Id="rId113" Type="http://schemas.openxmlformats.org/officeDocument/2006/relationships/hyperlink" Target="https://legislation.nsw.gov.au/view/html/inforce/current/act-2011-010" TargetMode="External"/><Relationship Id="rId118" Type="http://schemas.openxmlformats.org/officeDocument/2006/relationships/header" Target="header27.xml"/><Relationship Id="rId134" Type="http://schemas.openxmlformats.org/officeDocument/2006/relationships/chart" Target="charts/chart11.xml"/><Relationship Id="rId139" Type="http://schemas.openxmlformats.org/officeDocument/2006/relationships/header" Target="header35.xml"/><Relationship Id="rId80" Type="http://schemas.openxmlformats.org/officeDocument/2006/relationships/hyperlink" Target="https://www.legislation.qld.gov.au/view/html/inforce/current/act-2011-018" TargetMode="External"/><Relationship Id="rId85" Type="http://schemas.openxmlformats.org/officeDocument/2006/relationships/hyperlink" Target="https://www.legislation.gov.au/C2011A00137/latest/text" TargetMode="External"/><Relationship Id="rId12" Type="http://schemas.openxmlformats.org/officeDocument/2006/relationships/footer" Target="footer1.xml"/><Relationship Id="rId17" Type="http://schemas.openxmlformats.org/officeDocument/2006/relationships/header" Target="header3.xml"/><Relationship Id="rId33" Type="http://schemas.openxmlformats.org/officeDocument/2006/relationships/footer" Target="footer7.xml"/><Relationship Id="rId38" Type="http://schemas.openxmlformats.org/officeDocument/2006/relationships/header" Target="header17.xml"/><Relationship Id="rId59" Type="http://schemas.openxmlformats.org/officeDocument/2006/relationships/hyperlink" Target="https://www.legislation.qld.gov.au/view/html/inforce/current/act-2011-018" TargetMode="External"/><Relationship Id="rId103" Type="http://schemas.openxmlformats.org/officeDocument/2006/relationships/hyperlink" Target="https://www.legislation.qld.gov.au/view/html/inforce/current/act-2011-018" TargetMode="External"/><Relationship Id="rId108" Type="http://schemas.openxmlformats.org/officeDocument/2006/relationships/hyperlink" Target="https://www.legislation.wa.gov.au/legislation/prod/filestore.nsf/FileURL/mrdoc_49498.pdf/$FILE/Work%20Health%20and%20Safety%20Act%202020%20-%20%5B00-h0-02%5D.pdf?OpenElement" TargetMode="External"/><Relationship Id="rId124" Type="http://schemas.openxmlformats.org/officeDocument/2006/relationships/chart" Target="charts/chart1.xml"/><Relationship Id="rId129" Type="http://schemas.openxmlformats.org/officeDocument/2006/relationships/chart" Target="charts/chart6.xml"/><Relationship Id="rId54" Type="http://schemas.openxmlformats.org/officeDocument/2006/relationships/hyperlink" Target="https://www.legislation.qld.gov.au/view/html/inforce/current/act-2011-018" TargetMode="External"/><Relationship Id="rId70" Type="http://schemas.openxmlformats.org/officeDocument/2006/relationships/hyperlink" Target="https://www.legislation.qld.gov.au/view/html/inforce/current/act-2011-018" TargetMode="External"/><Relationship Id="rId75" Type="http://schemas.openxmlformats.org/officeDocument/2006/relationships/hyperlink" Target="https://legislation.nsw.gov.au/view/html/inforce/current/act-2011-010" TargetMode="External"/><Relationship Id="rId91" Type="http://schemas.openxmlformats.org/officeDocument/2006/relationships/hyperlink" Target="https://www.legislation.wa.gov.au/legislation/prod/filestore.nsf/FileURL/mrdoc_49498.pdf/$FILE/Work%20Health%20and%20Safety%20Act%202020%20-%20%5B00-h0-02%5D.pdf?OpenElement" TargetMode="External"/><Relationship Id="rId96" Type="http://schemas.openxmlformats.org/officeDocument/2006/relationships/hyperlink" Target="https://legislation.nsw.gov.au/view/html/inforce/current/act-2011-010" TargetMode="External"/><Relationship Id="rId140" Type="http://schemas.openxmlformats.org/officeDocument/2006/relationships/header" Target="header36.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eader" Target="header7.xml"/><Relationship Id="rId28" Type="http://schemas.openxmlformats.org/officeDocument/2006/relationships/header" Target="header9.xml"/><Relationship Id="rId49" Type="http://schemas.openxmlformats.org/officeDocument/2006/relationships/hyperlink" Target="https://www.legislation.qld.gov.au/view/html/inforce/current/act-2011-018" TargetMode="External"/><Relationship Id="rId114" Type="http://schemas.openxmlformats.org/officeDocument/2006/relationships/header" Target="header26.xml"/><Relationship Id="rId119" Type="http://schemas.openxmlformats.org/officeDocument/2006/relationships/header" Target="header28.xml"/><Relationship Id="rId44" Type="http://schemas.openxmlformats.org/officeDocument/2006/relationships/header" Target="header23.xml"/><Relationship Id="rId60" Type="http://schemas.openxmlformats.org/officeDocument/2006/relationships/hyperlink" Target="https://www.legislation.wa.gov.au/legislation/prod/filestore.nsf/FileURL/mrdoc_49498.pdf/$FILE/Work%20Health%20and%20Safety%20Act%202020%20-%20%5B00-h0-02%5D.pdf?OpenElement" TargetMode="External"/><Relationship Id="rId65" Type="http://schemas.openxmlformats.org/officeDocument/2006/relationships/hyperlink" Target="https://www.legislation.qld.gov.au/view/html/inforce/current/act-2011-018" TargetMode="External"/><Relationship Id="rId81" Type="http://schemas.openxmlformats.org/officeDocument/2006/relationships/header" Target="header25.xml"/><Relationship Id="rId86" Type="http://schemas.openxmlformats.org/officeDocument/2006/relationships/hyperlink" Target="https://www.legislation.wa.gov.au/legislation/prod/filestore.nsf/FileURL/mrdoc_49498.pdf/$FILE/Work%20Health%20and%20Safety%20Act%202020%20-%20%5B00-h0-02%5D.pdf?OpenElement" TargetMode="External"/><Relationship Id="rId130" Type="http://schemas.openxmlformats.org/officeDocument/2006/relationships/chart" Target="charts/chart7.xml"/><Relationship Id="rId135" Type="http://schemas.openxmlformats.org/officeDocument/2006/relationships/header" Target="header31.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header" Target="header18.xml"/><Relationship Id="rId109" Type="http://schemas.openxmlformats.org/officeDocument/2006/relationships/hyperlink" Target="https://www.legislation.wa.gov.au/legislation/prod/filestore.nsf/FileURL/mrdoc_49498.pdf/$FILE/Work%20Health%20and%20Safety%20Act%202020%20-%20%5B00-h0-02%5D.pdf?OpenElement" TargetMode="External"/><Relationship Id="rId34" Type="http://schemas.openxmlformats.org/officeDocument/2006/relationships/header" Target="header14.xml"/><Relationship Id="rId50" Type="http://schemas.openxmlformats.org/officeDocument/2006/relationships/hyperlink" Target="https://www.legislation.qld.gov.au/view/html/inforce/current/act-2011-018" TargetMode="External"/><Relationship Id="rId55" Type="http://schemas.openxmlformats.org/officeDocument/2006/relationships/hyperlink" Target="https://www.legislation.wa.gov.au/legislation/prod/filestore.nsf/FileURL/mrdoc_49498.pdf/$FILE/Work%20Health%20and%20Safety%20Act%202020%20-%20%5B00-h0-02%5D.pdf?OpenElement" TargetMode="External"/><Relationship Id="rId76" Type="http://schemas.openxmlformats.org/officeDocument/2006/relationships/hyperlink" Target="https://content.legislation.vic.gov.au/sites/default/files/2025-08/04-107aa045-authorised.PDF" TargetMode="External"/><Relationship Id="rId97" Type="http://schemas.openxmlformats.org/officeDocument/2006/relationships/hyperlink" Target="https://www.legislation.qld.gov.au/view/html/inforce/current/act-2011-018" TargetMode="External"/><Relationship Id="rId104" Type="http://schemas.openxmlformats.org/officeDocument/2006/relationships/hyperlink" Target="https://legislation.nsw.gov.au/view/html/inforce/current/act-2011-010" TargetMode="External"/><Relationship Id="rId120" Type="http://schemas.openxmlformats.org/officeDocument/2006/relationships/hyperlink" Target="https://www.worksafe.vic.gov.au/laws/ohs" TargetMode="External"/><Relationship Id="rId125" Type="http://schemas.openxmlformats.org/officeDocument/2006/relationships/chart" Target="charts/chart2.xml"/><Relationship Id="rId141"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s://www.legislation.qld.gov.au/view/html/inforce/current/act-2011-018" TargetMode="External"/><Relationship Id="rId92" Type="http://schemas.openxmlformats.org/officeDocument/2006/relationships/hyperlink" Target="https://www.legislation.wa.gov.au/legislation/prod/filestore.nsf/FileURL/mrdoc_49498.pdf/$FILE/Work%20Health%20and%20Safety%20Act%202020%20-%20%5B00-h0-02%5D.pdf?OpenElement" TargetMode="External"/><Relationship Id="rId2" Type="http://schemas.openxmlformats.org/officeDocument/2006/relationships/customXml" Target="../customXml/item2.xml"/><Relationship Id="rId29" Type="http://schemas.openxmlformats.org/officeDocument/2006/relationships/header" Target="header10.xml"/><Relationship Id="rId24" Type="http://schemas.openxmlformats.org/officeDocument/2006/relationships/footer" Target="footer5.xml"/><Relationship Id="rId40" Type="http://schemas.openxmlformats.org/officeDocument/2006/relationships/header" Target="header19.xml"/><Relationship Id="rId45" Type="http://schemas.openxmlformats.org/officeDocument/2006/relationships/header" Target="header24.xml"/><Relationship Id="rId66" Type="http://schemas.openxmlformats.org/officeDocument/2006/relationships/hyperlink" Target="https://www.legislation.qld.gov.au/view/html/inforce/current/act-2011-018" TargetMode="External"/><Relationship Id="rId87" Type="http://schemas.openxmlformats.org/officeDocument/2006/relationships/hyperlink" Target="https://www.legislation.wa.gov.au/legislation/prod/filestore.nsf/FileURL/mrdoc_49498.pdf/$FILE/Work%20Health%20and%20Safety%20Act%202020%20-%20%5B00-h0-02%5D.pdf?OpenElement" TargetMode="External"/><Relationship Id="rId110" Type="http://schemas.openxmlformats.org/officeDocument/2006/relationships/hyperlink" Target="https://www.legislation.sa.gov.au/_legislation-documents/lz/c/a/work-health-and-safety-act-2012/current/2012.40.auth.pdf" TargetMode="External"/><Relationship Id="rId115" Type="http://schemas.openxmlformats.org/officeDocument/2006/relationships/hyperlink" Target="https://www.legislation.qld.gov.au/view/html/inforce/current/sl-2011-0240" TargetMode="External"/><Relationship Id="rId131" Type="http://schemas.openxmlformats.org/officeDocument/2006/relationships/chart" Target="charts/chart8.xml"/><Relationship Id="rId136" Type="http://schemas.openxmlformats.org/officeDocument/2006/relationships/header" Target="header32.xml"/><Relationship Id="rId61" Type="http://schemas.openxmlformats.org/officeDocument/2006/relationships/hyperlink" Target="https://www.legislation.qld.gov.au/view/html/inforce/current/sl-2011-0240" TargetMode="External"/><Relationship Id="rId82" Type="http://schemas.openxmlformats.org/officeDocument/2006/relationships/hyperlink" Target="https://www.legislation.wa.gov.au/legislation/prod/filestore.nsf/FileURL/mrdoc_49498.pdf/$FILE/Work%20Health%20and%20Safety%20Act%202020%20-%20%5B00-h0-02%5D.pdf?OpenElement" TargetMode="External"/><Relationship Id="rId19" Type="http://schemas.openxmlformats.org/officeDocument/2006/relationships/footer" Target="footer3.xml"/><Relationship Id="rId14" Type="http://schemas.openxmlformats.org/officeDocument/2006/relationships/footer" Target="footer2.xml"/><Relationship Id="rId30" Type="http://schemas.openxmlformats.org/officeDocument/2006/relationships/header" Target="header11.xml"/><Relationship Id="rId35" Type="http://schemas.openxmlformats.org/officeDocument/2006/relationships/header" Target="header15.xml"/><Relationship Id="rId56" Type="http://schemas.openxmlformats.org/officeDocument/2006/relationships/hyperlink" Target="https://www.legislation.qld.gov.au/view/html/inforce/current/act-2011-018" TargetMode="External"/><Relationship Id="rId77" Type="http://schemas.openxmlformats.org/officeDocument/2006/relationships/hyperlink" Target="https://www.legislation.qld.gov.au/view/html/inforce/current/act-2011-018" TargetMode="External"/><Relationship Id="rId100" Type="http://schemas.openxmlformats.org/officeDocument/2006/relationships/hyperlink" Target="https://www.legislation.wa.gov.au/legislation/prod/filestore.nsf/FileURL/mrdoc_49498.pdf/$FILE/Work%20Health%20and%20Safety%20Act%202020%20-%20%5B00-h0-02%5D.pdf?OpenElement" TargetMode="External"/><Relationship Id="rId105" Type="http://schemas.openxmlformats.org/officeDocument/2006/relationships/hyperlink" Target="https://content.legislation.vic.gov.au/sites/default/files/2025-08/04-107aa045-authorised.PDF" TargetMode="External"/><Relationship Id="rId126" Type="http://schemas.openxmlformats.org/officeDocument/2006/relationships/chart" Target="charts/chart3.xml"/><Relationship Id="rId8" Type="http://schemas.openxmlformats.org/officeDocument/2006/relationships/webSettings" Target="webSettings.xml"/><Relationship Id="rId51" Type="http://schemas.openxmlformats.org/officeDocument/2006/relationships/hyperlink" Target="https://content.legislation.vic.gov.au/sites/default/files/2025-08/04-107aa045-authorised.PDF" TargetMode="External"/><Relationship Id="rId72" Type="http://schemas.openxmlformats.org/officeDocument/2006/relationships/hyperlink" Target="https://www.legislation.wa.gov.au/legislation/prod/filestore.nsf/FileURL/mrdoc_49498.pdf/$FILE/Work%20Health%20and%20Safety%20Act%202020%20-%20%5B00-h0-02%5D.pdf?OpenElement" TargetMode="External"/><Relationship Id="rId93" Type="http://schemas.openxmlformats.org/officeDocument/2006/relationships/hyperlink" Target="https://www.legislation.wa.gov.au/legislation/prod/filestore.nsf/FileURL/mrdoc_49498.pdf/$FILE/Work%20Health%20and%20Safety%20Act%202020%20-%20%5B00-h0-02%5D.pdf?OpenElement" TargetMode="External"/><Relationship Id="rId98" Type="http://schemas.openxmlformats.org/officeDocument/2006/relationships/hyperlink" Target="https://www.legislation.sa.gov.au/_legislation-documents/lz/c/a/work-health-and-safety-act-2012/current/2012.40.auth.pdf" TargetMode="External"/><Relationship Id="rId121" Type="http://schemas.openxmlformats.org/officeDocument/2006/relationships/header" Target="header29.xml"/><Relationship Id="rId142" Type="http://schemas.openxmlformats.org/officeDocument/2006/relationships/glossaryDocument" Target="glossary/document.xml"/><Relationship Id="rId3" Type="http://schemas.openxmlformats.org/officeDocument/2006/relationships/customXml" Target="../customXml/item3.xml"/><Relationship Id="rId25" Type="http://schemas.openxmlformats.org/officeDocument/2006/relationships/header" Target="header8.xml"/><Relationship Id="rId46" Type="http://schemas.openxmlformats.org/officeDocument/2006/relationships/hyperlink" Target="https://www.legislation.qld.gov.au/view/html/inforce/current/act-2011-018" TargetMode="External"/><Relationship Id="rId67" Type="http://schemas.openxmlformats.org/officeDocument/2006/relationships/hyperlink" Target="https://www.legislation.qld.gov.au/view/html/inforce/current/act-2011-018" TargetMode="External"/><Relationship Id="rId116" Type="http://schemas.openxmlformats.org/officeDocument/2006/relationships/hyperlink" Target="https://www.legislation.wa.gov.au/legislation/prod/filestore.nsf/FileURL/mrdoc_49725.pdf/$FILE/Work%20Health%20and%20Safety%20(General)%20Regulations%202022%20-%20%5B01-c0-00%5D.pdf?OpenElement" TargetMode="External"/><Relationship Id="rId137" Type="http://schemas.openxmlformats.org/officeDocument/2006/relationships/header" Target="header33.xml"/><Relationship Id="rId20" Type="http://schemas.openxmlformats.org/officeDocument/2006/relationships/header" Target="header5.xml"/><Relationship Id="rId41" Type="http://schemas.openxmlformats.org/officeDocument/2006/relationships/header" Target="header20.xml"/><Relationship Id="rId62" Type="http://schemas.openxmlformats.org/officeDocument/2006/relationships/hyperlink" Target="https://www.legislation.qld.gov.au/view/html/inforce/current/sl-2011-0240" TargetMode="External"/><Relationship Id="rId83" Type="http://schemas.openxmlformats.org/officeDocument/2006/relationships/hyperlink" Target="https://www.legislation.wa.gov.au/legislation/prod/filestore.nsf/FileURL/mrdoc_49498.pdf/$FILE/Work%20Health%20and%20Safety%20Act%202020%20-%20%5B00-h0-02%5D.pdf?OpenElement" TargetMode="External"/><Relationship Id="rId88" Type="http://schemas.openxmlformats.org/officeDocument/2006/relationships/hyperlink" Target="https://www.legislation.gov.au/C2011A00137/latest/text" TargetMode="External"/><Relationship Id="rId111" Type="http://schemas.openxmlformats.org/officeDocument/2006/relationships/hyperlink" Target="https://legislation.nsw.gov.au/view/html/inforce/current/act-2011-010" TargetMode="External"/><Relationship Id="rId132" Type="http://schemas.openxmlformats.org/officeDocument/2006/relationships/chart" Target="charts/chart9.xml"/><Relationship Id="rId15" Type="http://schemas.openxmlformats.org/officeDocument/2006/relationships/hyperlink" Target="mailto:info@swa.gov.au" TargetMode="External"/><Relationship Id="rId36" Type="http://schemas.openxmlformats.org/officeDocument/2006/relationships/hyperlink" Target="https://www.legislation.vic.gov.au/as-made/acts/restricting-non-disclosure-agreements-sexual-harassment-work-act-2025" TargetMode="External"/><Relationship Id="rId57" Type="http://schemas.openxmlformats.org/officeDocument/2006/relationships/hyperlink" Target="https://www.legislation.qld.gov.au/view/html/inforce/current/act-2011-018" TargetMode="External"/><Relationship Id="rId106" Type="http://schemas.openxmlformats.org/officeDocument/2006/relationships/hyperlink" Target="https://www.legislation.wa.gov.au/legislation/prod/filestore.nsf/FileURL/mrdoc_49498.pdf/$FILE/Work%20Health%20and%20Safety%20Act%202020%20-%20%5B00-h0-02%5D.pdf?OpenElement" TargetMode="External"/><Relationship Id="rId127" Type="http://schemas.openxmlformats.org/officeDocument/2006/relationships/chart" Target="charts/chart4.xml"/><Relationship Id="rId10" Type="http://schemas.openxmlformats.org/officeDocument/2006/relationships/endnotes" Target="endnotes.xml"/><Relationship Id="rId31" Type="http://schemas.openxmlformats.org/officeDocument/2006/relationships/header" Target="header12.xml"/><Relationship Id="rId52" Type="http://schemas.openxmlformats.org/officeDocument/2006/relationships/hyperlink" Target="https://www.legislation.qld.gov.au/view/html/inforce/current/act-2011-018" TargetMode="External"/><Relationship Id="rId73" Type="http://schemas.openxmlformats.org/officeDocument/2006/relationships/hyperlink" Target="https://legislation.act.gov.au/View/a/2011-35/current/html/2011-35.html" TargetMode="External"/><Relationship Id="rId78" Type="http://schemas.openxmlformats.org/officeDocument/2006/relationships/hyperlink" Target="https://legislation.act.gov.au/View/a/2011-35/current/html/2011-35.html" TargetMode="External"/><Relationship Id="rId94" Type="http://schemas.openxmlformats.org/officeDocument/2006/relationships/hyperlink" Target="https://www.legislation.gov.au/C2011A00137/latest/text" TargetMode="External"/><Relationship Id="rId99" Type="http://schemas.openxmlformats.org/officeDocument/2006/relationships/hyperlink" Target="https://www.legislation.tas.gov.au/view/html/inforce/current/act-2012-001?query=((PrintType%3D%22act.reprint%22+AND+Amending%3C%3E%22pure%22+AND+PitValid%3D%40pointInTime(20250724000000))+OR+(PrintType%3D%22act.reprint%22+AND+Amending%3D%22pure%22+AND+PitValid%3D%40pointInTime(20250724000000))+OR+(PrintType%3D%22reprint%22+AND+Amending%3C%3E%22pure%22+AND+PitValid%3D%40pointInTime(20250724000000))+OR+(PrintType%3D%22reprint%22+AND+Amending%3D%22pure%22+AND+PitValid%3D%40pointInTime(20250724000000)))+AND+Title%3D(%22work%22+AND+%22health%22+AND+%22and%22+AND+%22safety%22+AND+%22act%22)&amp;dQuery=Document+Types%3D%22%3Cspan+class%3D%27dq-highlight%27%3EActs%3C%2Fspan%3E%2C+%3Cspan+class%3D%27dq-highlight%27%3EAmending+Acts%3C%2Fspan%3E%2C+%3Cspan+class%3D%27dq-highlight%27%3ESRs%3C%2Fspan%3E%2C+%3Cspan+class%3D%27dq-highlight%27%3EAmending+SRs%3C%2Fspan%3E%22%2C+Search+In%3D%22%3Cspan+class%3D%27dq-highlight%27%3ETitle%3C%2Fspan%3E%22%2C+All+Words%3D%22%3Cspan+class%3D%27dq-highlight%27%3Ework+health+and+safety+act%3C%2Fspan%3E%22%2C+Point+In+Time%3D%22%3Cspan+class%3D%27dq-highlight%27%3E24%2F07%2F2025%3C%2Fspan%3E%22" TargetMode="External"/><Relationship Id="rId101" Type="http://schemas.openxmlformats.org/officeDocument/2006/relationships/hyperlink" Target="https://legislation.nt.gov.au/Legislation/work-health-and-safety-national-uniform-legislation-act-2011" TargetMode="External"/><Relationship Id="rId122" Type="http://schemas.openxmlformats.org/officeDocument/2006/relationships/image" Target="media/image4.png"/><Relationship Id="rId14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footer" Target="footer6.xml"/><Relationship Id="rId47" Type="http://schemas.openxmlformats.org/officeDocument/2006/relationships/hyperlink" Target="https://www.legislation.qld.gov.au/view/html/inforce/current/act-2011-018" TargetMode="External"/><Relationship Id="rId68" Type="http://schemas.openxmlformats.org/officeDocument/2006/relationships/hyperlink" Target="https://www.legislation.qld.gov.au/view/html/inforce/current/act-2011-018" TargetMode="External"/><Relationship Id="rId89" Type="http://schemas.openxmlformats.org/officeDocument/2006/relationships/hyperlink" Target="https://www.legislation.gov.au/C2011A00137/latest/text" TargetMode="External"/><Relationship Id="rId112" Type="http://schemas.openxmlformats.org/officeDocument/2006/relationships/hyperlink" Target="https://legislation.nsw.gov.au/view/html/inforce/current/act-2011-010" TargetMode="External"/><Relationship Id="rId133" Type="http://schemas.openxmlformats.org/officeDocument/2006/relationships/chart" Target="charts/chart10.xml"/><Relationship Id="rId16" Type="http://schemas.openxmlformats.org/officeDocument/2006/relationships/hyperlink" Target="http://www.swa.gov.au" TargetMode="External"/></Relationships>
</file>

<file path=word/_rels/footnotes.xml.rels><?xml version="1.0" encoding="UTF-8" standalone="yes"?>
<Relationships xmlns="http://schemas.openxmlformats.org/package/2006/relationships"><Relationship Id="rId117" Type="http://schemas.openxmlformats.org/officeDocument/2006/relationships/hyperlink" Target="https://consult.swa.gov.au/best-practice-review/bprsurveysubmissions/list" TargetMode="External"/><Relationship Id="rId21" Type="http://schemas.openxmlformats.org/officeDocument/2006/relationships/hyperlink" Target="https://www.dewr.gov.au/workplace-relations-australia/resources/national-review-model-occupational-health-and-safety-laws-second-report" TargetMode="External"/><Relationship Id="rId324" Type="http://schemas.openxmlformats.org/officeDocument/2006/relationships/hyperlink" Target="https://consult.swa.gov.au/best-practice-review/bprsurveysubmissions/list" TargetMode="External"/><Relationship Id="rId531" Type="http://schemas.openxmlformats.org/officeDocument/2006/relationships/hyperlink" Target="https://consult.swa.gov.au/best-practice-review/bprsurveysubmissions/list" TargetMode="External"/><Relationship Id="rId170" Type="http://schemas.openxmlformats.org/officeDocument/2006/relationships/hyperlink" Target="https://www.safework.nsw.gov.au/__data/assets/pdf_file/0005/1285772/The-Independent-Review-of-SafeWork-NSW.pdf" TargetMode="External"/><Relationship Id="rId268" Type="http://schemas.openxmlformats.org/officeDocument/2006/relationships/hyperlink" Target="https://consult.swa.gov.au/best-practice-review/bprsurveysubmissions/list" TargetMode="External"/><Relationship Id="rId475" Type="http://schemas.openxmlformats.org/officeDocument/2006/relationships/hyperlink" Target="https://consult.swa.gov.au/best-practice-review/bprsurveysubmissions/list" TargetMode="External"/><Relationship Id="rId32" Type="http://schemas.openxmlformats.org/officeDocument/2006/relationships/hyperlink" Target="https://consult.swa.gov.au/best-practice-review/bprsurveysubmissions/list" TargetMode="External"/><Relationship Id="rId128" Type="http://schemas.openxmlformats.org/officeDocument/2006/relationships/hyperlink" Target="https://www.dewr.gov.au/workplace-relations-australia/resources/national-review-model-occupational-health-and-safety-laws-first-report" TargetMode="External"/><Relationship Id="rId335" Type="http://schemas.openxmlformats.org/officeDocument/2006/relationships/hyperlink" Target="https://www.agd.sa.gov.au/industrial-relations/safework-sa/safework-sa-review" TargetMode="External"/><Relationship Id="rId542" Type="http://schemas.openxmlformats.org/officeDocument/2006/relationships/hyperlink" Target="https://www.ilo.org/publications/ensuring-safety-and-health-work-changing-climate" TargetMode="External"/><Relationship Id="rId181" Type="http://schemas.openxmlformats.org/officeDocument/2006/relationships/hyperlink" Target="https://app.converlens.com/safework/best-practice-review/bprsurveysubmissions/list" TargetMode="External"/><Relationship Id="rId402" Type="http://schemas.openxmlformats.org/officeDocument/2006/relationships/hyperlink" Target="https://consult.swa.gov.au/best-practice-review/bprsurveysubmissions/list" TargetMode="External"/><Relationship Id="rId279" Type="http://schemas.openxmlformats.org/officeDocument/2006/relationships/hyperlink" Target="https://consult.swa.gov.au/best-practice-review/bprsurveysubmissions/list" TargetMode="External"/><Relationship Id="rId486" Type="http://schemas.openxmlformats.org/officeDocument/2006/relationships/hyperlink" Target="https://www.aph.gov.au/Parliamentary_Business/Committees/Senate/Adopting_Artificial_Intelligence_AI/AdoptingAI/Report" TargetMode="External"/><Relationship Id="rId43" Type="http://schemas.openxmlformats.org/officeDocument/2006/relationships/hyperlink" Target="https://www.legislation.qld.gov.au/view/html/inforce/current/act-2011-018" TargetMode="External"/><Relationship Id="rId139" Type="http://schemas.openxmlformats.org/officeDocument/2006/relationships/hyperlink" Target="https://www.safework.nsw.gov.au/resource-library/whs-research/Strengthening-the-priority-of-WHS-for-business-leaders-phase-2-report.pdf" TargetMode="External"/><Relationship Id="rId346" Type="http://schemas.openxmlformats.org/officeDocument/2006/relationships/hyperlink" Target="https://ses.library.usyd.edu.au/handle/2123/32633" TargetMode="External"/><Relationship Id="rId553" Type="http://schemas.openxmlformats.org/officeDocument/2006/relationships/hyperlink" Target="https://www.dcceew.gov.au/climate-change/publications/national-adaptation-plan" TargetMode="External"/><Relationship Id="rId192" Type="http://schemas.openxmlformats.org/officeDocument/2006/relationships/hyperlink" Target="https://consult.swa.gov.au/best-practice-review/bprsurveysubmissions/list" TargetMode="External"/><Relationship Id="rId206" Type="http://schemas.openxmlformats.org/officeDocument/2006/relationships/hyperlink" Target="https://consult.swa.gov.au/best-practice-review/bprsurveysubmissions/list" TargetMode="External"/><Relationship Id="rId413" Type="http://schemas.openxmlformats.org/officeDocument/2006/relationships/hyperlink" Target="https://consult.swa.gov.au/best-practice-review/bprsurveysubmissions/list" TargetMode="External"/><Relationship Id="rId497" Type="http://schemas.openxmlformats.org/officeDocument/2006/relationships/hyperlink" Target="https://consult.swa.gov.au/best-practice-review/bprsurveysubmissions/list" TargetMode="External"/><Relationship Id="rId620" Type="http://schemas.openxmlformats.org/officeDocument/2006/relationships/hyperlink" Target="http://nla.gov.au/nla.obj-3068091563" TargetMode="External"/><Relationship Id="rId357" Type="http://schemas.openxmlformats.org/officeDocument/2006/relationships/hyperlink" Target="https://www.comcare.gov.au/scheme-legislation/whs-act/regulatory-guides/prosecutions" TargetMode="External"/><Relationship Id="rId54" Type="http://schemas.openxmlformats.org/officeDocument/2006/relationships/hyperlink" Target="https://consult.swa.gov.au/best-practice-review/bprsurveysubmissions/list" TargetMode="External"/><Relationship Id="rId217" Type="http://schemas.openxmlformats.org/officeDocument/2006/relationships/hyperlink" Target="https://consult.swa.gov.au/best-practice-review/bprsurveysubmissions/list" TargetMode="External"/><Relationship Id="rId564" Type="http://schemas.openxmlformats.org/officeDocument/2006/relationships/hyperlink" Target="https://www.ilo.org/resource/news/tripartite-experts-agree-measures-protect-workers-and-enterprises-weather" TargetMode="External"/><Relationship Id="rId424" Type="http://schemas.openxmlformats.org/officeDocument/2006/relationships/hyperlink" Target="https://consult.swa.gov.au/best-practice-review/bprsurveysubmissions/list" TargetMode="External"/><Relationship Id="rId270" Type="http://schemas.openxmlformats.org/officeDocument/2006/relationships/hyperlink" Target="https://arp.nsw.gov.au/m1997-26-litigation-involving-government-authorities" TargetMode="External"/><Relationship Id="rId65" Type="http://schemas.openxmlformats.org/officeDocument/2006/relationships/hyperlink" Target="https://consult.swa.gov.au/best-practice-review/bprsurveysubmissions/list" TargetMode="External"/><Relationship Id="rId130" Type="http://schemas.openxmlformats.org/officeDocument/2006/relationships/hyperlink" Target="https://www.oir.qld.gov.au/system/files/2023-04/review-work-health-safety-act-final-report.pdf" TargetMode="External"/><Relationship Id="rId368" Type="http://schemas.openxmlformats.org/officeDocument/2006/relationships/hyperlink" Target="https://consult.swa.gov.au/best-practice-review/bprsurveysubmissions/list" TargetMode="External"/><Relationship Id="rId575" Type="http://schemas.openxmlformats.org/officeDocument/2006/relationships/hyperlink" Target="https://consult.swa.gov.au/best-practice-review/bprsurveysubmissions/list" TargetMode="External"/><Relationship Id="rId228" Type="http://schemas.openxmlformats.org/officeDocument/2006/relationships/hyperlink" Target="https://consult.swa.gov.au/best-practice-review/bprsurveysubmissions/list" TargetMode="External"/><Relationship Id="rId435" Type="http://schemas.openxmlformats.org/officeDocument/2006/relationships/hyperlink" Target="https://consult.swa.gov.au/best-practice-review/bprsurveysubmissions/list" TargetMode="External"/><Relationship Id="rId281" Type="http://schemas.openxmlformats.org/officeDocument/2006/relationships/hyperlink" Target="https://consult.swa.gov.au/best-practice-review/bprsurveysubmissions/list" TargetMode="External"/><Relationship Id="rId502" Type="http://schemas.openxmlformats.org/officeDocument/2006/relationships/hyperlink" Target="https://consult.swa.gov.au/best-practice-review/bprsurveysubmissions/list" TargetMode="External"/><Relationship Id="rId76" Type="http://schemas.openxmlformats.org/officeDocument/2006/relationships/hyperlink" Target="https://consult.swa.gov.au/best-practice-review/bprsurveysubmissions/list" TargetMode="External"/><Relationship Id="rId141" Type="http://schemas.openxmlformats.org/officeDocument/2006/relationships/hyperlink" Target="https://www.dewr.gov.au/download/17619/closing-loopholes-review-draft-report/42732/closing-loopholes-review-draft-report/pdf" TargetMode="External"/><Relationship Id="rId379" Type="http://schemas.openxmlformats.org/officeDocument/2006/relationships/hyperlink" Target="https://www.sentencingcouncil.vic.gov.au/publications/sentencing-occupational-health-and-safety-offences-in-victoria-report-and-recommendations" TargetMode="External"/><Relationship Id="rId586" Type="http://schemas.openxmlformats.org/officeDocument/2006/relationships/hyperlink" Target="https://consult.swa.gov.au/best-practice-review/bprsurveysubmissions/list" TargetMode="External"/><Relationship Id="rId7" Type="http://schemas.openxmlformats.org/officeDocument/2006/relationships/hyperlink" Target="https://consult.swa.gov.au/best-practice-review/bprsurveysubmissions/list" TargetMode="External"/><Relationship Id="rId239" Type="http://schemas.openxmlformats.org/officeDocument/2006/relationships/hyperlink" Target="https://humanrights.gov.au/resource-hub/by-resource-type/publications/rights-and-freedoms/policy-reports-rights-and-freedoms/free-and-equal-reform-agenda-federal-discrimination-laws" TargetMode="External"/><Relationship Id="rId446" Type="http://schemas.openxmlformats.org/officeDocument/2006/relationships/hyperlink" Target="https://www.courts.sa.gov.au/download/2022-findings/?ind=1675207818716&amp;filename=Leong%20Yi%20Hui,%20Adelene.pdf&amp;wpdmdl=19142&amp;refresh=69f82926494c21777871142" TargetMode="External"/><Relationship Id="rId292" Type="http://schemas.openxmlformats.org/officeDocument/2006/relationships/hyperlink" Target="https://consult.swa.gov.au/best-practice-review/bprsurveysubmissions/list" TargetMode="External"/><Relationship Id="rId306" Type="http://schemas.openxmlformats.org/officeDocument/2006/relationships/hyperlink" Target="https://www.safework.nsw.gov.au/compliance-and-prosecutions/safework-inspectors/body-worn-video" TargetMode="External"/><Relationship Id="rId87" Type="http://schemas.openxmlformats.org/officeDocument/2006/relationships/hyperlink" Target="https://pcc.gov.au/uniform_legislation_official_versions.html" TargetMode="External"/><Relationship Id="rId513" Type="http://schemas.openxmlformats.org/officeDocument/2006/relationships/hyperlink" Target="https://consult.swa.gov.au/best-practice-review/bprsurveysubmissions/list" TargetMode="External"/><Relationship Id="rId597" Type="http://schemas.openxmlformats.org/officeDocument/2006/relationships/hyperlink" Target="https://www.mdpi.com/2075-471X/14/4/49" TargetMode="External"/><Relationship Id="rId152" Type="http://schemas.openxmlformats.org/officeDocument/2006/relationships/hyperlink" Target="https://consult.swa.gov.au/best-practice-review/bprsurveysubmissions/list" TargetMode="External"/><Relationship Id="rId457" Type="http://schemas.openxmlformats.org/officeDocument/2006/relationships/hyperlink" Target="https://www.safeworkaustralia.gov.au/sites/default/files/2025-12/review-of-the-engineered-stone-prohibition_december2025.pdf" TargetMode="External"/><Relationship Id="rId14" Type="http://schemas.openxmlformats.org/officeDocument/2006/relationships/hyperlink" Target="https://consult.swa.gov.au/best-practice-review/bprsurveysubmissions/list" TargetMode="External"/><Relationship Id="rId317" Type="http://schemas.openxmlformats.org/officeDocument/2006/relationships/hyperlink" Target="https://consult.swa.gov.au/best-practice-review/bprsurveysubmissions/list" TargetMode="External"/><Relationship Id="rId524" Type="http://schemas.openxmlformats.org/officeDocument/2006/relationships/hyperlink" Target="https://parlinfo.aph.gov.au/parlInfo/download/committees/reportrep/RB000516/toc_pdf/TheFutureofWork.pdf" TargetMode="External"/><Relationship Id="rId98" Type="http://schemas.openxmlformats.org/officeDocument/2006/relationships/hyperlink" Target="https://consult.swa.gov.au/best-practice-review/bprsurveysubmissions/list" TargetMode="External"/><Relationship Id="rId163" Type="http://schemas.openxmlformats.org/officeDocument/2006/relationships/hyperlink" Target="https://consult.swa.gov.au/best-practice-review/bprsurveysubmissions/list" TargetMode="External"/><Relationship Id="rId370" Type="http://schemas.openxmlformats.org/officeDocument/2006/relationships/hyperlink" Target="https://www.dewr.gov.au/work-health-and-safety/resources/work-health-and-safety-ministers-meeting-20-may-2021" TargetMode="External"/><Relationship Id="rId230" Type="http://schemas.openxmlformats.org/officeDocument/2006/relationships/hyperlink" Target="https://consult.swa.gov.au/best-practice-review/bprsurveysubmissions/list" TargetMode="External"/><Relationship Id="rId468" Type="http://schemas.openxmlformats.org/officeDocument/2006/relationships/hyperlink" Target="https://ministers.ag.gov.au/media-centre/albanese-government-announces-37-million-support-working-children-check-reform-14-11-2025" TargetMode="External"/><Relationship Id="rId25" Type="http://schemas.openxmlformats.org/officeDocument/2006/relationships/hyperlink" Target="https://data.safeworkaustralia.gov.au/interactive-data/topic/jurisdictional-comparison" TargetMode="External"/><Relationship Id="rId328" Type="http://schemas.openxmlformats.org/officeDocument/2006/relationships/hyperlink" Target="https://consult.swa.gov.au/best-practice-review/bprsurveysubmissions/list" TargetMode="External"/><Relationship Id="rId535" Type="http://schemas.openxmlformats.org/officeDocument/2006/relationships/hyperlink" Target="https://consult.swa.gov.au/best-practice-review/bprsurveysubmissions/list" TargetMode="External"/><Relationship Id="rId174" Type="http://schemas.openxmlformats.org/officeDocument/2006/relationships/hyperlink" Target="https://consult.swa.gov.au/best-practice-review/bprsurveysubmissions/list" TargetMode="External"/><Relationship Id="rId381" Type="http://schemas.openxmlformats.org/officeDocument/2006/relationships/hyperlink" Target="https://www.sentencingcouncil.vic.gov.au/publications/sentencing-occupational-health-and-safety-offences-in-victoria-report-and-recommendations" TargetMode="External"/><Relationship Id="rId602" Type="http://schemas.openxmlformats.org/officeDocument/2006/relationships/hyperlink" Target="https://consult.swa.gov.au/best-practice-review/bprsurveysubmissions/list" TargetMode="External"/><Relationship Id="rId241" Type="http://schemas.openxmlformats.org/officeDocument/2006/relationships/hyperlink" Target="https://consult.swa.gov.au/best-practice-review/bprsurveysubmissions/list" TargetMode="External"/><Relationship Id="rId437" Type="http://schemas.openxmlformats.org/officeDocument/2006/relationships/hyperlink" Target="https://consult.swa.gov.au/best-practice-review/bprsurveysubmissions/list" TargetMode="External"/><Relationship Id="rId479" Type="http://schemas.openxmlformats.org/officeDocument/2006/relationships/hyperlink" Target="https://consult.swa.gov.au/best-practice-review/bprsurveysubmissions/list" TargetMode="External"/><Relationship Id="rId36" Type="http://schemas.openxmlformats.org/officeDocument/2006/relationships/hyperlink" Target="https://consult.swa.gov.au/best-practice-review/bprsurveysubmissions/list" TargetMode="External"/><Relationship Id="rId283" Type="http://schemas.openxmlformats.org/officeDocument/2006/relationships/hyperlink" Target="https://consult.swa.gov.au/best-practice-review/bprsurveysubmissions/list" TargetMode="External"/><Relationship Id="rId339" Type="http://schemas.openxmlformats.org/officeDocument/2006/relationships/hyperlink" Target="https://consult.swa.gov.au/best-practice-review/bprsurveysubmissions/list" TargetMode="External"/><Relationship Id="rId490" Type="http://schemas.openxmlformats.org/officeDocument/2006/relationships/hyperlink" Target="https://www.techrepublic.com/article/generative-ai-adoption-survey-australia/" TargetMode="External"/><Relationship Id="rId504" Type="http://schemas.openxmlformats.org/officeDocument/2006/relationships/hyperlink" Target="https://consult.swa.gov.au/best-practice-review/bprsurveysubmissions/list" TargetMode="External"/><Relationship Id="rId546" Type="http://schemas.openxmlformats.org/officeDocument/2006/relationships/hyperlink" Target="https://www.actu.org.au/wp-content/uploads/2026/03/D51-WHS-in-the-Era-of-Climate-Crisis-ACTU-Position-Paper-on-Climate-Change-and-WHS-Reform.pdf" TargetMode="External"/><Relationship Id="rId78" Type="http://schemas.openxmlformats.org/officeDocument/2006/relationships/hyperlink" Target="https://consult.swa.gov.au/best-practice-review/bprsurveysubmissions/list" TargetMode="External"/><Relationship Id="rId101" Type="http://schemas.openxmlformats.org/officeDocument/2006/relationships/hyperlink" Target="https://consult.swa.gov.au/best-practice-review/bprsurveysubmissions/list" TargetMode="External"/><Relationship Id="rId143" Type="http://schemas.openxmlformats.org/officeDocument/2006/relationships/hyperlink" Target="https://www.legislation.gov.au/F2009L02356/latest/text" TargetMode="External"/><Relationship Id="rId185" Type="http://schemas.openxmlformats.org/officeDocument/2006/relationships/hyperlink" Target="https://consult.swa.gov.au/best-practice-review/bprsurveysubmissions/list" TargetMode="External"/><Relationship Id="rId350" Type="http://schemas.openxmlformats.org/officeDocument/2006/relationships/hyperlink" Target="https://www.odpp.nsw.gov.au/prosecution-guidance/prosecution-guidelines/chapter-7" TargetMode="External"/><Relationship Id="rId406" Type="http://schemas.openxmlformats.org/officeDocument/2006/relationships/hyperlink" Target="https://consult.swa.gov.au/best-practice-review/bprsurveysubmissions/list" TargetMode="External"/><Relationship Id="rId588" Type="http://schemas.openxmlformats.org/officeDocument/2006/relationships/hyperlink" Target="https://consult.swa.gov.au/best-practice-review/bprsurveysubmissions/list" TargetMode="External"/><Relationship Id="rId9" Type="http://schemas.openxmlformats.org/officeDocument/2006/relationships/hyperlink" Target="https://consult.swa.gov.au/best-practice-review/bprsurveysubmissions/list" TargetMode="External"/><Relationship Id="rId210" Type="http://schemas.openxmlformats.org/officeDocument/2006/relationships/hyperlink" Target="https://www.worksafe.act.gov.au/__data/assets/pdf_file/0007/2911858/Underpinning-Principles-and-Learning-Outcomes-HSR-WorkSafe-ACT.pdf" TargetMode="External"/><Relationship Id="rId392" Type="http://schemas.openxmlformats.org/officeDocument/2006/relationships/hyperlink" Target="https://consult.swa.gov.au/best-practice-review/bprsurveysubmissions/list" TargetMode="External"/><Relationship Id="rId448" Type="http://schemas.openxmlformats.org/officeDocument/2006/relationships/hyperlink" Target="https://consult.swa.gov.au/best-practice-review/bprsurveysubmissions/list" TargetMode="External"/><Relationship Id="rId613" Type="http://schemas.openxmlformats.org/officeDocument/2006/relationships/hyperlink" Target="https://humanrights.gov.au/__data/assets/file/0021/47334/NARF_Full_Report_FINAL_DIGITAL_ACCESSIBLE.pdf" TargetMode="External"/><Relationship Id="rId252" Type="http://schemas.openxmlformats.org/officeDocument/2006/relationships/hyperlink" Target="https://masterbuilders.com.au/breaking-building-bad/" TargetMode="External"/><Relationship Id="rId294" Type="http://schemas.openxmlformats.org/officeDocument/2006/relationships/hyperlink" Target="https://consult.swa.gov.au/best-practice-review/bprsurveysubmissions/list" TargetMode="External"/><Relationship Id="rId308" Type="http://schemas.openxmlformats.org/officeDocument/2006/relationships/hyperlink" Target="https://worksafe.nt.gov.au/about-us/role-of-the-workplace-health-and-safety-inspectors/body-worn-cameras" TargetMode="External"/><Relationship Id="rId515" Type="http://schemas.openxmlformats.org/officeDocument/2006/relationships/hyperlink" Target="https://consult.swa.gov.au/best-practice-review/bprsurveysubmissions/list" TargetMode="External"/><Relationship Id="rId47" Type="http://schemas.openxmlformats.org/officeDocument/2006/relationships/hyperlink" Target="https://www.safeworkaustralia.gov.au/doc/national-compliance-and-enforcement-policy" TargetMode="External"/><Relationship Id="rId89" Type="http://schemas.openxmlformats.org/officeDocument/2006/relationships/hyperlink" Target="https://www.onrsr.com.au/publications/rail-safety-national-law-related-legislation" TargetMode="External"/><Relationship Id="rId112" Type="http://schemas.openxmlformats.org/officeDocument/2006/relationships/hyperlink" Target="https://disability.royalcommission.gov.au/publications/final-report" TargetMode="External"/><Relationship Id="rId154" Type="http://schemas.openxmlformats.org/officeDocument/2006/relationships/hyperlink" Target="https://consult.swa.gov.au/best-practice-review/bprsurveysubmissions/list" TargetMode="External"/><Relationship Id="rId361" Type="http://schemas.openxmlformats.org/officeDocument/2006/relationships/hyperlink" Target="https://www.safeworkaustralia.gov.au/doc/maximum-monetary-penalties-comparison-table" TargetMode="External"/><Relationship Id="rId557" Type="http://schemas.openxmlformats.org/officeDocument/2006/relationships/hyperlink" Target="https://journals.sagepub.com/doi/10.1177/00221856241295497" TargetMode="External"/><Relationship Id="rId599" Type="http://schemas.openxmlformats.org/officeDocument/2006/relationships/hyperlink" Target="https://hallandwilcox.com.au/news/australian-maritime-whs-laws-seeking-harmony/" TargetMode="External"/><Relationship Id="rId196" Type="http://schemas.openxmlformats.org/officeDocument/2006/relationships/hyperlink" Target="https://www.oir.qld.gov.au/system/files/2023-04/review-work-health-safety-act-final-report.pdf" TargetMode="External"/><Relationship Id="rId417" Type="http://schemas.openxmlformats.org/officeDocument/2006/relationships/hyperlink" Target="https://consult.swa.gov.au/best-practice-review/bprsurveysubmissions/list" TargetMode="External"/><Relationship Id="rId459" Type="http://schemas.openxmlformats.org/officeDocument/2006/relationships/hyperlink" Target="https://consult.swa.gov.au/best-practice-review/bprsurveysubmissions/list" TargetMode="External"/><Relationship Id="rId16" Type="http://schemas.openxmlformats.org/officeDocument/2006/relationships/hyperlink" Target="https://consult.swa.gov.au/best-practice-review/bprsurveysubmissions/list" TargetMode="External"/><Relationship Id="rId221" Type="http://schemas.openxmlformats.org/officeDocument/2006/relationships/hyperlink" Target="https://www.oir.qld.gov.au/system/files/2023-04/review-work-health-safety-act-final-report.pdf" TargetMode="External"/><Relationship Id="rId263" Type="http://schemas.openxmlformats.org/officeDocument/2006/relationships/hyperlink" Target="https://www.oir.qld.gov.au/system/files/2023-04/review-work-health-safety-act-final-report.pdf" TargetMode="External"/><Relationship Id="rId319" Type="http://schemas.openxmlformats.org/officeDocument/2006/relationships/hyperlink" Target="https://consult.swa.gov.au/best-practice-review/bprsurveysubmissions/list" TargetMode="External"/><Relationship Id="rId470" Type="http://schemas.openxmlformats.org/officeDocument/2006/relationships/hyperlink" Target="https://consult.swa.gov.au/best-practice-review/bprsurveysubmissions/list" TargetMode="External"/><Relationship Id="rId526" Type="http://schemas.openxmlformats.org/officeDocument/2006/relationships/hyperlink" Target="https://legislation.nsw.gov.au/view/html/inforce/current/act-2026-005" TargetMode="External"/><Relationship Id="rId58" Type="http://schemas.openxmlformats.org/officeDocument/2006/relationships/hyperlink" Target="https://consult.swa.gov.au/best-practice-review/bprsurveysubmissions/list" TargetMode="External"/><Relationship Id="rId123" Type="http://schemas.openxmlformats.org/officeDocument/2006/relationships/hyperlink" Target="https://consult.swa.gov.au/best-practice-review/bprsurveysubmissions/list" TargetMode="External"/><Relationship Id="rId330" Type="http://schemas.openxmlformats.org/officeDocument/2006/relationships/hyperlink" Target="https://data.safeworkaustralia.gov.au/interactive-data/topic/workers-compensation" TargetMode="External"/><Relationship Id="rId568" Type="http://schemas.openxmlformats.org/officeDocument/2006/relationships/hyperlink" Target="https://data.safeworkaustralia.gov.au/insights/hazards-and-injuries/work-related-violence-aggression-australia" TargetMode="External"/><Relationship Id="rId165" Type="http://schemas.openxmlformats.org/officeDocument/2006/relationships/hyperlink" Target="https://www.vic.gov.au/independent-review-employee-representatives" TargetMode="External"/><Relationship Id="rId372" Type="http://schemas.openxmlformats.org/officeDocument/2006/relationships/hyperlink" Target="https://consult.swa.gov.au/best-practice-review/bprsurveysubmissions/list" TargetMode="External"/><Relationship Id="rId428" Type="http://schemas.openxmlformats.org/officeDocument/2006/relationships/hyperlink" Target="https://consult.swa.gov.au/best-practice-review/bprsurveysubmissions/list" TargetMode="External"/><Relationship Id="rId232" Type="http://schemas.openxmlformats.org/officeDocument/2006/relationships/hyperlink" Target="https://consult.swa.gov.au/best-practice-review/bprsurveysubmissions/view/112" TargetMode="External"/><Relationship Id="rId274" Type="http://schemas.openxmlformats.org/officeDocument/2006/relationships/hyperlink" Target="https://consult.swa.gov.au/best-practice-review/bprsurveysubmissions/list" TargetMode="External"/><Relationship Id="rId481" Type="http://schemas.openxmlformats.org/officeDocument/2006/relationships/hyperlink" Target="https://consult.swa.gov.au/best-practice-review/bprsurveysubmissions/list" TargetMode="External"/><Relationship Id="rId27" Type="http://schemas.openxmlformats.org/officeDocument/2006/relationships/hyperlink" Target="https://consult.swa.gov.au/best-practice-review/bprsurveysubmissions/list" TargetMode="External"/><Relationship Id="rId69" Type="http://schemas.openxmlformats.org/officeDocument/2006/relationships/hyperlink" Target="https://consult.swa.gov.au/best-practice-review/bprsurveysubmissions/list" TargetMode="External"/><Relationship Id="rId134" Type="http://schemas.openxmlformats.org/officeDocument/2006/relationships/hyperlink" Target="https://consult.swa.gov.au/best-practice-review/bprsurveysubmissions/list" TargetMode="External"/><Relationship Id="rId537" Type="http://schemas.openxmlformats.org/officeDocument/2006/relationships/hyperlink" Target="https://journals.sagepub.com/doi/10.1177/00221856241295497" TargetMode="External"/><Relationship Id="rId579" Type="http://schemas.openxmlformats.org/officeDocument/2006/relationships/hyperlink" Target="https://app.converlens.com/safework/best-practice-review/bprsurveysubmissions/list" TargetMode="External"/><Relationship Id="rId80" Type="http://schemas.openxmlformats.org/officeDocument/2006/relationships/hyperlink" Target="https://consult.swa.gov.au/best-practice-review/bprsurveysubmissions/list" TargetMode="External"/><Relationship Id="rId176" Type="http://schemas.openxmlformats.org/officeDocument/2006/relationships/hyperlink" Target="https://consult.swa.gov.au/best-practice-review/bprsurveysubmissions/list" TargetMode="External"/><Relationship Id="rId341" Type="http://schemas.openxmlformats.org/officeDocument/2006/relationships/hyperlink" Target="https://www.dewr.gov.au/workplace-relations-australia/resources/national-review-model-occupational-health-and-safety-laws-second-report" TargetMode="External"/><Relationship Id="rId383" Type="http://schemas.openxmlformats.org/officeDocument/2006/relationships/hyperlink" Target="https://www.owhsp.qld.gov.au/court-report/ardent-leisure-limited-fined-36-million-over-dreamworld-fatalities" TargetMode="External"/><Relationship Id="rId439" Type="http://schemas.openxmlformats.org/officeDocument/2006/relationships/hyperlink" Target="https://consult.swa.gov.au/best-practice-review/bprsurveysubmissions/list" TargetMode="External"/><Relationship Id="rId590" Type="http://schemas.openxmlformats.org/officeDocument/2006/relationships/hyperlink" Target="https://data.safeworkaustralia.gov.au/interactive-data/topic/whs-prosecutions" TargetMode="External"/><Relationship Id="rId604" Type="http://schemas.openxmlformats.org/officeDocument/2006/relationships/hyperlink" Target="https://consult.swa.gov.au/best-practice-review/bprsurveysubmissions/list" TargetMode="External"/><Relationship Id="rId201" Type="http://schemas.openxmlformats.org/officeDocument/2006/relationships/hyperlink" Target="https://consult.swa.gov.au/best-practice-review/bprsurveysubmissions/list" TargetMode="External"/><Relationship Id="rId243" Type="http://schemas.openxmlformats.org/officeDocument/2006/relationships/hyperlink" Target="https://consult.swa.gov.au/best-practice-review/bprsurveysubmissions/list" TargetMode="External"/><Relationship Id="rId285" Type="http://schemas.openxmlformats.org/officeDocument/2006/relationships/hyperlink" Target="https://consult.swa.gov.au/best-practice-review/bprsurveysubmissions/list" TargetMode="External"/><Relationship Id="rId450" Type="http://schemas.openxmlformats.org/officeDocument/2006/relationships/hyperlink" Target="https://consult.swa.gov.au/best-practice-review/bprsurveysubmissions/list" TargetMode="External"/><Relationship Id="rId506" Type="http://schemas.openxmlformats.org/officeDocument/2006/relationships/hyperlink" Target="https://www.uts.edu.au/news/2026/03/australian-law-must-protect-workers-from-harmful-tech-enabled-surveillance/contentassets/hti-snapshot-report-worker-surveillance.pdf" TargetMode="External"/><Relationship Id="rId38" Type="http://schemas.openxmlformats.org/officeDocument/2006/relationships/hyperlink" Target="https://consult.swa.gov.au/best-practice-review/bprsurveysubmissions/list" TargetMode="External"/><Relationship Id="rId103" Type="http://schemas.openxmlformats.org/officeDocument/2006/relationships/hyperlink" Target="https://consult.swa.gov.au/best-practice-review/bprsurveysubmissions/list" TargetMode="External"/><Relationship Id="rId310" Type="http://schemas.openxmlformats.org/officeDocument/2006/relationships/hyperlink" Target="https://consult.swa.gov.au/best-practice-review/bprsurveysubmissions/list" TargetMode="External"/><Relationship Id="rId492" Type="http://schemas.openxmlformats.org/officeDocument/2006/relationships/hyperlink" Target="https://www.pc.gov.au/inquiries-and-research/data-digital/report/" TargetMode="External"/><Relationship Id="rId548" Type="http://schemas.openxmlformats.org/officeDocument/2006/relationships/hyperlink" Target="https://consult.swa.gov.au/best-practice-review/bprsurveysubmissions/list" TargetMode="External"/><Relationship Id="rId91" Type="http://schemas.openxmlformats.org/officeDocument/2006/relationships/hyperlink" Target="https://consult.swa.gov.au/best-practice-review/bprsurveysubmissions/list" TargetMode="External"/><Relationship Id="rId145" Type="http://schemas.openxmlformats.org/officeDocument/2006/relationships/hyperlink" Target="https://consult.swa.gov.au/best-practice-review/bprsurveysubmissions/list" TargetMode="External"/><Relationship Id="rId187" Type="http://schemas.openxmlformats.org/officeDocument/2006/relationships/hyperlink" Target="https://consult.swa.gov.au/best-practice-review/bprsurveysubmissions/list" TargetMode="External"/><Relationship Id="rId352" Type="http://schemas.openxmlformats.org/officeDocument/2006/relationships/hyperlink" Target="https://consult.swa.gov.au/best-practice-review/bprsurveysubmissions/list" TargetMode="External"/><Relationship Id="rId394" Type="http://schemas.openxmlformats.org/officeDocument/2006/relationships/hyperlink" Target="https://consult.swa.gov.au/best-practice-review/bprsurveysubmissions/list" TargetMode="External"/><Relationship Id="rId408" Type="http://schemas.openxmlformats.org/officeDocument/2006/relationships/hyperlink" Target="https://consult.swa.gov.au/best-practice-review/bprsurveysubmissions/list" TargetMode="External"/><Relationship Id="rId615" Type="http://schemas.openxmlformats.org/officeDocument/2006/relationships/hyperlink" Target="https://data.safeworkaustralia.gov.au/interactive-data/topic/work-related-fatalities" TargetMode="External"/><Relationship Id="rId212" Type="http://schemas.openxmlformats.org/officeDocument/2006/relationships/hyperlink" Target="https://www.worksafe.act.gov.au/health-and-safety-portal/managing-safety/health-and-safety-committees/health-and-safety-representative-training" TargetMode="External"/><Relationship Id="rId254" Type="http://schemas.openxmlformats.org/officeDocument/2006/relationships/hyperlink" Target="https://consult.swa.gov.au/best-practice-review/bprsurveysubmissions/view/93" TargetMode="External"/><Relationship Id="rId49" Type="http://schemas.openxmlformats.org/officeDocument/2006/relationships/hyperlink" Target="https://www.safeworkaustralia.gov.au/system/files/documents/1902/review_of_the_model_whs_laws_final_report_0.pdf" TargetMode="External"/><Relationship Id="rId114" Type="http://schemas.openxmlformats.org/officeDocument/2006/relationships/hyperlink" Target="https://www.safeworkaustralia.gov.au/doc/national-compliance-and-enforcement-policy" TargetMode="External"/><Relationship Id="rId296" Type="http://schemas.openxmlformats.org/officeDocument/2006/relationships/hyperlink" Target="https://consult.swa.gov.au/best-practice-review/bprsurveysubmissions/list" TargetMode="External"/><Relationship Id="rId461" Type="http://schemas.openxmlformats.org/officeDocument/2006/relationships/hyperlink" Target="https://consult.swa.gov.au/best-practice-review/bprsurveysubmissions/list" TargetMode="External"/><Relationship Id="rId517" Type="http://schemas.openxmlformats.org/officeDocument/2006/relationships/hyperlink" Target="https://app.converlens.com/safework/best-practice-review/bprsurveysubmissions/list" TargetMode="External"/><Relationship Id="rId559" Type="http://schemas.openxmlformats.org/officeDocument/2006/relationships/hyperlink" Target="https://www.jobsandskills.gov.au/sites/default/files/2023-09/28.%20Victoria%20University.pdf" TargetMode="External"/><Relationship Id="rId60" Type="http://schemas.openxmlformats.org/officeDocument/2006/relationships/hyperlink" Target="https://consult.swa.gov.au/best-practice-review/bprsurveysubmissions/list" TargetMode="External"/><Relationship Id="rId156" Type="http://schemas.openxmlformats.org/officeDocument/2006/relationships/hyperlink" Target="https://consult.swa.gov.au/best-practice-review/bprsurveysubmissions/list" TargetMode="External"/><Relationship Id="rId198" Type="http://schemas.openxmlformats.org/officeDocument/2006/relationships/hyperlink" Target="https://consult.swa.gov.au/best-practice-review/bprsurveysubmissions/list" TargetMode="External"/><Relationship Id="rId321" Type="http://schemas.openxmlformats.org/officeDocument/2006/relationships/hyperlink" Target="https://consult.swa.gov.au/best-practice-review/bprsurveysubmissions/list" TargetMode="External"/><Relationship Id="rId363" Type="http://schemas.openxmlformats.org/officeDocument/2006/relationships/hyperlink" Target="https://consult.swa.gov.au/best-practice-review/bprsurveysubmissions/list" TargetMode="External"/><Relationship Id="rId419" Type="http://schemas.openxmlformats.org/officeDocument/2006/relationships/hyperlink" Target="https://consult.swa.gov.au/best-practice-review/bprsurveysubmissions/list" TargetMode="External"/><Relationship Id="rId570" Type="http://schemas.openxmlformats.org/officeDocument/2006/relationships/hyperlink" Target="https://app.converlens.com/safework/best-practice-review/bprsurveysubmissions/list" TargetMode="External"/><Relationship Id="rId223" Type="http://schemas.openxmlformats.org/officeDocument/2006/relationships/hyperlink" Target="https://www.oir.qld.gov.au/system/files/2023-04/review-work-health-safety-act-final-report.pdf" TargetMode="External"/><Relationship Id="rId430" Type="http://schemas.openxmlformats.org/officeDocument/2006/relationships/hyperlink" Target="https://consult.swa.gov.au/best-practice-review/bprsurveysubmissions/list" TargetMode="External"/><Relationship Id="rId18" Type="http://schemas.openxmlformats.org/officeDocument/2006/relationships/hyperlink" Target="https://webarchive.nla.gov.au/awa/20260309022904/https:/www.asbfeo.gov.au/small-business-data-portal/contribution-australian-employment" TargetMode="External"/><Relationship Id="rId265" Type="http://schemas.openxmlformats.org/officeDocument/2006/relationships/hyperlink" Target="https://consult.swa.gov.au/best-practice-review/bprsurveysubmissions/list" TargetMode="External"/><Relationship Id="rId472" Type="http://schemas.openxmlformats.org/officeDocument/2006/relationships/hyperlink" Target="https://consult.swa.gov.au/best-practice-review/bprsurveysubmissions/list" TargetMode="External"/><Relationship Id="rId528" Type="http://schemas.openxmlformats.org/officeDocument/2006/relationships/hyperlink" Target="https://consult.swa.gov.au/best-practice-review/bprsurveysubmissions/list" TargetMode="External"/><Relationship Id="rId125" Type="http://schemas.openxmlformats.org/officeDocument/2006/relationships/hyperlink" Target="https://consult.swa.gov.au/best-practice-review/bprsurveysubmissions/list" TargetMode="External"/><Relationship Id="rId167" Type="http://schemas.openxmlformats.org/officeDocument/2006/relationships/hyperlink" Target="https://www.safeworkaustralia.gov.au/system/files/documents/1902/review_of_the_model_whs_laws_final_report_0.pdf" TargetMode="External"/><Relationship Id="rId332" Type="http://schemas.openxmlformats.org/officeDocument/2006/relationships/hyperlink" Target="https://consult.swa.gov.au/best-practice-review/bprsurveysubmissions/list" TargetMode="External"/><Relationship Id="rId374" Type="http://schemas.openxmlformats.org/officeDocument/2006/relationships/hyperlink" Target="https://www.dewr.gov.au/workplace-relations-australia/resources/national-review-model-occupational-health-and-safety-laws-first-report" TargetMode="External"/><Relationship Id="rId581" Type="http://schemas.openxmlformats.org/officeDocument/2006/relationships/hyperlink" Target="https://app.converlens.com/safework/best-practice-review/bprsurveysubmissions/list" TargetMode="External"/><Relationship Id="rId71" Type="http://schemas.openxmlformats.org/officeDocument/2006/relationships/hyperlink" Target="https://consult.swa.gov.au/best-practice-review/bprsurveysubmissions/list" TargetMode="External"/><Relationship Id="rId234" Type="http://schemas.openxmlformats.org/officeDocument/2006/relationships/hyperlink" Target="https://consult.swa.gov.au/best-practice-review/bprsurveysubmissions/list" TargetMode="External"/><Relationship Id="rId2" Type="http://schemas.openxmlformats.org/officeDocument/2006/relationships/hyperlink" Target="https://www.safeworkaustralia.gov.au/system/files/documents/1902/review_of_the_model_whs_laws_final_report_0.pdf" TargetMode="External"/><Relationship Id="rId29" Type="http://schemas.openxmlformats.org/officeDocument/2006/relationships/hyperlink" Target="https://consult.swa.gov.au/best-practice-review/bprsurveysubmissions/list" TargetMode="External"/><Relationship Id="rId276" Type="http://schemas.openxmlformats.org/officeDocument/2006/relationships/hyperlink" Target="https://consult.swa.gov.au/best-practice-review/bprsurveysubmissions/list" TargetMode="External"/><Relationship Id="rId441" Type="http://schemas.openxmlformats.org/officeDocument/2006/relationships/hyperlink" Target="https://consult.swa.gov.au/best-practice-review/bprsurveysubmissions/list" TargetMode="External"/><Relationship Id="rId483" Type="http://schemas.openxmlformats.org/officeDocument/2006/relationships/hyperlink" Target="https://consult.swa.gov.au/best-practice-review/bprsurveysubmissions/list" TargetMode="External"/><Relationship Id="rId539" Type="http://schemas.openxmlformats.org/officeDocument/2006/relationships/hyperlink" Target="https://www.ilo.org/publications/ensuring-safety-and-health-work-changing-climate" TargetMode="External"/><Relationship Id="rId40" Type="http://schemas.openxmlformats.org/officeDocument/2006/relationships/hyperlink" Target="https://federation.gov.au/about/agreements/intergovernmental-agreement-regulatory-and-operational-reform-occupational-health" TargetMode="External"/><Relationship Id="rId136" Type="http://schemas.openxmlformats.org/officeDocument/2006/relationships/hyperlink" Target="https://consult.swa.gov.au/best-practice-review/bprsurveysubmissions/list" TargetMode="External"/><Relationship Id="rId178" Type="http://schemas.openxmlformats.org/officeDocument/2006/relationships/hyperlink" Target="https://www.oir.qld.gov.au/system/files/2023-04/review-work-health-safety-act-final-report.pdf" TargetMode="External"/><Relationship Id="rId301" Type="http://schemas.openxmlformats.org/officeDocument/2006/relationships/hyperlink" Target="https://www.oir.qld.gov.au/system/files/2023-04/review-work-health-safety-act-final-report.pdf" TargetMode="External"/><Relationship Id="rId343" Type="http://schemas.openxmlformats.org/officeDocument/2006/relationships/hyperlink" Target="https://consult.swa.gov.au/best-practice-review/bprsurveysubmissions/list" TargetMode="External"/><Relationship Id="rId550" Type="http://schemas.openxmlformats.org/officeDocument/2006/relationships/hyperlink" Target="https://www.ilo.org/publications/ensuring-safety-and-health-work-changing-climate" TargetMode="External"/><Relationship Id="rId82" Type="http://schemas.openxmlformats.org/officeDocument/2006/relationships/hyperlink" Target="https://app.converlens.com/safework/best-practice-review/bprsurveysubmissions/view/79" TargetMode="External"/><Relationship Id="rId203" Type="http://schemas.openxmlformats.org/officeDocument/2006/relationships/hyperlink" Target="https://consult.swa.gov.au/best-practice-review/bprsurveysubmissions/list" TargetMode="External"/><Relationship Id="rId385" Type="http://schemas.openxmlformats.org/officeDocument/2006/relationships/hyperlink" Target="https://consult.swa.gov.au/best-practice-review/bprsurveysubmissions/list" TargetMode="External"/><Relationship Id="rId592" Type="http://schemas.openxmlformats.org/officeDocument/2006/relationships/hyperlink" Target="https://doi.org/10.71741/4pyxmbnjaq.31611544" TargetMode="External"/><Relationship Id="rId606" Type="http://schemas.openxmlformats.org/officeDocument/2006/relationships/hyperlink" Target="https://www.ntc.gov.au/sites/default/files/assets/files/Rail%20Safety%20National%20Law%20Review%20-%20Final%20report%20%28June%202024%29%20%281%29_0.pdf" TargetMode="External"/><Relationship Id="rId245" Type="http://schemas.openxmlformats.org/officeDocument/2006/relationships/hyperlink" Target="https://consult.swa.gov.au/best-practice-review/bprsurveysubmissions/list" TargetMode="External"/><Relationship Id="rId287" Type="http://schemas.openxmlformats.org/officeDocument/2006/relationships/hyperlink" Target="https://consult.swa.gov.au/best-practice-review/bprsurveysubmissions/list" TargetMode="External"/><Relationship Id="rId410" Type="http://schemas.openxmlformats.org/officeDocument/2006/relationships/hyperlink" Target="https://consult.swa.gov.au/best-practice-review/bprsurveysubmissions/list" TargetMode="External"/><Relationship Id="rId452" Type="http://schemas.openxmlformats.org/officeDocument/2006/relationships/hyperlink" Target="https://consult.swa.gov.au/best-practice-review/bprsurveysubmissions/list" TargetMode="External"/><Relationship Id="rId494" Type="http://schemas.openxmlformats.org/officeDocument/2006/relationships/hyperlink" Target="https://www.pc.gov.au/inquiries-and-research/data-digital/" TargetMode="External"/><Relationship Id="rId508" Type="http://schemas.openxmlformats.org/officeDocument/2006/relationships/hyperlink" Target="https://consult.swa.gov.au/best-practice-review/bprsurveysubmissions/list" TargetMode="External"/><Relationship Id="rId105" Type="http://schemas.openxmlformats.org/officeDocument/2006/relationships/hyperlink" Target="https://consult.swa.gov.au/best-practice-review/bprsurveysubmissions/list" TargetMode="External"/><Relationship Id="rId147" Type="http://schemas.openxmlformats.org/officeDocument/2006/relationships/hyperlink" Target="https://consult.swa.gov.au/best-practice-review/bprsurveysubmissions/list" TargetMode="External"/><Relationship Id="rId312" Type="http://schemas.openxmlformats.org/officeDocument/2006/relationships/hyperlink" Target="https://www.safework.nsw.gov.au/resource-library/enforceable-undertakings/enforceable-undertakings-guidelines" TargetMode="External"/><Relationship Id="rId354" Type="http://schemas.openxmlformats.org/officeDocument/2006/relationships/hyperlink" Target="https://consult.swa.gov.au/best-practice-review/bprsurveysubmissions/list" TargetMode="External"/><Relationship Id="rId51" Type="http://schemas.openxmlformats.org/officeDocument/2006/relationships/hyperlink" Target="https://consult.swa.gov.au/best-practice-review/bprsurveysubmissions/list" TargetMode="External"/><Relationship Id="rId93" Type="http://schemas.openxmlformats.org/officeDocument/2006/relationships/hyperlink" Target="https://consult.swa.gov.au/best-practice-review/bprsurveysubmissions/list" TargetMode="External"/><Relationship Id="rId189" Type="http://schemas.openxmlformats.org/officeDocument/2006/relationships/hyperlink" Target="https://consult.swa.gov.au/best-practice-review/bprsurveysubmissions/list" TargetMode="External"/><Relationship Id="rId396" Type="http://schemas.openxmlformats.org/officeDocument/2006/relationships/hyperlink" Target="https://consult.swa.gov.au/best-practice-review/bprsurveysubmissions/list" TargetMode="External"/><Relationship Id="rId561" Type="http://schemas.openxmlformats.org/officeDocument/2006/relationships/hyperlink" Target="https://www.jobsandskills.gov.au/publications/the-clean-energy-generation" TargetMode="External"/><Relationship Id="rId617" Type="http://schemas.openxmlformats.org/officeDocument/2006/relationships/hyperlink" Target="https://www.safeworkaustralia.gov.au/doc/safer-healthier-wealthier-summary-report" TargetMode="External"/><Relationship Id="rId214" Type="http://schemas.openxmlformats.org/officeDocument/2006/relationships/hyperlink" Target="https://www.safework.nsw.gov.au/licences-and-registrations/registered-training-organisations/hsr-training-providers" TargetMode="External"/><Relationship Id="rId256" Type="http://schemas.openxmlformats.org/officeDocument/2006/relationships/hyperlink" Target="https://cg.cfmeu.org/blog/2026/05/22/media-release-announcement-of-appointment-of-michael-crosby-as-cfmeu-administrator/" TargetMode="External"/><Relationship Id="rId298" Type="http://schemas.openxmlformats.org/officeDocument/2006/relationships/hyperlink" Target="https://consult.swa.gov.au/best-practice-review/bprsurveysubmissions/list" TargetMode="External"/><Relationship Id="rId421" Type="http://schemas.openxmlformats.org/officeDocument/2006/relationships/hyperlink" Target="https://consult.swa.gov.au/best-practice-review/bprsurveysubmissions/list" TargetMode="External"/><Relationship Id="rId463" Type="http://schemas.openxmlformats.org/officeDocument/2006/relationships/hyperlink" Target="https://consult.swa.gov.au/best-practice-review/bprsurveysubmissions/list" TargetMode="External"/><Relationship Id="rId519" Type="http://schemas.openxmlformats.org/officeDocument/2006/relationships/hyperlink" Target="https://consult.swa.gov.au/best-practice-review/bprsurveysubmissions/list" TargetMode="External"/><Relationship Id="rId116" Type="http://schemas.openxmlformats.org/officeDocument/2006/relationships/hyperlink" Target="https://consult.swa.gov.au/best-practice-review/bprsurveysubmissions/list" TargetMode="External"/><Relationship Id="rId158" Type="http://schemas.openxmlformats.org/officeDocument/2006/relationships/hyperlink" Target="https://consult.swa.gov.au/best-practice-review/bprsurveysubmissions/list" TargetMode="External"/><Relationship Id="rId323" Type="http://schemas.openxmlformats.org/officeDocument/2006/relationships/hyperlink" Target="https://consult.swa.gov.au/best-practice-review/bprsurveysubmissions/list" TargetMode="External"/><Relationship Id="rId530" Type="http://schemas.openxmlformats.org/officeDocument/2006/relationships/hyperlink" Target="https://consult.swa.gov.au/best-practice-review/bprsurveysubmissions/list" TargetMode="External"/><Relationship Id="rId20" Type="http://schemas.openxmlformats.org/officeDocument/2006/relationships/hyperlink" Target="https://www.dewr.gov.au/workplace-relations-australia/resources/national-review-model-occupational-health-and-safety-laws-first-report" TargetMode="External"/><Relationship Id="rId62" Type="http://schemas.openxmlformats.org/officeDocument/2006/relationships/hyperlink" Target="https://consult.swa.gov.au/best-practice-review/bprsurveysubmissions/list" TargetMode="External"/><Relationship Id="rId365" Type="http://schemas.openxmlformats.org/officeDocument/2006/relationships/hyperlink" Target="https://www.dewr.gov.au/work-health-and-safety/resources/work-health-and-safety-ministers-meeting-28-february-2023" TargetMode="External"/><Relationship Id="rId572" Type="http://schemas.openxmlformats.org/officeDocument/2006/relationships/hyperlink" Target="https://consult.swa.gov.au/best-practice-review/bprsurveysubmissions/view/112" TargetMode="External"/><Relationship Id="rId225" Type="http://schemas.openxmlformats.org/officeDocument/2006/relationships/hyperlink" Target="https://consult.swa.gov.au/best-practice-review/bprsurveysubmissions/list" TargetMode="External"/><Relationship Id="rId267" Type="http://schemas.openxmlformats.org/officeDocument/2006/relationships/hyperlink" Target="https://consult.swa.gov.au/best-practice-review/bprsurveysubmissions/list" TargetMode="External"/><Relationship Id="rId432" Type="http://schemas.openxmlformats.org/officeDocument/2006/relationships/hyperlink" Target="https://consult.swa.gov.au/best-practice-review/bprsurveysubmissions/list" TargetMode="External"/><Relationship Id="rId474" Type="http://schemas.openxmlformats.org/officeDocument/2006/relationships/hyperlink" Target="https://consult.swa.gov.au/best-practice-review/bprsurveysubmissions/list" TargetMode="External"/><Relationship Id="rId127" Type="http://schemas.openxmlformats.org/officeDocument/2006/relationships/hyperlink" Target="https://consult.swa.gov.au/best-practice-review/bprsurveysubmissions/list" TargetMode="External"/><Relationship Id="rId31" Type="http://schemas.openxmlformats.org/officeDocument/2006/relationships/hyperlink" Target="https://consult.swa.gov.au/best-practice-review/bprsurveysubmissions/list" TargetMode="External"/><Relationship Id="rId73" Type="http://schemas.openxmlformats.org/officeDocument/2006/relationships/hyperlink" Target="https://www.safeworkaustralia.gov.au/system/files/documents/1902/review_of_the_model_whs_laws_final_report_0.pdf" TargetMode="External"/><Relationship Id="rId169" Type="http://schemas.openxmlformats.org/officeDocument/2006/relationships/hyperlink" Target="https://www.agd.sa.gov.au/industrial-relations/safework-sa/safework-sa-review" TargetMode="External"/><Relationship Id="rId334" Type="http://schemas.openxmlformats.org/officeDocument/2006/relationships/hyperlink" Target="https://consult.swa.gov.au/best-practice-review/bprsurveysubmissions/list" TargetMode="External"/><Relationship Id="rId376" Type="http://schemas.openxmlformats.org/officeDocument/2006/relationships/hyperlink" Target="https://www.sentencingcouncil.vic.gov.au/publications/sentencing-occupational-health-and-safety-offences-in-victoria-report-and-recommendations" TargetMode="External"/><Relationship Id="rId541" Type="http://schemas.openxmlformats.org/officeDocument/2006/relationships/hyperlink" Target="https://www.ilo.org/publications/ensuring-safety-and-health-work-changing-climate" TargetMode="External"/><Relationship Id="rId583" Type="http://schemas.openxmlformats.org/officeDocument/2006/relationships/hyperlink" Target="https://app.converlens.com/safework/best-practice-review/bprsurveysubmissions/list" TargetMode="External"/><Relationship Id="rId4" Type="http://schemas.openxmlformats.org/officeDocument/2006/relationships/hyperlink" Target="https://federation.gov.au/about/agreements/intergovernmental-agreement-regulatory-and-operational-reform-occupational-health" TargetMode="External"/><Relationship Id="rId180" Type="http://schemas.openxmlformats.org/officeDocument/2006/relationships/hyperlink" Target="https://consult.swa.gov.au/best-practice-review/bprsurveysubmissions/list" TargetMode="External"/><Relationship Id="rId236" Type="http://schemas.openxmlformats.org/officeDocument/2006/relationships/hyperlink" Target="https://www.oir.qld.gov.au/system/files/2023-04/review-work-health-safety-act-final-report.pdf" TargetMode="External"/><Relationship Id="rId278" Type="http://schemas.openxmlformats.org/officeDocument/2006/relationships/hyperlink" Target="https://consult.swa.gov.au/best-practice-review/bprsurveysubmissions/list" TargetMode="External"/><Relationship Id="rId401" Type="http://schemas.openxmlformats.org/officeDocument/2006/relationships/hyperlink" Target="https://consult.swa.gov.au/best-practice-review/bprsurveysubmissions/list" TargetMode="External"/><Relationship Id="rId443" Type="http://schemas.openxmlformats.org/officeDocument/2006/relationships/hyperlink" Target="https://www.industry.gov.au/publications/australias-offshore-resources-decommissioning-roadmap" TargetMode="External"/><Relationship Id="rId303" Type="http://schemas.openxmlformats.org/officeDocument/2006/relationships/hyperlink" Target="https://agd.nt.gov.au/media/docs/outcomes-of-consultation-and-review/Best-Practice-Review-of-WHS-in-the-NT-Final-Report-opt.pdf" TargetMode="External"/><Relationship Id="rId485" Type="http://schemas.openxmlformats.org/officeDocument/2006/relationships/hyperlink" Target="https://www.oecd.org/en/publications/using-ai-in-the-workplace_73d417f9-en.html" TargetMode="External"/><Relationship Id="rId42" Type="http://schemas.openxmlformats.org/officeDocument/2006/relationships/hyperlink" Target="https://consult.swa.gov.au/best-practice-review/bprsurveysubmissions/list" TargetMode="External"/><Relationship Id="rId84" Type="http://schemas.openxmlformats.org/officeDocument/2006/relationships/hyperlink" Target="https://www.safeworkaustralia.gov.au/doc/australian-work-health-and-safety-strategy-2023-2033" TargetMode="External"/><Relationship Id="rId138" Type="http://schemas.openxmlformats.org/officeDocument/2006/relationships/hyperlink" Target="https://www.safework.nsw.gov.au/resource-library/whs-research/Strengthening-the-priority-of-WHS-for-business-leaders-phase-2-summary-report.pdf" TargetMode="External"/><Relationship Id="rId345" Type="http://schemas.openxmlformats.org/officeDocument/2006/relationships/hyperlink" Target="https://data.safeworkaustralia.gov.au/interactive-data/topic/whs-prosecutions" TargetMode="External"/><Relationship Id="rId387" Type="http://schemas.openxmlformats.org/officeDocument/2006/relationships/hyperlink" Target="https://www.ato.gov.au/about-ato/learn-about-tax-and-the-ato/tax-and-corporate-australia/we-have-confidence-in-the-tax-compliance-of-large-corporate-groups/demographics-of-large-corporate-groups" TargetMode="External"/><Relationship Id="rId510" Type="http://schemas.openxmlformats.org/officeDocument/2006/relationships/hyperlink" Target="https://app.converlens.com/safework/best-practice-review/bprsurveysubmissions/list" TargetMode="External"/><Relationship Id="rId552" Type="http://schemas.openxmlformats.org/officeDocument/2006/relationships/hyperlink" Target="https://www.ilo.org/publications/ensuring-safety-and-health-work-changing-climate" TargetMode="External"/><Relationship Id="rId594" Type="http://schemas.openxmlformats.org/officeDocument/2006/relationships/hyperlink" Target="https://www.sciencedirect.com/science/article/pii/S1359178923000952?via%3Dihub" TargetMode="External"/><Relationship Id="rId608" Type="http://schemas.openxmlformats.org/officeDocument/2006/relationships/hyperlink" Target="https://www.ntc.gov.au/codes-and-guidelines/australian-dangerous-goods-code" TargetMode="External"/><Relationship Id="rId191" Type="http://schemas.openxmlformats.org/officeDocument/2006/relationships/hyperlink" Target="https://www.oir.qld.gov.au/system/files/2023-04/review-work-health-safety-act-final-report.pdf" TargetMode="External"/><Relationship Id="rId205" Type="http://schemas.openxmlformats.org/officeDocument/2006/relationships/hyperlink" Target="https://consult.swa.gov.au/best-practice-review/bprsurveysubmissions/list" TargetMode="External"/><Relationship Id="rId247" Type="http://schemas.openxmlformats.org/officeDocument/2006/relationships/hyperlink" Target="https://consult.swa.gov.au/best-practice-review/bprsurveysubmissions/list" TargetMode="External"/><Relationship Id="rId412" Type="http://schemas.openxmlformats.org/officeDocument/2006/relationships/hyperlink" Target="https://consult.swa.gov.au/best-practice-review/bprsurveysubmissions/list" TargetMode="External"/><Relationship Id="rId107" Type="http://schemas.openxmlformats.org/officeDocument/2006/relationships/hyperlink" Target="https://consult.swa.gov.au/best-practice-review/bprsurveysubmissions/list" TargetMode="External"/><Relationship Id="rId289" Type="http://schemas.openxmlformats.org/officeDocument/2006/relationships/hyperlink" Target="https://consult.swa.gov.au/best-practice-review/bprsurveysubmissions/list" TargetMode="External"/><Relationship Id="rId454" Type="http://schemas.openxmlformats.org/officeDocument/2006/relationships/hyperlink" Target="https://consult.swa.gov.au/best-practice-review/bprsurveysubmissions/list" TargetMode="External"/><Relationship Id="rId496" Type="http://schemas.openxmlformats.org/officeDocument/2006/relationships/hyperlink" Target="https://ministers.dewr.gov.au/rishworth/afr-workforce-summit-sydney" TargetMode="External"/><Relationship Id="rId11" Type="http://schemas.openxmlformats.org/officeDocument/2006/relationships/hyperlink" Target="https://consult.swa.gov.au/best-practice-review/bprsurveysubmissions/list" TargetMode="External"/><Relationship Id="rId53" Type="http://schemas.openxmlformats.org/officeDocument/2006/relationships/hyperlink" Target="https://consult.swa.gov.au/best-practice-review/bprsurveysubmissions/list" TargetMode="External"/><Relationship Id="rId149" Type="http://schemas.openxmlformats.org/officeDocument/2006/relationships/hyperlink" Target="https://consult.swa.gov.au/best-practice-review/bprsurveysubmissions/list" TargetMode="External"/><Relationship Id="rId314" Type="http://schemas.openxmlformats.org/officeDocument/2006/relationships/hyperlink" Target="https://www.oir.qld.gov.au/system/files/2023-04/review-work-health-safety-act-final-report.pdf" TargetMode="External"/><Relationship Id="rId356" Type="http://schemas.openxmlformats.org/officeDocument/2006/relationships/hyperlink" Target="https://legislation.nsw.gov.au/view/pdf/bill/99b66a96-5e80-411e-b1ca-7ffe0c871556" TargetMode="External"/><Relationship Id="rId398" Type="http://schemas.openxmlformats.org/officeDocument/2006/relationships/hyperlink" Target="https://www.agd.sa.gov.au/industrial-relations/safework-sa/safework-sa-review" TargetMode="External"/><Relationship Id="rId521" Type="http://schemas.openxmlformats.org/officeDocument/2006/relationships/hyperlink" Target="https://consult.swa.gov.au/best-practice-review/bprsurveysubmissions/list" TargetMode="External"/><Relationship Id="rId563" Type="http://schemas.openxmlformats.org/officeDocument/2006/relationships/hyperlink" Target="https://consult.swa.gov.au/best-practice-review/bprsurveysubmissions/list" TargetMode="External"/><Relationship Id="rId619" Type="http://schemas.openxmlformats.org/officeDocument/2006/relationships/hyperlink" Target="https://oia.pmc.gov.au/sites/default/files/2026-02/value-statistical-life-guidance-note.pdf" TargetMode="External"/><Relationship Id="rId95" Type="http://schemas.openxmlformats.org/officeDocument/2006/relationships/hyperlink" Target="https://consult.swa.gov.au/best-practice-review/bprsurveysubmissions/list" TargetMode="External"/><Relationship Id="rId160" Type="http://schemas.openxmlformats.org/officeDocument/2006/relationships/hyperlink" Target="https://consult.swa.gov.au/best-practice-review/bprsurveysubmissions/list" TargetMode="External"/><Relationship Id="rId216" Type="http://schemas.openxmlformats.org/officeDocument/2006/relationships/hyperlink" Target="https://consult.swa.gov.au/best-practice-review/bprsurveysubmissions/list" TargetMode="External"/><Relationship Id="rId423" Type="http://schemas.openxmlformats.org/officeDocument/2006/relationships/hyperlink" Target="https://consult.swa.gov.au/best-practice-review/bprsurveysubmissions/list" TargetMode="External"/><Relationship Id="rId258" Type="http://schemas.openxmlformats.org/officeDocument/2006/relationships/hyperlink" Target="https://www.dewr.gov.au/australian-building-and-construction-industry/resources/blueprint-future" TargetMode="External"/><Relationship Id="rId465" Type="http://schemas.openxmlformats.org/officeDocument/2006/relationships/hyperlink" Target="https://consult.swa.gov.au/asbestos-framework-review" TargetMode="External"/><Relationship Id="rId22" Type="http://schemas.openxmlformats.org/officeDocument/2006/relationships/hyperlink" Target="https://data.safeworkaustralia.gov.au/insights/key-whs-statistics-australia/latest-release" TargetMode="External"/><Relationship Id="rId64" Type="http://schemas.openxmlformats.org/officeDocument/2006/relationships/hyperlink" Target="https://consult.swa.gov.au/best-practice-review/bprsurveysubmissions/list" TargetMode="External"/><Relationship Id="rId118" Type="http://schemas.openxmlformats.org/officeDocument/2006/relationships/hyperlink" Target="https://consult.swa.gov.au/best-practice-review/bprsurveysubmissions/list" TargetMode="External"/><Relationship Id="rId325" Type="http://schemas.openxmlformats.org/officeDocument/2006/relationships/hyperlink" Target="https://www.worksafe.act.gov.au/__data/assets/pdf_file/0006/2191821/Final-Report-Conduct-of-WHS-Prosecutions-in-the-ACT-30-June-2022.pdf" TargetMode="External"/><Relationship Id="rId367" Type="http://schemas.openxmlformats.org/officeDocument/2006/relationships/hyperlink" Target="https://consult.swa.gov.au/best-practice-review/bprsurveysubmissions/list" TargetMode="External"/><Relationship Id="rId532" Type="http://schemas.openxmlformats.org/officeDocument/2006/relationships/hyperlink" Target="https://www.safework.nsw.gov.au/resource-library/whs-research/Ethical-use-of-artificial-intelligence-in-the-workplace-report.pdf" TargetMode="External"/><Relationship Id="rId574" Type="http://schemas.openxmlformats.org/officeDocument/2006/relationships/hyperlink" Target="https://app.converlens.com/safework/best-practice-review/bprsurveysubmissions/list" TargetMode="External"/><Relationship Id="rId171" Type="http://schemas.openxmlformats.org/officeDocument/2006/relationships/hyperlink" Target="https://www.vic.gov.au/independent-review-employee-representatives" TargetMode="External"/><Relationship Id="rId227" Type="http://schemas.openxmlformats.org/officeDocument/2006/relationships/hyperlink" Target="https://consult.swa.gov.au/best-practice-review/bprsurveysubmissions/list" TargetMode="External"/><Relationship Id="rId269" Type="http://schemas.openxmlformats.org/officeDocument/2006/relationships/hyperlink" Target="https://consult.swa.gov.au/best-practice-review/bprsurveysubmissions/list" TargetMode="External"/><Relationship Id="rId434" Type="http://schemas.openxmlformats.org/officeDocument/2006/relationships/hyperlink" Target="https://consult.swa.gov.au/best-practice-review/bprsurveysubmissions/list" TargetMode="External"/><Relationship Id="rId476" Type="http://schemas.openxmlformats.org/officeDocument/2006/relationships/hyperlink" Target="https://consult.swa.gov.au/best-practice-review/bprsurveysubmissions/list" TargetMode="External"/><Relationship Id="rId33" Type="http://schemas.openxmlformats.org/officeDocument/2006/relationships/hyperlink" Target="https://consult.swa.gov.au/best-practice-review/bprsurveysubmissions/list" TargetMode="External"/><Relationship Id="rId129" Type="http://schemas.openxmlformats.org/officeDocument/2006/relationships/hyperlink" Target="https://consult.swa.gov.au/best-practice-review/bprsurveysubmissions/list" TargetMode="External"/><Relationship Id="rId280" Type="http://schemas.openxmlformats.org/officeDocument/2006/relationships/hyperlink" Target="https://consult.swa.gov.au/best-practice-review/bprsurveysubmissions/list" TargetMode="External"/><Relationship Id="rId336" Type="http://schemas.openxmlformats.org/officeDocument/2006/relationships/hyperlink" Target="https://consult.swa.gov.au/best-practice-review/bprsurveysubmissions/list" TargetMode="External"/><Relationship Id="rId501" Type="http://schemas.openxmlformats.org/officeDocument/2006/relationships/hyperlink" Target="https://consult.swa.gov.au/best-practice-review/bprsurveysubmissions/list" TargetMode="External"/><Relationship Id="rId543" Type="http://schemas.openxmlformats.org/officeDocument/2006/relationships/hyperlink" Target="https://www.ilo.org/publications/ensuring-safety-and-health-work-changing-climate" TargetMode="External"/><Relationship Id="rId75" Type="http://schemas.openxmlformats.org/officeDocument/2006/relationships/hyperlink" Target="https://consult.swa.gov.au/best-practice-review/bprsurveysubmissions/list" TargetMode="External"/><Relationship Id="rId140" Type="http://schemas.openxmlformats.org/officeDocument/2006/relationships/hyperlink" Target="https://acsi.org.au/publications/stewardship-reports/" TargetMode="External"/><Relationship Id="rId182" Type="http://schemas.openxmlformats.org/officeDocument/2006/relationships/hyperlink" Target="https://www.oir.qld.gov.au/system/files/2023-04/review-work-health-safety-act-final-report.pdf" TargetMode="External"/><Relationship Id="rId378" Type="http://schemas.openxmlformats.org/officeDocument/2006/relationships/hyperlink" Target="https://www.sentencingcouncil.vic.gov.au/publications/sentencing-occupational-health-and-safety-offences-in-victoria-report-and-recommendations" TargetMode="External"/><Relationship Id="rId403" Type="http://schemas.openxmlformats.org/officeDocument/2006/relationships/hyperlink" Target="https://consult.swa.gov.au/best-practice-review/bprsurveysubmissions/list" TargetMode="External"/><Relationship Id="rId585" Type="http://schemas.openxmlformats.org/officeDocument/2006/relationships/hyperlink" Target="https://consult.swa.gov.au/best-practice-review/bprsurveysubmissions/list" TargetMode="External"/><Relationship Id="rId6" Type="http://schemas.openxmlformats.org/officeDocument/2006/relationships/hyperlink" Target="https://consult.swa.gov.au/best-practice-review/bprsurveysubmissions/list" TargetMode="External"/><Relationship Id="rId238" Type="http://schemas.openxmlformats.org/officeDocument/2006/relationships/hyperlink" Target="https://www.humanrights.unsw.edu.au/students/blogs/australia-federal-discrimination-laws-practical-intersectional-approach" TargetMode="External"/><Relationship Id="rId445" Type="http://schemas.openxmlformats.org/officeDocument/2006/relationships/hyperlink" Target="https://consult.swa.gov.au/best-practice-review/bprsurveysubmissions/list" TargetMode="External"/><Relationship Id="rId487" Type="http://schemas.openxmlformats.org/officeDocument/2006/relationships/hyperlink" Target="https://www.cyber.gov.au/business-government/secure-design/artificial-intelligence/engaging-with-artificial-intelligence" TargetMode="External"/><Relationship Id="rId610" Type="http://schemas.openxmlformats.org/officeDocument/2006/relationships/hyperlink" Target="https://humanrights.gov.au/resource-hub/by-resource-type/publications/sex-and-gender-rights/sex-and-gender-rights/respectwork-sexual-harassment-national-inquiry-report-2020" TargetMode="External"/><Relationship Id="rId291" Type="http://schemas.openxmlformats.org/officeDocument/2006/relationships/hyperlink" Target="https://consult.swa.gov.au/best-practice-review/bprsurveysubmissions/list" TargetMode="External"/><Relationship Id="rId305" Type="http://schemas.openxmlformats.org/officeDocument/2006/relationships/hyperlink" Target="https://safework.sa.gov.au/about-us/body-worn-cameras" TargetMode="External"/><Relationship Id="rId347" Type="http://schemas.openxmlformats.org/officeDocument/2006/relationships/hyperlink" Target="https://data.safeworkaustralia.gov.au/interactive-data/topic/whs-prosecutions" TargetMode="External"/><Relationship Id="rId512" Type="http://schemas.openxmlformats.org/officeDocument/2006/relationships/hyperlink" Target="https://consult.swa.gov.au/best-practice-review/bprsurveysubmissions/list" TargetMode="External"/><Relationship Id="rId44" Type="http://schemas.openxmlformats.org/officeDocument/2006/relationships/hyperlink" Target="https://federation.gov.au/about/agreements/intergovernmental-agreement-regulatory-and-operational-reform-occupational-health" TargetMode="External"/><Relationship Id="rId86" Type="http://schemas.openxmlformats.org/officeDocument/2006/relationships/hyperlink" Target="https://agd.nt.gov.au/media/docs/outcomes-of-consultation-and-review/Best-Practice-Review-of-WHS-in-the-NT-Final-Report-opt.pdf" TargetMode="External"/><Relationship Id="rId151" Type="http://schemas.openxmlformats.org/officeDocument/2006/relationships/hyperlink" Target="https://consult.swa.gov.au/best-practice-review/bprsurveysubmissions/list" TargetMode="External"/><Relationship Id="rId389" Type="http://schemas.openxmlformats.org/officeDocument/2006/relationships/hyperlink" Target="https://consult.swa.gov.au/best-practice-review/bprsurveysubmissions/list" TargetMode="External"/><Relationship Id="rId554" Type="http://schemas.openxmlformats.org/officeDocument/2006/relationships/hyperlink" Target="https://www.cdc.gov.au/resources/publications/national-health-and-climate-strategy" TargetMode="External"/><Relationship Id="rId596" Type="http://schemas.openxmlformats.org/officeDocument/2006/relationships/hyperlink" Target="https://www.safeworkaustralia.gov.au/doc/research-and-evaluation-strategy" TargetMode="External"/><Relationship Id="rId193" Type="http://schemas.openxmlformats.org/officeDocument/2006/relationships/hyperlink" Target="https://www.worksafe.qld.gov.au/about/who-we-are/workplace-health-and-safety-queensland/best-practice-review-of-workplace-health-and-safety-queensland" TargetMode="External"/><Relationship Id="rId207" Type="http://schemas.openxmlformats.org/officeDocument/2006/relationships/hyperlink" Target="https://consult.swa.gov.au/best-practice-review/bprsurveysubmissions/list" TargetMode="External"/><Relationship Id="rId249" Type="http://schemas.openxmlformats.org/officeDocument/2006/relationships/hyperlink" Target="https://consult.swa.gov.au/best-practice-review/bprsurveysubmissions/list" TargetMode="External"/><Relationship Id="rId414" Type="http://schemas.openxmlformats.org/officeDocument/2006/relationships/hyperlink" Target="https://consult.swa.gov.au/best-practice-review/bprsurveysubmissions/list" TargetMode="External"/><Relationship Id="rId456" Type="http://schemas.openxmlformats.org/officeDocument/2006/relationships/hyperlink" Target="https://www.safeworkaustralia.gov.au/doc/review-engineered-stone-prohibition" TargetMode="External"/><Relationship Id="rId498" Type="http://schemas.openxmlformats.org/officeDocument/2006/relationships/hyperlink" Target="https://consult.swa.gov.au/best-practice-review/bprsurveysubmissions/list" TargetMode="External"/><Relationship Id="rId621" Type="http://schemas.openxmlformats.org/officeDocument/2006/relationships/hyperlink" Target="https://data.safeworkaustralia.gov.au/interactive-data/topic/jurisdictional-comparison" TargetMode="External"/><Relationship Id="rId13" Type="http://schemas.openxmlformats.org/officeDocument/2006/relationships/hyperlink" Target="https://consult.swa.gov.au/best-practice-review/bprsurveysubmissions/list" TargetMode="External"/><Relationship Id="rId109" Type="http://schemas.openxmlformats.org/officeDocument/2006/relationships/hyperlink" Target="https://consult.swa.gov.au/best-practice-review/bprsurveysubmissions/list" TargetMode="External"/><Relationship Id="rId260" Type="http://schemas.openxmlformats.org/officeDocument/2006/relationships/hyperlink" Target="https://www.dewr.gov.au/australian-building-and-construction-industry/resources/blueprint-future" TargetMode="External"/><Relationship Id="rId316" Type="http://schemas.openxmlformats.org/officeDocument/2006/relationships/hyperlink" Target="https://consult.swa.gov.au/best-practice-review/bprsurveysubmissions/list" TargetMode="External"/><Relationship Id="rId523" Type="http://schemas.openxmlformats.org/officeDocument/2006/relationships/hyperlink" Target="https://www.parliament.vic.gov.au/4ac989/contentassets/5232a88edcc34487aa0223bcbb2c8974/laeic-60-02-inquiry-into-workplace-surveillance2.pdf" TargetMode="External"/><Relationship Id="rId55" Type="http://schemas.openxmlformats.org/officeDocument/2006/relationships/hyperlink" Target="https://app.converlens.com/safework/best-practice-review/bprsurveysubmissions/list" TargetMode="External"/><Relationship Id="rId97" Type="http://schemas.openxmlformats.org/officeDocument/2006/relationships/hyperlink" Target="https://www.dewr.gov.au/workplace-relations-australia/resources/national-review-model-occupational-health-and-safety-laws-second-report" TargetMode="External"/><Relationship Id="rId120" Type="http://schemas.openxmlformats.org/officeDocument/2006/relationships/hyperlink" Target="https://consult.swa.gov.au/best-practice-review/bprsurveysubmissions/list" TargetMode="External"/><Relationship Id="rId358" Type="http://schemas.openxmlformats.org/officeDocument/2006/relationships/hyperlink" Target="https://consult.swa.gov.au/best-practice-review/bprsurveysubmissions/list" TargetMode="External"/><Relationship Id="rId565" Type="http://schemas.openxmlformats.org/officeDocument/2006/relationships/hyperlink" Target="https://www.ilo.org/publications/ensuring-safety-and-health-work-changing-climate" TargetMode="External"/><Relationship Id="rId162" Type="http://schemas.openxmlformats.org/officeDocument/2006/relationships/hyperlink" Target="https://consult.swa.gov.au/best-practice-review/bprsurveysubmissions/list" TargetMode="External"/><Relationship Id="rId218" Type="http://schemas.openxmlformats.org/officeDocument/2006/relationships/hyperlink" Target="https://www.dewr.gov.au/australian-building-and-construction-industry/resources/blueprint-future" TargetMode="External"/><Relationship Id="rId425" Type="http://schemas.openxmlformats.org/officeDocument/2006/relationships/hyperlink" Target="https://consult.swa.gov.au/best-practice-review/bprsurveysubmissions/list" TargetMode="External"/><Relationship Id="rId467" Type="http://schemas.openxmlformats.org/officeDocument/2006/relationships/hyperlink" Target="https://app.converlens.com/safework/best-practice-review/bprsurveysubmissions/list" TargetMode="External"/><Relationship Id="rId271" Type="http://schemas.openxmlformats.org/officeDocument/2006/relationships/hyperlink" Target="https://www.oecd.org/content/dam/oecd/en/publications/reports/2016/07/being-an-independent-regulator_g1g66e65/9789264255401-en.pdf" TargetMode="External"/><Relationship Id="rId24" Type="http://schemas.openxmlformats.org/officeDocument/2006/relationships/hyperlink" Target="https://data.safeworkaustralia.gov.au/insights/key-whs-statistics-australia/latest-release" TargetMode="External"/><Relationship Id="rId66" Type="http://schemas.openxmlformats.org/officeDocument/2006/relationships/hyperlink" Target="https://consult.swa.gov.au/best-practice-review/bprsurveysubmissions/list" TargetMode="External"/><Relationship Id="rId131" Type="http://schemas.openxmlformats.org/officeDocument/2006/relationships/hyperlink" Target="https://www.safeworkaustralia.gov.au/system/files/documents/1902/review_of_the_model_whs_laws_final_report_0.pdf" TargetMode="External"/><Relationship Id="rId327" Type="http://schemas.openxmlformats.org/officeDocument/2006/relationships/hyperlink" Target="https://consult.swa.gov.au/best-practice-review/bprsurveysubmissions/list" TargetMode="External"/><Relationship Id="rId369" Type="http://schemas.openxmlformats.org/officeDocument/2006/relationships/hyperlink" Target="https://www.dewr.gov.au/download/17619/closing-loopholes-review-draft-report/42732/closing-loopholes-review-draft-report/pdf" TargetMode="External"/><Relationship Id="rId534" Type="http://schemas.openxmlformats.org/officeDocument/2006/relationships/hyperlink" Target="https://consult.swa.gov.au/best-practice-review/bprsurveysubmissions/list" TargetMode="External"/><Relationship Id="rId576" Type="http://schemas.openxmlformats.org/officeDocument/2006/relationships/hyperlink" Target="https://app.converlens.com/safework/best-practice-review/bprsurveysubmissions/list" TargetMode="External"/><Relationship Id="rId173" Type="http://schemas.openxmlformats.org/officeDocument/2006/relationships/hyperlink" Target="https://www.oir.qld.gov.au/system/files/2023-04/review-work-health-safety-act-final-report.pdf" TargetMode="External"/><Relationship Id="rId229" Type="http://schemas.openxmlformats.org/officeDocument/2006/relationships/hyperlink" Target="https://app.converlens.com/safework/best-practice-review/bprsurveysubmissions/list" TargetMode="External"/><Relationship Id="rId380" Type="http://schemas.openxmlformats.org/officeDocument/2006/relationships/hyperlink" Target="https://www.sentencingcouncil.vic.gov.au/publications/sentencing-occupational-health-and-safety-offences-in-victoria-report-and-recommendations" TargetMode="External"/><Relationship Id="rId436" Type="http://schemas.openxmlformats.org/officeDocument/2006/relationships/hyperlink" Target="https://consult.swa.gov.au/best-practice-review/bprsurveysubmissions/list" TargetMode="External"/><Relationship Id="rId601" Type="http://schemas.openxmlformats.org/officeDocument/2006/relationships/hyperlink" Target="https://consult.swa.gov.au/best-practice-review/bprsurveysubmissions/list" TargetMode="External"/><Relationship Id="rId240" Type="http://schemas.openxmlformats.org/officeDocument/2006/relationships/hyperlink" Target="https://www.abc.net.au/religion/misunderstandings-about-australian-disability-discrimination-act/106094232" TargetMode="External"/><Relationship Id="rId478" Type="http://schemas.openxmlformats.org/officeDocument/2006/relationships/hyperlink" Target="https://consult.swa.gov.au/best-practice-review/bprsurveysubmissions/list" TargetMode="External"/><Relationship Id="rId35" Type="http://schemas.openxmlformats.org/officeDocument/2006/relationships/hyperlink" Target="https://consult.swa.gov.au/best-practice-review/bprsurveysubmissions/list" TargetMode="External"/><Relationship Id="rId77" Type="http://schemas.openxmlformats.org/officeDocument/2006/relationships/hyperlink" Target="https://consult.swa.gov.au/best-practice-review/bprsurveysubmissions/list" TargetMode="External"/><Relationship Id="rId100" Type="http://schemas.openxmlformats.org/officeDocument/2006/relationships/hyperlink" Target="https://www.australianunions.org.au/campaigns/offshore-and-maritime-workers-deserve-safe-workplaces/" TargetMode="External"/><Relationship Id="rId282" Type="http://schemas.openxmlformats.org/officeDocument/2006/relationships/hyperlink" Target="https://consult.swa.gov.au/best-practice-review/bprsurveysubmissions/list" TargetMode="External"/><Relationship Id="rId338" Type="http://schemas.openxmlformats.org/officeDocument/2006/relationships/hyperlink" Target="https://consult.swa.gov.au/best-practice-review/bprsurveysubmissions/list" TargetMode="External"/><Relationship Id="rId503" Type="http://schemas.openxmlformats.org/officeDocument/2006/relationships/hyperlink" Target="https://consult.swa.gov.au/best-practice-review/bprsurveysubmissions/list" TargetMode="External"/><Relationship Id="rId545" Type="http://schemas.openxmlformats.org/officeDocument/2006/relationships/hyperlink" Target="https://consult.swa.gov.au/best-practice-review/bprsurveysubmissions/list" TargetMode="External"/><Relationship Id="rId587" Type="http://schemas.openxmlformats.org/officeDocument/2006/relationships/hyperlink" Target="https://consult.swa.gov.au/best-practice-review/bprsurveysubmissions/list" TargetMode="External"/><Relationship Id="rId8" Type="http://schemas.openxmlformats.org/officeDocument/2006/relationships/hyperlink" Target="https://consult.swa.gov.au/best-practice-review/bprsurveysubmissions/list" TargetMode="External"/><Relationship Id="rId142" Type="http://schemas.openxmlformats.org/officeDocument/2006/relationships/hyperlink" Target="https://consult.swa.gov.au/best-practice-review/bprsurveysubmissions/list" TargetMode="External"/><Relationship Id="rId184" Type="http://schemas.openxmlformats.org/officeDocument/2006/relationships/hyperlink" Target="https://consult.swa.gov.au/best-practice-review/bprsurveysubmissions/list" TargetMode="External"/><Relationship Id="rId391" Type="http://schemas.openxmlformats.org/officeDocument/2006/relationships/hyperlink" Target="https://legislation.nsw.gov.au/view/html/inforce/current/act-2011-010" TargetMode="External"/><Relationship Id="rId405" Type="http://schemas.openxmlformats.org/officeDocument/2006/relationships/hyperlink" Target="https://consult.swa.gov.au/best-practice-review/bprsurveysubmissions/list" TargetMode="External"/><Relationship Id="rId447" Type="http://schemas.openxmlformats.org/officeDocument/2006/relationships/hyperlink" Target="https://consult.swa.gov.au/best-practice-review/bprsurveysubmissions/list" TargetMode="External"/><Relationship Id="rId612" Type="http://schemas.openxmlformats.org/officeDocument/2006/relationships/hyperlink" Target="https://disability.royalcommission.gov.au/system/files/2023-09/Final%20Report%20-%20Volume%207%2C%20Inclusive%20education%2C%20employment%20and%20housing%20-%20Part%20B.pdf" TargetMode="External"/><Relationship Id="rId251" Type="http://schemas.openxmlformats.org/officeDocument/2006/relationships/hyperlink" Target="https://consult.swa.gov.au/best-practice-review/bprsurveysubmissions/list" TargetMode="External"/><Relationship Id="rId489" Type="http://schemas.openxmlformats.org/officeDocument/2006/relationships/hyperlink" Target="https://www.ibm.com/think/topics/agentic-ai" TargetMode="External"/><Relationship Id="rId46" Type="http://schemas.openxmlformats.org/officeDocument/2006/relationships/hyperlink" Target="https://consult.swa.gov.au/best-practice-review/bprsurveysubmissions/list" TargetMode="External"/><Relationship Id="rId293" Type="http://schemas.openxmlformats.org/officeDocument/2006/relationships/hyperlink" Target="https://consult.swa.gov.au/best-practice-review/bprsurveysubmissions/list" TargetMode="External"/><Relationship Id="rId307" Type="http://schemas.openxmlformats.org/officeDocument/2006/relationships/hyperlink" Target="https://www.worksafe.act.gov.au/__data/assets/pdf_file/0006/2191821/Final-Report-Conduct-of-WHS-Prosecutions-in-the-ACT-30-June-2022.pdf" TargetMode="External"/><Relationship Id="rId349" Type="http://schemas.openxmlformats.org/officeDocument/2006/relationships/hyperlink" Target="https://www.dewr.gov.au/workplace-relations-australia/resources/national-review-model-occupational-health-and-safety-laws-second-report" TargetMode="External"/><Relationship Id="rId514" Type="http://schemas.openxmlformats.org/officeDocument/2006/relationships/hyperlink" Target="https://consult.swa.gov.au/best-practice-review/bprsurveysubmissions/list" TargetMode="External"/><Relationship Id="rId556" Type="http://schemas.openxmlformats.org/officeDocument/2006/relationships/hyperlink" Target="https://www.safeworkaustralia.gov.au/doc/australian-work-health-and-safety-strategy-2023-2033" TargetMode="External"/><Relationship Id="rId88" Type="http://schemas.openxmlformats.org/officeDocument/2006/relationships/hyperlink" Target="https://www.nhvr.gov.au/law-policies/heavy-vehicle-national-law-and-regulations" TargetMode="External"/><Relationship Id="rId111" Type="http://schemas.openxmlformats.org/officeDocument/2006/relationships/hyperlink" Target="https://humanrights.gov.au/resource-hub/race/anti-racism-framework" TargetMode="External"/><Relationship Id="rId153" Type="http://schemas.openxmlformats.org/officeDocument/2006/relationships/hyperlink" Target="https://consult.swa.gov.au/best-practice-review/bprsurveysubmissions/list" TargetMode="External"/><Relationship Id="rId195" Type="http://schemas.openxmlformats.org/officeDocument/2006/relationships/hyperlink" Target="https://www.oir.qld.gov.au/system/files/2023-04/review-work-health-safety-act-final-report.pdf" TargetMode="External"/><Relationship Id="rId209" Type="http://schemas.openxmlformats.org/officeDocument/2006/relationships/hyperlink" Target="https://www.comcare.gov.au/sites/default/files/docs/hsr-training-course-requirements-booklet.pdf" TargetMode="External"/><Relationship Id="rId360" Type="http://schemas.openxmlformats.org/officeDocument/2006/relationships/hyperlink" Target="https://www.safeworkaustralia.gov.au/system/files/documents/1902/review_of_the_model_whs_laws_final_report_0.pdf" TargetMode="External"/><Relationship Id="rId416" Type="http://schemas.openxmlformats.org/officeDocument/2006/relationships/hyperlink" Target="https://www.safework.nsw.gov.au/resource-library/blogs/blogs-accordions/digital-white-card-now-available" TargetMode="External"/><Relationship Id="rId598" Type="http://schemas.openxmlformats.org/officeDocument/2006/relationships/hyperlink" Target="https://www.parliament.qld.gov.au/Work-of-the-Assembly/Tabled-Papers/docs/5412t246/5412t246.pdf" TargetMode="External"/><Relationship Id="rId220" Type="http://schemas.openxmlformats.org/officeDocument/2006/relationships/hyperlink" Target="https://www.oir.qld.gov.au/system/files/2023-04/review-work-health-safety-act-final-report.pdf" TargetMode="External"/><Relationship Id="rId458" Type="http://schemas.openxmlformats.org/officeDocument/2006/relationships/hyperlink" Target="https://view.officeapps.live.com/op/view.aspx?src=https%3A%2F%2Fwww.safeworkaustralia.gov.au%2Fsites%2Fdefault%2Ffiles%2F2025-12%2Freview-of-the-engineered-stone-prohibition_december2025.docx&amp;wdOrigin=BROWSELINK" TargetMode="External"/><Relationship Id="rId15" Type="http://schemas.openxmlformats.org/officeDocument/2006/relationships/hyperlink" Target="https://www.dewr.gov.au/workplace-relations-australia/resources/national-review-model-occupational-health-and-safety-laws-first-report" TargetMode="External"/><Relationship Id="rId57" Type="http://schemas.openxmlformats.org/officeDocument/2006/relationships/hyperlink" Target="https://consult.swa.gov.au/best-practice-review/bprsurveysubmissions/list" TargetMode="External"/><Relationship Id="rId262" Type="http://schemas.openxmlformats.org/officeDocument/2006/relationships/hyperlink" Target="https://www.oir.qld.gov.au/system/files/2023-04/review-work-health-safety-act-final-report.pdf" TargetMode="External"/><Relationship Id="rId318" Type="http://schemas.openxmlformats.org/officeDocument/2006/relationships/hyperlink" Target="https://consult.swa.gov.au/best-practice-review/bprsurveysubmissions/list" TargetMode="External"/><Relationship Id="rId525" Type="http://schemas.openxmlformats.org/officeDocument/2006/relationships/hyperlink" Target="https://www.aph.gov.au/Parliamentary_Business/Committees/Senate/Adopting_Artificial_Intelligence_AI/AdoptingAI/Report" TargetMode="External"/><Relationship Id="rId567" Type="http://schemas.openxmlformats.org/officeDocument/2006/relationships/hyperlink" Target="https://aihs.org.au/common/Uploaded%20files/Public/AIHS%20Climate%20Change%20Position%20Statement%20PDF.pdf" TargetMode="External"/><Relationship Id="rId99" Type="http://schemas.openxmlformats.org/officeDocument/2006/relationships/hyperlink" Target="https://consult.swa.gov.au/best-practice-review/bprsurveysubmissions/list" TargetMode="External"/><Relationship Id="rId122" Type="http://schemas.openxmlformats.org/officeDocument/2006/relationships/hyperlink" Target="https://consult.swa.gov.au/best-practice-review/bprsurveysubmissions/list" TargetMode="External"/><Relationship Id="rId164" Type="http://schemas.openxmlformats.org/officeDocument/2006/relationships/hyperlink" Target="https://www.oir.qld.gov.au/system/files/2023-04/review-work-health-safety-act-final-report.pdf" TargetMode="External"/><Relationship Id="rId371" Type="http://schemas.openxmlformats.org/officeDocument/2006/relationships/hyperlink" Target="https://consult.swa.gov.au/best-practice-review/bprsurveysubmissions/list" TargetMode="External"/><Relationship Id="rId427" Type="http://schemas.openxmlformats.org/officeDocument/2006/relationships/hyperlink" Target="https://consult.swa.gov.au/best-practice-review/bprsurveysubmissions/list" TargetMode="External"/><Relationship Id="rId469" Type="http://schemas.openxmlformats.org/officeDocument/2006/relationships/hyperlink" Target="https://consult.swa.gov.au/best-practice-review/bprsurveysubmissions/list" TargetMode="External"/><Relationship Id="rId26" Type="http://schemas.openxmlformats.org/officeDocument/2006/relationships/hyperlink" Target="https://www.safeworkaustralia.gov.au/system/files/documents/1902/review_of_the_model_whs_laws_final_report_0.pdf" TargetMode="External"/><Relationship Id="rId231" Type="http://schemas.openxmlformats.org/officeDocument/2006/relationships/hyperlink" Target="https://www.oir.qld.gov.au/system/files/2023-04/review-work-health-safety-act-final-report.pdf" TargetMode="External"/><Relationship Id="rId273" Type="http://schemas.openxmlformats.org/officeDocument/2006/relationships/hyperlink" Target="https://agd.nt.gov.au/media/docs/outcomes-of-consultation-and-review/Best-Practice-Review-of-WHS-in-the-NT-Final-Report-opt.pdf" TargetMode="External"/><Relationship Id="rId329" Type="http://schemas.openxmlformats.org/officeDocument/2006/relationships/hyperlink" Target="https://data.safeworkaustralia.gov.au/interactive-data/topic/whs-prosecutions" TargetMode="External"/><Relationship Id="rId480" Type="http://schemas.openxmlformats.org/officeDocument/2006/relationships/hyperlink" Target="https://consult.swa.gov.au/best-practice-review/bprsurveysubmissions/list" TargetMode="External"/><Relationship Id="rId536" Type="http://schemas.openxmlformats.org/officeDocument/2006/relationships/hyperlink" Target="https://consult.swa.gov.au/best-practice-review/bprsurveysubmissions/list" TargetMode="External"/><Relationship Id="rId68" Type="http://schemas.openxmlformats.org/officeDocument/2006/relationships/hyperlink" Target="https://consult.swa.gov.au/best-practice-review/bprsurveysubmissions/list" TargetMode="External"/><Relationship Id="rId133" Type="http://schemas.openxmlformats.org/officeDocument/2006/relationships/hyperlink" Target="https://consult.swa.gov.au/best-practice-review/bprsurveysubmissions/list" TargetMode="External"/><Relationship Id="rId175" Type="http://schemas.openxmlformats.org/officeDocument/2006/relationships/hyperlink" Target="https://www.oir.qld.gov.au/system/files/2023-04/review-work-health-safety-act-final-report.pdf" TargetMode="External"/><Relationship Id="rId340" Type="http://schemas.openxmlformats.org/officeDocument/2006/relationships/hyperlink" Target="https://consult.swa.gov.au/best-practice-review/bprsurveysubmissions/list" TargetMode="External"/><Relationship Id="rId578" Type="http://schemas.openxmlformats.org/officeDocument/2006/relationships/hyperlink" Target="https://consult.swa.gov.au/best-practice-review/bprsurveysubmissions/list" TargetMode="External"/><Relationship Id="rId200" Type="http://schemas.openxmlformats.org/officeDocument/2006/relationships/hyperlink" Target="https://consult.swa.gov.au/best-practice-review/bprsurveysubmissions/list" TargetMode="External"/><Relationship Id="rId382" Type="http://schemas.openxmlformats.org/officeDocument/2006/relationships/hyperlink" Target="https://data.safeworkaustralia.gov.au/interactive-data/topic/whs-prosecutions" TargetMode="External"/><Relationship Id="rId438" Type="http://schemas.openxmlformats.org/officeDocument/2006/relationships/hyperlink" Target="https://consult.swa.gov.au/best-practice-review/bprsurveysubmissions/list" TargetMode="External"/><Relationship Id="rId603" Type="http://schemas.openxmlformats.org/officeDocument/2006/relationships/hyperlink" Target="https://consult.swa.gov.au/best-practice-review/bprsurveysubmissions/list" TargetMode="External"/><Relationship Id="rId242" Type="http://schemas.openxmlformats.org/officeDocument/2006/relationships/hyperlink" Target="https://consult.swa.gov.au/best-practice-review/bprsurveysubmissions/list" TargetMode="External"/><Relationship Id="rId284" Type="http://schemas.openxmlformats.org/officeDocument/2006/relationships/hyperlink" Target="https://consult.swa.gov.au/best-practice-review/bprsurveysubmissions/list" TargetMode="External"/><Relationship Id="rId491" Type="http://schemas.openxmlformats.org/officeDocument/2006/relationships/hyperlink" Target="https://news.microsoft.com/en-au/features/ai-at-work-is-here-now-comes-the-hard-part/" TargetMode="External"/><Relationship Id="rId505" Type="http://schemas.openxmlformats.org/officeDocument/2006/relationships/hyperlink" Target="https://consult.swa.gov.au/best-practice-review/bprsurveysubmissions/list" TargetMode="External"/><Relationship Id="rId37" Type="http://schemas.openxmlformats.org/officeDocument/2006/relationships/hyperlink" Target="https://consult.swa.gov.au/best-practice-review/bprsurveysubmissions/list" TargetMode="External"/><Relationship Id="rId79" Type="http://schemas.openxmlformats.org/officeDocument/2006/relationships/hyperlink" Target="https://consult.swa.gov.au/best-practice-review/bprsurveysubmissions/list" TargetMode="External"/><Relationship Id="rId102" Type="http://schemas.openxmlformats.org/officeDocument/2006/relationships/hyperlink" Target="https://consult.swa.gov.au/best-practice-review/bprsurveysubmissions/list" TargetMode="External"/><Relationship Id="rId144" Type="http://schemas.openxmlformats.org/officeDocument/2006/relationships/hyperlink" Target="https://www.fairwork.gov.au/employment-conditions/information-statements/fair-work-information-statement" TargetMode="External"/><Relationship Id="rId547" Type="http://schemas.openxmlformats.org/officeDocument/2006/relationships/hyperlink" Target="https://app.converlens.com/safework/best-practice-review/bprsurveysubmissions/list" TargetMode="External"/><Relationship Id="rId589" Type="http://schemas.openxmlformats.org/officeDocument/2006/relationships/hyperlink" Target="https://data.safeworkaustralia.gov.au/interactive-data/topic/workers-compensation" TargetMode="External"/><Relationship Id="rId90" Type="http://schemas.openxmlformats.org/officeDocument/2006/relationships/hyperlink" Target="https://consult.swa.gov.au/best-practice-review/bprsurveysubmissions/list" TargetMode="External"/><Relationship Id="rId186" Type="http://schemas.openxmlformats.org/officeDocument/2006/relationships/hyperlink" Target="https://www.oir.qld.gov.au/system/files/2023-04/review-work-health-safety-act-final-report.pdf" TargetMode="External"/><Relationship Id="rId351" Type="http://schemas.openxmlformats.org/officeDocument/2006/relationships/hyperlink" Target="https://consult.swa.gov.au/best-practice-review/bprsurveysubmissions/list" TargetMode="External"/><Relationship Id="rId393" Type="http://schemas.openxmlformats.org/officeDocument/2006/relationships/hyperlink" Target="https://consult.swa.gov.au/best-practice-review/bprsurveysubmissions/list" TargetMode="External"/><Relationship Id="rId407" Type="http://schemas.openxmlformats.org/officeDocument/2006/relationships/hyperlink" Target="https://consult.swa.gov.au/best-practice-review/bprsurveysubmissions/list" TargetMode="External"/><Relationship Id="rId449" Type="http://schemas.openxmlformats.org/officeDocument/2006/relationships/hyperlink" Target="https://www.courts.sa.gov.au/download/2022-findings/?ind=1675207818716&amp;filename=Leong%20Yi%20Hui,%20Adelene.pdf&amp;wpdmdl=19142&amp;refresh=69f82926494c21777871142" TargetMode="External"/><Relationship Id="rId614" Type="http://schemas.openxmlformats.org/officeDocument/2006/relationships/hyperlink" Target="https://humanrights.gov.au/__data/assets/file/0021/47334/NARF_Full_Report_FINAL_DIGITAL_ACCESSIBLE.pdf" TargetMode="External"/><Relationship Id="rId211" Type="http://schemas.openxmlformats.org/officeDocument/2006/relationships/hyperlink" Target="https://www.comcare.gov.au/service-providers/training-providers" TargetMode="External"/><Relationship Id="rId253" Type="http://schemas.openxmlformats.org/officeDocument/2006/relationships/hyperlink" Target="https://consult.swa.gov.au/best-practice-review/bprsurveysubmissions/list" TargetMode="External"/><Relationship Id="rId295" Type="http://schemas.openxmlformats.org/officeDocument/2006/relationships/hyperlink" Target="https://consult.swa.gov.au/best-practice-review/bprsurveysubmissions/list" TargetMode="External"/><Relationship Id="rId309" Type="http://schemas.openxmlformats.org/officeDocument/2006/relationships/hyperlink" Target="https://consult.swa.gov.au/best-practice-review/bprsurveysubmissions/list" TargetMode="External"/><Relationship Id="rId460" Type="http://schemas.openxmlformats.org/officeDocument/2006/relationships/hyperlink" Target="https://consult.swa.gov.au/best-practice-review/bprsurveysubmissions/list" TargetMode="External"/><Relationship Id="rId516" Type="http://schemas.openxmlformats.org/officeDocument/2006/relationships/hyperlink" Target="https://consult.swa.gov.au/best-practice-review/bprsurveysubmissions/list" TargetMode="External"/><Relationship Id="rId48" Type="http://schemas.openxmlformats.org/officeDocument/2006/relationships/hyperlink" Target="https://www.safeworkaustralia.gov.au/system/files/documents/1902/review_of_the_model_whs_laws_final_report_0.pdf" TargetMode="External"/><Relationship Id="rId113" Type="http://schemas.openxmlformats.org/officeDocument/2006/relationships/hyperlink" Target="https://humanrights.gov.au/resource-hub/lgbtqia/equal-identities" TargetMode="External"/><Relationship Id="rId320" Type="http://schemas.openxmlformats.org/officeDocument/2006/relationships/hyperlink" Target="https://consult.swa.gov.au/best-practice-review/bprsurveysubmissions/list" TargetMode="External"/><Relationship Id="rId558" Type="http://schemas.openxmlformats.org/officeDocument/2006/relationships/hyperlink" Target="https://www.netzerocommission.nsw.gov.au/publications/heat-stress-spotlight-report" TargetMode="External"/><Relationship Id="rId155" Type="http://schemas.openxmlformats.org/officeDocument/2006/relationships/hyperlink" Target="https://consult.swa.gov.au/best-practice-review/bprsurveysubmissions/list" TargetMode="External"/><Relationship Id="rId197" Type="http://schemas.openxmlformats.org/officeDocument/2006/relationships/hyperlink" Target="https://consult.swa.gov.au/best-practice-review/bprsurveysubmissions/list" TargetMode="External"/><Relationship Id="rId362" Type="http://schemas.openxmlformats.org/officeDocument/2006/relationships/hyperlink" Target="https://consult.swa.gov.au/best-practice-review/bprsurveysubmissions/list" TargetMode="External"/><Relationship Id="rId418" Type="http://schemas.openxmlformats.org/officeDocument/2006/relationships/hyperlink" Target="https://consult.swa.gov.au/best-practice-review/bprsurveysubmissions/list" TargetMode="External"/><Relationship Id="rId222" Type="http://schemas.openxmlformats.org/officeDocument/2006/relationships/hyperlink" Target="https://www.oir.qld.gov.au/system/files/2023-04/review-work-health-safety-act-final-report.pdf" TargetMode="External"/><Relationship Id="rId264" Type="http://schemas.openxmlformats.org/officeDocument/2006/relationships/hyperlink" Target="https://www.legislation.qld.gov.au/view/html/inforce/current/act-2011-018" TargetMode="External"/><Relationship Id="rId471" Type="http://schemas.openxmlformats.org/officeDocument/2006/relationships/hyperlink" Target="https://consult.swa.gov.au/best-practice-review/bprsurveysubmissions/list" TargetMode="External"/><Relationship Id="rId17" Type="http://schemas.openxmlformats.org/officeDocument/2006/relationships/hyperlink" Target="https://treasury.gov.au/publication/p2017-t213722a" TargetMode="External"/><Relationship Id="rId59" Type="http://schemas.openxmlformats.org/officeDocument/2006/relationships/hyperlink" Target="https://app.converlens.com/safework/best-practice-review/bprsurveysubmissions/view/112" TargetMode="External"/><Relationship Id="rId124" Type="http://schemas.openxmlformats.org/officeDocument/2006/relationships/hyperlink" Target="https://consult.swa.gov.au/best-practice-review/bprsurveysubmissions/list" TargetMode="External"/><Relationship Id="rId527" Type="http://schemas.openxmlformats.org/officeDocument/2006/relationships/hyperlink" Target="https://app.converlens.com/safework/best-practice-review/bprsurveysubmissions/list" TargetMode="External"/><Relationship Id="rId569" Type="http://schemas.openxmlformats.org/officeDocument/2006/relationships/hyperlink" Target="https://app.converlens.com/safework/best-practice-review/bprsurveysubmissions/list" TargetMode="External"/><Relationship Id="rId70" Type="http://schemas.openxmlformats.org/officeDocument/2006/relationships/hyperlink" Target="https://consult.swa.gov.au/best-practice-review/bprsurveysubmissions/list" TargetMode="External"/><Relationship Id="rId166" Type="http://schemas.openxmlformats.org/officeDocument/2006/relationships/hyperlink" Target="https://www.worksafe.qld.gov.au/about/who-we-are/workplace-health-and-safety-queensland/best-practice-review-of-workplace-health-and-safety-queensland" TargetMode="External"/><Relationship Id="rId331" Type="http://schemas.openxmlformats.org/officeDocument/2006/relationships/hyperlink" Target="https://consult.swa.gov.au/best-practice-review/bprsurveysubmissions/list" TargetMode="External"/><Relationship Id="rId373" Type="http://schemas.openxmlformats.org/officeDocument/2006/relationships/hyperlink" Target="https://consult.swa.gov.au/best-practice-review/bprsurveysubmissions/list" TargetMode="External"/><Relationship Id="rId429" Type="http://schemas.openxmlformats.org/officeDocument/2006/relationships/hyperlink" Target="https://consult.swa.gov.au/best-practice-review/bprsurveysubmissions/list" TargetMode="External"/><Relationship Id="rId580" Type="http://schemas.openxmlformats.org/officeDocument/2006/relationships/hyperlink" Target="https://app.converlens.com/safework/best-practice-review/bprsurveysubmissions/list" TargetMode="External"/><Relationship Id="rId1" Type="http://schemas.openxmlformats.org/officeDocument/2006/relationships/hyperlink" Target="https://www.safeworkaustralia.gov.au/system/files/documents/1902/review_of_the_model_whs_laws_final_report_0.pdf" TargetMode="External"/><Relationship Id="rId233" Type="http://schemas.openxmlformats.org/officeDocument/2006/relationships/hyperlink" Target="https://consult.swa.gov.au/best-practice-review/bprsurveysubmissions/list" TargetMode="External"/><Relationship Id="rId440" Type="http://schemas.openxmlformats.org/officeDocument/2006/relationships/hyperlink" Target="https://consult.swa.gov.au/best-practice-review/bprsurveysubmissions/list" TargetMode="External"/><Relationship Id="rId28" Type="http://schemas.openxmlformats.org/officeDocument/2006/relationships/hyperlink" Target="https://consult.swa.gov.au/best-practice-review/bprsurveysubmissions/list" TargetMode="External"/><Relationship Id="rId275" Type="http://schemas.openxmlformats.org/officeDocument/2006/relationships/hyperlink" Target="https://consult.swa.gov.au/best-practice-review/bprsurveysubmissions/list" TargetMode="External"/><Relationship Id="rId300" Type="http://schemas.openxmlformats.org/officeDocument/2006/relationships/hyperlink" Target="http://nla.gov.au/nla.obj-3934616179" TargetMode="External"/><Relationship Id="rId482" Type="http://schemas.openxmlformats.org/officeDocument/2006/relationships/hyperlink" Target="https://www.safeworkaustralia.gov.au/system/files/documents/1902/review_of_the_model_whs_laws_final_report_0.pdf" TargetMode="External"/><Relationship Id="rId538" Type="http://schemas.openxmlformats.org/officeDocument/2006/relationships/hyperlink" Target="https://www.acs.gov.au/pages/national-climate-risk-assessment" TargetMode="External"/><Relationship Id="rId81" Type="http://schemas.openxmlformats.org/officeDocument/2006/relationships/hyperlink" Target="https://app.converlens.com/safework/best-practice-review/bprsurveysubmissions/view/82" TargetMode="External"/><Relationship Id="rId135" Type="http://schemas.openxmlformats.org/officeDocument/2006/relationships/hyperlink" Target="https://consult.swa.gov.au/best-practice-review/bprsurveysubmissions/list" TargetMode="External"/><Relationship Id="rId177" Type="http://schemas.openxmlformats.org/officeDocument/2006/relationships/hyperlink" Target="https://www.oir.qld.gov.au/system/files/2023-04/review-work-health-safety-act-final-report.pdf" TargetMode="External"/><Relationship Id="rId342" Type="http://schemas.openxmlformats.org/officeDocument/2006/relationships/hyperlink" Target="https://www.dewr.gov.au/workplace-relations-australia/resources/national-review-model-occupational-health-and-safety-laws-second-report" TargetMode="External"/><Relationship Id="rId384" Type="http://schemas.openxmlformats.org/officeDocument/2006/relationships/hyperlink" Target="https://consult.swa.gov.au/best-practice-review/bprsurveysubmissions/list" TargetMode="External"/><Relationship Id="rId591" Type="http://schemas.openxmlformats.org/officeDocument/2006/relationships/hyperlink" Target="https://data.safeworkaustralia.gov.au/interactive-data/topic/workers-compensation" TargetMode="External"/><Relationship Id="rId605" Type="http://schemas.openxmlformats.org/officeDocument/2006/relationships/hyperlink" Target="https://consult.swa.gov.au/best-practice-review/bprsurveysubmissions/list" TargetMode="External"/><Relationship Id="rId202" Type="http://schemas.openxmlformats.org/officeDocument/2006/relationships/hyperlink" Target="https://consult.swa.gov.au/best-practice-review/bprsurveysubmissions/list" TargetMode="External"/><Relationship Id="rId244" Type="http://schemas.openxmlformats.org/officeDocument/2006/relationships/hyperlink" Target="https://consult.swa.gov.au/best-practice-review/bprsurveysubmissions/list" TargetMode="External"/><Relationship Id="rId39" Type="http://schemas.openxmlformats.org/officeDocument/2006/relationships/hyperlink" Target="https://consult.swa.gov.au/best-practice-review/bprsurveysubmissions/list" TargetMode="External"/><Relationship Id="rId286" Type="http://schemas.openxmlformats.org/officeDocument/2006/relationships/hyperlink" Target="https://consult.swa.gov.au/best-practice-review/bprsurveysubmissions/list" TargetMode="External"/><Relationship Id="rId451" Type="http://schemas.openxmlformats.org/officeDocument/2006/relationships/hyperlink" Target="https://consult.swa.gov.au/best-practice-review/bprsurveysubmissions/list" TargetMode="External"/><Relationship Id="rId493" Type="http://schemas.openxmlformats.org/officeDocument/2006/relationships/hyperlink" Target="https://www.pc.gov.au/inquiries-and-research/data-digital/" TargetMode="External"/><Relationship Id="rId507" Type="http://schemas.openxmlformats.org/officeDocument/2006/relationships/hyperlink" Target="https://consult.swa.gov.au/best-practice-review/bprsurveysubmissions/list" TargetMode="External"/><Relationship Id="rId549" Type="http://schemas.openxmlformats.org/officeDocument/2006/relationships/hyperlink" Target="https://consult.swa.gov.au/best-practice-review/bprsurveysubmissions/list" TargetMode="External"/><Relationship Id="rId50" Type="http://schemas.openxmlformats.org/officeDocument/2006/relationships/hyperlink" Target="https://consult.swa.gov.au/best-practice-review/bprsurveysubmissions/list" TargetMode="External"/><Relationship Id="rId104" Type="http://schemas.openxmlformats.org/officeDocument/2006/relationships/hyperlink" Target="https://consult.swa.gov.au/best-practice-review/bprsurveysubmissions/list" TargetMode="External"/><Relationship Id="rId146" Type="http://schemas.openxmlformats.org/officeDocument/2006/relationships/hyperlink" Target="https://consult.swa.gov.au/best-practice-review/bprsurveysubmissions/list" TargetMode="External"/><Relationship Id="rId188" Type="http://schemas.openxmlformats.org/officeDocument/2006/relationships/hyperlink" Target="https://app.converlens.com/safework/best-practice-review/bprsurveysubmissions/list" TargetMode="External"/><Relationship Id="rId311" Type="http://schemas.openxmlformats.org/officeDocument/2006/relationships/hyperlink" Target="https://www.safework.nsw.gov.au/resource-library/enforceable-undertakings/enforceable-undertakings-guidelines" TargetMode="External"/><Relationship Id="rId353" Type="http://schemas.openxmlformats.org/officeDocument/2006/relationships/hyperlink" Target="https://consult.swa.gov.au/best-practice-review/bprsurveysubmissions/list" TargetMode="External"/><Relationship Id="rId395" Type="http://schemas.openxmlformats.org/officeDocument/2006/relationships/hyperlink" Target="https://consult.swa.gov.au/best-practice-review/bprsurveysubmissions/list" TargetMode="External"/><Relationship Id="rId409" Type="http://schemas.openxmlformats.org/officeDocument/2006/relationships/hyperlink" Target="https://www.abc.net.au/news/2025-11-24/female-transport-workers-toilet-conditions-union/106027330" TargetMode="External"/><Relationship Id="rId560" Type="http://schemas.openxmlformats.org/officeDocument/2006/relationships/hyperlink" Target="https://www.jobsandskills.gov.au/publications/the-clean-energy-generation" TargetMode="External"/><Relationship Id="rId92" Type="http://schemas.openxmlformats.org/officeDocument/2006/relationships/hyperlink" Target="https://consult.swa.gov.au/best-practice-review/bprsurveysubmissions/list" TargetMode="External"/><Relationship Id="rId213" Type="http://schemas.openxmlformats.org/officeDocument/2006/relationships/hyperlink" Target="https://www.worksafe.wa.gov.au/information-training-providers" TargetMode="External"/><Relationship Id="rId420" Type="http://schemas.openxmlformats.org/officeDocument/2006/relationships/hyperlink" Target="https://consult.swa.gov.au/best-practice-review/bprsurveysubmissions/list" TargetMode="External"/><Relationship Id="rId616" Type="http://schemas.openxmlformats.org/officeDocument/2006/relationships/hyperlink" Target="https://www.safeworkaustralia.gov.au/doc/safer-healthier-wealthier-summary-report" TargetMode="External"/><Relationship Id="rId255" Type="http://schemas.openxmlformats.org/officeDocument/2006/relationships/hyperlink" Target="https://www.dewr.gov.au/download/17619/closing-loopholes-review-draft-report/42732/closing-loopholes-review-draft-report/pdf" TargetMode="External"/><Relationship Id="rId297" Type="http://schemas.openxmlformats.org/officeDocument/2006/relationships/hyperlink" Target="https://consult.swa.gov.au/best-practice-review/bprsurveysubmissions/list" TargetMode="External"/><Relationship Id="rId462" Type="http://schemas.openxmlformats.org/officeDocument/2006/relationships/hyperlink" Target="https://consult.swa.gov.au/best-practice-review/bprsurveysubmissions/list" TargetMode="External"/><Relationship Id="rId518" Type="http://schemas.openxmlformats.org/officeDocument/2006/relationships/hyperlink" Target="https://consult.swa.gov.au/best-practice-review/bprsurveysubmissions/list" TargetMode="External"/><Relationship Id="rId115" Type="http://schemas.openxmlformats.org/officeDocument/2006/relationships/hyperlink" Target="https://www.safeworkaustralia.gov.au/doc/national-compliance-and-enforcement-policy" TargetMode="External"/><Relationship Id="rId157" Type="http://schemas.openxmlformats.org/officeDocument/2006/relationships/hyperlink" Target="https://consult.swa.gov.au/best-practice-review/bprsurveysubmissions/list" TargetMode="External"/><Relationship Id="rId322" Type="http://schemas.openxmlformats.org/officeDocument/2006/relationships/hyperlink" Target="https://consult.swa.gov.au/best-practice-review/bprsurveysubmissions/list" TargetMode="External"/><Relationship Id="rId364" Type="http://schemas.openxmlformats.org/officeDocument/2006/relationships/hyperlink" Target="https://consult.swa.gov.au/best-practice-review/bprsurveysubmissions/list" TargetMode="External"/><Relationship Id="rId61" Type="http://schemas.openxmlformats.org/officeDocument/2006/relationships/hyperlink" Target="https://consult.swa.gov.au/best-practice-review/bprsurveysubmissions/list" TargetMode="External"/><Relationship Id="rId199" Type="http://schemas.openxmlformats.org/officeDocument/2006/relationships/hyperlink" Target="https://www.safeworkaustralia.gov.au/doc/worker-representation-and-participation-guide" TargetMode="External"/><Relationship Id="rId571" Type="http://schemas.openxmlformats.org/officeDocument/2006/relationships/hyperlink" Target="https://app.converlens.com/safework/best-practice-review/bprsurveysubmissions/list" TargetMode="External"/><Relationship Id="rId19" Type="http://schemas.openxmlformats.org/officeDocument/2006/relationships/hyperlink" Target="https://webarchive.nla.gov.au/awa/20260309022851/https:/www.asbfeo.gov.au/small-business-data-portal/contribution-australian-gross-domestic-product" TargetMode="External"/><Relationship Id="rId224" Type="http://schemas.openxmlformats.org/officeDocument/2006/relationships/hyperlink" Target="https://consult.swa.gov.au/best-practice-review/bprsurveysubmissions/list" TargetMode="External"/><Relationship Id="rId266" Type="http://schemas.openxmlformats.org/officeDocument/2006/relationships/hyperlink" Target="https://consult.swa.gov.au/best-practice-review/bprsurveysubmissions/list" TargetMode="External"/><Relationship Id="rId431" Type="http://schemas.openxmlformats.org/officeDocument/2006/relationships/hyperlink" Target="https://consult.swa.gov.au/best-practice-review/bprsurveysubmissions/list" TargetMode="External"/><Relationship Id="rId473" Type="http://schemas.openxmlformats.org/officeDocument/2006/relationships/hyperlink" Target="https://consult.swa.gov.au/best-practice-review/bprsurveysubmissions/list" TargetMode="External"/><Relationship Id="rId529" Type="http://schemas.openxmlformats.org/officeDocument/2006/relationships/hyperlink" Target="https://consult.swa.gov.au/best-practice-review/bprsurveysubmissions/list" TargetMode="External"/><Relationship Id="rId30" Type="http://schemas.openxmlformats.org/officeDocument/2006/relationships/hyperlink" Target="https://consult.swa.gov.au/best-practice-review/bprsurveysubmissions/list" TargetMode="External"/><Relationship Id="rId126" Type="http://schemas.openxmlformats.org/officeDocument/2006/relationships/hyperlink" Target="https://consult.swa.gov.au/best-practice-review/bprsurveysubmissions/list" TargetMode="External"/><Relationship Id="rId168" Type="http://schemas.openxmlformats.org/officeDocument/2006/relationships/hyperlink" Target="https://www.oir.qld.gov.au/system/files/2023-04/review-work-health-safety-act-final-report.pdf" TargetMode="External"/><Relationship Id="rId333" Type="http://schemas.openxmlformats.org/officeDocument/2006/relationships/hyperlink" Target="https://consult.swa.gov.au/best-practice-review/bprsurveysubmissions/list" TargetMode="External"/><Relationship Id="rId540" Type="http://schemas.openxmlformats.org/officeDocument/2006/relationships/hyperlink" Target="https://www.ilo.org/publications/ensuring-safety-and-health-work-changing-climate" TargetMode="External"/><Relationship Id="rId72" Type="http://schemas.openxmlformats.org/officeDocument/2006/relationships/hyperlink" Target="https://consult.swa.gov.au/best-practice-review/bprsurveysubmissions/list" TargetMode="External"/><Relationship Id="rId375" Type="http://schemas.openxmlformats.org/officeDocument/2006/relationships/hyperlink" Target="https://www.safeworkaustralia.gov.au/system/files/documents/1902/review_of_the_model_whs_laws_final_report_0.pdf" TargetMode="External"/><Relationship Id="rId582" Type="http://schemas.openxmlformats.org/officeDocument/2006/relationships/hyperlink" Target="https://app.converlens.com/safework/best-practice-review/bprsurveysubmissions/list" TargetMode="External"/><Relationship Id="rId3" Type="http://schemas.openxmlformats.org/officeDocument/2006/relationships/hyperlink" Target="https://www.safeworkaustralia.gov.au/doc/best-practice-review-consultation-summary" TargetMode="External"/><Relationship Id="rId235" Type="http://schemas.openxmlformats.org/officeDocument/2006/relationships/hyperlink" Target="https://app.converlens.com/safework/best-practice-review/bprsurveysubmissions/list" TargetMode="External"/><Relationship Id="rId277" Type="http://schemas.openxmlformats.org/officeDocument/2006/relationships/hyperlink" Target="https://consult.swa.gov.au/best-practice-review/bprsurveysubmissions/list." TargetMode="External"/><Relationship Id="rId400" Type="http://schemas.openxmlformats.org/officeDocument/2006/relationships/hyperlink" Target="https://www.agd.sa.gov.au/industrial-relations/safework-sa/safework-sa-review" TargetMode="External"/><Relationship Id="rId442" Type="http://schemas.openxmlformats.org/officeDocument/2006/relationships/hyperlink" Target="https://consult.swa.gov.au/best-practice-review/bprsurveysubmissions/view/183" TargetMode="External"/><Relationship Id="rId484" Type="http://schemas.openxmlformats.org/officeDocument/2006/relationships/hyperlink" Target="https://www.jstor.org/stable/26588339?seq=1" TargetMode="External"/><Relationship Id="rId137" Type="http://schemas.openxmlformats.org/officeDocument/2006/relationships/hyperlink" Target="https://www.safework.nsw.gov.au/resource-library/whs-research/Australian-WHS-survey-autumn-2024.pdf" TargetMode="External"/><Relationship Id="rId302" Type="http://schemas.openxmlformats.org/officeDocument/2006/relationships/hyperlink" Target="https://consult.swa.gov.au/best-practice-review/bprsurveysubmissions/list" TargetMode="External"/><Relationship Id="rId344" Type="http://schemas.openxmlformats.org/officeDocument/2006/relationships/hyperlink" Target="https://data.safeworkaustralia.gov.au/interactive-data/topic/workers-compensation" TargetMode="External"/><Relationship Id="rId41" Type="http://schemas.openxmlformats.org/officeDocument/2006/relationships/hyperlink" Target="https://federation.gov.au/about/agreements/intergovernmental-agreement-regulatory-and-operational-reform-occupational-health" TargetMode="External"/><Relationship Id="rId83" Type="http://schemas.openxmlformats.org/officeDocument/2006/relationships/hyperlink" Target="https://app.converlens.com/safework/best-practice-review/bprsurveysubmissions/view/83" TargetMode="External"/><Relationship Id="rId179" Type="http://schemas.openxmlformats.org/officeDocument/2006/relationships/hyperlink" Target="https://www.oir.qld.gov.au/system/files/2023-04/review-work-health-safety-act-final-report.pdf" TargetMode="External"/><Relationship Id="rId386" Type="http://schemas.openxmlformats.org/officeDocument/2006/relationships/hyperlink" Target="https://consult.swa.gov.au/best-practice-review/bprsurveysubmissions/list" TargetMode="External"/><Relationship Id="rId551" Type="http://schemas.openxmlformats.org/officeDocument/2006/relationships/hyperlink" Target="https://www.ilo.org/sites/default/files/2024-07/ILO_OSH_Heatstress-R16.pdf" TargetMode="External"/><Relationship Id="rId593" Type="http://schemas.openxmlformats.org/officeDocument/2006/relationships/hyperlink" Target="https://doi.org/10.71741/4pyxmbnjaq.31611544" TargetMode="External"/><Relationship Id="rId607" Type="http://schemas.openxmlformats.org/officeDocument/2006/relationships/hyperlink" Target="https://www.minterellison.com/articles/work-health-and-safety-laws-in-civil-aviation" TargetMode="External"/><Relationship Id="rId190" Type="http://schemas.openxmlformats.org/officeDocument/2006/relationships/hyperlink" Target="https://www.oir.qld.gov.au/system/files/2023-04/review-work-health-safety-act-final-report.pdf" TargetMode="External"/><Relationship Id="rId204" Type="http://schemas.openxmlformats.org/officeDocument/2006/relationships/hyperlink" Target="https://www.oir.qld.gov.au/system/files/2023-04/review-work-health-safety-act-final-report.pdf" TargetMode="External"/><Relationship Id="rId246" Type="http://schemas.openxmlformats.org/officeDocument/2006/relationships/hyperlink" Target="https://consult.swa.gov.au/best-practice-review/bprsurveysubmissions/view/108" TargetMode="External"/><Relationship Id="rId288" Type="http://schemas.openxmlformats.org/officeDocument/2006/relationships/hyperlink" Target="https://consult.swa.gov.au/best-practice-review/bprsurveysubmissions/list" TargetMode="External"/><Relationship Id="rId411" Type="http://schemas.openxmlformats.org/officeDocument/2006/relationships/hyperlink" Target="https://consult.swa.gov.au/best-practice-review/bprsurveysubmissions/list" TargetMode="External"/><Relationship Id="rId453" Type="http://schemas.openxmlformats.org/officeDocument/2006/relationships/hyperlink" Target="https://consult.swa.gov.au/best-practice-review/bprsurveysubmissions/list" TargetMode="External"/><Relationship Id="rId509" Type="http://schemas.openxmlformats.org/officeDocument/2006/relationships/hyperlink" Target="https://app.converlens.com/safework/best-practice-review/bprsurveysubmissions/list" TargetMode="External"/><Relationship Id="rId106" Type="http://schemas.openxmlformats.org/officeDocument/2006/relationships/hyperlink" Target="https://consult.swa.gov.au/best-practice-review/bprsurveysubmissions/list" TargetMode="External"/><Relationship Id="rId313" Type="http://schemas.openxmlformats.org/officeDocument/2006/relationships/hyperlink" Target="https://www.worksafe.qld.gov.au/news-and-events/newsletters/esafe-newsletters/esafe-editions/esafe/october-2023/enforceable-undertakings-helping-improve-worker-safety-for-industry-and-community" TargetMode="External"/><Relationship Id="rId495" Type="http://schemas.openxmlformats.org/officeDocument/2006/relationships/hyperlink" Target="https://www.industry.gov.au/sites/default/files/2025-12/national-ai-plan.pdf" TargetMode="External"/><Relationship Id="rId10" Type="http://schemas.openxmlformats.org/officeDocument/2006/relationships/hyperlink" Target="https://consult.swa.gov.au/best-practice-review/bprsurveysubmissions/list" TargetMode="External"/><Relationship Id="rId52" Type="http://schemas.openxmlformats.org/officeDocument/2006/relationships/hyperlink" Target="https://consult.swa.gov.au/best-practice-review/bprsurveysubmissions/list" TargetMode="External"/><Relationship Id="rId94" Type="http://schemas.openxmlformats.org/officeDocument/2006/relationships/hyperlink" Target="https://consult.swa.gov.au/best-practice-review/bprsurveysubmissions/list" TargetMode="External"/><Relationship Id="rId148" Type="http://schemas.openxmlformats.org/officeDocument/2006/relationships/hyperlink" Target="https://www.vic.gov.au/independent-review-employee-representatives" TargetMode="External"/><Relationship Id="rId355" Type="http://schemas.openxmlformats.org/officeDocument/2006/relationships/hyperlink" Target="https://consult.swa.gov.au/best-practice-review/bprsurveysubmissions/list" TargetMode="External"/><Relationship Id="rId397" Type="http://schemas.openxmlformats.org/officeDocument/2006/relationships/hyperlink" Target="https://www.safework.nsw.gov.au/__data/assets/pdf_file/0005/1285772/The-Independent-Review-of-SafeWork-NSW.pdf" TargetMode="External"/><Relationship Id="rId520" Type="http://schemas.openxmlformats.org/officeDocument/2006/relationships/hyperlink" Target="https://consult.swa.gov.au/best-practice-review/bprsurveysubmissions/list" TargetMode="External"/><Relationship Id="rId562" Type="http://schemas.openxmlformats.org/officeDocument/2006/relationships/hyperlink" Target="https://www.ilo.org/publications/ensuring-safety-and-health-work-changing-climate" TargetMode="External"/><Relationship Id="rId618" Type="http://schemas.openxmlformats.org/officeDocument/2006/relationships/hyperlink" Target="https://www.aihw.gov.au/reports/burden-of-disease/australian-burden-of-disease-study-2024/contents/interactive-data-on-risk-factor-burden/leading-risk-factors" TargetMode="External"/><Relationship Id="rId215" Type="http://schemas.openxmlformats.org/officeDocument/2006/relationships/hyperlink" Target="https://www.oir.qld.gov.au/system/files/2023-04/review-work-health-safety-act-final-report.pdf" TargetMode="External"/><Relationship Id="rId257" Type="http://schemas.openxmlformats.org/officeDocument/2006/relationships/hyperlink" Target="https://www.dewr.gov.au/australian-building-and-construction-industry/resources/blueprint-future" TargetMode="External"/><Relationship Id="rId422" Type="http://schemas.openxmlformats.org/officeDocument/2006/relationships/hyperlink" Target="https://consult.swa.gov.au/best-practice-review/bprsurveysubmissions/list" TargetMode="External"/><Relationship Id="rId464" Type="http://schemas.openxmlformats.org/officeDocument/2006/relationships/hyperlink" Target="https://consult.swa.gov.au/best-practice-review/bprsurveysubmissions/list" TargetMode="External"/><Relationship Id="rId299" Type="http://schemas.openxmlformats.org/officeDocument/2006/relationships/hyperlink" Target="https://www.safework.nsw.gov.au/safety-starts-here/consultation-at-work/safety-complaints2" TargetMode="External"/><Relationship Id="rId63" Type="http://schemas.openxmlformats.org/officeDocument/2006/relationships/hyperlink" Target="https://consult.swa.gov.au/best-practice-review/bprsurveysubmissions/list" TargetMode="External"/><Relationship Id="rId159" Type="http://schemas.openxmlformats.org/officeDocument/2006/relationships/hyperlink" Target="https://consult.swa.gov.au/best-practice-review/bprsurveysubmissions/list" TargetMode="External"/><Relationship Id="rId366" Type="http://schemas.openxmlformats.org/officeDocument/2006/relationships/hyperlink" Target="https://consult.swa.gov.au/best-practice-review/bprsurveysubmissions/list" TargetMode="External"/><Relationship Id="rId573" Type="http://schemas.openxmlformats.org/officeDocument/2006/relationships/hyperlink" Target="https://app.converlens.com/safework/best-practice-review/bprsurveysubmissions/list" TargetMode="External"/><Relationship Id="rId226" Type="http://schemas.openxmlformats.org/officeDocument/2006/relationships/hyperlink" Target="https://consult.swa.gov.au/best-practice-review/bprsurveysubmissions/list" TargetMode="External"/><Relationship Id="rId433" Type="http://schemas.openxmlformats.org/officeDocument/2006/relationships/hyperlink" Target="https://consult.swa.gov.au/best-practice-review/bprsurveysubmissions/list" TargetMode="External"/><Relationship Id="rId74" Type="http://schemas.openxmlformats.org/officeDocument/2006/relationships/hyperlink" Target="https://consult.swa.gov.au/best-practice-review/bprsurveysubmissions/list" TargetMode="External"/><Relationship Id="rId377" Type="http://schemas.openxmlformats.org/officeDocument/2006/relationships/hyperlink" Target="https://www.sentencingcouncil.vic.gov.au/publications/sentencing-occupational-health-and-safety-offences-in-victoria-report-and-recommendations" TargetMode="External"/><Relationship Id="rId500" Type="http://schemas.openxmlformats.org/officeDocument/2006/relationships/hyperlink" Target="https://consult.swa.gov.au/best-practice-review/bprsurveysubmissions/list" TargetMode="External"/><Relationship Id="rId584" Type="http://schemas.openxmlformats.org/officeDocument/2006/relationships/hyperlink" Target="https://consult.swa.gov.au/best-practice-review/bprsurveysubmissions/list" TargetMode="External"/><Relationship Id="rId5" Type="http://schemas.openxmlformats.org/officeDocument/2006/relationships/hyperlink" Target="https://federation.gov.au/about/agreements/intergovernmental-agreement-regulatory-and-operational-reform-occupational-health" TargetMode="External"/><Relationship Id="rId237" Type="http://schemas.openxmlformats.org/officeDocument/2006/relationships/hyperlink" Target="https://humanrights.gov.au/resource-hub/by-resource-type/reviews-and-inquiries/reviews/disability-discrimination-act-review" TargetMode="External"/><Relationship Id="rId444" Type="http://schemas.openxmlformats.org/officeDocument/2006/relationships/hyperlink" Target="https://consult.swa.gov.au/best-practice-review/bprsurveysubmissions/list" TargetMode="External"/><Relationship Id="rId290" Type="http://schemas.openxmlformats.org/officeDocument/2006/relationships/hyperlink" Target="https://consult.swa.gov.au/best-practice-review/bprsurveysubmissions/list" TargetMode="External"/><Relationship Id="rId304" Type="http://schemas.openxmlformats.org/officeDocument/2006/relationships/hyperlink" Target="https://consult.swa.gov.au/best-practice-review/bprsurveysubmissions/list" TargetMode="External"/><Relationship Id="rId388" Type="http://schemas.openxmlformats.org/officeDocument/2006/relationships/hyperlink" Target="https://www.safeworkaustralia.gov.au/doc/best-practice-review-consultation-summary" TargetMode="External"/><Relationship Id="rId511" Type="http://schemas.openxmlformats.org/officeDocument/2006/relationships/hyperlink" Target="https://consult.swa.gov.au/best-practice-review/bprsurveysubmissions/list" TargetMode="External"/><Relationship Id="rId609" Type="http://schemas.openxmlformats.org/officeDocument/2006/relationships/hyperlink" Target="https://www.safeworkaustralia.gov.au/safety-topic/hazards/sexual-and-gender-based-harassment/whs-duties" TargetMode="External"/><Relationship Id="rId85" Type="http://schemas.openxmlformats.org/officeDocument/2006/relationships/hyperlink" Target="https://data.safeworkaustralia.gov.au/sites/default/files/2025-10/Key_Work_Health_and_Safety_Statistics_Australia_2025.pdf" TargetMode="External"/><Relationship Id="rId150" Type="http://schemas.openxmlformats.org/officeDocument/2006/relationships/hyperlink" Target="https://consult.swa.gov.au/best-practice-review/bprsurveysubmissions/list" TargetMode="External"/><Relationship Id="rId595" Type="http://schemas.openxmlformats.org/officeDocument/2006/relationships/hyperlink" Target="https://www.safeworkaustralia.gov.au/doc/harmful-behaviours-workplace" TargetMode="External"/><Relationship Id="rId248" Type="http://schemas.openxmlformats.org/officeDocument/2006/relationships/hyperlink" Target="https://consult.swa.gov.au/best-practice-review/bprsurveysubmissions/view/151" TargetMode="External"/><Relationship Id="rId455" Type="http://schemas.openxmlformats.org/officeDocument/2006/relationships/hyperlink" Target="https://consult.swa.gov.au/best-practice-review/bprsurveysubmissions/list" TargetMode="External"/><Relationship Id="rId12" Type="http://schemas.openxmlformats.org/officeDocument/2006/relationships/hyperlink" Target="https://consult.swa.gov.au/best-practice-review/bprsurveysubmissions/list" TargetMode="External"/><Relationship Id="rId108" Type="http://schemas.openxmlformats.org/officeDocument/2006/relationships/hyperlink" Target="https://consult.swa.gov.au/best-practice-review/bprsurveysubmissions/list" TargetMode="External"/><Relationship Id="rId315" Type="http://schemas.openxmlformats.org/officeDocument/2006/relationships/hyperlink" Target="https://consult.swa.gov.au/best-practice-review/bprsurveysubmissions/list" TargetMode="External"/><Relationship Id="rId522" Type="http://schemas.openxmlformats.org/officeDocument/2006/relationships/hyperlink" Target="https://consult.swa.gov.au/best-practice-review/bprsurveysubmissions/list" TargetMode="External"/><Relationship Id="rId96" Type="http://schemas.openxmlformats.org/officeDocument/2006/relationships/hyperlink" Target="https://consult.swa.gov.au/best-practice-review/bprsurveysubmissions/list" TargetMode="External"/><Relationship Id="rId161" Type="http://schemas.openxmlformats.org/officeDocument/2006/relationships/hyperlink" Target="https://consult.swa.gov.au/best-practice-review/bprsurveysubmissions/list" TargetMode="External"/><Relationship Id="rId399" Type="http://schemas.openxmlformats.org/officeDocument/2006/relationships/hyperlink" Target="https://www.unitingvictas.org.au/services/mental-health/griefwork/" TargetMode="External"/><Relationship Id="rId259" Type="http://schemas.openxmlformats.org/officeDocument/2006/relationships/hyperlink" Target="https://www.dewr.gov.au/australian-building-and-construction-industry/resources/blueprint-future" TargetMode="External"/><Relationship Id="rId466" Type="http://schemas.openxmlformats.org/officeDocument/2006/relationships/hyperlink" Target="https://consult.swa.gov.au/best-practice-review/bprsurveysubmissions/list" TargetMode="External"/><Relationship Id="rId23" Type="http://schemas.openxmlformats.org/officeDocument/2006/relationships/hyperlink" Target="https://data.safeworkaustralia.gov.au/interactive-data/topic/work-related-fatalities" TargetMode="External"/><Relationship Id="rId119" Type="http://schemas.openxmlformats.org/officeDocument/2006/relationships/hyperlink" Target="https://consult.swa.gov.au/best-practice-review/bprsurveysubmissions/list" TargetMode="External"/><Relationship Id="rId326" Type="http://schemas.openxmlformats.org/officeDocument/2006/relationships/hyperlink" Target="https://www.worksafe.act.gov.au/__data/assets/pdf_file/0006/2191821/Final-Report-Conduct-of-WHS-Prosecutions-in-the-ACT-30-June-2022.pdf" TargetMode="External"/><Relationship Id="rId533" Type="http://schemas.openxmlformats.org/officeDocument/2006/relationships/hyperlink" Target="https://consult.swa.gov.au/best-practice-review/bprsurveysubmissions/list" TargetMode="External"/><Relationship Id="rId172" Type="http://schemas.openxmlformats.org/officeDocument/2006/relationships/hyperlink" Target="https://www.safeworkaustralia.gov.au/system/files/documents/1902/review_of_the_model_whs_laws_final_report_0.pdf" TargetMode="External"/><Relationship Id="rId477" Type="http://schemas.openxmlformats.org/officeDocument/2006/relationships/hyperlink" Target="https://consult.swa.gov.au/best-practice-review/bprsurveysubmissions/list" TargetMode="External"/><Relationship Id="rId600" Type="http://schemas.openxmlformats.org/officeDocument/2006/relationships/hyperlink" Target="https://consult.swa.gov.au/best-practice-review/bprsurveysubmissions/list" TargetMode="External"/><Relationship Id="rId337" Type="http://schemas.openxmlformats.org/officeDocument/2006/relationships/hyperlink" Target="https://consult.swa.gov.au/best-practice-review/bprsurveysubmissions/list" TargetMode="External"/><Relationship Id="rId34" Type="http://schemas.openxmlformats.org/officeDocument/2006/relationships/hyperlink" Target="https://consult.swa.gov.au/best-practice-review/bprsurveysubmissions/list" TargetMode="External"/><Relationship Id="rId544" Type="http://schemas.openxmlformats.org/officeDocument/2006/relationships/hyperlink" Target="https://treasury.gov.au/publication/2023-intergenerational-report" TargetMode="External"/><Relationship Id="rId183" Type="http://schemas.openxmlformats.org/officeDocument/2006/relationships/hyperlink" Target="https://www.oir.qld.gov.au/system/files/2023-04/review-work-health-safety-act-final-report.pdf" TargetMode="External"/><Relationship Id="rId390" Type="http://schemas.openxmlformats.org/officeDocument/2006/relationships/hyperlink" Target="https://www.safework.nsw.gov.au/__data/assets/pdf_file/0005/1285772/The-Independent-Review-of-SafeWork-NSW.pdf" TargetMode="External"/><Relationship Id="rId404" Type="http://schemas.openxmlformats.org/officeDocument/2006/relationships/hyperlink" Target="https://consult.swa.gov.au/best-practice-review/bprsurveysubmissions/list" TargetMode="External"/><Relationship Id="rId611" Type="http://schemas.openxmlformats.org/officeDocument/2006/relationships/hyperlink" Target="https://disability.royalcommission.gov.au/publications/final-report" TargetMode="External"/><Relationship Id="rId250" Type="http://schemas.openxmlformats.org/officeDocument/2006/relationships/hyperlink" Target="https://consult.swa.gov.au/best-practice-review/bprsurveysubmissions/list" TargetMode="External"/><Relationship Id="rId488" Type="http://schemas.openxmlformats.org/officeDocument/2006/relationships/hyperlink" Target="https://www.industry.gov.au/publications/voluntary-ai-safety-standard/terms-and-definitions" TargetMode="External"/><Relationship Id="rId45" Type="http://schemas.openxmlformats.org/officeDocument/2006/relationships/hyperlink" Target="https://consult.swa.gov.au/best-practice-review/bprsurveysubmissions/list" TargetMode="External"/><Relationship Id="rId110" Type="http://schemas.openxmlformats.org/officeDocument/2006/relationships/hyperlink" Target="https://humanrights.gov.au/resource-hub/by-resource-type/publications/sex-and-gender-rights/sex-and-gender-rights/respectwork-sexual-harassment-national-inquiry-report-2020" TargetMode="External"/><Relationship Id="rId348" Type="http://schemas.openxmlformats.org/officeDocument/2006/relationships/hyperlink" Target="https://www.dewr.gov.au/workplace-relations-australia/resources/national-review-model-occupational-health-and-safety-laws-second-report" TargetMode="External"/><Relationship Id="rId555" Type="http://schemas.openxmlformats.org/officeDocument/2006/relationships/hyperlink" Target="https://www.cdc.gov.au/resources/publications/national-health-and-climate-strategy" TargetMode="External"/><Relationship Id="rId194" Type="http://schemas.openxmlformats.org/officeDocument/2006/relationships/hyperlink" Target="https://www.safeworkaustralia.gov.au/law-and-regulation/legislation/amendments-model-whs-laws" TargetMode="External"/><Relationship Id="rId208" Type="http://schemas.openxmlformats.org/officeDocument/2006/relationships/hyperlink" Target="https://www.oir.qld.gov.au/system/files/2023-04/review-work-health-safety-act-final-report.pdf" TargetMode="External"/><Relationship Id="rId415" Type="http://schemas.openxmlformats.org/officeDocument/2006/relationships/hyperlink" Target="https://www.safeworkaustralia.gov.au/system/files/documents/1902/review_of_the_model_whs_laws_final_report_0.pdf" TargetMode="External"/><Relationship Id="rId622" Type="http://schemas.openxmlformats.org/officeDocument/2006/relationships/hyperlink" Target="https://www.abs.gov.au/statistics/classifications/australian-and-new-zealand-standard-industrial-classification-anzsic/latest-release" TargetMode="External"/><Relationship Id="rId261" Type="http://schemas.openxmlformats.org/officeDocument/2006/relationships/hyperlink" Target="https://www.oir.qld.gov.au/system/files/2023-04/review-work-health-safety-act-final-report.pdf" TargetMode="External"/><Relationship Id="rId499" Type="http://schemas.openxmlformats.org/officeDocument/2006/relationships/hyperlink" Target="https://consult.swa.gov.au/best-practice-review/bprsurveysubmissions/list" TargetMode="External"/><Relationship Id="rId56" Type="http://schemas.openxmlformats.org/officeDocument/2006/relationships/hyperlink" Target="https://consult.swa.gov.au/best-practice-review/bprsurveysubmissions/list" TargetMode="External"/><Relationship Id="rId359" Type="http://schemas.openxmlformats.org/officeDocument/2006/relationships/hyperlink" Target="https://consult.swa.gov.au/best-practice-review/bprsurveysubmissions/list" TargetMode="External"/><Relationship Id="rId566" Type="http://schemas.openxmlformats.org/officeDocument/2006/relationships/hyperlink" Target="https://www.mdpi.com/1660-4601/20/21/7004" TargetMode="External"/><Relationship Id="rId121" Type="http://schemas.openxmlformats.org/officeDocument/2006/relationships/hyperlink" Target="https://consult.swa.gov.au/best-practice-review/bprsurveysubmissions/list" TargetMode="External"/><Relationship Id="rId219" Type="http://schemas.openxmlformats.org/officeDocument/2006/relationships/hyperlink" Target="https://www.oir.qld.gov.au/system/files/2023-04/review-work-health-safety-act-final-report.pdf" TargetMode="External"/><Relationship Id="rId426" Type="http://schemas.openxmlformats.org/officeDocument/2006/relationships/hyperlink" Target="https://consult.swa.gov.au/best-practice-review/bprsurveysubmissions/list" TargetMode="External"/><Relationship Id="rId67" Type="http://schemas.openxmlformats.org/officeDocument/2006/relationships/hyperlink" Target="https://consult.swa.gov.au/best-practice-review/bprsurveysubmissions/list" TargetMode="External"/><Relationship Id="rId272" Type="http://schemas.openxmlformats.org/officeDocument/2006/relationships/hyperlink" Target="https://www.safework.nsw.gov.au/__data/assets/pdf_file/0005/1285772/The-Independent-Review-of-SafeWork-NSW.pdf" TargetMode="External"/><Relationship Id="rId577" Type="http://schemas.openxmlformats.org/officeDocument/2006/relationships/hyperlink" Target="https://consult.swa.gov.au/best-practice-review/bprsurveysubmissions/list" TargetMode="External"/><Relationship Id="rId132" Type="http://schemas.openxmlformats.org/officeDocument/2006/relationships/hyperlink" Target="https://consult.swa.gov.au/best-practice-review/bprsurveysubmissions/lis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2.png"/></Relationships>
</file>

<file path=word/_rels/header13.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I:\Corporate\National%20Strat%20Comms\Publications\MS%20Word%20Templates\2024%20Template%20update\Template%20development\External%20Policy%20-%202024%20Template%20April%20update.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AGENCIES.application.enet\51000175\Corporate\National%20Strat%20Comms\Publications\2026%20Design%20files\260316%20Best%20Practice%20Review\5.%20Supplied%20Files\For%20Comms%20Team%20-%20Figures%20in%20survey%20appendix%20-%20May%202026.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AGENCIES.application.enet\51000175\Corporate\National%20Strat%20Comms\Publications\2026%20Design%20files\260316%20Best%20Practice%20Review\5.%20Supplied%20Files\For%20Comms%20Team%20-%20Figures%20in%20survey%20appendix%20-%20May%202026.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AGENCIES.application.enet\51000175\Corporate\National%20Strat%20Comms\Publications\2026%20Design%20files\260316%20Best%20Practice%20Review\5.%20Supplied%20Files\For%20Comms%20Team%20-%20Figures%20in%20survey%20appendix%20-%20May%202026.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AGENCIES.application.enet\51000175\Corporate\National%20Strat%20Comms\Publications\2026%20Design%20files\260316%20Best%20Practice%20Review\5.%20Supplied%20Files\For%20Comms%20Team%20-%20Figures%20in%20survey%20appendix%20-%20May%202026.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AGENCIES.application.enet\51000175\Corporate\National%20Strat%20Comms\Publications\2026%20Design%20files\260316%20Best%20Practice%20Review\5.%20Supplied%20Files\For%20Comms%20Team%20-%20Figures%20in%20survey%20appendix%20-%20May%202026.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AGENCIES.application.enet\51000175\Corporate\National%20Strat%20Comms\Publications\2026%20Design%20files\260316%20Best%20Practice%20Review\5.%20Supplied%20Files\For%20Comms%20Team%20-%20Figures%20in%20survey%20appendix%20-%20May%202026.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AGENCIES.application.enet\51000175\Corporate\National%20Strat%20Comms\Publications\2026%20Design%20files\260316%20Best%20Practice%20Review\5.%20Supplied%20Files\For%20Comms%20Team%20-%20Figures%20in%20survey%20appendix%20-%20May%202026.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AGENCIES.application.enet\51000175\Corporate\National%20Strat%20Comms\Publications\2026%20Design%20files\260316%20Best%20Practice%20Review\5.%20Supplied%20Files\For%20Comms%20Team%20-%20Figures%20in%20survey%20appendix%20-%20May%202026.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AGENCIES.application.enet\51000175\Corporate\National%20Strat%20Comms\Publications\2026%20Design%20files\260316%20Best%20Practice%20Review\5.%20Supplied%20Files\For%20Comms%20Team%20-%20Figures%20in%20survey%20appendix%20-%20May%202026.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AGENCIES.application.enet\51000175\Corporate\National%20Strat%20Comms\Publications\2026%20Design%20files\260316%20Best%20Practice%20Review\5.%20Supplied%20Files\For%20Comms%20Team%20-%20Figures%20in%20survey%20appendix%20-%20May%202026.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AGENCIES.application.enet\51000175\Corporate\National%20Strat%20Comms\Publications\2026%20Design%20files\260316%20Best%20Practice%20Review\5.%20Supplied%20Files\For%20Comms%20Team%20-%20Figures%20in%20survey%20appendix%20-%20May%202026.xlsx" TargetMode="External"/><Relationship Id="rId2" Type="http://schemas.microsoft.com/office/2011/relationships/chartColorStyle" Target="colors11.xml"/><Relationship Id="rId1" Type="http://schemas.microsoft.com/office/2011/relationships/chartStyle" Target="style1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9886357716735787E-2"/>
          <c:y val="6.8857589984350542E-2"/>
          <c:w val="0.8977217847769029"/>
          <c:h val="0.77312058459652899"/>
        </c:manualLayout>
      </c:layout>
      <c:barChart>
        <c:barDir val="col"/>
        <c:grouping val="clustered"/>
        <c:varyColors val="0"/>
        <c:ser>
          <c:idx val="0"/>
          <c:order val="0"/>
          <c:spPr>
            <a:solidFill>
              <a:schemeClr val="tx2">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2">
                        <a:lumMod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2'!$A$2:$A$11</c:f>
              <c:strCache>
                <c:ptCount val="10"/>
                <c:pt idx="0">
                  <c:v>Qld</c:v>
                </c:pt>
                <c:pt idx="1">
                  <c:v>NSW</c:v>
                </c:pt>
                <c:pt idx="2">
                  <c:v>Vic</c:v>
                </c:pt>
                <c:pt idx="3">
                  <c:v>Nationally</c:v>
                </c:pt>
                <c:pt idx="4">
                  <c:v>WA</c:v>
                </c:pt>
                <c:pt idx="5">
                  <c:v>SA</c:v>
                </c:pt>
                <c:pt idx="6">
                  <c:v>ACT</c:v>
                </c:pt>
                <c:pt idx="7">
                  <c:v>Outside of Australia</c:v>
                </c:pt>
                <c:pt idx="8">
                  <c:v>Tas</c:v>
                </c:pt>
                <c:pt idx="9">
                  <c:v>NT</c:v>
                </c:pt>
              </c:strCache>
            </c:strRef>
          </c:cat>
          <c:val>
            <c:numRef>
              <c:f>'Figure 2'!$B$2:$B$11</c:f>
              <c:numCache>
                <c:formatCode>0.0%</c:formatCode>
                <c:ptCount val="10"/>
                <c:pt idx="0">
                  <c:v>0.27500000000000002</c:v>
                </c:pt>
                <c:pt idx="1">
                  <c:v>0.26300000000000001</c:v>
                </c:pt>
                <c:pt idx="2">
                  <c:v>0.184</c:v>
                </c:pt>
                <c:pt idx="3">
                  <c:v>0.17499999999999999</c:v>
                </c:pt>
                <c:pt idx="4">
                  <c:v>0.14199999999999999</c:v>
                </c:pt>
                <c:pt idx="5">
                  <c:v>0.14099999999999999</c:v>
                </c:pt>
                <c:pt idx="6">
                  <c:v>7.2999999999999995E-2</c:v>
                </c:pt>
                <c:pt idx="7">
                  <c:v>5.6000000000000001E-2</c:v>
                </c:pt>
                <c:pt idx="8">
                  <c:v>4.5999999999999999E-2</c:v>
                </c:pt>
                <c:pt idx="9">
                  <c:v>4.1000000000000002E-2</c:v>
                </c:pt>
              </c:numCache>
            </c:numRef>
          </c:val>
          <c:extLst>
            <c:ext xmlns:c16="http://schemas.microsoft.com/office/drawing/2014/chart" uri="{C3380CC4-5D6E-409C-BE32-E72D297353CC}">
              <c16:uniqueId val="{00000000-3F1E-44B0-B834-D4B7D36226AF}"/>
            </c:ext>
          </c:extLst>
        </c:ser>
        <c:dLbls>
          <c:dLblPos val="outEnd"/>
          <c:showLegendKey val="0"/>
          <c:showVal val="1"/>
          <c:showCatName val="0"/>
          <c:showSerName val="0"/>
          <c:showPercent val="0"/>
          <c:showBubbleSize val="0"/>
        </c:dLbls>
        <c:gapWidth val="86"/>
        <c:overlap val="-27"/>
        <c:axId val="744401791"/>
        <c:axId val="744403231"/>
      </c:barChart>
      <c:catAx>
        <c:axId val="74440179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lnSpc>
                <a:spcPct val="90000"/>
              </a:lnSpc>
              <a:defRPr sz="900" b="0" i="0" u="none" strike="noStrike" kern="1200" baseline="0">
                <a:solidFill>
                  <a:schemeClr val="tx1">
                    <a:lumMod val="95000"/>
                    <a:lumOff val="5000"/>
                  </a:schemeClr>
                </a:solidFill>
                <a:latin typeface="+mn-lt"/>
                <a:ea typeface="+mn-ea"/>
                <a:cs typeface="+mn-cs"/>
              </a:defRPr>
            </a:pPr>
            <a:endParaRPr lang="en-US"/>
          </a:p>
        </c:txPr>
        <c:crossAx val="744403231"/>
        <c:crosses val="autoZero"/>
        <c:auto val="1"/>
        <c:lblAlgn val="ctr"/>
        <c:lblOffset val="100"/>
        <c:noMultiLvlLbl val="0"/>
      </c:catAx>
      <c:valAx>
        <c:axId val="744403231"/>
        <c:scaling>
          <c:orientation val="minMax"/>
        </c:scaling>
        <c:delete val="0"/>
        <c:axPos val="l"/>
        <c:majorGridlines>
          <c:spPr>
            <a:ln w="9525" cap="flat" cmpd="sng" algn="ctr">
              <a:solidFill>
                <a:schemeClr val="bg1">
                  <a:lumMod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44401791"/>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0741020940945291E-2"/>
          <c:y val="8.3950617283950618E-2"/>
          <c:w val="0.8966275625381207"/>
          <c:h val="0.80188509769612126"/>
        </c:manualLayout>
      </c:layout>
      <c:barChart>
        <c:barDir val="col"/>
        <c:grouping val="clustered"/>
        <c:varyColors val="0"/>
        <c:ser>
          <c:idx val="0"/>
          <c:order val="0"/>
          <c:spPr>
            <a:solidFill>
              <a:schemeClr val="accent1"/>
            </a:solidFill>
            <a:ln>
              <a:noFill/>
            </a:ln>
            <a:effectLst/>
          </c:spPr>
          <c:invertIfNegative val="0"/>
          <c:dPt>
            <c:idx val="0"/>
            <c:invertIfNegative val="0"/>
            <c:bubble3D val="0"/>
            <c:spPr>
              <a:solidFill>
                <a:schemeClr val="tx2">
                  <a:lumMod val="75000"/>
                </a:schemeClr>
              </a:solidFill>
              <a:ln>
                <a:noFill/>
              </a:ln>
              <a:effectLst/>
            </c:spPr>
            <c:extLst>
              <c:ext xmlns:c16="http://schemas.microsoft.com/office/drawing/2014/chart" uri="{C3380CC4-5D6E-409C-BE32-E72D297353CC}">
                <c16:uniqueId val="{00000005-0CA4-415C-82B2-B8A037639653}"/>
              </c:ext>
            </c:extLst>
          </c:dPt>
          <c:dPt>
            <c:idx val="1"/>
            <c:invertIfNegative val="0"/>
            <c:bubble3D val="0"/>
            <c:spPr>
              <a:solidFill>
                <a:schemeClr val="tx2">
                  <a:lumMod val="60000"/>
                  <a:lumOff val="40000"/>
                </a:schemeClr>
              </a:solidFill>
              <a:ln>
                <a:noFill/>
              </a:ln>
              <a:effectLst/>
            </c:spPr>
            <c:extLst>
              <c:ext xmlns:c16="http://schemas.microsoft.com/office/drawing/2014/chart" uri="{C3380CC4-5D6E-409C-BE32-E72D297353CC}">
                <c16:uniqueId val="{00000001-0CA4-415C-82B2-B8A037639653}"/>
              </c:ext>
            </c:extLst>
          </c:dPt>
          <c:dPt>
            <c:idx val="2"/>
            <c:invertIfNegative val="0"/>
            <c:bubble3D val="0"/>
            <c:spPr>
              <a:solidFill>
                <a:schemeClr val="tx2">
                  <a:lumMod val="40000"/>
                  <a:lumOff val="60000"/>
                </a:schemeClr>
              </a:solidFill>
              <a:ln>
                <a:noFill/>
              </a:ln>
              <a:effectLst/>
            </c:spPr>
            <c:extLst>
              <c:ext xmlns:c16="http://schemas.microsoft.com/office/drawing/2014/chart" uri="{C3380CC4-5D6E-409C-BE32-E72D297353CC}">
                <c16:uniqueId val="{00000003-0CA4-415C-82B2-B8A037639653}"/>
              </c:ext>
            </c:extLst>
          </c:dPt>
          <c:dLbls>
            <c:dLbl>
              <c:idx val="0"/>
              <c:layout>
                <c:manualLayout>
                  <c:x val="0"/>
                  <c:y val="9.876543209876543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CA4-415C-82B2-B8A037639653}"/>
                </c:ext>
              </c:extLst>
            </c:dLbl>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2">
                        <a:lumMod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3'!$C$18:$E$18</c:f>
              <c:strCache>
                <c:ptCount val="3"/>
                <c:pt idx="0">
                  <c:v>1-20 (small)</c:v>
                </c:pt>
                <c:pt idx="1">
                  <c:v>21-200 (medium)</c:v>
                </c:pt>
                <c:pt idx="2">
                  <c:v>200+ (large)</c:v>
                </c:pt>
              </c:strCache>
            </c:strRef>
          </c:cat>
          <c:val>
            <c:numRef>
              <c:f>'Figure 3'!$C$19:$E$19</c:f>
              <c:numCache>
                <c:formatCode>0.0%</c:formatCode>
                <c:ptCount val="3"/>
                <c:pt idx="0">
                  <c:v>0.40816326530612246</c:v>
                </c:pt>
                <c:pt idx="1">
                  <c:v>0.13270142180094788</c:v>
                </c:pt>
                <c:pt idx="2">
                  <c:v>4.4871794871794872E-2</c:v>
                </c:pt>
              </c:numCache>
            </c:numRef>
          </c:val>
          <c:extLst>
            <c:ext xmlns:c16="http://schemas.microsoft.com/office/drawing/2014/chart" uri="{C3380CC4-5D6E-409C-BE32-E72D297353CC}">
              <c16:uniqueId val="{00000004-0CA4-415C-82B2-B8A037639653}"/>
            </c:ext>
          </c:extLst>
        </c:ser>
        <c:dLbls>
          <c:dLblPos val="outEnd"/>
          <c:showLegendKey val="0"/>
          <c:showVal val="1"/>
          <c:showCatName val="0"/>
          <c:showSerName val="0"/>
          <c:showPercent val="0"/>
          <c:showBubbleSize val="0"/>
        </c:dLbls>
        <c:gapWidth val="70"/>
        <c:overlap val="-27"/>
        <c:axId val="1983115952"/>
        <c:axId val="1983108272"/>
      </c:barChart>
      <c:catAx>
        <c:axId val="19831159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95000"/>
                    <a:lumOff val="5000"/>
                  </a:schemeClr>
                </a:solidFill>
                <a:latin typeface="+mn-lt"/>
                <a:ea typeface="+mn-ea"/>
                <a:cs typeface="+mn-cs"/>
              </a:defRPr>
            </a:pPr>
            <a:endParaRPr lang="en-US"/>
          </a:p>
        </c:txPr>
        <c:crossAx val="1983108272"/>
        <c:crosses val="autoZero"/>
        <c:auto val="1"/>
        <c:lblAlgn val="ctr"/>
        <c:lblOffset val="100"/>
        <c:noMultiLvlLbl val="0"/>
      </c:catAx>
      <c:valAx>
        <c:axId val="198310827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8311595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895708047773766"/>
          <c:y val="7.3041168658698544E-2"/>
          <c:w val="0.55109260850187003"/>
          <c:h val="0.86389978145162116"/>
        </c:manualLayout>
      </c:layout>
      <c:barChart>
        <c:barDir val="bar"/>
        <c:grouping val="percentStacked"/>
        <c:varyColors val="0"/>
        <c:ser>
          <c:idx val="0"/>
          <c:order val="0"/>
          <c:tx>
            <c:strRef>
              <c:f>'Figure 4'!$B$1</c:f>
              <c:strCache>
                <c:ptCount val="1"/>
                <c:pt idx="0">
                  <c:v>Yes</c:v>
                </c:pt>
              </c:strCache>
            </c:strRef>
          </c:tx>
          <c:spPr>
            <a:solidFill>
              <a:schemeClr val="tx2">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bg1"/>
                    </a:solidFill>
                    <a:latin typeface="+mn-lt"/>
                    <a:ea typeface="+mn-ea"/>
                    <a:cs typeface="+mn-cs"/>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4'!$A$2:$A$12</c:f>
              <c:strCache>
                <c:ptCount val="11"/>
                <c:pt idx="0">
                  <c:v>Professional, Scientific and Technical Services</c:v>
                </c:pt>
                <c:pt idx="1">
                  <c:v>Health Care and Social Assistance</c:v>
                </c:pt>
                <c:pt idx="2">
                  <c:v>Construction</c:v>
                </c:pt>
                <c:pt idx="3">
                  <c:v>Other services</c:v>
                </c:pt>
                <c:pt idx="4">
                  <c:v>Administrative and Support Services</c:v>
                </c:pt>
                <c:pt idx="5">
                  <c:v>Mining</c:v>
                </c:pt>
                <c:pt idx="6">
                  <c:v>Transport, Postal and Warehousing</c:v>
                </c:pt>
                <c:pt idx="7">
                  <c:v>Manufacturing</c:v>
                </c:pt>
                <c:pt idx="8">
                  <c:v>Electricity, Gas, Water and Waste Services</c:v>
                </c:pt>
                <c:pt idx="9">
                  <c:v>Public Administration and Safety</c:v>
                </c:pt>
                <c:pt idx="10">
                  <c:v>Education and Training</c:v>
                </c:pt>
              </c:strCache>
            </c:strRef>
          </c:cat>
          <c:val>
            <c:numRef>
              <c:f>'Figure 4'!$B$2:$B$12</c:f>
              <c:numCache>
                <c:formatCode>0.0%</c:formatCode>
                <c:ptCount val="11"/>
                <c:pt idx="0">
                  <c:v>0.59375</c:v>
                </c:pt>
                <c:pt idx="1">
                  <c:v>0.67669172932330823</c:v>
                </c:pt>
                <c:pt idx="2">
                  <c:v>0.69387755102040816</c:v>
                </c:pt>
                <c:pt idx="3">
                  <c:v>0.71641791044776115</c:v>
                </c:pt>
                <c:pt idx="4">
                  <c:v>0.72413793103448276</c:v>
                </c:pt>
                <c:pt idx="5">
                  <c:v>0.72972972972972971</c:v>
                </c:pt>
                <c:pt idx="6">
                  <c:v>0.78125</c:v>
                </c:pt>
                <c:pt idx="7">
                  <c:v>0.8</c:v>
                </c:pt>
                <c:pt idx="8">
                  <c:v>0.8125</c:v>
                </c:pt>
                <c:pt idx="9">
                  <c:v>0.83571428571428574</c:v>
                </c:pt>
                <c:pt idx="10">
                  <c:v>0.86363636363636365</c:v>
                </c:pt>
              </c:numCache>
            </c:numRef>
          </c:val>
          <c:extLst>
            <c:ext xmlns:c16="http://schemas.microsoft.com/office/drawing/2014/chart" uri="{C3380CC4-5D6E-409C-BE32-E72D297353CC}">
              <c16:uniqueId val="{00000000-16AC-4482-B5B5-60C3216F7F63}"/>
            </c:ext>
          </c:extLst>
        </c:ser>
        <c:ser>
          <c:idx val="1"/>
          <c:order val="1"/>
          <c:tx>
            <c:strRef>
              <c:f>'Figure 4'!$C$1</c:f>
              <c:strCache>
                <c:ptCount val="1"/>
                <c:pt idx="0">
                  <c:v>No</c:v>
                </c:pt>
              </c:strCache>
            </c:strRef>
          </c:tx>
          <c:spPr>
            <a:solidFill>
              <a:schemeClr val="tx2">
                <a:lumMod val="60000"/>
                <a:lumOff val="40000"/>
              </a:schemeClr>
            </a:solidFill>
            <a:ln>
              <a:noFill/>
            </a:ln>
            <a:effectLst/>
          </c:spPr>
          <c:invertIfNegative val="0"/>
          <c:dLbls>
            <c:dLbl>
              <c:idx val="8"/>
              <c:layout>
                <c:manualLayout>
                  <c:x val="1.6285777034228393E-3"/>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16AC-4482-B5B5-60C3216F7F63}"/>
                </c:ext>
              </c:extLst>
            </c:dLbl>
            <c:dLbl>
              <c:idx val="9"/>
              <c:layout>
                <c:manualLayout>
                  <c:x val="1.1794875107387622E-3"/>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16AC-4482-B5B5-60C3216F7F63}"/>
                </c:ext>
              </c:extLst>
            </c:dLbl>
            <c:dLbl>
              <c:idx val="10"/>
              <c:layout>
                <c:manualLayout>
                  <c:x val="-7.9628325786594144E-4"/>
                  <c:y val="-4.7407407407407405E-2"/>
                </c:manualLayout>
              </c:layout>
              <c:spPr>
                <a:noFill/>
                <a:ln>
                  <a:noFill/>
                </a:ln>
                <a:effectLst/>
              </c:spPr>
              <c:txPr>
                <a:bodyPr rot="0" spcFirstLastPara="1" vertOverflow="ellipsis" vert="horz" wrap="square" lIns="38100" tIns="19050" rIns="38100" bIns="19050" anchor="ctr" anchorCtr="1">
                  <a:spAutoFit/>
                </a:bodyPr>
                <a:lstStyle/>
                <a:p>
                  <a:pPr>
                    <a:defRPr sz="850" b="1"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6AC-4482-B5B5-60C3216F7F63}"/>
                </c:ext>
              </c:extLst>
            </c:dLbl>
            <c:spPr>
              <a:noFill/>
              <a:ln>
                <a:noFill/>
              </a:ln>
              <a:effectLst/>
            </c:spPr>
            <c:txPr>
              <a:bodyPr rot="0" spcFirstLastPara="1" vertOverflow="ellipsis" vert="horz" wrap="square" lIns="38100" tIns="19050" rIns="38100" bIns="19050" anchor="ctr" anchorCtr="1">
                <a:spAutoFit/>
              </a:bodyPr>
              <a:lstStyle/>
              <a:p>
                <a:pPr>
                  <a:defRPr sz="850" b="1" i="0" u="none" strike="noStrike" kern="1200" baseline="0">
                    <a:solidFill>
                      <a:schemeClr val="bg1"/>
                    </a:solidFill>
                    <a:latin typeface="+mn-lt"/>
                    <a:ea typeface="+mn-ea"/>
                    <a:cs typeface="+mn-cs"/>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4'!$A$2:$A$12</c:f>
              <c:strCache>
                <c:ptCount val="11"/>
                <c:pt idx="0">
                  <c:v>Professional, Scientific and Technical Services</c:v>
                </c:pt>
                <c:pt idx="1">
                  <c:v>Health Care and Social Assistance</c:v>
                </c:pt>
                <c:pt idx="2">
                  <c:v>Construction</c:v>
                </c:pt>
                <c:pt idx="3">
                  <c:v>Other services</c:v>
                </c:pt>
                <c:pt idx="4">
                  <c:v>Administrative and Support Services</c:v>
                </c:pt>
                <c:pt idx="5">
                  <c:v>Mining</c:v>
                </c:pt>
                <c:pt idx="6">
                  <c:v>Transport, Postal and Warehousing</c:v>
                </c:pt>
                <c:pt idx="7">
                  <c:v>Manufacturing</c:v>
                </c:pt>
                <c:pt idx="8">
                  <c:v>Electricity, Gas, Water and Waste Services</c:v>
                </c:pt>
                <c:pt idx="9">
                  <c:v>Public Administration and Safety</c:v>
                </c:pt>
                <c:pt idx="10">
                  <c:v>Education and Training</c:v>
                </c:pt>
              </c:strCache>
            </c:strRef>
          </c:cat>
          <c:val>
            <c:numRef>
              <c:f>'Figure 4'!$C$2:$C$12</c:f>
              <c:numCache>
                <c:formatCode>0.0%</c:formatCode>
                <c:ptCount val="11"/>
                <c:pt idx="0">
                  <c:v>0.28125</c:v>
                </c:pt>
                <c:pt idx="1">
                  <c:v>0.14285714285714285</c:v>
                </c:pt>
                <c:pt idx="2">
                  <c:v>0.26530612244897961</c:v>
                </c:pt>
                <c:pt idx="3">
                  <c:v>0.22388059701492538</c:v>
                </c:pt>
                <c:pt idx="4">
                  <c:v>0.17241379310344829</c:v>
                </c:pt>
                <c:pt idx="5">
                  <c:v>0.1891891891891892</c:v>
                </c:pt>
                <c:pt idx="6">
                  <c:v>0.140625</c:v>
                </c:pt>
                <c:pt idx="7">
                  <c:v>0.16</c:v>
                </c:pt>
                <c:pt idx="8">
                  <c:v>9.375E-2</c:v>
                </c:pt>
                <c:pt idx="9">
                  <c:v>0.12142857142857143</c:v>
                </c:pt>
                <c:pt idx="10">
                  <c:v>5.113636363636364E-2</c:v>
                </c:pt>
              </c:numCache>
            </c:numRef>
          </c:val>
          <c:extLst>
            <c:ext xmlns:c16="http://schemas.microsoft.com/office/drawing/2014/chart" uri="{C3380CC4-5D6E-409C-BE32-E72D297353CC}">
              <c16:uniqueId val="{00000002-16AC-4482-B5B5-60C3216F7F63}"/>
            </c:ext>
          </c:extLst>
        </c:ser>
        <c:ser>
          <c:idx val="2"/>
          <c:order val="2"/>
          <c:tx>
            <c:strRef>
              <c:f>'Figure 4'!$D$1</c:f>
              <c:strCache>
                <c:ptCount val="1"/>
                <c:pt idx="0">
                  <c:v>Unsure</c:v>
                </c:pt>
              </c:strCache>
            </c:strRef>
          </c:tx>
          <c:spPr>
            <a:solidFill>
              <a:schemeClr val="tx2">
                <a:lumMod val="20000"/>
                <a:lumOff val="80000"/>
              </a:schemeClr>
            </a:solidFill>
            <a:ln>
              <a:noFill/>
            </a:ln>
            <a:effectLst/>
          </c:spPr>
          <c:invertIfNegative val="0"/>
          <c:dLbls>
            <c:dLbl>
              <c:idx val="0"/>
              <c:layout>
                <c:manualLayout>
                  <c:x val="6.3300885584543928E-2"/>
                  <c:y val="-1.0864072028177061E-1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6AC-4482-B5B5-60C3216F7F63}"/>
                </c:ext>
              </c:extLst>
            </c:dLbl>
            <c:dLbl>
              <c:idx val="1"/>
              <c:layout>
                <c:manualLayout>
                  <c:x val="7.8784404410482317E-2"/>
                  <c:y val="-2.9629629629630717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6AC-4482-B5B5-60C3216F7F63}"/>
                </c:ext>
              </c:extLst>
            </c:dLbl>
            <c:dLbl>
              <c:idx val="2"/>
              <c:layout>
                <c:manualLayout>
                  <c:x val="3.6722852732005713E-2"/>
                  <c:y val="2.9629629629629628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6AC-4482-B5B5-60C3216F7F63}"/>
                </c:ext>
              </c:extLst>
            </c:dLbl>
            <c:dLbl>
              <c:idx val="3"/>
              <c:layout>
                <c:manualLayout>
                  <c:x val="4.8619463481748948E-2"/>
                  <c:y val="2.9629629629628544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6AC-4482-B5B5-60C3216F7F63}"/>
                </c:ext>
              </c:extLst>
            </c:dLbl>
            <c:dLbl>
              <c:idx val="4"/>
              <c:layout>
                <c:manualLayout>
                  <c:x val="5.6934172194841516E-2"/>
                  <c:y val="-1.0864072028177061E-1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16AC-4482-B5B5-60C3216F7F63}"/>
                </c:ext>
              </c:extLst>
            </c:dLbl>
            <c:dLbl>
              <c:idx val="5"/>
              <c:layout>
                <c:manualLayout>
                  <c:x val="4.818749071460407E-2"/>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16AC-4482-B5B5-60C3216F7F63}"/>
                </c:ext>
              </c:extLst>
            </c:dLbl>
            <c:dLbl>
              <c:idx val="6"/>
              <c:layout>
                <c:manualLayout>
                  <c:x val="4.6951321917409888E-2"/>
                  <c:y val="-5.4320360140885304E-17"/>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16AC-4482-B5B5-60C3216F7F63}"/>
                </c:ext>
              </c:extLst>
            </c:dLbl>
            <c:dLbl>
              <c:idx val="7"/>
              <c:layout>
                <c:manualLayout>
                  <c:x val="3.694780154121409E-2"/>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16AC-4482-B5B5-60C3216F7F63}"/>
                </c:ext>
              </c:extLst>
            </c:dLbl>
            <c:dLbl>
              <c:idx val="8"/>
              <c:layout>
                <c:manualLayout>
                  <c:x val="5.2900111747721294E-2"/>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16AC-4482-B5B5-60C3216F7F63}"/>
                </c:ext>
              </c:extLst>
            </c:dLbl>
            <c:dLbl>
              <c:idx val="9"/>
              <c:layout>
                <c:manualLayout>
                  <c:x val="4.2700225433264495E-2"/>
                  <c:y val="0"/>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16AC-4482-B5B5-60C3216F7F63}"/>
                </c:ext>
              </c:extLst>
            </c:dLbl>
            <c:dLbl>
              <c:idx val="10"/>
              <c:layout>
                <c:manualLayout>
                  <c:x val="5.5679432605788767E-2"/>
                  <c:y val="0"/>
                </c:manualLayout>
              </c:layout>
              <c:spPr>
                <a:noFill/>
                <a:ln>
                  <a:noFill/>
                </a:ln>
                <a:effectLst/>
              </c:spPr>
              <c:txPr>
                <a:bodyPr rot="0" spcFirstLastPara="1" vertOverflow="ellipsis" vert="horz" wrap="square" lIns="38100" tIns="19050" rIns="38100" bIns="19050" anchor="ctr" anchorCtr="0">
                  <a:spAutoFit/>
                </a:bodyPr>
                <a:lstStyle/>
                <a:p>
                  <a:pPr algn="r">
                    <a:defRPr sz="850" b="1" i="0" u="none" strike="noStrike" kern="1200" baseline="0">
                      <a:solidFill>
                        <a:sysClr val="windowText" lastClr="000000"/>
                      </a:solidFill>
                      <a:latin typeface="+mn-lt"/>
                      <a:ea typeface="+mn-ea"/>
                      <a:cs typeface="+mn-cs"/>
                    </a:defRPr>
                  </a:pPr>
                  <a:endParaRPr lang="en-US"/>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16AC-4482-B5B5-60C3216F7F63}"/>
                </c:ext>
              </c:extLst>
            </c:dLbl>
            <c:spPr>
              <a:noFill/>
              <a:ln>
                <a:noFill/>
              </a:ln>
              <a:effectLst/>
            </c:spPr>
            <c:txPr>
              <a:bodyPr rot="0" spcFirstLastPara="1" vertOverflow="ellipsis" vert="horz" wrap="square" lIns="38100" tIns="19050" rIns="38100" bIns="19050" anchor="ctr" anchorCtr="1">
                <a:spAutoFit/>
              </a:bodyPr>
              <a:lstStyle/>
              <a:p>
                <a:pPr>
                  <a:defRPr sz="850" b="1" i="0" u="none" strike="noStrike" kern="1200" baseline="0">
                    <a:solidFill>
                      <a:sysClr val="windowText" lastClr="000000"/>
                    </a:solidFill>
                    <a:latin typeface="+mn-lt"/>
                    <a:ea typeface="+mn-ea"/>
                    <a:cs typeface="+mn-cs"/>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4'!$A$2:$A$12</c:f>
              <c:strCache>
                <c:ptCount val="11"/>
                <c:pt idx="0">
                  <c:v>Professional, Scientific and Technical Services</c:v>
                </c:pt>
                <c:pt idx="1">
                  <c:v>Health Care and Social Assistance</c:v>
                </c:pt>
                <c:pt idx="2">
                  <c:v>Construction</c:v>
                </c:pt>
                <c:pt idx="3">
                  <c:v>Other services</c:v>
                </c:pt>
                <c:pt idx="4">
                  <c:v>Administrative and Support Services</c:v>
                </c:pt>
                <c:pt idx="5">
                  <c:v>Mining</c:v>
                </c:pt>
                <c:pt idx="6">
                  <c:v>Transport, Postal and Warehousing</c:v>
                </c:pt>
                <c:pt idx="7">
                  <c:v>Manufacturing</c:v>
                </c:pt>
                <c:pt idx="8">
                  <c:v>Electricity, Gas, Water and Waste Services</c:v>
                </c:pt>
                <c:pt idx="9">
                  <c:v>Public Administration and Safety</c:v>
                </c:pt>
                <c:pt idx="10">
                  <c:v>Education and Training</c:v>
                </c:pt>
              </c:strCache>
            </c:strRef>
          </c:cat>
          <c:val>
            <c:numRef>
              <c:f>'Figure 4'!$D$2:$D$12</c:f>
              <c:numCache>
                <c:formatCode>0.0%</c:formatCode>
                <c:ptCount val="11"/>
                <c:pt idx="0">
                  <c:v>0.125</c:v>
                </c:pt>
                <c:pt idx="1">
                  <c:v>0.18045112781954886</c:v>
                </c:pt>
                <c:pt idx="2">
                  <c:v>4.0816326530612242E-2</c:v>
                </c:pt>
                <c:pt idx="3">
                  <c:v>8.9552238805970144E-2</c:v>
                </c:pt>
                <c:pt idx="4">
                  <c:v>0.10344827586206896</c:v>
                </c:pt>
                <c:pt idx="5">
                  <c:v>8.1081081081081086E-2</c:v>
                </c:pt>
                <c:pt idx="6">
                  <c:v>7.8125E-2</c:v>
                </c:pt>
                <c:pt idx="7">
                  <c:v>0.04</c:v>
                </c:pt>
                <c:pt idx="8">
                  <c:v>9.375E-2</c:v>
                </c:pt>
                <c:pt idx="9">
                  <c:v>5.7142857142857141E-2</c:v>
                </c:pt>
                <c:pt idx="10">
                  <c:v>0.10227272727272728</c:v>
                </c:pt>
              </c:numCache>
            </c:numRef>
          </c:val>
          <c:extLst>
            <c:ext xmlns:c16="http://schemas.microsoft.com/office/drawing/2014/chart" uri="{C3380CC4-5D6E-409C-BE32-E72D297353CC}">
              <c16:uniqueId val="{00000003-16AC-4482-B5B5-60C3216F7F63}"/>
            </c:ext>
          </c:extLst>
        </c:ser>
        <c:dLbls>
          <c:showLegendKey val="0"/>
          <c:showVal val="1"/>
          <c:showCatName val="0"/>
          <c:showSerName val="0"/>
          <c:showPercent val="0"/>
          <c:showBubbleSize val="0"/>
        </c:dLbls>
        <c:gapWidth val="53"/>
        <c:overlap val="100"/>
        <c:axId val="937477519"/>
        <c:axId val="937494319"/>
      </c:barChart>
      <c:catAx>
        <c:axId val="93747751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85000"/>
                    <a:lumOff val="15000"/>
                  </a:schemeClr>
                </a:solidFill>
                <a:latin typeface="+mn-lt"/>
                <a:ea typeface="+mn-ea"/>
                <a:cs typeface="+mn-cs"/>
              </a:defRPr>
            </a:pPr>
            <a:endParaRPr lang="en-US"/>
          </a:p>
        </c:txPr>
        <c:crossAx val="937494319"/>
        <c:crosses val="autoZero"/>
        <c:auto val="1"/>
        <c:lblAlgn val="ctr"/>
        <c:lblOffset val="100"/>
        <c:noMultiLvlLbl val="0"/>
      </c:catAx>
      <c:valAx>
        <c:axId val="937494319"/>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37477519"/>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'Figure 5'!$B$27</c:f>
              <c:strCache>
                <c:ptCount val="1"/>
                <c:pt idx="0">
                  <c:v>1-20 (small)</c:v>
                </c:pt>
              </c:strCache>
            </c:strRef>
          </c:tx>
          <c:spPr>
            <a:solidFill>
              <a:schemeClr val="tx2">
                <a:lumMod val="75000"/>
              </a:schemeClr>
            </a:solidFill>
            <a:ln>
              <a:noFill/>
            </a:ln>
            <a:effectLst/>
          </c:spPr>
          <c:invertIfNegative val="0"/>
          <c:dLbls>
            <c:dLbl>
              <c:idx val="2"/>
              <c:layout>
                <c:manualLayout>
                  <c:x val="-5.0689394496885847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76E-4AAA-87AA-85347B4E5241}"/>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2">
                        <a:lumMod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5'!$A$28:$A$31</c:f>
              <c:strCache>
                <c:ptCount val="4"/>
                <c:pt idx="0">
                  <c:v>Confident that my employer will listen and take action. </c:v>
                </c:pt>
                <c:pt idx="1">
                  <c:v>I can contact my HSC.</c:v>
                </c:pt>
                <c:pt idx="2">
                  <c:v>I can contact my HSR.</c:v>
                </c:pt>
                <c:pt idx="3">
                  <c:v>I do not know what to do or who to talk to.</c:v>
                </c:pt>
              </c:strCache>
            </c:strRef>
          </c:cat>
          <c:val>
            <c:numRef>
              <c:f>'Figure 5'!$B$28:$B$31</c:f>
              <c:numCache>
                <c:formatCode>0.0%</c:formatCode>
                <c:ptCount val="4"/>
                <c:pt idx="0">
                  <c:v>0.55102040816326525</c:v>
                </c:pt>
                <c:pt idx="1">
                  <c:v>8.1632653061224483E-2</c:v>
                </c:pt>
                <c:pt idx="2">
                  <c:v>0.20408163265306123</c:v>
                </c:pt>
                <c:pt idx="3">
                  <c:v>0.34693877551020408</c:v>
                </c:pt>
              </c:numCache>
            </c:numRef>
          </c:val>
          <c:extLst>
            <c:ext xmlns:c16="http://schemas.microsoft.com/office/drawing/2014/chart" uri="{C3380CC4-5D6E-409C-BE32-E72D297353CC}">
              <c16:uniqueId val="{00000001-A76E-4AAA-87AA-85347B4E5241}"/>
            </c:ext>
          </c:extLst>
        </c:ser>
        <c:ser>
          <c:idx val="1"/>
          <c:order val="1"/>
          <c:tx>
            <c:strRef>
              <c:f>'Figure 5'!$C$27</c:f>
              <c:strCache>
                <c:ptCount val="1"/>
                <c:pt idx="0">
                  <c:v>21-200 (medium)</c:v>
                </c:pt>
              </c:strCache>
            </c:strRef>
          </c:tx>
          <c:spPr>
            <a:solidFill>
              <a:schemeClr val="tx2">
                <a:lumMod val="60000"/>
                <a:lumOff val="40000"/>
              </a:schemeClr>
            </a:solidFill>
            <a:ln>
              <a:noFill/>
            </a:ln>
            <a:effectLst/>
          </c:spPr>
          <c:invertIfNegative val="0"/>
          <c:dLbls>
            <c:dLbl>
              <c:idx val="0"/>
              <c:layout>
                <c:manualLayout>
                  <c:x val="1.1304224450984061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76E-4AAA-87AA-85347B4E5241}"/>
                </c:ext>
              </c:extLst>
            </c:dLbl>
            <c:dLbl>
              <c:idx val="1"/>
              <c:layout>
                <c:manualLayout>
                  <c:x val="-6.7825346705904493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76E-4AAA-87AA-85347B4E5241}"/>
                </c:ext>
              </c:extLst>
            </c:dLbl>
            <c:dLbl>
              <c:idx val="2"/>
              <c:layout>
                <c:manualLayout>
                  <c:x val="-1.1304224450984082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76E-4AAA-87AA-85347B4E5241}"/>
                </c:ext>
              </c:extLst>
            </c:dLbl>
            <c:dLbl>
              <c:idx val="3"/>
              <c:layout>
                <c:manualLayout>
                  <c:x val="2.8080867546610342E-3"/>
                  <c:y val="-4.716951364686038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76E-4AAA-87AA-85347B4E5241}"/>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5'!$A$28:$A$31</c:f>
              <c:strCache>
                <c:ptCount val="4"/>
                <c:pt idx="0">
                  <c:v>Confident that my employer will listen and take action. </c:v>
                </c:pt>
                <c:pt idx="1">
                  <c:v>I can contact my HSC.</c:v>
                </c:pt>
                <c:pt idx="2">
                  <c:v>I can contact my HSR.</c:v>
                </c:pt>
                <c:pt idx="3">
                  <c:v>I do not know what to do or who to talk to.</c:v>
                </c:pt>
              </c:strCache>
            </c:strRef>
          </c:cat>
          <c:val>
            <c:numRef>
              <c:f>'Figure 5'!$C$28:$C$31</c:f>
              <c:numCache>
                <c:formatCode>0.0%</c:formatCode>
                <c:ptCount val="4"/>
                <c:pt idx="0">
                  <c:v>0.4218009478672986</c:v>
                </c:pt>
                <c:pt idx="1">
                  <c:v>0.32227488151658767</c:v>
                </c:pt>
                <c:pt idx="2">
                  <c:v>0.35071090047393366</c:v>
                </c:pt>
                <c:pt idx="3">
                  <c:v>0.23222748815165878</c:v>
                </c:pt>
              </c:numCache>
            </c:numRef>
          </c:val>
          <c:extLst>
            <c:ext xmlns:c16="http://schemas.microsoft.com/office/drawing/2014/chart" uri="{C3380CC4-5D6E-409C-BE32-E72D297353CC}">
              <c16:uniqueId val="{00000006-A76E-4AAA-87AA-85347B4E5241}"/>
            </c:ext>
          </c:extLst>
        </c:ser>
        <c:ser>
          <c:idx val="2"/>
          <c:order val="2"/>
          <c:tx>
            <c:strRef>
              <c:f>'Figure 5'!$D$27</c:f>
              <c:strCache>
                <c:ptCount val="1"/>
                <c:pt idx="0">
                  <c:v>200+ (large)</c:v>
                </c:pt>
              </c:strCache>
            </c:strRef>
          </c:tx>
          <c:spPr>
            <a:solidFill>
              <a:schemeClr val="tx2">
                <a:lumMod val="20000"/>
                <a:lumOff val="80000"/>
              </a:schemeClr>
            </a:solidFill>
            <a:ln>
              <a:noFill/>
            </a:ln>
            <a:effectLst/>
          </c:spPr>
          <c:invertIfNegative val="0"/>
          <c:dLbls>
            <c:dLbl>
              <c:idx val="0"/>
              <c:layout>
                <c:manualLayout>
                  <c:x val="6.7825346705904493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A76E-4AAA-87AA-85347B4E5241}"/>
                </c:ext>
              </c:extLst>
            </c:dLbl>
            <c:dLbl>
              <c:idx val="1"/>
              <c:layout>
                <c:manualLayout>
                  <c:x val="9.043379560787183E-3"/>
                  <c:y val="-3.9115015083920545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A76E-4AAA-87AA-85347B4E5241}"/>
                </c:ext>
              </c:extLst>
            </c:dLbl>
            <c:dLbl>
              <c:idx val="2"/>
              <c:layout>
                <c:manualLayout>
                  <c:x val="2.2608448901968161E-3"/>
                  <c:y val="1.564600603356807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A76E-4AAA-87AA-85347B4E5241}"/>
                </c:ext>
              </c:extLst>
            </c:dLbl>
            <c:dLbl>
              <c:idx val="3"/>
              <c:layout>
                <c:manualLayout>
                  <c:x val="2.260844890196808E-2"/>
                  <c:y val="-7.1710032586771315E-17"/>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A76E-4AAA-87AA-85347B4E5241}"/>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5'!$A$28:$A$31</c:f>
              <c:strCache>
                <c:ptCount val="4"/>
                <c:pt idx="0">
                  <c:v>Confident that my employer will listen and take action. </c:v>
                </c:pt>
                <c:pt idx="1">
                  <c:v>I can contact my HSC.</c:v>
                </c:pt>
                <c:pt idx="2">
                  <c:v>I can contact my HSR.</c:v>
                </c:pt>
                <c:pt idx="3">
                  <c:v>I do not know what to do or who to talk to.</c:v>
                </c:pt>
              </c:strCache>
            </c:strRef>
          </c:cat>
          <c:val>
            <c:numRef>
              <c:f>'Figure 5'!$D$28:$D$31</c:f>
              <c:numCache>
                <c:formatCode>0.0%</c:formatCode>
                <c:ptCount val="4"/>
                <c:pt idx="0">
                  <c:v>0.30555555555555558</c:v>
                </c:pt>
                <c:pt idx="1">
                  <c:v>0.33547008547008544</c:v>
                </c:pt>
                <c:pt idx="2">
                  <c:v>0.45726495726495725</c:v>
                </c:pt>
                <c:pt idx="3">
                  <c:v>0.22435897435897437</c:v>
                </c:pt>
              </c:numCache>
            </c:numRef>
          </c:val>
          <c:extLst>
            <c:ext xmlns:c16="http://schemas.microsoft.com/office/drawing/2014/chart" uri="{C3380CC4-5D6E-409C-BE32-E72D297353CC}">
              <c16:uniqueId val="{0000000B-A76E-4AAA-87AA-85347B4E5241}"/>
            </c:ext>
          </c:extLst>
        </c:ser>
        <c:dLbls>
          <c:dLblPos val="outEnd"/>
          <c:showLegendKey val="0"/>
          <c:showVal val="1"/>
          <c:showCatName val="0"/>
          <c:showSerName val="0"/>
          <c:showPercent val="0"/>
          <c:showBubbleSize val="0"/>
        </c:dLbls>
        <c:gapWidth val="96"/>
        <c:overlap val="-25"/>
        <c:axId val="1289778752"/>
        <c:axId val="1289774912"/>
      </c:barChart>
      <c:catAx>
        <c:axId val="12897787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en-US"/>
          </a:p>
        </c:txPr>
        <c:crossAx val="1289774912"/>
        <c:crosses val="autoZero"/>
        <c:auto val="1"/>
        <c:lblAlgn val="ctr"/>
        <c:lblOffset val="100"/>
        <c:noMultiLvlLbl val="0"/>
      </c:catAx>
      <c:valAx>
        <c:axId val="128977491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8977875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1707626958872487E-2"/>
          <c:y val="0.13509518688030397"/>
          <c:w val="0.90371814859807109"/>
          <c:h val="0.77270833169781994"/>
        </c:manualLayout>
      </c:layout>
      <c:barChart>
        <c:barDir val="col"/>
        <c:grouping val="clustered"/>
        <c:varyColors val="0"/>
        <c:ser>
          <c:idx val="0"/>
          <c:order val="0"/>
          <c:tx>
            <c:strRef>
              <c:f>'Figure 6'!$B$1</c:f>
              <c:strCache>
                <c:ptCount val="1"/>
                <c:pt idx="0">
                  <c:v>No HSR</c:v>
                </c:pt>
              </c:strCache>
            </c:strRef>
          </c:tx>
          <c:spPr>
            <a:solidFill>
              <a:schemeClr val="tx2">
                <a:lumMod val="75000"/>
              </a:schemeClr>
            </a:solidFill>
            <a:ln>
              <a:noFill/>
            </a:ln>
            <a:effectLst/>
          </c:spPr>
          <c:invertIfNegative val="0"/>
          <c:dLbls>
            <c:dLbl>
              <c:idx val="0"/>
              <c:tx>
                <c:rich>
                  <a:bodyPr/>
                  <a:lstStyle/>
                  <a:p>
                    <a:fld id="{2643DD6F-1DCE-4974-A852-BF8226CF9323}" type="VALUE">
                      <a:rPr lang="en-US" sz="1100">
                        <a:solidFill>
                          <a:schemeClr val="tx2">
                            <a:lumMod val="50000"/>
                          </a:schemeClr>
                        </a:solidFill>
                      </a:rPr>
                      <a:pPr/>
                      <a:t>[VALUE]</a:t>
                    </a:fld>
                    <a:endParaRPr lang="en-AU"/>
                  </a:p>
                </c:rich>
              </c:tx>
              <c:dLblPos val="outEnd"/>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819C-4843-9F71-0E823928C5A5}"/>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2">
                        <a:lumMod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6'!$A$2:$A$4</c:f>
              <c:strCache>
                <c:ptCount val="3"/>
                <c:pt idx="0">
                  <c:v>No</c:v>
                </c:pt>
                <c:pt idx="1">
                  <c:v>Unsure</c:v>
                </c:pt>
                <c:pt idx="2">
                  <c:v>Yes</c:v>
                </c:pt>
              </c:strCache>
              <c:extLst/>
            </c:strRef>
          </c:cat>
          <c:val>
            <c:numRef>
              <c:f>'Figure 6'!$B$2:$B$4</c:f>
              <c:numCache>
                <c:formatCode>0.0%</c:formatCode>
                <c:ptCount val="3"/>
                <c:pt idx="0">
                  <c:v>0.46078431372549017</c:v>
                </c:pt>
                <c:pt idx="1">
                  <c:v>7.8431372549019607E-2</c:v>
                </c:pt>
                <c:pt idx="2">
                  <c:v>0.46078431372549017</c:v>
                </c:pt>
              </c:numCache>
              <c:extLst/>
            </c:numRef>
          </c:val>
          <c:extLst>
            <c:ext xmlns:c16="http://schemas.microsoft.com/office/drawing/2014/chart" uri="{C3380CC4-5D6E-409C-BE32-E72D297353CC}">
              <c16:uniqueId val="{00000001-819C-4843-9F71-0E823928C5A5}"/>
            </c:ext>
          </c:extLst>
        </c:ser>
        <c:ser>
          <c:idx val="1"/>
          <c:order val="1"/>
          <c:tx>
            <c:strRef>
              <c:f>'Figure 6'!$C$1</c:f>
              <c:strCache>
                <c:ptCount val="1"/>
                <c:pt idx="0">
                  <c:v>Unsure of HSR</c:v>
                </c:pt>
              </c:strCache>
            </c:strRef>
          </c:tx>
          <c:spPr>
            <a:solidFill>
              <a:schemeClr val="tx2">
                <a:lumMod val="60000"/>
                <a:lumOff val="40000"/>
              </a:schemeClr>
            </a:solidFill>
            <a:ln>
              <a:noFill/>
            </a:ln>
            <a:effectLst/>
          </c:spPr>
          <c:invertIfNegative val="0"/>
          <c:dLbls>
            <c:dLbl>
              <c:idx val="0"/>
              <c:layout>
                <c:manualLayout>
                  <c:x val="0"/>
                  <c:y val="-2.314814814814814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19C-4843-9F71-0E823928C5A5}"/>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2">
                        <a:lumMod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6'!$A$2:$A$4</c:f>
              <c:strCache>
                <c:ptCount val="3"/>
                <c:pt idx="0">
                  <c:v>No</c:v>
                </c:pt>
                <c:pt idx="1">
                  <c:v>Unsure</c:v>
                </c:pt>
                <c:pt idx="2">
                  <c:v>Yes</c:v>
                </c:pt>
              </c:strCache>
              <c:extLst/>
            </c:strRef>
          </c:cat>
          <c:val>
            <c:numRef>
              <c:f>'Figure 6'!$C$2:$C$4</c:f>
              <c:numCache>
                <c:formatCode>0.0%</c:formatCode>
                <c:ptCount val="3"/>
                <c:pt idx="0">
                  <c:v>0.4731182795698925</c:v>
                </c:pt>
                <c:pt idx="1">
                  <c:v>0.19354838709677419</c:v>
                </c:pt>
                <c:pt idx="2">
                  <c:v>0.33333333333333331</c:v>
                </c:pt>
              </c:numCache>
              <c:extLst/>
            </c:numRef>
          </c:val>
          <c:extLst>
            <c:ext xmlns:c16="http://schemas.microsoft.com/office/drawing/2014/chart" uri="{C3380CC4-5D6E-409C-BE32-E72D297353CC}">
              <c16:uniqueId val="{00000003-819C-4843-9F71-0E823928C5A5}"/>
            </c:ext>
          </c:extLst>
        </c:ser>
        <c:ser>
          <c:idx val="2"/>
          <c:order val="2"/>
          <c:tx>
            <c:strRef>
              <c:f>'Figure 6'!$D$1</c:f>
              <c:strCache>
                <c:ptCount val="1"/>
                <c:pt idx="0">
                  <c:v>HSR</c:v>
                </c:pt>
              </c:strCache>
            </c:strRef>
          </c:tx>
          <c:spPr>
            <a:solidFill>
              <a:schemeClr val="tx2">
                <a:lumMod val="20000"/>
                <a:lumOff val="80000"/>
              </a:schemeClr>
            </a:solidFill>
            <a:ln>
              <a:noFill/>
            </a:ln>
            <a:effectLst/>
          </c:spPr>
          <c:invertIfNegative val="0"/>
          <c:dLbls>
            <c:dLbl>
              <c:idx val="0"/>
              <c:layout>
                <c:manualLayout>
                  <c:x val="1.1111111111111112E-2"/>
                  <c:y val="-4.629629629629629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19C-4843-9F71-0E823928C5A5}"/>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2">
                        <a:lumMod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6'!$A$2:$A$4</c:f>
              <c:strCache>
                <c:ptCount val="3"/>
                <c:pt idx="0">
                  <c:v>No</c:v>
                </c:pt>
                <c:pt idx="1">
                  <c:v>Unsure</c:v>
                </c:pt>
                <c:pt idx="2">
                  <c:v>Yes</c:v>
                </c:pt>
              </c:strCache>
              <c:extLst/>
            </c:strRef>
          </c:cat>
          <c:val>
            <c:numRef>
              <c:f>'Figure 6'!$D$2:$D$4</c:f>
              <c:numCache>
                <c:formatCode>0.0%</c:formatCode>
                <c:ptCount val="3"/>
                <c:pt idx="0">
                  <c:v>0.32142857142857145</c:v>
                </c:pt>
                <c:pt idx="1">
                  <c:v>9.5238095238095233E-2</c:v>
                </c:pt>
                <c:pt idx="2">
                  <c:v>0.58333333333333337</c:v>
                </c:pt>
              </c:numCache>
              <c:extLst/>
            </c:numRef>
          </c:val>
          <c:extLst>
            <c:ext xmlns:c16="http://schemas.microsoft.com/office/drawing/2014/chart" uri="{C3380CC4-5D6E-409C-BE32-E72D297353CC}">
              <c16:uniqueId val="{00000005-819C-4843-9F71-0E823928C5A5}"/>
            </c:ext>
          </c:extLst>
        </c:ser>
        <c:dLbls>
          <c:dLblPos val="outEnd"/>
          <c:showLegendKey val="0"/>
          <c:showVal val="1"/>
          <c:showCatName val="0"/>
          <c:showSerName val="0"/>
          <c:showPercent val="0"/>
          <c:showBubbleSize val="0"/>
        </c:dLbls>
        <c:gapWidth val="219"/>
        <c:overlap val="-27"/>
        <c:axId val="69217055"/>
        <c:axId val="69216575"/>
        <c:extLst>
          <c:ext xmlns:c15="http://schemas.microsoft.com/office/drawing/2012/chart" uri="{02D57815-91ED-43cb-92C2-25804820EDAC}">
            <c15:filteredBarSeries>
              <c15:ser>
                <c:idx val="3"/>
                <c:order val="3"/>
                <c:tx>
                  <c:strRef>
                    <c:extLst>
                      <c:ext uri="{02D57815-91ED-43cb-92C2-25804820EDAC}">
                        <c15:formulaRef>
                          <c15:sqref>'Figure 6'!$E$1</c15:sqref>
                        </c15:formulaRef>
                      </c:ext>
                    </c:extLst>
                    <c:strCache>
                      <c:ptCount val="1"/>
                      <c:pt idx="0">
                        <c:v>Total</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ormulaRef>
                          <c15:sqref>'Figure 6'!$A$2:$A$4</c15:sqref>
                        </c15:formulaRef>
                      </c:ext>
                    </c:extLst>
                    <c:strCache>
                      <c:ptCount val="3"/>
                      <c:pt idx="0">
                        <c:v>No</c:v>
                      </c:pt>
                      <c:pt idx="1">
                        <c:v>Unsure</c:v>
                      </c:pt>
                      <c:pt idx="2">
                        <c:v>Yes</c:v>
                      </c:pt>
                    </c:strCache>
                  </c:strRef>
                </c:cat>
                <c:val>
                  <c:numRef>
                    <c:extLst>
                      <c:ext uri="{02D57815-91ED-43cb-92C2-25804820EDAC}">
                        <c15:formulaRef>
                          <c15:sqref>'Figure 6'!$E$2:$E$4</c15:sqref>
                        </c15:formulaRef>
                      </c:ext>
                    </c:extLst>
                    <c:numCache>
                      <c:formatCode>0.0%</c:formatCode>
                      <c:ptCount val="3"/>
                      <c:pt idx="0">
                        <c:v>0.35475578406169667</c:v>
                      </c:pt>
                      <c:pt idx="1">
                        <c:v>0.10411311053984576</c:v>
                      </c:pt>
                      <c:pt idx="2">
                        <c:v>0.54113110539845755</c:v>
                      </c:pt>
                    </c:numCache>
                  </c:numRef>
                </c:val>
                <c:extLst>
                  <c:ext xmlns:c16="http://schemas.microsoft.com/office/drawing/2014/chart" uri="{C3380CC4-5D6E-409C-BE32-E72D297353CC}">
                    <c16:uniqueId val="{00000006-819C-4843-9F71-0E823928C5A5}"/>
                  </c:ext>
                </c:extLst>
              </c15:ser>
            </c15:filteredBarSeries>
          </c:ext>
        </c:extLst>
      </c:barChart>
      <c:catAx>
        <c:axId val="692170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95000"/>
                    <a:lumOff val="5000"/>
                  </a:schemeClr>
                </a:solidFill>
                <a:latin typeface="+mn-lt"/>
                <a:ea typeface="+mn-ea"/>
                <a:cs typeface="+mn-cs"/>
              </a:defRPr>
            </a:pPr>
            <a:endParaRPr lang="en-US"/>
          </a:p>
        </c:txPr>
        <c:crossAx val="69216575"/>
        <c:crosses val="autoZero"/>
        <c:auto val="1"/>
        <c:lblAlgn val="ctr"/>
        <c:lblOffset val="100"/>
        <c:noMultiLvlLbl val="0"/>
      </c:catAx>
      <c:valAx>
        <c:axId val="69216575"/>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9217055"/>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0"/>
          <c:order val="0"/>
          <c:tx>
            <c:strRef>
              <c:f>'Figure 7'!$B$8</c:f>
              <c:strCache>
                <c:ptCount val="1"/>
                <c:pt idx="0">
                  <c:v>Not always consulted</c:v>
                </c:pt>
              </c:strCache>
            </c:strRef>
          </c:tx>
          <c:spPr>
            <a:solidFill>
              <a:schemeClr val="tx2">
                <a:lumMod val="75000"/>
              </a:schemeClr>
            </a:solidFill>
            <a:ln>
              <a:noFill/>
            </a:ln>
            <a:effectLst/>
          </c:spPr>
          <c:invertIfNegative val="0"/>
          <c:dLbls>
            <c:dLbl>
              <c:idx val="0"/>
              <c:tx>
                <c:rich>
                  <a:bodyPr/>
                  <a:lstStyle/>
                  <a:p>
                    <a:fld id="{FFF363E2-4746-4175-A6FF-0C7B90569265}" type="VALUE">
                      <a:rPr lang="en-US">
                        <a:solidFill>
                          <a:schemeClr val="bg1"/>
                        </a:solidFill>
                      </a:rPr>
                      <a:pPr/>
                      <a:t>[VALUE]</a:t>
                    </a:fld>
                    <a:endParaRPr lang="en-AU"/>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0-A15D-4561-A6D6-4A81435BA49F}"/>
                </c:ext>
              </c:extLst>
            </c:dLbl>
            <c:dLbl>
              <c:idx val="1"/>
              <c:tx>
                <c:rich>
                  <a:bodyPr/>
                  <a:lstStyle/>
                  <a:p>
                    <a:fld id="{B9259DA9-1708-40A3-8ADF-7E9BD29A1AB6}" type="VALUE">
                      <a:rPr lang="en-US">
                        <a:solidFill>
                          <a:schemeClr val="bg1"/>
                        </a:solidFill>
                      </a:rPr>
                      <a:pPr/>
                      <a:t>[VALUE]</a:t>
                    </a:fld>
                    <a:endParaRPr lang="en-AU"/>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A15D-4561-A6D6-4A81435BA49F}"/>
                </c:ext>
              </c:extLst>
            </c:dLbl>
            <c:dLbl>
              <c:idx val="2"/>
              <c:tx>
                <c:rich>
                  <a:bodyPr/>
                  <a:lstStyle/>
                  <a:p>
                    <a:fld id="{544637FE-4C1D-469F-8470-A085F119DE55}" type="VALUE">
                      <a:rPr lang="en-US">
                        <a:solidFill>
                          <a:schemeClr val="bg1"/>
                        </a:solidFill>
                      </a:rPr>
                      <a:pPr/>
                      <a:t>[VALUE]</a:t>
                    </a:fld>
                    <a:endParaRPr lang="en-AU"/>
                  </a:p>
                </c:rich>
              </c:tx>
              <c:dLblPos val="ct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2-A15D-4561-A6D6-4A81435BA49F}"/>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7'!$A$9:$A$11</c:f>
              <c:strCache>
                <c:ptCount val="3"/>
                <c:pt idx="0">
                  <c:v>Feels that manager is unaware of WHS responsibilities</c:v>
                </c:pt>
                <c:pt idx="1">
                  <c:v>Feels unsure if manager is aware of WHS responsibilities</c:v>
                </c:pt>
                <c:pt idx="2">
                  <c:v>Feels that manager is aware of WHS responsibilities</c:v>
                </c:pt>
              </c:strCache>
            </c:strRef>
          </c:cat>
          <c:val>
            <c:numRef>
              <c:f>'Figure 7'!$B$9:$B$11</c:f>
              <c:numCache>
                <c:formatCode>0.0%</c:formatCode>
                <c:ptCount val="3"/>
                <c:pt idx="0">
                  <c:v>0.91666666666666663</c:v>
                </c:pt>
                <c:pt idx="1">
                  <c:v>0.71604938271604934</c:v>
                </c:pt>
                <c:pt idx="2">
                  <c:v>0.39667458432304037</c:v>
                </c:pt>
              </c:numCache>
            </c:numRef>
          </c:val>
          <c:extLst>
            <c:ext xmlns:c16="http://schemas.microsoft.com/office/drawing/2014/chart" uri="{C3380CC4-5D6E-409C-BE32-E72D297353CC}">
              <c16:uniqueId val="{00000003-A15D-4561-A6D6-4A81435BA49F}"/>
            </c:ext>
          </c:extLst>
        </c:ser>
        <c:ser>
          <c:idx val="1"/>
          <c:order val="1"/>
          <c:tx>
            <c:strRef>
              <c:f>'Figure 7'!$C$8</c:f>
              <c:strCache>
                <c:ptCount val="1"/>
                <c:pt idx="0">
                  <c:v>Unsure if always consulted</c:v>
                </c:pt>
              </c:strCache>
            </c:strRef>
          </c:tx>
          <c:spPr>
            <a:solidFill>
              <a:schemeClr val="tx2">
                <a:lumMod val="60000"/>
                <a:lumOff val="40000"/>
              </a:schemeClr>
            </a:solidFill>
            <a:ln>
              <a:noFill/>
            </a:ln>
            <a:effectLst/>
          </c:spPr>
          <c:invertIfNegative val="0"/>
          <c:dLbls>
            <c:dLbl>
              <c:idx val="0"/>
              <c:layout>
                <c:manualLayout>
                  <c:x val="0.14221480108259643"/>
                  <c:y val="5.7684456109652962E-2"/>
                </c:manualLayout>
              </c:layout>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accent5"/>
                      </a:solidFill>
                      <a:latin typeface="+mn-lt"/>
                      <a:ea typeface="+mn-ea"/>
                      <a:cs typeface="+mn-cs"/>
                    </a:defRPr>
                  </a:pPr>
                  <a:endParaRPr lang="en-US"/>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15D-4561-A6D6-4A81435BA49F}"/>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bg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7'!$A$9:$A$11</c:f>
              <c:strCache>
                <c:ptCount val="3"/>
                <c:pt idx="0">
                  <c:v>Feels that manager is unaware of WHS responsibilities</c:v>
                </c:pt>
                <c:pt idx="1">
                  <c:v>Feels unsure if manager is aware of WHS responsibilities</c:v>
                </c:pt>
                <c:pt idx="2">
                  <c:v>Feels that manager is aware of WHS responsibilities</c:v>
                </c:pt>
              </c:strCache>
            </c:strRef>
          </c:cat>
          <c:val>
            <c:numRef>
              <c:f>'Figure 7'!$C$9:$C$11</c:f>
              <c:numCache>
                <c:formatCode>0.0%</c:formatCode>
                <c:ptCount val="3"/>
                <c:pt idx="0">
                  <c:v>4.3478260869565216E-2</c:v>
                </c:pt>
                <c:pt idx="1">
                  <c:v>0.14814814814814814</c:v>
                </c:pt>
                <c:pt idx="2">
                  <c:v>7.8384798099762468E-2</c:v>
                </c:pt>
              </c:numCache>
            </c:numRef>
          </c:val>
          <c:extLst>
            <c:ext xmlns:c16="http://schemas.microsoft.com/office/drawing/2014/chart" uri="{C3380CC4-5D6E-409C-BE32-E72D297353CC}">
              <c16:uniqueId val="{00000005-A15D-4561-A6D6-4A81435BA49F}"/>
            </c:ext>
          </c:extLst>
        </c:ser>
        <c:ser>
          <c:idx val="2"/>
          <c:order val="2"/>
          <c:tx>
            <c:strRef>
              <c:f>'Figure 7'!$D$8</c:f>
              <c:strCache>
                <c:ptCount val="1"/>
                <c:pt idx="0">
                  <c:v>Always consulted</c:v>
                </c:pt>
              </c:strCache>
            </c:strRef>
          </c:tx>
          <c:spPr>
            <a:solidFill>
              <a:schemeClr val="tx2">
                <a:lumMod val="20000"/>
                <a:lumOff val="80000"/>
              </a:schemeClr>
            </a:solidFill>
            <a:ln>
              <a:noFill/>
            </a:ln>
            <a:effectLst/>
          </c:spPr>
          <c:invertIfNegative val="0"/>
          <c:dLbls>
            <c:dLbl>
              <c:idx val="0"/>
              <c:layout>
                <c:manualLayout>
                  <c:x val="0.14228375524019302"/>
                  <c:y val="1.777671730427635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A15D-4561-A6D6-4A81435BA49F}"/>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accent5"/>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7'!$A$9:$A$11</c:f>
              <c:strCache>
                <c:ptCount val="3"/>
                <c:pt idx="0">
                  <c:v>Feels that manager is unaware of WHS responsibilities</c:v>
                </c:pt>
                <c:pt idx="1">
                  <c:v>Feels unsure if manager is aware of WHS responsibilities</c:v>
                </c:pt>
                <c:pt idx="2">
                  <c:v>Feels that manager is aware of WHS responsibilities</c:v>
                </c:pt>
              </c:strCache>
            </c:strRef>
          </c:cat>
          <c:val>
            <c:numRef>
              <c:f>'Figure 7'!$D$9:$D$11</c:f>
              <c:numCache>
                <c:formatCode>0.0%</c:formatCode>
                <c:ptCount val="3"/>
                <c:pt idx="0">
                  <c:v>3.9855072463768113E-2</c:v>
                </c:pt>
                <c:pt idx="1">
                  <c:v>0.13580246913580246</c:v>
                </c:pt>
                <c:pt idx="2">
                  <c:v>0.52494061757719712</c:v>
                </c:pt>
              </c:numCache>
            </c:numRef>
          </c:val>
          <c:extLst>
            <c:ext xmlns:c16="http://schemas.microsoft.com/office/drawing/2014/chart" uri="{C3380CC4-5D6E-409C-BE32-E72D297353CC}">
              <c16:uniqueId val="{00000007-A15D-4561-A6D6-4A81435BA49F}"/>
            </c:ext>
          </c:extLst>
        </c:ser>
        <c:dLbls>
          <c:dLblPos val="ctr"/>
          <c:showLegendKey val="0"/>
          <c:showVal val="1"/>
          <c:showCatName val="0"/>
          <c:showSerName val="0"/>
          <c:showPercent val="0"/>
          <c:showBubbleSize val="0"/>
        </c:dLbls>
        <c:gapWidth val="65"/>
        <c:overlap val="100"/>
        <c:axId val="973738432"/>
        <c:axId val="973738912"/>
      </c:barChart>
      <c:catAx>
        <c:axId val="9737384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en-US"/>
          </a:p>
        </c:txPr>
        <c:crossAx val="973738912"/>
        <c:crossesAt val="0"/>
        <c:auto val="1"/>
        <c:lblAlgn val="ctr"/>
        <c:lblOffset val="100"/>
        <c:noMultiLvlLbl val="0"/>
      </c:catAx>
      <c:valAx>
        <c:axId val="973738912"/>
        <c:scaling>
          <c:orientation val="minMax"/>
          <c:max val="1"/>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7373843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85000"/>
                  <a:lumOff val="1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'Figure 8'!$F$13</c:f>
              <c:strCache>
                <c:ptCount val="1"/>
                <c:pt idx="0">
                  <c:v>Measure</c:v>
                </c:pt>
              </c:strCache>
            </c:strRef>
          </c:tx>
          <c:spPr>
            <a:solidFill>
              <a:schemeClr val="tx2">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2">
                        <a:lumMod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8'!$E$14:$E$21</c:f>
              <c:strCache>
                <c:ptCount val="8"/>
                <c:pt idx="0">
                  <c:v>HSR functions</c:v>
                </c:pt>
                <c:pt idx="1">
                  <c:v>Accessing WHS information</c:v>
                </c:pt>
                <c:pt idx="2">
                  <c:v>Time performing HSR role</c:v>
                </c:pt>
                <c:pt idx="3">
                  <c:v>No disagreements experienced</c:v>
                </c:pt>
                <c:pt idx="4">
                  <c:v>Time attending HSR training</c:v>
                </c:pt>
                <c:pt idx="5">
                  <c:v>HSR training provider</c:v>
                </c:pt>
                <c:pt idx="6">
                  <c:v>HSR training cost</c:v>
                </c:pt>
                <c:pt idx="7">
                  <c:v>PCBU duties</c:v>
                </c:pt>
              </c:strCache>
            </c:strRef>
          </c:cat>
          <c:val>
            <c:numRef>
              <c:f>'Figure 8'!$F$14:$F$21</c:f>
              <c:numCache>
                <c:formatCode>0.0%</c:formatCode>
                <c:ptCount val="8"/>
                <c:pt idx="0">
                  <c:v>0.44588744588744589</c:v>
                </c:pt>
                <c:pt idx="1">
                  <c:v>0.38961038961038963</c:v>
                </c:pt>
                <c:pt idx="2">
                  <c:v>0.35064935064935066</c:v>
                </c:pt>
                <c:pt idx="3">
                  <c:v>0.31601731601731603</c:v>
                </c:pt>
                <c:pt idx="4">
                  <c:v>0.21645021645021645</c:v>
                </c:pt>
                <c:pt idx="5">
                  <c:v>0.14285714285714285</c:v>
                </c:pt>
                <c:pt idx="6">
                  <c:v>0.11255411255411256</c:v>
                </c:pt>
                <c:pt idx="7">
                  <c:v>5.1948051948051951E-2</c:v>
                </c:pt>
              </c:numCache>
            </c:numRef>
          </c:val>
          <c:extLst>
            <c:ext xmlns:c16="http://schemas.microsoft.com/office/drawing/2014/chart" uri="{C3380CC4-5D6E-409C-BE32-E72D297353CC}">
              <c16:uniqueId val="{00000000-95BB-4A56-9817-377DA9F52FD8}"/>
            </c:ext>
          </c:extLst>
        </c:ser>
        <c:dLbls>
          <c:dLblPos val="outEnd"/>
          <c:showLegendKey val="0"/>
          <c:showVal val="1"/>
          <c:showCatName val="0"/>
          <c:showSerName val="0"/>
          <c:showPercent val="0"/>
          <c:showBubbleSize val="0"/>
        </c:dLbls>
        <c:gapWidth val="51"/>
        <c:axId val="1286070048"/>
        <c:axId val="1286071008"/>
      </c:barChart>
      <c:catAx>
        <c:axId val="12860700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en-US"/>
          </a:p>
        </c:txPr>
        <c:crossAx val="1286071008"/>
        <c:crosses val="autoZero"/>
        <c:auto val="1"/>
        <c:lblAlgn val="ctr"/>
        <c:lblOffset val="100"/>
        <c:noMultiLvlLbl val="0"/>
      </c:catAx>
      <c:valAx>
        <c:axId val="1286071008"/>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8607004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'Figure 9'!$B$3</c:f>
              <c:strCache>
                <c:ptCount val="1"/>
                <c:pt idx="0">
                  <c:v>Proportion</c:v>
                </c:pt>
              </c:strCache>
            </c:strRef>
          </c:tx>
          <c:spPr>
            <a:solidFill>
              <a:schemeClr val="tx2">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2">
                        <a:lumMod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9'!$A$4:$A$18</c:f>
              <c:strCache>
                <c:ptCount val="15"/>
                <c:pt idx="0">
                  <c:v>Wholesale Trade</c:v>
                </c:pt>
                <c:pt idx="1">
                  <c:v>Arts and Recreation Services</c:v>
                </c:pt>
                <c:pt idx="2">
                  <c:v>Accommodation and Food Services</c:v>
                </c:pt>
                <c:pt idx="3">
                  <c:v>Administrative and Support Services</c:v>
                </c:pt>
                <c:pt idx="4">
                  <c:v>Other Services</c:v>
                </c:pt>
                <c:pt idx="5">
                  <c:v>Education and Training</c:v>
                </c:pt>
                <c:pt idx="6">
                  <c:v>Agriculture, Forestry and Fishing</c:v>
                </c:pt>
                <c:pt idx="7">
                  <c:v>Electricity, Gas, Water and Waste Services</c:v>
                </c:pt>
                <c:pt idx="8">
                  <c:v>Mining</c:v>
                </c:pt>
                <c:pt idx="9">
                  <c:v>Public Administration and Safety</c:v>
                </c:pt>
                <c:pt idx="10">
                  <c:v>Health Care and Social Assistance</c:v>
                </c:pt>
                <c:pt idx="11">
                  <c:v>Transport, Postal and Warehousing</c:v>
                </c:pt>
                <c:pt idx="12">
                  <c:v>Professional, Scientific and Technical Services</c:v>
                </c:pt>
                <c:pt idx="13">
                  <c:v>Manufacturing</c:v>
                </c:pt>
                <c:pt idx="14">
                  <c:v>Construction</c:v>
                </c:pt>
              </c:strCache>
            </c:strRef>
          </c:cat>
          <c:val>
            <c:numRef>
              <c:f>'Figure 9'!$B$4:$B$18</c:f>
              <c:numCache>
                <c:formatCode>0.0%</c:formatCode>
                <c:ptCount val="15"/>
                <c:pt idx="0">
                  <c:v>1.1627906976744186E-2</c:v>
                </c:pt>
                <c:pt idx="1">
                  <c:v>2.3255813953488372E-2</c:v>
                </c:pt>
                <c:pt idx="2">
                  <c:v>3.4883720930232558E-2</c:v>
                </c:pt>
                <c:pt idx="3">
                  <c:v>4.6511627906976744E-2</c:v>
                </c:pt>
                <c:pt idx="4">
                  <c:v>4.6511627906976744E-2</c:v>
                </c:pt>
                <c:pt idx="5">
                  <c:v>8.1395348837209308E-2</c:v>
                </c:pt>
                <c:pt idx="6">
                  <c:v>8.1395348837209308E-2</c:v>
                </c:pt>
                <c:pt idx="7">
                  <c:v>0.10465116279069768</c:v>
                </c:pt>
                <c:pt idx="8">
                  <c:v>0.10465116279069768</c:v>
                </c:pt>
                <c:pt idx="9">
                  <c:v>0.11627906976744186</c:v>
                </c:pt>
                <c:pt idx="10">
                  <c:v>0.11627906976744186</c:v>
                </c:pt>
                <c:pt idx="11">
                  <c:v>0.12790697674418605</c:v>
                </c:pt>
                <c:pt idx="12">
                  <c:v>0.12790697674418605</c:v>
                </c:pt>
                <c:pt idx="13">
                  <c:v>0.18604651162790697</c:v>
                </c:pt>
                <c:pt idx="14">
                  <c:v>0.27906976744186046</c:v>
                </c:pt>
              </c:numCache>
            </c:numRef>
          </c:val>
          <c:extLst>
            <c:ext xmlns:c16="http://schemas.microsoft.com/office/drawing/2014/chart" uri="{C3380CC4-5D6E-409C-BE32-E72D297353CC}">
              <c16:uniqueId val="{00000000-F8A3-47CA-B5F5-74080BF8F3FD}"/>
            </c:ext>
          </c:extLst>
        </c:ser>
        <c:dLbls>
          <c:dLblPos val="outEnd"/>
          <c:showLegendKey val="0"/>
          <c:showVal val="1"/>
          <c:showCatName val="0"/>
          <c:showSerName val="0"/>
          <c:showPercent val="0"/>
          <c:showBubbleSize val="0"/>
        </c:dLbls>
        <c:gapWidth val="70"/>
        <c:axId val="470682864"/>
        <c:axId val="470683824"/>
      </c:barChart>
      <c:catAx>
        <c:axId val="47068286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95000"/>
                    <a:lumOff val="5000"/>
                  </a:schemeClr>
                </a:solidFill>
                <a:latin typeface="+mn-lt"/>
                <a:ea typeface="+mn-ea"/>
                <a:cs typeface="+mn-cs"/>
              </a:defRPr>
            </a:pPr>
            <a:endParaRPr lang="en-US"/>
          </a:p>
        </c:txPr>
        <c:crossAx val="470683824"/>
        <c:crosses val="autoZero"/>
        <c:auto val="1"/>
        <c:lblAlgn val="ctr"/>
        <c:lblOffset val="100"/>
        <c:noMultiLvlLbl val="0"/>
      </c:catAx>
      <c:valAx>
        <c:axId val="470683824"/>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068286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'Figure 10'!$B$16</c:f>
              <c:strCache>
                <c:ptCount val="1"/>
                <c:pt idx="0">
                  <c:v>Proportion of respondents</c:v>
                </c:pt>
              </c:strCache>
            </c:strRef>
          </c:tx>
          <c:spPr>
            <a:solidFill>
              <a:schemeClr val="tx2">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2">
                        <a:lumMod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10'!$A$17:$A$26</c:f>
              <c:strCache>
                <c:ptCount val="10"/>
                <c:pt idx="0">
                  <c:v>NSW</c:v>
                </c:pt>
                <c:pt idx="1">
                  <c:v>Qld</c:v>
                </c:pt>
                <c:pt idx="2">
                  <c:v>WA</c:v>
                </c:pt>
                <c:pt idx="3">
                  <c:v>Vic</c:v>
                </c:pt>
                <c:pt idx="4">
                  <c:v>SA</c:v>
                </c:pt>
                <c:pt idx="5">
                  <c:v>Nationally</c:v>
                </c:pt>
                <c:pt idx="6">
                  <c:v>ACT</c:v>
                </c:pt>
                <c:pt idx="7">
                  <c:v>Outside of Australia</c:v>
                </c:pt>
                <c:pt idx="8">
                  <c:v>Tas</c:v>
                </c:pt>
                <c:pt idx="9">
                  <c:v>NT</c:v>
                </c:pt>
              </c:strCache>
            </c:strRef>
          </c:cat>
          <c:val>
            <c:numRef>
              <c:f>'Figure 10'!$B$17:$B$26</c:f>
              <c:numCache>
                <c:formatCode>0.0%</c:formatCode>
                <c:ptCount val="10"/>
                <c:pt idx="0">
                  <c:v>0.44705882352941179</c:v>
                </c:pt>
                <c:pt idx="1">
                  <c:v>0.31764705882352939</c:v>
                </c:pt>
                <c:pt idx="2">
                  <c:v>0.27058823529411763</c:v>
                </c:pt>
                <c:pt idx="3">
                  <c:v>0.21176470588235294</c:v>
                </c:pt>
                <c:pt idx="4">
                  <c:v>0.2</c:v>
                </c:pt>
                <c:pt idx="5">
                  <c:v>0.2</c:v>
                </c:pt>
                <c:pt idx="6">
                  <c:v>0.11764705882352941</c:v>
                </c:pt>
                <c:pt idx="7">
                  <c:v>0.11764705882352941</c:v>
                </c:pt>
                <c:pt idx="8">
                  <c:v>9.4117647058823528E-2</c:v>
                </c:pt>
                <c:pt idx="9">
                  <c:v>9.4117647058823528E-2</c:v>
                </c:pt>
              </c:numCache>
            </c:numRef>
          </c:val>
          <c:extLst>
            <c:ext xmlns:c16="http://schemas.microsoft.com/office/drawing/2014/chart" uri="{C3380CC4-5D6E-409C-BE32-E72D297353CC}">
              <c16:uniqueId val="{00000000-E12D-421C-9D18-176F893AFCAD}"/>
            </c:ext>
          </c:extLst>
        </c:ser>
        <c:dLbls>
          <c:dLblPos val="outEnd"/>
          <c:showLegendKey val="0"/>
          <c:showVal val="1"/>
          <c:showCatName val="0"/>
          <c:showSerName val="0"/>
          <c:showPercent val="0"/>
          <c:showBubbleSize val="0"/>
        </c:dLbls>
        <c:gapWidth val="70"/>
        <c:overlap val="-27"/>
        <c:axId val="942108464"/>
        <c:axId val="942105584"/>
      </c:barChart>
      <c:catAx>
        <c:axId val="942108464"/>
        <c:scaling>
          <c:orientation val="minMax"/>
        </c:scaling>
        <c:delete val="0"/>
        <c:axPos val="b"/>
        <c:numFmt formatCode="General" sourceLinked="1"/>
        <c:majorTickMark val="none"/>
        <c:minorTickMark val="none"/>
        <c:tickLblPos val="nextTo"/>
        <c:spPr>
          <a:noFill/>
          <a:ln w="9525" cap="flat" cmpd="sng" algn="ctr">
            <a:noFill/>
            <a:round/>
          </a:ln>
          <a:effectLst/>
        </c:spPr>
        <c:txPr>
          <a:bodyPr rot="-60000000" spcFirstLastPara="1" vertOverflow="ellipsis" vert="horz" wrap="square" anchor="ctr" anchorCtr="1"/>
          <a:lstStyle/>
          <a:p>
            <a:pPr>
              <a:lnSpc>
                <a:spcPct val="90000"/>
              </a:lnSpc>
              <a:defRPr sz="900" b="0" i="0" u="none" strike="noStrike" kern="1200" baseline="0">
                <a:solidFill>
                  <a:schemeClr val="tx1">
                    <a:lumMod val="95000"/>
                    <a:lumOff val="5000"/>
                  </a:schemeClr>
                </a:solidFill>
                <a:latin typeface="+mn-lt"/>
                <a:ea typeface="+mn-ea"/>
                <a:cs typeface="+mn-cs"/>
              </a:defRPr>
            </a:pPr>
            <a:endParaRPr lang="en-US"/>
          </a:p>
        </c:txPr>
        <c:crossAx val="942105584"/>
        <c:crosses val="autoZero"/>
        <c:auto val="1"/>
        <c:lblAlgn val="ctr"/>
        <c:lblOffset val="100"/>
        <c:noMultiLvlLbl val="0"/>
      </c:catAx>
      <c:valAx>
        <c:axId val="94210558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210846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34662124627776736"/>
          <c:y val="3.4108527131782945E-2"/>
          <c:w val="0.61108482491780403"/>
          <c:h val="0.89420692180919248"/>
        </c:manualLayout>
      </c:layout>
      <c:barChart>
        <c:barDir val="bar"/>
        <c:grouping val="clustered"/>
        <c:varyColors val="0"/>
        <c:ser>
          <c:idx val="0"/>
          <c:order val="0"/>
          <c:spPr>
            <a:solidFill>
              <a:schemeClr val="tx2">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2">
                        <a:lumMod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11'!$A$19:$A$26</c:f>
              <c:strCache>
                <c:ptCount val="8"/>
                <c:pt idx="0">
                  <c:v>Increase resources available for 
implementing WHS in the workplace</c:v>
                </c:pt>
                <c:pt idx="1">
                  <c:v>Improve access to 
training and information</c:v>
                </c:pt>
                <c:pt idx="2">
                  <c:v>Lower compliance burden 
(e.g. time, cost, admin)</c:v>
                </c:pt>
                <c:pt idx="3">
                  <c:v>Increase confidence that 
WHS requirements are being met</c:v>
                </c:pt>
                <c:pt idx="4">
                  <c:v>Make it easier to work or operate 
across different states or territories</c:v>
                </c:pt>
                <c:pt idx="5">
                  <c:v>Reduce confusion about WHS rights, 
responsibilities, and obligations</c:v>
                </c:pt>
                <c:pt idx="6">
                  <c:v>Improve consistency in 
safety standards and practices</c:v>
                </c:pt>
                <c:pt idx="7">
                  <c:v>Simplify communication 
about WHS expectations</c:v>
                </c:pt>
              </c:strCache>
            </c:strRef>
          </c:cat>
          <c:val>
            <c:numRef>
              <c:f>'Figure 11'!$B$19:$B$26</c:f>
              <c:numCache>
                <c:formatCode>0.0%</c:formatCode>
                <c:ptCount val="8"/>
                <c:pt idx="0">
                  <c:v>0.49397590361445781</c:v>
                </c:pt>
                <c:pt idx="1">
                  <c:v>0.55421686746987953</c:v>
                </c:pt>
                <c:pt idx="2">
                  <c:v>0.63855421686746983</c:v>
                </c:pt>
                <c:pt idx="3">
                  <c:v>0.74698795180722888</c:v>
                </c:pt>
                <c:pt idx="4">
                  <c:v>0.75903614457831325</c:v>
                </c:pt>
                <c:pt idx="5">
                  <c:v>0.81927710843373491</c:v>
                </c:pt>
                <c:pt idx="6">
                  <c:v>0.86746987951807231</c:v>
                </c:pt>
                <c:pt idx="7">
                  <c:v>0.86746987951807231</c:v>
                </c:pt>
              </c:numCache>
            </c:numRef>
          </c:val>
          <c:extLst>
            <c:ext xmlns:c16="http://schemas.microsoft.com/office/drawing/2014/chart" uri="{C3380CC4-5D6E-409C-BE32-E72D297353CC}">
              <c16:uniqueId val="{00000000-6FDD-4AF1-8F4F-46067C403BC7}"/>
            </c:ext>
          </c:extLst>
        </c:ser>
        <c:dLbls>
          <c:showLegendKey val="0"/>
          <c:showVal val="0"/>
          <c:showCatName val="0"/>
          <c:showSerName val="0"/>
          <c:showPercent val="0"/>
          <c:showBubbleSize val="0"/>
        </c:dLbls>
        <c:gapWidth val="70"/>
        <c:axId val="1670825728"/>
        <c:axId val="1670826208"/>
      </c:barChart>
      <c:catAx>
        <c:axId val="167082572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b" anchorCtr="0"/>
          <a:lstStyle/>
          <a:p>
            <a:pPr algn="r">
              <a:lnSpc>
                <a:spcPct val="90000"/>
              </a:lnSpc>
              <a:defRPr sz="1000" b="0" i="0" u="none" strike="noStrike" kern="1200" baseline="0">
                <a:solidFill>
                  <a:schemeClr val="tx1">
                    <a:lumMod val="95000"/>
                    <a:lumOff val="5000"/>
                  </a:schemeClr>
                </a:solidFill>
                <a:latin typeface="+mn-lt"/>
                <a:ea typeface="+mn-ea"/>
                <a:cs typeface="+mn-cs"/>
              </a:defRPr>
            </a:pPr>
            <a:endParaRPr lang="en-US"/>
          </a:p>
        </c:txPr>
        <c:crossAx val="1670826208"/>
        <c:crosses val="autoZero"/>
        <c:auto val="1"/>
        <c:lblAlgn val="r"/>
        <c:lblOffset val="100"/>
        <c:noMultiLvlLbl val="0"/>
      </c:catAx>
      <c:valAx>
        <c:axId val="1670826208"/>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7082572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'Figure 12'!$F$10</c:f>
              <c:strCache>
                <c:ptCount val="1"/>
                <c:pt idx="0">
                  <c:v>Percentage of responses (%)</c:v>
                </c:pt>
              </c:strCache>
            </c:strRef>
          </c:tx>
          <c:spPr>
            <a:solidFill>
              <a:schemeClr val="tx2">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2">
                        <a:lumMod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 12'!$E$11:$E$14</c:f>
              <c:strCache>
                <c:ptCount val="4"/>
                <c:pt idx="0">
                  <c:v>Improve compliance and enforcement of WHS laws</c:v>
                </c:pt>
                <c:pt idx="1">
                  <c:v>Make WHS laws simpler and easier to understand</c:v>
                </c:pt>
                <c:pt idx="2">
                  <c:v>Provide for more industry-based regulations and codes</c:v>
                </c:pt>
                <c:pt idx="3">
                  <c:v>Improve harmonisation of WHS laws across Australia</c:v>
                </c:pt>
              </c:strCache>
              <c:extLst/>
            </c:strRef>
          </c:cat>
          <c:val>
            <c:numRef>
              <c:f>'Figure 12'!$F$11:$F$14</c:f>
              <c:numCache>
                <c:formatCode>0.0%</c:formatCode>
                <c:ptCount val="4"/>
                <c:pt idx="0">
                  <c:v>0.14285714285714285</c:v>
                </c:pt>
                <c:pt idx="1">
                  <c:v>0.23809523809523808</c:v>
                </c:pt>
                <c:pt idx="2">
                  <c:v>0.23809523809523808</c:v>
                </c:pt>
                <c:pt idx="3">
                  <c:v>0.38095238095238093</c:v>
                </c:pt>
              </c:numCache>
              <c:extLst/>
            </c:numRef>
          </c:val>
          <c:extLst>
            <c:ext xmlns:c16="http://schemas.microsoft.com/office/drawing/2014/chart" uri="{C3380CC4-5D6E-409C-BE32-E72D297353CC}">
              <c16:uniqueId val="{00000000-F6BC-438D-8DC4-8A2D5C6E8EB1}"/>
            </c:ext>
          </c:extLst>
        </c:ser>
        <c:dLbls>
          <c:dLblPos val="outEnd"/>
          <c:showLegendKey val="0"/>
          <c:showVal val="1"/>
          <c:showCatName val="0"/>
          <c:showSerName val="0"/>
          <c:showPercent val="0"/>
          <c:showBubbleSize val="0"/>
        </c:dLbls>
        <c:gapWidth val="70"/>
        <c:axId val="1314565712"/>
        <c:axId val="1314559952"/>
      </c:barChart>
      <c:catAx>
        <c:axId val="13145657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lgn="r">
              <a:lnSpc>
                <a:spcPct val="100000"/>
              </a:lnSpc>
              <a:defRPr sz="1000" b="0" i="0" u="none" strike="noStrike" kern="1200" baseline="0">
                <a:solidFill>
                  <a:schemeClr val="tx1">
                    <a:lumMod val="95000"/>
                    <a:lumOff val="5000"/>
                  </a:schemeClr>
                </a:solidFill>
                <a:latin typeface="+mn-lt"/>
                <a:ea typeface="+mn-ea"/>
                <a:cs typeface="+mn-cs"/>
              </a:defRPr>
            </a:pPr>
            <a:endParaRPr lang="en-US"/>
          </a:p>
        </c:txPr>
        <c:crossAx val="1314559952"/>
        <c:crosses val="autoZero"/>
        <c:auto val="1"/>
        <c:lblAlgn val="ctr"/>
        <c:lblOffset val="100"/>
        <c:noMultiLvlLbl val="0"/>
      </c:catAx>
      <c:valAx>
        <c:axId val="1314559952"/>
        <c:scaling>
          <c:orientation val="minMax"/>
        </c:scaling>
        <c:delete val="0"/>
        <c:axPos val="b"/>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1456571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00199DF7F684516A4266E0A9396A35A"/>
        <w:category>
          <w:name w:val="General"/>
          <w:gallery w:val="placeholder"/>
        </w:category>
        <w:types>
          <w:type w:val="bbPlcHdr"/>
        </w:types>
        <w:behaviors>
          <w:behavior w:val="content"/>
        </w:behaviors>
        <w:guid w:val="{E0B76245-E942-4C80-A95E-BBB17462E54F}"/>
      </w:docPartPr>
      <w:docPartBody>
        <w:p w:rsidR="007967E1" w:rsidRDefault="007967E1">
          <w:pPr>
            <w:pStyle w:val="F00199DF7F684516A4266E0A9396A35A"/>
          </w:pPr>
          <w:r w:rsidRPr="00606AFB">
            <w:rPr>
              <w:rStyle w:val="PlaceholderText"/>
            </w:rPr>
            <w:t>[Title]</w:t>
          </w:r>
        </w:p>
      </w:docPartBody>
    </w:docPart>
    <w:docPart>
      <w:docPartPr>
        <w:name w:val="17CCA7F4EF844D5A88CB26A08A078B18"/>
        <w:category>
          <w:name w:val="General"/>
          <w:gallery w:val="placeholder"/>
        </w:category>
        <w:types>
          <w:type w:val="bbPlcHdr"/>
        </w:types>
        <w:behaviors>
          <w:behavior w:val="content"/>
        </w:behaviors>
        <w:guid w:val="{E02590BC-D005-4F77-BB90-22494ED2380A}"/>
      </w:docPartPr>
      <w:docPartBody>
        <w:p w:rsidR="00DD0040" w:rsidRDefault="00715181" w:rsidP="00715181">
          <w:pPr>
            <w:pStyle w:val="17CCA7F4EF844D5A88CB26A08A078B18"/>
          </w:pPr>
          <w:r w:rsidRPr="00606AFB">
            <w:rPr>
              <w:rStyle w:val="PlaceholderText"/>
            </w:rPr>
            <w:t>[Title]</w:t>
          </w:r>
        </w:p>
      </w:docPartBody>
    </w:docPart>
    <w:docPart>
      <w:docPartPr>
        <w:name w:val="9CE85D6666B24F2AA5B4E49061032C91"/>
        <w:category>
          <w:name w:val="General"/>
          <w:gallery w:val="placeholder"/>
        </w:category>
        <w:types>
          <w:type w:val="bbPlcHdr"/>
        </w:types>
        <w:behaviors>
          <w:behavior w:val="content"/>
        </w:behaviors>
        <w:guid w:val="{D6C9FAED-EDC9-46B5-80CE-1299ABB7564E}"/>
      </w:docPartPr>
      <w:docPartBody>
        <w:p w:rsidR="00DD0040" w:rsidRDefault="00715181" w:rsidP="00715181">
          <w:pPr>
            <w:pStyle w:val="9CE85D6666B24F2AA5B4E49061032C91"/>
          </w:pPr>
          <w:r w:rsidRPr="00606AFB">
            <w:rPr>
              <w:rStyle w:val="PlaceholderText"/>
            </w:rPr>
            <w:t>[Title]</w:t>
          </w:r>
        </w:p>
      </w:docPartBody>
    </w:docPart>
    <w:docPart>
      <w:docPartPr>
        <w:name w:val="9A955B914EE54053BB4589155096F85E"/>
        <w:category>
          <w:name w:val="General"/>
          <w:gallery w:val="placeholder"/>
        </w:category>
        <w:types>
          <w:type w:val="bbPlcHdr"/>
        </w:types>
        <w:behaviors>
          <w:behavior w:val="content"/>
        </w:behaviors>
        <w:guid w:val="{090D6C49-C18E-4E7B-96B1-8AD5388F42A1}"/>
      </w:docPartPr>
      <w:docPartBody>
        <w:p w:rsidR="00DD0040" w:rsidRDefault="00715181" w:rsidP="00715181">
          <w:pPr>
            <w:pStyle w:val="9A955B914EE54053BB4589155096F85E"/>
          </w:pPr>
          <w:r w:rsidRPr="00606AFB">
            <w:rPr>
              <w:rStyle w:val="PlaceholderText"/>
            </w:rPr>
            <w:t>[Title]</w:t>
          </w:r>
        </w:p>
      </w:docPartBody>
    </w:docPart>
    <w:docPart>
      <w:docPartPr>
        <w:name w:val="714F14CAC2AE45F9B5B20894D9F5D664"/>
        <w:category>
          <w:name w:val="General"/>
          <w:gallery w:val="placeholder"/>
        </w:category>
        <w:types>
          <w:type w:val="bbPlcHdr"/>
        </w:types>
        <w:behaviors>
          <w:behavior w:val="content"/>
        </w:behaviors>
        <w:guid w:val="{44815A6F-1FA9-4308-85FC-1292304A2863}"/>
      </w:docPartPr>
      <w:docPartBody>
        <w:p w:rsidR="00A078DA" w:rsidRDefault="002635A0" w:rsidP="002635A0">
          <w:pPr>
            <w:pStyle w:val="714F14CAC2AE45F9B5B20894D9F5D664"/>
          </w:pPr>
          <w:r w:rsidRPr="00606AFB">
            <w:rPr>
              <w:rStyle w:val="PlaceholderText"/>
            </w:rPr>
            <w:t>[Title]</w:t>
          </w:r>
        </w:p>
      </w:docPartBody>
    </w:docPart>
    <w:docPart>
      <w:docPartPr>
        <w:name w:val="601CE409F44E4CE780D0DD61E35FBF76"/>
        <w:category>
          <w:name w:val="General"/>
          <w:gallery w:val="placeholder"/>
        </w:category>
        <w:types>
          <w:type w:val="bbPlcHdr"/>
        </w:types>
        <w:behaviors>
          <w:behavior w:val="content"/>
        </w:behaviors>
        <w:guid w:val="{FC404609-367A-4D57-A347-5825F50E3864}"/>
      </w:docPartPr>
      <w:docPartBody>
        <w:p w:rsidR="00A078DA" w:rsidRDefault="002635A0" w:rsidP="002635A0">
          <w:pPr>
            <w:pStyle w:val="601CE409F44E4CE780D0DD61E35FBF76"/>
          </w:pPr>
          <w:r w:rsidRPr="00606AF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Bold">
    <w:panose1 w:val="020B0704020202020204"/>
    <w:charset w:val="00"/>
    <w:family w:val="roman"/>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DotumChe">
    <w:charset w:val="81"/>
    <w:family w:val="modern"/>
    <w:pitch w:val="fixed"/>
    <w:sig w:usb0="B00002AF" w:usb1="69D77CFB" w:usb2="00000030" w:usb3="00000000" w:csb0="0008009F" w:csb1="00000000"/>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67E1"/>
    <w:rsid w:val="00000351"/>
    <w:rsid w:val="000166A6"/>
    <w:rsid w:val="00023599"/>
    <w:rsid w:val="00025F3F"/>
    <w:rsid w:val="00030086"/>
    <w:rsid w:val="000579F4"/>
    <w:rsid w:val="000641E8"/>
    <w:rsid w:val="000776FD"/>
    <w:rsid w:val="00087F3E"/>
    <w:rsid w:val="00091469"/>
    <w:rsid w:val="000C1702"/>
    <w:rsid w:val="00154930"/>
    <w:rsid w:val="00190E44"/>
    <w:rsid w:val="001D79A1"/>
    <w:rsid w:val="0022414B"/>
    <w:rsid w:val="002613A9"/>
    <w:rsid w:val="002635A0"/>
    <w:rsid w:val="002B4809"/>
    <w:rsid w:val="002D3BE5"/>
    <w:rsid w:val="002E1B60"/>
    <w:rsid w:val="003876FF"/>
    <w:rsid w:val="003B004E"/>
    <w:rsid w:val="003B5550"/>
    <w:rsid w:val="003B7F78"/>
    <w:rsid w:val="00407BEA"/>
    <w:rsid w:val="0046184E"/>
    <w:rsid w:val="00473CD1"/>
    <w:rsid w:val="005645B9"/>
    <w:rsid w:val="005B4424"/>
    <w:rsid w:val="0063101B"/>
    <w:rsid w:val="00642B21"/>
    <w:rsid w:val="00645EF1"/>
    <w:rsid w:val="00690B06"/>
    <w:rsid w:val="00715181"/>
    <w:rsid w:val="00727A11"/>
    <w:rsid w:val="007967E1"/>
    <w:rsid w:val="007A6378"/>
    <w:rsid w:val="007E36C2"/>
    <w:rsid w:val="007F1084"/>
    <w:rsid w:val="0087470B"/>
    <w:rsid w:val="00875538"/>
    <w:rsid w:val="008769C4"/>
    <w:rsid w:val="00877096"/>
    <w:rsid w:val="008B73EE"/>
    <w:rsid w:val="008C7BAD"/>
    <w:rsid w:val="008F74F4"/>
    <w:rsid w:val="00953C99"/>
    <w:rsid w:val="009A04D9"/>
    <w:rsid w:val="00A078DA"/>
    <w:rsid w:val="00A5559D"/>
    <w:rsid w:val="00A8342F"/>
    <w:rsid w:val="00AA284C"/>
    <w:rsid w:val="00B84432"/>
    <w:rsid w:val="00BC513B"/>
    <w:rsid w:val="00C76D95"/>
    <w:rsid w:val="00C865B7"/>
    <w:rsid w:val="00CD14A3"/>
    <w:rsid w:val="00CD7A64"/>
    <w:rsid w:val="00CF6EC4"/>
    <w:rsid w:val="00D70D4A"/>
    <w:rsid w:val="00DC3B57"/>
    <w:rsid w:val="00DC55DB"/>
    <w:rsid w:val="00DD0040"/>
    <w:rsid w:val="00E35C9B"/>
    <w:rsid w:val="00E3754C"/>
    <w:rsid w:val="00E51694"/>
    <w:rsid w:val="00E879CC"/>
    <w:rsid w:val="00EA0DD7"/>
    <w:rsid w:val="00EB10A2"/>
    <w:rsid w:val="00EF1536"/>
    <w:rsid w:val="00EF50AD"/>
    <w:rsid w:val="00FC181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635A0"/>
    <w:rPr>
      <w:color w:val="666666"/>
    </w:rPr>
  </w:style>
  <w:style w:type="paragraph" w:customStyle="1" w:styleId="17CCA7F4EF844D5A88CB26A08A078B18">
    <w:name w:val="17CCA7F4EF844D5A88CB26A08A078B18"/>
    <w:rsid w:val="00715181"/>
  </w:style>
  <w:style w:type="paragraph" w:customStyle="1" w:styleId="F00199DF7F684516A4266E0A9396A35A">
    <w:name w:val="F00199DF7F684516A4266E0A9396A35A"/>
  </w:style>
  <w:style w:type="paragraph" w:customStyle="1" w:styleId="9CE85D6666B24F2AA5B4E49061032C91">
    <w:name w:val="9CE85D6666B24F2AA5B4E49061032C91"/>
    <w:rsid w:val="00715181"/>
  </w:style>
  <w:style w:type="paragraph" w:customStyle="1" w:styleId="9A955B914EE54053BB4589155096F85E">
    <w:name w:val="9A955B914EE54053BB4589155096F85E"/>
    <w:rsid w:val="00715181"/>
  </w:style>
  <w:style w:type="paragraph" w:customStyle="1" w:styleId="714F14CAC2AE45F9B5B20894D9F5D664">
    <w:name w:val="714F14CAC2AE45F9B5B20894D9F5D664"/>
    <w:rsid w:val="002635A0"/>
  </w:style>
  <w:style w:type="paragraph" w:customStyle="1" w:styleId="601CE409F44E4CE780D0DD61E35FBF76">
    <w:name w:val="601CE409F44E4CE780D0DD61E35FBF76"/>
    <w:rsid w:val="002635A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WA22-theme">
  <a:themeElements>
    <a:clrScheme name="Custom 1">
      <a:dk1>
        <a:sysClr val="windowText" lastClr="000000"/>
      </a:dk1>
      <a:lt1>
        <a:sysClr val="window" lastClr="FFFFFF"/>
      </a:lt1>
      <a:dk2>
        <a:srgbClr val="2B0A99"/>
      </a:dk2>
      <a:lt2>
        <a:srgbClr val="E7E6E6"/>
      </a:lt2>
      <a:accent1>
        <a:srgbClr val="4877E0"/>
      </a:accent1>
      <a:accent2>
        <a:srgbClr val="EB9C3A"/>
      </a:accent2>
      <a:accent3>
        <a:srgbClr val="E80C30"/>
      </a:accent3>
      <a:accent4>
        <a:srgbClr val="490C61"/>
      </a:accent4>
      <a:accent5>
        <a:srgbClr val="071544"/>
      </a:accent5>
      <a:accent6>
        <a:srgbClr val="B3C935"/>
      </a:accent6>
      <a:hlink>
        <a:srgbClr val="4877E0"/>
      </a:hlink>
      <a:folHlink>
        <a:srgbClr val="E80C3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8DDD42292297240ADB4CD414FF3E077" ma:contentTypeVersion="11" ma:contentTypeDescription="Create a new document." ma:contentTypeScope="" ma:versionID="ad34b807247a763577959a466ca7a3e9">
  <xsd:schema xmlns:xsd="http://www.w3.org/2001/XMLSchema" xmlns:xs="http://www.w3.org/2001/XMLSchema" xmlns:p="http://schemas.microsoft.com/office/2006/metadata/properties" xmlns:ns2="4f119b42-4bcf-4efc-859f-2b21b05f1ef3" xmlns:ns3="0f44ba9a-1d7b-4bc5-9b0e-a45d3b14ff48" targetNamespace="http://schemas.microsoft.com/office/2006/metadata/properties" ma:root="true" ma:fieldsID="ee146982132553733fbc7910fb70e0a2" ns2:_="" ns3:_="">
    <xsd:import namespace="4f119b42-4bcf-4efc-859f-2b21b05f1ef3"/>
    <xsd:import namespace="0f44ba9a-1d7b-4bc5-9b0e-a45d3b14ff4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AddedtoTrackerofIssuesinthisfol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119b42-4bcf-4efc-859f-2b21b05f1e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AddedtoTrackerofIssuesinthisfolder" ma:index="18" nillable="true" ma:displayName="Added to Tracker of Issues in this folder" ma:format="Dropdown" ma:internalName="AddedtoTrackerofIssuesinthisfold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f44ba9a-1d7b-4bc5-9b0e-a45d3b14ff4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3e8658a-a8c3-4268-a844-246f6790f60f}" ma:internalName="TaxCatchAll" ma:showField="CatchAllData" ma:web="0f44ba9a-1d7b-4bc5-9b0e-a45d3b14ff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ddedtoTrackerofIssuesinthisfolder xmlns="4f119b42-4bcf-4efc-859f-2b21b05f1ef3" xsi:nil="true"/>
    <lcf76f155ced4ddcb4097134ff3c332f xmlns="4f119b42-4bcf-4efc-859f-2b21b05f1ef3">
      <Terms xmlns="http://schemas.microsoft.com/office/infopath/2007/PartnerControls"/>
    </lcf76f155ced4ddcb4097134ff3c332f>
    <TaxCatchAll xmlns="0f44ba9a-1d7b-4bc5-9b0e-a45d3b14ff4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1C5848-5480-4A02-B06E-F852550748B4}">
  <ds:schemaRefs>
    <ds:schemaRef ds:uri="http://schemas.microsoft.com/sharepoint/v3/contenttype/forms"/>
  </ds:schemaRefs>
</ds:datastoreItem>
</file>

<file path=customXml/itemProps2.xml><?xml version="1.0" encoding="utf-8"?>
<ds:datastoreItem xmlns:ds="http://schemas.openxmlformats.org/officeDocument/2006/customXml" ds:itemID="{159C5461-4551-4F4D-AE07-E3A7659687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119b42-4bcf-4efc-859f-2b21b05f1ef3"/>
    <ds:schemaRef ds:uri="0f44ba9a-1d7b-4bc5-9b0e-a45d3b14ff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82A599-5BB5-4F64-B276-4319C97847DE}">
  <ds:schemaRefs>
    <ds:schemaRef ds:uri="http://schemas.microsoft.com/office/2006/metadata/properties"/>
    <ds:schemaRef ds:uri="http://schemas.microsoft.com/office/infopath/2007/PartnerControls"/>
    <ds:schemaRef ds:uri="4f119b42-4bcf-4efc-859f-2b21b05f1ef3"/>
    <ds:schemaRef ds:uri="0f44ba9a-1d7b-4bc5-9b0e-a45d3b14ff48"/>
  </ds:schemaRefs>
</ds:datastoreItem>
</file>

<file path=customXml/itemProps4.xml><?xml version="1.0" encoding="utf-8"?>
<ds:datastoreItem xmlns:ds="http://schemas.openxmlformats.org/officeDocument/2006/customXml" ds:itemID="{3CDE7CE3-A06A-42EA-B924-D1B65610E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External Policy - 2024 Template April update</Template>
  <TotalTime>5</TotalTime>
  <Pages>201</Pages>
  <Words>69206</Words>
  <Characters>393786</Characters>
  <Application>Microsoft Office Word</Application>
  <DocSecurity>0</DocSecurity>
  <Lines>7721</Lines>
  <Paragraphs>4209</Paragraphs>
  <ScaleCrop>false</ScaleCrop>
  <Company>Australian Government</Company>
  <LinksUpToDate>false</LinksUpToDate>
  <CharactersWithSpaces>458783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Best Practice Review of the model WHS laws</dc:title>
  <dc:subject/>
  <dc:creator>Safe Work Australia</dc:creator>
  <cp:keywords/>
  <dc:description/>
  <cp:lastModifiedBy>GREY,Chevelle</cp:lastModifiedBy>
  <cp:revision>5</cp:revision>
  <cp:lastPrinted>2026-10-15T03:12:00Z</cp:lastPrinted>
  <dcterms:created xsi:type="dcterms:W3CDTF">2026-10-15T03:09:00Z</dcterms:created>
  <dcterms:modified xsi:type="dcterms:W3CDTF">2026-10-15T03:12:00Z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2022-04-28T08:31:50Z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b69c7102-96cf-4bc6-8e7b-9389082f2092</vt:lpwstr>
  </property>
  <property fmtid="{D5CDD505-2E9C-101B-9397-08002B2CF9AE}" pid="8" name="MSIP_Label_79d889eb-932f-4752-8739-64d25806ef64_ContentBits">
    <vt:lpwstr>0</vt:lpwstr>
  </property>
  <property fmtid="{D5CDD505-2E9C-101B-9397-08002B2CF9AE}" pid="9" name="ContentTypeId">
    <vt:lpwstr>0x010100E8DDD42292297240ADB4CD414FF3E077</vt:lpwstr>
  </property>
  <property fmtid="{D5CDD505-2E9C-101B-9397-08002B2CF9AE}" pid="10" name="MediaServiceImageTags">
    <vt:lpwstr/>
  </property>
  <property fmtid="{D5CDD505-2E9C-101B-9397-08002B2CF9AE}" pid="11" name="docLang">
    <vt:lpwstr>en</vt:lpwstr>
  </property>
</Properties>
</file>