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57FC6BFE" w:rsidR="00BD499F" w:rsidRPr="004C23F4" w:rsidRDefault="00A3567D" w:rsidP="00A3567D">
          <w:pPr>
            <w:pStyle w:val="Heading1"/>
            <w:jc w:val="center"/>
            <w:rPr>
              <w:rFonts w:ascii="Arial" w:hAnsi="Arial" w:cs="Arial"/>
            </w:rPr>
          </w:pPr>
          <w:r w:rsidRPr="00A3567D">
            <w:rPr>
              <w:rFonts w:ascii="Arial" w:hAnsi="Arial" w:cs="Arial"/>
            </w:rPr>
            <w:t>Zirconium compounds (as Z</w:t>
          </w:r>
          <w:r w:rsidR="0028076D" w:rsidRPr="00A3567D">
            <w:rPr>
              <w:rFonts w:ascii="Arial" w:hAnsi="Arial" w:cs="Arial"/>
              <w:caps w:val="0"/>
            </w:rPr>
            <w:t>r</w:t>
          </w:r>
          <w:r w:rsidRPr="00A3567D">
            <w:rPr>
              <w:rFonts w:ascii="Arial" w:hAnsi="Arial" w:cs="Arial"/>
            </w:rPr>
            <w:t>)</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4"/>
        <w:gridCol w:w="5032"/>
      </w:tblGrid>
      <w:tr w:rsidR="00F43AD5" w:rsidRPr="004C23F4" w14:paraId="189D6E38" w14:textId="77777777" w:rsidTr="00DC18DB">
        <w:trPr>
          <w:cantSplit/>
          <w:tblHeader/>
        </w:trPr>
        <w:tc>
          <w:tcPr>
            <w:tcW w:w="3994" w:type="dxa"/>
          </w:tcPr>
          <w:p w14:paraId="517634FF" w14:textId="77777777" w:rsidR="00F43AD5" w:rsidRPr="00921DE7" w:rsidRDefault="00CB1CB1" w:rsidP="00B76A41">
            <w:pPr>
              <w:pStyle w:val="Tablerowright"/>
            </w:pPr>
            <w:r w:rsidRPr="00921DE7">
              <w:t>CAS number:</w:t>
            </w:r>
          </w:p>
        </w:tc>
        <w:tc>
          <w:tcPr>
            <w:tcW w:w="5032" w:type="dxa"/>
          </w:tcPr>
          <w:p w14:paraId="3EDBFD9E" w14:textId="209AE282" w:rsidR="00F43AD5" w:rsidRPr="00717D45" w:rsidRDefault="00D81932" w:rsidP="00B76A41">
            <w:pPr>
              <w:pStyle w:val="Tablefont"/>
            </w:pPr>
            <w:r w:rsidRPr="00D81932">
              <w:t>7440-67-7</w:t>
            </w:r>
          </w:p>
        </w:tc>
      </w:tr>
      <w:tr w:rsidR="00F43AD5" w:rsidRPr="004C23F4" w14:paraId="562A9F51" w14:textId="77777777" w:rsidTr="00DC18DB">
        <w:trPr>
          <w:cantSplit/>
        </w:trPr>
        <w:tc>
          <w:tcPr>
            <w:tcW w:w="3994" w:type="dxa"/>
          </w:tcPr>
          <w:p w14:paraId="6A9A0952" w14:textId="77777777" w:rsidR="00F43AD5" w:rsidRPr="00921DE7" w:rsidRDefault="00CB1CB1" w:rsidP="00B76A41">
            <w:pPr>
              <w:pStyle w:val="Tablerowright"/>
            </w:pPr>
            <w:r w:rsidRPr="00921DE7">
              <w:t>Synonyms:</w:t>
            </w:r>
          </w:p>
        </w:tc>
        <w:tc>
          <w:tcPr>
            <w:tcW w:w="5032" w:type="dxa"/>
          </w:tcPr>
          <w:p w14:paraId="32648AB9" w14:textId="3AB227B7" w:rsidR="00F43AD5" w:rsidRPr="00717D45" w:rsidRDefault="00D81932" w:rsidP="00B76A41">
            <w:pPr>
              <w:pStyle w:val="Tablefont"/>
            </w:pPr>
            <w:r>
              <w:t>—</w:t>
            </w:r>
          </w:p>
        </w:tc>
      </w:tr>
      <w:tr w:rsidR="00F43AD5" w:rsidRPr="004C23F4" w14:paraId="6EE54A08" w14:textId="77777777" w:rsidTr="00DC18DB">
        <w:trPr>
          <w:cantSplit/>
        </w:trPr>
        <w:tc>
          <w:tcPr>
            <w:tcW w:w="3994" w:type="dxa"/>
          </w:tcPr>
          <w:p w14:paraId="3C2EC489" w14:textId="77777777" w:rsidR="00F43AD5" w:rsidRPr="00921DE7" w:rsidRDefault="00CB1CB1" w:rsidP="00B76A41">
            <w:pPr>
              <w:pStyle w:val="Tablerowright"/>
            </w:pPr>
            <w:r w:rsidRPr="00921DE7">
              <w:t>Chemical formula:</w:t>
            </w:r>
          </w:p>
        </w:tc>
        <w:tc>
          <w:tcPr>
            <w:tcW w:w="5032" w:type="dxa"/>
          </w:tcPr>
          <w:p w14:paraId="69369B00" w14:textId="2B8145E6" w:rsidR="00F43AD5" w:rsidRPr="00717D45" w:rsidRDefault="00D81932" w:rsidP="00B76A41">
            <w:pPr>
              <w:pStyle w:val="Tablefont"/>
            </w:pPr>
            <w:r>
              <w:t>Zr</w:t>
            </w:r>
          </w:p>
        </w:tc>
      </w:tr>
    </w:tbl>
    <w:p w14:paraId="71D72173" w14:textId="44081BBF"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DC18DB">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343CD454" w:rsidR="002C7AFE" w:rsidRPr="00F30A85" w:rsidRDefault="00F30A85" w:rsidP="00017C82">
            <w:pPr>
              <w:pStyle w:val="Tablefont"/>
              <w:rPr>
                <w:b/>
              </w:rPr>
            </w:pPr>
            <w:r>
              <w:rPr>
                <w:b/>
              </w:rPr>
              <w:t>5 mg/m</w:t>
            </w:r>
            <w:r>
              <w:rPr>
                <w:b/>
                <w:vertAlign w:val="superscript"/>
              </w:rPr>
              <w:t>3</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106D56A4" w:rsidR="00037E52" w:rsidRPr="00F30A85" w:rsidRDefault="00F1053A"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B3D1B" w:rsidRDefault="00037E52" w:rsidP="00037E52">
            <w:pPr>
              <w:pStyle w:val="Tablefont"/>
              <w:rPr>
                <w:b/>
              </w:rPr>
            </w:pPr>
            <w:r>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23CCAFBD" w:rsidR="00037E52" w:rsidRPr="00EB3D1B" w:rsidRDefault="00D81932" w:rsidP="00037E52">
            <w:pPr>
              <w:pStyle w:val="Tablefont"/>
              <w:rPr>
                <w:b/>
              </w:rPr>
            </w:pPr>
            <w:r>
              <w:rPr>
                <w:b/>
              </w:rPr>
              <w:t>25 mg</w:t>
            </w:r>
            <w:r w:rsidRPr="00D81932">
              <w:rPr>
                <w:b/>
              </w:rPr>
              <w:t>/m</w:t>
            </w:r>
            <w:r w:rsidRPr="00D81932">
              <w:rPr>
                <w:b/>
                <w:vertAlign w:val="superscript"/>
              </w:rPr>
              <w:t>3</w:t>
            </w:r>
          </w:p>
        </w:tc>
      </w:tr>
      <w:tr w:rsidR="00155999" w:rsidRPr="004C23F4" w14:paraId="27D0E012" w14:textId="77777777" w:rsidTr="006B7249">
        <w:trPr>
          <w:cantSplit/>
        </w:trPr>
        <w:tc>
          <w:tcPr>
            <w:tcW w:w="9026" w:type="dxa"/>
            <w:gridSpan w:val="2"/>
            <w:vAlign w:val="center"/>
          </w:tcPr>
          <w:p w14:paraId="31B5D59E" w14:textId="262D35D8" w:rsidR="00155999" w:rsidRPr="00EB3D1B" w:rsidRDefault="00155999" w:rsidP="00037E52">
            <w:pPr>
              <w:pStyle w:val="Tablefont"/>
              <w:rPr>
                <w:b/>
              </w:rPr>
            </w:pPr>
            <w:r w:rsidRPr="009E01EA">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BE3A1B" w:rsidRPr="009E01EA">
                  <w:rPr>
                    <w:rStyle w:val="WESstatus"/>
                    <w:bC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709E346" w14:textId="64D5CC36" w:rsidR="00F30A85" w:rsidRDefault="00F30A85" w:rsidP="00F30A85">
      <w:pPr>
        <w:rPr>
          <w:rFonts w:cs="Arial"/>
        </w:rPr>
      </w:pPr>
      <w:r w:rsidRPr="00F30A85">
        <w:rPr>
          <w:rFonts w:cs="Arial"/>
        </w:rPr>
        <w:t xml:space="preserve">A TWA of </w:t>
      </w:r>
      <w:r>
        <w:rPr>
          <w:rFonts w:cs="Arial"/>
        </w:rPr>
        <w:t>5</w:t>
      </w:r>
      <w:r w:rsidRPr="00F30A85">
        <w:rPr>
          <w:rFonts w:cs="Arial"/>
        </w:rPr>
        <w:t xml:space="preserve"> mg/m</w:t>
      </w:r>
      <w:r w:rsidRPr="00F30A85">
        <w:rPr>
          <w:rFonts w:cs="Arial"/>
          <w:vertAlign w:val="superscript"/>
        </w:rPr>
        <w:t>3</w:t>
      </w:r>
      <w:r>
        <w:rPr>
          <w:rFonts w:cs="Arial"/>
        </w:rPr>
        <w:t xml:space="preserve"> </w:t>
      </w:r>
      <w:r w:rsidR="00F1053A">
        <w:rPr>
          <w:rFonts w:cs="Arial"/>
        </w:rPr>
        <w:t>is</w:t>
      </w:r>
      <w:r w:rsidRPr="00F30A85">
        <w:rPr>
          <w:rFonts w:cs="Arial"/>
        </w:rPr>
        <w:t xml:space="preserve"> recommended to protect for </w:t>
      </w:r>
      <w:r>
        <w:rPr>
          <w:rFonts w:cs="Arial"/>
        </w:rPr>
        <w:t>impaired lung function and radiographic changes in the lungs</w:t>
      </w:r>
      <w:r w:rsidRPr="00F30A85">
        <w:rPr>
          <w:rFonts w:cs="Arial"/>
        </w:rPr>
        <w:t xml:space="preserve"> in exposed workers. </w:t>
      </w:r>
    </w:p>
    <w:p w14:paraId="79082342" w14:textId="2F2DD36F" w:rsidR="00D25F0A" w:rsidRPr="00F30A85" w:rsidRDefault="00D25F0A" w:rsidP="00F30A85">
      <w:pPr>
        <w:rPr>
          <w:rFonts w:cs="Arial"/>
        </w:rPr>
      </w:pPr>
      <w:r>
        <w:rPr>
          <w:rFonts w:cs="Arial"/>
        </w:rPr>
        <w:t>Insufficient data are available to recommend a STEL.</w:t>
      </w:r>
    </w:p>
    <w:p w14:paraId="3D95EF7A" w14:textId="77777777" w:rsidR="00F30A85" w:rsidRPr="00F30A85" w:rsidRDefault="00F30A85" w:rsidP="00F30A85">
      <w:pPr>
        <w:rPr>
          <w:rFonts w:cs="Arial"/>
        </w:rPr>
      </w:pPr>
      <w:r w:rsidRPr="00F30A85">
        <w:rPr>
          <w:rFonts w:cs="Arial"/>
        </w:rPr>
        <w:t>Given the limited data available from the primary sources, it is recommended that a review of additional sources be conducted at the next scheduled review.</w:t>
      </w:r>
    </w:p>
    <w:p w14:paraId="317A46B1" w14:textId="77777777" w:rsidR="00C7155E" w:rsidRPr="004C23F4" w:rsidRDefault="00F10C97" w:rsidP="003365A5">
      <w:pPr>
        <w:pStyle w:val="Heading2"/>
      </w:pPr>
      <w:r>
        <w:t>Discussion and conclusions</w:t>
      </w:r>
    </w:p>
    <w:p w14:paraId="515D26EF" w14:textId="7265015D" w:rsidR="0098607E" w:rsidRDefault="00BE3A1B" w:rsidP="006639B4">
      <w:pPr>
        <w:rPr>
          <w:rFonts w:cs="Arial"/>
        </w:rPr>
      </w:pPr>
      <w:r>
        <w:rPr>
          <w:rFonts w:cs="Arial"/>
        </w:rPr>
        <w:t>Zirconium compounds</w:t>
      </w:r>
      <w:r w:rsidR="00F30A85">
        <w:rPr>
          <w:rFonts w:cs="Arial"/>
        </w:rPr>
        <w:t xml:space="preserve"> are used in nuclear technology, photography, high-vacuum and medical applications</w:t>
      </w:r>
      <w:r w:rsidR="007472E8">
        <w:rPr>
          <w:rFonts w:cs="Arial"/>
        </w:rPr>
        <w:t xml:space="preserve"> and</w:t>
      </w:r>
      <w:r w:rsidR="00F04F20">
        <w:rPr>
          <w:rFonts w:cs="Arial"/>
        </w:rPr>
        <w:t xml:space="preserve"> ceramic and coatings manufacture.</w:t>
      </w:r>
      <w:r w:rsidR="009E01EA">
        <w:rPr>
          <w:rFonts w:cs="Arial"/>
        </w:rPr>
        <w:t xml:space="preserve"> </w:t>
      </w:r>
    </w:p>
    <w:p w14:paraId="1034A405" w14:textId="77777777" w:rsidR="003F5AEE" w:rsidRDefault="0098607E" w:rsidP="006639B4">
      <w:pPr>
        <w:rPr>
          <w:rFonts w:cs="Arial"/>
        </w:rPr>
      </w:pPr>
      <w:r>
        <w:rPr>
          <w:rFonts w:cs="Arial"/>
        </w:rPr>
        <w:t>The c</w:t>
      </w:r>
      <w:r w:rsidR="009413FD">
        <w:rPr>
          <w:rFonts w:cs="Arial"/>
        </w:rPr>
        <w:t xml:space="preserve">ritical effects </w:t>
      </w:r>
      <w:r w:rsidR="009E01EA">
        <w:rPr>
          <w:rFonts w:cs="Arial"/>
        </w:rPr>
        <w:t xml:space="preserve">of exposure </w:t>
      </w:r>
      <w:r w:rsidR="009413FD">
        <w:rPr>
          <w:rFonts w:cs="Arial"/>
        </w:rPr>
        <w:t xml:space="preserve">are </w:t>
      </w:r>
      <w:r w:rsidR="007F7B64">
        <w:rPr>
          <w:rFonts w:cs="Arial"/>
        </w:rPr>
        <w:t>impaired lung function and radiographic changes in the lungs.</w:t>
      </w:r>
      <w:r>
        <w:rPr>
          <w:rFonts w:cs="Arial"/>
        </w:rPr>
        <w:t xml:space="preserve"> </w:t>
      </w:r>
    </w:p>
    <w:p w14:paraId="5F794B7F" w14:textId="269D1DD2" w:rsidR="009413FD" w:rsidRPr="006B7249" w:rsidRDefault="007F7B64" w:rsidP="006639B4">
      <w:pPr>
        <w:rPr>
          <w:rFonts w:cs="Arial"/>
        </w:rPr>
      </w:pPr>
      <w:r>
        <w:rPr>
          <w:rFonts w:cs="Arial"/>
        </w:rPr>
        <w:t xml:space="preserve">The available toxicological database is </w:t>
      </w:r>
      <w:r w:rsidR="00F04F20">
        <w:rPr>
          <w:rFonts w:cs="Arial"/>
        </w:rPr>
        <w:t>limited. T</w:t>
      </w:r>
      <w:r w:rsidR="00202E3C">
        <w:rPr>
          <w:rFonts w:cs="Arial"/>
        </w:rPr>
        <w:t>oxicity</w:t>
      </w:r>
      <w:r w:rsidR="00F04F20">
        <w:rPr>
          <w:rFonts w:cs="Arial"/>
        </w:rPr>
        <w:t xml:space="preserve"> is dependent on solubility of the individual compounds (DFG, 1999). </w:t>
      </w:r>
      <w:r>
        <w:rPr>
          <w:rFonts w:cs="Arial"/>
        </w:rPr>
        <w:t xml:space="preserve">Air concentrations </w:t>
      </w:r>
      <w:r w:rsidR="00961E22">
        <w:rPr>
          <w:rFonts w:cs="Arial"/>
        </w:rPr>
        <w:t>of 1.4–</w:t>
      </w:r>
      <w:r>
        <w:rPr>
          <w:rFonts w:cs="Arial"/>
        </w:rPr>
        <w:t>3.4 mg/m</w:t>
      </w:r>
      <w:r>
        <w:rPr>
          <w:rFonts w:cs="Arial"/>
          <w:vertAlign w:val="superscript"/>
        </w:rPr>
        <w:t>3</w:t>
      </w:r>
      <w:r>
        <w:rPr>
          <w:rFonts w:cs="Arial"/>
        </w:rPr>
        <w:t xml:space="preserve"> are not associated with adverse effects in exposed workers</w:t>
      </w:r>
      <w:r w:rsidR="00961E22">
        <w:rPr>
          <w:rFonts w:cs="Arial"/>
        </w:rPr>
        <w:t xml:space="preserve"> in several workplace studies</w:t>
      </w:r>
      <w:r>
        <w:rPr>
          <w:rFonts w:cs="Arial"/>
        </w:rPr>
        <w:t xml:space="preserve"> (ACGIH, 2018; DFG, 1999; HCOTN, 2002). Reports of dermal</w:t>
      </w:r>
      <w:r w:rsidR="00202E3C">
        <w:rPr>
          <w:rFonts w:cs="Arial"/>
        </w:rPr>
        <w:t xml:space="preserve"> respiratory</w:t>
      </w:r>
      <w:r>
        <w:rPr>
          <w:rFonts w:cs="Arial"/>
        </w:rPr>
        <w:t xml:space="preserve"> hypersensitivity </w:t>
      </w:r>
      <w:r w:rsidR="00202E3C">
        <w:rPr>
          <w:rFonts w:cs="Arial"/>
        </w:rPr>
        <w:t xml:space="preserve">in humans and animals </w:t>
      </w:r>
      <w:r w:rsidRPr="007F7B64">
        <w:rPr>
          <w:rFonts w:cs="Arial"/>
        </w:rPr>
        <w:t>r</w:t>
      </w:r>
      <w:r>
        <w:rPr>
          <w:rFonts w:cs="Arial"/>
        </w:rPr>
        <w:t xml:space="preserve">esulting in allergic granulomas are equivocal and specific </w:t>
      </w:r>
      <w:r w:rsidR="00202E3C">
        <w:rPr>
          <w:rFonts w:cs="Arial"/>
        </w:rPr>
        <w:t>to certain zirconium compounds (ACGIH, 2018; DFG, 2002; HCOTN, 2002). In sub</w:t>
      </w:r>
      <w:r w:rsidR="003F5AEE">
        <w:rPr>
          <w:rFonts w:cs="Arial"/>
        </w:rPr>
        <w:t>-</w:t>
      </w:r>
      <w:r w:rsidR="00202E3C">
        <w:rPr>
          <w:rFonts w:cs="Arial"/>
        </w:rPr>
        <w:t xml:space="preserve">chronically exposed rodents, slight fibrotic changes in the lungs are associated with exposure to soluble and insoluble zirconium compounds at </w:t>
      </w:r>
      <w:r w:rsidR="00961E22">
        <w:rPr>
          <w:rFonts w:cs="Arial"/>
        </w:rPr>
        <w:t xml:space="preserve">a LOAEC of </w:t>
      </w:r>
      <w:r w:rsidR="00202E3C">
        <w:rPr>
          <w:rFonts w:cs="Arial"/>
        </w:rPr>
        <w:t>4.7 mg/m</w:t>
      </w:r>
      <w:r w:rsidR="00202E3C">
        <w:rPr>
          <w:rFonts w:cs="Arial"/>
          <w:vertAlign w:val="superscript"/>
        </w:rPr>
        <w:t>3</w:t>
      </w:r>
      <w:r w:rsidR="00202E3C">
        <w:rPr>
          <w:rFonts w:cs="Arial"/>
        </w:rPr>
        <w:t xml:space="preserve"> and 5.4 mg/m</w:t>
      </w:r>
      <w:r w:rsidR="00202E3C">
        <w:rPr>
          <w:rFonts w:cs="Arial"/>
          <w:vertAlign w:val="superscript"/>
        </w:rPr>
        <w:t>3</w:t>
      </w:r>
      <w:r w:rsidR="00202E3C">
        <w:rPr>
          <w:rFonts w:cs="Arial"/>
        </w:rPr>
        <w:t xml:space="preserve"> as Zr, respectively (DFG, 1999; HCOTN, 2002)</w:t>
      </w:r>
      <w:r w:rsidR="00DC18DB">
        <w:rPr>
          <w:rFonts w:cs="Arial"/>
        </w:rPr>
        <w:t>; and</w:t>
      </w:r>
      <w:r w:rsidR="00202E3C">
        <w:rPr>
          <w:rFonts w:cs="Arial"/>
        </w:rPr>
        <w:t xml:space="preserve"> not at 3.5 mg/m</w:t>
      </w:r>
      <w:r w:rsidR="00202E3C">
        <w:rPr>
          <w:rFonts w:cs="Arial"/>
          <w:vertAlign w:val="superscript"/>
        </w:rPr>
        <w:t>3</w:t>
      </w:r>
      <w:r w:rsidR="00202E3C">
        <w:rPr>
          <w:rFonts w:cs="Arial"/>
        </w:rPr>
        <w:t xml:space="preserve"> in a chronic </w:t>
      </w:r>
      <w:r w:rsidR="00961E22">
        <w:rPr>
          <w:rFonts w:cs="Arial"/>
        </w:rPr>
        <w:t xml:space="preserve">inhalation study with rats </w:t>
      </w:r>
      <w:r w:rsidR="006B7249">
        <w:rPr>
          <w:rFonts w:cs="Arial"/>
        </w:rPr>
        <w:t xml:space="preserve">exposed to either soluble or insoluble compounds </w:t>
      </w:r>
      <w:r w:rsidR="00CA56B2">
        <w:rPr>
          <w:rFonts w:cs="Arial"/>
        </w:rPr>
        <w:t xml:space="preserve">(ACGIH, 2018). Exposure to soluble </w:t>
      </w:r>
      <w:r w:rsidR="00F1053A">
        <w:rPr>
          <w:rFonts w:cs="Arial"/>
        </w:rPr>
        <w:t>zirconium tetrachloride, which</w:t>
      </w:r>
      <w:r w:rsidR="006B7249">
        <w:rPr>
          <w:rFonts w:cs="Arial"/>
        </w:rPr>
        <w:t xml:space="preserve"> produces hydrogen chloride upon hydrolysis</w:t>
      </w:r>
      <w:r w:rsidR="00F1053A">
        <w:rPr>
          <w:rFonts w:cs="Arial"/>
        </w:rPr>
        <w:t>,</w:t>
      </w:r>
      <w:r w:rsidR="006B7249">
        <w:rPr>
          <w:rFonts w:cs="Arial"/>
        </w:rPr>
        <w:t xml:space="preserve"> </w:t>
      </w:r>
      <w:r w:rsidR="00CA56B2">
        <w:rPr>
          <w:rFonts w:cs="Arial"/>
        </w:rPr>
        <w:t>at 6 mg/m</w:t>
      </w:r>
      <w:r w:rsidR="00CA56B2">
        <w:rPr>
          <w:rFonts w:cs="Arial"/>
          <w:vertAlign w:val="superscript"/>
        </w:rPr>
        <w:t>3</w:t>
      </w:r>
      <w:r w:rsidR="006B7249">
        <w:rPr>
          <w:rFonts w:cs="Arial"/>
        </w:rPr>
        <w:t xml:space="preserve"> caused slight changes in haematology in dogs and increased mortality in rodents (ACGIH, 2018).</w:t>
      </w:r>
    </w:p>
    <w:p w14:paraId="18CDB9CC" w14:textId="1660116E" w:rsidR="003F5AEE" w:rsidRDefault="00961E22" w:rsidP="006639B4">
      <w:pPr>
        <w:rPr>
          <w:rFonts w:cs="Arial"/>
        </w:rPr>
      </w:pPr>
      <w:r>
        <w:rPr>
          <w:rFonts w:cs="Arial"/>
        </w:rPr>
        <w:t>DFG (1999)</w:t>
      </w:r>
      <w:r w:rsidR="006B7249">
        <w:rPr>
          <w:rFonts w:cs="Arial"/>
        </w:rPr>
        <w:t xml:space="preserve"> does not recommend a MAK for the soluble compounds due to a lack of adequate data </w:t>
      </w:r>
      <w:r w:rsidR="00DC18DB">
        <w:rPr>
          <w:rFonts w:cs="Arial"/>
        </w:rPr>
        <w:t>and</w:t>
      </w:r>
      <w:r>
        <w:rPr>
          <w:rFonts w:cs="Arial"/>
        </w:rPr>
        <w:t xml:space="preserve"> recommends a MAK of 1 mg/m</w:t>
      </w:r>
      <w:r>
        <w:rPr>
          <w:rFonts w:cs="Arial"/>
          <w:vertAlign w:val="superscript"/>
        </w:rPr>
        <w:t>3</w:t>
      </w:r>
      <w:r>
        <w:rPr>
          <w:rFonts w:cs="Arial"/>
        </w:rPr>
        <w:t xml:space="preserve"> for insoluble compounds based on a LOAEC of 5.4 mg/m</w:t>
      </w:r>
      <w:r>
        <w:rPr>
          <w:rFonts w:cs="Arial"/>
          <w:vertAlign w:val="superscript"/>
        </w:rPr>
        <w:t>3</w:t>
      </w:r>
      <w:r>
        <w:rPr>
          <w:rFonts w:cs="Arial"/>
        </w:rPr>
        <w:t xml:space="preserve"> in rodents, supported by a NOAEC of 1.4 mg/m</w:t>
      </w:r>
      <w:r>
        <w:rPr>
          <w:rFonts w:cs="Arial"/>
          <w:vertAlign w:val="superscript"/>
        </w:rPr>
        <w:t>3</w:t>
      </w:r>
      <w:r>
        <w:rPr>
          <w:rFonts w:cs="Arial"/>
        </w:rPr>
        <w:t xml:space="preserve"> </w:t>
      </w:r>
      <w:r w:rsidR="006B7249">
        <w:rPr>
          <w:rFonts w:cs="Arial"/>
        </w:rPr>
        <w:t>in humans.</w:t>
      </w:r>
      <w:r w:rsidR="00E87B19">
        <w:rPr>
          <w:rFonts w:cs="Arial"/>
        </w:rPr>
        <w:t xml:space="preserve"> HCOTN (2002) considers these data insufficient to recommend a health-based OEL</w:t>
      </w:r>
      <w:r w:rsidR="006B7249">
        <w:rPr>
          <w:rFonts w:cs="Arial"/>
        </w:rPr>
        <w:t xml:space="preserve"> or to comment on the suitability of the administrative </w:t>
      </w:r>
      <w:r w:rsidR="006B7249">
        <w:rPr>
          <w:rFonts w:cs="Arial"/>
        </w:rPr>
        <w:lastRenderedPageBreak/>
        <w:t>OEL of 5 mg/m</w:t>
      </w:r>
      <w:r w:rsidR="006B7249">
        <w:rPr>
          <w:rFonts w:cs="Arial"/>
          <w:vertAlign w:val="superscript"/>
        </w:rPr>
        <w:t>3</w:t>
      </w:r>
      <w:r w:rsidR="00E87B19">
        <w:rPr>
          <w:rFonts w:cs="Arial"/>
        </w:rPr>
        <w:t xml:space="preserve">. The TLV-TWA and TLV-STEL are based </w:t>
      </w:r>
      <w:r w:rsidR="00CA56B2">
        <w:rPr>
          <w:rFonts w:cs="Arial"/>
        </w:rPr>
        <w:t>o</w:t>
      </w:r>
      <w:r w:rsidR="006B7249">
        <w:rPr>
          <w:rFonts w:cs="Arial"/>
        </w:rPr>
        <w:t>n the LOAEC of 6 mg/m</w:t>
      </w:r>
      <w:r w:rsidR="006B7249">
        <w:rPr>
          <w:rFonts w:cs="Arial"/>
          <w:vertAlign w:val="superscript"/>
        </w:rPr>
        <w:t>3</w:t>
      </w:r>
      <w:r w:rsidR="00CA56B2">
        <w:rPr>
          <w:rFonts w:cs="Arial"/>
        </w:rPr>
        <w:t xml:space="preserve"> </w:t>
      </w:r>
      <w:r w:rsidR="006B7249">
        <w:rPr>
          <w:rFonts w:cs="Arial"/>
        </w:rPr>
        <w:t xml:space="preserve">in animals </w:t>
      </w:r>
      <w:r w:rsidR="00CA56B2">
        <w:rPr>
          <w:rFonts w:cs="Arial"/>
        </w:rPr>
        <w:t xml:space="preserve">and expected to be sufficiently low to protect for </w:t>
      </w:r>
      <w:r w:rsidR="006B7249">
        <w:rPr>
          <w:rFonts w:cs="Arial"/>
        </w:rPr>
        <w:t>respiratory irritation</w:t>
      </w:r>
      <w:r w:rsidR="00DC18DB">
        <w:rPr>
          <w:rFonts w:cs="Arial"/>
        </w:rPr>
        <w:t>.</w:t>
      </w:r>
      <w:r w:rsidR="006B7249">
        <w:rPr>
          <w:rFonts w:cs="Arial"/>
        </w:rPr>
        <w:t xml:space="preserve"> </w:t>
      </w:r>
      <w:r w:rsidR="00DC18DB">
        <w:rPr>
          <w:rFonts w:cs="Arial"/>
        </w:rPr>
        <w:t>H</w:t>
      </w:r>
      <w:r w:rsidR="00F1053A">
        <w:rPr>
          <w:rFonts w:cs="Arial"/>
        </w:rPr>
        <w:t>owever,</w:t>
      </w:r>
      <w:r w:rsidR="006B7249">
        <w:rPr>
          <w:rFonts w:cs="Arial"/>
        </w:rPr>
        <w:t xml:space="preserve"> no evidence for irritation endpoints is </w:t>
      </w:r>
      <w:r w:rsidR="003F5AEE">
        <w:rPr>
          <w:rFonts w:cs="Arial"/>
        </w:rPr>
        <w:t xml:space="preserve">reported </w:t>
      </w:r>
      <w:r w:rsidR="006B7249">
        <w:rPr>
          <w:rFonts w:cs="Arial"/>
        </w:rPr>
        <w:t xml:space="preserve">in the </w:t>
      </w:r>
      <w:r w:rsidR="00FF220F">
        <w:rPr>
          <w:rFonts w:cs="Arial"/>
        </w:rPr>
        <w:t xml:space="preserve">ACGIH </w:t>
      </w:r>
      <w:r w:rsidR="006B7249">
        <w:rPr>
          <w:rFonts w:cs="Arial"/>
        </w:rPr>
        <w:t>assessment. In view of these uncertainties and limited toxicological information, the TWA of 5 mg/m</w:t>
      </w:r>
      <w:r w:rsidR="006B7249">
        <w:rPr>
          <w:rFonts w:cs="Arial"/>
          <w:vertAlign w:val="superscript"/>
        </w:rPr>
        <w:t>3</w:t>
      </w:r>
      <w:r w:rsidR="006B7249">
        <w:rPr>
          <w:rFonts w:cs="Arial"/>
        </w:rPr>
        <w:t xml:space="preserve"> </w:t>
      </w:r>
      <w:r w:rsidR="003F5AEE">
        <w:rPr>
          <w:rFonts w:cs="Arial"/>
        </w:rPr>
        <w:t xml:space="preserve">of SWA and ACGIH is recommended </w:t>
      </w:r>
      <w:r w:rsidR="00FF220F">
        <w:rPr>
          <w:rFonts w:cs="Arial"/>
        </w:rPr>
        <w:t xml:space="preserve">to </w:t>
      </w:r>
      <w:r w:rsidR="003F5AEE">
        <w:rPr>
          <w:rFonts w:cs="Arial"/>
        </w:rPr>
        <w:t xml:space="preserve">be </w:t>
      </w:r>
      <w:r w:rsidR="006B7249">
        <w:rPr>
          <w:rFonts w:cs="Arial"/>
        </w:rPr>
        <w:t xml:space="preserve">retained in the </w:t>
      </w:r>
      <w:r w:rsidR="00F30A85">
        <w:rPr>
          <w:rFonts w:cs="Arial"/>
        </w:rPr>
        <w:t>interim and f</w:t>
      </w:r>
      <w:r w:rsidR="006B7249">
        <w:rPr>
          <w:rFonts w:cs="Arial"/>
        </w:rPr>
        <w:t xml:space="preserve">urther assessment of additional sources is recommended </w:t>
      </w:r>
      <w:r w:rsidR="00F30A85">
        <w:rPr>
          <w:rFonts w:cs="Arial"/>
        </w:rPr>
        <w:t>during subsequent reviews of the WES.</w:t>
      </w:r>
      <w:r w:rsidR="00F1053A">
        <w:rPr>
          <w:rFonts w:cs="Arial"/>
        </w:rPr>
        <w:t xml:space="preserve"> </w:t>
      </w:r>
    </w:p>
    <w:p w14:paraId="30F9BD77" w14:textId="453B8E45" w:rsidR="00961E22" w:rsidRPr="00F1053A" w:rsidRDefault="00F1053A" w:rsidP="006639B4">
      <w:pPr>
        <w:rPr>
          <w:rFonts w:cs="Arial"/>
        </w:rPr>
      </w:pPr>
      <w:r>
        <w:rPr>
          <w:rFonts w:cs="Arial"/>
        </w:rPr>
        <w:t>There are insufficient data to indicate acute effects within an order of magnitude of the TWA, the STEL of 10 mg/m</w:t>
      </w:r>
      <w:r>
        <w:rPr>
          <w:rFonts w:cs="Arial"/>
          <w:vertAlign w:val="superscript"/>
        </w:rPr>
        <w:t>3</w:t>
      </w:r>
      <w:r>
        <w:rPr>
          <w:rFonts w:cs="Arial"/>
        </w:rPr>
        <w:t xml:space="preserve"> is therefore withdrawn.</w:t>
      </w:r>
    </w:p>
    <w:p w14:paraId="273B44AD" w14:textId="77777777" w:rsidR="004529F0" w:rsidRPr="004C23F4" w:rsidRDefault="004529F0" w:rsidP="004529F0">
      <w:pPr>
        <w:pStyle w:val="Heading2"/>
      </w:pPr>
      <w:r>
        <w:t>Recommendation for notations</w:t>
      </w:r>
    </w:p>
    <w:p w14:paraId="27C6755E" w14:textId="77777777" w:rsidR="008E4F1F" w:rsidRPr="00F30A85" w:rsidRDefault="008E4F1F" w:rsidP="008E4F1F">
      <w:pPr>
        <w:rPr>
          <w:rFonts w:cs="Arial"/>
        </w:rPr>
      </w:pPr>
      <w:r w:rsidRPr="00F30A85">
        <w:rPr>
          <w:rFonts w:cs="Arial"/>
        </w:rPr>
        <w:t>Not classified as a carcinogen according to the Globally Harmonized System of</w:t>
      </w:r>
      <w:r w:rsidR="00155999" w:rsidRPr="00F30A85">
        <w:rPr>
          <w:rFonts w:cs="Arial"/>
        </w:rPr>
        <w:t xml:space="preserve"> Classification and Labelling of</w:t>
      </w:r>
      <w:r w:rsidRPr="00F30A85">
        <w:rPr>
          <w:rFonts w:cs="Arial"/>
        </w:rPr>
        <w:t xml:space="preserve"> Chemicals (GHS). </w:t>
      </w:r>
    </w:p>
    <w:p w14:paraId="03916CCC" w14:textId="388162BC" w:rsidR="008E4F1F" w:rsidRPr="00F30A85" w:rsidRDefault="008E4F1F" w:rsidP="008E4F1F">
      <w:pPr>
        <w:rPr>
          <w:rFonts w:cs="Arial"/>
        </w:rPr>
      </w:pPr>
      <w:r w:rsidRPr="00F30A85">
        <w:rPr>
          <w:rFonts w:cs="Arial"/>
        </w:rPr>
        <w:t xml:space="preserve">Not classified as a skin </w:t>
      </w:r>
      <w:r w:rsidR="00155999" w:rsidRPr="00F30A85">
        <w:rPr>
          <w:rFonts w:cs="Arial"/>
        </w:rPr>
        <w:t xml:space="preserve">sensitiser </w:t>
      </w:r>
      <w:r w:rsidRPr="00F30A85">
        <w:rPr>
          <w:rFonts w:cs="Arial"/>
        </w:rPr>
        <w:t xml:space="preserve">or respiratory </w:t>
      </w:r>
      <w:r w:rsidR="00F30A85">
        <w:rPr>
          <w:rFonts w:cs="Arial"/>
        </w:rPr>
        <w:t>sensitiser according to the GHS. However, the recommendations for dermal and respiratory sensitiser notations are inconsistent in the source material. DFG (1999) recommends dermal and respiratory sensitiser notations based on positive responses in humans and animals, whereas ACGIH (2018) and HCOTN (2002) consider the available database as insufficient for classification.</w:t>
      </w:r>
    </w:p>
    <w:p w14:paraId="7D0772D2" w14:textId="799DD4AC" w:rsidR="004529F0" w:rsidRPr="004C23F4" w:rsidRDefault="009E01EA" w:rsidP="008E4F1F">
      <w:pPr>
        <w:rPr>
          <w:rFonts w:cs="Arial"/>
        </w:rPr>
      </w:pPr>
      <w:r>
        <w:rPr>
          <w:rFonts w:cs="Arial"/>
        </w:rPr>
        <w:t>There are ins</w:t>
      </w:r>
      <w:r w:rsidR="008E4F1F" w:rsidRPr="00F30A85">
        <w:rPr>
          <w:rFonts w:cs="Arial"/>
        </w:rPr>
        <w:t xml:space="preserve">ufficient </w:t>
      </w:r>
      <w:r>
        <w:rPr>
          <w:rFonts w:cs="Arial"/>
        </w:rPr>
        <w:t>data</w:t>
      </w:r>
      <w:r w:rsidR="008E4F1F" w:rsidRPr="00F30A85">
        <w:rPr>
          <w:rFonts w:cs="Arial"/>
        </w:rPr>
        <w:t xml:space="preserve"> to recommend a skin notation.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360314">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360314">
        <w:trPr>
          <w:cantSplit/>
        </w:trPr>
        <w:tc>
          <w:tcPr>
            <w:tcW w:w="5000" w:type="pct"/>
            <w:gridSpan w:val="2"/>
            <w:shd w:val="clear" w:color="auto" w:fill="F2F2F2" w:themeFill="background1" w:themeFillShade="F2"/>
          </w:tcPr>
          <w:p w14:paraId="3127B3A8" w14:textId="7FED13D2"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D81932">
                  <w:t>1991</w:t>
                </w:r>
              </w:sdtContent>
            </w:sdt>
            <w:r w:rsidRPr="003365A5">
              <w:tab/>
            </w:r>
            <w:r>
              <w:tab/>
            </w:r>
            <w:sdt>
              <w:sdtPr>
                <w:alias w:val="SWA WES"/>
                <w:tag w:val="SWA WES"/>
                <w:id w:val="857077202"/>
                <w:placeholder>
                  <w:docPart w:val="81CFEC2FDBC5451289F394E66D92D1A0"/>
                </w:placeholder>
              </w:sdtPr>
              <w:sdtEndPr/>
              <w:sdtContent>
                <w:r w:rsidR="00D81932">
                  <w:t>TWA: 5 mg/m</w:t>
                </w:r>
                <w:r w:rsidR="00D81932" w:rsidRPr="00D81932">
                  <w:rPr>
                    <w:vertAlign w:val="superscript"/>
                  </w:rPr>
                  <w:t>3</w:t>
                </w:r>
                <w:r w:rsidR="00D81932">
                  <w:t>; STEL: 10 mg/m</w:t>
                </w:r>
                <w:r w:rsidR="00D81932" w:rsidRPr="00D81932">
                  <w:rPr>
                    <w:vertAlign w:val="superscript"/>
                  </w:rPr>
                  <w:t>3</w:t>
                </w:r>
              </w:sdtContent>
            </w:sdt>
          </w:p>
        </w:tc>
      </w:tr>
      <w:tr w:rsidR="00C978F0" w:rsidRPr="00DA352E" w14:paraId="26087DDB" w14:textId="77777777" w:rsidTr="00360314">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360314">
        <w:trPr>
          <w:gridAfter w:val="1"/>
          <w:wAfter w:w="8" w:type="pct"/>
          <w:cantSplit/>
        </w:trPr>
        <w:tc>
          <w:tcPr>
            <w:tcW w:w="4992" w:type="pct"/>
            <w:shd w:val="clear" w:color="auto" w:fill="F2F2F2" w:themeFill="background1" w:themeFillShade="F2"/>
          </w:tcPr>
          <w:p w14:paraId="2ED10929" w14:textId="287DA616"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D81932">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D81932">
                  <w:t>TLV-TWA: 5 mg/m</w:t>
                </w:r>
                <w:r w:rsidR="00D81932" w:rsidRPr="00D81932">
                  <w:rPr>
                    <w:vertAlign w:val="superscript"/>
                  </w:rPr>
                  <w:t>3</w:t>
                </w:r>
                <w:r w:rsidR="00D81932">
                  <w:t>; TLV-STEL: 10 mg/m</w:t>
                </w:r>
                <w:r w:rsidR="00D81932" w:rsidRPr="00D81932">
                  <w:rPr>
                    <w:vertAlign w:val="superscript"/>
                  </w:rPr>
                  <w:t>3</w:t>
                </w:r>
              </w:sdtContent>
            </w:sdt>
          </w:p>
        </w:tc>
      </w:tr>
      <w:tr w:rsidR="00C978F0" w:rsidRPr="00DA352E" w14:paraId="418D532D" w14:textId="77777777" w:rsidTr="00360314">
        <w:trPr>
          <w:gridAfter w:val="1"/>
          <w:wAfter w:w="8" w:type="pct"/>
          <w:cantSplit/>
        </w:trPr>
        <w:tc>
          <w:tcPr>
            <w:tcW w:w="4992" w:type="pct"/>
          </w:tcPr>
          <w:p w14:paraId="3ADB510D" w14:textId="58F20B7C" w:rsidR="00C978F0" w:rsidRDefault="00CA578C" w:rsidP="003365A5">
            <w:pPr>
              <w:pStyle w:val="Tabletextprimarysource"/>
            </w:pPr>
            <w:r>
              <w:t xml:space="preserve">TLV-TWA and TLV-STEL intended to protect for respiratory tract irritation. Not classifiable as a human carcinogen (A4) based on absence of increased tumorigenicity in chronic </w:t>
            </w:r>
            <w:r w:rsidR="005B18A3">
              <w:t>feeding</w:t>
            </w:r>
            <w:r>
              <w:t xml:space="preserve"> studies with rats.</w:t>
            </w:r>
          </w:p>
          <w:p w14:paraId="313295C2" w14:textId="484045FA" w:rsidR="00D03D68" w:rsidRDefault="00D03D68" w:rsidP="003365A5">
            <w:pPr>
              <w:pStyle w:val="Tabletextprimarysource"/>
            </w:pPr>
            <w:r>
              <w:t>Summary of information</w:t>
            </w:r>
            <w:r w:rsidR="004E6161">
              <w:t>:</w:t>
            </w:r>
          </w:p>
          <w:p w14:paraId="7434955A" w14:textId="021ADECA" w:rsidR="004E6161" w:rsidRPr="00C65EC4" w:rsidRDefault="00C65EC4" w:rsidP="003365A5">
            <w:pPr>
              <w:pStyle w:val="Tabletextprimarysource"/>
            </w:pPr>
            <w:r>
              <w:t>Available animal and human data indicate low toxicity. TLV-TWA and TLV-STEL based on results of inhalation studies with animals, indicate no effects at 11 and 75 mg/m</w:t>
            </w:r>
            <w:r>
              <w:rPr>
                <w:vertAlign w:val="superscript"/>
              </w:rPr>
              <w:t>3</w:t>
            </w:r>
            <w:r>
              <w:t xml:space="preserve"> for the oxide and slight increase in mortality due to respiratory infection at 6 mg/m</w:t>
            </w:r>
            <w:r>
              <w:rPr>
                <w:vertAlign w:val="superscript"/>
              </w:rPr>
              <w:t>3</w:t>
            </w:r>
            <w:r>
              <w:t xml:space="preserve"> for </w:t>
            </w:r>
            <w:r w:rsidR="001849E9">
              <w:t>the</w:t>
            </w:r>
            <w:r>
              <w:t xml:space="preserve"> tetrachloride, the effects likely caused by the </w:t>
            </w:r>
            <w:r w:rsidR="009327CA">
              <w:t>HCl</w:t>
            </w:r>
            <w:r>
              <w:t xml:space="preserve"> product. No further details on derivation of TLVs provided.</w:t>
            </w:r>
          </w:p>
          <w:p w14:paraId="578CC167" w14:textId="64C96C4C" w:rsidR="00D03D68" w:rsidRDefault="00D03D68" w:rsidP="003365A5">
            <w:pPr>
              <w:pStyle w:val="Tabletextprimarysource"/>
            </w:pPr>
            <w:r>
              <w:t>Human data:</w:t>
            </w:r>
          </w:p>
          <w:p w14:paraId="7A921EFB" w14:textId="2C20B12B" w:rsidR="00D03D68" w:rsidRDefault="005B18A3" w:rsidP="005B18A3">
            <w:pPr>
              <w:pStyle w:val="Tabletextprimarysource"/>
              <w:numPr>
                <w:ilvl w:val="0"/>
                <w:numId w:val="3"/>
              </w:numPr>
            </w:pPr>
            <w:r>
              <w:t xml:space="preserve">Typical daily dietary dose </w:t>
            </w:r>
            <w:r>
              <w:rPr>
                <w:rFonts w:cs="Arial"/>
              </w:rPr>
              <w:t>≈</w:t>
            </w:r>
            <w:r>
              <w:t>4 mg</w:t>
            </w:r>
          </w:p>
          <w:p w14:paraId="7D39801B" w14:textId="43E14DF9" w:rsidR="005B18A3" w:rsidRDefault="005B18A3" w:rsidP="005B18A3">
            <w:pPr>
              <w:pStyle w:val="Tabletextprimarysource"/>
              <w:numPr>
                <w:ilvl w:val="0"/>
                <w:numId w:val="3"/>
              </w:numPr>
            </w:pPr>
            <w:r>
              <w:t>No adverse effects in exposed workers (n=22, 1–5 yr duration, no details on exposure provided)</w:t>
            </w:r>
          </w:p>
          <w:p w14:paraId="35791E34" w14:textId="5E0705D9" w:rsidR="00A16ED9" w:rsidRDefault="00A16ED9" w:rsidP="005B18A3">
            <w:pPr>
              <w:pStyle w:val="Tabletextprimarysource"/>
              <w:numPr>
                <w:ilvl w:val="0"/>
                <w:numId w:val="3"/>
              </w:numPr>
            </w:pPr>
            <w:r>
              <w:t>Allergic granulomas on axillary skin reported from deodorant or poison ivy remedy use; products contained sodium zirconium lactate or zirconium dioxide</w:t>
            </w:r>
          </w:p>
          <w:p w14:paraId="4E784F24" w14:textId="2CC1F107" w:rsidR="00A16ED9" w:rsidRDefault="00A16ED9" w:rsidP="005B18A3">
            <w:pPr>
              <w:pStyle w:val="Tabletextprimarysource"/>
              <w:numPr>
                <w:ilvl w:val="0"/>
                <w:numId w:val="3"/>
              </w:numPr>
            </w:pPr>
            <w:r>
              <w:t>No granulomas observed in controlled patch test using zirconium oxychloride (n=54)</w:t>
            </w:r>
            <w:r w:rsidR="009327CA">
              <w:t>.</w:t>
            </w:r>
          </w:p>
          <w:p w14:paraId="7D913C19" w14:textId="1E4C8FB4" w:rsidR="00D03D68" w:rsidRDefault="00D03D68" w:rsidP="003365A5">
            <w:pPr>
              <w:pStyle w:val="Tabletextprimarysource"/>
            </w:pPr>
            <w:r>
              <w:t>Animal data:</w:t>
            </w:r>
          </w:p>
          <w:p w14:paraId="662DDE02" w14:textId="2F97F1A2" w:rsidR="00D03D68" w:rsidRDefault="00D275EE" w:rsidP="00666EA9">
            <w:pPr>
              <w:pStyle w:val="Tabletextprimarysource"/>
              <w:numPr>
                <w:ilvl w:val="0"/>
                <w:numId w:val="1"/>
              </w:numPr>
            </w:pPr>
            <w:r>
              <w:t>No significant changes in mortality, growth rate, blood chemistry, urinary proteins, haematology</w:t>
            </w:r>
            <w:r w:rsidR="007472E8">
              <w:t xml:space="preserve"> and</w:t>
            </w:r>
            <w:r>
              <w:t xml:space="preserve"> histopathology at 11 and 75 mg/m</w:t>
            </w:r>
            <w:r>
              <w:rPr>
                <w:vertAlign w:val="superscript"/>
              </w:rPr>
              <w:t>3</w:t>
            </w:r>
            <w:r>
              <w:t xml:space="preserve"> of zirconium oxide (rats, rabbits, guinea pigs, dogs, cats, 6 h/d, 5 d/wk, 30 or 60 d)</w:t>
            </w:r>
            <w:r w:rsidR="006302A5">
              <w:t>:</w:t>
            </w:r>
          </w:p>
          <w:p w14:paraId="4E4EAABC" w14:textId="5BE1A081" w:rsidR="004E6161" w:rsidRDefault="004E6161" w:rsidP="001849E9">
            <w:pPr>
              <w:pStyle w:val="Tabletextprimarysource"/>
              <w:numPr>
                <w:ilvl w:val="1"/>
                <w:numId w:val="1"/>
              </w:numPr>
              <w:ind w:left="1156"/>
            </w:pPr>
            <w:r>
              <w:t xml:space="preserve">slight (no details on statistical significance provided) reductions in haemoglobin and </w:t>
            </w:r>
            <w:r w:rsidR="009327CA">
              <w:t>RBC</w:t>
            </w:r>
            <w:r>
              <w:t xml:space="preserve"> count at 6 mg/m</w:t>
            </w:r>
            <w:r>
              <w:rPr>
                <w:vertAlign w:val="superscript"/>
              </w:rPr>
              <w:t>3</w:t>
            </w:r>
            <w:r>
              <w:t xml:space="preserve"> of zirconium tetrachloride (dogs) and increased mortality (rats</w:t>
            </w:r>
            <w:r w:rsidR="00C65EC4">
              <w:t>, guinea pigs</w:t>
            </w:r>
            <w:r>
              <w:t xml:space="preserve">); effects likely caused by production of </w:t>
            </w:r>
            <w:r w:rsidR="009327CA">
              <w:t>HCl</w:t>
            </w:r>
            <w:r>
              <w:t xml:space="preserve"> from hydrolysis of zirconium tetrachloride</w:t>
            </w:r>
            <w:r w:rsidR="00C65EC4">
              <w:t>; cause of death likely due to respiratory infection</w:t>
            </w:r>
          </w:p>
          <w:p w14:paraId="303E4BA9" w14:textId="731D8D8C" w:rsidR="004E6161" w:rsidRDefault="005B18A3" w:rsidP="004E6161">
            <w:pPr>
              <w:pStyle w:val="Tabletextprimarysource"/>
              <w:numPr>
                <w:ilvl w:val="0"/>
                <w:numId w:val="1"/>
              </w:numPr>
            </w:pPr>
            <w:r>
              <w:t>No effects on relative organ weights, mortality</w:t>
            </w:r>
            <w:r w:rsidR="007472E8">
              <w:t xml:space="preserve"> and</w:t>
            </w:r>
            <w:r>
              <w:t xml:space="preserve"> tumorigenicity at 5 ppm of diet in chronic feeding study (rats, lifetime); substance accumulated in spleen without adverse effects</w:t>
            </w:r>
            <w:r w:rsidR="006302A5">
              <w:t>:</w:t>
            </w:r>
          </w:p>
          <w:p w14:paraId="1F0AC08A" w14:textId="09493988" w:rsidR="005B18A3" w:rsidRDefault="005B18A3" w:rsidP="009327CA">
            <w:pPr>
              <w:pStyle w:val="Tabletextprimarysource"/>
              <w:numPr>
                <w:ilvl w:val="1"/>
                <w:numId w:val="1"/>
              </w:numPr>
              <w:ind w:left="1156"/>
            </w:pPr>
            <w:r>
              <w:t>poor oral bioavailability considered responsible for lack of toxicity from chronic feeding</w:t>
            </w:r>
          </w:p>
          <w:p w14:paraId="5930CD7A" w14:textId="7AF52515" w:rsidR="005B18A3" w:rsidRDefault="005B18A3" w:rsidP="005B18A3">
            <w:pPr>
              <w:pStyle w:val="Tabletextprimarysource"/>
              <w:numPr>
                <w:ilvl w:val="0"/>
                <w:numId w:val="1"/>
              </w:numPr>
            </w:pPr>
            <w:r>
              <w:t>No adverse effects at 3.5 mg/m</w:t>
            </w:r>
            <w:r>
              <w:rPr>
                <w:vertAlign w:val="superscript"/>
              </w:rPr>
              <w:t>3</w:t>
            </w:r>
            <w:r>
              <w:t xml:space="preserve"> of zirconium oxide or tetrachloride in separate chronic inhalation studies (rats, 1 yr, no details on exposure duration or frequency provided)</w:t>
            </w:r>
            <w:r w:rsidR="009327CA">
              <w:t>.</w:t>
            </w:r>
          </w:p>
          <w:p w14:paraId="2D546B9A" w14:textId="77777777" w:rsidR="00DC18DB" w:rsidRDefault="00DC18DB" w:rsidP="003365A5">
            <w:pPr>
              <w:pStyle w:val="Tabletextprimarysource"/>
            </w:pPr>
          </w:p>
          <w:p w14:paraId="0B81EEA3" w14:textId="77777777" w:rsidR="00D03D68" w:rsidRDefault="00D03D68" w:rsidP="003365A5">
            <w:pPr>
              <w:pStyle w:val="Tabletextprimarysource"/>
            </w:pPr>
            <w:r>
              <w:t>Insufficient data to assign notations for skin absorption and sensitisation.</w:t>
            </w:r>
          </w:p>
          <w:p w14:paraId="0CE4D35D" w14:textId="1AB0CBAA" w:rsidR="00DC18DB" w:rsidRPr="00DA352E" w:rsidRDefault="00DC18DB" w:rsidP="003365A5">
            <w:pPr>
              <w:pStyle w:val="Tabletextprimarysource"/>
            </w:pPr>
          </w:p>
        </w:tc>
      </w:tr>
      <w:tr w:rsidR="00C978F0" w:rsidRPr="00DA352E" w14:paraId="174F8B79" w14:textId="77777777" w:rsidTr="00360314">
        <w:trPr>
          <w:gridAfter w:val="1"/>
          <w:wAfter w:w="8" w:type="pct"/>
          <w:cantSplit/>
        </w:trPr>
        <w:tc>
          <w:tcPr>
            <w:tcW w:w="4992" w:type="pct"/>
            <w:shd w:val="clear" w:color="auto" w:fill="F2F2F2" w:themeFill="background1" w:themeFillShade="F2"/>
          </w:tcPr>
          <w:p w14:paraId="5B42BD54" w14:textId="77777777" w:rsidR="00C978F0"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D81932">
                  <w:t>1998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D81932">
                  <w:t>MAK</w:t>
                </w:r>
                <w:r w:rsidR="00C65EC4">
                  <w:t xml:space="preserve"> for insoluble compounds</w:t>
                </w:r>
                <w:r w:rsidR="00D81932">
                  <w:t>: 1 mg/m</w:t>
                </w:r>
                <w:r w:rsidR="00D81932" w:rsidRPr="00D81932">
                  <w:rPr>
                    <w:vertAlign w:val="superscript"/>
                  </w:rPr>
                  <w:t>3</w:t>
                </w:r>
                <w:r w:rsidR="00D81932">
                  <w:t xml:space="preserve"> (inhalable fraction)</w:t>
                </w:r>
              </w:sdtContent>
            </w:sdt>
          </w:p>
          <w:p w14:paraId="65BCCE9F" w14:textId="6D5F61AC" w:rsidR="00C65EC4" w:rsidRPr="00DA352E" w:rsidRDefault="00C65EC4" w:rsidP="0051509C">
            <w:pPr>
              <w:pStyle w:val="Tablerowheadingitalic"/>
              <w:tabs>
                <w:tab w:val="clear" w:pos="2268"/>
                <w:tab w:val="clear" w:pos="5670"/>
                <w:tab w:val="left" w:pos="1418"/>
                <w:tab w:val="left" w:pos="2552"/>
              </w:tabs>
            </w:pPr>
            <w:r>
              <w:t xml:space="preserve">                                                    MAK for soluble compounds: not established</w:t>
            </w:r>
          </w:p>
        </w:tc>
      </w:tr>
      <w:tr w:rsidR="00C978F0" w:rsidRPr="00DA352E" w14:paraId="4433014F" w14:textId="77777777" w:rsidTr="00360314">
        <w:trPr>
          <w:gridAfter w:val="1"/>
          <w:wAfter w:w="8" w:type="pct"/>
        </w:trPr>
        <w:tc>
          <w:tcPr>
            <w:tcW w:w="4992" w:type="pct"/>
          </w:tcPr>
          <w:p w14:paraId="56293CB6" w14:textId="187E146F" w:rsidR="001D7F51" w:rsidRDefault="003F4AC9" w:rsidP="003365A5">
            <w:pPr>
              <w:pStyle w:val="Tabletextprimarysource"/>
            </w:pPr>
            <w:r>
              <w:t>Summary of additional information:</w:t>
            </w:r>
          </w:p>
          <w:p w14:paraId="05099DE8" w14:textId="010AE733" w:rsidR="00683AE9" w:rsidRDefault="003F4AC9" w:rsidP="003365A5">
            <w:pPr>
              <w:pStyle w:val="Tabletextprimarysource"/>
            </w:pPr>
            <w:r>
              <w:t>Insoluble and soluble zirconium compounds assessed separately due to higher toxicity of soluble compounds.</w:t>
            </w:r>
            <w:r w:rsidR="00A63258">
              <w:t xml:space="preserve"> </w:t>
            </w:r>
            <w:r w:rsidR="00CA56B2">
              <w:t xml:space="preserve">Critical effects of exposure to insoluble compounds are </w:t>
            </w:r>
            <w:r w:rsidR="009327CA">
              <w:t>granulomatous</w:t>
            </w:r>
            <w:r w:rsidR="00CA56B2">
              <w:t xml:space="preserve"> and fibrotic lung changes; soluble compounds cause tissue degeneration at exposed sites and haematological changes.</w:t>
            </w:r>
          </w:p>
          <w:p w14:paraId="3F75210C" w14:textId="0E240B2F" w:rsidR="00683AE9" w:rsidRDefault="00683AE9" w:rsidP="00DC18DB">
            <w:pPr>
              <w:pStyle w:val="Tabletextprimarysource"/>
              <w:keepNext/>
            </w:pPr>
            <w:r w:rsidRPr="00683AE9">
              <w:rPr>
                <w:i/>
              </w:rPr>
              <w:lastRenderedPageBreak/>
              <w:t>Insoluble compounds</w:t>
            </w:r>
          </w:p>
          <w:p w14:paraId="270A10E1" w14:textId="1DB98D44" w:rsidR="003F4AC9" w:rsidRDefault="00A63258" w:rsidP="003365A5">
            <w:pPr>
              <w:pStyle w:val="Tabletextprimarysource"/>
            </w:pPr>
            <w:r>
              <w:t xml:space="preserve">MAK </w:t>
            </w:r>
            <w:r w:rsidR="00CA0ABA">
              <w:t>of 1 mg/m</w:t>
            </w:r>
            <w:r w:rsidR="00CA0ABA">
              <w:rPr>
                <w:vertAlign w:val="superscript"/>
              </w:rPr>
              <w:t>3</w:t>
            </w:r>
            <w:r w:rsidR="00CA0ABA">
              <w:t xml:space="preserve"> </w:t>
            </w:r>
            <w:r>
              <w:t xml:space="preserve">based on </w:t>
            </w:r>
            <w:r w:rsidR="00CA0ABA">
              <w:t>LOAEC of 5.4 mg/m</w:t>
            </w:r>
            <w:r w:rsidR="00CA0ABA">
              <w:rPr>
                <w:vertAlign w:val="superscript"/>
              </w:rPr>
              <w:t>3</w:t>
            </w:r>
            <w:r w:rsidR="00CA0ABA">
              <w:t xml:space="preserve"> for interstitial pneumonitis and slight fibrogenic effects</w:t>
            </w:r>
            <w:r>
              <w:t xml:space="preserve"> </w:t>
            </w:r>
            <w:r w:rsidR="00CA0ABA">
              <w:t>in sub</w:t>
            </w:r>
            <w:r w:rsidR="005E24BF">
              <w:t>-</w:t>
            </w:r>
            <w:r w:rsidR="00CA0ABA">
              <w:t>chronically exposed rodents using barium zirconate; recommendation supported by NOAEC of 1.4 mg/m</w:t>
            </w:r>
            <w:r w:rsidR="00CA0ABA">
              <w:rPr>
                <w:vertAlign w:val="superscript"/>
              </w:rPr>
              <w:t>3</w:t>
            </w:r>
            <w:r w:rsidR="00CA0ABA">
              <w:t xml:space="preserve"> for lung function and radiographic changes in exposed workers.</w:t>
            </w:r>
          </w:p>
          <w:p w14:paraId="16B29FA5" w14:textId="17CDB430" w:rsidR="00683AE9" w:rsidRDefault="00683AE9" w:rsidP="003365A5">
            <w:pPr>
              <w:pStyle w:val="Tabletextprimarysource"/>
            </w:pPr>
            <w:r>
              <w:rPr>
                <w:i/>
              </w:rPr>
              <w:t>Soluble compounds</w:t>
            </w:r>
          </w:p>
          <w:p w14:paraId="0039CB8C" w14:textId="60B74BDA" w:rsidR="00683AE9" w:rsidRDefault="00683AE9" w:rsidP="003365A5">
            <w:pPr>
              <w:pStyle w:val="Tabletextprimarysource"/>
            </w:pPr>
            <w:r>
              <w:t>MAK not established based on LOAEC of 4.7 mg/m</w:t>
            </w:r>
            <w:r>
              <w:rPr>
                <w:vertAlign w:val="superscript"/>
              </w:rPr>
              <w:t>3</w:t>
            </w:r>
            <w:r>
              <w:t xml:space="preserve"> for inte</w:t>
            </w:r>
            <w:r w:rsidR="0056531B">
              <w:t>rstitial pneumonitis and slight fibrogenic effects in rodents exposed sub</w:t>
            </w:r>
            <w:r w:rsidR="005E24BF">
              <w:t>-</w:t>
            </w:r>
            <w:r w:rsidR="0056531B">
              <w:t>chronically to zirconium lactate and increased mortality at 6 mg/m</w:t>
            </w:r>
            <w:r w:rsidR="0056531B">
              <w:rPr>
                <w:vertAlign w:val="superscript"/>
              </w:rPr>
              <w:t>3</w:t>
            </w:r>
            <w:r w:rsidR="0056531B">
              <w:t xml:space="preserve"> in rodents sub</w:t>
            </w:r>
            <w:r w:rsidR="005E24BF">
              <w:t>-</w:t>
            </w:r>
            <w:r w:rsidR="0056531B">
              <w:t xml:space="preserve">chronically exposed to zirconium tetrachloride (also </w:t>
            </w:r>
            <w:r w:rsidR="00F1151E">
              <w:t xml:space="preserve">reported </w:t>
            </w:r>
            <w:r w:rsidR="0056531B">
              <w:t>in ACGIH, 2018)</w:t>
            </w:r>
          </w:p>
          <w:p w14:paraId="56E11968" w14:textId="105F047D" w:rsidR="0056531B" w:rsidRDefault="0056531B" w:rsidP="003365A5">
            <w:pPr>
              <w:pStyle w:val="Tabletextprimarysource"/>
            </w:pPr>
            <w:r>
              <w:t>Sensitiser notation recommended based on evidence for allergic granulomas following dermal and respiratory sensitisation in humans and animals.</w:t>
            </w:r>
          </w:p>
          <w:p w14:paraId="283BE164" w14:textId="7DDF7F37" w:rsidR="0056531B" w:rsidRDefault="0056531B" w:rsidP="003365A5">
            <w:pPr>
              <w:pStyle w:val="Tabletextprimarysource"/>
            </w:pPr>
            <w:r>
              <w:t>Human data:</w:t>
            </w:r>
          </w:p>
          <w:p w14:paraId="443D1C6B" w14:textId="3F9E84E9" w:rsidR="002644D1" w:rsidRDefault="002644D1" w:rsidP="00C733D3">
            <w:pPr>
              <w:pStyle w:val="Tabletextprimarysource"/>
              <w:numPr>
                <w:ilvl w:val="0"/>
                <w:numId w:val="1"/>
              </w:numPr>
            </w:pPr>
            <w:r>
              <w:t>Lung half-life: 224 d; excreted in urine and faeces</w:t>
            </w:r>
          </w:p>
          <w:p w14:paraId="2D59715D" w14:textId="214DE454" w:rsidR="00C733D3" w:rsidRDefault="00C733D3" w:rsidP="00C733D3">
            <w:pPr>
              <w:pStyle w:val="Tabletextprimarysource"/>
              <w:numPr>
                <w:ilvl w:val="0"/>
                <w:numId w:val="1"/>
              </w:numPr>
            </w:pPr>
            <w:r>
              <w:t>No significant radiographic changes or lung function impairment in production workers exposed at 0.7–3.2 mg/m</w:t>
            </w:r>
            <w:r>
              <w:rPr>
                <w:vertAlign w:val="superscript"/>
              </w:rPr>
              <w:t>3</w:t>
            </w:r>
            <w:r>
              <w:t xml:space="preserve"> (n=32, 1–17 yr duration)</w:t>
            </w:r>
          </w:p>
          <w:p w14:paraId="125EB359" w14:textId="3336C702" w:rsidR="00C733D3" w:rsidRDefault="001A058A" w:rsidP="00C733D3">
            <w:pPr>
              <w:pStyle w:val="Tabletextprimarysource"/>
              <w:numPr>
                <w:ilvl w:val="0"/>
                <w:numId w:val="1"/>
              </w:numPr>
            </w:pPr>
            <w:r>
              <w:t xml:space="preserve">No pulmonary granulomas, but mild bronchial asthma in 2 workers and chronic bronchitis </w:t>
            </w:r>
            <w:r w:rsidR="009327CA">
              <w:t xml:space="preserve">in </w:t>
            </w:r>
            <w:r>
              <w:t>5 workers exposed to zirconium chloride, zirconium oxide</w:t>
            </w:r>
            <w:r w:rsidR="007472E8">
              <w:t xml:space="preserve"> and</w:t>
            </w:r>
            <w:r>
              <w:t xml:space="preserve"> metallic zirconium; co-exposure to chlorine could not be excluded as cause for adverse effects</w:t>
            </w:r>
          </w:p>
          <w:p w14:paraId="396E5C39" w14:textId="2DB600F7" w:rsidR="001A058A" w:rsidRDefault="001A058A" w:rsidP="00DC18DB">
            <w:pPr>
              <w:pStyle w:val="Tabletextprimarysource"/>
              <w:numPr>
                <w:ilvl w:val="0"/>
                <w:numId w:val="1"/>
              </w:numPr>
            </w:pPr>
            <w:r>
              <w:t xml:space="preserve">No </w:t>
            </w:r>
            <w:r w:rsidR="007F7B64">
              <w:t>abnormalities</w:t>
            </w:r>
            <w:r>
              <w:t xml:space="preserve"> in radiographs or lung examinations in workers (n=5) exposed at</w:t>
            </w:r>
            <w:r w:rsidR="00DC18DB">
              <w:t xml:space="preserve"> </w:t>
            </w:r>
            <w:r w:rsidRPr="00DC18DB">
              <w:rPr>
                <w:rFonts w:cs="Arial"/>
              </w:rPr>
              <w:t>≈</w:t>
            </w:r>
            <w:r>
              <w:t>1.</w:t>
            </w:r>
            <w:r w:rsidR="00961E22">
              <w:t>4</w:t>
            </w:r>
            <w:r>
              <w:t>–3 mg/m</w:t>
            </w:r>
            <w:r w:rsidRPr="00DC18DB">
              <w:rPr>
                <w:vertAlign w:val="superscript"/>
              </w:rPr>
              <w:t>3</w:t>
            </w:r>
            <w:r>
              <w:t xml:space="preserve"> for 1–4 yr</w:t>
            </w:r>
          </w:p>
          <w:p w14:paraId="27F62303" w14:textId="7E4B9492" w:rsidR="001A058A" w:rsidRDefault="001A058A" w:rsidP="00C733D3">
            <w:pPr>
              <w:pStyle w:val="Tabletextprimarysource"/>
              <w:numPr>
                <w:ilvl w:val="0"/>
                <w:numId w:val="1"/>
              </w:numPr>
            </w:pPr>
            <w:r>
              <w:t xml:space="preserve">Allergic alveolitis in exposed welder in nuclear technology industry, histopathologic lung examination showed foreign body-induced granulomatosis and fibrotic changes; foreign bodies contained </w:t>
            </w:r>
            <w:r w:rsidR="0050190F">
              <w:t>zirconium</w:t>
            </w:r>
            <w:r w:rsidR="005E24BF">
              <w:t>:</w:t>
            </w:r>
          </w:p>
          <w:p w14:paraId="3E47EF7F" w14:textId="1C25D4FB" w:rsidR="0050190F" w:rsidRDefault="0050190F" w:rsidP="009327CA">
            <w:pPr>
              <w:pStyle w:val="Tabletextprimarysource"/>
              <w:numPr>
                <w:ilvl w:val="1"/>
                <w:numId w:val="1"/>
              </w:numPr>
              <w:ind w:left="1156"/>
            </w:pPr>
            <w:r>
              <w:t>similar allergic granulomatous changes observed in mammary glands and axillary lymph nodes</w:t>
            </w:r>
            <w:r w:rsidR="00202E3C">
              <w:t xml:space="preserve"> of worker</w:t>
            </w:r>
          </w:p>
          <w:p w14:paraId="41648486" w14:textId="5154B15C" w:rsidR="0050190F" w:rsidRDefault="00F86ACE" w:rsidP="0050190F">
            <w:pPr>
              <w:pStyle w:val="Tabletextprimarysource"/>
              <w:numPr>
                <w:ilvl w:val="0"/>
                <w:numId w:val="1"/>
              </w:numPr>
            </w:pPr>
            <w:r>
              <w:t xml:space="preserve">Epithelial cell granulomas in 1/30 volunteers following dermal application of 5% solution (5 min/d, 8 wk) and in 2/20 volunteers </w:t>
            </w:r>
            <w:r w:rsidR="009327CA">
              <w:t>with</w:t>
            </w:r>
            <w:r>
              <w:t xml:space="preserve"> 10% solution</w:t>
            </w:r>
          </w:p>
          <w:p w14:paraId="29487F13" w14:textId="3925082A" w:rsidR="00F86ACE" w:rsidRDefault="00A74209" w:rsidP="0050190F">
            <w:pPr>
              <w:pStyle w:val="Tabletextprimarysource"/>
              <w:numPr>
                <w:ilvl w:val="0"/>
                <w:numId w:val="1"/>
              </w:numPr>
            </w:pPr>
            <w:r>
              <w:t>No reports of contact dermatitis</w:t>
            </w:r>
            <w:r w:rsidR="009327CA">
              <w:t>.</w:t>
            </w:r>
          </w:p>
          <w:p w14:paraId="459A51FE" w14:textId="022056EC" w:rsidR="0056531B" w:rsidRDefault="0056531B" w:rsidP="00C733D3">
            <w:pPr>
              <w:pStyle w:val="Tabletextprimarysource"/>
            </w:pPr>
            <w:r>
              <w:t>Animal data:</w:t>
            </w:r>
          </w:p>
          <w:p w14:paraId="26C03108" w14:textId="000F234F" w:rsidR="002644D1" w:rsidRDefault="002644D1" w:rsidP="00A74209">
            <w:pPr>
              <w:pStyle w:val="Tabletextprimarysource"/>
              <w:numPr>
                <w:ilvl w:val="0"/>
                <w:numId w:val="1"/>
              </w:numPr>
            </w:pPr>
            <w:r>
              <w:t>Whole-body half-life: 328–365 d (dogs)</w:t>
            </w:r>
          </w:p>
          <w:p w14:paraId="46536B84" w14:textId="577D620E" w:rsidR="003E48C8" w:rsidRDefault="003E48C8" w:rsidP="00A74209">
            <w:pPr>
              <w:pStyle w:val="Tabletextprimarysource"/>
              <w:numPr>
                <w:ilvl w:val="0"/>
                <w:numId w:val="1"/>
              </w:numPr>
            </w:pPr>
            <w:r>
              <w:t xml:space="preserve">Increased </w:t>
            </w:r>
            <w:r w:rsidR="00B87ADF">
              <w:t>lung weights</w:t>
            </w:r>
            <w:r w:rsidR="007472E8">
              <w:t xml:space="preserve"> and</w:t>
            </w:r>
            <w:r w:rsidR="00B87ADF">
              <w:t xml:space="preserve"> diffuse interstitial pneumonitis with slight fibrogenic effects at 4.7 and 36 mg Zr/m</w:t>
            </w:r>
            <w:r w:rsidR="00B87ADF">
              <w:rPr>
                <w:vertAlign w:val="superscript"/>
              </w:rPr>
              <w:t>3</w:t>
            </w:r>
            <w:r w:rsidR="00B87ADF">
              <w:t xml:space="preserve"> as zirconium lactate or 5.4 mg Zr/m</w:t>
            </w:r>
            <w:r w:rsidR="00B87ADF">
              <w:rPr>
                <w:vertAlign w:val="superscript"/>
              </w:rPr>
              <w:t>3</w:t>
            </w:r>
            <w:r w:rsidR="00B87ADF">
              <w:t xml:space="preserve"> as barium zirconate (rats, hamsters, guinea pigs, 7 h/d, 5 d/wk, 225 d)</w:t>
            </w:r>
          </w:p>
          <w:p w14:paraId="7CFA9F93" w14:textId="5FA7E044" w:rsidR="0056531B" w:rsidRDefault="00A74209" w:rsidP="00A74209">
            <w:pPr>
              <w:pStyle w:val="Tabletextprimarysource"/>
              <w:numPr>
                <w:ilvl w:val="0"/>
                <w:numId w:val="1"/>
              </w:numPr>
            </w:pPr>
            <w:r>
              <w:t>Non-sensitising in standardised skin sensitisation test (guinea pigs) and lymph node assay study (mice) with zirconium tetrachloride</w:t>
            </w:r>
          </w:p>
          <w:p w14:paraId="526604D0" w14:textId="6EEEE307" w:rsidR="00A74209" w:rsidRDefault="00A74209" w:rsidP="00A74209">
            <w:pPr>
              <w:pStyle w:val="Tabletextprimarysource"/>
              <w:numPr>
                <w:ilvl w:val="0"/>
                <w:numId w:val="1"/>
              </w:numPr>
            </w:pPr>
            <w:r>
              <w:t>Delayed hypersensitivity reactions and nodular granulomas identified in sensitisation study using sodium zirconium lactate; induction with 1.25 mg/kg followed by provocation after 2 wk with 25 µg solution 1 d/wk for 5 wk</w:t>
            </w:r>
          </w:p>
          <w:p w14:paraId="5D887F06" w14:textId="5CB702C1" w:rsidR="00A74209" w:rsidRPr="0056531B" w:rsidRDefault="00A74209" w:rsidP="00A74209">
            <w:pPr>
              <w:pStyle w:val="Tabletextprimarysource"/>
              <w:numPr>
                <w:ilvl w:val="0"/>
                <w:numId w:val="1"/>
              </w:numPr>
            </w:pPr>
            <w:r>
              <w:t xml:space="preserve">Non-mutagenic </w:t>
            </w:r>
            <w:r>
              <w:rPr>
                <w:i/>
              </w:rPr>
              <w:t>in vitro</w:t>
            </w:r>
            <w:r>
              <w:t xml:space="preserve"> in bacteria, increased chromosomal aberrations and sister chromatid exchange in human blood cells</w:t>
            </w:r>
            <w:r w:rsidR="009327CA">
              <w:t>.</w:t>
            </w:r>
          </w:p>
          <w:p w14:paraId="25A633B2" w14:textId="77777777" w:rsidR="00DC18DB" w:rsidRDefault="00DC18DB" w:rsidP="003365A5">
            <w:pPr>
              <w:pStyle w:val="Tabletextprimarysource"/>
            </w:pPr>
          </w:p>
          <w:p w14:paraId="22A80C06" w14:textId="77777777" w:rsidR="00C978F0" w:rsidRDefault="001D7F51" w:rsidP="003365A5">
            <w:pPr>
              <w:pStyle w:val="Tabletextprimarysource"/>
            </w:pPr>
            <w:r>
              <w:t xml:space="preserve">Insufficient data to recommend </w:t>
            </w:r>
            <w:r w:rsidR="0056531B">
              <w:t>notations for carcinogenicity or skin absorption.</w:t>
            </w:r>
          </w:p>
          <w:p w14:paraId="61A64F09" w14:textId="7419F3BA" w:rsidR="00DC18DB" w:rsidRPr="00DA352E" w:rsidRDefault="00DC18DB" w:rsidP="003365A5">
            <w:pPr>
              <w:pStyle w:val="Tabletextprimarysource"/>
            </w:pPr>
          </w:p>
        </w:tc>
      </w:tr>
      <w:tr w:rsidR="00C978F0" w:rsidRPr="00DA352E" w14:paraId="0E6A0B2C" w14:textId="77777777" w:rsidTr="00360314">
        <w:trPr>
          <w:gridAfter w:val="1"/>
          <w:wAfter w:w="8" w:type="pct"/>
          <w:cantSplit/>
        </w:trPr>
        <w:tc>
          <w:tcPr>
            <w:tcW w:w="4992" w:type="pct"/>
            <w:shd w:val="clear" w:color="auto" w:fill="F2F2F2" w:themeFill="background1" w:themeFillShade="F2"/>
          </w:tcPr>
          <w:p w14:paraId="73C602E5" w14:textId="41088074"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D81932">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sdt>
                  <w:sdtPr>
                    <w:id w:val="1941404966"/>
                    <w:placeholder>
                      <w:docPart w:val="16337A15EF104BF083C9E5094D927B77"/>
                    </w:placeholder>
                    <w:text/>
                  </w:sdtPr>
                  <w:sdtEndPr/>
                  <w:sdtContent>
                    <w:r w:rsidR="00D81932">
                      <w:t>NA</w:t>
                    </w:r>
                  </w:sdtContent>
                </w:sdt>
              </w:sdtContent>
            </w:sdt>
          </w:p>
        </w:tc>
      </w:tr>
      <w:tr w:rsidR="00C978F0" w:rsidRPr="00DA352E" w14:paraId="2008D281" w14:textId="77777777" w:rsidTr="00360314">
        <w:trPr>
          <w:gridAfter w:val="1"/>
          <w:wAfter w:w="8" w:type="pct"/>
          <w:cantSplit/>
        </w:trPr>
        <w:tc>
          <w:tcPr>
            <w:tcW w:w="4992" w:type="pct"/>
          </w:tcPr>
          <w:p w14:paraId="153B53C1" w14:textId="5B425E17" w:rsidR="00C978F0" w:rsidRPr="00DA352E" w:rsidRDefault="00D81932" w:rsidP="003365A5">
            <w:pPr>
              <w:pStyle w:val="Tabletextprimarysource"/>
            </w:pPr>
            <w:r>
              <w:t>No report</w:t>
            </w:r>
            <w:r w:rsidR="001849E9">
              <w:t>.</w:t>
            </w:r>
          </w:p>
        </w:tc>
      </w:tr>
      <w:tr w:rsidR="00DA352E" w:rsidRPr="00DA352E" w14:paraId="12BAB90D" w14:textId="77777777" w:rsidTr="00360314">
        <w:trPr>
          <w:gridAfter w:val="1"/>
          <w:wAfter w:w="8" w:type="pct"/>
          <w:cantSplit/>
        </w:trPr>
        <w:tc>
          <w:tcPr>
            <w:tcW w:w="4992" w:type="pct"/>
            <w:shd w:val="clear" w:color="auto" w:fill="F2F2F2" w:themeFill="background1" w:themeFillShade="F2"/>
          </w:tcPr>
          <w:p w14:paraId="0D806BF8" w14:textId="2210D91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D81932">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sdt>
                  <w:sdtPr>
                    <w:id w:val="-927812785"/>
                    <w:placeholder>
                      <w:docPart w:val="0DEFD8F29AEC4395BBE608DB42020EA9"/>
                    </w:placeholder>
                    <w:text/>
                  </w:sdtPr>
                  <w:sdtEndPr/>
                  <w:sdtContent>
                    <w:r w:rsidR="00D81932">
                      <w:t>NA</w:t>
                    </w:r>
                  </w:sdtContent>
                </w:sdt>
              </w:sdtContent>
            </w:sdt>
          </w:p>
        </w:tc>
      </w:tr>
      <w:tr w:rsidR="00DA352E" w:rsidRPr="00DA352E" w14:paraId="33AAF4A6" w14:textId="77777777" w:rsidTr="00360314">
        <w:trPr>
          <w:gridAfter w:val="1"/>
          <w:wAfter w:w="8" w:type="pct"/>
          <w:cantSplit/>
        </w:trPr>
        <w:tc>
          <w:tcPr>
            <w:tcW w:w="4992" w:type="pct"/>
          </w:tcPr>
          <w:p w14:paraId="2059E4CB" w14:textId="1C208155" w:rsidR="00DA352E" w:rsidRPr="00DA352E" w:rsidRDefault="00D81932" w:rsidP="003365A5">
            <w:pPr>
              <w:pStyle w:val="Tabletextprimarysource"/>
            </w:pPr>
            <w:r>
              <w:t>No report</w:t>
            </w:r>
            <w:r w:rsidR="001849E9">
              <w:t>.</w:t>
            </w:r>
          </w:p>
        </w:tc>
      </w:tr>
      <w:tr w:rsidR="00DA352E" w:rsidRPr="00DA352E" w14:paraId="605F758C" w14:textId="77777777" w:rsidTr="00360314">
        <w:trPr>
          <w:gridAfter w:val="1"/>
          <w:wAfter w:w="8" w:type="pct"/>
          <w:cantSplit/>
        </w:trPr>
        <w:tc>
          <w:tcPr>
            <w:tcW w:w="4992" w:type="pct"/>
            <w:shd w:val="clear" w:color="auto" w:fill="F2F2F2" w:themeFill="background1" w:themeFillShade="F2"/>
          </w:tcPr>
          <w:p w14:paraId="407840EC" w14:textId="2C543434" w:rsidR="00DA352E" w:rsidRPr="00DA352E" w:rsidRDefault="00DA352E" w:rsidP="0051509C">
            <w:pPr>
              <w:pStyle w:val="Tablerowheadingitalic"/>
              <w:tabs>
                <w:tab w:val="clear" w:pos="2268"/>
                <w:tab w:val="clear" w:pos="5670"/>
                <w:tab w:val="left" w:pos="1418"/>
                <w:tab w:val="left" w:pos="2552"/>
              </w:tabs>
            </w:pPr>
            <w:r w:rsidRPr="00DA352E">
              <w:lastRenderedPageBreak/>
              <w:t>HCOTN</w:t>
            </w:r>
            <w:r w:rsidR="00916EC0" w:rsidRPr="003365A5">
              <w:t xml:space="preserve"> </w:t>
            </w:r>
            <w:r w:rsidR="00916EC0" w:rsidRPr="003365A5">
              <w:tab/>
            </w:r>
            <w:sdt>
              <w:sdtPr>
                <w:id w:val="1543090908"/>
                <w:placeholder>
                  <w:docPart w:val="EA1708404F1C4A3BB080A0D8EEB67D1D"/>
                </w:placeholder>
                <w:text/>
              </w:sdtPr>
              <w:sdtEndPr/>
              <w:sdtContent>
                <w:r w:rsidR="00D81932" w:rsidRPr="00D81932">
                  <w:t>2002</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D81932">
                  <w:t>TWA: 5 mg/m</w:t>
                </w:r>
                <w:r w:rsidR="00D81932" w:rsidRPr="00D81932">
                  <w:rPr>
                    <w:vertAlign w:val="superscript"/>
                  </w:rPr>
                  <w:t>3</w:t>
                </w:r>
              </w:sdtContent>
            </w:sdt>
          </w:p>
        </w:tc>
      </w:tr>
      <w:tr w:rsidR="00DA352E" w:rsidRPr="00DA352E" w14:paraId="7050CB3E" w14:textId="77777777" w:rsidTr="00360314">
        <w:trPr>
          <w:gridAfter w:val="1"/>
          <w:wAfter w:w="8" w:type="pct"/>
          <w:cantSplit/>
        </w:trPr>
        <w:tc>
          <w:tcPr>
            <w:tcW w:w="4992" w:type="pct"/>
          </w:tcPr>
          <w:p w14:paraId="12BCAC15" w14:textId="2DB34B9D" w:rsidR="00DA352E" w:rsidRDefault="002644D1" w:rsidP="003365A5">
            <w:pPr>
              <w:pStyle w:val="Tabletextprimarysource"/>
            </w:pPr>
            <w:r>
              <w:t>Summary of additional information:</w:t>
            </w:r>
          </w:p>
          <w:p w14:paraId="4FD7857B" w14:textId="7EEC9492" w:rsidR="002644D1" w:rsidRDefault="00CA56B2" w:rsidP="003365A5">
            <w:pPr>
              <w:pStyle w:val="Tabletextprimarysource"/>
            </w:pPr>
            <w:r>
              <w:t xml:space="preserve">Critical effects are lung fibrosis and allergic granulomatosis. </w:t>
            </w:r>
            <w:r w:rsidR="002644D1">
              <w:t>Agency considers database insufficient to assess suitability of current administrative OEL of 5 mg/m</w:t>
            </w:r>
            <w:r w:rsidR="002644D1">
              <w:rPr>
                <w:vertAlign w:val="superscript"/>
              </w:rPr>
              <w:t>3</w:t>
            </w:r>
            <w:r w:rsidR="002644D1">
              <w:t>.</w:t>
            </w:r>
            <w:r w:rsidR="00531B92">
              <w:t xml:space="preserve"> Certain compounds, including sodium zirconium </w:t>
            </w:r>
            <w:r w:rsidR="007F7B64">
              <w:t>lactate</w:t>
            </w:r>
            <w:r w:rsidR="00531B92">
              <w:t xml:space="preserve">, zirconium aluminium glycinate, were sensitising to skin in animals and humans; </w:t>
            </w:r>
            <w:r w:rsidR="007F7B64">
              <w:t>however,</w:t>
            </w:r>
            <w:r w:rsidR="00531B92">
              <w:t xml:space="preserve"> zirconium tetrachloride was not.</w:t>
            </w:r>
          </w:p>
          <w:p w14:paraId="407B1FFA" w14:textId="5268A280" w:rsidR="002644D1" w:rsidRDefault="002644D1" w:rsidP="003365A5">
            <w:pPr>
              <w:pStyle w:val="Tabletextprimarysource"/>
            </w:pPr>
            <w:r>
              <w:t>Human data:</w:t>
            </w:r>
          </w:p>
          <w:p w14:paraId="4D0790AC" w14:textId="77777777" w:rsidR="002644D1" w:rsidRDefault="002644D1" w:rsidP="002644D1">
            <w:pPr>
              <w:pStyle w:val="Tabletextprimarysource"/>
              <w:numPr>
                <w:ilvl w:val="0"/>
                <w:numId w:val="1"/>
              </w:numPr>
            </w:pPr>
            <w:r>
              <w:t>No increase in mortality from all causes in antimony smelter workers exposed exclusively to zirconium silicate</w:t>
            </w:r>
          </w:p>
          <w:p w14:paraId="450AEAF7" w14:textId="73F19B99" w:rsidR="002644D1" w:rsidRDefault="002644D1" w:rsidP="002644D1">
            <w:pPr>
              <w:pStyle w:val="Tabletextprimarysource"/>
              <w:numPr>
                <w:ilvl w:val="0"/>
                <w:numId w:val="1"/>
              </w:numPr>
            </w:pPr>
            <w:r>
              <w:t>No evidence for cumulative effects from zirconium dust exposure including radiographic changes and lung function impairment in workers exposed at 3.4 mg/m</w:t>
            </w:r>
            <w:r>
              <w:rPr>
                <w:vertAlign w:val="superscript"/>
              </w:rPr>
              <w:t>3</w:t>
            </w:r>
            <w:r>
              <w:t xml:space="preserve"> (n=178, average duration 10 yr)</w:t>
            </w:r>
          </w:p>
          <w:p w14:paraId="530C002C" w14:textId="7751A840" w:rsidR="00531B92" w:rsidRDefault="00531B92" w:rsidP="002644D1">
            <w:pPr>
              <w:pStyle w:val="Tabletextprimarysource"/>
              <w:numPr>
                <w:ilvl w:val="0"/>
                <w:numId w:val="1"/>
              </w:numPr>
            </w:pPr>
            <w:r>
              <w:t xml:space="preserve">No significant radiographic changes found in exposed workers reported in 1 study (n=32, 1–17 yr duration, also </w:t>
            </w:r>
            <w:r w:rsidR="00F1151E">
              <w:t>reported</w:t>
            </w:r>
            <w:r>
              <w:t xml:space="preserve"> in DFG, 1999); </w:t>
            </w:r>
            <w:r w:rsidR="005E24BF">
              <w:t xml:space="preserve">HCOTN </w:t>
            </w:r>
            <w:r>
              <w:t>does not consider results in its evaluation du</w:t>
            </w:r>
            <w:r w:rsidR="007F7B64">
              <w:t>e</w:t>
            </w:r>
            <w:r>
              <w:t xml:space="preserve"> to co-exposure to silicon carbide</w:t>
            </w:r>
            <w:r w:rsidR="009327CA">
              <w:t>.</w:t>
            </w:r>
          </w:p>
          <w:p w14:paraId="3FA72CC0" w14:textId="132ED887" w:rsidR="00531B92" w:rsidRDefault="00531B92" w:rsidP="00531B92">
            <w:pPr>
              <w:pStyle w:val="Tabletextprimarysource"/>
            </w:pPr>
            <w:r>
              <w:t>Animal data:</w:t>
            </w:r>
          </w:p>
          <w:p w14:paraId="350E7B80" w14:textId="12B0A513" w:rsidR="00531B92" w:rsidRPr="00531B92" w:rsidRDefault="00531B92" w:rsidP="00531B92">
            <w:pPr>
              <w:pStyle w:val="Tabletextprimarysource"/>
              <w:numPr>
                <w:ilvl w:val="0"/>
                <w:numId w:val="1"/>
              </w:numPr>
            </w:pPr>
            <w:r>
              <w:t>Sub</w:t>
            </w:r>
            <w:r w:rsidR="005E24BF">
              <w:t>-</w:t>
            </w:r>
            <w:r>
              <w:t xml:space="preserve">chronic inhalation study with exposure at </w:t>
            </w:r>
            <w:r w:rsidRPr="00531B92">
              <w:t>4.7 and 36 mg Zr/m</w:t>
            </w:r>
            <w:r w:rsidRPr="00531B92">
              <w:rPr>
                <w:vertAlign w:val="superscript"/>
              </w:rPr>
              <w:t>3</w:t>
            </w:r>
            <w:r w:rsidRPr="00531B92">
              <w:t xml:space="preserve"> as zirconium lactate or 5.4 mg Zr/m</w:t>
            </w:r>
            <w:r w:rsidRPr="00531B92">
              <w:rPr>
                <w:vertAlign w:val="superscript"/>
              </w:rPr>
              <w:t>3</w:t>
            </w:r>
            <w:r w:rsidRPr="00531B92">
              <w:t xml:space="preserve"> (rats, hamsters, guinea pigs, 7 h/d, 5 d/wk, 225 d</w:t>
            </w:r>
            <w:r>
              <w:t xml:space="preserve">, also </w:t>
            </w:r>
            <w:r w:rsidR="00F1151E">
              <w:t>reported</w:t>
            </w:r>
            <w:r>
              <w:t xml:space="preserve"> in DFG, 1999</w:t>
            </w:r>
            <w:r w:rsidRPr="00531B92">
              <w:t>)</w:t>
            </w:r>
            <w:r>
              <w:t xml:space="preserve"> not considered in evaluation due to limited study design</w:t>
            </w:r>
          </w:p>
          <w:p w14:paraId="3409411C" w14:textId="0027941F" w:rsidR="00531B92" w:rsidRDefault="00BE3A1B" w:rsidP="00531B92">
            <w:pPr>
              <w:pStyle w:val="Tabletextprimarysource"/>
              <w:numPr>
                <w:ilvl w:val="0"/>
                <w:numId w:val="1"/>
              </w:numPr>
            </w:pPr>
            <w:r>
              <w:t xml:space="preserve">Positive mutagenicity </w:t>
            </w:r>
            <w:r>
              <w:rPr>
                <w:i/>
              </w:rPr>
              <w:t>in vitro</w:t>
            </w:r>
            <w:r>
              <w:t xml:space="preserve"> in bacteria</w:t>
            </w:r>
            <w:r w:rsidR="007472E8">
              <w:t xml:space="preserve"> and</w:t>
            </w:r>
            <w:r>
              <w:t xml:space="preserve"> human leukocytes; chromosomal aberrations at oral doses of 220–2,250 mg/kg </w:t>
            </w:r>
            <w:r>
              <w:rPr>
                <w:i/>
              </w:rPr>
              <w:t>in vivo</w:t>
            </w:r>
            <w:r>
              <w:t xml:space="preserve"> (mice).</w:t>
            </w:r>
          </w:p>
          <w:p w14:paraId="492D7791" w14:textId="23E219EC" w:rsidR="00DC18DB" w:rsidRPr="002644D1" w:rsidRDefault="00DC18DB" w:rsidP="00DC18DB">
            <w:pPr>
              <w:pStyle w:val="Tabletextprimarysource"/>
            </w:pP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1"/>
        <w:gridCol w:w="422"/>
        <w:gridCol w:w="661"/>
        <w:gridCol w:w="6452"/>
      </w:tblGrid>
      <w:tr w:rsidR="004966BF" w:rsidRPr="00263255" w14:paraId="6AE89AB3" w14:textId="77777777" w:rsidTr="00360314">
        <w:trPr>
          <w:cnfStyle w:val="100000000000" w:firstRow="1" w:lastRow="0" w:firstColumn="0" w:lastColumn="0" w:oddVBand="0" w:evenVBand="0" w:oddHBand="0" w:evenHBand="0" w:firstRowFirstColumn="0" w:firstRowLastColumn="0" w:lastRowFirstColumn="0" w:lastRowLastColumn="0"/>
          <w:cantSplit/>
          <w:trHeight w:val="393"/>
          <w:tblHeader/>
        </w:trPr>
        <w:tc>
          <w:tcPr>
            <w:tcW w:w="1491"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52"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1B5CF9D" w14:textId="77777777" w:rsidTr="00360314">
        <w:trPr>
          <w:cantSplit/>
        </w:trPr>
        <w:tc>
          <w:tcPr>
            <w:tcW w:w="1491" w:type="dxa"/>
          </w:tcPr>
          <w:p w14:paraId="3021C8F4" w14:textId="77777777" w:rsidR="004966BF" w:rsidRPr="004C23F4" w:rsidRDefault="004966BF" w:rsidP="00224EE2">
            <w:pPr>
              <w:pStyle w:val="Tablefont"/>
            </w:pPr>
            <w:r>
              <w:t>ECHA</w:t>
            </w:r>
          </w:p>
        </w:tc>
        <w:tc>
          <w:tcPr>
            <w:tcW w:w="422" w:type="dxa"/>
          </w:tcPr>
          <w:p w14:paraId="1B271840" w14:textId="4AA6A97C" w:rsidR="004966BF" w:rsidRPr="00CE617F" w:rsidRDefault="005F55A6"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F04F20">
                  <w:rPr>
                    <w:rStyle w:val="checkbox"/>
                  </w:rPr>
                  <w:t></w:t>
                </w:r>
              </w:sdtContent>
            </w:sdt>
          </w:p>
        </w:tc>
        <w:tc>
          <w:tcPr>
            <w:tcW w:w="661" w:type="dxa"/>
          </w:tcPr>
          <w:p w14:paraId="45DA2066" w14:textId="3D650977" w:rsidR="004966BF" w:rsidRPr="004C23F4" w:rsidRDefault="00F04F20" w:rsidP="00717D45">
            <w:pPr>
              <w:pStyle w:val="Tablefont"/>
              <w:rPr>
                <w:rStyle w:val="checkbox"/>
                <w:rFonts w:ascii="Arial" w:hAnsi="Arial" w:cs="Arial"/>
              </w:rPr>
            </w:pPr>
            <w:r>
              <w:rPr>
                <w:rStyle w:val="checkbox"/>
                <w:rFonts w:ascii="Arial" w:hAnsi="Arial" w:cs="Arial"/>
              </w:rPr>
              <w:t>2020</w:t>
            </w:r>
          </w:p>
        </w:tc>
        <w:tc>
          <w:tcPr>
            <w:tcW w:w="6452" w:type="dxa"/>
          </w:tcPr>
          <w:p w14:paraId="5C19B807" w14:textId="1A28B91B" w:rsidR="004966BF" w:rsidRPr="00F04F20" w:rsidRDefault="00F04F20" w:rsidP="00717D45">
            <w:pPr>
              <w:pStyle w:val="Tablefont"/>
              <w:numPr>
                <w:ilvl w:val="0"/>
                <w:numId w:val="1"/>
              </w:numPr>
              <w:rPr>
                <w:rStyle w:val="checkbox"/>
                <w:rFonts w:ascii="Arial" w:hAnsi="Arial" w:cs="Arial"/>
              </w:rPr>
            </w:pPr>
            <w:r>
              <w:rPr>
                <w:rFonts w:cs="Arial"/>
              </w:rPr>
              <w:t>DNEL adopted from ACGIH (2018) TLV-TWA recommendation in the absence of additional information.</w:t>
            </w:r>
          </w:p>
        </w:tc>
      </w:tr>
      <w:tr w:rsidR="004966BF" w:rsidRPr="004C23F4" w14:paraId="20C4323A" w14:textId="77777777" w:rsidTr="00360314">
        <w:trPr>
          <w:cantSplit/>
        </w:trPr>
        <w:tc>
          <w:tcPr>
            <w:tcW w:w="1491" w:type="dxa"/>
          </w:tcPr>
          <w:p w14:paraId="76D0E357" w14:textId="77777777" w:rsidR="004966BF" w:rsidRDefault="004966BF" w:rsidP="00224EE2">
            <w:pPr>
              <w:pStyle w:val="Tablefont"/>
            </w:pPr>
            <w:r>
              <w:t>US NIOSH</w:t>
            </w:r>
          </w:p>
        </w:tc>
        <w:tc>
          <w:tcPr>
            <w:tcW w:w="422" w:type="dxa"/>
          </w:tcPr>
          <w:p w14:paraId="46AE65C2" w14:textId="7863A020" w:rsidR="004966BF" w:rsidRDefault="005F55A6"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F04F20">
                  <w:rPr>
                    <w:rStyle w:val="checkbox"/>
                  </w:rPr>
                  <w:t></w:t>
                </w:r>
              </w:sdtContent>
            </w:sdt>
          </w:p>
        </w:tc>
        <w:tc>
          <w:tcPr>
            <w:tcW w:w="661" w:type="dxa"/>
          </w:tcPr>
          <w:p w14:paraId="2B82A5B6" w14:textId="04EBB88B" w:rsidR="004966BF" w:rsidRPr="004C23F4" w:rsidRDefault="009327CA" w:rsidP="00717D45">
            <w:pPr>
              <w:pStyle w:val="Tablefont"/>
              <w:rPr>
                <w:rStyle w:val="checkbox"/>
                <w:rFonts w:ascii="Arial" w:hAnsi="Arial" w:cs="Arial"/>
              </w:rPr>
            </w:pPr>
            <w:r>
              <w:rPr>
                <w:rStyle w:val="checkbox"/>
                <w:rFonts w:ascii="Arial" w:hAnsi="Arial" w:cs="Arial"/>
              </w:rPr>
              <w:t>1994</w:t>
            </w:r>
          </w:p>
        </w:tc>
        <w:tc>
          <w:tcPr>
            <w:tcW w:w="6452" w:type="dxa"/>
          </w:tcPr>
          <w:p w14:paraId="4E1BEF9D" w14:textId="3567881F" w:rsidR="004966BF" w:rsidRPr="004C23F4" w:rsidRDefault="00BE3A1B" w:rsidP="009327CA">
            <w:pPr>
              <w:pStyle w:val="ListBullet"/>
              <w:tabs>
                <w:tab w:val="clear" w:pos="360"/>
              </w:tabs>
              <w:ind w:left="717"/>
              <w:rPr>
                <w:rStyle w:val="checkbox"/>
                <w:rFonts w:ascii="Arial" w:hAnsi="Arial" w:cs="Arial"/>
              </w:rPr>
            </w:pPr>
            <w:r w:rsidRPr="00BE3A1B">
              <w:t>IDLH based on</w:t>
            </w:r>
            <w:r w:rsidR="00F04F20">
              <w:t xml:space="preserve"> acute toxicity data in animals.</w:t>
            </w:r>
          </w:p>
        </w:tc>
      </w:tr>
    </w:tbl>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328EBB70" w14:textId="77777777" w:rsidTr="00F04F20">
        <w:trPr>
          <w:trHeight w:val="454"/>
          <w:tblHeader/>
        </w:trPr>
        <w:tc>
          <w:tcPr>
            <w:tcW w:w="6597"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B8F4675" w14:textId="6823504B" w:rsidR="002E0D61" w:rsidRDefault="00F04F20" w:rsidP="00C3091E">
                <w:pPr>
                  <w:pStyle w:val="Tablefont"/>
                  <w:keepNext/>
                  <w:keepLines/>
                  <w:spacing w:before="40" w:after="40"/>
                </w:pPr>
                <w:r>
                  <w:t>Insufficient data</w:t>
                </w:r>
              </w:p>
            </w:tc>
          </w:sdtContent>
        </w:sdt>
      </w:tr>
      <w:tr w:rsidR="008A36CF" w14:paraId="2618A4C0" w14:textId="77777777" w:rsidTr="00F04F20">
        <w:trPr>
          <w:trHeight w:val="454"/>
        </w:trPr>
        <w:tc>
          <w:tcPr>
            <w:tcW w:w="6597" w:type="dxa"/>
            <w:vAlign w:val="center"/>
          </w:tcPr>
          <w:p w14:paraId="28B995B9"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2B1B278" w14:textId="32F5C474" w:rsidR="008A36CF" w:rsidRDefault="00F04F20" w:rsidP="008A36CF">
                <w:pPr>
                  <w:pStyle w:val="Tablefont"/>
                  <w:keepNext/>
                  <w:keepLines/>
                  <w:spacing w:before="40" w:after="40"/>
                </w:pPr>
                <w:r>
                  <w:t>Insufficient data</w:t>
                </w:r>
              </w:p>
            </w:tc>
          </w:sdtContent>
        </w:sdt>
      </w:tr>
      <w:tr w:rsidR="00DC18DB" w14:paraId="4D6DDFA3" w14:textId="77777777" w:rsidTr="0086107A">
        <w:trPr>
          <w:trHeight w:val="454"/>
        </w:trPr>
        <w:sdt>
          <w:sdtPr>
            <w:rPr>
              <w:b/>
            </w:rPr>
            <w:id w:val="1830936485"/>
            <w:placeholder>
              <w:docPart w:val="CD8704EB51594046987501A2344AC456"/>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F36B73" w14:textId="001CD763" w:rsidR="00DC18DB" w:rsidRDefault="00DC18DB"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360314">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360314">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06EC146C" w:rsidR="00687890" w:rsidRPr="00DD2F9B" w:rsidRDefault="00D81932" w:rsidP="00DD2F9B">
            <w:pPr>
              <w:pStyle w:val="Tablefont"/>
            </w:pPr>
            <w:r>
              <w:t>—</w:t>
            </w:r>
          </w:p>
        </w:tc>
      </w:tr>
      <w:tr w:rsidR="007925F0" w:rsidRPr="004C23F4" w14:paraId="2A0C13EF" w14:textId="77777777" w:rsidTr="00360314">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4C7C806A" w:rsidR="007925F0" w:rsidRPr="00DD2F9B" w:rsidRDefault="00D81932" w:rsidP="00DD2F9B">
            <w:pPr>
              <w:pStyle w:val="Tablefont"/>
            </w:pPr>
            <w:r>
              <w:t>—</w:t>
            </w:r>
          </w:p>
        </w:tc>
      </w:tr>
      <w:tr w:rsidR="00AF483F" w:rsidRPr="004C23F4" w14:paraId="4C1044B3" w14:textId="77777777" w:rsidTr="00360314">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63A5BADA" w:rsidR="00AF483F" w:rsidRPr="00DD2F9B" w:rsidRDefault="00D81932" w:rsidP="00DD2F9B">
            <w:pPr>
              <w:pStyle w:val="Tablefont"/>
            </w:pPr>
            <w:r>
              <w:t>NA</w:t>
            </w:r>
          </w:p>
        </w:tc>
      </w:tr>
      <w:tr w:rsidR="00687890" w:rsidRPr="004C23F4" w14:paraId="7812F0EC" w14:textId="77777777" w:rsidTr="00360314">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4CFDEBDB" w:rsidR="00687890" w:rsidRPr="00DD2F9B" w:rsidRDefault="00BE3A1B" w:rsidP="00DD2F9B">
            <w:pPr>
              <w:pStyle w:val="Tablefont"/>
            </w:pPr>
            <w:r>
              <w:t>—</w:t>
            </w:r>
          </w:p>
        </w:tc>
      </w:tr>
      <w:tr w:rsidR="00E41A26" w:rsidRPr="004C23F4" w14:paraId="403F0800" w14:textId="77777777" w:rsidTr="00360314">
        <w:trPr>
          <w:cantSplit/>
        </w:trPr>
        <w:tc>
          <w:tcPr>
            <w:tcW w:w="3227" w:type="dxa"/>
          </w:tcPr>
          <w:p w14:paraId="09B172BE" w14:textId="77777777" w:rsidR="00E41A26" w:rsidRDefault="00E41A26" w:rsidP="00F4402E">
            <w:pPr>
              <w:pStyle w:val="Tablefont"/>
            </w:pPr>
            <w:r>
              <w:lastRenderedPageBreak/>
              <w:t>ECHA</w:t>
            </w:r>
          </w:p>
        </w:tc>
        <w:tc>
          <w:tcPr>
            <w:tcW w:w="6015" w:type="dxa"/>
          </w:tcPr>
          <w:p w14:paraId="778B90CD" w14:textId="187E8F0A" w:rsidR="00E41A26" w:rsidRPr="00DD2F9B" w:rsidRDefault="00D81932" w:rsidP="00DD2F9B">
            <w:pPr>
              <w:pStyle w:val="Tablefont"/>
            </w:pPr>
            <w:r>
              <w:t>—</w:t>
            </w:r>
          </w:p>
        </w:tc>
      </w:tr>
      <w:tr w:rsidR="002E0D61" w:rsidRPr="004C23F4" w14:paraId="57A490EF" w14:textId="77777777" w:rsidTr="00360314">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6A813FB3" w:rsidR="002E0D61" w:rsidRPr="00DD2F9B" w:rsidRDefault="00D81932" w:rsidP="00DD2F9B">
            <w:pPr>
              <w:pStyle w:val="Tablefont"/>
            </w:pPr>
            <w:r w:rsidRPr="00D81932">
              <w:t>Carcinogenicity – A4</w:t>
            </w:r>
          </w:p>
        </w:tc>
      </w:tr>
      <w:tr w:rsidR="002E0D61" w:rsidRPr="004C23F4" w14:paraId="43FA3590" w14:textId="77777777" w:rsidTr="00360314">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403521EA" w:rsidR="002E0D61" w:rsidRPr="00DD2F9B" w:rsidRDefault="00D81932" w:rsidP="00DD2F9B">
            <w:pPr>
              <w:pStyle w:val="Tablefont"/>
            </w:pPr>
            <w:r w:rsidRPr="00D81932">
              <w:t>Sa (respiratory sensitiser)</w:t>
            </w:r>
            <w:r>
              <w:t xml:space="preserve">, </w:t>
            </w:r>
            <w:r w:rsidRPr="00D81932">
              <w:t>Sh (dermal sensitiser)</w:t>
            </w:r>
          </w:p>
        </w:tc>
      </w:tr>
      <w:tr w:rsidR="002E0D61" w:rsidRPr="004C23F4" w14:paraId="2AC7B866" w14:textId="77777777" w:rsidTr="00360314">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78F0EBD8" w:rsidR="002E0D61" w:rsidRPr="00DD2F9B" w:rsidRDefault="00D81932" w:rsidP="00DD2F9B">
            <w:pPr>
              <w:pStyle w:val="Tablefont"/>
            </w:pPr>
            <w:r>
              <w:t>NA</w:t>
            </w:r>
          </w:p>
        </w:tc>
      </w:tr>
      <w:tr w:rsidR="002E0D61" w:rsidRPr="004C23F4" w14:paraId="1BE6EC07" w14:textId="77777777" w:rsidTr="00360314">
        <w:trPr>
          <w:cantSplit/>
        </w:trPr>
        <w:tc>
          <w:tcPr>
            <w:tcW w:w="3227" w:type="dxa"/>
          </w:tcPr>
          <w:p w14:paraId="4AF9E8D6" w14:textId="77777777" w:rsidR="004079B4" w:rsidRDefault="002E0D61" w:rsidP="00F4402E">
            <w:pPr>
              <w:pStyle w:val="Tablefont"/>
            </w:pPr>
            <w:r>
              <w:t>HCOTN</w:t>
            </w:r>
          </w:p>
        </w:tc>
        <w:tc>
          <w:tcPr>
            <w:tcW w:w="6015" w:type="dxa"/>
          </w:tcPr>
          <w:p w14:paraId="70663407" w14:textId="5D8F8F77" w:rsidR="002E0D61" w:rsidRPr="00DD2F9B" w:rsidRDefault="00D81932" w:rsidP="00DD2F9B">
            <w:pPr>
              <w:pStyle w:val="Tablefont"/>
            </w:pPr>
            <w:r>
              <w:t>—</w:t>
            </w:r>
          </w:p>
        </w:tc>
      </w:tr>
      <w:tr w:rsidR="00386093" w:rsidRPr="004C23F4" w14:paraId="5F6A6A8E" w14:textId="77777777" w:rsidTr="00360314">
        <w:trPr>
          <w:cantSplit/>
        </w:trPr>
        <w:tc>
          <w:tcPr>
            <w:tcW w:w="3227" w:type="dxa"/>
          </w:tcPr>
          <w:p w14:paraId="04F98936" w14:textId="77777777" w:rsidR="004079B4" w:rsidRDefault="00386093" w:rsidP="00F4402E">
            <w:pPr>
              <w:pStyle w:val="Tablefont"/>
            </w:pPr>
            <w:r>
              <w:t>IARC</w:t>
            </w:r>
          </w:p>
        </w:tc>
        <w:tc>
          <w:tcPr>
            <w:tcW w:w="6015" w:type="dxa"/>
          </w:tcPr>
          <w:p w14:paraId="741186B9" w14:textId="19309757" w:rsidR="00386093" w:rsidRPr="00DD2F9B" w:rsidRDefault="009D10DE" w:rsidP="00DD2F9B">
            <w:pPr>
              <w:pStyle w:val="Tablefont"/>
            </w:pPr>
            <w:r>
              <w:t>NA</w:t>
            </w:r>
          </w:p>
        </w:tc>
      </w:tr>
      <w:tr w:rsidR="00386093" w:rsidRPr="004C23F4" w14:paraId="7461DB0E" w14:textId="77777777" w:rsidTr="00360314">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5E1C7AD2" w:rsidR="00386093" w:rsidRPr="00DD2F9B" w:rsidRDefault="009D10DE"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3CED1908" w:rsidR="00474E33" w:rsidRDefault="00474E33" w:rsidP="00474E33">
      <w:pPr>
        <w:pStyle w:val="Heading3"/>
      </w:pPr>
      <w:r>
        <w:t>Skin notation assessment</w:t>
      </w:r>
    </w:p>
    <w:p w14:paraId="6EE61501" w14:textId="7776CB4E" w:rsidR="0060752F" w:rsidRPr="0060752F" w:rsidRDefault="0060752F" w:rsidP="0060752F">
      <w:pPr>
        <w:rPr>
          <w:lang w:eastAsia="en-AU"/>
        </w:rPr>
      </w:pPr>
      <w:r>
        <w:t>Insufficient data to assign a skin notation</w:t>
      </w:r>
      <w:r w:rsidR="00DC18DB">
        <w:t>.</w:t>
      </w:r>
    </w:p>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73711E04" w:rsidR="00EB3D1B" w:rsidRDefault="009D10DE"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2B8B0F9F" w:rsidR="001B79E5" w:rsidRDefault="009D10DE" w:rsidP="001B79E5">
                <w:pPr>
                  <w:pStyle w:val="Tablefont"/>
                </w:pPr>
                <w:r w:rsidRPr="009D10DE">
                  <w:t>91.224 u</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77058FB4" w:rsidR="00A31D99" w:rsidRDefault="00A0643F" w:rsidP="00A174CC">
            <w:pPr>
              <w:pStyle w:val="Tablefont"/>
            </w:pPr>
            <w:r>
              <w:t xml:space="preserve">1 ppm = </w:t>
            </w:r>
            <w:sdt>
              <w:sdtPr>
                <w:id w:val="-371151491"/>
                <w:placeholder>
                  <w:docPart w:val="A7231FB73EFF4B2B92EB3BD21C0CEA01"/>
                </w:placeholder>
              </w:sdtPr>
              <w:sdtEndPr/>
              <w:sdtContent>
                <w:r w:rsidR="00FF220F">
                  <w:t>NA</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FF220F" w:rsidRPr="00FF220F">
                  <w:t>NA</w:t>
                </w:r>
              </w:sdtContent>
            </w:sdt>
            <w:r w:rsidRPr="00FF220F">
              <w:t xml:space="preserve"> </w:t>
            </w:r>
            <w:r>
              <w:t>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5F55A6"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3"/>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51FB2B57" w:rsidR="008E4F1F" w:rsidRDefault="008E4F1F" w:rsidP="008E4F1F">
      <w:pPr>
        <w:rPr>
          <w:b/>
        </w:rPr>
      </w:pPr>
      <w:r w:rsidRPr="002022B6">
        <w:t>Deutsche Forschungsgemeinschaft (DFG)</w:t>
      </w:r>
      <w:r>
        <w:t xml:space="preserve"> (</w:t>
      </w:r>
      <w:r w:rsidR="009D10DE">
        <w:t>1998</w:t>
      </w:r>
      <w:r>
        <w:t xml:space="preserve">) </w:t>
      </w:r>
      <w:r w:rsidR="009D10DE" w:rsidRPr="009D10DE">
        <w:t>Zirconium and its compounds</w:t>
      </w:r>
      <w:r>
        <w:t xml:space="preserve"> – MAK value documentation.</w:t>
      </w:r>
    </w:p>
    <w:p w14:paraId="66C47B6B" w14:textId="684EDECA" w:rsidR="00F04F20" w:rsidRDefault="008E4F1F" w:rsidP="008E4F1F">
      <w:r w:rsidRPr="002022B6">
        <w:lastRenderedPageBreak/>
        <w:t>Health Council of the Netherlands</w:t>
      </w:r>
      <w:r>
        <w:t xml:space="preserve"> (HCOTN) (</w:t>
      </w:r>
      <w:r w:rsidR="009D10DE" w:rsidRPr="009D10DE">
        <w:t>2002</w:t>
      </w:r>
      <w:r>
        <w:t xml:space="preserve">) </w:t>
      </w:r>
      <w:r w:rsidR="009D10DE" w:rsidRPr="009D10DE">
        <w:t>Zirconium and zirconium compounds</w:t>
      </w:r>
      <w:r w:rsidRPr="005F7416">
        <w:t xml:space="preserve">. Health-based calculated occupational cancer risk values. The Hague: Health Council of the Netherlands; publication no. </w:t>
      </w:r>
      <w:r w:rsidR="009D10DE" w:rsidRPr="009D10DE">
        <w:t>2000/15OSH/059</w:t>
      </w:r>
      <w:r>
        <w:t>.</w:t>
      </w:r>
    </w:p>
    <w:p w14:paraId="69813714" w14:textId="4CDE9A01" w:rsidR="00F04F20" w:rsidRPr="00F04F20" w:rsidRDefault="00F04F20" w:rsidP="008E4F1F">
      <w:r>
        <w:t xml:space="preserve">European Chemicals Agency (ECHA) (2020) </w:t>
      </w:r>
      <w:r w:rsidRPr="00F04F20">
        <w:t>Zirconium</w:t>
      </w:r>
      <w:r>
        <w:t xml:space="preserve"> – REACH assessment.</w:t>
      </w:r>
    </w:p>
    <w:p w14:paraId="77EFB18B" w14:textId="63ADDF9A" w:rsidR="008E4F1F" w:rsidRDefault="008E4F1F" w:rsidP="008E4F1F">
      <w:pPr>
        <w:rPr>
          <w:b/>
        </w:rPr>
      </w:pPr>
      <w:r w:rsidRPr="00D86E03">
        <w:t>US National Institute for Occupational Safety and Health (NIOSH)</w:t>
      </w:r>
      <w:r>
        <w:t xml:space="preserve"> (</w:t>
      </w:r>
      <w:r w:rsidR="009D10DE" w:rsidRPr="009D10DE">
        <w:t>1994</w:t>
      </w:r>
      <w:r>
        <w:t xml:space="preserve">) Immediately dangerous to life or health concentrations – </w:t>
      </w:r>
      <w:r w:rsidR="009D10DE" w:rsidRPr="009D10DE">
        <w:t>Zirconium compounds (as Zr)</w:t>
      </w:r>
      <w:r>
        <w:t>.</w:t>
      </w: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13A95" w14:textId="77777777" w:rsidR="006F7CC2" w:rsidRDefault="006F7CC2" w:rsidP="00F43AD5">
      <w:pPr>
        <w:spacing w:after="0" w:line="240" w:lineRule="auto"/>
      </w:pPr>
      <w:r>
        <w:separator/>
      </w:r>
    </w:p>
  </w:endnote>
  <w:endnote w:type="continuationSeparator" w:id="0">
    <w:p w14:paraId="6FFE7E82" w14:textId="77777777" w:rsidR="006F7CC2" w:rsidRDefault="006F7CC2"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63809A36" w:rsidR="006B7249" w:rsidRDefault="006B7249" w:rsidP="0034744C">
        <w:pPr>
          <w:pStyle w:val="Footer"/>
          <w:rPr>
            <w:sz w:val="18"/>
            <w:szCs w:val="18"/>
          </w:rPr>
        </w:pPr>
        <w:r w:rsidRPr="00D81932">
          <w:rPr>
            <w:b/>
            <w:sz w:val="18"/>
            <w:szCs w:val="18"/>
          </w:rPr>
          <w:t xml:space="preserve">Zirconium compounds (as Zr) </w:t>
        </w:r>
        <w:r>
          <w:rPr>
            <w:b/>
            <w:sz w:val="18"/>
            <w:szCs w:val="18"/>
          </w:rPr>
          <w:t>(</w:t>
        </w:r>
        <w:r w:rsidRPr="00D81932">
          <w:rPr>
            <w:b/>
            <w:sz w:val="18"/>
            <w:szCs w:val="18"/>
          </w:rPr>
          <w:t>7440-67-7</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sidR="00150134">
          <w:rPr>
            <w:sz w:val="18"/>
            <w:szCs w:val="18"/>
          </w:rPr>
          <w:t>20</w:t>
        </w:r>
      </w:p>
      <w:p w14:paraId="2D517F5E" w14:textId="49BEF238" w:rsidR="006B7249" w:rsidRPr="00F43AD5" w:rsidRDefault="006B7249"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D25F0A">
          <w:rPr>
            <w:noProof/>
            <w:sz w:val="18"/>
            <w:szCs w:val="18"/>
          </w:rPr>
          <w:t>7</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DF9BC" w14:textId="77777777" w:rsidR="006F7CC2" w:rsidRDefault="006F7CC2" w:rsidP="00F43AD5">
      <w:pPr>
        <w:spacing w:after="0" w:line="240" w:lineRule="auto"/>
      </w:pPr>
      <w:r>
        <w:separator/>
      </w:r>
    </w:p>
  </w:footnote>
  <w:footnote w:type="continuationSeparator" w:id="0">
    <w:p w14:paraId="1EE1C29B" w14:textId="77777777" w:rsidR="006F7CC2" w:rsidRDefault="006F7CC2"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6F128" w14:textId="3835BDC8" w:rsidR="00360314" w:rsidRDefault="00360314" w:rsidP="00360314">
    <w:pPr>
      <w:pStyle w:val="Header"/>
      <w:jc w:val="right"/>
    </w:pPr>
    <w:r>
      <w:rPr>
        <w:noProof/>
        <w:lang w:eastAsia="en-AU"/>
      </w:rPr>
      <w:drawing>
        <wp:inline distT="0" distB="0" distL="0" distR="0" wp14:anchorId="748E6EA0" wp14:editId="39C987F6">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4DAA8792" w14:textId="27215AE4" w:rsidR="006B7249" w:rsidRPr="00360314" w:rsidRDefault="006B7249" w:rsidP="00360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6414" w14:textId="5637CEB9" w:rsidR="00360314" w:rsidRDefault="00360314" w:rsidP="00360314">
    <w:pPr>
      <w:pStyle w:val="Header"/>
      <w:jc w:val="right"/>
    </w:pPr>
    <w:r>
      <w:rPr>
        <w:noProof/>
        <w:lang w:eastAsia="en-AU"/>
      </w:rPr>
      <w:drawing>
        <wp:inline distT="0" distB="0" distL="0" distR="0" wp14:anchorId="02EF4269" wp14:editId="11D318A7">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71F09FB4" w14:textId="196FF5E6" w:rsidR="006B7249" w:rsidRDefault="006B7249"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AAAFFCA"/>
    <w:lvl w:ilvl="0">
      <w:start w:val="1"/>
      <w:numFmt w:val="decimal"/>
      <w:pStyle w:val="ListNumber3"/>
      <w:lvlText w:val="%1."/>
      <w:lvlJc w:val="left"/>
      <w:pPr>
        <w:tabs>
          <w:tab w:val="num" w:pos="926"/>
        </w:tabs>
        <w:ind w:left="926" w:hanging="360"/>
      </w:pPr>
    </w:lvl>
  </w:abstractNum>
  <w:abstractNum w:abstractNumId="1" w15:restartNumberingAfterBreak="0">
    <w:nsid w:val="FFFFFF89"/>
    <w:multiLevelType w:val="singleLevel"/>
    <w:tmpl w:val="D7928F3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23617A83"/>
    <w:multiLevelType w:val="hybridMultilevel"/>
    <w:tmpl w:val="6E563DC0"/>
    <w:lvl w:ilvl="0" w:tplc="97200DAA">
      <w:start w:val="15"/>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F2B1D4C"/>
    <w:multiLevelType w:val="hybridMultilevel"/>
    <w:tmpl w:val="843EA5F2"/>
    <w:lvl w:ilvl="0" w:tplc="430464CC">
      <w:start w:val="15"/>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5123073">
    <w:abstractNumId w:val="3"/>
  </w:num>
  <w:num w:numId="2" w16cid:durableId="286199616">
    <w:abstractNumId w:val="0"/>
  </w:num>
  <w:num w:numId="3" w16cid:durableId="252398604">
    <w:abstractNumId w:val="2"/>
  </w:num>
  <w:num w:numId="4" w16cid:durableId="909581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0643"/>
    <w:rsid w:val="000D291C"/>
    <w:rsid w:val="000E5A54"/>
    <w:rsid w:val="000E63D3"/>
    <w:rsid w:val="000E67CF"/>
    <w:rsid w:val="0010461E"/>
    <w:rsid w:val="00106FAA"/>
    <w:rsid w:val="00113443"/>
    <w:rsid w:val="001269A7"/>
    <w:rsid w:val="00131092"/>
    <w:rsid w:val="00140E6A"/>
    <w:rsid w:val="00146545"/>
    <w:rsid w:val="00146B75"/>
    <w:rsid w:val="00150134"/>
    <w:rsid w:val="0015266D"/>
    <w:rsid w:val="0015288A"/>
    <w:rsid w:val="00155999"/>
    <w:rsid w:val="00160F47"/>
    <w:rsid w:val="00177CA1"/>
    <w:rsid w:val="00183823"/>
    <w:rsid w:val="00183942"/>
    <w:rsid w:val="001849E9"/>
    <w:rsid w:val="001915F6"/>
    <w:rsid w:val="001A009E"/>
    <w:rsid w:val="001A058A"/>
    <w:rsid w:val="001A1287"/>
    <w:rsid w:val="001A3859"/>
    <w:rsid w:val="001A3C9D"/>
    <w:rsid w:val="001A43F8"/>
    <w:rsid w:val="001B79E5"/>
    <w:rsid w:val="001D56F0"/>
    <w:rsid w:val="001D663B"/>
    <w:rsid w:val="001D7B41"/>
    <w:rsid w:val="001D7F51"/>
    <w:rsid w:val="001E46DA"/>
    <w:rsid w:val="001E7D80"/>
    <w:rsid w:val="001F4B6C"/>
    <w:rsid w:val="001F62CB"/>
    <w:rsid w:val="001F6ED0"/>
    <w:rsid w:val="001F72E6"/>
    <w:rsid w:val="001F73C5"/>
    <w:rsid w:val="00202E3C"/>
    <w:rsid w:val="002046A6"/>
    <w:rsid w:val="00204956"/>
    <w:rsid w:val="00213640"/>
    <w:rsid w:val="00221547"/>
    <w:rsid w:val="002216FC"/>
    <w:rsid w:val="00222533"/>
    <w:rsid w:val="00222F30"/>
    <w:rsid w:val="00224EE2"/>
    <w:rsid w:val="00227EC7"/>
    <w:rsid w:val="00244AD1"/>
    <w:rsid w:val="002463BC"/>
    <w:rsid w:val="002465CE"/>
    <w:rsid w:val="002532FD"/>
    <w:rsid w:val="0025734A"/>
    <w:rsid w:val="00263255"/>
    <w:rsid w:val="002644D1"/>
    <w:rsid w:val="00276494"/>
    <w:rsid w:val="00277B0C"/>
    <w:rsid w:val="0028076D"/>
    <w:rsid w:val="002B1A2C"/>
    <w:rsid w:val="002C34F2"/>
    <w:rsid w:val="002C58FF"/>
    <w:rsid w:val="002C7AFE"/>
    <w:rsid w:val="002D05D2"/>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0314"/>
    <w:rsid w:val="00362895"/>
    <w:rsid w:val="00370DBF"/>
    <w:rsid w:val="00373F56"/>
    <w:rsid w:val="00383FAC"/>
    <w:rsid w:val="00386093"/>
    <w:rsid w:val="003904A4"/>
    <w:rsid w:val="00391841"/>
    <w:rsid w:val="00391B6D"/>
    <w:rsid w:val="00394922"/>
    <w:rsid w:val="003A0E32"/>
    <w:rsid w:val="003A2B94"/>
    <w:rsid w:val="003B387D"/>
    <w:rsid w:val="003C0D58"/>
    <w:rsid w:val="003D4FA3"/>
    <w:rsid w:val="003E0807"/>
    <w:rsid w:val="003E48C8"/>
    <w:rsid w:val="003E51FB"/>
    <w:rsid w:val="003E6B39"/>
    <w:rsid w:val="003F07E1"/>
    <w:rsid w:val="003F4AC9"/>
    <w:rsid w:val="003F5AEE"/>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5EDD"/>
    <w:rsid w:val="004E6161"/>
    <w:rsid w:val="004F448A"/>
    <w:rsid w:val="004F493D"/>
    <w:rsid w:val="004F65E8"/>
    <w:rsid w:val="0050005E"/>
    <w:rsid w:val="0050190F"/>
    <w:rsid w:val="00502B88"/>
    <w:rsid w:val="005142C4"/>
    <w:rsid w:val="0051509C"/>
    <w:rsid w:val="005272E2"/>
    <w:rsid w:val="0053108F"/>
    <w:rsid w:val="00531B92"/>
    <w:rsid w:val="00532B56"/>
    <w:rsid w:val="00534B10"/>
    <w:rsid w:val="005446A2"/>
    <w:rsid w:val="00544D2F"/>
    <w:rsid w:val="00551BD8"/>
    <w:rsid w:val="0056531B"/>
    <w:rsid w:val="00581055"/>
    <w:rsid w:val="00591E38"/>
    <w:rsid w:val="005A19C5"/>
    <w:rsid w:val="005A3034"/>
    <w:rsid w:val="005A462D"/>
    <w:rsid w:val="005B18A3"/>
    <w:rsid w:val="005B253B"/>
    <w:rsid w:val="005B771D"/>
    <w:rsid w:val="005C5D16"/>
    <w:rsid w:val="005D3193"/>
    <w:rsid w:val="005D4A6E"/>
    <w:rsid w:val="005E24BF"/>
    <w:rsid w:val="005E6979"/>
    <w:rsid w:val="005E75CB"/>
    <w:rsid w:val="005F55A6"/>
    <w:rsid w:val="006013C1"/>
    <w:rsid w:val="0060669E"/>
    <w:rsid w:val="0060752F"/>
    <w:rsid w:val="00610F2E"/>
    <w:rsid w:val="00611399"/>
    <w:rsid w:val="00624C4E"/>
    <w:rsid w:val="00625200"/>
    <w:rsid w:val="006302A5"/>
    <w:rsid w:val="006363A8"/>
    <w:rsid w:val="00636DB7"/>
    <w:rsid w:val="00650905"/>
    <w:rsid w:val="006532ED"/>
    <w:rsid w:val="006549F2"/>
    <w:rsid w:val="006567B7"/>
    <w:rsid w:val="00657BFB"/>
    <w:rsid w:val="0066333C"/>
    <w:rsid w:val="006639B4"/>
    <w:rsid w:val="006650FE"/>
    <w:rsid w:val="00666EA9"/>
    <w:rsid w:val="0067305D"/>
    <w:rsid w:val="00677D9B"/>
    <w:rsid w:val="00683AE9"/>
    <w:rsid w:val="006867F3"/>
    <w:rsid w:val="00687890"/>
    <w:rsid w:val="006901A2"/>
    <w:rsid w:val="00690368"/>
    <w:rsid w:val="0069079C"/>
    <w:rsid w:val="00690B53"/>
    <w:rsid w:val="00695B72"/>
    <w:rsid w:val="006B160A"/>
    <w:rsid w:val="006B4E6C"/>
    <w:rsid w:val="006B50B6"/>
    <w:rsid w:val="006B7249"/>
    <w:rsid w:val="006D79EA"/>
    <w:rsid w:val="006E5D05"/>
    <w:rsid w:val="006F7CC2"/>
    <w:rsid w:val="00701053"/>
    <w:rsid w:val="00701507"/>
    <w:rsid w:val="00714021"/>
    <w:rsid w:val="00716A0F"/>
    <w:rsid w:val="00717D45"/>
    <w:rsid w:val="007208F7"/>
    <w:rsid w:val="007218AF"/>
    <w:rsid w:val="007365D1"/>
    <w:rsid w:val="00740E0E"/>
    <w:rsid w:val="007472E8"/>
    <w:rsid w:val="00750212"/>
    <w:rsid w:val="0075372C"/>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7F7B64"/>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4F1F"/>
    <w:rsid w:val="008E7B64"/>
    <w:rsid w:val="008F5DCD"/>
    <w:rsid w:val="00900951"/>
    <w:rsid w:val="009118A6"/>
    <w:rsid w:val="00916909"/>
    <w:rsid w:val="00916EC0"/>
    <w:rsid w:val="00920467"/>
    <w:rsid w:val="00921DE7"/>
    <w:rsid w:val="0093041A"/>
    <w:rsid w:val="00930714"/>
    <w:rsid w:val="00931B03"/>
    <w:rsid w:val="009323B9"/>
    <w:rsid w:val="009327CA"/>
    <w:rsid w:val="00932DCE"/>
    <w:rsid w:val="0093327E"/>
    <w:rsid w:val="00934028"/>
    <w:rsid w:val="0093760E"/>
    <w:rsid w:val="009413FD"/>
    <w:rsid w:val="00946044"/>
    <w:rsid w:val="0094660B"/>
    <w:rsid w:val="00946A33"/>
    <w:rsid w:val="0095260E"/>
    <w:rsid w:val="009578DD"/>
    <w:rsid w:val="00961124"/>
    <w:rsid w:val="00961E22"/>
    <w:rsid w:val="009621B6"/>
    <w:rsid w:val="00974F2D"/>
    <w:rsid w:val="00977524"/>
    <w:rsid w:val="00977E88"/>
    <w:rsid w:val="00984920"/>
    <w:rsid w:val="0098607E"/>
    <w:rsid w:val="0099303A"/>
    <w:rsid w:val="009971C2"/>
    <w:rsid w:val="009A1254"/>
    <w:rsid w:val="009B2FF2"/>
    <w:rsid w:val="009B380C"/>
    <w:rsid w:val="009B4843"/>
    <w:rsid w:val="009B6543"/>
    <w:rsid w:val="009C199D"/>
    <w:rsid w:val="009C278F"/>
    <w:rsid w:val="009C2B94"/>
    <w:rsid w:val="009C5874"/>
    <w:rsid w:val="009D10DE"/>
    <w:rsid w:val="009D3B5A"/>
    <w:rsid w:val="009E01EA"/>
    <w:rsid w:val="009E0C05"/>
    <w:rsid w:val="009E0D1C"/>
    <w:rsid w:val="009E2214"/>
    <w:rsid w:val="009E355A"/>
    <w:rsid w:val="009E63E2"/>
    <w:rsid w:val="009F04D2"/>
    <w:rsid w:val="009F05CF"/>
    <w:rsid w:val="009F0F3A"/>
    <w:rsid w:val="00A01D0C"/>
    <w:rsid w:val="00A0643F"/>
    <w:rsid w:val="00A067EE"/>
    <w:rsid w:val="00A10FCE"/>
    <w:rsid w:val="00A16D91"/>
    <w:rsid w:val="00A16ED9"/>
    <w:rsid w:val="00A174CC"/>
    <w:rsid w:val="00A2073D"/>
    <w:rsid w:val="00A20751"/>
    <w:rsid w:val="00A27E2D"/>
    <w:rsid w:val="00A31D99"/>
    <w:rsid w:val="00A3567D"/>
    <w:rsid w:val="00A357BA"/>
    <w:rsid w:val="00A35ADC"/>
    <w:rsid w:val="00A402A3"/>
    <w:rsid w:val="00A53681"/>
    <w:rsid w:val="00A63258"/>
    <w:rsid w:val="00A633D4"/>
    <w:rsid w:val="00A6461A"/>
    <w:rsid w:val="00A73B89"/>
    <w:rsid w:val="00A74209"/>
    <w:rsid w:val="00A84504"/>
    <w:rsid w:val="00A8672F"/>
    <w:rsid w:val="00A93057"/>
    <w:rsid w:val="00A968B0"/>
    <w:rsid w:val="00AB2672"/>
    <w:rsid w:val="00AB2817"/>
    <w:rsid w:val="00AB43C4"/>
    <w:rsid w:val="00AC32E7"/>
    <w:rsid w:val="00AC3A9F"/>
    <w:rsid w:val="00AC6D2F"/>
    <w:rsid w:val="00AE2745"/>
    <w:rsid w:val="00AE2F64"/>
    <w:rsid w:val="00AF42CB"/>
    <w:rsid w:val="00AF483F"/>
    <w:rsid w:val="00AF5E07"/>
    <w:rsid w:val="00AF5F06"/>
    <w:rsid w:val="00B00A25"/>
    <w:rsid w:val="00B1422A"/>
    <w:rsid w:val="00B1765C"/>
    <w:rsid w:val="00B213C4"/>
    <w:rsid w:val="00B40C60"/>
    <w:rsid w:val="00B479A9"/>
    <w:rsid w:val="00B52EDF"/>
    <w:rsid w:val="00B71188"/>
    <w:rsid w:val="00B76A41"/>
    <w:rsid w:val="00B87ADF"/>
    <w:rsid w:val="00B87D4C"/>
    <w:rsid w:val="00B93646"/>
    <w:rsid w:val="00BA0B38"/>
    <w:rsid w:val="00BA1DBB"/>
    <w:rsid w:val="00BA4510"/>
    <w:rsid w:val="00BA529A"/>
    <w:rsid w:val="00BB612A"/>
    <w:rsid w:val="00BD499F"/>
    <w:rsid w:val="00BD56DE"/>
    <w:rsid w:val="00BE3A1B"/>
    <w:rsid w:val="00BF2406"/>
    <w:rsid w:val="00C06E43"/>
    <w:rsid w:val="00C12128"/>
    <w:rsid w:val="00C16315"/>
    <w:rsid w:val="00C3091E"/>
    <w:rsid w:val="00C40FF1"/>
    <w:rsid w:val="00C419E2"/>
    <w:rsid w:val="00C5020E"/>
    <w:rsid w:val="00C57452"/>
    <w:rsid w:val="00C61EDF"/>
    <w:rsid w:val="00C6239D"/>
    <w:rsid w:val="00C6594B"/>
    <w:rsid w:val="00C65EC4"/>
    <w:rsid w:val="00C67FFB"/>
    <w:rsid w:val="00C7155E"/>
    <w:rsid w:val="00C71D1E"/>
    <w:rsid w:val="00C71D7D"/>
    <w:rsid w:val="00C733D3"/>
    <w:rsid w:val="00C74833"/>
    <w:rsid w:val="00C850A0"/>
    <w:rsid w:val="00C85A86"/>
    <w:rsid w:val="00C978F0"/>
    <w:rsid w:val="00CA0ABA"/>
    <w:rsid w:val="00CA56B2"/>
    <w:rsid w:val="00CA578C"/>
    <w:rsid w:val="00CA58FE"/>
    <w:rsid w:val="00CB1CB1"/>
    <w:rsid w:val="00CB6BC1"/>
    <w:rsid w:val="00CB6CB8"/>
    <w:rsid w:val="00CC1A68"/>
    <w:rsid w:val="00CC2123"/>
    <w:rsid w:val="00CD2BFD"/>
    <w:rsid w:val="00CE5AD6"/>
    <w:rsid w:val="00CE617F"/>
    <w:rsid w:val="00CE78EF"/>
    <w:rsid w:val="00D03D68"/>
    <w:rsid w:val="00D048F7"/>
    <w:rsid w:val="00D0517E"/>
    <w:rsid w:val="00D140FC"/>
    <w:rsid w:val="00D21D8C"/>
    <w:rsid w:val="00D25F0A"/>
    <w:rsid w:val="00D275EE"/>
    <w:rsid w:val="00D31357"/>
    <w:rsid w:val="00D33220"/>
    <w:rsid w:val="00D334D1"/>
    <w:rsid w:val="00D44C89"/>
    <w:rsid w:val="00D46932"/>
    <w:rsid w:val="00D469B2"/>
    <w:rsid w:val="00D516CD"/>
    <w:rsid w:val="00D668E6"/>
    <w:rsid w:val="00D70670"/>
    <w:rsid w:val="00D74D80"/>
    <w:rsid w:val="00D76624"/>
    <w:rsid w:val="00D81932"/>
    <w:rsid w:val="00D87570"/>
    <w:rsid w:val="00D91CB9"/>
    <w:rsid w:val="00D97989"/>
    <w:rsid w:val="00D97D8D"/>
    <w:rsid w:val="00DA352E"/>
    <w:rsid w:val="00DB556C"/>
    <w:rsid w:val="00DC18DB"/>
    <w:rsid w:val="00DC7694"/>
    <w:rsid w:val="00DD1BF6"/>
    <w:rsid w:val="00DD2F9B"/>
    <w:rsid w:val="00DD6126"/>
    <w:rsid w:val="00DD68FB"/>
    <w:rsid w:val="00DE2513"/>
    <w:rsid w:val="00DE26E8"/>
    <w:rsid w:val="00DF6F36"/>
    <w:rsid w:val="00E0084C"/>
    <w:rsid w:val="00E025AB"/>
    <w:rsid w:val="00E02B23"/>
    <w:rsid w:val="00E06F40"/>
    <w:rsid w:val="00E07CE8"/>
    <w:rsid w:val="00E13331"/>
    <w:rsid w:val="00E26A07"/>
    <w:rsid w:val="00E32595"/>
    <w:rsid w:val="00E37CFD"/>
    <w:rsid w:val="00E41A26"/>
    <w:rsid w:val="00E46BCB"/>
    <w:rsid w:val="00E51CAF"/>
    <w:rsid w:val="00E60F04"/>
    <w:rsid w:val="00E62AAC"/>
    <w:rsid w:val="00E67C2F"/>
    <w:rsid w:val="00E67EF5"/>
    <w:rsid w:val="00E804EA"/>
    <w:rsid w:val="00E80A71"/>
    <w:rsid w:val="00E82337"/>
    <w:rsid w:val="00E87B19"/>
    <w:rsid w:val="00E92499"/>
    <w:rsid w:val="00E949AF"/>
    <w:rsid w:val="00E96077"/>
    <w:rsid w:val="00EA0A06"/>
    <w:rsid w:val="00EA6243"/>
    <w:rsid w:val="00EA74AB"/>
    <w:rsid w:val="00EB3D1B"/>
    <w:rsid w:val="00ED1D89"/>
    <w:rsid w:val="00ED57DA"/>
    <w:rsid w:val="00ED66BC"/>
    <w:rsid w:val="00EF233A"/>
    <w:rsid w:val="00EF303E"/>
    <w:rsid w:val="00EF3A40"/>
    <w:rsid w:val="00EF7F78"/>
    <w:rsid w:val="00F01B08"/>
    <w:rsid w:val="00F01C4D"/>
    <w:rsid w:val="00F04F20"/>
    <w:rsid w:val="00F053FA"/>
    <w:rsid w:val="00F1053A"/>
    <w:rsid w:val="00F10C97"/>
    <w:rsid w:val="00F1151E"/>
    <w:rsid w:val="00F11C71"/>
    <w:rsid w:val="00F16019"/>
    <w:rsid w:val="00F20E68"/>
    <w:rsid w:val="00F22093"/>
    <w:rsid w:val="00F236DF"/>
    <w:rsid w:val="00F30A85"/>
    <w:rsid w:val="00F43AD5"/>
    <w:rsid w:val="00F4402E"/>
    <w:rsid w:val="00F56DD0"/>
    <w:rsid w:val="00F6491C"/>
    <w:rsid w:val="00F67BBB"/>
    <w:rsid w:val="00F86ACE"/>
    <w:rsid w:val="00F87D92"/>
    <w:rsid w:val="00F90AA7"/>
    <w:rsid w:val="00F92498"/>
    <w:rsid w:val="00F9496B"/>
    <w:rsid w:val="00F970C9"/>
    <w:rsid w:val="00FA06A8"/>
    <w:rsid w:val="00FA3DF5"/>
    <w:rsid w:val="00FA741F"/>
    <w:rsid w:val="00FB4E07"/>
    <w:rsid w:val="00FB755A"/>
    <w:rsid w:val="00FC60A2"/>
    <w:rsid w:val="00FD1871"/>
    <w:rsid w:val="00FD3110"/>
    <w:rsid w:val="00FF220F"/>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Number3">
    <w:name w:val="List Number 3"/>
    <w:basedOn w:val="Normal"/>
    <w:uiPriority w:val="99"/>
    <w:unhideWhenUsed/>
    <w:rsid w:val="005B18A3"/>
    <w:pPr>
      <w:numPr>
        <w:numId w:val="2"/>
      </w:numPr>
      <w:contextualSpacing/>
    </w:pPr>
  </w:style>
  <w:style w:type="character" w:styleId="CommentReference">
    <w:name w:val="annotation reference"/>
    <w:basedOn w:val="DefaultParagraphFont"/>
    <w:uiPriority w:val="99"/>
    <w:semiHidden/>
    <w:unhideWhenUsed/>
    <w:rsid w:val="00F30A85"/>
    <w:rPr>
      <w:sz w:val="16"/>
      <w:szCs w:val="16"/>
    </w:rPr>
  </w:style>
  <w:style w:type="paragraph" w:styleId="CommentText">
    <w:name w:val="annotation text"/>
    <w:basedOn w:val="Normal"/>
    <w:link w:val="CommentTextChar"/>
    <w:uiPriority w:val="99"/>
    <w:semiHidden/>
    <w:unhideWhenUsed/>
    <w:rsid w:val="00F30A85"/>
    <w:pPr>
      <w:spacing w:line="240" w:lineRule="auto"/>
    </w:pPr>
    <w:rPr>
      <w:szCs w:val="20"/>
    </w:rPr>
  </w:style>
  <w:style w:type="character" w:customStyle="1" w:styleId="CommentTextChar">
    <w:name w:val="Comment Text Char"/>
    <w:basedOn w:val="DefaultParagraphFont"/>
    <w:link w:val="CommentText"/>
    <w:uiPriority w:val="99"/>
    <w:semiHidden/>
    <w:rsid w:val="00F30A85"/>
    <w:rPr>
      <w:szCs w:val="20"/>
    </w:rPr>
  </w:style>
  <w:style w:type="paragraph" w:styleId="ListBullet">
    <w:name w:val="List Bullet"/>
    <w:basedOn w:val="Normal"/>
    <w:uiPriority w:val="99"/>
    <w:unhideWhenUsed/>
    <w:rsid w:val="009327CA"/>
    <w:pPr>
      <w:numPr>
        <w:numId w:val="4"/>
      </w:numPr>
      <w:contextualSpacing/>
    </w:pPr>
  </w:style>
  <w:style w:type="paragraph" w:styleId="CommentSubject">
    <w:name w:val="annotation subject"/>
    <w:basedOn w:val="CommentText"/>
    <w:next w:val="CommentText"/>
    <w:link w:val="CommentSubjectChar"/>
    <w:uiPriority w:val="99"/>
    <w:semiHidden/>
    <w:unhideWhenUsed/>
    <w:rsid w:val="00DC18DB"/>
    <w:rPr>
      <w:b/>
      <w:bCs/>
    </w:rPr>
  </w:style>
  <w:style w:type="character" w:customStyle="1" w:styleId="CommentSubjectChar">
    <w:name w:val="Comment Subject Char"/>
    <w:basedOn w:val="CommentTextChar"/>
    <w:link w:val="CommentSubject"/>
    <w:uiPriority w:val="99"/>
    <w:semiHidden/>
    <w:rsid w:val="00DC18DB"/>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234504">
      <w:bodyDiv w:val="1"/>
      <w:marLeft w:val="0"/>
      <w:marRight w:val="0"/>
      <w:marTop w:val="0"/>
      <w:marBottom w:val="0"/>
      <w:divBdr>
        <w:top w:val="none" w:sz="0" w:space="0" w:color="auto"/>
        <w:left w:val="none" w:sz="0" w:space="0" w:color="auto"/>
        <w:bottom w:val="none" w:sz="0" w:space="0" w:color="auto"/>
        <w:right w:val="none" w:sz="0" w:space="0" w:color="auto"/>
      </w:divBdr>
    </w:div>
    <w:div w:id="717825540">
      <w:bodyDiv w:val="1"/>
      <w:marLeft w:val="0"/>
      <w:marRight w:val="0"/>
      <w:marTop w:val="0"/>
      <w:marBottom w:val="0"/>
      <w:divBdr>
        <w:top w:val="none" w:sz="0" w:space="0" w:color="auto"/>
        <w:left w:val="none" w:sz="0" w:space="0" w:color="auto"/>
        <w:bottom w:val="none" w:sz="0" w:space="0" w:color="auto"/>
        <w:right w:val="none" w:sz="0" w:space="0" w:color="auto"/>
      </w:divBdr>
    </w:div>
    <w:div w:id="1109353693">
      <w:bodyDiv w:val="1"/>
      <w:marLeft w:val="0"/>
      <w:marRight w:val="0"/>
      <w:marTop w:val="0"/>
      <w:marBottom w:val="0"/>
      <w:divBdr>
        <w:top w:val="none" w:sz="0" w:space="0" w:color="auto"/>
        <w:left w:val="none" w:sz="0" w:space="0" w:color="auto"/>
        <w:bottom w:val="none" w:sz="0" w:space="0" w:color="auto"/>
        <w:right w:val="none" w:sz="0" w:space="0" w:color="auto"/>
      </w:divBdr>
    </w:div>
    <w:div w:id="168978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16337A15EF104BF083C9E5094D927B77"/>
        <w:category>
          <w:name w:val="General"/>
          <w:gallery w:val="placeholder"/>
        </w:category>
        <w:types>
          <w:type w:val="bbPlcHdr"/>
        </w:types>
        <w:behaviors>
          <w:behavior w:val="content"/>
        </w:behaviors>
        <w:guid w:val="{335B91F0-8F87-483B-8F95-A95D0E5073F6}"/>
      </w:docPartPr>
      <w:docPartBody>
        <w:p w:rsidR="00FD742B" w:rsidRDefault="00297D9C" w:rsidP="00297D9C">
          <w:pPr>
            <w:pStyle w:val="16337A15EF104BF083C9E5094D927B77"/>
          </w:pPr>
          <w:r>
            <w:rPr>
              <w:rStyle w:val="PlaceholderText"/>
            </w:rPr>
            <w:t>Y</w:t>
          </w:r>
          <w:r w:rsidRPr="003365A5">
            <w:rPr>
              <w:rStyle w:val="PlaceholderText"/>
            </w:rPr>
            <w:t>ear</w:t>
          </w:r>
        </w:p>
      </w:docPartBody>
    </w:docPart>
    <w:docPart>
      <w:docPartPr>
        <w:name w:val="0DEFD8F29AEC4395BBE608DB42020EA9"/>
        <w:category>
          <w:name w:val="General"/>
          <w:gallery w:val="placeholder"/>
        </w:category>
        <w:types>
          <w:type w:val="bbPlcHdr"/>
        </w:types>
        <w:behaviors>
          <w:behavior w:val="content"/>
        </w:behaviors>
        <w:guid w:val="{CB490B88-F7AD-40E2-AA57-ABBBC134C683}"/>
      </w:docPartPr>
      <w:docPartBody>
        <w:p w:rsidR="00FD742B" w:rsidRDefault="00297D9C" w:rsidP="00297D9C">
          <w:pPr>
            <w:pStyle w:val="0DEFD8F29AEC4395BBE608DB42020EA9"/>
          </w:pPr>
          <w:r>
            <w:rPr>
              <w:rStyle w:val="PlaceholderText"/>
            </w:rPr>
            <w:t>Y</w:t>
          </w:r>
          <w:r w:rsidRPr="003365A5">
            <w:rPr>
              <w:rStyle w:val="PlaceholderText"/>
            </w:rPr>
            <w:t>ear</w:t>
          </w:r>
        </w:p>
      </w:docPartBody>
    </w:docPart>
    <w:docPart>
      <w:docPartPr>
        <w:name w:val="CD8704EB51594046987501A2344AC456"/>
        <w:category>
          <w:name w:val="General"/>
          <w:gallery w:val="placeholder"/>
        </w:category>
        <w:types>
          <w:type w:val="bbPlcHdr"/>
        </w:types>
        <w:behaviors>
          <w:behavior w:val="content"/>
        </w:behaviors>
        <w:guid w:val="{DF594A8F-2983-48AC-8D88-AA88966D6D66}"/>
      </w:docPartPr>
      <w:docPartBody>
        <w:p w:rsidR="00E5525A" w:rsidRDefault="003C7428" w:rsidP="003C7428">
          <w:pPr>
            <w:pStyle w:val="CD8704EB51594046987501A2344AC456"/>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464"/>
    <w:rsid w:val="00110D93"/>
    <w:rsid w:val="00297D9C"/>
    <w:rsid w:val="00347D16"/>
    <w:rsid w:val="003C7428"/>
    <w:rsid w:val="003E0149"/>
    <w:rsid w:val="00755FBF"/>
    <w:rsid w:val="00C12128"/>
    <w:rsid w:val="00CA72D3"/>
    <w:rsid w:val="00D21A9F"/>
    <w:rsid w:val="00D469B2"/>
    <w:rsid w:val="00E5525A"/>
    <w:rsid w:val="00FD74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7428"/>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EA32968BF93744FAABC5FC124DBE04BD">
    <w:name w:val="EA32968BF93744FAABC5FC124DBE04B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16337A15EF104BF083C9E5094D927B77">
    <w:name w:val="16337A15EF104BF083C9E5094D927B77"/>
    <w:rsid w:val="00297D9C"/>
  </w:style>
  <w:style w:type="paragraph" w:customStyle="1" w:styleId="0DEFD8F29AEC4395BBE608DB42020EA9">
    <w:name w:val="0DEFD8F29AEC4395BBE608DB42020EA9"/>
    <w:rsid w:val="00297D9C"/>
  </w:style>
  <w:style w:type="paragraph" w:customStyle="1" w:styleId="CD8704EB51594046987501A2344AC456">
    <w:name w:val="CD8704EB51594046987501A2344AC456"/>
    <w:rsid w:val="003C74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1CF16-3BEB-41A8-82B2-8FC5B4BA1330}">
  <ds:schemaRefs>
    <ds:schemaRef ds:uri="http://purl.org/dc/elements/1.1/"/>
    <ds:schemaRef ds:uri="http://www.w3.org/XML/1998/namespace"/>
    <ds:schemaRef ds:uri="http://schemas.microsoft.com/office/2006/documentManagement/types"/>
    <ds:schemaRef ds:uri="http://schemas.microsoft.com/office/2006/metadata/properties"/>
    <ds:schemaRef ds:uri="1c567317-0c4d-4a62-8516-c22afd1b5354"/>
    <ds:schemaRef ds:uri="http://schemas.microsoft.com/office/infopath/2007/PartnerControls"/>
    <ds:schemaRef ds:uri="http://purl.org/dc/dcmitype/"/>
    <ds:schemaRef ds:uri="http://purl.org/dc/terms/"/>
    <ds:schemaRef ds:uri="http://schemas.openxmlformats.org/package/2006/metadata/core-properties"/>
    <ds:schemaRef ds:uri="a0509f21-ed56-4150-9955-96be669e5f2d"/>
  </ds:schemaRefs>
</ds:datastoreItem>
</file>

<file path=customXml/itemProps2.xml><?xml version="1.0" encoding="utf-8"?>
<ds:datastoreItem xmlns:ds="http://schemas.openxmlformats.org/officeDocument/2006/customXml" ds:itemID="{85A8410B-FD17-43C1-BF66-5EB8EACF2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2287E6-FA6F-4FF5-BB9D-5DFFF92B1EB4}">
  <ds:schemaRefs>
    <ds:schemaRef ds:uri="http://schemas.microsoft.com/sharepoint/v3/contenttype/forms"/>
  </ds:schemaRefs>
</ds:datastoreItem>
</file>

<file path=customXml/itemProps4.xml><?xml version="1.0" encoding="utf-8"?>
<ds:datastoreItem xmlns:ds="http://schemas.openxmlformats.org/officeDocument/2006/customXml" ds:itemID="{B72FD1D5-FED9-4B69-A27C-85DEA8AB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2020-05-07T23:59:00Z</dcterms:created>
  <dcterms:modified xsi:type="dcterms:W3CDTF">2026-01-09T02:12:00Z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2026-01-07T02:00:08Z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388d0c8c-5c39-4dad-af6a-cd15a63d085b</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