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41791C8F" w:rsidR="00BD499F" w:rsidRPr="004C23F4" w:rsidRDefault="008245FF" w:rsidP="00B40C60">
          <w:pPr>
            <w:pStyle w:val="Heading1"/>
            <w:jc w:val="center"/>
            <w:rPr>
              <w:rFonts w:ascii="Arial" w:hAnsi="Arial" w:cs="Arial"/>
            </w:rPr>
          </w:pPr>
          <w:r w:rsidRPr="005F3DC2" w:rsidDel="00C8312F">
            <w:rPr>
              <w:rFonts w:ascii="Arial" w:hAnsi="Arial" w:cs="Arial"/>
            </w:rPr>
            <w:t>Zinc chloride (fume)</w:t>
          </w:r>
          <w:r>
            <w:rPr>
              <w:rFonts w:ascii="Arial" w:hAnsi="Arial" w:cs="Arial"/>
            </w:rPr>
            <w:t xml:space="preserve"> 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0"/>
        <w:gridCol w:w="5036"/>
      </w:tblGrid>
      <w:tr w:rsidR="00F43AD5" w:rsidRPr="004C23F4" w14:paraId="189D6E38" w14:textId="77777777" w:rsidTr="00772352">
        <w:trPr>
          <w:cantSplit/>
          <w:tblHeader/>
        </w:trPr>
        <w:tc>
          <w:tcPr>
            <w:tcW w:w="3990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6" w:type="dxa"/>
          </w:tcPr>
          <w:p w14:paraId="3EDBFD9E" w14:textId="5490E31D" w:rsidR="00F43AD5" w:rsidRPr="00717D45" w:rsidRDefault="00F62051" w:rsidP="00B76A41">
            <w:pPr>
              <w:pStyle w:val="Tablefont"/>
            </w:pPr>
            <w:r w:rsidRPr="00F62051">
              <w:t>7646-85-7</w:t>
            </w:r>
          </w:p>
        </w:tc>
      </w:tr>
      <w:tr w:rsidR="00F43AD5" w:rsidRPr="004C23F4" w14:paraId="562A9F51" w14:textId="77777777" w:rsidTr="00772352">
        <w:trPr>
          <w:cantSplit/>
        </w:trPr>
        <w:tc>
          <w:tcPr>
            <w:tcW w:w="3990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6" w:type="dxa"/>
          </w:tcPr>
          <w:p w14:paraId="32648AB9" w14:textId="446AB46E" w:rsidR="00F43AD5" w:rsidRPr="00717D45" w:rsidRDefault="00F62051" w:rsidP="00B76A41">
            <w:pPr>
              <w:pStyle w:val="Tablefont"/>
            </w:pPr>
            <w:r>
              <w:t>Butter of zinc, tinning flux, zinc dichloride</w:t>
            </w:r>
          </w:p>
        </w:tc>
      </w:tr>
      <w:tr w:rsidR="00F43AD5" w:rsidRPr="004C23F4" w14:paraId="6EE54A08" w14:textId="77777777" w:rsidTr="00772352">
        <w:trPr>
          <w:cantSplit/>
        </w:trPr>
        <w:tc>
          <w:tcPr>
            <w:tcW w:w="3990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6" w:type="dxa"/>
          </w:tcPr>
          <w:p w14:paraId="69369B00" w14:textId="59BF072C" w:rsidR="00F43AD5" w:rsidRPr="00717D45" w:rsidRDefault="00F62051" w:rsidP="00B76A41">
            <w:pPr>
              <w:pStyle w:val="Tablefont"/>
            </w:pPr>
            <w:r>
              <w:t>ZnCl</w:t>
            </w:r>
            <w:r w:rsidRPr="00F62051">
              <w:rPr>
                <w:vertAlign w:val="subscript"/>
              </w:rPr>
              <w:t>2</w:t>
            </w:r>
          </w:p>
        </w:tc>
      </w:tr>
    </w:tbl>
    <w:p w14:paraId="71D72173" w14:textId="22D21E20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772352" w:rsidDel="00C8312F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77777777" w:rsidR="002C7AFE" w:rsidRPr="00EB3D1B" w:rsidRDefault="00037E5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B8F60C2" w:rsidR="00037E52" w:rsidRPr="009A7A77" w:rsidRDefault="008245FF" w:rsidP="00037E5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2 </w:t>
            </w:r>
            <w:r w:rsidR="00290906">
              <w:rPr>
                <w:b/>
              </w:rPr>
              <w:t>mg/m</w:t>
            </w:r>
            <w:r w:rsidR="00290906">
              <w:rPr>
                <w:b/>
                <w:vertAlign w:val="superscript"/>
              </w:rPr>
              <w:t>3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40F512D4" w:rsidR="00037E52" w:rsidRPr="00EB3D1B" w:rsidRDefault="00F62051" w:rsidP="00037E52">
            <w:pPr>
              <w:pStyle w:val="Tablefont"/>
              <w:rPr>
                <w:b/>
              </w:rPr>
            </w:pPr>
            <w:r w:rsidRPr="00F62051">
              <w:rPr>
                <w:b/>
              </w:rPr>
              <w:t>50 mg/m</w:t>
            </w:r>
            <w:r w:rsidRPr="00F62051">
              <w:rPr>
                <w:b/>
                <w:vertAlign w:val="superscript"/>
              </w:rPr>
              <w:t>3</w:t>
            </w:r>
          </w:p>
        </w:tc>
      </w:tr>
      <w:tr w:rsidR="00155999" w:rsidRPr="004C23F4" w14:paraId="27D0E012" w14:textId="77777777" w:rsidTr="002D6AD0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3A3C1296" w:rsidR="00155999" w:rsidRPr="001D1648" w:rsidRDefault="00155999" w:rsidP="00037E52">
            <w:pPr>
              <w:pStyle w:val="Tablefont"/>
              <w:rPr>
                <w:b/>
                <w:bCs/>
              </w:rPr>
            </w:pPr>
            <w:r w:rsidRPr="001D1648">
              <w:rPr>
                <w:b/>
                <w:bCs/>
              </w:rPr>
              <w:t>Sampling and analysis:</w:t>
            </w:r>
            <w:r w:rsidRPr="001D1648">
              <w:rPr>
                <w:rStyle w:val="WESstatus"/>
                <w:b/>
                <w:bCs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8245FF" w:rsidDel="00C8312F">
                  <w:rPr>
                    <w:rStyle w:val="WESstatus"/>
                    <w:color w:val="auto"/>
                  </w:rPr>
                  <w:t>The recommended value is quantifiable through available sampling and analysis techniques.</w:t>
                </w:r>
                <w:r w:rsidR="008245FF">
                  <w:rPr>
                    <w:rStyle w:val="WESstatus"/>
                    <w:color w:val="auto"/>
                  </w:rPr>
                  <w:t xml:space="preserve">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E30E75C" w14:textId="61BA9CCE" w:rsidR="00772352" w:rsidRDefault="00772352" w:rsidP="000C139A">
      <w:r>
        <w:t>A TWA is not recommended based on the available data.</w:t>
      </w:r>
    </w:p>
    <w:p w14:paraId="56D7D7AF" w14:textId="31F5F858" w:rsidR="006639B4" w:rsidRDefault="00290906" w:rsidP="009A7A77">
      <w:r>
        <w:t xml:space="preserve">A STEL of </w:t>
      </w:r>
      <w:r w:rsidR="00341949">
        <w:t>2</w:t>
      </w:r>
      <w:r>
        <w:t xml:space="preserve"> mg/m</w:t>
      </w:r>
      <w:r>
        <w:rPr>
          <w:vertAlign w:val="superscript"/>
        </w:rPr>
        <w:t>3</w:t>
      </w:r>
      <w:r w:rsidRPr="00290906">
        <w:t xml:space="preserve"> is recommended </w:t>
      </w:r>
      <w:r>
        <w:t>to protect for irritation of the respiratory tract in exposed workers.</w:t>
      </w:r>
    </w:p>
    <w:p w14:paraId="3F52C4AD" w14:textId="4AAAA28A" w:rsidR="00341949" w:rsidRPr="004C23F4" w:rsidRDefault="00341949" w:rsidP="000C139A">
      <w:pPr>
        <w:rPr>
          <w:rFonts w:cs="Arial"/>
        </w:rPr>
      </w:pPr>
      <w:r>
        <w:t>It is recommended an evaluation of additional sources be conducted at the next scheduled workplace exposure standard review.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530A338" w14:textId="3FE0290F" w:rsidR="009439F2" w:rsidRDefault="00400881" w:rsidP="006639B4">
      <w:r>
        <w:t>Zinc chloride</w:t>
      </w:r>
      <w:r w:rsidR="008B71AD">
        <w:t xml:space="preserve"> is </w:t>
      </w:r>
      <w:r>
        <w:t>an inorganic corrosive salt</w:t>
      </w:r>
      <w:r w:rsidR="008B71AD">
        <w:t xml:space="preserve"> </w:t>
      </w:r>
      <w:r>
        <w:t>used in soldering flux, iron galvani</w:t>
      </w:r>
      <w:r w:rsidR="008B71AD">
        <w:t>s</w:t>
      </w:r>
      <w:r>
        <w:t>ing, textiles, adhesives</w:t>
      </w:r>
      <w:r w:rsidR="004904C0">
        <w:t>,</w:t>
      </w:r>
      <w:r>
        <w:t xml:space="preserve"> deodorants, embalming fluids, organic syntheses, petroleum refining</w:t>
      </w:r>
      <w:r w:rsidR="00C8312F">
        <w:t xml:space="preserve"> and</w:t>
      </w:r>
      <w:r>
        <w:t xml:space="preserve"> as a wood preservative and electrolyte in dry cell batteries.</w:t>
      </w:r>
      <w:r w:rsidR="004904C0">
        <w:t xml:space="preserve"> It is also used in smoke bombs and screening smokes.</w:t>
      </w:r>
      <w:r>
        <w:t xml:space="preserve"> </w:t>
      </w:r>
    </w:p>
    <w:p w14:paraId="081D9612" w14:textId="77777777" w:rsidR="00FC4FD7" w:rsidRDefault="009439F2" w:rsidP="00290906">
      <w:pPr>
        <w:rPr>
          <w:rFonts w:cs="Arial"/>
        </w:rPr>
      </w:pPr>
      <w:r>
        <w:t>The c</w:t>
      </w:r>
      <w:r w:rsidR="00400881">
        <w:t>ritical effect</w:t>
      </w:r>
      <w:r w:rsidR="008B71AD">
        <w:t>s</w:t>
      </w:r>
      <w:r w:rsidR="00400881">
        <w:t xml:space="preserve"> </w:t>
      </w:r>
      <w:r w:rsidR="008B71AD">
        <w:t>of exposure are</w:t>
      </w:r>
      <w:r w:rsidR="00400881">
        <w:t xml:space="preserve"> irritation and damage to the respiratory tract due to corrosivity.</w:t>
      </w:r>
      <w:r>
        <w:rPr>
          <w:rFonts w:cs="Arial"/>
        </w:rPr>
        <w:t xml:space="preserve"> </w:t>
      </w:r>
    </w:p>
    <w:p w14:paraId="71430181" w14:textId="176743A8" w:rsidR="00290906" w:rsidRPr="0061730E" w:rsidRDefault="00400881" w:rsidP="00290906">
      <w:r>
        <w:rPr>
          <w:rFonts w:cs="Arial"/>
        </w:rPr>
        <w:t xml:space="preserve">Limited evidence regarding chronic exposure is available. </w:t>
      </w:r>
      <w:r>
        <w:t>An average concentration of 4.8 mg/m</w:t>
      </w:r>
      <w:r w:rsidRPr="00994AE4">
        <w:rPr>
          <w:vertAlign w:val="superscript"/>
        </w:rPr>
        <w:t xml:space="preserve">3 </w:t>
      </w:r>
      <w:r>
        <w:t xml:space="preserve">over a </w:t>
      </w:r>
      <w:r w:rsidR="00FC4FD7">
        <w:t>30-</w:t>
      </w:r>
      <w:r>
        <w:t>minute period cause</w:t>
      </w:r>
      <w:r w:rsidR="00772352">
        <w:t>s</w:t>
      </w:r>
      <w:r>
        <w:t xml:space="preserve"> mild, transient irritation of the respiratory tract in bearing manufacture workers</w:t>
      </w:r>
      <w:r w:rsidR="00FC4FD7">
        <w:t xml:space="preserve">. No sensory effects reported </w:t>
      </w:r>
      <w:r>
        <w:t>at 0.07 and 0.4 mg/m</w:t>
      </w:r>
      <w:r>
        <w:rPr>
          <w:vertAlign w:val="superscript"/>
        </w:rPr>
        <w:t>3</w:t>
      </w:r>
      <w:r>
        <w:t xml:space="preserve">. Upper respiratory tract irritation </w:t>
      </w:r>
      <w:r w:rsidR="00772352">
        <w:t>i</w:t>
      </w:r>
      <w:r>
        <w:t>s noted in subjects accidentally exposed at 400 mg/m</w:t>
      </w:r>
      <w:r>
        <w:rPr>
          <w:vertAlign w:val="superscript"/>
        </w:rPr>
        <w:t>3</w:t>
      </w:r>
      <w:r>
        <w:t xml:space="preserve"> </w:t>
      </w:r>
      <w:r w:rsidR="008B71AD">
        <w:t xml:space="preserve">at </w:t>
      </w:r>
      <w:r>
        <w:t xml:space="preserve">an airport disaster drill. The symptoms correlate with the presumed intensity and duration of </w:t>
      </w:r>
      <w:r w:rsidRPr="004A70EA">
        <w:t xml:space="preserve">exposure. </w:t>
      </w:r>
      <w:r w:rsidR="00772352">
        <w:t>There are s</w:t>
      </w:r>
      <w:r w:rsidRPr="004A70EA">
        <w:t xml:space="preserve">everal case reports of death </w:t>
      </w:r>
      <w:r w:rsidR="00290906" w:rsidRPr="004A70EA">
        <w:t xml:space="preserve">due to respiratory </w:t>
      </w:r>
      <w:r w:rsidR="00FC4FD7">
        <w:t>effects</w:t>
      </w:r>
      <w:r w:rsidR="00290906" w:rsidRPr="004A70EA">
        <w:t xml:space="preserve"> and insufficiency </w:t>
      </w:r>
      <w:r w:rsidRPr="004A70EA">
        <w:t xml:space="preserve">following acute accidental exposure </w:t>
      </w:r>
      <w:r w:rsidR="00772352">
        <w:t>at</w:t>
      </w:r>
      <w:r w:rsidRPr="004A70EA">
        <w:t xml:space="preserve"> high concentrations</w:t>
      </w:r>
      <w:r w:rsidR="00290906" w:rsidRPr="004A70EA">
        <w:t xml:space="preserve"> (ACGIH, 2018).</w:t>
      </w:r>
      <w:r w:rsidR="00290906">
        <w:t xml:space="preserve"> </w:t>
      </w:r>
      <w:r w:rsidR="00290906">
        <w:rPr>
          <w:rFonts w:cs="Arial"/>
          <w:color w:val="1C1D1E"/>
          <w:shd w:val="clear" w:color="auto" w:fill="FFFFFF"/>
        </w:rPr>
        <w:t xml:space="preserve">Exposure </w:t>
      </w:r>
      <w:r w:rsidR="00772352">
        <w:rPr>
          <w:rFonts w:cs="Arial"/>
          <w:color w:val="1C1D1E"/>
          <w:shd w:val="clear" w:color="auto" w:fill="FFFFFF"/>
        </w:rPr>
        <w:t>at</w:t>
      </w:r>
      <w:r w:rsidR="00290906">
        <w:rPr>
          <w:rFonts w:cs="Arial"/>
          <w:color w:val="1C1D1E"/>
          <w:shd w:val="clear" w:color="auto" w:fill="FFFFFF"/>
        </w:rPr>
        <w:t xml:space="preserve"> 120 mg/m</w:t>
      </w:r>
      <w:r w:rsidR="00290906">
        <w:rPr>
          <w:rFonts w:cs="Arial"/>
          <w:color w:val="1C1D1E"/>
          <w:sz w:val="18"/>
          <w:szCs w:val="18"/>
          <w:shd w:val="clear" w:color="auto" w:fill="FFFFFF"/>
          <w:vertAlign w:val="superscript"/>
        </w:rPr>
        <w:t>3</w:t>
      </w:r>
      <w:r w:rsidR="00290906">
        <w:rPr>
          <w:rFonts w:cs="Arial"/>
          <w:color w:val="1C1D1E"/>
          <w:shd w:val="clear" w:color="auto" w:fill="FFFFFF"/>
        </w:rPr>
        <w:t xml:space="preserve"> for </w:t>
      </w:r>
      <w:r w:rsidR="00772352">
        <w:rPr>
          <w:rFonts w:cs="Arial"/>
          <w:color w:val="1C1D1E"/>
          <w:shd w:val="clear" w:color="auto" w:fill="FFFFFF"/>
        </w:rPr>
        <w:t>two</w:t>
      </w:r>
      <w:r w:rsidR="00290906">
        <w:rPr>
          <w:rFonts w:cs="Arial"/>
          <w:color w:val="1C1D1E"/>
          <w:shd w:val="clear" w:color="auto" w:fill="FFFFFF"/>
        </w:rPr>
        <w:t xml:space="preserve"> minutes cause</w:t>
      </w:r>
      <w:r w:rsidR="00772352">
        <w:rPr>
          <w:rFonts w:cs="Arial"/>
          <w:color w:val="1C1D1E"/>
          <w:shd w:val="clear" w:color="auto" w:fill="FFFFFF"/>
        </w:rPr>
        <w:t>s</w:t>
      </w:r>
      <w:r w:rsidR="00290906">
        <w:rPr>
          <w:rFonts w:cs="Arial"/>
          <w:color w:val="1C1D1E"/>
          <w:shd w:val="clear" w:color="auto" w:fill="FFFFFF"/>
        </w:rPr>
        <w:t xml:space="preserve"> irritation of the nose, throat and chest</w:t>
      </w:r>
      <w:r w:rsidR="00772352">
        <w:rPr>
          <w:rFonts w:cs="Arial"/>
          <w:color w:val="1C1D1E"/>
          <w:shd w:val="clear" w:color="auto" w:fill="FFFFFF"/>
        </w:rPr>
        <w:t>,</w:t>
      </w:r>
      <w:r w:rsidR="00290906">
        <w:rPr>
          <w:rFonts w:cs="Arial"/>
          <w:color w:val="1C1D1E"/>
          <w:shd w:val="clear" w:color="auto" w:fill="FFFFFF"/>
        </w:rPr>
        <w:t xml:space="preserve"> cough and nausea in human subjects (DFG, 2009).</w:t>
      </w:r>
    </w:p>
    <w:p w14:paraId="00C124C3" w14:textId="28911201" w:rsidR="00FE6BCB" w:rsidRDefault="00772352" w:rsidP="00341949">
      <w:r>
        <w:t>An</w:t>
      </w:r>
      <w:r w:rsidR="00F0393B">
        <w:t xml:space="preserve"> absence of chronic exposure data limits the ability to confidently recommend a TWA</w:t>
      </w:r>
      <w:r>
        <w:t>.</w:t>
      </w:r>
      <w:r w:rsidR="00F0393B">
        <w:t xml:space="preserve"> </w:t>
      </w:r>
      <w:r>
        <w:t>T</w:t>
      </w:r>
      <w:r w:rsidR="00F0393B">
        <w:t>herefore</w:t>
      </w:r>
      <w:r>
        <w:t>,</w:t>
      </w:r>
      <w:r w:rsidR="00F0393B">
        <w:t xml:space="preserve"> the current TWA is recommended to be removed. Based</w:t>
      </w:r>
      <w:r w:rsidR="00290906">
        <w:t xml:space="preserve"> </w:t>
      </w:r>
      <w:r w:rsidR="008B71AD">
        <w:t xml:space="preserve">on </w:t>
      </w:r>
      <w:r w:rsidR="00290906">
        <w:t>evidence that 4.8 mg/m</w:t>
      </w:r>
      <w:r w:rsidR="00290906">
        <w:rPr>
          <w:vertAlign w:val="superscript"/>
        </w:rPr>
        <w:t>3</w:t>
      </w:r>
      <w:r w:rsidR="00290906">
        <w:t xml:space="preserve"> for 30 minutes caused mild transient irritation, a STEL of </w:t>
      </w:r>
      <w:r w:rsidR="00341949">
        <w:t>2</w:t>
      </w:r>
      <w:r>
        <w:t> </w:t>
      </w:r>
      <w:r w:rsidR="00290906">
        <w:t>mg/m</w:t>
      </w:r>
      <w:r w:rsidR="00290906">
        <w:rPr>
          <w:vertAlign w:val="superscript"/>
        </w:rPr>
        <w:t>3</w:t>
      </w:r>
      <w:r w:rsidR="00290906" w:rsidRPr="00290906">
        <w:t xml:space="preserve"> </w:t>
      </w:r>
      <w:r w:rsidR="00341949">
        <w:t>as derived by ACGIH (201</w:t>
      </w:r>
      <w:r w:rsidR="00520734">
        <w:t>8</w:t>
      </w:r>
      <w:r w:rsidR="00341949">
        <w:t xml:space="preserve">) </w:t>
      </w:r>
      <w:r w:rsidR="00290906" w:rsidRPr="00290906">
        <w:t xml:space="preserve">is recommended </w:t>
      </w:r>
      <w:r w:rsidR="00290906">
        <w:t>to protect for irritant effects due to the corrosive action of the compound.</w:t>
      </w:r>
      <w:r w:rsidR="008B71AD">
        <w:t xml:space="preserve"> </w:t>
      </w:r>
    </w:p>
    <w:p w14:paraId="584906AC" w14:textId="3D5854FC" w:rsidR="00400881" w:rsidRPr="00341949" w:rsidRDefault="00341949" w:rsidP="00341949">
      <w:r>
        <w:t>Given the limited data regarding chronic exposures, it is recommended that a review of additional sources be conducted at the next scheduled review</w:t>
      </w:r>
      <w:r w:rsidR="00710811">
        <w:t>.</w:t>
      </w:r>
      <w:r w:rsidRPr="00341949" w:rsidDel="00341949">
        <w:t xml:space="preserve"> </w:t>
      </w:r>
    </w:p>
    <w:p w14:paraId="273B44AD" w14:textId="77777777" w:rsidR="004529F0" w:rsidRPr="00710811" w:rsidRDefault="004529F0" w:rsidP="00341949">
      <w:pPr>
        <w:rPr>
          <w:rFonts w:eastAsiaTheme="majorEastAsia" w:cs="Arial"/>
          <w:b/>
          <w:bCs/>
          <w:iCs/>
          <w:color w:val="000000" w:themeColor="text1"/>
          <w:sz w:val="28"/>
          <w:szCs w:val="32"/>
          <w:lang w:eastAsia="en-AU"/>
        </w:rPr>
      </w:pPr>
      <w:r w:rsidRPr="00710811">
        <w:rPr>
          <w:rFonts w:eastAsiaTheme="majorEastAsia" w:cs="Arial"/>
          <w:b/>
          <w:bCs/>
          <w:iCs/>
          <w:color w:val="000000" w:themeColor="text1"/>
          <w:sz w:val="28"/>
          <w:szCs w:val="32"/>
          <w:lang w:eastAsia="en-AU"/>
        </w:rPr>
        <w:lastRenderedPageBreak/>
        <w:t>Recommendation for notations</w:t>
      </w:r>
    </w:p>
    <w:p w14:paraId="27C6755E" w14:textId="77777777" w:rsidR="008E4F1F" w:rsidRPr="00290906" w:rsidRDefault="008E4F1F" w:rsidP="00341949">
      <w:pPr>
        <w:rPr>
          <w:rFonts w:cs="Arial"/>
        </w:rPr>
      </w:pPr>
      <w:r w:rsidRPr="00341949">
        <w:t>Not classified as a carcinogen according to the Globally Harmonized System of</w:t>
      </w:r>
      <w:r w:rsidR="00155999" w:rsidRPr="00341949">
        <w:t xml:space="preserve"> Classification and Labelling of</w:t>
      </w:r>
      <w:r w:rsidRPr="00341949">
        <w:t xml:space="preserve"> Chemicals (GH</w:t>
      </w:r>
      <w:r w:rsidRPr="00290906">
        <w:rPr>
          <w:rFonts w:cs="Arial"/>
        </w:rPr>
        <w:t xml:space="preserve">S). </w:t>
      </w:r>
    </w:p>
    <w:p w14:paraId="03916CCC" w14:textId="77777777" w:rsidR="008E4F1F" w:rsidRPr="00290906" w:rsidRDefault="008E4F1F" w:rsidP="008E4F1F">
      <w:pPr>
        <w:rPr>
          <w:rFonts w:cs="Arial"/>
        </w:rPr>
      </w:pPr>
      <w:r w:rsidRPr="00290906">
        <w:rPr>
          <w:rFonts w:cs="Arial"/>
        </w:rPr>
        <w:t xml:space="preserve">Not classified as a skin </w:t>
      </w:r>
      <w:r w:rsidR="00155999" w:rsidRPr="00290906">
        <w:rPr>
          <w:rFonts w:cs="Arial"/>
        </w:rPr>
        <w:t xml:space="preserve">sensitiser </w:t>
      </w:r>
      <w:r w:rsidRPr="00290906">
        <w:rPr>
          <w:rFonts w:cs="Arial"/>
        </w:rPr>
        <w:t>or respiratory sensitiser according to the GHS.</w:t>
      </w:r>
    </w:p>
    <w:p w14:paraId="21CCE2A5" w14:textId="6E688609" w:rsidR="0025734A" w:rsidRPr="004C23F4" w:rsidRDefault="001D1648">
      <w:pPr>
        <w:rPr>
          <w:rFonts w:cs="Arial"/>
        </w:rPr>
      </w:pPr>
      <w:r>
        <w:rPr>
          <w:rFonts w:cs="Arial"/>
        </w:rPr>
        <w:t>There are i</w:t>
      </w:r>
      <w:r w:rsidR="008E4F1F" w:rsidRPr="00290906">
        <w:rPr>
          <w:rFonts w:cs="Arial"/>
        </w:rPr>
        <w:t xml:space="preserve">nsufficient </w:t>
      </w:r>
      <w:r>
        <w:rPr>
          <w:rFonts w:cs="Arial"/>
        </w:rPr>
        <w:t>data</w:t>
      </w:r>
      <w:r w:rsidR="008E4F1F" w:rsidRPr="00290906">
        <w:rPr>
          <w:rFonts w:cs="Arial"/>
        </w:rPr>
        <w:t xml:space="preserve"> to recommend a skin notation.</w:t>
      </w: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33203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33203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7401AF1D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57504" w:rsidDel="00C8312F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F62051">
                  <w:t>TWA: 1 ppm (2 mg/m</w:t>
                </w:r>
                <w:r w:rsidR="00F62051" w:rsidRPr="00F62051">
                  <w:rPr>
                    <w:vertAlign w:val="superscript"/>
                  </w:rPr>
                  <w:t>3</w:t>
                </w:r>
                <w:r w:rsidR="00F62051">
                  <w:t>)</w:t>
                </w:r>
              </w:sdtContent>
            </w:sdt>
          </w:p>
        </w:tc>
      </w:tr>
      <w:tr w:rsidR="00C978F0" w:rsidRPr="00DA352E" w14:paraId="26087DDB" w14:textId="77777777" w:rsidTr="00332038">
        <w:trPr>
          <w:gridAfter w:val="1"/>
          <w:wAfter w:w="8" w:type="pct"/>
          <w:cantSplit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33203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6925F79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B57504">
                  <w:t>2018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F62051">
                  <w:t>TLV-TWA: 1 mg/m</w:t>
                </w:r>
                <w:r w:rsidR="00F62051" w:rsidRPr="00F62051">
                  <w:rPr>
                    <w:vertAlign w:val="superscript"/>
                  </w:rPr>
                  <w:t>3</w:t>
                </w:r>
                <w:r w:rsidR="00F62051">
                  <w:t>; TLV-</w:t>
                </w:r>
                <w:r w:rsidR="00290906">
                  <w:t>STEL</w:t>
                </w:r>
                <w:r w:rsidR="00F62051">
                  <w:t>: 2 mg/m</w:t>
                </w:r>
                <w:r w:rsidR="00F62051" w:rsidRPr="00F62051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18D532D" w14:textId="77777777" w:rsidTr="00332038">
        <w:trPr>
          <w:gridAfter w:val="1"/>
          <w:wAfter w:w="8" w:type="pct"/>
        </w:trPr>
        <w:tc>
          <w:tcPr>
            <w:tcW w:w="4992" w:type="pct"/>
          </w:tcPr>
          <w:p w14:paraId="33730B88" w14:textId="210EF185" w:rsidR="00C978F0" w:rsidRDefault="00D1747B" w:rsidP="003365A5">
            <w:pPr>
              <w:pStyle w:val="Tabletextprimarysource"/>
            </w:pPr>
            <w:r>
              <w:t>TLV-TWA and TLV-STEL recommended to minimise the potential for dermal and respiratory tract irritation and pulmonary toxicity</w:t>
            </w:r>
            <w:r w:rsidR="00C8312F">
              <w:t xml:space="preserve"> and</w:t>
            </w:r>
            <w:r w:rsidR="004A70EA">
              <w:t xml:space="preserve"> </w:t>
            </w:r>
            <w:r>
              <w:t>depending on exposure concentrations and duration</w:t>
            </w:r>
            <w:r w:rsidR="004A70EA">
              <w:t xml:space="preserve"> </w:t>
            </w:r>
            <w:r>
              <w:t>include pneumonitis, pulmonary oedema and damage to mucous membranes.</w:t>
            </w:r>
          </w:p>
          <w:p w14:paraId="5203DB0C" w14:textId="28A836FA" w:rsidR="00FC4FD7" w:rsidRDefault="00D1747B" w:rsidP="003365A5">
            <w:pPr>
              <w:pStyle w:val="Tabletextprimarysource"/>
            </w:pPr>
            <w:r>
              <w:t>Summary of data</w:t>
            </w:r>
            <w:r w:rsidR="00710811">
              <w:t>:</w:t>
            </w:r>
          </w:p>
          <w:p w14:paraId="234348FB" w14:textId="43F2FB11" w:rsidR="00772352" w:rsidRDefault="00D1747B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Prime evidence for </w:t>
            </w:r>
            <w:r w:rsidR="00AA46BF">
              <w:t>recommendation</w:t>
            </w:r>
            <w:r>
              <w:t>: 30</w:t>
            </w:r>
            <w:r w:rsidR="00772352">
              <w:t xml:space="preserve"> </w:t>
            </w:r>
            <w:r>
              <w:t>min exposure at 4.8 mg/m</w:t>
            </w:r>
            <w:r w:rsidRPr="00D1747B">
              <w:rPr>
                <w:vertAlign w:val="superscript"/>
              </w:rPr>
              <w:t>3</w:t>
            </w:r>
            <w:r>
              <w:t xml:space="preserve"> caused mild, transient respiratory irritation in human subjects</w:t>
            </w:r>
            <w:r w:rsidR="00AA46BF">
              <w:t>:</w:t>
            </w:r>
          </w:p>
          <w:p w14:paraId="7DBD263C" w14:textId="0D8ADCBF" w:rsidR="00D1747B" w:rsidRDefault="00D1747B" w:rsidP="00772352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0.4 mg/m</w:t>
            </w:r>
            <w:r w:rsidRPr="00D1747B">
              <w:rPr>
                <w:vertAlign w:val="superscript"/>
              </w:rPr>
              <w:t>3</w:t>
            </w:r>
            <w:r>
              <w:t xml:space="preserve"> not considered irritating</w:t>
            </w:r>
            <w:r w:rsidR="008B71AD">
              <w:t>.</w:t>
            </w:r>
          </w:p>
          <w:p w14:paraId="78F72F0D" w14:textId="5A8297F6" w:rsidR="00FC4FD7" w:rsidRDefault="00D1747B" w:rsidP="00D1747B">
            <w:pPr>
              <w:pStyle w:val="Tabletextprimarysource"/>
            </w:pPr>
            <w:r>
              <w:t>Human data</w:t>
            </w:r>
            <w:r w:rsidR="00710811">
              <w:t>:</w:t>
            </w:r>
          </w:p>
          <w:p w14:paraId="6529A757" w14:textId="76EBF979" w:rsidR="00D1747B" w:rsidRDefault="00D1747B" w:rsidP="00772352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Symptoms of acute inhalation</w:t>
            </w:r>
            <w:r w:rsidR="004A70EA">
              <w:t xml:space="preserve"> of the fume</w:t>
            </w:r>
            <w:r>
              <w:t>, described as hyperpyrexia, tachypnoea, cyanosis, "burning in the throat," transient bilateral pneumonitis, pneumothorax, sub pleural emphysematous lesions</w:t>
            </w:r>
            <w:r w:rsidR="00C8312F">
              <w:t xml:space="preserve"> and</w:t>
            </w:r>
            <w:r>
              <w:t xml:space="preserve"> progressive adult respiratory distress</w:t>
            </w:r>
          </w:p>
          <w:p w14:paraId="03286CF9" w14:textId="5F0CA1F1" w:rsidR="00FC4FD7" w:rsidRDefault="00D5043C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Several case reports of death following acute accidental exposure</w:t>
            </w:r>
            <w:r w:rsidR="00A90996">
              <w:t xml:space="preserve"> to high concentrations</w:t>
            </w:r>
            <w:r>
              <w:t>; death occurring because of acute respiratory damage and insufficiency</w:t>
            </w:r>
            <w:r w:rsidR="00710811">
              <w:t>:</w:t>
            </w:r>
          </w:p>
          <w:p w14:paraId="25C04036" w14:textId="117BC176" w:rsidR="00D1747B" w:rsidRDefault="00A90996" w:rsidP="00772352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i</w:t>
            </w:r>
            <w:r w:rsidR="00D5043C">
              <w:t>n one such incident,</w:t>
            </w:r>
            <w:r w:rsidR="00520734">
              <w:t xml:space="preserve"> a</w:t>
            </w:r>
            <w:r w:rsidR="00D5043C">
              <w:t xml:space="preserve"> </w:t>
            </w:r>
            <w:r w:rsidR="00520734">
              <w:t>concentration of 4,075 mg/</w:t>
            </w:r>
            <w:r w:rsidR="00520734" w:rsidRPr="00520734">
              <w:t>m</w:t>
            </w:r>
            <w:r w:rsidR="00520734" w:rsidRPr="00520734">
              <w:rPr>
                <w:vertAlign w:val="superscript"/>
              </w:rPr>
              <w:t>3</w:t>
            </w:r>
            <w:r w:rsidR="00520734">
              <w:t xml:space="preserve"> in </w:t>
            </w:r>
            <w:r w:rsidR="00D5043C" w:rsidRPr="00520734">
              <w:t>an</w:t>
            </w:r>
            <w:r w:rsidR="00D5043C">
              <w:t xml:space="preserve"> air sample collected at the scene </w:t>
            </w:r>
          </w:p>
          <w:p w14:paraId="320A3491" w14:textId="53B996B8" w:rsidR="00FC4FD7" w:rsidRDefault="00A90996" w:rsidP="00772352">
            <w:pPr>
              <w:pStyle w:val="ListBullet"/>
              <w:spacing w:before="60" w:after="60"/>
              <w:ind w:left="1080" w:hanging="357"/>
              <w:contextualSpacing w:val="0"/>
            </w:pPr>
            <w:r>
              <w:t xml:space="preserve">Participants in an airport disaster drill </w:t>
            </w:r>
            <w:r w:rsidR="004A70EA">
              <w:t>where</w:t>
            </w:r>
            <w:r>
              <w:t xml:space="preserve"> a smoke bomb was </w:t>
            </w:r>
            <w:r w:rsidR="004A70EA">
              <w:t>d</w:t>
            </w:r>
            <w:r>
              <w:t>e</w:t>
            </w:r>
            <w:r w:rsidR="004A70EA">
              <w:t>p</w:t>
            </w:r>
            <w:r>
              <w:t>loyed exposed at concentrations estimated at 400 mg/m</w:t>
            </w:r>
            <w:r>
              <w:rPr>
                <w:vertAlign w:val="superscript"/>
              </w:rPr>
              <w:t>3</w:t>
            </w:r>
            <w:r w:rsidR="00710811">
              <w:t>:</w:t>
            </w:r>
          </w:p>
          <w:p w14:paraId="4085E000" w14:textId="1DDFA533" w:rsidR="00D5043C" w:rsidRDefault="004A70EA" w:rsidP="00772352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URT</w:t>
            </w:r>
            <w:r w:rsidR="00A90996">
              <w:t xml:space="preserve"> irritative symptoms in exposed victims correlated with presumed intensity and duration of exposure</w:t>
            </w:r>
          </w:p>
          <w:p w14:paraId="4F7E5441" w14:textId="27D15332" w:rsidR="00A90996" w:rsidRDefault="00A90996" w:rsidP="00772352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cough and hoarse or sore throat common early symptoms</w:t>
            </w:r>
          </w:p>
          <w:p w14:paraId="2B869D39" w14:textId="6FE62485" w:rsidR="00A90996" w:rsidRDefault="00994AE4" w:rsidP="00772352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late onset symptoms, including nausea, fatigue or headache, appeared 2</w:t>
            </w:r>
            <w:r w:rsidR="00C8312F">
              <w:rPr>
                <w:rFonts w:cs="Arial"/>
                <w:color w:val="1C1D1E"/>
                <w:shd w:val="clear" w:color="auto" w:fill="FFFFFF"/>
              </w:rPr>
              <w:t>–</w:t>
            </w:r>
            <w:r>
              <w:t xml:space="preserve">20 h </w:t>
            </w:r>
            <w:r w:rsidR="004A70EA">
              <w:t>post-</w:t>
            </w:r>
            <w:r>
              <w:t>exposure</w:t>
            </w:r>
          </w:p>
          <w:p w14:paraId="7A73F5B2" w14:textId="46DF62C7" w:rsidR="00994AE4" w:rsidRDefault="00994AE4" w:rsidP="00772352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no effect of exposure on forced expiratory volume or forced vital capacity</w:t>
            </w:r>
          </w:p>
          <w:p w14:paraId="14EAE626" w14:textId="2EFA4B3C" w:rsidR="00994AE4" w:rsidRDefault="00994AE4" w:rsidP="00772352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 xml:space="preserve">7 subjects had persistent symptoms 48 h </w:t>
            </w:r>
            <w:r w:rsidR="002D544D">
              <w:t>post-</w:t>
            </w:r>
            <w:r>
              <w:t>exposure</w:t>
            </w:r>
          </w:p>
          <w:p w14:paraId="08F745D9" w14:textId="25F68EDB" w:rsidR="00FC4FD7" w:rsidRDefault="0095193E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A</w:t>
            </w:r>
            <w:r w:rsidR="00994AE4">
              <w:t>verage concentration of 4.8 mg/m</w:t>
            </w:r>
            <w:r w:rsidR="00994AE4" w:rsidRPr="00994AE4">
              <w:rPr>
                <w:vertAlign w:val="superscript"/>
              </w:rPr>
              <w:t xml:space="preserve">3 </w:t>
            </w:r>
            <w:r w:rsidR="00994AE4">
              <w:t>over 30-min period caused mild, transient irritation of the respiratory tract in bearing manufacture workers</w:t>
            </w:r>
            <w:r w:rsidR="00710811">
              <w:t>:</w:t>
            </w:r>
          </w:p>
          <w:p w14:paraId="67431B2D" w14:textId="7ED33794" w:rsidR="00A90996" w:rsidRDefault="00994AE4" w:rsidP="00772352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e</w:t>
            </w:r>
            <w:r w:rsidR="00A90996">
              <w:t xml:space="preserve">xposure to levels between </w:t>
            </w:r>
            <w:r>
              <w:t>0.07</w:t>
            </w:r>
            <w:r w:rsidR="00C8312F">
              <w:rPr>
                <w:rFonts w:cs="Arial"/>
                <w:color w:val="1C1D1E"/>
                <w:shd w:val="clear" w:color="auto" w:fill="FFFFFF"/>
              </w:rPr>
              <w:t>–</w:t>
            </w:r>
            <w:r>
              <w:t>0.4 mg/m</w:t>
            </w:r>
            <w:r>
              <w:rPr>
                <w:vertAlign w:val="superscript"/>
              </w:rPr>
              <w:t>3</w:t>
            </w:r>
            <w:r w:rsidR="00A90996">
              <w:t xml:space="preserve"> </w:t>
            </w:r>
            <w:r>
              <w:t xml:space="preserve">for 30 min </w:t>
            </w:r>
            <w:r w:rsidR="00A90996">
              <w:t xml:space="preserve">failed to </w:t>
            </w:r>
            <w:r w:rsidR="00520734">
              <w:t xml:space="preserve">cause </w:t>
            </w:r>
            <w:r w:rsidR="00A90996">
              <w:t>sensory effects</w:t>
            </w:r>
            <w:r w:rsidR="004A70EA">
              <w:t>.</w:t>
            </w:r>
          </w:p>
          <w:p w14:paraId="6747D983" w14:textId="70982F19" w:rsidR="00FC4FD7" w:rsidRDefault="00994AE4" w:rsidP="00994AE4">
            <w:pPr>
              <w:pStyle w:val="Tabletextprimarysource"/>
            </w:pPr>
            <w:r>
              <w:t>Animal data:</w:t>
            </w:r>
          </w:p>
          <w:p w14:paraId="65962A22" w14:textId="080828AC" w:rsidR="00994AE4" w:rsidRDefault="00994AE4" w:rsidP="00772352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10</w:t>
            </w:r>
            <w:r w:rsidR="00772352">
              <w:t xml:space="preserve"> </w:t>
            </w:r>
            <w:r>
              <w:t xml:space="preserve">min exposure </w:t>
            </w:r>
            <w:r w:rsidR="00520734">
              <w:t xml:space="preserve">in </w:t>
            </w:r>
            <w:r>
              <w:t xml:space="preserve">rats to </w:t>
            </w:r>
            <w:r w:rsidR="002D544D">
              <w:t>fume</w:t>
            </w:r>
            <w:r>
              <w:t xml:space="preserve"> </w:t>
            </w:r>
            <w:r>
              <w:rPr>
                <w:rFonts w:cs="Arial"/>
              </w:rPr>
              <w:t>≥</w:t>
            </w:r>
            <w:r>
              <w:t>1</w:t>
            </w:r>
            <w:r w:rsidR="002D544D">
              <w:t>,</w:t>
            </w:r>
            <w:r>
              <w:t>980 mg/m</w:t>
            </w:r>
            <w:r w:rsidRPr="00994AE4">
              <w:rPr>
                <w:vertAlign w:val="superscript"/>
              </w:rPr>
              <w:t>3</w:t>
            </w:r>
            <w:r>
              <w:t xml:space="preserve"> lethal</w:t>
            </w:r>
          </w:p>
          <w:p w14:paraId="71FDD308" w14:textId="67CF90EF" w:rsidR="00994AE4" w:rsidRDefault="007D44D4" w:rsidP="00772352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Focal alveolitis, consolidation, emphysema, macrophage infiltration</w:t>
            </w:r>
            <w:r w:rsidR="00C8312F">
              <w:t xml:space="preserve"> and</w:t>
            </w:r>
            <w:r>
              <w:t xml:space="preserve"> pulmonary fibrosis found in guinea pigs that died following exposure at 248 mg/m</w:t>
            </w:r>
            <w:r>
              <w:rPr>
                <w:vertAlign w:val="superscript"/>
              </w:rPr>
              <w:t>3</w:t>
            </w:r>
            <w:r>
              <w:t xml:space="preserve"> 1 h/d, 5 d/wk for 3 wk</w:t>
            </w:r>
          </w:p>
          <w:p w14:paraId="2168AC93" w14:textId="5A6D07E6" w:rsidR="00FC4FD7" w:rsidRDefault="007D44D4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Rats and mice exposed at 254 mg/m</w:t>
            </w:r>
            <w:r>
              <w:rPr>
                <w:vertAlign w:val="superscript"/>
              </w:rPr>
              <w:t>3</w:t>
            </w:r>
            <w:r>
              <w:t xml:space="preserve"> for 1 h/d, 5 d/wk survived 20 </w:t>
            </w:r>
            <w:r w:rsidR="00FC4FD7">
              <w:t>wk</w:t>
            </w:r>
            <w:r>
              <w:t xml:space="preserve"> of exposure</w:t>
            </w:r>
            <w:r w:rsidR="00710811">
              <w:t>:</w:t>
            </w:r>
          </w:p>
          <w:p w14:paraId="49B1519F" w14:textId="67BF163E" w:rsidR="007D44D4" w:rsidRDefault="007D44D4" w:rsidP="00772352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animals developed pulmonary macrophage infiltration when studied 13 mo after treatment</w:t>
            </w:r>
          </w:p>
          <w:p w14:paraId="494A8CCE" w14:textId="5BD8C532" w:rsidR="007D44D4" w:rsidRDefault="00D5612D" w:rsidP="00772352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No </w:t>
            </w:r>
            <w:r w:rsidR="00E829A4">
              <w:t xml:space="preserve">carcinogenic </w:t>
            </w:r>
            <w:r>
              <w:t xml:space="preserve">evidence </w:t>
            </w:r>
            <w:r w:rsidR="00E829A4">
              <w:t xml:space="preserve">of </w:t>
            </w:r>
            <w:r>
              <w:t>zinc compounds after administration by any route other than injection</w:t>
            </w:r>
            <w:r w:rsidR="004A70EA">
              <w:t>.</w:t>
            </w:r>
          </w:p>
          <w:p w14:paraId="51888C48" w14:textId="77777777" w:rsidR="00772352" w:rsidRDefault="00772352" w:rsidP="00D5612D">
            <w:pPr>
              <w:pStyle w:val="Tabletextprimarysource"/>
            </w:pPr>
          </w:p>
          <w:p w14:paraId="3B371AB3" w14:textId="77777777" w:rsidR="00D5612D" w:rsidRDefault="00D5612D" w:rsidP="00D5612D">
            <w:pPr>
              <w:pStyle w:val="Tabletextprimarysource"/>
            </w:pPr>
            <w:r>
              <w:t>Insufficient evidence to recommend a skin, sensitiser or carcinogen notation.</w:t>
            </w:r>
          </w:p>
          <w:p w14:paraId="0CE4D35D" w14:textId="7E7A7713" w:rsidR="00772352" w:rsidRPr="00DA352E" w:rsidRDefault="00772352" w:rsidP="00D5612D">
            <w:pPr>
              <w:pStyle w:val="Tabletextprimarysource"/>
            </w:pPr>
          </w:p>
        </w:tc>
      </w:tr>
      <w:tr w:rsidR="00C978F0" w:rsidRPr="00DA352E" w14:paraId="174F8B79" w14:textId="77777777" w:rsidTr="0033203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1AE794C" w14:textId="4E6567CA" w:rsidR="00C978F0" w:rsidRDefault="00DA352E" w:rsidP="00AD2AED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7305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FC4FD7" w:rsidDel="00C8312F">
                  <w:t>2009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F62051">
                  <w:t>MAK: 2 mg/m</w:t>
                </w:r>
                <w:r w:rsidR="00F62051" w:rsidRPr="00AD2AED">
                  <w:rPr>
                    <w:vertAlign w:val="superscript"/>
                  </w:rPr>
                  <w:t>3</w:t>
                </w:r>
                <w:r w:rsidR="00F62051">
                  <w:t xml:space="preserve"> </w:t>
                </w:r>
                <w:r w:rsidR="00AD2AED">
                  <w:t>(inhalable fraction)</w:t>
                </w:r>
              </w:sdtContent>
            </w:sdt>
            <w:r w:rsidR="00AD2AED">
              <w:tab/>
              <w:t xml:space="preserve"> </w:t>
            </w:r>
          </w:p>
          <w:p w14:paraId="65BCCE9F" w14:textId="1B467FEB" w:rsidR="00AD2AED" w:rsidRPr="00DA352E" w:rsidRDefault="00AD2AED" w:rsidP="00AD2AED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7305"/>
              </w:tabs>
            </w:pPr>
            <w:r>
              <w:t xml:space="preserve">                                                   MAK: 0.1 mg/m</w:t>
            </w:r>
            <w:r w:rsidRPr="00AD2AED">
              <w:rPr>
                <w:vertAlign w:val="superscript"/>
              </w:rPr>
              <w:t>3</w:t>
            </w:r>
            <w:r w:rsidR="00D5612D">
              <w:t xml:space="preserve"> </w:t>
            </w:r>
            <w:r>
              <w:t>(respirable fraction)</w:t>
            </w:r>
          </w:p>
        </w:tc>
      </w:tr>
      <w:tr w:rsidR="00C978F0" w:rsidRPr="00DA352E" w14:paraId="4433014F" w14:textId="77777777" w:rsidTr="00332038">
        <w:trPr>
          <w:gridAfter w:val="1"/>
          <w:wAfter w:w="8" w:type="pct"/>
          <w:cantSplit/>
        </w:trPr>
        <w:tc>
          <w:tcPr>
            <w:tcW w:w="4992" w:type="pct"/>
          </w:tcPr>
          <w:p w14:paraId="788EB7CE" w14:textId="281F24A1" w:rsidR="00D5612D" w:rsidRDefault="00D5612D" w:rsidP="003365A5">
            <w:pPr>
              <w:pStyle w:val="Tabletextprimarysource"/>
            </w:pPr>
            <w:r>
              <w:t xml:space="preserve">MAK for zinc and its inorganic compounds includes zinc chloride. Effects different </w:t>
            </w:r>
            <w:r w:rsidR="002D544D">
              <w:t>based on</w:t>
            </w:r>
            <w:r>
              <w:t xml:space="preserve"> particle sizes.</w:t>
            </w:r>
          </w:p>
          <w:p w14:paraId="4A7051ED" w14:textId="0097CE59" w:rsidR="00FC4FD7" w:rsidRDefault="00D5612D" w:rsidP="003365A5">
            <w:pPr>
              <w:pStyle w:val="Tabletextprimarysource"/>
            </w:pPr>
            <w:r>
              <w:t>Summary of additional data</w:t>
            </w:r>
            <w:r w:rsidR="002D544D">
              <w:t xml:space="preserve"> (ZnCl</w:t>
            </w:r>
            <w:r w:rsidR="002D544D" w:rsidRPr="002D544D">
              <w:rPr>
                <w:vertAlign w:val="subscript"/>
              </w:rPr>
              <w:t>2</w:t>
            </w:r>
            <w:r w:rsidR="002D544D">
              <w:t>)</w:t>
            </w:r>
            <w:r w:rsidR="00710811">
              <w:t>:</w:t>
            </w:r>
          </w:p>
          <w:p w14:paraId="1CE30639" w14:textId="78439246" w:rsidR="00AA46BF" w:rsidRPr="00D5612D" w:rsidRDefault="00D5612D" w:rsidP="00772352">
            <w:pPr>
              <w:pStyle w:val="ListBullet"/>
              <w:spacing w:before="60" w:after="60"/>
              <w:ind w:left="107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In humans, readily soluble </w:t>
            </w:r>
            <w:r w:rsidR="002D544D">
              <w:rPr>
                <w:rFonts w:cs="Arial"/>
                <w:color w:val="1C1D1E"/>
                <w:shd w:val="clear" w:color="auto" w:fill="FFFFFF"/>
              </w:rPr>
              <w:t>and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irritating on inhalation, local corrosive effect after ingestion</w:t>
            </w:r>
            <w:r w:rsidR="00C8312F">
              <w:rPr>
                <w:rFonts w:cs="Arial"/>
                <w:color w:val="1C1D1E"/>
                <w:shd w:val="clear" w:color="auto" w:fill="FFFFFF"/>
              </w:rPr>
              <w:t xml:space="preserve"> and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corrosive to eyes</w:t>
            </w:r>
          </w:p>
          <w:p w14:paraId="270E0836" w14:textId="2FEB7DBD" w:rsidR="00AA46BF" w:rsidRPr="00D5612D" w:rsidRDefault="00AA46BF" w:rsidP="00AA46BF">
            <w:pPr>
              <w:pStyle w:val="ListBullet"/>
              <w:spacing w:before="60" w:after="60"/>
              <w:ind w:left="1077"/>
              <w:contextualSpacing w:val="0"/>
            </w:pPr>
            <w:r w:rsidRPr="00AA46BF">
              <w:rPr>
                <w:rFonts w:cs="Arial"/>
                <w:color w:val="1C1D1E"/>
                <w:shd w:val="clear" w:color="auto" w:fill="FFFFFF"/>
              </w:rPr>
              <w:t>Acute exposure to fumes (particle diameter not specified), for 5 h at 600 mg/m</w:t>
            </w:r>
            <w:r w:rsidRPr="00AA46BF">
              <w:rPr>
                <w:rFonts w:cs="Arial"/>
                <w:color w:val="1C1D1E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 w:rsidRPr="00AA46BF">
              <w:rPr>
                <w:rFonts w:cs="Arial"/>
                <w:color w:val="1C1D1E"/>
                <w:shd w:val="clear" w:color="auto" w:fill="FFFFFF"/>
              </w:rPr>
              <w:t>, caused metal fume fever; a sweetish metallic taste and throat irritation experienced 4</w:t>
            </w:r>
            <w:r>
              <w:rPr>
                <w:rFonts w:cs="Arial"/>
                <w:color w:val="1C1D1E"/>
                <w:shd w:val="clear" w:color="auto" w:fill="FFFFFF"/>
              </w:rPr>
              <w:t>–</w:t>
            </w:r>
            <w:r w:rsidRPr="00AA46BF">
              <w:rPr>
                <w:rFonts w:cs="Arial"/>
                <w:color w:val="1C1D1E"/>
                <w:shd w:val="clear" w:color="auto" w:fill="FFFFFF"/>
              </w:rPr>
              <w:t>12 h after exposure; influenza</w:t>
            </w:r>
            <w:r w:rsidRPr="00AA46BF">
              <w:rPr>
                <w:rFonts w:ascii="Cambria Math" w:hAnsi="Cambria Math" w:cs="Cambria Math"/>
                <w:color w:val="1C1D1E"/>
                <w:shd w:val="clear" w:color="auto" w:fill="FFFFFF"/>
              </w:rPr>
              <w:t>‐</w:t>
            </w:r>
            <w:r w:rsidRPr="00AA46BF">
              <w:rPr>
                <w:rFonts w:cs="Arial"/>
                <w:color w:val="1C1D1E"/>
                <w:shd w:val="clear" w:color="auto" w:fill="FFFFFF"/>
              </w:rPr>
              <w:t>like symptoms can follow, characteristic of metal fume fever</w:t>
            </w:r>
          </w:p>
          <w:p w14:paraId="4B7C9DA3" w14:textId="77777777" w:rsidR="00AA46BF" w:rsidRDefault="00AA46BF" w:rsidP="00AA46BF">
            <w:pPr>
              <w:pStyle w:val="ListBullet"/>
              <w:spacing w:before="60" w:after="60"/>
              <w:ind w:left="1077"/>
              <w:contextualSpacing w:val="0"/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Exposure at 40 mg/m</w:t>
            </w:r>
            <w:r>
              <w:rPr>
                <w:rFonts w:cs="Arial"/>
                <w:color w:val="1C1D1E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aerosol (particle diameter not specified) produced a metallic taste:</w:t>
            </w:r>
          </w:p>
          <w:p w14:paraId="51C32320" w14:textId="77777777" w:rsidR="00AA46BF" w:rsidRPr="00AA46BF" w:rsidRDefault="00AA46BF" w:rsidP="00AA46BF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majority of volunteers, exposure at 80 mg/m</w:t>
            </w:r>
            <w:r>
              <w:rPr>
                <w:rFonts w:cs="Arial"/>
                <w:color w:val="1C1D1E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cs="Arial"/>
                <w:color w:val="1C1D1E"/>
                <w:shd w:val="clear" w:color="auto" w:fill="FFFFFF"/>
              </w:rPr>
              <w:t> (zinc: 38.4 mg/m</w:t>
            </w:r>
            <w:r>
              <w:rPr>
                <w:rFonts w:cs="Arial"/>
                <w:color w:val="1C1D1E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cs="Arial"/>
                <w:color w:val="1C1D1E"/>
                <w:shd w:val="clear" w:color="auto" w:fill="FFFFFF"/>
              </w:rPr>
              <w:t>) for 2 min resulted in slight nausea and cough, whereas exposure to 120 mg/m</w:t>
            </w:r>
            <w:r>
              <w:rPr>
                <w:rFonts w:cs="Arial"/>
                <w:color w:val="1C1D1E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cs="Arial"/>
                <w:color w:val="1C1D1E"/>
                <w:shd w:val="clear" w:color="auto" w:fill="FFFFFF"/>
              </w:rPr>
              <w:t> (zinc: 57.6 mg/m</w:t>
            </w:r>
            <w:r>
              <w:rPr>
                <w:rFonts w:cs="Arial"/>
                <w:color w:val="1C1D1E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cs="Arial"/>
                <w:color w:val="1C1D1E"/>
                <w:shd w:val="clear" w:color="auto" w:fill="FFFFFF"/>
              </w:rPr>
              <w:t>) for 2 min caused irritation of the nose, throat and chest as well as cough and nausea</w:t>
            </w:r>
          </w:p>
          <w:p w14:paraId="78F55A65" w14:textId="434D9DA5" w:rsidR="00D5612D" w:rsidRPr="00D5612D" w:rsidRDefault="00D5612D" w:rsidP="00AA46BF">
            <w:pPr>
              <w:pStyle w:val="ListBullet"/>
              <w:spacing w:before="60" w:after="60"/>
              <w:ind w:left="107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In animals, severely irritating to skin</w:t>
            </w:r>
            <w:r w:rsidR="00AA46BF">
              <w:rPr>
                <w:rFonts w:cs="Arial"/>
                <w:color w:val="1C1D1E"/>
                <w:shd w:val="clear" w:color="auto" w:fill="FFFFFF"/>
              </w:rPr>
              <w:t>.</w:t>
            </w:r>
          </w:p>
          <w:p w14:paraId="61A64F09" w14:textId="1C8C108E" w:rsidR="00772352" w:rsidRPr="00DA352E" w:rsidRDefault="00772352" w:rsidP="00AA46BF">
            <w:pPr>
              <w:pStyle w:val="ListBullet"/>
              <w:numPr>
                <w:ilvl w:val="0"/>
                <w:numId w:val="0"/>
              </w:numPr>
              <w:spacing w:before="60" w:after="60"/>
              <w:ind w:left="1440"/>
              <w:contextualSpacing w:val="0"/>
            </w:pPr>
          </w:p>
        </w:tc>
      </w:tr>
      <w:tr w:rsidR="00C978F0" w:rsidRPr="00DA352E" w14:paraId="0E6A0B2C" w14:textId="77777777" w:rsidTr="0033203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4C73DD3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FC4FD7" w:rsidDel="00C8312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AD2AED">
                  <w:t>NA</w:t>
                </w:r>
              </w:sdtContent>
            </w:sdt>
          </w:p>
        </w:tc>
      </w:tr>
      <w:tr w:rsidR="00C978F0" w:rsidRPr="00DA352E" w14:paraId="2008D281" w14:textId="77777777" w:rsidTr="00332038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13FDAD02" w:rsidR="00C978F0" w:rsidRPr="00DA352E" w:rsidRDefault="00AD2AED" w:rsidP="003365A5">
            <w:pPr>
              <w:pStyle w:val="Tabletextprimarysource"/>
            </w:pPr>
            <w:r>
              <w:t>No report</w:t>
            </w:r>
            <w:r w:rsidR="004A70EA">
              <w:t>.</w:t>
            </w:r>
          </w:p>
        </w:tc>
      </w:tr>
      <w:tr w:rsidR="00DA352E" w:rsidRPr="00DA352E" w14:paraId="12BAB90D" w14:textId="77777777" w:rsidTr="0033203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65DC2C7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FC4FD7" w:rsidDel="00C8312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sdt>
                  <w:sdtPr>
                    <w:id w:val="1985581325"/>
                    <w:placeholder>
                      <w:docPart w:val="72333CCE44494BE283BE9BCBCD2054F2"/>
                    </w:placeholder>
                    <w:text/>
                  </w:sdtPr>
                  <w:sdtEndPr/>
                  <w:sdtContent>
                    <w:r w:rsidR="00FC4FD7" w:rsidDel="00C8312F">
                      <w:t>NA</w:t>
                    </w:r>
                  </w:sdtContent>
                </w:sdt>
              </w:sdtContent>
            </w:sdt>
          </w:p>
        </w:tc>
      </w:tr>
      <w:tr w:rsidR="00DA352E" w:rsidRPr="00DA352E" w14:paraId="33AAF4A6" w14:textId="77777777" w:rsidTr="00332038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05E2E558" w:rsidR="00DA352E" w:rsidRPr="00DA352E" w:rsidRDefault="00AD2AED" w:rsidP="003365A5">
            <w:pPr>
              <w:pStyle w:val="Tabletextprimarysource"/>
            </w:pPr>
            <w:r>
              <w:t>No report</w:t>
            </w:r>
            <w:r w:rsidR="004A70EA">
              <w:t>.</w:t>
            </w:r>
          </w:p>
        </w:tc>
      </w:tr>
      <w:tr w:rsidR="00DA352E" w:rsidRPr="00DA352E" w14:paraId="605F758C" w14:textId="77777777" w:rsidTr="0033203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44CE7DA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FC4FD7" w:rsidDel="00C8312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sdt>
                  <w:sdtPr>
                    <w:id w:val="1570777858"/>
                    <w:placeholder>
                      <w:docPart w:val="A8DF61B4450243A2B70C89095DABABB7"/>
                    </w:placeholder>
                    <w:text/>
                  </w:sdtPr>
                  <w:sdtEndPr/>
                  <w:sdtContent>
                    <w:r w:rsidR="00FC4FD7" w:rsidDel="00C8312F">
                      <w:t>NA</w:t>
                    </w:r>
                  </w:sdtContent>
                </w:sdt>
              </w:sdtContent>
            </w:sdt>
          </w:p>
        </w:tc>
      </w:tr>
      <w:tr w:rsidR="00DA352E" w:rsidRPr="00DA352E" w14:paraId="7050CB3E" w14:textId="77777777" w:rsidTr="00332038">
        <w:trPr>
          <w:gridAfter w:val="1"/>
          <w:wAfter w:w="8" w:type="pct"/>
          <w:cantSplit/>
        </w:trPr>
        <w:tc>
          <w:tcPr>
            <w:tcW w:w="4992" w:type="pct"/>
          </w:tcPr>
          <w:p w14:paraId="492D7791" w14:textId="6C851C9C" w:rsidR="00DA352E" w:rsidRPr="00DA352E" w:rsidRDefault="00AD2AED" w:rsidP="003365A5">
            <w:pPr>
              <w:pStyle w:val="Tabletextprimarysource"/>
            </w:pPr>
            <w:r>
              <w:t>No report</w:t>
            </w:r>
            <w:r w:rsidR="004A70EA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3"/>
        <w:gridCol w:w="661"/>
        <w:gridCol w:w="6450"/>
      </w:tblGrid>
      <w:tr w:rsidR="004966BF" w:rsidRPr="00263255" w14:paraId="6AE89AB3" w14:textId="77777777" w:rsidTr="003320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0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7214C13" w14:textId="77777777" w:rsidTr="00332038">
        <w:trPr>
          <w:cantSplit/>
        </w:trPr>
        <w:tc>
          <w:tcPr>
            <w:tcW w:w="1492" w:type="dxa"/>
          </w:tcPr>
          <w:p w14:paraId="4B3B2A83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37DAB09E" w14:textId="7F9099C0" w:rsidR="004966BF" w:rsidRPr="00CE617F" w:rsidRDefault="00E635A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245F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BB66CBF" w14:textId="366ADCCD" w:rsidR="004966BF" w:rsidRPr="004C23F4" w:rsidRDefault="0061730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50" w:type="dxa"/>
          </w:tcPr>
          <w:p w14:paraId="2552B6BD" w14:textId="7280D657" w:rsidR="00400881" w:rsidRPr="00400881" w:rsidRDefault="00E829A4" w:rsidP="007330FE">
            <w:pPr>
              <w:pStyle w:val="ListBullet"/>
              <w:tabs>
                <w:tab w:val="clear" w:pos="360"/>
              </w:tabs>
              <w:ind w:left="859" w:hanging="564"/>
              <w:rPr>
                <w:rFonts w:cs="Arial"/>
              </w:rPr>
            </w:pPr>
            <w:r>
              <w:rPr>
                <w:rFonts w:cs="Arial"/>
                <w:color w:val="262626"/>
              </w:rPr>
              <w:t>C</w:t>
            </w:r>
            <w:r w:rsidR="0061730E">
              <w:rPr>
                <w:rFonts w:cs="Arial"/>
                <w:color w:val="262626"/>
              </w:rPr>
              <w:t>ritical health effects include loca</w:t>
            </w:r>
            <w:r w:rsidR="00400881">
              <w:rPr>
                <w:rFonts w:cs="Arial"/>
                <w:color w:val="262626"/>
              </w:rPr>
              <w:t>l effects due to corrosivity</w:t>
            </w:r>
          </w:p>
          <w:p w14:paraId="0076C2F1" w14:textId="2C93B1AB" w:rsidR="004966BF" w:rsidRPr="004C23F4" w:rsidRDefault="0061730E" w:rsidP="007330FE">
            <w:pPr>
              <w:pStyle w:val="ListBullet"/>
              <w:tabs>
                <w:tab w:val="clear" w:pos="360"/>
              </w:tabs>
              <w:ind w:left="859" w:hanging="564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  <w:color w:val="262626"/>
              </w:rPr>
              <w:t>Effects on fertility observed at very high doses of soluble zinc chemicals, levels at which occurs are unlikely to result from industrial use</w:t>
            </w:r>
            <w:r w:rsidR="004A70EA">
              <w:rPr>
                <w:rFonts w:cs="Arial"/>
                <w:color w:val="262626"/>
              </w:rPr>
              <w:t>.</w:t>
            </w:r>
          </w:p>
        </w:tc>
      </w:tr>
    </w:tbl>
    <w:bookmarkEnd w:id="0"/>
    <w:p w14:paraId="04408E29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EBB70" w14:textId="77777777" w:rsidTr="002D544D">
        <w:trPr>
          <w:trHeight w:val="454"/>
          <w:tblHeader/>
        </w:trPr>
        <w:tc>
          <w:tcPr>
            <w:tcW w:w="6603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8F4675" w14:textId="0C6DF1B6" w:rsidR="002E0D61" w:rsidRDefault="00772352" w:rsidP="00C3091E">
                <w:pPr>
                  <w:pStyle w:val="Tablefont"/>
                  <w:keepNext/>
                  <w:keepLines/>
                  <w:spacing w:before="40" w:after="40"/>
                </w:pPr>
                <w:r w:rsidDel="00C8312F">
                  <w:t>No</w:t>
                </w:r>
              </w:p>
            </w:tc>
          </w:sdtContent>
        </w:sdt>
      </w:tr>
      <w:tr w:rsidR="00772352" w14:paraId="4D6DDFA3" w14:textId="77777777" w:rsidTr="008A5124">
        <w:trPr>
          <w:trHeight w:val="454"/>
        </w:trPr>
        <w:sdt>
          <w:sdtPr>
            <w:rPr>
              <w:b/>
            </w:rPr>
            <w:id w:val="1830936485"/>
            <w:placeholder>
              <w:docPart w:val="960CC4281DC549489736244CAF5F3240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8F36B73" w14:textId="07DE2EC0" w:rsidR="00772352" w:rsidRDefault="00772352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3320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332038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60ED4FFA" w:rsidR="00687890" w:rsidRPr="00DD2F9B" w:rsidRDefault="00AD2AED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2A0C13EF" w14:textId="77777777" w:rsidTr="00332038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701B3A86" w:rsidR="007925F0" w:rsidRPr="00DD2F9B" w:rsidRDefault="00AD2AED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4C1044B3" w14:textId="77777777" w:rsidTr="00332038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6C9E7B89" w:rsidR="00AF483F" w:rsidRPr="00DD2F9B" w:rsidRDefault="00AD2AED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7812F0EC" w14:textId="77777777" w:rsidTr="00332038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408C0587" w:rsidR="00687890" w:rsidRPr="00DD2F9B" w:rsidRDefault="00AD2AE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332038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1A7D3ECB" w:rsidR="00E41A26" w:rsidRPr="00DD2F9B" w:rsidRDefault="00AD2AED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7A490EF" w14:textId="77777777" w:rsidTr="00332038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74039F5A" w:rsidR="002E0D61" w:rsidRPr="00DD2F9B" w:rsidRDefault="00AD2AED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3FA3590" w14:textId="77777777" w:rsidTr="00332038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09F35076" w:rsidR="002E0D61" w:rsidRPr="00DD2F9B" w:rsidRDefault="00AD2AED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AC7B866" w14:textId="77777777" w:rsidTr="00332038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072481D5" w:rsidR="002E0D61" w:rsidRPr="00DD2F9B" w:rsidRDefault="00AD2AE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332038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5CEDE33C" w:rsidR="002E0D61" w:rsidRPr="00DD2F9B" w:rsidRDefault="00AD2AE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332038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0C74BA61" w:rsidR="00386093" w:rsidRPr="00DD2F9B" w:rsidRDefault="00AD2AE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332038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58A4A258" w:rsidR="00386093" w:rsidRPr="00DD2F9B" w:rsidRDefault="00AD2AED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2A02B966" w:rsidR="00474E33" w:rsidRDefault="00474E33" w:rsidP="00474E33">
      <w:pPr>
        <w:pStyle w:val="Heading3"/>
      </w:pPr>
      <w:r>
        <w:t>Skin notation assessment</w:t>
      </w:r>
    </w:p>
    <w:p w14:paraId="458F5499" w14:textId="6CA4A6CF" w:rsidR="002D544D" w:rsidRPr="002D544D" w:rsidRDefault="002D544D" w:rsidP="002D544D">
      <w:pPr>
        <w:rPr>
          <w:lang w:eastAsia="en-AU"/>
        </w:rPr>
      </w:pPr>
      <w:r w:rsidRPr="00EA0DA8">
        <w:t>Insufficient data to assign a skin notation</w:t>
      </w:r>
      <w:r>
        <w:t>.</w:t>
      </w:r>
    </w:p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551CD8BF" w:rsidR="00EB3D1B" w:rsidRDefault="00772352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51B5C563" w:rsidR="001B79E5" w:rsidRDefault="00AD2AED" w:rsidP="001B79E5">
                <w:pPr>
                  <w:pStyle w:val="Tablefont"/>
                </w:pPr>
                <w:r w:rsidRPr="00AD2AED">
                  <w:t>136.28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52873D16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9A7A77">
                  <w:t>NA</w:t>
                </w:r>
              </w:sdtContent>
            </w:sdt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r w:rsidR="009A7A77">
              <w:t>NA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E635A2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3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0018AC1E" w:rsidR="008E4F1F" w:rsidRDefault="008E4F1F" w:rsidP="008E4F1F">
      <w:pPr>
        <w:rPr>
          <w:b/>
        </w:rPr>
      </w:pPr>
      <w:r w:rsidRPr="002022B6">
        <w:t>Deutsche Forschungsgemeinschaft (DFG)</w:t>
      </w:r>
      <w:r>
        <w:t xml:space="preserve"> (</w:t>
      </w:r>
      <w:r w:rsidR="00DD11A6">
        <w:t>2010</w:t>
      </w:r>
      <w:r>
        <w:t xml:space="preserve">) </w:t>
      </w:r>
      <w:r w:rsidR="00815FC4" w:rsidRPr="00815FC4">
        <w:t>Zinc and its inorganic compounds</w:t>
      </w:r>
      <w:r>
        <w:t xml:space="preserve"> – MAK value documentation.</w:t>
      </w:r>
    </w:p>
    <w:p w14:paraId="1D94FE62" w14:textId="3DF5C76B" w:rsidR="008E4F1F" w:rsidRDefault="008E4F1F" w:rsidP="008E4F1F">
      <w:pPr>
        <w:rPr>
          <w:b/>
        </w:rPr>
      </w:pPr>
      <w:r w:rsidRPr="002022B6">
        <w:t>National Industrial Chemicals Notification and Assessment Scheme (NICNAS)</w:t>
      </w:r>
      <w:r>
        <w:t xml:space="preserve"> (</w:t>
      </w:r>
      <w:r w:rsidR="00770F42" w:rsidRPr="00770F42">
        <w:t>2014</w:t>
      </w:r>
      <w:r>
        <w:t xml:space="preserve">) </w:t>
      </w:r>
      <w:r w:rsidR="00770F42" w:rsidRPr="00770F42">
        <w:t>Zinc chloride (ZnCl2)</w:t>
      </w:r>
      <w:r w:rsidRPr="0071660C">
        <w:t xml:space="preserve">: Human health </w:t>
      </w:r>
      <w:r w:rsidR="00770F42" w:rsidRPr="00770F42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77EFB18B" w14:textId="0FF36DF9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r w:rsidR="00770F42" w:rsidRPr="00770F42">
        <w:t>1994</w:t>
      </w:r>
      <w:r>
        <w:t xml:space="preserve">) Immediately dangerous to life or health concentrations – </w:t>
      </w:r>
      <w:r w:rsidR="00770F42" w:rsidRPr="00770F42">
        <w:t>Zinc chloride fume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D7DC0" w14:textId="77777777" w:rsidR="00B60F5D" w:rsidRDefault="00B60F5D" w:rsidP="00F43AD5">
      <w:pPr>
        <w:spacing w:after="0" w:line="240" w:lineRule="auto"/>
      </w:pPr>
      <w:r>
        <w:separator/>
      </w:r>
    </w:p>
  </w:endnote>
  <w:endnote w:type="continuationSeparator" w:id="0">
    <w:p w14:paraId="28B61E69" w14:textId="77777777" w:rsidR="00B60F5D" w:rsidRDefault="00B60F5D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50CF7B0F" w:rsidR="008A36CF" w:rsidRDefault="00F62051" w:rsidP="0034744C">
        <w:pPr>
          <w:pStyle w:val="Footer"/>
          <w:rPr>
            <w:sz w:val="18"/>
            <w:szCs w:val="18"/>
          </w:rPr>
        </w:pPr>
        <w:r w:rsidRPr="00F62051">
          <w:rPr>
            <w:b/>
            <w:sz w:val="18"/>
            <w:szCs w:val="18"/>
          </w:rPr>
          <w:t>Zinc chloride (fume)</w:t>
        </w:r>
        <w:r w:rsidR="008A36CF">
          <w:rPr>
            <w:b/>
            <w:sz w:val="18"/>
            <w:szCs w:val="18"/>
          </w:rPr>
          <w:t xml:space="preserve"> (</w:t>
        </w:r>
        <w:r w:rsidRPr="00F62051">
          <w:rPr>
            <w:b/>
            <w:sz w:val="18"/>
            <w:szCs w:val="18"/>
          </w:rPr>
          <w:t>7646-85-7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1D1648">
          <w:rPr>
            <w:sz w:val="18"/>
            <w:szCs w:val="18"/>
          </w:rPr>
          <w:t>20</w:t>
        </w:r>
      </w:p>
      <w:p w14:paraId="2D517F5E" w14:textId="523C69A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41949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A9F92" w14:textId="77777777" w:rsidR="00B60F5D" w:rsidRDefault="00B60F5D" w:rsidP="00F43AD5">
      <w:pPr>
        <w:spacing w:after="0" w:line="240" w:lineRule="auto"/>
      </w:pPr>
      <w:r>
        <w:separator/>
      </w:r>
    </w:p>
  </w:footnote>
  <w:footnote w:type="continuationSeparator" w:id="0">
    <w:p w14:paraId="60A46C9B" w14:textId="77777777" w:rsidR="00B60F5D" w:rsidRDefault="00B60F5D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5FE5A" w14:textId="0B692790" w:rsidR="00332038" w:rsidRDefault="00332038" w:rsidP="00332038">
    <w:pPr>
      <w:pStyle w:val="Header"/>
      <w:jc w:val="right"/>
    </w:pPr>
    <w:r>
      <w:rPr>
        <w:noProof/>
        <w:lang w:eastAsia="en-AU"/>
      </w:rPr>
      <w:drawing>
        <wp:inline distT="0" distB="0" distL="0" distR="0" wp14:anchorId="0233399D" wp14:editId="39866EB3">
          <wp:extent cx="2957195" cy="60579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7195" cy="60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105B04E6" w:rsidR="008A36CF" w:rsidRPr="00332038" w:rsidRDefault="008A36CF" w:rsidP="003320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E3281" w14:textId="115C8E18" w:rsidR="00332038" w:rsidRDefault="00332038" w:rsidP="00332038">
    <w:pPr>
      <w:pStyle w:val="Header"/>
      <w:jc w:val="right"/>
    </w:pPr>
    <w:r>
      <w:rPr>
        <w:noProof/>
        <w:lang w:eastAsia="en-AU"/>
      </w:rPr>
      <w:drawing>
        <wp:inline distT="0" distB="0" distL="0" distR="0" wp14:anchorId="3AB5AA97" wp14:editId="39CB809F">
          <wp:extent cx="2957195" cy="60579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7195" cy="60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46F6E53D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786BD2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E993234"/>
    <w:multiLevelType w:val="hybridMultilevel"/>
    <w:tmpl w:val="6C80C1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9E4AAC"/>
    <w:multiLevelType w:val="hybridMultilevel"/>
    <w:tmpl w:val="FCFE5CE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9545281"/>
    <w:multiLevelType w:val="hybridMultilevel"/>
    <w:tmpl w:val="35EC06D6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1185656">
    <w:abstractNumId w:val="0"/>
  </w:num>
  <w:num w:numId="2" w16cid:durableId="1572693353">
    <w:abstractNumId w:val="2"/>
  </w:num>
  <w:num w:numId="3" w16cid:durableId="1272974805">
    <w:abstractNumId w:val="3"/>
  </w:num>
  <w:num w:numId="4" w16cid:durableId="21163168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955DE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10461E"/>
    <w:rsid w:val="00106FAA"/>
    <w:rsid w:val="00113443"/>
    <w:rsid w:val="001269A7"/>
    <w:rsid w:val="001273AD"/>
    <w:rsid w:val="00131092"/>
    <w:rsid w:val="00140E6A"/>
    <w:rsid w:val="00146545"/>
    <w:rsid w:val="00146B75"/>
    <w:rsid w:val="0015266D"/>
    <w:rsid w:val="0015288A"/>
    <w:rsid w:val="00155999"/>
    <w:rsid w:val="00160F47"/>
    <w:rsid w:val="00164AC9"/>
    <w:rsid w:val="001750C6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D1648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4957"/>
    <w:rsid w:val="00276494"/>
    <w:rsid w:val="00277B0C"/>
    <w:rsid w:val="00290906"/>
    <w:rsid w:val="00296707"/>
    <w:rsid w:val="002B1A2C"/>
    <w:rsid w:val="002C22E4"/>
    <w:rsid w:val="002C34F2"/>
    <w:rsid w:val="002C58FF"/>
    <w:rsid w:val="002C7AFE"/>
    <w:rsid w:val="002D05D2"/>
    <w:rsid w:val="002D544D"/>
    <w:rsid w:val="002D6AD0"/>
    <w:rsid w:val="002E0D61"/>
    <w:rsid w:val="002E4C7B"/>
    <w:rsid w:val="0030740C"/>
    <w:rsid w:val="00315833"/>
    <w:rsid w:val="003215EE"/>
    <w:rsid w:val="003224BF"/>
    <w:rsid w:val="003241A8"/>
    <w:rsid w:val="003253F0"/>
    <w:rsid w:val="00332038"/>
    <w:rsid w:val="003337DA"/>
    <w:rsid w:val="00334EFB"/>
    <w:rsid w:val="00335CDE"/>
    <w:rsid w:val="003365A5"/>
    <w:rsid w:val="00341949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293B"/>
    <w:rsid w:val="003B387D"/>
    <w:rsid w:val="003C0D58"/>
    <w:rsid w:val="003D4FA3"/>
    <w:rsid w:val="003E0807"/>
    <w:rsid w:val="003E51FB"/>
    <w:rsid w:val="003E6B39"/>
    <w:rsid w:val="003F07E1"/>
    <w:rsid w:val="00400881"/>
    <w:rsid w:val="004030BC"/>
    <w:rsid w:val="00403F7D"/>
    <w:rsid w:val="00406785"/>
    <w:rsid w:val="004079B4"/>
    <w:rsid w:val="00417A56"/>
    <w:rsid w:val="00420957"/>
    <w:rsid w:val="00422A10"/>
    <w:rsid w:val="00430179"/>
    <w:rsid w:val="0043281E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4C0"/>
    <w:rsid w:val="00490D4C"/>
    <w:rsid w:val="00493A35"/>
    <w:rsid w:val="0049527A"/>
    <w:rsid w:val="004966BF"/>
    <w:rsid w:val="00497984"/>
    <w:rsid w:val="004A0A10"/>
    <w:rsid w:val="004A5088"/>
    <w:rsid w:val="004A70EA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0734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35F1"/>
    <w:rsid w:val="005D4A6E"/>
    <w:rsid w:val="005E6979"/>
    <w:rsid w:val="005E75CB"/>
    <w:rsid w:val="005F3DC2"/>
    <w:rsid w:val="005F7326"/>
    <w:rsid w:val="006013C1"/>
    <w:rsid w:val="0060669E"/>
    <w:rsid w:val="00610F2E"/>
    <w:rsid w:val="00611399"/>
    <w:rsid w:val="0061730E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0811"/>
    <w:rsid w:val="00714021"/>
    <w:rsid w:val="00716A0F"/>
    <w:rsid w:val="00717D45"/>
    <w:rsid w:val="007208F7"/>
    <w:rsid w:val="007218AF"/>
    <w:rsid w:val="007330FE"/>
    <w:rsid w:val="007365D1"/>
    <w:rsid w:val="00740E0E"/>
    <w:rsid w:val="00750212"/>
    <w:rsid w:val="00754779"/>
    <w:rsid w:val="0075716D"/>
    <w:rsid w:val="00765F14"/>
    <w:rsid w:val="00770E31"/>
    <w:rsid w:val="00770F42"/>
    <w:rsid w:val="00772352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D44D4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5FC4"/>
    <w:rsid w:val="008245FF"/>
    <w:rsid w:val="00826F21"/>
    <w:rsid w:val="00834CC8"/>
    <w:rsid w:val="00835E00"/>
    <w:rsid w:val="00837113"/>
    <w:rsid w:val="008414E4"/>
    <w:rsid w:val="00843E21"/>
    <w:rsid w:val="0084508E"/>
    <w:rsid w:val="00850F8A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1AD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00A38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39F2"/>
    <w:rsid w:val="00946044"/>
    <w:rsid w:val="0094660B"/>
    <w:rsid w:val="00946A33"/>
    <w:rsid w:val="0095193E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4AE4"/>
    <w:rsid w:val="009971C2"/>
    <w:rsid w:val="009A1254"/>
    <w:rsid w:val="009A7A77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5B47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0996"/>
    <w:rsid w:val="00A93057"/>
    <w:rsid w:val="00A968B0"/>
    <w:rsid w:val="00AA46BF"/>
    <w:rsid w:val="00AB2672"/>
    <w:rsid w:val="00AB2817"/>
    <w:rsid w:val="00AB43C4"/>
    <w:rsid w:val="00AC32E7"/>
    <w:rsid w:val="00AC3A9F"/>
    <w:rsid w:val="00AC6D2F"/>
    <w:rsid w:val="00AD2AED"/>
    <w:rsid w:val="00AE2745"/>
    <w:rsid w:val="00AE2F64"/>
    <w:rsid w:val="00AF42CB"/>
    <w:rsid w:val="00AF483F"/>
    <w:rsid w:val="00AF5E07"/>
    <w:rsid w:val="00AF5F06"/>
    <w:rsid w:val="00B00A25"/>
    <w:rsid w:val="00B02DF9"/>
    <w:rsid w:val="00B105CA"/>
    <w:rsid w:val="00B1422A"/>
    <w:rsid w:val="00B1765C"/>
    <w:rsid w:val="00B213C4"/>
    <w:rsid w:val="00B40C60"/>
    <w:rsid w:val="00B479A9"/>
    <w:rsid w:val="00B52EDF"/>
    <w:rsid w:val="00B57504"/>
    <w:rsid w:val="00B60F5D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2692D"/>
    <w:rsid w:val="00C3091E"/>
    <w:rsid w:val="00C40FF1"/>
    <w:rsid w:val="00C419E2"/>
    <w:rsid w:val="00C477CA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312F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1747B"/>
    <w:rsid w:val="00D21D8C"/>
    <w:rsid w:val="00D31357"/>
    <w:rsid w:val="00D33220"/>
    <w:rsid w:val="00D334D1"/>
    <w:rsid w:val="00D44C89"/>
    <w:rsid w:val="00D5043C"/>
    <w:rsid w:val="00D516CD"/>
    <w:rsid w:val="00D5612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A7018"/>
    <w:rsid w:val="00DC7694"/>
    <w:rsid w:val="00DD11A6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416B"/>
    <w:rsid w:val="00E46BCB"/>
    <w:rsid w:val="00E51CAF"/>
    <w:rsid w:val="00E60F04"/>
    <w:rsid w:val="00E62AAC"/>
    <w:rsid w:val="00E635A2"/>
    <w:rsid w:val="00E67C2F"/>
    <w:rsid w:val="00E67EF5"/>
    <w:rsid w:val="00E804EA"/>
    <w:rsid w:val="00E80A71"/>
    <w:rsid w:val="00E82337"/>
    <w:rsid w:val="00E829A4"/>
    <w:rsid w:val="00E92499"/>
    <w:rsid w:val="00E949AF"/>
    <w:rsid w:val="00E96077"/>
    <w:rsid w:val="00EA0A06"/>
    <w:rsid w:val="00EA6243"/>
    <w:rsid w:val="00EA74AB"/>
    <w:rsid w:val="00EB3D1B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393B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2051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4FD7"/>
    <w:rsid w:val="00FC60A2"/>
    <w:rsid w:val="00FD1871"/>
    <w:rsid w:val="00FD3110"/>
    <w:rsid w:val="00FE6BCB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Yu Gothic Light" w:hAnsi="Yu Gothic Light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D1747B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C4F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4FD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4FD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4F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4FD7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9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72333CCE44494BE283BE9BCBCD2054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737233-8CFC-4DAE-90BC-3D9931792569}"/>
      </w:docPartPr>
      <w:docPartBody>
        <w:p w:rsidR="003615BE" w:rsidRDefault="00B2438D" w:rsidP="00B2438D">
          <w:pPr>
            <w:pStyle w:val="72333CCE44494BE283BE9BCBCD2054F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A8DF61B4450243A2B70C89095DABAB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700861-DE03-443F-A080-E60D47AF9CC3}"/>
      </w:docPartPr>
      <w:docPartBody>
        <w:p w:rsidR="003615BE" w:rsidRDefault="00B2438D" w:rsidP="00B2438D">
          <w:pPr>
            <w:pStyle w:val="A8DF61B4450243A2B70C89095DABABB7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60CC4281DC549489736244CAF5F32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8B965D-E958-42DD-B266-5FF9F0FDBB92}"/>
      </w:docPartPr>
      <w:docPartBody>
        <w:p w:rsidR="00C454DB" w:rsidRDefault="00D55DCE" w:rsidP="00D55DCE">
          <w:pPr>
            <w:pStyle w:val="960CC4281DC549489736244CAF5F3240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203D37"/>
    <w:rsid w:val="00347D16"/>
    <w:rsid w:val="003615BE"/>
    <w:rsid w:val="003B293B"/>
    <w:rsid w:val="003E0149"/>
    <w:rsid w:val="004C52E4"/>
    <w:rsid w:val="005F7326"/>
    <w:rsid w:val="00755FBF"/>
    <w:rsid w:val="00B2438D"/>
    <w:rsid w:val="00B71FA5"/>
    <w:rsid w:val="00C454DB"/>
    <w:rsid w:val="00CA72D3"/>
    <w:rsid w:val="00D21A9F"/>
    <w:rsid w:val="00D55DCE"/>
    <w:rsid w:val="00D5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55DCE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72333CCE44494BE283BE9BCBCD2054F2">
    <w:name w:val="72333CCE44494BE283BE9BCBCD2054F2"/>
    <w:rsid w:val="00B2438D"/>
  </w:style>
  <w:style w:type="paragraph" w:customStyle="1" w:styleId="A8DF61B4450243A2B70C89095DABABB7">
    <w:name w:val="A8DF61B4450243A2B70C89095DABABB7"/>
    <w:rsid w:val="00B2438D"/>
  </w:style>
  <w:style w:type="paragraph" w:customStyle="1" w:styleId="960CC4281DC549489736244CAF5F3240">
    <w:name w:val="960CC4281DC549489736244CAF5F3240"/>
    <w:rsid w:val="00D55D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40043-2A7C-4503-8C62-BBBD3D24DC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EA6CB9-48FE-4CB0-96C1-C902529629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66D052-0183-4000-8A68-36FE1D9778F8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elements/1.1/"/>
    <ds:schemaRef ds:uri="1c567317-0c4d-4a62-8516-c22afd1b5354"/>
    <ds:schemaRef ds:uri="a0509f21-ed56-4150-9955-96be669e5f2d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9344F19-DA2E-4D2C-9DF9-2B6AF17FC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1243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2020-06-04T03:31:00Z</dcterms:created>
  <dcterms:modified xsi:type="dcterms:W3CDTF">2026-01-09T02:12:00Z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2026-01-07T01:59:34Z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eb80a3de-28d0-4f7d-998f-ea611799719a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