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C8C9C81" w:rsidR="00BD499F" w:rsidRPr="004C23F4" w:rsidRDefault="008B673F" w:rsidP="00B40C60">
          <w:pPr>
            <w:pStyle w:val="Heading1"/>
            <w:jc w:val="center"/>
            <w:rPr>
              <w:rFonts w:ascii="Arial" w:hAnsi="Arial" w:cs="Arial"/>
            </w:rPr>
          </w:pPr>
          <w:r w:rsidRPr="008B673F">
            <w:rPr>
              <w:rFonts w:ascii="Arial" w:hAnsi="Arial" w:cs="Arial"/>
            </w:rPr>
            <w:t xml:space="preserve">Yttrium, metal </w:t>
          </w:r>
          <w:r w:rsidR="00146F75">
            <w:rPr>
              <w:rFonts w:ascii="Arial" w:hAnsi="Arial" w:cs="Arial"/>
            </w:rPr>
            <w:t>And</w:t>
          </w:r>
          <w:r w:rsidRPr="008B673F">
            <w:rPr>
              <w:rFonts w:ascii="Arial" w:hAnsi="Arial" w:cs="Arial"/>
            </w:rPr>
            <w:t xml:space="preserve"> compounds (as Y)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89D6E38" w14:textId="77777777" w:rsidTr="00FB5B7A">
        <w:trPr>
          <w:cantSplit/>
          <w:tblHeader/>
        </w:trPr>
        <w:tc>
          <w:tcPr>
            <w:tcW w:w="399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3EDBFD9E" w14:textId="17ED5E7F" w:rsidR="00F43AD5" w:rsidRPr="00717D45" w:rsidRDefault="00707DE9" w:rsidP="00B76A41">
            <w:pPr>
              <w:pStyle w:val="Tablefont"/>
            </w:pPr>
            <w:r w:rsidRPr="00707DE9">
              <w:t>7440</w:t>
            </w:r>
            <w:r w:rsidRPr="00707DE9">
              <w:rPr>
                <w:rFonts w:ascii="Cambria Math" w:hAnsi="Cambria Math" w:cs="Cambria Math"/>
              </w:rPr>
              <w:t>‐</w:t>
            </w:r>
            <w:r w:rsidRPr="00707DE9">
              <w:t>65</w:t>
            </w:r>
            <w:r w:rsidRPr="00707DE9">
              <w:rPr>
                <w:rFonts w:ascii="Cambria Math" w:hAnsi="Cambria Math" w:cs="Cambria Math"/>
              </w:rPr>
              <w:t>‐</w:t>
            </w:r>
            <w:r w:rsidRPr="00707DE9">
              <w:t>5</w:t>
            </w:r>
          </w:p>
        </w:tc>
      </w:tr>
      <w:tr w:rsidR="00F43AD5" w:rsidRPr="004C23F4" w14:paraId="562A9F51" w14:textId="77777777" w:rsidTr="00FB5B7A">
        <w:trPr>
          <w:cantSplit/>
        </w:trPr>
        <w:tc>
          <w:tcPr>
            <w:tcW w:w="399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32648AB9" w14:textId="07985B2B" w:rsidR="00F43AD5" w:rsidRPr="00717D45" w:rsidRDefault="000070E3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FB5B7A">
        <w:trPr>
          <w:cantSplit/>
        </w:trPr>
        <w:tc>
          <w:tcPr>
            <w:tcW w:w="399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69369B00" w14:textId="13E6AC73" w:rsidR="00F43AD5" w:rsidRPr="00717D45" w:rsidRDefault="00707DE9" w:rsidP="00B76A41">
            <w:pPr>
              <w:pStyle w:val="Tablefont"/>
            </w:pPr>
            <w:r w:rsidRPr="00707DE9">
              <w:t>Y</w:t>
            </w:r>
          </w:p>
        </w:tc>
      </w:tr>
    </w:tbl>
    <w:p w14:paraId="71D72173" w14:textId="445CF62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E5356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596FBCF" w:rsidR="002C7AFE" w:rsidRPr="000D08E4" w:rsidRDefault="000D08E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6A76CDB4" w:rsidR="00037E52" w:rsidRPr="00EB3D1B" w:rsidRDefault="006E5356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B11F9BC" w:rsidR="00155999" w:rsidRPr="00EB3D1B" w:rsidRDefault="00155999" w:rsidP="00037E52">
            <w:pPr>
              <w:pStyle w:val="Tablefont"/>
              <w:rPr>
                <w:b/>
              </w:rPr>
            </w:pPr>
            <w:r w:rsidRPr="005B6923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D08E4" w:rsidRPr="005B6923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3F2B10B2" w:rsidR="006639B4" w:rsidRDefault="000D08E4" w:rsidP="000C139A">
      <w:pPr>
        <w:rPr>
          <w:rFonts w:cs="Arial"/>
        </w:rPr>
      </w:pPr>
      <w:r w:rsidRPr="000D08E4">
        <w:rPr>
          <w:rFonts w:cs="Arial"/>
        </w:rPr>
        <w:t xml:space="preserve">A TWA of </w:t>
      </w:r>
      <w:r>
        <w:rPr>
          <w:rFonts w:cs="Arial"/>
        </w:rPr>
        <w:t>1</w:t>
      </w:r>
      <w:r w:rsidRPr="000D08E4">
        <w:rPr>
          <w:rFonts w:cs="Arial"/>
        </w:rPr>
        <w:t xml:space="preserve"> mg/m</w:t>
      </w:r>
      <w:r w:rsidRPr="000D08E4">
        <w:rPr>
          <w:rFonts w:cs="Arial"/>
          <w:vertAlign w:val="superscript"/>
        </w:rPr>
        <w:t>3</w:t>
      </w:r>
      <w:r w:rsidRPr="000D08E4">
        <w:rPr>
          <w:rFonts w:cs="Arial"/>
        </w:rPr>
        <w:t xml:space="preserve"> is recommended to protect for </w:t>
      </w:r>
      <w:r>
        <w:rPr>
          <w:rFonts w:cs="Arial"/>
        </w:rPr>
        <w:t>pneumoconiosis, pulmonary fibrosis</w:t>
      </w:r>
      <w:r w:rsidR="001B0071">
        <w:rPr>
          <w:rFonts w:cs="Arial"/>
        </w:rPr>
        <w:t xml:space="preserve"> and</w:t>
      </w:r>
      <w:r>
        <w:rPr>
          <w:rFonts w:cs="Arial"/>
        </w:rPr>
        <w:t xml:space="preserve"> respirator</w:t>
      </w:r>
      <w:r w:rsidR="005B6923">
        <w:rPr>
          <w:rFonts w:cs="Arial"/>
        </w:rPr>
        <w:t>y</w:t>
      </w:r>
      <w:r>
        <w:rPr>
          <w:rFonts w:cs="Arial"/>
        </w:rPr>
        <w:t xml:space="preserve"> function impairment</w:t>
      </w:r>
      <w:r w:rsidRPr="000D08E4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60C3629C" w14:textId="0E66BE08" w:rsidR="000D08E4" w:rsidRPr="004C23F4" w:rsidRDefault="000D08E4" w:rsidP="000C139A">
      <w:pPr>
        <w:rPr>
          <w:rFonts w:cs="Arial"/>
        </w:rPr>
      </w:pPr>
      <w:r w:rsidRPr="000D08E4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6E79908" w14:textId="722C4711" w:rsidR="00341C9A" w:rsidRDefault="00ED3FD9" w:rsidP="006639B4">
      <w:pPr>
        <w:rPr>
          <w:rFonts w:cs="Arial"/>
        </w:rPr>
      </w:pPr>
      <w:r>
        <w:rPr>
          <w:rFonts w:cs="Arial"/>
        </w:rPr>
        <w:t xml:space="preserve">Yttrium is used </w:t>
      </w:r>
      <w:r w:rsidR="000D08E4">
        <w:rPr>
          <w:rFonts w:cs="Arial"/>
        </w:rPr>
        <w:t>in nuclear technology, metal alloys, coatings</w:t>
      </w:r>
      <w:r w:rsidR="001B0071">
        <w:rPr>
          <w:rFonts w:cs="Arial"/>
        </w:rPr>
        <w:t xml:space="preserve"> and</w:t>
      </w:r>
      <w:r w:rsidR="000D08E4">
        <w:rPr>
          <w:rFonts w:cs="Arial"/>
        </w:rPr>
        <w:t xml:space="preserve"> lasers.</w:t>
      </w:r>
      <w:r w:rsidR="005B6923">
        <w:rPr>
          <w:rFonts w:cs="Arial"/>
        </w:rPr>
        <w:t xml:space="preserve"> </w:t>
      </w:r>
    </w:p>
    <w:p w14:paraId="2F22D729" w14:textId="658A2A59" w:rsidR="00ED3FD9" w:rsidRDefault="00341C9A" w:rsidP="006639B4">
      <w:pPr>
        <w:rPr>
          <w:rFonts w:cs="Arial"/>
        </w:rPr>
      </w:pPr>
      <w:r>
        <w:rPr>
          <w:rFonts w:cs="Arial"/>
        </w:rPr>
        <w:t>The c</w:t>
      </w:r>
      <w:r w:rsidR="00ED3FD9">
        <w:rPr>
          <w:rFonts w:cs="Arial"/>
        </w:rPr>
        <w:t xml:space="preserve">ritical effects </w:t>
      </w:r>
      <w:r w:rsidR="005B6923">
        <w:rPr>
          <w:rFonts w:cs="Arial"/>
        </w:rPr>
        <w:t xml:space="preserve">of exposure </w:t>
      </w:r>
      <w:r w:rsidR="00ED3FD9">
        <w:rPr>
          <w:rFonts w:cs="Arial"/>
        </w:rPr>
        <w:t xml:space="preserve">are </w:t>
      </w:r>
      <w:r w:rsidR="00AF42FB">
        <w:rPr>
          <w:rFonts w:cs="Arial"/>
        </w:rPr>
        <w:t xml:space="preserve">pneumoconiosis, </w:t>
      </w:r>
      <w:r w:rsidR="00ED3FD9">
        <w:rPr>
          <w:rFonts w:cs="Arial"/>
        </w:rPr>
        <w:t>pulmonary fibrosis</w:t>
      </w:r>
      <w:r w:rsidR="001B0071">
        <w:rPr>
          <w:rFonts w:cs="Arial"/>
        </w:rPr>
        <w:t xml:space="preserve"> and</w:t>
      </w:r>
      <w:r w:rsidR="00ED3FD9">
        <w:rPr>
          <w:rFonts w:cs="Arial"/>
        </w:rPr>
        <w:t xml:space="preserve"> </w:t>
      </w:r>
      <w:r w:rsidR="00AF42FB">
        <w:rPr>
          <w:rFonts w:cs="Arial"/>
        </w:rPr>
        <w:t>respiratory function impairment.</w:t>
      </w:r>
    </w:p>
    <w:p w14:paraId="0E3F0645" w14:textId="6498760E" w:rsidR="00AF42FB" w:rsidRDefault="00AF42FB" w:rsidP="006639B4">
      <w:pPr>
        <w:rPr>
          <w:rFonts w:cs="Arial"/>
        </w:rPr>
      </w:pPr>
      <w:r>
        <w:rPr>
          <w:rFonts w:cs="Arial"/>
        </w:rPr>
        <w:t>Human and animal exposure data are extremely limited. Pneumoconiosis and impairment of respiratory function are reported in miners exposed to dust mixtures containing 64.1% yttrium at concentrations of 1.3 to 25.9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(HCOTN, 2000). It may take </w:t>
      </w:r>
      <w:r w:rsidR="005B6923">
        <w:rPr>
          <w:rFonts w:cs="Arial"/>
        </w:rPr>
        <w:t>one</w:t>
      </w:r>
      <w:r>
        <w:rPr>
          <w:rFonts w:cs="Arial"/>
        </w:rPr>
        <w:t xml:space="preserve"> to </w:t>
      </w:r>
      <w:r w:rsidR="005B6923">
        <w:rPr>
          <w:rFonts w:cs="Arial"/>
        </w:rPr>
        <w:t>three</w:t>
      </w:r>
      <w:r>
        <w:rPr>
          <w:rFonts w:cs="Arial"/>
        </w:rPr>
        <w:t xml:space="preserve"> years for an inhaled dose to be eliminated based on a poorly documented report (HCOTN, 2000). Pulmonary fibrosis is also </w:t>
      </w:r>
      <w:r w:rsidR="00F43883">
        <w:rPr>
          <w:rFonts w:cs="Arial"/>
        </w:rPr>
        <w:t xml:space="preserve">reported </w:t>
      </w:r>
      <w:r>
        <w:rPr>
          <w:rFonts w:cs="Arial"/>
        </w:rPr>
        <w:t>in rats eight months after expos</w:t>
      </w:r>
      <w:r w:rsidR="00FB5B7A">
        <w:rPr>
          <w:rFonts w:cs="Arial"/>
        </w:rPr>
        <w:t>ur</w:t>
      </w:r>
      <w:r>
        <w:rPr>
          <w:rFonts w:cs="Arial"/>
        </w:rPr>
        <w:t>e by intratracheal instillation at 50 mg per animal. (ACGIH, 2018).</w:t>
      </w:r>
    </w:p>
    <w:p w14:paraId="08691761" w14:textId="0FEB8322" w:rsidR="00AF42FB" w:rsidRPr="000D08E4" w:rsidRDefault="00AF42FB" w:rsidP="006639B4">
      <w:pPr>
        <w:rPr>
          <w:rFonts w:cs="Arial"/>
        </w:rPr>
      </w:pPr>
      <w:r>
        <w:rPr>
          <w:rFonts w:cs="Arial"/>
        </w:rPr>
        <w:t>ACGIH (2018) recommends a TWA equivalent of 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based on the results of the intratracheal instillation study with </w:t>
      </w:r>
      <w:r w:rsidR="005B6923">
        <w:rPr>
          <w:rFonts w:cs="Arial"/>
        </w:rPr>
        <w:t>rats but</w:t>
      </w:r>
      <w:r>
        <w:rPr>
          <w:rFonts w:cs="Arial"/>
        </w:rPr>
        <w:t xml:space="preserve"> provides no further justification of this exposure limit. </w:t>
      </w:r>
      <w:r w:rsidR="000D08E4">
        <w:rPr>
          <w:rFonts w:cs="Arial"/>
        </w:rPr>
        <w:t xml:space="preserve">Based on a lack of adequate human and animal data, </w:t>
      </w:r>
      <w:r>
        <w:rPr>
          <w:rFonts w:cs="Arial"/>
        </w:rPr>
        <w:t xml:space="preserve">HCOTN (2000) and DFG (1998) </w:t>
      </w:r>
      <w:r w:rsidR="000D08E4">
        <w:rPr>
          <w:rFonts w:cs="Arial"/>
        </w:rPr>
        <w:t>do not recommend a health-based TWA equivalent. In view of this uncertainty and lack of available substance-specific data, the TWA of 1 mg/m</w:t>
      </w:r>
      <w:r w:rsidR="000D08E4">
        <w:rPr>
          <w:rFonts w:cs="Arial"/>
          <w:vertAlign w:val="superscript"/>
        </w:rPr>
        <w:t>3</w:t>
      </w:r>
      <w:r w:rsidR="000D08E4">
        <w:rPr>
          <w:rFonts w:cs="Arial"/>
        </w:rPr>
        <w:t xml:space="preserve"> is retained in the interim in accordance with the evaluation </w:t>
      </w:r>
      <w:r w:rsidR="00F43883">
        <w:rPr>
          <w:rFonts w:cs="Arial"/>
        </w:rPr>
        <w:t>reported</w:t>
      </w:r>
      <w:r w:rsidR="000D08E4">
        <w:rPr>
          <w:rFonts w:cs="Arial"/>
        </w:rPr>
        <w:t xml:space="preserve"> by ACGIH (2018). </w:t>
      </w:r>
      <w:r w:rsidR="00D4158D">
        <w:rPr>
          <w:rFonts w:cs="Arial"/>
        </w:rPr>
        <w:t>F</w:t>
      </w:r>
      <w:r w:rsidR="000D08E4">
        <w:rPr>
          <w:rFonts w:cs="Arial"/>
        </w:rPr>
        <w:t>urther assessment of additional sources is recommended during subsequent reviews of the WES.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06D4C5B9" w:rsidR="008E4F1F" w:rsidRPr="000D08E4" w:rsidRDefault="008E4F1F" w:rsidP="008E4F1F">
      <w:pPr>
        <w:rPr>
          <w:rFonts w:cs="Arial"/>
        </w:rPr>
      </w:pPr>
      <w:r w:rsidRPr="000D08E4">
        <w:rPr>
          <w:rFonts w:cs="Arial"/>
        </w:rPr>
        <w:t>Not classified as a carcinogen according to the Globally Harmonized System of</w:t>
      </w:r>
      <w:r w:rsidR="00155999" w:rsidRPr="000D08E4">
        <w:rPr>
          <w:rFonts w:cs="Arial"/>
        </w:rPr>
        <w:t xml:space="preserve"> Classification and Labelling of</w:t>
      </w:r>
      <w:r w:rsidRPr="000D08E4">
        <w:rPr>
          <w:rFonts w:cs="Arial"/>
        </w:rPr>
        <w:t xml:space="preserve"> Chemicals (GHS). </w:t>
      </w:r>
      <w:r w:rsidR="000D08E4" w:rsidRPr="000D08E4">
        <w:rPr>
          <w:rFonts w:cs="Arial"/>
        </w:rPr>
        <w:t>However, an entry for the substance was not found in the HCIS database during this evaluation.</w:t>
      </w:r>
    </w:p>
    <w:p w14:paraId="03916CCC" w14:textId="77777777" w:rsidR="008E4F1F" w:rsidRPr="000D08E4" w:rsidRDefault="008E4F1F" w:rsidP="008E4F1F">
      <w:pPr>
        <w:rPr>
          <w:rFonts w:cs="Arial"/>
        </w:rPr>
      </w:pPr>
      <w:r w:rsidRPr="000D08E4">
        <w:rPr>
          <w:rFonts w:cs="Arial"/>
        </w:rPr>
        <w:t xml:space="preserve">Not classified as a skin </w:t>
      </w:r>
      <w:r w:rsidR="00155999" w:rsidRPr="000D08E4">
        <w:rPr>
          <w:rFonts w:cs="Arial"/>
        </w:rPr>
        <w:t xml:space="preserve">sensitiser </w:t>
      </w:r>
      <w:r w:rsidRPr="000D08E4">
        <w:rPr>
          <w:rFonts w:cs="Arial"/>
        </w:rPr>
        <w:t>or respiratory sensitiser according to the GHS.</w:t>
      </w:r>
    </w:p>
    <w:p w14:paraId="7D0772D2" w14:textId="679E55AB" w:rsidR="004529F0" w:rsidRPr="004C23F4" w:rsidRDefault="005B6923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0D08E4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0D08E4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07242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07242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3699EB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07DE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07DE9">
                  <w:t>TWA: 1 mg/m</w:t>
                </w:r>
                <w:r w:rsidR="00707DE9" w:rsidRPr="00707DE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072426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0724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5A764B2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E010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E010E">
                  <w:t>TLV-TWA: 1 mg/m</w:t>
                </w:r>
                <w:r w:rsidR="004E010E" w:rsidRPr="004E010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072426">
        <w:trPr>
          <w:gridAfter w:val="1"/>
          <w:wAfter w:w="8" w:type="pct"/>
        </w:trPr>
        <w:tc>
          <w:tcPr>
            <w:tcW w:w="4992" w:type="pct"/>
          </w:tcPr>
          <w:p w14:paraId="18A3C754" w14:textId="77777777" w:rsidR="00C978F0" w:rsidRDefault="004E3978" w:rsidP="003365A5">
            <w:pPr>
              <w:pStyle w:val="Tabletextprimarysource"/>
            </w:pPr>
            <w:r>
              <w:t xml:space="preserve">TLV-TWA intended to protect for potential respiratory fibrosis as observed in rats. </w:t>
            </w:r>
          </w:p>
          <w:p w14:paraId="6F855856" w14:textId="0161D732" w:rsidR="00F43883" w:rsidRDefault="00AA6EC9" w:rsidP="003365A5">
            <w:pPr>
              <w:pStyle w:val="Tabletextprimarysource"/>
            </w:pPr>
            <w:r>
              <w:t>Summary of information:</w:t>
            </w:r>
          </w:p>
          <w:p w14:paraId="65517D87" w14:textId="21894214" w:rsidR="00AA6EC9" w:rsidRDefault="00D76422" w:rsidP="003365A5">
            <w:pPr>
              <w:pStyle w:val="Tabletextprimarysource"/>
            </w:pPr>
            <w:r>
              <w:t>Human exposure data are very limited, TLV-TWA based on report of respiratory fibrosis in rats following intratracheal instillation.</w:t>
            </w:r>
          </w:p>
          <w:p w14:paraId="65C665AC" w14:textId="29B8B37D" w:rsidR="00F43883" w:rsidRDefault="00AA6EC9" w:rsidP="003365A5">
            <w:pPr>
              <w:pStyle w:val="Tabletextprimarysource"/>
            </w:pPr>
            <w:r>
              <w:t>Human data:</w:t>
            </w:r>
          </w:p>
          <w:p w14:paraId="055617F6" w14:textId="2DCA868F" w:rsidR="00587420" w:rsidRDefault="00587420" w:rsidP="0058742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signs of hepatic necrosis in patients dosed (not specified) with &lt;3.10 </w:t>
            </w:r>
            <w:proofErr w:type="gramStart"/>
            <w:r w:rsidR="00F43883">
              <w:t>-</w:t>
            </w:r>
            <w:r>
              <w:t>(</w:t>
            </w:r>
            <w:proofErr w:type="gramEnd"/>
            <w:r>
              <w:t>no further details provided)</w:t>
            </w:r>
          </w:p>
          <w:p w14:paraId="0E55D0CD" w14:textId="4D98EA5C" w:rsidR="00587420" w:rsidRDefault="00587420" w:rsidP="0058742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adverse effects associated with exposure reported in industrial investigation of yttrium vanadate europium phosphor exposure; mean </w:t>
            </w:r>
            <w:r w:rsidR="005B6923">
              <w:t>Y</w:t>
            </w:r>
            <w:r>
              <w:t xml:space="preserve"> levels: 1.4 mg/m</w:t>
            </w:r>
            <w:r>
              <w:rPr>
                <w:vertAlign w:val="superscript"/>
              </w:rPr>
              <w:t>3</w:t>
            </w:r>
            <w:r w:rsidR="00F642E8">
              <w:t>:</w:t>
            </w:r>
          </w:p>
          <w:p w14:paraId="2A4184A8" w14:textId="1D5B87FE" w:rsidR="00587420" w:rsidRDefault="00587420" w:rsidP="005B6923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 xml:space="preserve">mild irritation of eyes, </w:t>
            </w:r>
            <w:r w:rsidR="005B6923">
              <w:t>URT</w:t>
            </w:r>
            <w:r w:rsidR="001B0071">
              <w:t xml:space="preserve"> and</w:t>
            </w:r>
            <w:r>
              <w:t xml:space="preserve"> skin attributed to vanadium exposure in this study</w:t>
            </w:r>
            <w:r w:rsidR="005B6923">
              <w:t>.</w:t>
            </w:r>
          </w:p>
          <w:p w14:paraId="1C8D18FF" w14:textId="7E63BBC6" w:rsidR="00F43883" w:rsidRDefault="00AA6EC9" w:rsidP="003365A5">
            <w:pPr>
              <w:pStyle w:val="Tabletextprimarysource"/>
            </w:pPr>
            <w:r>
              <w:t>Animal data:</w:t>
            </w:r>
          </w:p>
          <w:p w14:paraId="2C7DBE1F" w14:textId="30B6A1B1" w:rsidR="00D76422" w:rsidRDefault="00D76422" w:rsidP="00D76422">
            <w:pPr>
              <w:pStyle w:val="Tabletextprimarysource"/>
              <w:numPr>
                <w:ilvl w:val="0"/>
                <w:numId w:val="1"/>
              </w:numPr>
            </w:pPr>
            <w:r>
              <w:t>IP LD</w:t>
            </w:r>
            <w:r>
              <w:rPr>
                <w:vertAlign w:val="subscript"/>
              </w:rPr>
              <w:t>50</w:t>
            </w:r>
            <w:r w:rsidR="00F43883">
              <w:t xml:space="preserve"> of </w:t>
            </w:r>
            <w:r>
              <w:t>350 and 500 mg/kg for nitrate and oxide, respectively (rats)</w:t>
            </w:r>
            <w:r w:rsidR="001B0071">
              <w:t xml:space="preserve"> and</w:t>
            </w:r>
            <w:r>
              <w:t xml:space="preserve"> 85–100 mg/kg for the chloride (guinea pigs)</w:t>
            </w:r>
            <w:r w:rsidR="00F642E8">
              <w:t>:</w:t>
            </w:r>
          </w:p>
          <w:p w14:paraId="526790F3" w14:textId="143A611A" w:rsidR="00D76422" w:rsidRDefault="00D76422" w:rsidP="005B6923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 studies show substance is moderately toxic</w:t>
            </w:r>
          </w:p>
          <w:p w14:paraId="1EABF060" w14:textId="7F32D5AD" w:rsidR="00D76422" w:rsidRDefault="00D76422" w:rsidP="00D7642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Substance is primarily deposited in </w:t>
            </w:r>
            <w:r w:rsidR="00F43883">
              <w:t xml:space="preserve">bones </w:t>
            </w:r>
            <w:r>
              <w:t>within hours of administration</w:t>
            </w:r>
          </w:p>
          <w:p w14:paraId="393BEFC2" w14:textId="5C3C45BB" w:rsidR="00D76422" w:rsidRDefault="00D76422" w:rsidP="00D7642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Hepatic necrosis at 50 </w:t>
            </w:r>
            <w:r w:rsidR="00F43883">
              <w:t xml:space="preserve">mg/kg/d </w:t>
            </w:r>
            <w:r>
              <w:t>after 33 d (rats, no further details provided)</w:t>
            </w:r>
          </w:p>
          <w:p w14:paraId="4CCAD8A0" w14:textId="603974B8" w:rsidR="00D76422" w:rsidRDefault="00D76422" w:rsidP="00D76422">
            <w:pPr>
              <w:pStyle w:val="Tabletextprimarysource"/>
              <w:numPr>
                <w:ilvl w:val="0"/>
                <w:numId w:val="1"/>
              </w:numPr>
            </w:pPr>
            <w:r>
              <w:t>Pulmonary fibrosis, emphysema, granulomas, enlarged lymph nodes</w:t>
            </w:r>
            <w:r w:rsidR="001B0071">
              <w:t xml:space="preserve"> and</w:t>
            </w:r>
            <w:r>
              <w:t xml:space="preserve"> giant cells and dust accumulation in lungs following single 50 mg intratracheal instillation (rats, observed for 8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5D9D435F" w14:textId="72F88437" w:rsidR="00D76422" w:rsidRDefault="00D76422" w:rsidP="00F642E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significant accumulation or mortality </w:t>
            </w:r>
            <w:r w:rsidR="00587420">
              <w:t xml:space="preserve">at 60 </w:t>
            </w:r>
            <w:r w:rsidR="00F43883">
              <w:t xml:space="preserve">mg/kg/d </w:t>
            </w:r>
            <w:r w:rsidR="00587420">
              <w:t>in sub</w:t>
            </w:r>
            <w:r w:rsidR="00F43883">
              <w:t>-</w:t>
            </w:r>
            <w:r w:rsidR="00587420">
              <w:t xml:space="preserve">chronic injection (not specified) study (rats, 5 </w:t>
            </w:r>
            <w:proofErr w:type="spellStart"/>
            <w:r w:rsidR="00587420">
              <w:t>mo</w:t>
            </w:r>
            <w:proofErr w:type="spellEnd"/>
            <w:r w:rsidR="00587420">
              <w:t>); no significant skeletal accumulation after bone burden reached 150–200 ppm</w:t>
            </w:r>
            <w:r w:rsidR="00146F75">
              <w:t>.</w:t>
            </w:r>
          </w:p>
          <w:p w14:paraId="79497FC6" w14:textId="77777777" w:rsidR="00FB5B7A" w:rsidRDefault="00FB5B7A" w:rsidP="003365A5">
            <w:pPr>
              <w:pStyle w:val="Tabletextprimarysource"/>
            </w:pPr>
          </w:p>
          <w:p w14:paraId="0C198DF8" w14:textId="173FA2BE" w:rsidR="00AA6EC9" w:rsidRDefault="00AA6EC9" w:rsidP="003365A5">
            <w:pPr>
              <w:pStyle w:val="Tabletextprimarysource"/>
            </w:pPr>
            <w:r>
              <w:t>Insufficient data to recommend a TLV-STEL or notations for carcinogenicity, skin absorption</w:t>
            </w:r>
            <w:r w:rsidR="001B0071">
              <w:t xml:space="preserve"> and</w:t>
            </w:r>
            <w:r>
              <w:t xml:space="preserve"> sensitisation.</w:t>
            </w:r>
          </w:p>
          <w:p w14:paraId="0CE4D35D" w14:textId="13B7C552" w:rsidR="00FB5B7A" w:rsidRPr="00DA352E" w:rsidRDefault="00FB5B7A" w:rsidP="003365A5">
            <w:pPr>
              <w:pStyle w:val="Tabletextprimarysource"/>
            </w:pPr>
          </w:p>
        </w:tc>
      </w:tr>
      <w:tr w:rsidR="00C978F0" w:rsidRPr="00DA352E" w14:paraId="174F8B79" w14:textId="77777777" w:rsidTr="000724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824C07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11955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11955">
                  <w:t>Not assigned</w:t>
                </w:r>
              </w:sdtContent>
            </w:sdt>
          </w:p>
        </w:tc>
      </w:tr>
      <w:tr w:rsidR="00C978F0" w:rsidRPr="00DA352E" w14:paraId="4433014F" w14:textId="77777777" w:rsidTr="00072426">
        <w:trPr>
          <w:gridAfter w:val="1"/>
          <w:wAfter w:w="8" w:type="pct"/>
        </w:trPr>
        <w:tc>
          <w:tcPr>
            <w:tcW w:w="4992" w:type="pct"/>
          </w:tcPr>
          <w:p w14:paraId="778F4A30" w14:textId="42F52359" w:rsidR="00F43883" w:rsidRDefault="00587420" w:rsidP="003365A5">
            <w:pPr>
              <w:pStyle w:val="Tabletextprimarysource"/>
            </w:pPr>
            <w:r>
              <w:t>Summary of additional information:</w:t>
            </w:r>
          </w:p>
          <w:p w14:paraId="62835B04" w14:textId="1A5905E8" w:rsidR="00587420" w:rsidRDefault="00587420" w:rsidP="003365A5">
            <w:pPr>
              <w:pStyle w:val="Tabletextprimarysource"/>
            </w:pPr>
            <w:r>
              <w:t>Previous MAK of 5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53565A">
              <w:t xml:space="preserve">(based on TLV-TWA from 1958) </w:t>
            </w:r>
            <w:r>
              <w:t xml:space="preserve">withdrawn due to lack of </w:t>
            </w:r>
            <w:r w:rsidR="0053565A">
              <w:t xml:space="preserve">suitable data to support an evaluation. </w:t>
            </w:r>
            <w:r w:rsidR="0033411B">
              <w:t>Critical effect are fibrotic changes in the lungs.</w:t>
            </w:r>
          </w:p>
          <w:p w14:paraId="6444556B" w14:textId="6078A6C5" w:rsidR="0033411B" w:rsidRDefault="0033411B" w:rsidP="003365A5">
            <w:pPr>
              <w:pStyle w:val="Tabletextprimarysource"/>
            </w:pPr>
            <w:r>
              <w:t>The nitrate is irritating to the eyes; the oxide is moderately irritating (no further details provided)</w:t>
            </w:r>
            <w:r w:rsidR="005B6923">
              <w:t>.</w:t>
            </w:r>
          </w:p>
          <w:p w14:paraId="753BC8F9" w14:textId="5159E06D" w:rsidR="00F43883" w:rsidRDefault="0053565A" w:rsidP="003365A5">
            <w:pPr>
              <w:pStyle w:val="Tabletextprimarysource"/>
            </w:pPr>
            <w:r>
              <w:t>Human data:</w:t>
            </w:r>
          </w:p>
          <w:p w14:paraId="676BEC75" w14:textId="0003A04D" w:rsidR="00BD67E0" w:rsidRDefault="00E60E9B" w:rsidP="00E72FA1">
            <w:pPr>
              <w:pStyle w:val="Tabletextprimarysource"/>
              <w:numPr>
                <w:ilvl w:val="0"/>
                <w:numId w:val="1"/>
              </w:numPr>
            </w:pPr>
            <w:r>
              <w:t>Fibrotic lung changes in exposed workers (n=6, no details on exposure provided); workers were co-exposed to scandium, lanthanum, cerium, thorium</w:t>
            </w:r>
            <w:r w:rsidR="001B0071">
              <w:t xml:space="preserve"> and</w:t>
            </w:r>
            <w:r>
              <w:t xml:space="preserve"> ionising radiation</w:t>
            </w:r>
            <w:r w:rsidR="00F642E8">
              <w:t>:</w:t>
            </w:r>
          </w:p>
          <w:p w14:paraId="5BD32C36" w14:textId="26295043" w:rsidR="00E60E9B" w:rsidRDefault="00E60E9B" w:rsidP="005B6923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2 cases of lung cancer, </w:t>
            </w:r>
            <w:r w:rsidR="00F43883">
              <w:t xml:space="preserve">DFG </w:t>
            </w:r>
            <w:r>
              <w:t>considers study inadequate for evaluation</w:t>
            </w:r>
            <w:r w:rsidR="005B6923">
              <w:t>.</w:t>
            </w:r>
          </w:p>
          <w:p w14:paraId="685AE077" w14:textId="19F8ED37" w:rsidR="00F43883" w:rsidRDefault="0053565A" w:rsidP="003365A5">
            <w:pPr>
              <w:pStyle w:val="Tabletextprimarysource"/>
            </w:pPr>
            <w:r>
              <w:t>Animal data:</w:t>
            </w:r>
          </w:p>
          <w:p w14:paraId="04C3E4BB" w14:textId="7DB1143B" w:rsidR="0053565A" w:rsidRDefault="00146F75" w:rsidP="0016036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Lung </w:t>
            </w:r>
            <w:r w:rsidR="005B6923">
              <w:t>t</w:t>
            </w:r>
            <w:r w:rsidR="005B6923" w:rsidRPr="005B6923">
              <w:rPr>
                <w:vertAlign w:val="subscript"/>
              </w:rPr>
              <w:t>1/2</w:t>
            </w:r>
            <w:r w:rsidR="00F43883">
              <w:rPr>
                <w:vertAlign w:val="subscript"/>
              </w:rPr>
              <w:t xml:space="preserve"> </w:t>
            </w:r>
            <w:r w:rsidR="00F43883">
              <w:t xml:space="preserve">of </w:t>
            </w:r>
            <w:r>
              <w:t>168 d following intratracheal instillation of 100 µg (rats); 0.1% of dose fo</w:t>
            </w:r>
            <w:r w:rsidR="00E72FA1">
              <w:t>und in kidney after 162 d</w:t>
            </w:r>
          </w:p>
          <w:p w14:paraId="75E90B7F" w14:textId="6A5B2DE2" w:rsidR="00E72FA1" w:rsidRDefault="00E60E9B" w:rsidP="00E60E9B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Accumulation in kidney, liver, femur</w:t>
            </w:r>
            <w:r w:rsidR="001B0071">
              <w:t xml:space="preserve"> and</w:t>
            </w:r>
            <w:r>
              <w:t xml:space="preserve"> spleen, concurrent dose-dependent decrease in iron concentration in liver, kidney and spleen</w:t>
            </w:r>
            <w:r w:rsidR="001B0071">
              <w:t xml:space="preserve"> and</w:t>
            </w:r>
            <w:r>
              <w:t xml:space="preserve"> barium and strontium in femur reported in repeat oral dose study with exposure groups </w:t>
            </w:r>
            <w:r w:rsidR="00F43883">
              <w:t xml:space="preserve">0, </w:t>
            </w:r>
            <w:r>
              <w:t>40, 200</w:t>
            </w:r>
            <w:r w:rsidR="001B0071">
              <w:t xml:space="preserve"> and</w:t>
            </w:r>
            <w:r>
              <w:t xml:space="preserve"> 1,000 mg/kg/d (rats, 28 d)</w:t>
            </w:r>
          </w:p>
          <w:p w14:paraId="1B00BEDF" w14:textId="07BE1E96" w:rsidR="00E60E9B" w:rsidRDefault="00E60E9B" w:rsidP="00E60E9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Delayed </w:t>
            </w:r>
            <w:r w:rsidR="00F43883">
              <w:t>body weight</w:t>
            </w:r>
            <w:r>
              <w:t xml:space="preserve"> gain and non-significant increase in lu</w:t>
            </w:r>
            <w:r w:rsidR="00FB5B7A">
              <w:t>n</w:t>
            </w:r>
            <w:r>
              <w:t>g adenocarcinomas and leukaemia in life-time drinking water study with yttrium chloride (rats)</w:t>
            </w:r>
            <w:r w:rsidR="00F642E8">
              <w:t>:</w:t>
            </w:r>
          </w:p>
          <w:p w14:paraId="55A98BF8" w14:textId="1ECB2D4F" w:rsidR="00E60E9B" w:rsidRDefault="00E60E9B" w:rsidP="005B6923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increased lifespan of dosed rats compared to controls</w:t>
            </w:r>
          </w:p>
          <w:p w14:paraId="7395F78D" w14:textId="20F73E24" w:rsidR="00E60E9B" w:rsidRDefault="00E60E9B" w:rsidP="005B6923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agency considers study design inadequate for evaluation</w:t>
            </w:r>
            <w:r w:rsidR="005B6923">
              <w:t>.</w:t>
            </w:r>
          </w:p>
          <w:p w14:paraId="738FCCB3" w14:textId="77777777" w:rsidR="00FB5B7A" w:rsidRDefault="00FB5B7A" w:rsidP="003365A5">
            <w:pPr>
              <w:pStyle w:val="Tabletextprimarysource"/>
            </w:pPr>
          </w:p>
          <w:p w14:paraId="796B72BC" w14:textId="6020A5C9" w:rsidR="0053565A" w:rsidRDefault="0053565A" w:rsidP="003365A5">
            <w:pPr>
              <w:pStyle w:val="Tabletextprimarysource"/>
            </w:pPr>
            <w:r>
              <w:t>Insufficient data to recommend notations for carcinogenicity, skin absorption</w:t>
            </w:r>
            <w:r w:rsidR="001B0071">
              <w:t xml:space="preserve"> </w:t>
            </w:r>
            <w:r>
              <w:t>or sensitisation.</w:t>
            </w:r>
          </w:p>
          <w:p w14:paraId="61A64F09" w14:textId="6EACE21D" w:rsidR="00FB5B7A" w:rsidRPr="00587420" w:rsidRDefault="00FB5B7A" w:rsidP="003365A5">
            <w:pPr>
              <w:pStyle w:val="Tabletextprimarysource"/>
            </w:pPr>
          </w:p>
        </w:tc>
      </w:tr>
      <w:tr w:rsidR="00C978F0" w:rsidRPr="00DA352E" w14:paraId="0E6A0B2C" w14:textId="77777777" w:rsidTr="000724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A8A42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119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11955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072426">
        <w:trPr>
          <w:gridAfter w:val="1"/>
          <w:wAfter w:w="8" w:type="pct"/>
        </w:trPr>
        <w:tc>
          <w:tcPr>
            <w:tcW w:w="4992" w:type="pct"/>
          </w:tcPr>
          <w:p w14:paraId="153B53C1" w14:textId="4817BFE6" w:rsidR="00C978F0" w:rsidRPr="00DA352E" w:rsidRDefault="00111955" w:rsidP="003365A5">
            <w:pPr>
              <w:pStyle w:val="Tabletextprimarysource"/>
            </w:pPr>
            <w:r>
              <w:t>No report</w:t>
            </w:r>
            <w:r w:rsidR="005B6923">
              <w:t>.</w:t>
            </w:r>
          </w:p>
        </w:tc>
      </w:tr>
      <w:tr w:rsidR="00DA352E" w:rsidRPr="00DA352E" w14:paraId="12BAB90D" w14:textId="77777777" w:rsidTr="000724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B02D37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119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11955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072426">
        <w:trPr>
          <w:gridAfter w:val="1"/>
          <w:wAfter w:w="8" w:type="pct"/>
        </w:trPr>
        <w:tc>
          <w:tcPr>
            <w:tcW w:w="4992" w:type="pct"/>
          </w:tcPr>
          <w:p w14:paraId="2059E4CB" w14:textId="5229A5B5" w:rsidR="00DA352E" w:rsidRPr="00DA352E" w:rsidRDefault="00111955" w:rsidP="003365A5">
            <w:pPr>
              <w:pStyle w:val="Tabletextprimarysource"/>
            </w:pPr>
            <w:r>
              <w:t>No report</w:t>
            </w:r>
            <w:r w:rsidR="005B6923">
              <w:t>.</w:t>
            </w:r>
          </w:p>
        </w:tc>
      </w:tr>
      <w:tr w:rsidR="00DA352E" w:rsidRPr="00DA352E" w14:paraId="605F758C" w14:textId="77777777" w:rsidTr="000724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ABE41D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11955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11955">
                  <w:t>TWA: 1 mg/m</w:t>
                </w:r>
                <w:r w:rsidR="00111955" w:rsidRPr="0011195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072426">
        <w:trPr>
          <w:gridAfter w:val="1"/>
          <w:wAfter w:w="8" w:type="pct"/>
          <w:trHeight w:val="2253"/>
        </w:trPr>
        <w:tc>
          <w:tcPr>
            <w:tcW w:w="4992" w:type="pct"/>
          </w:tcPr>
          <w:p w14:paraId="4532D126" w14:textId="23A80A28" w:rsidR="00F43883" w:rsidRDefault="00E60E9B" w:rsidP="003365A5">
            <w:pPr>
              <w:pStyle w:val="Tabletextprimarysource"/>
            </w:pPr>
            <w:r>
              <w:t>Summary of additional information:</w:t>
            </w:r>
          </w:p>
          <w:p w14:paraId="26DD353A" w14:textId="009A53B6" w:rsidR="00DA352E" w:rsidRDefault="00E60E9B" w:rsidP="003365A5">
            <w:pPr>
              <w:pStyle w:val="Tabletextprimarysource"/>
            </w:pPr>
            <w:r>
              <w:t>Current administrative OEL is 1 mg/m</w:t>
            </w:r>
            <w:r>
              <w:rPr>
                <w:vertAlign w:val="superscript"/>
              </w:rPr>
              <w:t>3</w:t>
            </w:r>
            <w:r>
              <w:t xml:space="preserve">, </w:t>
            </w:r>
            <w:r w:rsidR="00F43883">
              <w:t xml:space="preserve">HCOTN </w:t>
            </w:r>
            <w:r>
              <w:t xml:space="preserve">considers database too weak to </w:t>
            </w:r>
            <w:r w:rsidR="00FB4F30">
              <w:t>derive health-based recommended OEL (HBROEL) or to comment on suitability of current administrative OEL. Toxicity expected to depend on solubility; variability in solubility of different compounds anticipated to complicate grouped assessment. Target organ is the lung.</w:t>
            </w:r>
          </w:p>
          <w:p w14:paraId="743EA246" w14:textId="3B8A22EB" w:rsidR="00F43883" w:rsidRDefault="00FB4F30" w:rsidP="003365A5">
            <w:pPr>
              <w:pStyle w:val="Tabletextprimarysource"/>
            </w:pPr>
            <w:r>
              <w:t>Human data:</w:t>
            </w:r>
          </w:p>
          <w:p w14:paraId="7E0DAF99" w14:textId="33473A4B" w:rsidR="00FB4F30" w:rsidRDefault="00FB4F30" w:rsidP="00FB4F3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16% incidence of pneumoconiosis and respiratory function impairment in miners </w:t>
            </w:r>
            <w:r w:rsidR="009C1D7E">
              <w:t>exposed to dust containing 64.1% yttrium at 1.3–25.9 mg/m</w:t>
            </w:r>
            <w:r w:rsidR="009C1D7E">
              <w:rPr>
                <w:vertAlign w:val="superscript"/>
              </w:rPr>
              <w:t>3</w:t>
            </w:r>
            <w:r w:rsidR="009C1D7E">
              <w:t xml:space="preserve"> </w:t>
            </w:r>
            <w:r>
              <w:t>(n=25, average employment 8.8 yr)</w:t>
            </w:r>
            <w:r w:rsidR="009C1D7E">
              <w:t xml:space="preserve">; </w:t>
            </w:r>
            <w:r w:rsidR="00F43883">
              <w:t xml:space="preserve">referenced publication </w:t>
            </w:r>
            <w:r w:rsidR="009C1D7E">
              <w:t>recommends OEL of 3 mg/m</w:t>
            </w:r>
            <w:r w:rsidR="009C1D7E">
              <w:rPr>
                <w:vertAlign w:val="superscript"/>
              </w:rPr>
              <w:t>3</w:t>
            </w:r>
            <w:r w:rsidR="009C1D7E">
              <w:t>, but agency considers the study inadequate to justify adoption of this recommendation</w:t>
            </w:r>
          </w:p>
          <w:p w14:paraId="0CBE3B8A" w14:textId="2C6B7058" w:rsidR="00FB5B7A" w:rsidRDefault="009C1D7E" w:rsidP="00FB5B7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3-phase clearance mechanism </w:t>
            </w:r>
            <w:r w:rsidR="00AF42FB">
              <w:t xml:space="preserve">of inhaled dose </w:t>
            </w:r>
            <w:r>
              <w:t xml:space="preserve">with </w:t>
            </w:r>
            <w:r w:rsidR="005B6923">
              <w:t>t</w:t>
            </w:r>
            <w:r w:rsidR="005B6923" w:rsidRPr="005B6923">
              <w:rPr>
                <w:vertAlign w:val="subscript"/>
              </w:rPr>
              <w:t>1/2</w:t>
            </w:r>
            <w:r>
              <w:t xml:space="preserve"> of 8 and 20 d</w:t>
            </w:r>
            <w:r w:rsidR="001B0071">
              <w:t xml:space="preserve"> and</w:t>
            </w:r>
            <w:r>
              <w:t xml:space="preserve"> </w:t>
            </w:r>
            <w:r w:rsidR="00FB4F30">
              <w:t>1–3 yr</w:t>
            </w:r>
            <w:r>
              <w:t>, respectively (no further details)</w:t>
            </w:r>
            <w:r w:rsidR="005B6923">
              <w:t>.</w:t>
            </w:r>
          </w:p>
          <w:p w14:paraId="492D7791" w14:textId="19AFEA5A" w:rsidR="00FB5B7A" w:rsidRPr="00E60E9B" w:rsidRDefault="00FB5B7A" w:rsidP="00FB5B7A">
            <w:pPr>
              <w:pStyle w:val="Tabletextprimarysource"/>
              <w:ind w:left="36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2"/>
        <w:gridCol w:w="661"/>
        <w:gridCol w:w="6446"/>
      </w:tblGrid>
      <w:tr w:rsidR="004966BF" w:rsidRPr="00263255" w14:paraId="6AE89AB3" w14:textId="77777777" w:rsidTr="00072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B5CF9D" w14:textId="77777777" w:rsidTr="00072426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1B271840" w14:textId="47D7FC1F" w:rsidR="004966BF" w:rsidRPr="00CE617F" w:rsidRDefault="00DC288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A2B43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45DA2066" w14:textId="668FC300" w:rsidR="004966BF" w:rsidRPr="004C23F4" w:rsidRDefault="006E535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46" w:type="dxa"/>
          </w:tcPr>
          <w:p w14:paraId="5C19B807" w14:textId="7FE5EFEF" w:rsidR="004966BF" w:rsidRPr="004C23F4" w:rsidRDefault="009C1D7E" w:rsidP="00FB5B7A">
            <w:pPr>
              <w:pStyle w:val="Tablefont"/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No </w:t>
            </w:r>
            <w:r w:rsidR="006E5356" w:rsidRPr="006E5356">
              <w:rPr>
                <w:rFonts w:cs="Arial"/>
              </w:rPr>
              <w:t>hazard identified</w:t>
            </w:r>
            <w:r>
              <w:rPr>
                <w:rFonts w:cs="Arial"/>
              </w:rPr>
              <w:t>, therefore no DNEL recommended</w:t>
            </w:r>
            <w:r w:rsidR="005B6923">
              <w:rPr>
                <w:rFonts w:cs="Arial"/>
              </w:rPr>
              <w:t>.</w:t>
            </w:r>
          </w:p>
        </w:tc>
      </w:tr>
      <w:tr w:rsidR="004966BF" w:rsidRPr="004C23F4" w14:paraId="20C4323A" w14:textId="77777777" w:rsidTr="00072426">
        <w:trPr>
          <w:cantSplit/>
        </w:trPr>
        <w:tc>
          <w:tcPr>
            <w:tcW w:w="1497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3CF251E4" w:rsidR="004966BF" w:rsidRDefault="00DC288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E535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13D4C4BE" w:rsidR="004966BF" w:rsidRPr="004C23F4" w:rsidRDefault="006E535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4E1BEF9D" w14:textId="35B7D5BA" w:rsidR="004966BF" w:rsidRPr="004C23F4" w:rsidRDefault="009C1D7E" w:rsidP="00FB5B7A">
            <w:pPr>
              <w:pStyle w:val="Tablefont"/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N</w:t>
            </w:r>
            <w:r w:rsidR="006E5356" w:rsidRPr="006E5356">
              <w:rPr>
                <w:rFonts w:cs="Arial"/>
              </w:rPr>
              <w:t xml:space="preserve">o evidence acute exposure to a high concentration would impede escape or cause any irreversible health effects within 30 </w:t>
            </w:r>
            <w:r>
              <w:rPr>
                <w:rFonts w:cs="Arial"/>
              </w:rPr>
              <w:t xml:space="preserve">min; </w:t>
            </w:r>
            <w:r w:rsidR="006E5356" w:rsidRPr="006E5356">
              <w:rPr>
                <w:rFonts w:cs="Arial"/>
              </w:rPr>
              <w:t>IDLH based on being 500 t</w:t>
            </w:r>
            <w:r>
              <w:rPr>
                <w:rFonts w:cs="Arial"/>
              </w:rPr>
              <w:t>imes the NIOSH REL and OSHA PEL</w:t>
            </w:r>
            <w:r w:rsidR="005B6923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FB5B7A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6E5356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FB5B7A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0C85E55A" w:rsidR="002E0D61" w:rsidRDefault="006E5356" w:rsidP="00FB5B7A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6E5356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FB5B7A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D0000BB" w:rsidR="008A36CF" w:rsidRDefault="006E5356" w:rsidP="00FB5B7A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B5B7A" w14:paraId="4D6DDFA3" w14:textId="77777777" w:rsidTr="00911231">
        <w:trPr>
          <w:trHeight w:val="454"/>
        </w:trPr>
        <w:sdt>
          <w:sdtPr>
            <w:rPr>
              <w:b/>
            </w:rPr>
            <w:id w:val="1830936485"/>
            <w:placeholder>
              <w:docPart w:val="289432A73536415A9353053DDE89A86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60F47157" w:rsidR="00FB5B7A" w:rsidRDefault="00FB5B7A" w:rsidP="00FB5B7A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072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072426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CD26136" w:rsidR="00687890" w:rsidRPr="00DD2F9B" w:rsidRDefault="00111955" w:rsidP="00DD2F9B">
            <w:pPr>
              <w:pStyle w:val="Tablefont"/>
            </w:pPr>
            <w:r w:rsidRPr="00111955">
              <w:t>—</w:t>
            </w:r>
          </w:p>
        </w:tc>
      </w:tr>
      <w:tr w:rsidR="007925F0" w:rsidRPr="004C23F4" w14:paraId="2A0C13EF" w14:textId="77777777" w:rsidTr="00072426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7CC3FEF" w:rsidR="007925F0" w:rsidRPr="00DD2F9B" w:rsidRDefault="0011195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072426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284BC42" w:rsidR="00AF483F" w:rsidRPr="00DD2F9B" w:rsidRDefault="0011195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072426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6B8FEE9" w:rsidR="00687890" w:rsidRPr="00DD2F9B" w:rsidRDefault="0011195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072426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374BF287" w:rsidR="00E41A26" w:rsidRPr="00DD2F9B" w:rsidRDefault="0011195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072426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A9EC3A8" w:rsidR="002E0D61" w:rsidRPr="00DD2F9B" w:rsidRDefault="004E010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072426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FE63306" w:rsidR="002E0D61" w:rsidRPr="00DD2F9B" w:rsidRDefault="00111955" w:rsidP="00DD2F9B">
            <w:pPr>
              <w:pStyle w:val="Tablefont"/>
            </w:pPr>
            <w:r w:rsidRPr="00111955">
              <w:t>Carcinogenicity – 3</w:t>
            </w:r>
          </w:p>
        </w:tc>
      </w:tr>
      <w:tr w:rsidR="002E0D61" w:rsidRPr="004C23F4" w14:paraId="2AC7B866" w14:textId="77777777" w:rsidTr="00072426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21B012E" w:rsidR="002E0D61" w:rsidRPr="00DD2F9B" w:rsidRDefault="0011195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072426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7A937AD5" w:rsidR="002E0D61" w:rsidRPr="00DD2F9B" w:rsidRDefault="0011195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072426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BFECC46" w:rsidR="00386093" w:rsidRPr="00DD2F9B" w:rsidRDefault="004E010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072426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E175DFC" w:rsidR="00386093" w:rsidRPr="00DD2F9B" w:rsidRDefault="004E010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</w:t>
      </w:r>
      <w:r w:rsidR="00D87570" w:rsidRPr="00F642E8">
        <w:t>Agency</w:t>
      </w:r>
      <w:r w:rsidR="00D87570">
        <w:t xml:space="preserve"> has assessed available data for this chemical but has not recommended any notations</w:t>
      </w:r>
    </w:p>
    <w:p w14:paraId="30949ECD" w14:textId="6430D682" w:rsidR="00474E33" w:rsidRDefault="00474E33" w:rsidP="00474E33">
      <w:pPr>
        <w:pStyle w:val="Heading3"/>
      </w:pPr>
      <w:r>
        <w:t>Skin notation assessment</w:t>
      </w:r>
    </w:p>
    <w:p w14:paraId="40A22E7D" w14:textId="37C26FDE" w:rsidR="005B6923" w:rsidRPr="005B6923" w:rsidRDefault="005B6923" w:rsidP="005B6923">
      <w:pPr>
        <w:rPr>
          <w:lang w:eastAsia="en-AU"/>
        </w:rPr>
      </w:pPr>
      <w:r>
        <w:t>Insufficient data to assign a notation</w:t>
      </w:r>
      <w:r w:rsidR="00FB5B7A"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7D1F284" w:rsidR="00EB3D1B" w:rsidRDefault="006E535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317B7A9" w:rsidR="001B79E5" w:rsidRDefault="004E010E" w:rsidP="001B79E5">
                <w:pPr>
                  <w:pStyle w:val="Tablefont"/>
                </w:pPr>
                <w:r w:rsidRPr="004E010E">
                  <w:t>88.90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DC26EB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642E8">
                  <w:t>3.64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642E8" w:rsidRPr="00F642E8">
                  <w:t>0.27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DC288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34C22B96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1F4A8D">
        <w:t>1998</w:t>
      </w:r>
      <w:r>
        <w:t xml:space="preserve">) </w:t>
      </w:r>
      <w:r w:rsidR="004E38CD">
        <w:t xml:space="preserve">Yttrium und seine </w:t>
      </w:r>
      <w:proofErr w:type="spellStart"/>
      <w:r w:rsidR="004E38CD">
        <w:t>verbindungen</w:t>
      </w:r>
      <w:proofErr w:type="spellEnd"/>
      <w:r>
        <w:t xml:space="preserve"> – MAK value documentation.</w:t>
      </w:r>
    </w:p>
    <w:p w14:paraId="28EAA9C1" w14:textId="69286C62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4E38CD" w:rsidRPr="004E38CD">
        <w:t>2000</w:t>
      </w:r>
      <w:r>
        <w:t xml:space="preserve">) </w:t>
      </w:r>
      <w:r w:rsidR="004E38CD" w:rsidRPr="004E38CD">
        <w:t>Yttrium and yttrium compounds</w:t>
      </w:r>
      <w:r w:rsidRPr="005F7416">
        <w:t xml:space="preserve">. Health-based calculated occupational cancer risk values. The Hague: Health Council of the Netherlands; publication no. </w:t>
      </w:r>
      <w:r w:rsidR="004E38CD" w:rsidRPr="004E38CD">
        <w:t>2000/15OSH/017</w:t>
      </w:r>
      <w:r>
        <w:t>.</w:t>
      </w:r>
    </w:p>
    <w:p w14:paraId="77EFB18B" w14:textId="40A8FF2F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4E38CD" w:rsidRPr="004E38CD">
        <w:t>1994</w:t>
      </w:r>
      <w:r>
        <w:t xml:space="preserve">) Immediately dangerous to life or health concentrations – </w:t>
      </w:r>
      <w:r w:rsidR="004E38CD" w:rsidRPr="004E38CD">
        <w:t>Yttrium compounds (as Y)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91376" w14:textId="77777777" w:rsidR="00A21988" w:rsidRDefault="00A21988" w:rsidP="00F43AD5">
      <w:pPr>
        <w:spacing w:after="0" w:line="240" w:lineRule="auto"/>
      </w:pPr>
      <w:r>
        <w:separator/>
      </w:r>
    </w:p>
  </w:endnote>
  <w:endnote w:type="continuationSeparator" w:id="0">
    <w:p w14:paraId="38DF4576" w14:textId="77777777" w:rsidR="00A21988" w:rsidRDefault="00A2198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C002193" w:rsidR="008A36CF" w:rsidRDefault="00665424" w:rsidP="0034744C">
        <w:pPr>
          <w:pStyle w:val="Footer"/>
          <w:rPr>
            <w:sz w:val="18"/>
            <w:szCs w:val="18"/>
          </w:rPr>
        </w:pPr>
        <w:r w:rsidRPr="00665424">
          <w:rPr>
            <w:b/>
            <w:sz w:val="18"/>
            <w:szCs w:val="18"/>
          </w:rPr>
          <w:t>Yttrium, metal &amp; compounds (as Y)</w:t>
        </w:r>
        <w:r w:rsidR="008A36CF">
          <w:rPr>
            <w:b/>
            <w:sz w:val="18"/>
            <w:szCs w:val="18"/>
          </w:rPr>
          <w:t xml:space="preserve"> (</w:t>
        </w:r>
        <w:r w:rsidRPr="00665424">
          <w:rPr>
            <w:b/>
            <w:sz w:val="18"/>
            <w:szCs w:val="18"/>
          </w:rPr>
          <w:t>7440</w:t>
        </w:r>
        <w:r w:rsidRPr="00665424">
          <w:rPr>
            <w:rFonts w:ascii="Cambria Math" w:hAnsi="Cambria Math" w:cs="Cambria Math"/>
            <w:b/>
            <w:sz w:val="18"/>
            <w:szCs w:val="18"/>
          </w:rPr>
          <w:t>‐</w:t>
        </w:r>
        <w:r w:rsidRPr="00665424">
          <w:rPr>
            <w:b/>
            <w:sz w:val="18"/>
            <w:szCs w:val="18"/>
          </w:rPr>
          <w:t>65</w:t>
        </w:r>
        <w:r w:rsidRPr="00665424">
          <w:rPr>
            <w:rFonts w:ascii="Cambria Math" w:hAnsi="Cambria Math" w:cs="Cambria Math"/>
            <w:b/>
            <w:sz w:val="18"/>
            <w:szCs w:val="18"/>
          </w:rPr>
          <w:t>‐</w:t>
        </w:r>
        <w:r w:rsidRPr="00665424">
          <w:rPr>
            <w:b/>
            <w:sz w:val="18"/>
            <w:szCs w:val="18"/>
          </w:rPr>
          <w:t>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5B6923">
          <w:rPr>
            <w:sz w:val="18"/>
            <w:szCs w:val="18"/>
          </w:rPr>
          <w:t>20</w:t>
        </w:r>
      </w:p>
      <w:p w14:paraId="2D517F5E" w14:textId="58D0AAE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A2B43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E01E5" w14:textId="77777777" w:rsidR="00A21988" w:rsidRDefault="00A21988" w:rsidP="00F43AD5">
      <w:pPr>
        <w:spacing w:after="0" w:line="240" w:lineRule="auto"/>
      </w:pPr>
      <w:r>
        <w:separator/>
      </w:r>
    </w:p>
  </w:footnote>
  <w:footnote w:type="continuationSeparator" w:id="0">
    <w:p w14:paraId="2BAC1FCB" w14:textId="77777777" w:rsidR="00A21988" w:rsidRDefault="00A2198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0678" w14:textId="391560E1" w:rsidR="00072426" w:rsidRDefault="00072426" w:rsidP="00072426">
    <w:pPr>
      <w:pStyle w:val="Header"/>
      <w:jc w:val="right"/>
    </w:pPr>
    <w:r>
      <w:rPr>
        <w:noProof/>
        <w:lang w:eastAsia="en-AU"/>
      </w:rPr>
      <w:drawing>
        <wp:inline distT="0" distB="0" distL="0" distR="0" wp14:anchorId="23022BE0" wp14:editId="12702FE6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2FF92C7F" w:rsidR="008A36CF" w:rsidRPr="00072426" w:rsidRDefault="008A36CF" w:rsidP="000724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4194" w14:textId="20785FCC" w:rsidR="00072426" w:rsidRDefault="00072426" w:rsidP="00072426">
    <w:pPr>
      <w:pStyle w:val="Header"/>
      <w:jc w:val="right"/>
    </w:pPr>
    <w:r>
      <w:rPr>
        <w:noProof/>
        <w:lang w:eastAsia="en-AU"/>
      </w:rPr>
      <w:drawing>
        <wp:inline distT="0" distB="0" distL="0" distR="0" wp14:anchorId="3075095F" wp14:editId="5BE1F5E7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27C9C59C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A1FF8"/>
    <w:multiLevelType w:val="hybridMultilevel"/>
    <w:tmpl w:val="01B01B5E"/>
    <w:lvl w:ilvl="0" w:tplc="8DE894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C5B02"/>
    <w:multiLevelType w:val="hybridMultilevel"/>
    <w:tmpl w:val="5C5245A8"/>
    <w:lvl w:ilvl="0" w:tplc="AC3AD3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995010">
    <w:abstractNumId w:val="0"/>
  </w:num>
  <w:num w:numId="2" w16cid:durableId="46766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0E3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2426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08E4"/>
    <w:rsid w:val="000D291C"/>
    <w:rsid w:val="000E5A54"/>
    <w:rsid w:val="000E63D3"/>
    <w:rsid w:val="000E67CF"/>
    <w:rsid w:val="0010461E"/>
    <w:rsid w:val="00106FAA"/>
    <w:rsid w:val="00111955"/>
    <w:rsid w:val="00113443"/>
    <w:rsid w:val="001269A7"/>
    <w:rsid w:val="00131092"/>
    <w:rsid w:val="00140E6A"/>
    <w:rsid w:val="00146545"/>
    <w:rsid w:val="00146B75"/>
    <w:rsid w:val="00146F75"/>
    <w:rsid w:val="0015266D"/>
    <w:rsid w:val="0015288A"/>
    <w:rsid w:val="00155999"/>
    <w:rsid w:val="0016036D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0071"/>
    <w:rsid w:val="001B79E5"/>
    <w:rsid w:val="001D56F0"/>
    <w:rsid w:val="001D663B"/>
    <w:rsid w:val="001D7B41"/>
    <w:rsid w:val="001E46DA"/>
    <w:rsid w:val="001E7D80"/>
    <w:rsid w:val="001F4A8D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D7D"/>
    <w:rsid w:val="0025734A"/>
    <w:rsid w:val="00263255"/>
    <w:rsid w:val="00276494"/>
    <w:rsid w:val="00277B0C"/>
    <w:rsid w:val="002B1A2C"/>
    <w:rsid w:val="002C2F9D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11B"/>
    <w:rsid w:val="00334EFB"/>
    <w:rsid w:val="00335CDE"/>
    <w:rsid w:val="003365A5"/>
    <w:rsid w:val="00341C9A"/>
    <w:rsid w:val="00347192"/>
    <w:rsid w:val="0034744C"/>
    <w:rsid w:val="00351FE0"/>
    <w:rsid w:val="00352615"/>
    <w:rsid w:val="0035412B"/>
    <w:rsid w:val="003567A8"/>
    <w:rsid w:val="00362895"/>
    <w:rsid w:val="00364D7A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010E"/>
    <w:rsid w:val="004E38CD"/>
    <w:rsid w:val="004E397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565A"/>
    <w:rsid w:val="005446A2"/>
    <w:rsid w:val="00544D2F"/>
    <w:rsid w:val="00551BD8"/>
    <w:rsid w:val="00581055"/>
    <w:rsid w:val="00587420"/>
    <w:rsid w:val="00591E38"/>
    <w:rsid w:val="005A19C5"/>
    <w:rsid w:val="005A3034"/>
    <w:rsid w:val="005A462D"/>
    <w:rsid w:val="005B253B"/>
    <w:rsid w:val="005B6923"/>
    <w:rsid w:val="005B771D"/>
    <w:rsid w:val="005C5D16"/>
    <w:rsid w:val="005D3193"/>
    <w:rsid w:val="005D4A6E"/>
    <w:rsid w:val="005E6979"/>
    <w:rsid w:val="005E75CB"/>
    <w:rsid w:val="005E7715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424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356"/>
    <w:rsid w:val="006E5D05"/>
    <w:rsid w:val="00701053"/>
    <w:rsid w:val="00701507"/>
    <w:rsid w:val="00707DE9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673F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F36"/>
    <w:rsid w:val="0099303A"/>
    <w:rsid w:val="009971C2"/>
    <w:rsid w:val="009A1254"/>
    <w:rsid w:val="009B2FF2"/>
    <w:rsid w:val="009B380C"/>
    <w:rsid w:val="009B4843"/>
    <w:rsid w:val="009B6543"/>
    <w:rsid w:val="009C199D"/>
    <w:rsid w:val="009C1D7E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988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6EC9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2FB"/>
    <w:rsid w:val="00AF483F"/>
    <w:rsid w:val="00AF5E07"/>
    <w:rsid w:val="00AF5F06"/>
    <w:rsid w:val="00B00A25"/>
    <w:rsid w:val="00B1422A"/>
    <w:rsid w:val="00B1609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2B43"/>
    <w:rsid w:val="00BA4510"/>
    <w:rsid w:val="00BA529A"/>
    <w:rsid w:val="00BB612A"/>
    <w:rsid w:val="00BD499F"/>
    <w:rsid w:val="00BD56DE"/>
    <w:rsid w:val="00BD67E0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179D"/>
    <w:rsid w:val="00D048F7"/>
    <w:rsid w:val="00D0517E"/>
    <w:rsid w:val="00D140FC"/>
    <w:rsid w:val="00D21D8C"/>
    <w:rsid w:val="00D31357"/>
    <w:rsid w:val="00D33220"/>
    <w:rsid w:val="00D334D1"/>
    <w:rsid w:val="00D4158D"/>
    <w:rsid w:val="00D44C89"/>
    <w:rsid w:val="00D516CD"/>
    <w:rsid w:val="00D668E6"/>
    <w:rsid w:val="00D70670"/>
    <w:rsid w:val="00D74D80"/>
    <w:rsid w:val="00D76422"/>
    <w:rsid w:val="00D76624"/>
    <w:rsid w:val="00D87570"/>
    <w:rsid w:val="00D91CB9"/>
    <w:rsid w:val="00D97989"/>
    <w:rsid w:val="00D97D8D"/>
    <w:rsid w:val="00DA352E"/>
    <w:rsid w:val="00DC2888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E9B"/>
    <w:rsid w:val="00E60F04"/>
    <w:rsid w:val="00E62AAC"/>
    <w:rsid w:val="00E67C2F"/>
    <w:rsid w:val="00E67EF5"/>
    <w:rsid w:val="00E72FA1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3FD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883"/>
    <w:rsid w:val="00F43AD5"/>
    <w:rsid w:val="00F4402E"/>
    <w:rsid w:val="00F45628"/>
    <w:rsid w:val="00F56DD0"/>
    <w:rsid w:val="00F642E8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4F30"/>
    <w:rsid w:val="00FB5B7A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07D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DE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DE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D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DE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289432A73536415A9353053DDE89A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1B4E5-B615-4D12-9BF9-424C3B815825}"/>
      </w:docPartPr>
      <w:docPartBody>
        <w:p w:rsidR="000C3EB0" w:rsidRDefault="00E95E6F" w:rsidP="00E95E6F">
          <w:pPr>
            <w:pStyle w:val="289432A73536415A9353053DDE89A86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3EB0"/>
    <w:rsid w:val="00110D93"/>
    <w:rsid w:val="00347D16"/>
    <w:rsid w:val="00364D7A"/>
    <w:rsid w:val="003E0149"/>
    <w:rsid w:val="005E7715"/>
    <w:rsid w:val="00755FBF"/>
    <w:rsid w:val="00CA72D3"/>
    <w:rsid w:val="00CC0396"/>
    <w:rsid w:val="00D21A9F"/>
    <w:rsid w:val="00E9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5E6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289432A73536415A9353053DDE89A86A">
    <w:name w:val="289432A73536415A9353053DDE89A86A"/>
    <w:rsid w:val="00E95E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284DF-2B0B-4AA8-94CB-ADEE2A15B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a0509f21-ed56-4150-9955-96be669e5f2d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1c567317-0c4d-4a62-8516-c22afd1b53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80212-FC33-4B8E-8515-BA31B5FC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14</cp:revision>
  <cp:lastPrinted>2018-10-22T22:41:00Z</cp:lastPrinted>
  <dcterms:created xsi:type="dcterms:W3CDTF">2019-10-22T00:16:00Z</dcterms:created>
  <dcterms:modified xsi:type="dcterms:W3CDTF">2026-01-09T02:11:00Z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2026-01-07T01:59:16Z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840a3395-0c91-4bcd-99f2-e0d40f544a71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