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41CA48CA" w:rsidR="00BD499F" w:rsidRPr="004C23F4" w:rsidRDefault="00F70879" w:rsidP="00B40C60">
          <w:pPr>
            <w:pStyle w:val="Heading1"/>
            <w:jc w:val="center"/>
            <w:rPr>
              <w:rFonts w:ascii="Arial" w:hAnsi="Arial" w:cs="Arial"/>
            </w:rPr>
          </w:pPr>
          <w:r w:rsidRPr="00F70879">
            <w:rPr>
              <w:rFonts w:ascii="Arial" w:hAnsi="Arial" w:cs="Arial"/>
            </w:rPr>
            <w:t>Vinylidene Fluoride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2"/>
        <w:gridCol w:w="5044"/>
      </w:tblGrid>
      <w:tr w:rsidR="00F43AD5" w:rsidRPr="004C23F4" w14:paraId="189D6E38" w14:textId="77777777" w:rsidTr="00A26A06">
        <w:trPr>
          <w:cantSplit/>
          <w:tblHeader/>
        </w:trPr>
        <w:tc>
          <w:tcPr>
            <w:tcW w:w="3982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4" w:type="dxa"/>
          </w:tcPr>
          <w:p w14:paraId="3EDBFD9E" w14:textId="2BDBDBD3" w:rsidR="00F43AD5" w:rsidRPr="00717D45" w:rsidRDefault="00F70879" w:rsidP="00B76A41">
            <w:pPr>
              <w:pStyle w:val="Tablefont"/>
            </w:pPr>
            <w:r w:rsidRPr="00F70879">
              <w:t>75-38-7</w:t>
            </w:r>
          </w:p>
        </w:tc>
      </w:tr>
      <w:tr w:rsidR="00F43AD5" w:rsidRPr="00441B5C" w14:paraId="562A9F51" w14:textId="77777777" w:rsidTr="00A26A06">
        <w:trPr>
          <w:cantSplit/>
        </w:trPr>
        <w:tc>
          <w:tcPr>
            <w:tcW w:w="3982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4" w:type="dxa"/>
          </w:tcPr>
          <w:p w14:paraId="32648AB9" w14:textId="37263424" w:rsidR="00F43AD5" w:rsidRPr="00B637B3" w:rsidRDefault="00654759" w:rsidP="00B76A41">
            <w:pPr>
              <w:pStyle w:val="Tablefont"/>
              <w:rPr>
                <w:lang w:val="it-IT"/>
              </w:rPr>
            </w:pPr>
            <w:r w:rsidRPr="00B637B3">
              <w:rPr>
                <w:lang w:val="it-IT"/>
              </w:rPr>
              <w:t>E</w:t>
            </w:r>
            <w:r w:rsidR="002D61C4" w:rsidRPr="00B637B3">
              <w:rPr>
                <w:lang w:val="it-IT"/>
              </w:rPr>
              <w:t>thene 1,1-difluoro-, 1,1-difluoro</w:t>
            </w:r>
            <w:r w:rsidRPr="00B637B3">
              <w:rPr>
                <w:lang w:val="it-IT"/>
              </w:rPr>
              <w:t xml:space="preserve">ethylene </w:t>
            </w:r>
            <w:r w:rsidR="002D61C4" w:rsidRPr="00B637B3">
              <w:rPr>
                <w:lang w:val="it-IT"/>
              </w:rPr>
              <w:t>-, Halocarbon 1132A, VDF, vinylidene difluoride</w:t>
            </w:r>
          </w:p>
        </w:tc>
      </w:tr>
      <w:tr w:rsidR="00F43AD5" w:rsidRPr="004C23F4" w14:paraId="6EE54A08" w14:textId="77777777" w:rsidTr="00A26A06">
        <w:trPr>
          <w:cantSplit/>
        </w:trPr>
        <w:tc>
          <w:tcPr>
            <w:tcW w:w="3982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4" w:type="dxa"/>
          </w:tcPr>
          <w:p w14:paraId="69369B00" w14:textId="2B8ECB4E" w:rsidR="00F43AD5" w:rsidRPr="00717D45" w:rsidRDefault="002D61C4" w:rsidP="00B76A41">
            <w:pPr>
              <w:pStyle w:val="Tablefont"/>
            </w:pPr>
            <w:r>
              <w:t>C</w:t>
            </w:r>
            <w:r w:rsidRPr="002D61C4">
              <w:rPr>
                <w:vertAlign w:val="subscript"/>
              </w:rPr>
              <w:t>2</w:t>
            </w:r>
            <w:r>
              <w:t>H</w:t>
            </w:r>
            <w:r w:rsidRPr="002D61C4">
              <w:rPr>
                <w:vertAlign w:val="subscript"/>
              </w:rPr>
              <w:t>2</w:t>
            </w:r>
            <w:r>
              <w:t>F</w:t>
            </w:r>
            <w:r w:rsidRPr="002D61C4">
              <w:rPr>
                <w:vertAlign w:val="subscript"/>
              </w:rPr>
              <w:t>2</w:t>
            </w:r>
          </w:p>
        </w:tc>
      </w:tr>
    </w:tbl>
    <w:p w14:paraId="71D72173" w14:textId="3B96713C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43631A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77777777" w:rsidR="002C7AFE" w:rsidRPr="00EB3D1B" w:rsidRDefault="00037E5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67183C87" w:rsidR="00155999" w:rsidRPr="00EB3D1B" w:rsidRDefault="00155999" w:rsidP="00037E52">
            <w:pPr>
              <w:pStyle w:val="Tablefont"/>
              <w:rPr>
                <w:b/>
              </w:rPr>
            </w:pPr>
            <w:r w:rsidRPr="00654759">
              <w:rPr>
                <w:b/>
                <w:bCs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Cs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654759" w:rsidRPr="00654759">
                  <w:rPr>
                    <w:rStyle w:val="WESstatus"/>
                    <w:bCs/>
                    <w:color w:val="auto"/>
                  </w:rPr>
                  <w:t>N/A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C30D317" w14:textId="623363A0" w:rsidR="00180C99" w:rsidRDefault="007A230B" w:rsidP="00180C99">
      <w:pPr>
        <w:rPr>
          <w:rFonts w:cs="Arial"/>
        </w:rPr>
      </w:pPr>
      <w:r>
        <w:rPr>
          <w:rFonts w:cs="Arial"/>
        </w:rPr>
        <w:t>Insufficient data to recommend a TWA</w:t>
      </w:r>
      <w:r w:rsidR="0043631A">
        <w:rPr>
          <w:rFonts w:cs="Arial"/>
        </w:rPr>
        <w:t>.</w:t>
      </w:r>
      <w:r w:rsidR="00180C99" w:rsidRPr="00180C99">
        <w:rPr>
          <w:rFonts w:cs="Arial"/>
        </w:rPr>
        <w:t xml:space="preserve"> </w:t>
      </w:r>
    </w:p>
    <w:p w14:paraId="56D7D7AF" w14:textId="181EEA48" w:rsidR="006639B4" w:rsidRPr="004C23F4" w:rsidRDefault="00180C99" w:rsidP="000C139A">
      <w:pPr>
        <w:rPr>
          <w:rFonts w:cs="Arial"/>
        </w:rPr>
      </w:pPr>
      <w:r w:rsidRPr="00654759">
        <w:rPr>
          <w:rFonts w:cs="Arial"/>
        </w:rPr>
        <w:t>Insufficient data exists to perform a risk-based assessment and therefore it is recommended that a priority review be undertaken at the next scheduled review of the WES.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B23BF12" w14:textId="77777777" w:rsidR="00D96DE1" w:rsidRDefault="007A230B" w:rsidP="006639B4">
      <w:r>
        <w:t xml:space="preserve">Vinylidene fluoride (VDF) </w:t>
      </w:r>
      <w:r w:rsidR="00654759">
        <w:t>is used as an</w:t>
      </w:r>
      <w:r>
        <w:t xml:space="preserve"> intermediate in chemical synthesis, primarily production of elastomeric copolymers and polyvinylidene fluoride. </w:t>
      </w:r>
    </w:p>
    <w:p w14:paraId="70C122F7" w14:textId="2BF9F382" w:rsidR="007A230B" w:rsidRDefault="007A230B" w:rsidP="006639B4">
      <w:r>
        <w:t>The critical effect of exposure is liver injury.</w:t>
      </w:r>
      <w:r w:rsidR="00D96DE1">
        <w:t xml:space="preserve"> </w:t>
      </w:r>
      <w:r>
        <w:t xml:space="preserve">No human data are available. Limited data in animals </w:t>
      </w:r>
      <w:r w:rsidR="000F543E">
        <w:t xml:space="preserve">are </w:t>
      </w:r>
      <w:r w:rsidR="00441B5C">
        <w:t>available</w:t>
      </w:r>
      <w:r>
        <w:t xml:space="preserve">. Increased liver enzyme activity </w:t>
      </w:r>
      <w:r w:rsidR="00A26A06">
        <w:t xml:space="preserve">is </w:t>
      </w:r>
      <w:r>
        <w:t>reported in</w:t>
      </w:r>
      <w:r w:rsidR="0043631A">
        <w:t xml:space="preserve"> sub</w:t>
      </w:r>
      <w:r w:rsidR="001C6650">
        <w:t>-</w:t>
      </w:r>
      <w:r w:rsidR="0043631A">
        <w:t xml:space="preserve">chronic inhalation </w:t>
      </w:r>
      <w:r>
        <w:t>studies</w:t>
      </w:r>
      <w:r w:rsidR="001C6650">
        <w:t xml:space="preserve"> in</w:t>
      </w:r>
      <w:r w:rsidR="0043631A">
        <w:t xml:space="preserve"> </w:t>
      </w:r>
      <w:r w:rsidR="001C6650">
        <w:t xml:space="preserve">rat </w:t>
      </w:r>
      <w:r w:rsidR="0043631A">
        <w:t xml:space="preserve">at exposure of 25,000 ppm. </w:t>
      </w:r>
      <w:r w:rsidR="00441B5C">
        <w:t>E</w:t>
      </w:r>
      <w:r w:rsidR="0043631A">
        <w:t xml:space="preserve">xperimental rats </w:t>
      </w:r>
      <w:r w:rsidR="00215EF9">
        <w:t xml:space="preserve">were </w:t>
      </w:r>
      <w:r w:rsidR="0043631A">
        <w:t xml:space="preserve">treated with phenobarbital and polychlorinated biphenyls to increase the activity of liver metabolic enzymes. The results </w:t>
      </w:r>
      <w:r w:rsidR="00215EF9">
        <w:t xml:space="preserve">of this study </w:t>
      </w:r>
      <w:r w:rsidR="0043631A">
        <w:t>suggest hepatotoxicity requires</w:t>
      </w:r>
      <w:r>
        <w:t xml:space="preserve"> metabolism of VDF to a reactive epoxide, a process also identified with toxicity associated with other closely related chloroethenes, vinyl chloride and vinylidene chloride</w:t>
      </w:r>
      <w:r w:rsidR="0043631A">
        <w:t xml:space="preserve">. </w:t>
      </w:r>
      <w:r>
        <w:t xml:space="preserve">VDF is metabolised slowly compared </w:t>
      </w:r>
      <w:r w:rsidR="00441B5C">
        <w:t>with other</w:t>
      </w:r>
      <w:r>
        <w:t xml:space="preserve"> chloroethylene</w:t>
      </w:r>
      <w:r w:rsidR="00441B5C">
        <w:t xml:space="preserve"> organics</w:t>
      </w:r>
      <w:r>
        <w:t xml:space="preserve"> </w:t>
      </w:r>
      <w:r w:rsidR="0043631A">
        <w:t>and considered less toxic (ACGIH, 2018).</w:t>
      </w:r>
    </w:p>
    <w:p w14:paraId="2EFF824B" w14:textId="59434D12" w:rsidR="000F543E" w:rsidRDefault="000F543E" w:rsidP="006639B4">
      <w:r>
        <w:t>A TWA is not recommended as i</w:t>
      </w:r>
      <w:r w:rsidRPr="000F543E">
        <w:t xml:space="preserve">nsufficient data </w:t>
      </w:r>
      <w:r>
        <w:t xml:space="preserve">is available </w:t>
      </w:r>
      <w:r w:rsidRPr="000F543E">
        <w:t>to perform a full assessment. A review of additional data sources is recommended at the next scheduled review.</w:t>
      </w:r>
      <w:r>
        <w:t xml:space="preserve"> </w:t>
      </w:r>
    </w:p>
    <w:p w14:paraId="273B44A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7C6755E" w14:textId="77777777" w:rsidR="008E4F1F" w:rsidRPr="007A230B" w:rsidRDefault="008E4F1F" w:rsidP="008E4F1F">
      <w:pPr>
        <w:rPr>
          <w:rFonts w:cs="Arial"/>
        </w:rPr>
      </w:pPr>
      <w:r w:rsidRPr="007A230B">
        <w:rPr>
          <w:rFonts w:cs="Arial"/>
        </w:rPr>
        <w:t>Not classified as a carcinogen according to the Globally Harmonized System of</w:t>
      </w:r>
      <w:r w:rsidR="00155999" w:rsidRPr="007A230B">
        <w:rPr>
          <w:rFonts w:cs="Arial"/>
        </w:rPr>
        <w:t xml:space="preserve"> Classification and Labelling of</w:t>
      </w:r>
      <w:r w:rsidRPr="007A230B">
        <w:rPr>
          <w:rFonts w:cs="Arial"/>
        </w:rPr>
        <w:t xml:space="preserve"> Chemicals (GHS). </w:t>
      </w:r>
    </w:p>
    <w:p w14:paraId="03916CCC" w14:textId="77777777" w:rsidR="008E4F1F" w:rsidRPr="007A230B" w:rsidRDefault="008E4F1F" w:rsidP="008E4F1F">
      <w:pPr>
        <w:rPr>
          <w:rFonts w:cs="Arial"/>
        </w:rPr>
      </w:pPr>
      <w:r w:rsidRPr="007A230B">
        <w:rPr>
          <w:rFonts w:cs="Arial"/>
        </w:rPr>
        <w:t xml:space="preserve">Not classified as a skin </w:t>
      </w:r>
      <w:r w:rsidR="00155999" w:rsidRPr="007A230B">
        <w:rPr>
          <w:rFonts w:cs="Arial"/>
        </w:rPr>
        <w:t xml:space="preserve">sensitiser </w:t>
      </w:r>
      <w:r w:rsidRPr="007A230B">
        <w:rPr>
          <w:rFonts w:cs="Arial"/>
        </w:rPr>
        <w:t>or respiratory sensitiser according to the GHS.</w:t>
      </w:r>
    </w:p>
    <w:p w14:paraId="7D0772D2" w14:textId="581A9C21" w:rsidR="004529F0" w:rsidRPr="004C23F4" w:rsidRDefault="00654759" w:rsidP="008E4F1F">
      <w:pPr>
        <w:rPr>
          <w:rFonts w:cs="Arial"/>
        </w:rPr>
      </w:pPr>
      <w:r>
        <w:rPr>
          <w:rFonts w:cs="Arial"/>
        </w:rPr>
        <w:t>There are i</w:t>
      </w:r>
      <w:r w:rsidR="008E4F1F" w:rsidRPr="007A230B">
        <w:rPr>
          <w:rFonts w:cs="Arial"/>
        </w:rPr>
        <w:t xml:space="preserve">nsufficient </w:t>
      </w:r>
      <w:r>
        <w:rPr>
          <w:rFonts w:cs="Arial"/>
        </w:rPr>
        <w:t>data</w:t>
      </w:r>
      <w:r w:rsidR="008E4F1F" w:rsidRPr="007A230B">
        <w:rPr>
          <w:rFonts w:cs="Arial"/>
        </w:rPr>
        <w:t xml:space="preserve"> to recommend a skin notation.</w:t>
      </w:r>
    </w:p>
    <w:p w14:paraId="21CCE2A5" w14:textId="77777777" w:rsidR="0025734A" w:rsidRPr="004C23F4" w:rsidRDefault="0025734A">
      <w:pPr>
        <w:rPr>
          <w:rFonts w:cs="Arial"/>
        </w:rPr>
      </w:pP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BD4F5E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lastRenderedPageBreak/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BD4F5E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36EAADD4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4E5E64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4E5E64">
                  <w:t>NA</w:t>
                </w:r>
              </w:sdtContent>
            </w:sdt>
          </w:p>
        </w:tc>
      </w:tr>
      <w:tr w:rsidR="00C978F0" w:rsidRPr="00DA352E" w14:paraId="26087DDB" w14:textId="77777777" w:rsidTr="00BD4F5E">
        <w:trPr>
          <w:gridAfter w:val="1"/>
          <w:wAfter w:w="8" w:type="pct"/>
          <w:cantSplit/>
        </w:trPr>
        <w:tc>
          <w:tcPr>
            <w:tcW w:w="4992" w:type="pct"/>
          </w:tcPr>
          <w:p w14:paraId="392AADA3" w14:textId="77777777" w:rsidR="00C978F0" w:rsidRDefault="004E5E64" w:rsidP="003365A5">
            <w:pPr>
              <w:pStyle w:val="Tabletextprimarysource"/>
            </w:pPr>
            <w:r>
              <w:t>No report</w:t>
            </w:r>
            <w:r w:rsidR="00654759">
              <w:t>.</w:t>
            </w:r>
          </w:p>
          <w:p w14:paraId="0BCA3617" w14:textId="77777777" w:rsidR="006D69D0" w:rsidRPr="006D69D0" w:rsidRDefault="006D69D0" w:rsidP="006D69D0"/>
          <w:p w14:paraId="29C34438" w14:textId="77777777" w:rsidR="006D69D0" w:rsidRPr="006D69D0" w:rsidRDefault="006D69D0" w:rsidP="006D69D0"/>
          <w:p w14:paraId="45284D6A" w14:textId="77777777" w:rsidR="006D69D0" w:rsidRPr="006D69D0" w:rsidRDefault="006D69D0" w:rsidP="006D69D0"/>
          <w:p w14:paraId="398E01E4" w14:textId="77777777" w:rsidR="006D69D0" w:rsidRPr="006D69D0" w:rsidRDefault="006D69D0" w:rsidP="006D69D0"/>
          <w:p w14:paraId="3C84897E" w14:textId="77777777" w:rsidR="006D69D0" w:rsidRPr="006D69D0" w:rsidRDefault="006D69D0" w:rsidP="006D69D0"/>
          <w:p w14:paraId="3D3D9441" w14:textId="77777777" w:rsidR="006D69D0" w:rsidRPr="006D69D0" w:rsidRDefault="006D69D0" w:rsidP="006D69D0"/>
          <w:p w14:paraId="4399AB7A" w14:textId="77777777" w:rsidR="006D69D0" w:rsidRPr="006D69D0" w:rsidRDefault="006D69D0" w:rsidP="006D69D0"/>
          <w:p w14:paraId="31688727" w14:textId="77777777" w:rsidR="006D69D0" w:rsidRPr="006D69D0" w:rsidRDefault="006D69D0" w:rsidP="006D69D0"/>
          <w:p w14:paraId="65295C9B" w14:textId="77777777" w:rsidR="006D69D0" w:rsidRPr="006D69D0" w:rsidRDefault="006D69D0" w:rsidP="006D69D0"/>
          <w:p w14:paraId="70061B62" w14:textId="77777777" w:rsidR="006D69D0" w:rsidRPr="006D69D0" w:rsidRDefault="006D69D0" w:rsidP="006D69D0"/>
          <w:p w14:paraId="2A228B47" w14:textId="77777777" w:rsidR="006D69D0" w:rsidRPr="006D69D0" w:rsidRDefault="006D69D0" w:rsidP="006D69D0"/>
          <w:p w14:paraId="3647EF13" w14:textId="77777777" w:rsidR="006D69D0" w:rsidRPr="006D69D0" w:rsidRDefault="006D69D0" w:rsidP="006D69D0"/>
          <w:p w14:paraId="4B5CA80E" w14:textId="77777777" w:rsidR="006D69D0" w:rsidRPr="006D69D0" w:rsidRDefault="006D69D0" w:rsidP="006D69D0"/>
          <w:p w14:paraId="125DDE3B" w14:textId="77777777" w:rsidR="006D69D0" w:rsidRPr="006D69D0" w:rsidRDefault="006D69D0" w:rsidP="006D69D0"/>
          <w:p w14:paraId="7E93F243" w14:textId="77777777" w:rsidR="006D69D0" w:rsidRPr="006D69D0" w:rsidRDefault="006D69D0" w:rsidP="006D69D0"/>
          <w:p w14:paraId="0767CEE7" w14:textId="77777777" w:rsidR="006D69D0" w:rsidRPr="006D69D0" w:rsidRDefault="006D69D0" w:rsidP="006D69D0"/>
          <w:p w14:paraId="271FBCE8" w14:textId="77777777" w:rsidR="006D69D0" w:rsidRPr="006D69D0" w:rsidRDefault="006D69D0" w:rsidP="006D69D0"/>
          <w:p w14:paraId="763ADC6C" w14:textId="77777777" w:rsidR="006D69D0" w:rsidRPr="006D69D0" w:rsidRDefault="006D69D0" w:rsidP="006D69D0"/>
          <w:p w14:paraId="35B090E2" w14:textId="77777777" w:rsidR="006D69D0" w:rsidRPr="006D69D0" w:rsidRDefault="006D69D0" w:rsidP="006D69D0"/>
          <w:p w14:paraId="593F3D03" w14:textId="77777777" w:rsidR="006D69D0" w:rsidRPr="006D69D0" w:rsidRDefault="006D69D0" w:rsidP="006D69D0"/>
          <w:p w14:paraId="2D5364C4" w14:textId="77777777" w:rsidR="006D69D0" w:rsidRPr="006D69D0" w:rsidRDefault="006D69D0" w:rsidP="006D69D0"/>
          <w:p w14:paraId="7D48FD48" w14:textId="77777777" w:rsidR="006D69D0" w:rsidRPr="006D69D0" w:rsidRDefault="006D69D0" w:rsidP="006D69D0"/>
          <w:p w14:paraId="7F1D5ECD" w14:textId="77777777" w:rsidR="006D69D0" w:rsidRPr="006D69D0" w:rsidRDefault="006D69D0" w:rsidP="006D69D0"/>
          <w:p w14:paraId="17FB0B82" w14:textId="77777777" w:rsidR="006D69D0" w:rsidRPr="006D69D0" w:rsidRDefault="006D69D0" w:rsidP="006D69D0"/>
          <w:p w14:paraId="1ECCEE35" w14:textId="77777777" w:rsidR="006D69D0" w:rsidRPr="006D69D0" w:rsidRDefault="006D69D0" w:rsidP="006D69D0"/>
          <w:p w14:paraId="1368B263" w14:textId="77777777" w:rsidR="006D69D0" w:rsidRPr="006D69D0" w:rsidRDefault="006D69D0" w:rsidP="006D69D0"/>
          <w:p w14:paraId="61C19FD5" w14:textId="77777777" w:rsidR="006D69D0" w:rsidRPr="006D69D0" w:rsidRDefault="006D69D0" w:rsidP="006D69D0"/>
          <w:p w14:paraId="7680A12C" w14:textId="77777777" w:rsidR="006D69D0" w:rsidRPr="006D69D0" w:rsidRDefault="006D69D0" w:rsidP="006D69D0"/>
          <w:p w14:paraId="7ACE81E8" w14:textId="77777777" w:rsidR="006D69D0" w:rsidRPr="006D69D0" w:rsidRDefault="006D69D0" w:rsidP="006D69D0"/>
          <w:p w14:paraId="33E07923" w14:textId="77777777" w:rsidR="006D69D0" w:rsidRPr="006D69D0" w:rsidRDefault="006D69D0" w:rsidP="006D69D0"/>
          <w:p w14:paraId="589A17A2" w14:textId="77777777" w:rsidR="006D69D0" w:rsidRDefault="006D69D0" w:rsidP="006D69D0"/>
          <w:p w14:paraId="778BE4C5" w14:textId="77777777" w:rsidR="006D69D0" w:rsidRPr="006D69D0" w:rsidRDefault="006D69D0" w:rsidP="006D69D0"/>
          <w:p w14:paraId="0A7341A8" w14:textId="77777777" w:rsidR="006D69D0" w:rsidRPr="006D69D0" w:rsidRDefault="006D69D0" w:rsidP="006D69D0"/>
          <w:p w14:paraId="1137D58F" w14:textId="380EEEF4" w:rsidR="006D69D0" w:rsidRPr="006D69D0" w:rsidRDefault="006D69D0" w:rsidP="006D69D0"/>
        </w:tc>
      </w:tr>
      <w:tr w:rsidR="00C978F0" w:rsidRPr="00DA352E" w14:paraId="24593221" w14:textId="77777777" w:rsidTr="00BD4F5E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2D5EB62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DD7FB9">
                  <w:t>2018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2D61C4">
                  <w:t>TLV-TWA: 500 ppm (1</w:t>
                </w:r>
                <w:r w:rsidR="00180C99">
                  <w:t>,</w:t>
                </w:r>
                <w:r w:rsidR="002D61C4">
                  <w:t>310 mg/m</w:t>
                </w:r>
                <w:r w:rsidR="002D61C4" w:rsidRPr="002D61C4">
                  <w:rPr>
                    <w:vertAlign w:val="superscript"/>
                  </w:rPr>
                  <w:t>3</w:t>
                </w:r>
                <w:r w:rsidR="002D61C4">
                  <w:t>)</w:t>
                </w:r>
              </w:sdtContent>
            </w:sdt>
          </w:p>
        </w:tc>
      </w:tr>
      <w:tr w:rsidR="00C978F0" w:rsidRPr="00DA352E" w14:paraId="418D532D" w14:textId="77777777" w:rsidTr="00BD4F5E">
        <w:trPr>
          <w:gridAfter w:val="1"/>
          <w:wAfter w:w="8" w:type="pct"/>
          <w:cantSplit/>
        </w:trPr>
        <w:tc>
          <w:tcPr>
            <w:tcW w:w="4992" w:type="pct"/>
          </w:tcPr>
          <w:p w14:paraId="28495B14" w14:textId="77777777" w:rsidR="00C978F0" w:rsidRDefault="00DD7FB9" w:rsidP="003365A5">
            <w:pPr>
              <w:pStyle w:val="Tabletextprimarysource"/>
            </w:pPr>
            <w:r>
              <w:t>TLV-TWA is intended to minimise the potential for liver injury, including increased liver enzyme activity and necrosis reported in animal studies.</w:t>
            </w:r>
          </w:p>
          <w:p w14:paraId="2822B87F" w14:textId="46B29C4B" w:rsidR="00DD7FB9" w:rsidRDefault="00DD7FB9" w:rsidP="003365A5">
            <w:pPr>
              <w:pStyle w:val="Tabletextprimarysource"/>
            </w:pPr>
            <w:r>
              <w:t>Summary of data:</w:t>
            </w:r>
          </w:p>
          <w:p w14:paraId="7A2241A7" w14:textId="1B4437D4" w:rsidR="00DD7FB9" w:rsidRDefault="00180C99" w:rsidP="00A26A06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P</w:t>
            </w:r>
            <w:r w:rsidR="00DD7FB9">
              <w:t>otential hepatotoxicity requires metabolism of VDF to a reactive epoxide, a process also identified with toxicity associated with other closely related chloroethenes</w:t>
            </w:r>
          </w:p>
          <w:p w14:paraId="19B6C608" w14:textId="392911E8" w:rsidR="00DD7FB9" w:rsidRDefault="00180C99" w:rsidP="00A26A06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M</w:t>
            </w:r>
            <w:r w:rsidR="00DD7FB9">
              <w:t>aximal rate of metabolism 100 times lower than metabolic rates of closely related vinyl chloride and vinylidene chloride</w:t>
            </w:r>
          </w:p>
          <w:p w14:paraId="439F7C05" w14:textId="78AC7B39" w:rsidR="00DD7FB9" w:rsidRDefault="00DD7FB9" w:rsidP="00A26A06">
            <w:pPr>
              <w:pStyle w:val="ListBullet"/>
              <w:spacing w:before="60" w:after="60"/>
              <w:ind w:left="1077" w:hanging="357"/>
              <w:contextualSpacing w:val="0"/>
            </w:pPr>
            <w:r>
              <w:t xml:space="preserve">Based on much lower rate of metabolism compared with vinylidene chloride, </w:t>
            </w:r>
            <w:r w:rsidR="00611151">
              <w:t xml:space="preserve">recommended </w:t>
            </w:r>
            <w:r>
              <w:t>TLV</w:t>
            </w:r>
            <w:r w:rsidR="000F543E">
              <w:t>-</w:t>
            </w:r>
            <w:r>
              <w:t>TWA of 500 ppm</w:t>
            </w:r>
          </w:p>
          <w:p w14:paraId="1ABD03A8" w14:textId="7166443C" w:rsidR="005D6C15" w:rsidRDefault="005D6C15" w:rsidP="00A26A06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No human studies reported</w:t>
            </w:r>
            <w:r w:rsidR="00180C99">
              <w:t>.</w:t>
            </w:r>
          </w:p>
          <w:p w14:paraId="4A2FC6B0" w14:textId="4D22D272" w:rsidR="00DD7FB9" w:rsidRDefault="005D6C15" w:rsidP="00DD7FB9">
            <w:pPr>
              <w:pStyle w:val="Tabletextprimarysource"/>
            </w:pPr>
            <w:r>
              <w:t>Animal</w:t>
            </w:r>
            <w:r w:rsidR="00DD7FB9">
              <w:t xml:space="preserve"> data:</w:t>
            </w:r>
          </w:p>
          <w:p w14:paraId="10561909" w14:textId="5E857BE2" w:rsidR="00DD7FB9" w:rsidRDefault="005D6C15" w:rsidP="00A26A06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Hind leg incoordination</w:t>
            </w:r>
            <w:r w:rsidR="00180C99">
              <w:t xml:space="preserve"> and</w:t>
            </w:r>
            <w:r>
              <w:t xml:space="preserve"> unsteady gait reported in rats exposed at 400,000 ppm for 30 min; liver, kidney and lung lesions not detected by microscopic examination</w:t>
            </w:r>
          </w:p>
          <w:p w14:paraId="4371004E" w14:textId="2ACEDB19" w:rsidR="005E14F8" w:rsidRDefault="005D6C15" w:rsidP="00A26A06">
            <w:pPr>
              <w:pStyle w:val="ListBullet"/>
              <w:spacing w:before="60" w:after="60"/>
              <w:ind w:left="1080" w:hanging="357"/>
              <w:contextualSpacing w:val="0"/>
            </w:pPr>
            <w:r>
              <w:t xml:space="preserve">Study in untreated rats and rats treated with agents </w:t>
            </w:r>
            <w:r w:rsidR="00611151">
              <w:t>to</w:t>
            </w:r>
            <w:r>
              <w:t xml:space="preserve"> increase the activity of liver metabolic enzymes (phenobarbital and polychlorinated biphenyls</w:t>
            </w:r>
            <w:r w:rsidR="00441B5C">
              <w:t xml:space="preserve">) at concentrations of 0, </w:t>
            </w:r>
            <w:r w:rsidR="005E14F8">
              <w:t>5</w:t>
            </w:r>
            <w:r w:rsidR="00180C99">
              <w:t>,</w:t>
            </w:r>
            <w:r w:rsidR="005E14F8">
              <w:t>000, 15,000 and 25,000 ppm for 6 h</w:t>
            </w:r>
            <w:r w:rsidR="00215EF9">
              <w:t>:</w:t>
            </w:r>
          </w:p>
          <w:p w14:paraId="03373A3A" w14:textId="5466B71D" w:rsidR="005D6C15" w:rsidRDefault="00441B5C" w:rsidP="00A26A06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 xml:space="preserve">no overt toxicity </w:t>
            </w:r>
            <w:r w:rsidR="008341D2">
              <w:t>in</w:t>
            </w:r>
            <w:r w:rsidR="005D6C15">
              <w:t xml:space="preserve"> </w:t>
            </w:r>
            <w:r w:rsidR="008341D2">
              <w:t xml:space="preserve">control </w:t>
            </w:r>
            <w:r w:rsidR="005D6C15">
              <w:t>or phenobarbital-pre</w:t>
            </w:r>
            <w:r w:rsidR="008341D2">
              <w:t>-</w:t>
            </w:r>
            <w:r w:rsidR="005D6C15">
              <w:t xml:space="preserve">treated rats at 25,000 ppm </w:t>
            </w:r>
          </w:p>
          <w:p w14:paraId="089F7B82" w14:textId="201412B9" w:rsidR="005D6C15" w:rsidRDefault="008341D2" w:rsidP="00A26A06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 xml:space="preserve">hepatocyte swelling and occasional focal necrosis noted by </w:t>
            </w:r>
            <w:r w:rsidR="005D6C15">
              <w:t>microscopic examination of liver sections from phenobarbital-pre</w:t>
            </w:r>
            <w:r>
              <w:t>-</w:t>
            </w:r>
            <w:r w:rsidR="005D6C15">
              <w:t xml:space="preserve">treated rats exposed to VDF </w:t>
            </w:r>
          </w:p>
          <w:p w14:paraId="34C969B2" w14:textId="698E165D" w:rsidR="005E14F8" w:rsidRDefault="008341D2" w:rsidP="00A26A06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 xml:space="preserve">deaths reported </w:t>
            </w:r>
            <w:r w:rsidR="005E14F8">
              <w:t>at 25,000 ppm in polychlorinated biphenyl-pre</w:t>
            </w:r>
            <w:r>
              <w:t>-</w:t>
            </w:r>
            <w:r w:rsidR="005E14F8">
              <w:t>treated rats</w:t>
            </w:r>
          </w:p>
          <w:p w14:paraId="51182F7B" w14:textId="3C6C9475" w:rsidR="005E14F8" w:rsidRDefault="005E14F8" w:rsidP="00A26A06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increased serum sorbitol dehydrogenase activity and liver weights observed at all exposures investigated</w:t>
            </w:r>
          </w:p>
          <w:p w14:paraId="3FA8A31B" w14:textId="7E8FCB80" w:rsidR="005E14F8" w:rsidRDefault="005E14F8" w:rsidP="00A26A06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hepatotoxicity extensive in polychlorinated biphenyl-pretreated rats, with vacuolisation and coagulative necrosis</w:t>
            </w:r>
          </w:p>
          <w:p w14:paraId="04B4A92D" w14:textId="1473015C" w:rsidR="005E14F8" w:rsidRDefault="00D66720" w:rsidP="00A26A06">
            <w:pPr>
              <w:pStyle w:val="ListBullet"/>
              <w:spacing w:before="60" w:after="60"/>
              <w:ind w:left="1080" w:hanging="357"/>
              <w:contextualSpacing w:val="0"/>
            </w:pPr>
            <w:r>
              <w:t xml:space="preserve">Exposure of male rats 6 h/d, 5 d/wk for 2 wk at 25,000 ppm </w:t>
            </w:r>
            <w:r w:rsidR="008341D2">
              <w:t xml:space="preserve">caused </w:t>
            </w:r>
            <w:r>
              <w:t>transient tracheal inflammation and mucosal hyperplasia</w:t>
            </w:r>
            <w:r w:rsidR="008341D2">
              <w:t xml:space="preserve">. Effects </w:t>
            </w:r>
            <w:r>
              <w:t>subsided following 14-d recovery period</w:t>
            </w:r>
          </w:p>
          <w:p w14:paraId="1DCDE569" w14:textId="1B07E5E4" w:rsidR="0013439E" w:rsidRDefault="00B3761F" w:rsidP="00A26A06">
            <w:pPr>
              <w:pStyle w:val="ListBullet"/>
              <w:spacing w:before="60" w:after="60"/>
              <w:ind w:left="1080" w:hanging="357"/>
              <w:contextualSpacing w:val="0"/>
            </w:pPr>
            <w:r>
              <w:t xml:space="preserve">Reported to produce limited increase in liposarcomas and lipomas in rats treated by gavage, however, biological significance of these </w:t>
            </w:r>
            <w:r w:rsidR="00F1077B">
              <w:t xml:space="preserve">effects </w:t>
            </w:r>
            <w:r>
              <w:t>unknown based on historical control data for such neoplasms</w:t>
            </w:r>
            <w:r w:rsidR="00180C99">
              <w:t>.</w:t>
            </w:r>
          </w:p>
          <w:p w14:paraId="525F1267" w14:textId="77777777" w:rsidR="00A26A06" w:rsidRDefault="00A26A06" w:rsidP="00B3761F">
            <w:pPr>
              <w:pStyle w:val="Tabletextprimarysource"/>
            </w:pPr>
          </w:p>
          <w:p w14:paraId="753BB8F4" w14:textId="77777777" w:rsidR="0013439E" w:rsidRDefault="00B3761F" w:rsidP="00B3761F">
            <w:pPr>
              <w:pStyle w:val="Tabletextprimarysource"/>
            </w:pPr>
            <w:r>
              <w:t>Insufficient data to recommend a skin or sensitiser notation or TLV-STEL</w:t>
            </w:r>
            <w:r w:rsidR="00180C99">
              <w:t>.</w:t>
            </w:r>
          </w:p>
          <w:p w14:paraId="314B617C" w14:textId="77777777" w:rsidR="00A26A06" w:rsidRDefault="00A26A06" w:rsidP="00B3761F">
            <w:pPr>
              <w:pStyle w:val="Tabletextprimarysource"/>
            </w:pPr>
          </w:p>
          <w:p w14:paraId="0486B691" w14:textId="77777777" w:rsidR="006D69D0" w:rsidRPr="006D69D0" w:rsidRDefault="006D69D0" w:rsidP="006D69D0"/>
          <w:p w14:paraId="5F19E531" w14:textId="77777777" w:rsidR="006D69D0" w:rsidRPr="006D69D0" w:rsidRDefault="006D69D0" w:rsidP="006D69D0"/>
          <w:p w14:paraId="17BF0161" w14:textId="77777777" w:rsidR="006D69D0" w:rsidRPr="006D69D0" w:rsidRDefault="006D69D0" w:rsidP="006D69D0"/>
          <w:p w14:paraId="67AC8783" w14:textId="77777777" w:rsidR="006D69D0" w:rsidRPr="006D69D0" w:rsidRDefault="006D69D0" w:rsidP="006D69D0"/>
          <w:p w14:paraId="4924666C" w14:textId="77777777" w:rsidR="006D69D0" w:rsidRPr="006D69D0" w:rsidRDefault="006D69D0" w:rsidP="006D69D0"/>
          <w:p w14:paraId="2CF62D01" w14:textId="77777777" w:rsidR="006D69D0" w:rsidRPr="006D69D0" w:rsidRDefault="006D69D0" w:rsidP="006D69D0"/>
          <w:p w14:paraId="79E30D7E" w14:textId="77777777" w:rsidR="006D69D0" w:rsidRPr="006D69D0" w:rsidRDefault="006D69D0" w:rsidP="006D69D0"/>
          <w:p w14:paraId="0CE4D35D" w14:textId="2451E7F0" w:rsidR="006D69D0" w:rsidRPr="006D69D0" w:rsidRDefault="006D69D0" w:rsidP="006D69D0"/>
        </w:tc>
      </w:tr>
      <w:tr w:rsidR="00C978F0" w:rsidRPr="00DA352E" w14:paraId="174F8B79" w14:textId="77777777" w:rsidTr="00BD4F5E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016B965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2D61C4">
                  <w:t>1993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2D61C4">
                  <w:t>Not assigned</w:t>
                </w:r>
              </w:sdtContent>
            </w:sdt>
          </w:p>
        </w:tc>
      </w:tr>
      <w:tr w:rsidR="00C978F0" w:rsidRPr="00DA352E" w14:paraId="4433014F" w14:textId="77777777" w:rsidTr="00BD4F5E">
        <w:trPr>
          <w:gridAfter w:val="1"/>
          <w:wAfter w:w="8" w:type="pct"/>
          <w:cantSplit/>
        </w:trPr>
        <w:tc>
          <w:tcPr>
            <w:tcW w:w="4992" w:type="pct"/>
          </w:tcPr>
          <w:p w14:paraId="40970D30" w14:textId="5FF39B59" w:rsidR="00C978F0" w:rsidRDefault="007A230B" w:rsidP="003365A5">
            <w:pPr>
              <w:pStyle w:val="Tabletextprimarysource"/>
            </w:pPr>
            <w:r>
              <w:t>Insufficient data in humans and animals to establish a MAK.</w:t>
            </w:r>
          </w:p>
          <w:p w14:paraId="2A7B741C" w14:textId="77777777" w:rsidR="007A230B" w:rsidRDefault="007A230B" w:rsidP="003365A5">
            <w:pPr>
              <w:pStyle w:val="Tabletextprimarysource"/>
            </w:pPr>
            <w:r>
              <w:t>No additional data</w:t>
            </w:r>
            <w:r w:rsidR="00180C99">
              <w:t>.</w:t>
            </w:r>
          </w:p>
          <w:p w14:paraId="37249814" w14:textId="77777777" w:rsidR="006D69D0" w:rsidRPr="006D69D0" w:rsidRDefault="006D69D0" w:rsidP="006D69D0"/>
          <w:p w14:paraId="7EEB4DC8" w14:textId="77777777" w:rsidR="006D69D0" w:rsidRPr="006D69D0" w:rsidRDefault="006D69D0" w:rsidP="006D69D0"/>
          <w:p w14:paraId="2E0121C6" w14:textId="77777777" w:rsidR="006D69D0" w:rsidRPr="006D69D0" w:rsidRDefault="006D69D0" w:rsidP="006D69D0"/>
          <w:p w14:paraId="5AD7458B" w14:textId="77777777" w:rsidR="006D69D0" w:rsidRPr="006D69D0" w:rsidRDefault="006D69D0" w:rsidP="006D69D0"/>
          <w:p w14:paraId="61A64F09" w14:textId="3E83C399" w:rsidR="006D69D0" w:rsidRPr="006D69D0" w:rsidRDefault="006D69D0" w:rsidP="006D69D0"/>
        </w:tc>
      </w:tr>
      <w:tr w:rsidR="00C978F0" w:rsidRPr="00DA352E" w14:paraId="0E6A0B2C" w14:textId="77777777" w:rsidTr="00BD4F5E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4012CFE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2D61C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2D61C4">
                  <w:t>NA</w:t>
                </w:r>
              </w:sdtContent>
            </w:sdt>
          </w:p>
        </w:tc>
      </w:tr>
      <w:tr w:rsidR="00C978F0" w:rsidRPr="00DA352E" w14:paraId="2008D281" w14:textId="77777777" w:rsidTr="00BD4F5E">
        <w:trPr>
          <w:gridAfter w:val="1"/>
          <w:wAfter w:w="8" w:type="pct"/>
          <w:cantSplit/>
        </w:trPr>
        <w:tc>
          <w:tcPr>
            <w:tcW w:w="4992" w:type="pct"/>
          </w:tcPr>
          <w:p w14:paraId="307E2C17" w14:textId="77777777" w:rsidR="00C978F0" w:rsidRDefault="002D61C4" w:rsidP="003365A5">
            <w:pPr>
              <w:pStyle w:val="Tabletextprimarysource"/>
            </w:pPr>
            <w:r>
              <w:t>No report</w:t>
            </w:r>
            <w:r w:rsidR="00180C99">
              <w:t>.</w:t>
            </w:r>
          </w:p>
          <w:p w14:paraId="663C75B5" w14:textId="77777777" w:rsidR="006D69D0" w:rsidRPr="006D69D0" w:rsidRDefault="006D69D0" w:rsidP="006D69D0"/>
          <w:p w14:paraId="1F18359C" w14:textId="77777777" w:rsidR="006D69D0" w:rsidRPr="006D69D0" w:rsidRDefault="006D69D0" w:rsidP="006D69D0"/>
          <w:p w14:paraId="153B53C1" w14:textId="750E8639" w:rsidR="006D69D0" w:rsidRPr="006D69D0" w:rsidRDefault="006D69D0" w:rsidP="006D69D0"/>
        </w:tc>
      </w:tr>
      <w:tr w:rsidR="00DA352E" w:rsidRPr="00DA352E" w14:paraId="12BAB90D" w14:textId="77777777" w:rsidTr="00BD4F5E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362582B9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2D61C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2D61C4">
                  <w:t>NA</w:t>
                </w:r>
              </w:sdtContent>
            </w:sdt>
          </w:p>
        </w:tc>
      </w:tr>
      <w:tr w:rsidR="00DA352E" w:rsidRPr="00DA352E" w14:paraId="33AAF4A6" w14:textId="77777777" w:rsidTr="00BD4F5E">
        <w:trPr>
          <w:gridAfter w:val="1"/>
          <w:wAfter w:w="8" w:type="pct"/>
          <w:cantSplit/>
        </w:trPr>
        <w:tc>
          <w:tcPr>
            <w:tcW w:w="4992" w:type="pct"/>
          </w:tcPr>
          <w:p w14:paraId="2059E4CB" w14:textId="49403024" w:rsidR="00DA352E" w:rsidRPr="00DA352E" w:rsidRDefault="002D61C4" w:rsidP="003365A5">
            <w:pPr>
              <w:pStyle w:val="Tabletextprimarysource"/>
            </w:pPr>
            <w:r>
              <w:t>No report</w:t>
            </w:r>
            <w:r w:rsidR="00180C99">
              <w:t>.</w:t>
            </w:r>
          </w:p>
        </w:tc>
      </w:tr>
      <w:tr w:rsidR="00DA352E" w:rsidRPr="00DA352E" w14:paraId="605F758C" w14:textId="77777777" w:rsidTr="00BD4F5E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7991B1E1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2D61C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2D61C4">
                  <w:t>NA</w:t>
                </w:r>
              </w:sdtContent>
            </w:sdt>
          </w:p>
        </w:tc>
      </w:tr>
      <w:tr w:rsidR="00DA352E" w:rsidRPr="00DA352E" w14:paraId="7050CB3E" w14:textId="77777777" w:rsidTr="00BD4F5E">
        <w:trPr>
          <w:gridAfter w:val="1"/>
          <w:wAfter w:w="8" w:type="pct"/>
          <w:cantSplit/>
        </w:trPr>
        <w:tc>
          <w:tcPr>
            <w:tcW w:w="4992" w:type="pct"/>
          </w:tcPr>
          <w:p w14:paraId="492D7791" w14:textId="1F9B8C36" w:rsidR="00DA352E" w:rsidRPr="00DA352E" w:rsidRDefault="002D61C4" w:rsidP="003365A5">
            <w:pPr>
              <w:pStyle w:val="Tabletextprimarysource"/>
            </w:pPr>
            <w:r>
              <w:t>No report</w:t>
            </w:r>
            <w:r w:rsidR="00180C99">
              <w:t>.</w:t>
            </w: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21C7ACE5" w14:textId="1B8F3980" w:rsidR="007E2A4B" w:rsidRDefault="0043631A">
      <w:r>
        <w:t>Nil.</w:t>
      </w:r>
    </w:p>
    <w:bookmarkEnd w:id="0"/>
    <w:p w14:paraId="04408E2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28EBB70" w14:textId="77777777" w:rsidTr="007A230B">
        <w:trPr>
          <w:trHeight w:val="454"/>
          <w:tblHeader/>
        </w:trPr>
        <w:tc>
          <w:tcPr>
            <w:tcW w:w="6597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B8F4675" w14:textId="30987CB8" w:rsidR="002E0D61" w:rsidRDefault="007A230B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618A4C0" w14:textId="77777777" w:rsidTr="007A230B">
        <w:trPr>
          <w:trHeight w:val="454"/>
        </w:trPr>
        <w:tc>
          <w:tcPr>
            <w:tcW w:w="6597" w:type="dxa"/>
            <w:vAlign w:val="center"/>
          </w:tcPr>
          <w:p w14:paraId="28B995B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2B1B278" w14:textId="4E750DBA" w:rsidR="008A36CF" w:rsidRDefault="007A230B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A26A06" w14:paraId="4D6DDFA3" w14:textId="77777777" w:rsidTr="00CC69A2">
        <w:trPr>
          <w:trHeight w:val="454"/>
        </w:trPr>
        <w:sdt>
          <w:sdtPr>
            <w:rPr>
              <w:b/>
            </w:rPr>
            <w:id w:val="1830936485"/>
            <w:placeholder>
              <w:docPart w:val="DAA57513BBBB40E3867752794A7BC7D5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18F36B73" w14:textId="05F0DCA5" w:rsidR="00A26A06" w:rsidRDefault="00A26A06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BD4F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BD4F5E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068BB236" w:rsidR="00687890" w:rsidRPr="00DD2F9B" w:rsidRDefault="004E5E64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2A0C13EF" w14:textId="77777777" w:rsidTr="00BD4F5E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6A3E0A6A" w:rsidR="007925F0" w:rsidRPr="00DD2F9B" w:rsidRDefault="00D80174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C1044B3" w14:textId="77777777" w:rsidTr="00BD4F5E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6EA47B92" w:rsidR="00AF483F" w:rsidRPr="00DD2F9B" w:rsidRDefault="00D80174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BD4F5E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4B1B4B94" w:rsidR="00687890" w:rsidRPr="00DD2F9B" w:rsidRDefault="00D80174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BD4F5E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48204956" w:rsidR="00E41A26" w:rsidRPr="00DD2F9B" w:rsidRDefault="00D8017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7A490EF" w14:textId="77777777" w:rsidTr="00BD4F5E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3386BB39" w:rsidR="002E0D61" w:rsidRPr="00DD2F9B" w:rsidRDefault="00D80174" w:rsidP="00DD2F9B">
            <w:pPr>
              <w:pStyle w:val="Tablefont"/>
            </w:pPr>
            <w:r w:rsidRPr="00D80174">
              <w:t>Carcinogenicity – A4</w:t>
            </w:r>
          </w:p>
        </w:tc>
      </w:tr>
      <w:tr w:rsidR="002E0D61" w:rsidRPr="004C23F4" w14:paraId="43FA3590" w14:textId="77777777" w:rsidTr="00BD4F5E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28A2CE1C" w:rsidR="002E0D61" w:rsidRPr="00DD2F9B" w:rsidRDefault="00D80174" w:rsidP="00DD2F9B">
            <w:pPr>
              <w:pStyle w:val="Tablefont"/>
            </w:pPr>
            <w:r w:rsidRPr="00D80174">
              <w:t>Carcinogenicity – 3B</w:t>
            </w:r>
          </w:p>
        </w:tc>
      </w:tr>
      <w:tr w:rsidR="002E0D61" w:rsidRPr="004C23F4" w14:paraId="2AC7B866" w14:textId="77777777" w:rsidTr="00BD4F5E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lastRenderedPageBreak/>
              <w:t>SCOEL</w:t>
            </w:r>
          </w:p>
        </w:tc>
        <w:tc>
          <w:tcPr>
            <w:tcW w:w="6015" w:type="dxa"/>
          </w:tcPr>
          <w:p w14:paraId="370736A2" w14:textId="250FFF76" w:rsidR="002E0D61" w:rsidRPr="00DD2F9B" w:rsidRDefault="00D8017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BD4F5E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7AE69418" w:rsidR="002E0D61" w:rsidRPr="00DD2F9B" w:rsidRDefault="00D80174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F6A6A8E" w14:textId="77777777" w:rsidTr="00BD4F5E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0270699D" w:rsidR="00386093" w:rsidRPr="00DD2F9B" w:rsidRDefault="00D80174" w:rsidP="00DD2F9B">
            <w:pPr>
              <w:pStyle w:val="Tablefont"/>
            </w:pPr>
            <w:r w:rsidRPr="00D80174">
              <w:t>Carcinogenicity – Group 3</w:t>
            </w:r>
          </w:p>
        </w:tc>
      </w:tr>
      <w:tr w:rsidR="00386093" w:rsidRPr="004C23F4" w14:paraId="7461DB0E" w14:textId="77777777" w:rsidTr="00BD4F5E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5A70A2A9" w:rsidR="00386093" w:rsidRPr="00DD2F9B" w:rsidRDefault="00D80174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5C49833A" w:rsidR="00474E33" w:rsidRDefault="00474E33" w:rsidP="00474E33">
      <w:pPr>
        <w:pStyle w:val="Heading3"/>
      </w:pPr>
      <w:r>
        <w:t>Skin notation assessment</w:t>
      </w:r>
    </w:p>
    <w:p w14:paraId="0B3C2150" w14:textId="1CD6BA5A" w:rsidR="00180C99" w:rsidRPr="00180C99" w:rsidRDefault="00180C99" w:rsidP="00180C99">
      <w:pPr>
        <w:rPr>
          <w:lang w:eastAsia="en-AU"/>
        </w:rPr>
      </w:pPr>
      <w:r w:rsidRPr="007A230B">
        <w:rPr>
          <w:rFonts w:cs="Arial"/>
        </w:rPr>
        <w:t>Insufficient evidence to recommend a skin notation.</w:t>
      </w:r>
    </w:p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4D806B87" w:rsidR="00EB3D1B" w:rsidRDefault="00180C99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67FC94DC" w:rsidR="001B79E5" w:rsidRDefault="00D80174" w:rsidP="001B79E5">
                <w:pPr>
                  <w:pStyle w:val="Tablefont"/>
                </w:pPr>
                <w:r w:rsidRPr="00D80174">
                  <w:t>64.03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54EFE5E1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D80174">
                  <w:t>2.62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D80174">
                  <w:t>0.38</w:t>
                </w:r>
              </w:sdtContent>
            </w:sdt>
            <w:r w:rsidRPr="00D80174">
              <w:t xml:space="preserve"> </w:t>
            </w:r>
            <w:r>
              <w:t>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6D69D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3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3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5CFB942D" w:rsidR="008E4F1F" w:rsidRDefault="008E4F1F" w:rsidP="008E4F1F">
      <w:pPr>
        <w:rPr>
          <w:b/>
        </w:rPr>
      </w:pPr>
      <w:r w:rsidRPr="002022B6">
        <w:t>Deutsche Forschungsgemeinschaft (DFG)</w:t>
      </w:r>
      <w:r>
        <w:t xml:space="preserve"> (</w:t>
      </w:r>
      <w:r w:rsidR="00D80174">
        <w:t>1993</w:t>
      </w:r>
      <w:r>
        <w:t xml:space="preserve">) </w:t>
      </w:r>
      <w:r w:rsidR="00D80174" w:rsidRPr="00D80174">
        <w:t>1,1-Difluoroethylene</w:t>
      </w:r>
      <w:r>
        <w:t xml:space="preserve"> – MAK value documentation.</w:t>
      </w:r>
    </w:p>
    <w:p w14:paraId="4D7F094F" w14:textId="2DBC94D2" w:rsidR="008E4F1F" w:rsidRDefault="008E4F1F" w:rsidP="008E4F1F">
      <w:pPr>
        <w:rPr>
          <w:b/>
        </w:rPr>
      </w:pPr>
      <w:r w:rsidRPr="002022B6">
        <w:t>International Agency for Research on Cancer</w:t>
      </w:r>
      <w:r>
        <w:t xml:space="preserve"> (IARC) (</w:t>
      </w:r>
      <w:r w:rsidR="00D80174" w:rsidRPr="00D80174">
        <w:t>1999</w:t>
      </w:r>
      <w:r>
        <w:t xml:space="preserve">) </w:t>
      </w:r>
      <w:r w:rsidR="00D80174" w:rsidRPr="00D80174">
        <w:t>Vinylidene fluoride</w:t>
      </w:r>
      <w:r>
        <w:t>. IARC Monographs on the evaluation of the carcinogenic risk to humans.</w:t>
      </w: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0C263" w14:textId="77777777" w:rsidR="005F4D49" w:rsidRDefault="005F4D49" w:rsidP="00F43AD5">
      <w:pPr>
        <w:spacing w:after="0" w:line="240" w:lineRule="auto"/>
      </w:pPr>
      <w:r>
        <w:separator/>
      </w:r>
    </w:p>
  </w:endnote>
  <w:endnote w:type="continuationSeparator" w:id="0">
    <w:p w14:paraId="43EB1B44" w14:textId="77777777" w:rsidR="005F4D49" w:rsidRDefault="005F4D49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0705293E" w:rsidR="008A36CF" w:rsidRDefault="002D61C4" w:rsidP="0034744C">
        <w:pPr>
          <w:pStyle w:val="Footer"/>
          <w:rPr>
            <w:sz w:val="18"/>
            <w:szCs w:val="18"/>
          </w:rPr>
        </w:pPr>
        <w:r w:rsidRPr="002D61C4">
          <w:rPr>
            <w:b/>
            <w:sz w:val="18"/>
            <w:szCs w:val="18"/>
          </w:rPr>
          <w:t>Vinylidene Fluoride</w:t>
        </w:r>
        <w:r w:rsidR="008A36CF">
          <w:rPr>
            <w:b/>
            <w:sz w:val="18"/>
            <w:szCs w:val="18"/>
          </w:rPr>
          <w:t xml:space="preserve"> (</w:t>
        </w:r>
        <w:r w:rsidRPr="002D61C4">
          <w:rPr>
            <w:b/>
            <w:sz w:val="18"/>
            <w:szCs w:val="18"/>
          </w:rPr>
          <w:t>75-38-7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180C99">
          <w:rPr>
            <w:sz w:val="18"/>
            <w:szCs w:val="18"/>
          </w:rPr>
          <w:t>20</w:t>
        </w:r>
      </w:p>
      <w:p w14:paraId="2D517F5E" w14:textId="167F248B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43631A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650CCA" w14:textId="77777777" w:rsidR="005F4D49" w:rsidRDefault="005F4D49" w:rsidP="00F43AD5">
      <w:pPr>
        <w:spacing w:after="0" w:line="240" w:lineRule="auto"/>
      </w:pPr>
      <w:r>
        <w:separator/>
      </w:r>
    </w:p>
  </w:footnote>
  <w:footnote w:type="continuationSeparator" w:id="0">
    <w:p w14:paraId="0107D155" w14:textId="77777777" w:rsidR="005F4D49" w:rsidRDefault="005F4D49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4BB0D" w14:textId="52194536" w:rsidR="00BD4F5E" w:rsidRDefault="00BD4F5E" w:rsidP="00BD4F5E">
    <w:pPr>
      <w:pStyle w:val="Header"/>
      <w:jc w:val="right"/>
    </w:pPr>
    <w:r>
      <w:rPr>
        <w:noProof/>
        <w:lang w:eastAsia="en-AU"/>
      </w:rPr>
      <w:drawing>
        <wp:inline distT="0" distB="0" distL="0" distR="0" wp14:anchorId="4238DF21" wp14:editId="2CB1A274">
          <wp:extent cx="2957195" cy="60579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7195" cy="605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A8792" w14:textId="36759161" w:rsidR="008A36CF" w:rsidRPr="00BD4F5E" w:rsidRDefault="008A36CF" w:rsidP="00BD4F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0B801" w14:textId="6C975A81" w:rsidR="00BD4F5E" w:rsidRDefault="00BD4F5E" w:rsidP="00BD4F5E">
    <w:pPr>
      <w:pStyle w:val="Header"/>
      <w:jc w:val="right"/>
    </w:pPr>
    <w:r>
      <w:rPr>
        <w:noProof/>
        <w:lang w:eastAsia="en-AU"/>
      </w:rPr>
      <w:drawing>
        <wp:inline distT="0" distB="0" distL="0" distR="0" wp14:anchorId="72C5B514" wp14:editId="599BA8BA">
          <wp:extent cx="2957195" cy="60579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7195" cy="605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09FB4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2B204F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E0209F6"/>
    <w:multiLevelType w:val="hybridMultilevel"/>
    <w:tmpl w:val="CBF866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16564524">
    <w:abstractNumId w:val="0"/>
  </w:num>
  <w:num w:numId="2" w16cid:durableId="14151243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C6873"/>
    <w:rsid w:val="000D0643"/>
    <w:rsid w:val="000D291C"/>
    <w:rsid w:val="000E5A54"/>
    <w:rsid w:val="000E63D3"/>
    <w:rsid w:val="000E67CF"/>
    <w:rsid w:val="000F543E"/>
    <w:rsid w:val="0010461E"/>
    <w:rsid w:val="00106FAA"/>
    <w:rsid w:val="00113443"/>
    <w:rsid w:val="001269A7"/>
    <w:rsid w:val="00131092"/>
    <w:rsid w:val="0013439E"/>
    <w:rsid w:val="00140E6A"/>
    <w:rsid w:val="00146545"/>
    <w:rsid w:val="00146B75"/>
    <w:rsid w:val="0015266D"/>
    <w:rsid w:val="0015288A"/>
    <w:rsid w:val="00155999"/>
    <w:rsid w:val="00160F47"/>
    <w:rsid w:val="00177CA1"/>
    <w:rsid w:val="00180C99"/>
    <w:rsid w:val="00183823"/>
    <w:rsid w:val="00183942"/>
    <w:rsid w:val="001915F6"/>
    <w:rsid w:val="001A009E"/>
    <w:rsid w:val="001A1287"/>
    <w:rsid w:val="001A3859"/>
    <w:rsid w:val="001A3C9D"/>
    <w:rsid w:val="001A43F8"/>
    <w:rsid w:val="001B79E5"/>
    <w:rsid w:val="001C6650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15EF9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25C6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D61C4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3631A"/>
    <w:rsid w:val="004414B5"/>
    <w:rsid w:val="00441B5C"/>
    <w:rsid w:val="00444482"/>
    <w:rsid w:val="00444B42"/>
    <w:rsid w:val="00445E44"/>
    <w:rsid w:val="004509E2"/>
    <w:rsid w:val="004515EE"/>
    <w:rsid w:val="004529F0"/>
    <w:rsid w:val="00460A03"/>
    <w:rsid w:val="004667FC"/>
    <w:rsid w:val="00472A11"/>
    <w:rsid w:val="00472AAD"/>
    <w:rsid w:val="00474E33"/>
    <w:rsid w:val="00476803"/>
    <w:rsid w:val="00481FCF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64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D6C15"/>
    <w:rsid w:val="005E14F8"/>
    <w:rsid w:val="005E6979"/>
    <w:rsid w:val="005E75CB"/>
    <w:rsid w:val="005F4D49"/>
    <w:rsid w:val="006013C1"/>
    <w:rsid w:val="0060669E"/>
    <w:rsid w:val="00610F2E"/>
    <w:rsid w:val="00611151"/>
    <w:rsid w:val="00611399"/>
    <w:rsid w:val="00624C4E"/>
    <w:rsid w:val="00625200"/>
    <w:rsid w:val="006363A8"/>
    <w:rsid w:val="00636DB7"/>
    <w:rsid w:val="00650905"/>
    <w:rsid w:val="006532ED"/>
    <w:rsid w:val="00654759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2973"/>
    <w:rsid w:val="006B160A"/>
    <w:rsid w:val="006B4E6C"/>
    <w:rsid w:val="006B50B6"/>
    <w:rsid w:val="006D69D0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230B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1D2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4F1F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6A06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24"/>
    <w:rsid w:val="00B1765C"/>
    <w:rsid w:val="00B213C4"/>
    <w:rsid w:val="00B3761F"/>
    <w:rsid w:val="00B40C60"/>
    <w:rsid w:val="00B479A9"/>
    <w:rsid w:val="00B52EDF"/>
    <w:rsid w:val="00B637B3"/>
    <w:rsid w:val="00B658AF"/>
    <w:rsid w:val="00B71188"/>
    <w:rsid w:val="00B76A41"/>
    <w:rsid w:val="00B87D4C"/>
    <w:rsid w:val="00B91DF4"/>
    <w:rsid w:val="00B93646"/>
    <w:rsid w:val="00BA0B38"/>
    <w:rsid w:val="00BA1DBB"/>
    <w:rsid w:val="00BA4510"/>
    <w:rsid w:val="00BA529A"/>
    <w:rsid w:val="00BB612A"/>
    <w:rsid w:val="00BD499F"/>
    <w:rsid w:val="00BD4F5E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720"/>
    <w:rsid w:val="00D668E6"/>
    <w:rsid w:val="00D70670"/>
    <w:rsid w:val="00D74D80"/>
    <w:rsid w:val="00D76624"/>
    <w:rsid w:val="00D80174"/>
    <w:rsid w:val="00D87570"/>
    <w:rsid w:val="00D91CB9"/>
    <w:rsid w:val="00D96DE1"/>
    <w:rsid w:val="00D97989"/>
    <w:rsid w:val="00D97D8D"/>
    <w:rsid w:val="00DA352E"/>
    <w:rsid w:val="00DC7694"/>
    <w:rsid w:val="00DD1BF6"/>
    <w:rsid w:val="00DD2F9B"/>
    <w:rsid w:val="00DD7FB9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57DA"/>
    <w:rsid w:val="00ED66BC"/>
    <w:rsid w:val="00EF233A"/>
    <w:rsid w:val="00EF303E"/>
    <w:rsid w:val="00EF3A40"/>
    <w:rsid w:val="00EF7F78"/>
    <w:rsid w:val="00F01B08"/>
    <w:rsid w:val="00F01C4D"/>
    <w:rsid w:val="00F053FA"/>
    <w:rsid w:val="00F1077B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70879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1D60341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DD7FB9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547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475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4759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9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DAA57513BBBB40E3867752794A7BC7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27CA65-27D1-4BE2-AEF9-655FDA93D3E6}"/>
      </w:docPartPr>
      <w:docPartBody>
        <w:p w:rsidR="00596641" w:rsidRDefault="00D43BC1" w:rsidP="00D43BC1">
          <w:pPr>
            <w:pStyle w:val="DAA57513BBBB40E3867752794A7BC7D5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2525C6"/>
    <w:rsid w:val="00347D16"/>
    <w:rsid w:val="003E0149"/>
    <w:rsid w:val="00596641"/>
    <w:rsid w:val="00755FBF"/>
    <w:rsid w:val="008166DC"/>
    <w:rsid w:val="00B17624"/>
    <w:rsid w:val="00CA72D3"/>
    <w:rsid w:val="00D21A9F"/>
    <w:rsid w:val="00D43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43BC1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  <w:style w:type="paragraph" w:customStyle="1" w:styleId="DAA57513BBBB40E3867752794A7BC7D5">
    <w:name w:val="DAA57513BBBB40E3867752794A7BC7D5"/>
    <w:rsid w:val="00D43B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E1AA70-3A47-44D2-98C5-EE7EF64F0F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purl.org/dc/elements/1.1/"/>
    <ds:schemaRef ds:uri="a0509f21-ed56-4150-9955-96be669e5f2d"/>
    <ds:schemaRef ds:uri="http://purl.org/dc/dcmitype/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2006/metadata/properties"/>
    <ds:schemaRef ds:uri="1c567317-0c4d-4a62-8516-c22afd1b5354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02F87432-E0C0-4ACF-BAE8-172505381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6</Pages>
  <Words>920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18</cp:revision>
  <cp:lastPrinted>2018-10-22T22:41:00Z</cp:lastPrinted>
  <dcterms:created xsi:type="dcterms:W3CDTF">2019-10-20T23:47:00Z</dcterms:created>
  <dcterms:modified xsi:type="dcterms:W3CDTF">2026-01-09T02:09:00Z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2026-01-07T01:57:31Z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0337faf1-fc55-42a3-9cba-7a9670a6cf9c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