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4C387923" w:rsidR="00BD499F" w:rsidRPr="004C23F4" w:rsidRDefault="002E6832" w:rsidP="00B40C60">
          <w:pPr>
            <w:pStyle w:val="Heading1"/>
            <w:jc w:val="center"/>
            <w:rPr>
              <w:rFonts w:ascii="Arial" w:hAnsi="Arial" w:cs="Arial"/>
            </w:rPr>
          </w:pPr>
          <w:r w:rsidRPr="002E6832">
            <w:rPr>
              <w:rFonts w:ascii="Arial" w:hAnsi="Arial" w:cs="Arial"/>
            </w:rPr>
            <w:t>Vinylidene chloride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0"/>
        <w:gridCol w:w="5046"/>
      </w:tblGrid>
      <w:tr w:rsidR="00F43AD5" w:rsidRPr="004C23F4" w14:paraId="189D6E38" w14:textId="77777777" w:rsidTr="00B01BE9">
        <w:trPr>
          <w:cantSplit/>
          <w:tblHeader/>
        </w:trPr>
        <w:tc>
          <w:tcPr>
            <w:tcW w:w="3980" w:type="dxa"/>
          </w:tcPr>
          <w:p w14:paraId="517634FF" w14:textId="77777777" w:rsidR="00F43AD5" w:rsidRPr="00921DE7" w:rsidRDefault="00CB1CB1" w:rsidP="00B76A41">
            <w:pPr>
              <w:pStyle w:val="Tablerowright"/>
            </w:pPr>
            <w:r w:rsidRPr="00921DE7">
              <w:t>CAS number:</w:t>
            </w:r>
          </w:p>
        </w:tc>
        <w:tc>
          <w:tcPr>
            <w:tcW w:w="5046" w:type="dxa"/>
          </w:tcPr>
          <w:p w14:paraId="3EDBFD9E" w14:textId="120029BD" w:rsidR="00F43AD5" w:rsidRPr="00717D45" w:rsidRDefault="002E6832" w:rsidP="00B76A41">
            <w:pPr>
              <w:pStyle w:val="Tablefont"/>
            </w:pPr>
            <w:r w:rsidRPr="002E6832">
              <w:t>75-35-4</w:t>
            </w:r>
          </w:p>
        </w:tc>
      </w:tr>
      <w:tr w:rsidR="00F43AD5" w:rsidRPr="004C23F4" w14:paraId="562A9F51" w14:textId="77777777" w:rsidTr="00B01BE9">
        <w:trPr>
          <w:cantSplit/>
        </w:trPr>
        <w:tc>
          <w:tcPr>
            <w:tcW w:w="3980" w:type="dxa"/>
          </w:tcPr>
          <w:p w14:paraId="6A9A0952" w14:textId="77777777" w:rsidR="00F43AD5" w:rsidRPr="00921DE7" w:rsidRDefault="00CB1CB1" w:rsidP="00B76A41">
            <w:pPr>
              <w:pStyle w:val="Tablerowright"/>
            </w:pPr>
            <w:r w:rsidRPr="00921DE7">
              <w:t>Synonyms:</w:t>
            </w:r>
          </w:p>
        </w:tc>
        <w:tc>
          <w:tcPr>
            <w:tcW w:w="5046" w:type="dxa"/>
          </w:tcPr>
          <w:p w14:paraId="32648AB9" w14:textId="07564ADF" w:rsidR="00F43AD5" w:rsidRPr="00717D45" w:rsidRDefault="00CE1FC3" w:rsidP="00B76A41">
            <w:pPr>
              <w:pStyle w:val="Tablefont"/>
            </w:pPr>
            <w:r>
              <w:t>1,1-Dichloroethene, 1,1-dichloroethylene, VDC, vinylidene dichloride</w:t>
            </w:r>
          </w:p>
        </w:tc>
      </w:tr>
      <w:tr w:rsidR="00F43AD5" w:rsidRPr="004C23F4" w14:paraId="6EE54A08" w14:textId="77777777" w:rsidTr="00B01BE9">
        <w:trPr>
          <w:cantSplit/>
        </w:trPr>
        <w:tc>
          <w:tcPr>
            <w:tcW w:w="3980" w:type="dxa"/>
          </w:tcPr>
          <w:p w14:paraId="3C2EC489" w14:textId="77777777" w:rsidR="00F43AD5" w:rsidRPr="00921DE7" w:rsidRDefault="00CB1CB1" w:rsidP="00B76A41">
            <w:pPr>
              <w:pStyle w:val="Tablerowright"/>
            </w:pPr>
            <w:r w:rsidRPr="00921DE7">
              <w:t>Chemical formula:</w:t>
            </w:r>
          </w:p>
        </w:tc>
        <w:tc>
          <w:tcPr>
            <w:tcW w:w="5046" w:type="dxa"/>
          </w:tcPr>
          <w:p w14:paraId="69369B00" w14:textId="3D1C6FFD" w:rsidR="00F43AD5" w:rsidRPr="00717D45" w:rsidRDefault="00CE1FC3" w:rsidP="00B76A41">
            <w:pPr>
              <w:pStyle w:val="Tablefont"/>
            </w:pPr>
            <w:r>
              <w:t>C</w:t>
            </w:r>
            <w:r w:rsidRPr="00CE1FC3">
              <w:rPr>
                <w:vertAlign w:val="subscript"/>
              </w:rPr>
              <w:t>2</w:t>
            </w:r>
            <w:r>
              <w:t>H</w:t>
            </w:r>
            <w:r w:rsidRPr="00CE1FC3">
              <w:rPr>
                <w:vertAlign w:val="subscript"/>
              </w:rPr>
              <w:t>2</w:t>
            </w:r>
            <w:r>
              <w:t>Cl</w:t>
            </w:r>
            <w:r w:rsidRPr="00CE1FC3">
              <w:rPr>
                <w:vertAlign w:val="subscript"/>
              </w:rPr>
              <w:t>2</w:t>
            </w:r>
          </w:p>
        </w:tc>
      </w:tr>
    </w:tbl>
    <w:p w14:paraId="71D72173" w14:textId="5E97B673"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0A3408">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75FD6FDD" w:rsidR="002C7AFE" w:rsidRPr="000A3408" w:rsidRDefault="000A3408" w:rsidP="00017C82">
            <w:pPr>
              <w:pStyle w:val="Tablefont"/>
              <w:rPr>
                <w:b/>
              </w:rPr>
            </w:pPr>
            <w:r>
              <w:rPr>
                <w:b/>
              </w:rPr>
              <w:t>5 ppm (20 mg/m</w:t>
            </w:r>
            <w:r>
              <w:rPr>
                <w:b/>
                <w:vertAlign w:val="superscript"/>
              </w:rPr>
              <w:t>3</w:t>
            </w:r>
            <w:r>
              <w:rPr>
                <w:b/>
              </w:rPr>
              <w:t>)</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20A1FD77" w:rsidR="00037E52" w:rsidRPr="000A3408" w:rsidRDefault="000A3408" w:rsidP="00037E52">
            <w:pPr>
              <w:pStyle w:val="Tablefont"/>
              <w:rPr>
                <w:b/>
              </w:rPr>
            </w:pPr>
            <w:r>
              <w:rPr>
                <w:b/>
              </w:rPr>
              <w:t>20 ppm (79 mg/m</w:t>
            </w:r>
            <w:r>
              <w:rPr>
                <w:b/>
                <w:vertAlign w:val="superscript"/>
              </w:rPr>
              <w:t>3</w:t>
            </w: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04B5A3FE" w:rsidR="00037E52" w:rsidRPr="00EB3D1B" w:rsidRDefault="000A3408" w:rsidP="00037E52">
            <w:pPr>
              <w:pStyle w:val="Tablefont"/>
              <w:rPr>
                <w:b/>
              </w:rPr>
            </w:pPr>
            <w:r>
              <w:rPr>
                <w:b/>
              </w:rPr>
              <w:t>Carc. 2</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77777777" w:rsidR="00037E52" w:rsidRPr="00EB3D1B" w:rsidRDefault="00037E52" w:rsidP="00037E52">
            <w:pPr>
              <w:pStyle w:val="Tablefont"/>
              <w:rPr>
                <w:b/>
              </w:rPr>
            </w:pPr>
            <w:r>
              <w:rPr>
                <w:b/>
              </w:rPr>
              <w:t>—</w:t>
            </w:r>
          </w:p>
        </w:tc>
      </w:tr>
      <w:tr w:rsidR="00155999" w:rsidRPr="004C23F4" w14:paraId="27D0E012" w14:textId="77777777" w:rsidTr="006729B4">
        <w:trPr>
          <w:cantSplit/>
        </w:trPr>
        <w:tc>
          <w:tcPr>
            <w:tcW w:w="9026" w:type="dxa"/>
            <w:gridSpan w:val="2"/>
            <w:vAlign w:val="center"/>
          </w:tcPr>
          <w:p w14:paraId="31B5D59E" w14:textId="528259CF" w:rsidR="00155999" w:rsidRPr="00EB3D1B" w:rsidRDefault="00155999" w:rsidP="00037E52">
            <w:pPr>
              <w:pStyle w:val="Tablefont"/>
              <w:rPr>
                <w:b/>
              </w:rPr>
            </w:pPr>
            <w:r w:rsidRPr="00BE38BC">
              <w:rPr>
                <w:b/>
                <w:bCs/>
              </w:rPr>
              <w:t>Sampling and analysis:</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0A3408" w:rsidRPr="00BE38BC">
                  <w:rPr>
                    <w:rStyle w:val="WESstatus"/>
                    <w:bC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56D7D7AF" w14:textId="0AFDB345" w:rsidR="006639B4" w:rsidRDefault="000A3408" w:rsidP="000C139A">
      <w:pPr>
        <w:rPr>
          <w:rFonts w:cs="Arial"/>
        </w:rPr>
      </w:pPr>
      <w:r w:rsidRPr="000A3408">
        <w:rPr>
          <w:rFonts w:cs="Arial"/>
        </w:rPr>
        <w:t xml:space="preserve">A TWA of </w:t>
      </w:r>
      <w:r>
        <w:rPr>
          <w:rFonts w:cs="Arial"/>
        </w:rPr>
        <w:t>5</w:t>
      </w:r>
      <w:r w:rsidRPr="000A3408">
        <w:rPr>
          <w:rFonts w:cs="Arial"/>
        </w:rPr>
        <w:t xml:space="preserve"> ppm (</w:t>
      </w:r>
      <w:r>
        <w:rPr>
          <w:rFonts w:cs="Arial"/>
        </w:rPr>
        <w:t>20</w:t>
      </w:r>
      <w:r w:rsidRPr="000A3408">
        <w:rPr>
          <w:rFonts w:cs="Arial"/>
        </w:rPr>
        <w:t xml:space="preserve"> mg/m</w:t>
      </w:r>
      <w:r w:rsidRPr="000A3408">
        <w:rPr>
          <w:rFonts w:cs="Arial"/>
          <w:vertAlign w:val="superscript"/>
        </w:rPr>
        <w:t>3</w:t>
      </w:r>
      <w:r w:rsidRPr="000A3408">
        <w:rPr>
          <w:rFonts w:cs="Arial"/>
        </w:rPr>
        <w:t xml:space="preserve">) is recommended to protect for </w:t>
      </w:r>
      <w:r>
        <w:rPr>
          <w:rFonts w:cs="Arial"/>
        </w:rPr>
        <w:t>kidney and liver damage</w:t>
      </w:r>
      <w:r w:rsidRPr="000A3408">
        <w:rPr>
          <w:rFonts w:cs="Arial"/>
        </w:rPr>
        <w:t xml:space="preserve"> in exposed workers.</w:t>
      </w:r>
    </w:p>
    <w:p w14:paraId="56FD4940" w14:textId="320D7A9A" w:rsidR="000A3408" w:rsidRDefault="000A3408" w:rsidP="000C139A">
      <w:pPr>
        <w:rPr>
          <w:rFonts w:cs="Arial"/>
        </w:rPr>
      </w:pPr>
      <w:r w:rsidRPr="000A3408">
        <w:rPr>
          <w:rFonts w:cs="Arial"/>
        </w:rPr>
        <w:t xml:space="preserve">A STEL of </w:t>
      </w:r>
      <w:r>
        <w:rPr>
          <w:rFonts w:cs="Arial"/>
        </w:rPr>
        <w:t>20</w:t>
      </w:r>
      <w:r w:rsidRPr="000A3408">
        <w:rPr>
          <w:rFonts w:cs="Arial"/>
        </w:rPr>
        <w:t xml:space="preserve"> ppm (</w:t>
      </w:r>
      <w:r>
        <w:rPr>
          <w:rFonts w:cs="Arial"/>
        </w:rPr>
        <w:t>79</w:t>
      </w:r>
      <w:r w:rsidRPr="000A3408">
        <w:rPr>
          <w:rFonts w:cs="Arial"/>
        </w:rPr>
        <w:t xml:space="preserve"> mg/m</w:t>
      </w:r>
      <w:r w:rsidRPr="000A3408">
        <w:rPr>
          <w:rFonts w:cs="Arial"/>
          <w:vertAlign w:val="superscript"/>
        </w:rPr>
        <w:t>3</w:t>
      </w:r>
      <w:r w:rsidRPr="000A3408">
        <w:rPr>
          <w:rFonts w:cs="Arial"/>
        </w:rPr>
        <w:t xml:space="preserve">) is recommended to protect for </w:t>
      </w:r>
      <w:r>
        <w:rPr>
          <w:rFonts w:cs="Arial"/>
        </w:rPr>
        <w:t>local irritation</w:t>
      </w:r>
      <w:r w:rsidRPr="000A3408">
        <w:rPr>
          <w:rFonts w:cs="Arial"/>
        </w:rPr>
        <w:t xml:space="preserve"> </w:t>
      </w:r>
      <w:r>
        <w:rPr>
          <w:rFonts w:cs="Arial"/>
        </w:rPr>
        <w:t xml:space="preserve">in </w:t>
      </w:r>
      <w:r w:rsidRPr="000A3408">
        <w:rPr>
          <w:rFonts w:cs="Arial"/>
        </w:rPr>
        <w:t>exposed workers.</w:t>
      </w:r>
    </w:p>
    <w:p w14:paraId="317A46B1" w14:textId="77777777" w:rsidR="00C7155E" w:rsidRPr="004C23F4" w:rsidRDefault="00F10C97" w:rsidP="003365A5">
      <w:pPr>
        <w:pStyle w:val="Heading2"/>
      </w:pPr>
      <w:r>
        <w:t>Discussion and conclusions</w:t>
      </w:r>
    </w:p>
    <w:p w14:paraId="20CFC4FE" w14:textId="77777777" w:rsidR="00DB6E48" w:rsidRDefault="00675F7D" w:rsidP="006639B4">
      <w:pPr>
        <w:rPr>
          <w:rFonts w:cs="Arial"/>
        </w:rPr>
      </w:pPr>
      <w:r>
        <w:rPr>
          <w:rFonts w:cs="Arial"/>
        </w:rPr>
        <w:t>Vinylidene chloride is used as a monomer in the production of thermoplastics and synthetic textiles.</w:t>
      </w:r>
      <w:r w:rsidR="00BE38BC">
        <w:rPr>
          <w:rFonts w:cs="Arial"/>
        </w:rPr>
        <w:t xml:space="preserve"> </w:t>
      </w:r>
    </w:p>
    <w:p w14:paraId="42321A60" w14:textId="5FCD5AF2" w:rsidR="00675F7D" w:rsidRDefault="00DB6E48" w:rsidP="006639B4">
      <w:pPr>
        <w:rPr>
          <w:rFonts w:cs="Arial"/>
        </w:rPr>
      </w:pPr>
      <w:r>
        <w:rPr>
          <w:rFonts w:cs="Arial"/>
        </w:rPr>
        <w:t>The c</w:t>
      </w:r>
      <w:r w:rsidR="00675F7D">
        <w:rPr>
          <w:rFonts w:cs="Arial"/>
        </w:rPr>
        <w:t>ritical effects of exposure are kidney and liver damage</w:t>
      </w:r>
      <w:r w:rsidR="00F945F3">
        <w:rPr>
          <w:rFonts w:cs="Arial"/>
        </w:rPr>
        <w:t xml:space="preserve"> and</w:t>
      </w:r>
      <w:r w:rsidR="00675F7D">
        <w:rPr>
          <w:rFonts w:cs="Arial"/>
        </w:rPr>
        <w:t xml:space="preserve"> mucous membrane irritation</w:t>
      </w:r>
      <w:r w:rsidR="000A3408">
        <w:rPr>
          <w:rFonts w:cs="Arial"/>
        </w:rPr>
        <w:t>.</w:t>
      </w:r>
    </w:p>
    <w:p w14:paraId="1B9B1B06" w14:textId="6B92B250" w:rsidR="00675F7D" w:rsidRDefault="00675F7D" w:rsidP="006639B4">
      <w:pPr>
        <w:rPr>
          <w:rFonts w:cs="Arial"/>
        </w:rPr>
      </w:pPr>
      <w:r>
        <w:rPr>
          <w:rFonts w:cs="Arial"/>
        </w:rPr>
        <w:t>Occupational exposure at 5 to 50 ppm is not associated with adverse effects in the available epidemiological data</w:t>
      </w:r>
      <w:r w:rsidR="005C64C4">
        <w:rPr>
          <w:rFonts w:cs="Arial"/>
        </w:rPr>
        <w:t xml:space="preserve"> (ACGIH, 2018; DFG, 1997; SCOEL, 2008)</w:t>
      </w:r>
      <w:r>
        <w:rPr>
          <w:rFonts w:cs="Arial"/>
        </w:rPr>
        <w:t xml:space="preserve">. </w:t>
      </w:r>
      <w:r w:rsidR="00743295">
        <w:rPr>
          <w:rFonts w:cs="Arial"/>
        </w:rPr>
        <w:t>However, m</w:t>
      </w:r>
      <w:r>
        <w:rPr>
          <w:rFonts w:cs="Arial"/>
        </w:rPr>
        <w:t xml:space="preserve">ost of these studies are limited by small sample sizes and mixed exposures. Irritation of the eyes and upper respiratory </w:t>
      </w:r>
      <w:r w:rsidR="005C64C4">
        <w:rPr>
          <w:rFonts w:cs="Arial"/>
        </w:rPr>
        <w:t>tract is reported above 25 ppm in exposed humans in a poorly documented study without further details (DFG, 1997).</w:t>
      </w:r>
      <w:r>
        <w:rPr>
          <w:rFonts w:cs="Arial"/>
        </w:rPr>
        <w:t xml:space="preserve"> </w:t>
      </w:r>
      <w:r w:rsidR="0070624A">
        <w:rPr>
          <w:rFonts w:cs="Arial"/>
        </w:rPr>
        <w:t xml:space="preserve">In mice, a NOAEC of 10 ppm and LOAEC of 25 ppm for kidney toxicity and kidney cancer are reported in a </w:t>
      </w:r>
      <w:r w:rsidR="005C64C4">
        <w:rPr>
          <w:rFonts w:cs="Arial"/>
        </w:rPr>
        <w:t xml:space="preserve">chronic inhalation </w:t>
      </w:r>
      <w:r w:rsidR="0070624A">
        <w:rPr>
          <w:rFonts w:cs="Arial"/>
        </w:rPr>
        <w:t>s</w:t>
      </w:r>
      <w:r w:rsidR="00113F2A">
        <w:rPr>
          <w:rFonts w:cs="Arial"/>
        </w:rPr>
        <w:t>tudy (ACGIH, 2018; DFG, 1997)</w:t>
      </w:r>
      <w:r w:rsidR="00B01BE9">
        <w:rPr>
          <w:rFonts w:cs="Arial"/>
        </w:rPr>
        <w:t>;</w:t>
      </w:r>
      <w:r w:rsidR="00113F2A">
        <w:rPr>
          <w:rFonts w:cs="Arial"/>
        </w:rPr>
        <w:t xml:space="preserve"> whereas a LOAEC</w:t>
      </w:r>
      <w:r w:rsidR="0095755F">
        <w:rPr>
          <w:rFonts w:cs="Arial"/>
        </w:rPr>
        <w:t xml:space="preserve"> of 25 </w:t>
      </w:r>
      <w:r w:rsidR="00113F2A">
        <w:rPr>
          <w:rFonts w:cs="Arial"/>
        </w:rPr>
        <w:t xml:space="preserve">ppm for transient liver toxicity is reported in similarly exposed rats without evidence </w:t>
      </w:r>
      <w:r w:rsidR="00B01BE9">
        <w:rPr>
          <w:rFonts w:cs="Arial"/>
        </w:rPr>
        <w:t>of</w:t>
      </w:r>
      <w:r w:rsidR="00113F2A">
        <w:rPr>
          <w:rFonts w:cs="Arial"/>
        </w:rPr>
        <w:t xml:space="preserve"> carcinogenicity. Evidence </w:t>
      </w:r>
      <w:r w:rsidR="00B01BE9">
        <w:rPr>
          <w:rFonts w:cs="Arial"/>
        </w:rPr>
        <w:t>of</w:t>
      </w:r>
      <w:r w:rsidR="00113F2A">
        <w:rPr>
          <w:rFonts w:cs="Arial"/>
        </w:rPr>
        <w:t xml:space="preserve"> carcinogenicity in animals is </w:t>
      </w:r>
      <w:r w:rsidR="00BE38BC">
        <w:rPr>
          <w:rFonts w:cs="Arial"/>
        </w:rPr>
        <w:t xml:space="preserve">equivocal </w:t>
      </w:r>
      <w:r w:rsidR="00B01BE9">
        <w:rPr>
          <w:rFonts w:cs="Arial"/>
        </w:rPr>
        <w:t>and</w:t>
      </w:r>
      <w:r w:rsidR="00DE621A">
        <w:rPr>
          <w:rFonts w:cs="Arial"/>
        </w:rPr>
        <w:t xml:space="preserve"> is not expected to act </w:t>
      </w:r>
      <w:r w:rsidR="00DE621A" w:rsidRPr="00B01BE9">
        <w:rPr>
          <w:rFonts w:cs="Arial"/>
          <w:i/>
        </w:rPr>
        <w:t>via</w:t>
      </w:r>
      <w:r w:rsidR="00DE621A">
        <w:rPr>
          <w:rFonts w:cs="Arial"/>
        </w:rPr>
        <w:t xml:space="preserve"> a genotoxic mechanism of action </w:t>
      </w:r>
      <w:r w:rsidR="000A3408">
        <w:rPr>
          <w:rFonts w:cs="Arial"/>
        </w:rPr>
        <w:t>(ACGIH, 2018; DFG, 1997; IARC 2019)</w:t>
      </w:r>
      <w:r w:rsidR="00113F2A">
        <w:rPr>
          <w:rFonts w:cs="Arial"/>
        </w:rPr>
        <w:t>.</w:t>
      </w:r>
    </w:p>
    <w:p w14:paraId="2115B28B" w14:textId="7E15F14D" w:rsidR="0070624A" w:rsidRPr="004C23F4" w:rsidRDefault="0070624A" w:rsidP="006639B4">
      <w:pPr>
        <w:rPr>
          <w:rFonts w:cs="Arial"/>
        </w:rPr>
      </w:pPr>
      <w:r>
        <w:rPr>
          <w:rFonts w:cs="Arial"/>
        </w:rPr>
        <w:t xml:space="preserve">The LOAEC of 25 ppm for </w:t>
      </w:r>
      <w:r w:rsidR="00113F2A">
        <w:rPr>
          <w:rFonts w:cs="Arial"/>
        </w:rPr>
        <w:t>transient liver damage in rats is used as a point of departure in the evaluation by ACGIH (2018) and SCOEL (2008)</w:t>
      </w:r>
      <w:r w:rsidR="00CF204F">
        <w:rPr>
          <w:rFonts w:cs="Arial"/>
        </w:rPr>
        <w:t xml:space="preserve">. </w:t>
      </w:r>
      <w:r w:rsidR="00113F2A">
        <w:rPr>
          <w:rFonts w:cs="Arial"/>
        </w:rPr>
        <w:t>DFG (1997) use</w:t>
      </w:r>
      <w:r w:rsidR="00CF204F">
        <w:rPr>
          <w:rFonts w:cs="Arial"/>
        </w:rPr>
        <w:t>d</w:t>
      </w:r>
      <w:r w:rsidR="00113F2A">
        <w:rPr>
          <w:rFonts w:cs="Arial"/>
        </w:rPr>
        <w:t xml:space="preserve"> the LOAEC of 25 ppm for nephrotoxicity and kidney cancer in mice to derive the MAK</w:t>
      </w:r>
      <w:r w:rsidR="000A3408">
        <w:rPr>
          <w:rFonts w:cs="Arial"/>
        </w:rPr>
        <w:t xml:space="preserve">. The human relevance of the </w:t>
      </w:r>
      <w:r w:rsidR="00113F2A">
        <w:rPr>
          <w:rFonts w:cs="Arial"/>
        </w:rPr>
        <w:t>carcinogenic endpoint observed in mice is uncertain</w:t>
      </w:r>
      <w:r w:rsidR="000A3408">
        <w:rPr>
          <w:rFonts w:cs="Arial"/>
        </w:rPr>
        <w:t xml:space="preserve">. In view of the available human and animal data, the </w:t>
      </w:r>
      <w:r w:rsidR="00CF204F">
        <w:rPr>
          <w:rFonts w:cs="Arial"/>
        </w:rPr>
        <w:t xml:space="preserve">current </w:t>
      </w:r>
      <w:r w:rsidR="000A3408">
        <w:rPr>
          <w:rFonts w:cs="Arial"/>
        </w:rPr>
        <w:t xml:space="preserve">TWA of 5 ppm is expected to be protective of potential kidney and liver damage and is </w:t>
      </w:r>
      <w:r w:rsidR="00CF204F">
        <w:rPr>
          <w:rFonts w:cs="Arial"/>
        </w:rPr>
        <w:t xml:space="preserve">recommended to be </w:t>
      </w:r>
      <w:r w:rsidR="000A3408">
        <w:rPr>
          <w:rFonts w:cs="Arial"/>
        </w:rPr>
        <w:t xml:space="preserve">retained in accordance with the evaluation by ACGIH (2018). The STEL of 20 ppm </w:t>
      </w:r>
      <w:r w:rsidR="00CF204F">
        <w:rPr>
          <w:rFonts w:cs="Arial"/>
        </w:rPr>
        <w:t xml:space="preserve">is also recommended to be retained and </w:t>
      </w:r>
      <w:r w:rsidR="000A3408">
        <w:rPr>
          <w:rFonts w:cs="Arial"/>
        </w:rPr>
        <w:t xml:space="preserve">is expected to be protective of potential </w:t>
      </w:r>
      <w:r w:rsidR="00282C7D">
        <w:rPr>
          <w:rFonts w:cs="Arial"/>
        </w:rPr>
        <w:t xml:space="preserve">acute </w:t>
      </w:r>
      <w:r w:rsidR="000A3408">
        <w:rPr>
          <w:rFonts w:cs="Arial"/>
        </w:rPr>
        <w:t xml:space="preserve">local </w:t>
      </w:r>
      <w:r w:rsidR="000A3408">
        <w:rPr>
          <w:rFonts w:cs="Arial"/>
        </w:rPr>
        <w:lastRenderedPageBreak/>
        <w:t>irritation based on poorly documented evidence for mucous membrane irritation above 25 ppm in humans.</w:t>
      </w:r>
    </w:p>
    <w:p w14:paraId="273B44AD" w14:textId="77777777" w:rsidR="004529F0" w:rsidRPr="004C23F4" w:rsidRDefault="004529F0" w:rsidP="004529F0">
      <w:pPr>
        <w:pStyle w:val="Heading2"/>
      </w:pPr>
      <w:r>
        <w:t>Recommendation for notations</w:t>
      </w:r>
    </w:p>
    <w:p w14:paraId="27C6755E" w14:textId="5994CD2F" w:rsidR="008E4F1F" w:rsidRPr="00DE621A" w:rsidRDefault="00DE621A" w:rsidP="008E4F1F">
      <w:pPr>
        <w:rPr>
          <w:rFonts w:cs="Arial"/>
        </w:rPr>
      </w:pPr>
      <w:r w:rsidRPr="00DE621A">
        <w:rPr>
          <w:rFonts w:cs="Arial"/>
        </w:rPr>
        <w:t>Classified as a category 2 carcinogen according to the Globally Harmonized System of Classification and Labelling of Chemicals (GHS).</w:t>
      </w:r>
      <w:r w:rsidR="008E4F1F" w:rsidRPr="00DE621A">
        <w:rPr>
          <w:rFonts w:cs="Arial"/>
        </w:rPr>
        <w:t xml:space="preserve"> </w:t>
      </w:r>
    </w:p>
    <w:p w14:paraId="03916CCC" w14:textId="77777777" w:rsidR="008E4F1F" w:rsidRPr="00DE621A" w:rsidRDefault="008E4F1F" w:rsidP="008E4F1F">
      <w:pPr>
        <w:rPr>
          <w:rFonts w:cs="Arial"/>
        </w:rPr>
      </w:pPr>
      <w:r w:rsidRPr="00DE621A">
        <w:rPr>
          <w:rFonts w:cs="Arial"/>
        </w:rPr>
        <w:t xml:space="preserve">Not classified as a skin </w:t>
      </w:r>
      <w:r w:rsidR="00155999" w:rsidRPr="00DE621A">
        <w:rPr>
          <w:rFonts w:cs="Arial"/>
        </w:rPr>
        <w:t xml:space="preserve">sensitiser </w:t>
      </w:r>
      <w:r w:rsidRPr="00DE621A">
        <w:rPr>
          <w:rFonts w:cs="Arial"/>
        </w:rPr>
        <w:t>or respiratory sensitiser according to the GHS.</w:t>
      </w:r>
    </w:p>
    <w:p w14:paraId="1F4A7E1E" w14:textId="77777777" w:rsidR="00DE621A" w:rsidRPr="00DE621A" w:rsidRDefault="00DE621A" w:rsidP="00DE621A">
      <w:pPr>
        <w:rPr>
          <w:rFonts w:cs="Arial"/>
        </w:rPr>
      </w:pPr>
      <w:r w:rsidRPr="00DE621A">
        <w:rPr>
          <w:rFonts w:cs="Arial"/>
        </w:rPr>
        <w:t>A skin notation is not recommended based on the available evidence.</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647EB8">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647EB8">
        <w:trPr>
          <w:cantSplit/>
        </w:trPr>
        <w:tc>
          <w:tcPr>
            <w:tcW w:w="5000" w:type="pct"/>
            <w:gridSpan w:val="2"/>
            <w:shd w:val="clear" w:color="auto" w:fill="F2F2F2" w:themeFill="background1" w:themeFillShade="F2"/>
          </w:tcPr>
          <w:p w14:paraId="3127B3A8" w14:textId="7DEF662E"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CE1FC3">
                  <w:t>1991</w:t>
                </w:r>
              </w:sdtContent>
            </w:sdt>
            <w:r w:rsidRPr="003365A5">
              <w:tab/>
            </w:r>
            <w:r>
              <w:tab/>
            </w:r>
            <w:sdt>
              <w:sdtPr>
                <w:alias w:val="SWA WES"/>
                <w:tag w:val="SWA WES"/>
                <w:id w:val="857077202"/>
                <w:placeholder>
                  <w:docPart w:val="81CFEC2FDBC5451289F394E66D92D1A0"/>
                </w:placeholder>
              </w:sdtPr>
              <w:sdtEndPr/>
              <w:sdtContent>
                <w:r w:rsidR="00CE1FC3">
                  <w:t>TWA:</w:t>
                </w:r>
                <w:r w:rsidR="007E7F86">
                  <w:t xml:space="preserve"> 5 ppm (20 mg/m</w:t>
                </w:r>
                <w:r w:rsidR="007E7F86" w:rsidRPr="007E7F86">
                  <w:rPr>
                    <w:vertAlign w:val="superscript"/>
                  </w:rPr>
                  <w:t>3</w:t>
                </w:r>
                <w:r w:rsidR="007E7F86">
                  <w:t>); STEL: 20 ppm (79 mg/m</w:t>
                </w:r>
                <w:r w:rsidR="007E7F86" w:rsidRPr="007E7F86">
                  <w:rPr>
                    <w:vertAlign w:val="superscript"/>
                  </w:rPr>
                  <w:t>3</w:t>
                </w:r>
                <w:r w:rsidR="007E7F86">
                  <w:t>)</w:t>
                </w:r>
              </w:sdtContent>
            </w:sdt>
          </w:p>
        </w:tc>
      </w:tr>
      <w:tr w:rsidR="00C978F0" w:rsidRPr="00DA352E" w14:paraId="26087DDB" w14:textId="77777777" w:rsidTr="00647EB8">
        <w:trPr>
          <w:gridAfter w:val="1"/>
          <w:wAfter w:w="8" w:type="pct"/>
          <w:cantSpli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647EB8">
        <w:trPr>
          <w:gridAfter w:val="1"/>
          <w:wAfter w:w="8" w:type="pct"/>
          <w:cantSplit/>
        </w:trPr>
        <w:tc>
          <w:tcPr>
            <w:tcW w:w="4992" w:type="pct"/>
            <w:shd w:val="clear" w:color="auto" w:fill="F2F2F2" w:themeFill="background1" w:themeFillShade="F2"/>
          </w:tcPr>
          <w:p w14:paraId="2ED10929" w14:textId="6C53702F"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7E7F86">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7E7F86">
                  <w:t>TLV-TWA: 5 ppm (20 mg/m</w:t>
                </w:r>
                <w:r w:rsidR="007E7F86" w:rsidRPr="007E7F86">
                  <w:rPr>
                    <w:vertAlign w:val="superscript"/>
                  </w:rPr>
                  <w:t>3</w:t>
                </w:r>
                <w:r w:rsidR="007E7F86">
                  <w:t>)</w:t>
                </w:r>
              </w:sdtContent>
            </w:sdt>
          </w:p>
        </w:tc>
      </w:tr>
      <w:tr w:rsidR="00C978F0" w:rsidRPr="00DA352E" w14:paraId="418D532D" w14:textId="77777777" w:rsidTr="00647EB8">
        <w:trPr>
          <w:gridAfter w:val="1"/>
          <w:wAfter w:w="8" w:type="pct"/>
        </w:trPr>
        <w:tc>
          <w:tcPr>
            <w:tcW w:w="4992" w:type="pct"/>
          </w:tcPr>
          <w:p w14:paraId="55DF21B3" w14:textId="042E0B54" w:rsidR="00C978F0" w:rsidRDefault="00200844" w:rsidP="003365A5">
            <w:pPr>
              <w:pStyle w:val="Tabletextprimarysource"/>
            </w:pPr>
            <w:r>
              <w:t xml:space="preserve">TLV-TWA intended </w:t>
            </w:r>
            <w:r w:rsidR="00E04A48">
              <w:t xml:space="preserve">to protect for </w:t>
            </w:r>
            <w:r w:rsidR="00706FC9">
              <w:t>liver necrosis and kidney t</w:t>
            </w:r>
            <w:r w:rsidR="006F0B0D">
              <w:t xml:space="preserve">oxicity as observed in animals and CNS depression at high acute exposures as observed in humans. Not classifiable as a human carcinogen based on equivocal results for limited carcinogenicity in animal bioassays. </w:t>
            </w:r>
            <w:r w:rsidR="00FE2FC0">
              <w:t xml:space="preserve">TLV-STEL of 20 ppm withdrawn </w:t>
            </w:r>
            <w:r w:rsidR="00AF001C">
              <w:t>in 1998.</w:t>
            </w:r>
          </w:p>
          <w:p w14:paraId="04924CAD" w14:textId="77777777" w:rsidR="006F0B0D" w:rsidRDefault="006F0B0D" w:rsidP="003365A5">
            <w:pPr>
              <w:pStyle w:val="Tabletextprimarysource"/>
            </w:pPr>
            <w:r>
              <w:t>Summary of information:</w:t>
            </w:r>
          </w:p>
          <w:p w14:paraId="6CFA7B41" w14:textId="6C03CD15" w:rsidR="004D37BC" w:rsidRDefault="00D11717" w:rsidP="003365A5">
            <w:pPr>
              <w:pStyle w:val="Tabletextprimarysource"/>
            </w:pPr>
            <w:r>
              <w:t>Available carcinogenicity evaluations are conflicting; EPA category II classification is based on chemical similarity to vinyl chloride, positive mutagenicity</w:t>
            </w:r>
            <w:r>
              <w:rPr>
                <w:i/>
              </w:rPr>
              <w:t xml:space="preserve"> in vitro</w:t>
            </w:r>
            <w:r w:rsidR="00F945F3">
              <w:t xml:space="preserve"> and</w:t>
            </w:r>
            <w:r>
              <w:t xml:space="preserve"> positive carcinogenicity </w:t>
            </w:r>
            <w:r w:rsidR="004D37BC">
              <w:t xml:space="preserve">in mice in 1 </w:t>
            </w:r>
            <w:r>
              <w:t xml:space="preserve">bioassay. Agency notes carcinogenicity in mice only </w:t>
            </w:r>
            <w:r w:rsidR="004D37BC">
              <w:t>presented</w:t>
            </w:r>
            <w:r>
              <w:t xml:space="preserve"> once</w:t>
            </w:r>
            <w:r w:rsidR="004D37BC">
              <w:t xml:space="preserve"> in an unpublished report</w:t>
            </w:r>
            <w:r>
              <w:t xml:space="preserve"> and contradi</w:t>
            </w:r>
            <w:r w:rsidR="004D37BC">
              <w:t xml:space="preserve">cted by results of several other animal bioassays. Carcinogenic mechanism of action associated with liver glutathione depletion with subsequent tissue injury and regenerative hyperplasia. Prevention of this liver toxicity would protect for </w:t>
            </w:r>
            <w:r w:rsidR="005919E3">
              <w:t xml:space="preserve">potential </w:t>
            </w:r>
            <w:r w:rsidR="004D37BC">
              <w:t>carcinogenic</w:t>
            </w:r>
            <w:r w:rsidR="005919E3">
              <w:t>ity</w:t>
            </w:r>
            <w:r w:rsidR="004D37BC">
              <w:t xml:space="preserve">. </w:t>
            </w:r>
          </w:p>
          <w:p w14:paraId="19087ADC" w14:textId="4A98A541" w:rsidR="006F0B0D" w:rsidRPr="00D11717" w:rsidRDefault="00CF204F" w:rsidP="003365A5">
            <w:pPr>
              <w:pStyle w:val="Tabletextprimarysource"/>
            </w:pPr>
            <w:r>
              <w:t xml:space="preserve">Therefore, </w:t>
            </w:r>
            <w:r w:rsidR="004D37BC">
              <w:t xml:space="preserve">TLV-TWA based on transient liver cell fatty infiltration observed at 25–75 ppm in rats and supported by industrial experience that suggests average exposure at 5 ppm </w:t>
            </w:r>
            <w:r w:rsidR="003C0785">
              <w:t>is not associated with adverse effects</w:t>
            </w:r>
            <w:r w:rsidR="004D37BC">
              <w:t>.</w:t>
            </w:r>
          </w:p>
          <w:p w14:paraId="74AAB178" w14:textId="6E74DA0B" w:rsidR="006F0B0D" w:rsidRDefault="006F0B0D" w:rsidP="003365A5">
            <w:pPr>
              <w:pStyle w:val="Tabletextprimarysource"/>
            </w:pPr>
            <w:r>
              <w:t>Human data:</w:t>
            </w:r>
          </w:p>
          <w:p w14:paraId="7D1B7267" w14:textId="4EC192B1" w:rsidR="006F0B0D" w:rsidRDefault="00AC54BE" w:rsidP="00AC54BE">
            <w:pPr>
              <w:pStyle w:val="Tabletextprimarysource"/>
              <w:numPr>
                <w:ilvl w:val="0"/>
                <w:numId w:val="2"/>
              </w:numPr>
            </w:pPr>
            <w:r>
              <w:t xml:space="preserve">CNS depression leading to unconsciousness at </w:t>
            </w:r>
            <w:r>
              <w:rPr>
                <w:rFonts w:cs="Arial"/>
              </w:rPr>
              <w:t>≈</w:t>
            </w:r>
            <w:r>
              <w:t>4,000 ppm (no further details provided)</w:t>
            </w:r>
          </w:p>
          <w:p w14:paraId="648F85B2" w14:textId="6939369E" w:rsidR="00AC54BE" w:rsidRDefault="00AC54BE" w:rsidP="00AC54BE">
            <w:pPr>
              <w:pStyle w:val="Tabletextprimarysource"/>
              <w:numPr>
                <w:ilvl w:val="0"/>
                <w:numId w:val="2"/>
              </w:numPr>
            </w:pPr>
            <w:r>
              <w:t>Pharmacokinetic modelling based on animal data suggest metabolic saturation at 200 ppm</w:t>
            </w:r>
          </w:p>
          <w:p w14:paraId="6BC44C48" w14:textId="77777777" w:rsidR="00CF204F" w:rsidRDefault="00AC54BE" w:rsidP="00AC54BE">
            <w:pPr>
              <w:pStyle w:val="Tabletextprimarysource"/>
              <w:numPr>
                <w:ilvl w:val="0"/>
                <w:numId w:val="2"/>
              </w:numPr>
            </w:pPr>
            <w:r>
              <w:t xml:space="preserve">No adverse effects reported in limited cohort study of workers exposed on average at </w:t>
            </w:r>
          </w:p>
          <w:p w14:paraId="52F13C77" w14:textId="75C398A8" w:rsidR="00AC54BE" w:rsidRDefault="00AC54BE" w:rsidP="00CF204F">
            <w:pPr>
              <w:pStyle w:val="Tabletextprimarysource"/>
              <w:ind w:left="720"/>
            </w:pPr>
            <w:r>
              <w:t>5–70 ppm with peak of 1,900 ppm (n=138, 21 yr exposure, no further details provided)</w:t>
            </w:r>
          </w:p>
          <w:p w14:paraId="3D343E14" w14:textId="50943A5D" w:rsidR="00AC54BE" w:rsidRDefault="00AC54BE" w:rsidP="00AC54BE">
            <w:pPr>
              <w:pStyle w:val="Tabletextprimarysource"/>
              <w:numPr>
                <w:ilvl w:val="0"/>
                <w:numId w:val="2"/>
              </w:numPr>
            </w:pPr>
            <w:r>
              <w:t>Skin permeability coefficient: 0.016 cm/h</w:t>
            </w:r>
            <w:r w:rsidR="00BE38BC">
              <w:t>.</w:t>
            </w:r>
          </w:p>
          <w:p w14:paraId="60527198" w14:textId="349BBE85" w:rsidR="00060FCA" w:rsidRDefault="006F0B0D" w:rsidP="005919E3">
            <w:pPr>
              <w:pStyle w:val="Tabletextprimarysource"/>
            </w:pPr>
            <w:r>
              <w:t>Animal data:</w:t>
            </w:r>
          </w:p>
          <w:p w14:paraId="1589D298" w14:textId="6293E12E" w:rsidR="00DE2B4B" w:rsidRDefault="00060FCA" w:rsidP="00060FCA">
            <w:pPr>
              <w:pStyle w:val="Tabletextprimarysource"/>
              <w:numPr>
                <w:ilvl w:val="0"/>
                <w:numId w:val="1"/>
              </w:numPr>
            </w:pPr>
            <w:r>
              <w:t>Hepatic haemangiosarcomas (mice</w:t>
            </w:r>
            <w:r w:rsidR="00DE2B4B">
              <w:t xml:space="preserve"> only</w:t>
            </w:r>
            <w:r>
              <w:t>) and kidney damage (not specified)</w:t>
            </w:r>
            <w:r w:rsidR="00DE2B4B">
              <w:t xml:space="preserve"> at 55 ppm in chronic inhalation study (mice, rats, 6 h/d, 5 d/wk, 7–12 mo)</w:t>
            </w:r>
            <w:r w:rsidR="00CF204F">
              <w:t>:</w:t>
            </w:r>
            <w:r w:rsidR="00DE2B4B">
              <w:t xml:space="preserve"> </w:t>
            </w:r>
          </w:p>
          <w:p w14:paraId="16CA4262" w14:textId="01C6D685" w:rsidR="00060FCA" w:rsidRDefault="00DE2B4B" w:rsidP="00BE38BC">
            <w:pPr>
              <w:pStyle w:val="Tabletextprimarysource"/>
              <w:numPr>
                <w:ilvl w:val="1"/>
                <w:numId w:val="1"/>
              </w:numPr>
              <w:ind w:left="1156"/>
            </w:pPr>
            <w:r>
              <w:t>tumour incidence in mice</w:t>
            </w:r>
            <w:r w:rsidR="00BE38BC">
              <w:t>:</w:t>
            </w:r>
            <w:r>
              <w:t xml:space="preserve">1/35 (female) and 2/35 (male) </w:t>
            </w:r>
          </w:p>
          <w:p w14:paraId="0BEF47C6" w14:textId="68DF9BFB" w:rsidR="00DE2B4B" w:rsidRDefault="005919E3" w:rsidP="00BE38BC">
            <w:pPr>
              <w:pStyle w:val="Tabletextprimarysource"/>
              <w:numPr>
                <w:ilvl w:val="1"/>
                <w:numId w:val="1"/>
              </w:numPr>
              <w:ind w:left="1156"/>
            </w:pPr>
            <w:r>
              <w:t xml:space="preserve">not reproducible </w:t>
            </w:r>
            <w:r w:rsidR="0056664B">
              <w:t>at 55 ppm for 1, 3, 6</w:t>
            </w:r>
            <w:r w:rsidR="00F945F3">
              <w:t xml:space="preserve"> and</w:t>
            </w:r>
            <w:r w:rsidR="0056664B">
              <w:t xml:space="preserve"> 10 mo </w:t>
            </w:r>
            <w:r>
              <w:t xml:space="preserve">in </w:t>
            </w:r>
            <w:r w:rsidR="00DE2B4B">
              <w:t xml:space="preserve">follow-up study </w:t>
            </w:r>
          </w:p>
          <w:p w14:paraId="061EFCFE" w14:textId="51D1A0DC" w:rsidR="008D039F" w:rsidRDefault="008D039F" w:rsidP="006178F5">
            <w:pPr>
              <w:pStyle w:val="Tabletextprimarysource"/>
              <w:numPr>
                <w:ilvl w:val="0"/>
                <w:numId w:val="1"/>
              </w:numPr>
            </w:pPr>
            <w:r>
              <w:t>Results of several chronic inhalation studies with exposures between 10–150 ppm showed equivocal evidence for tumorigenicity in mice</w:t>
            </w:r>
            <w:r w:rsidR="004D37BC">
              <w:t xml:space="preserve"> in 1 study</w:t>
            </w:r>
            <w:r>
              <w:t>, but not other species (mice, rats, hamsters, 4 h/d, 5 d/wk, 1</w:t>
            </w:r>
            <w:r w:rsidR="00113F2A">
              <w:t>–2</w:t>
            </w:r>
            <w:r>
              <w:t xml:space="preserve"> yr)</w:t>
            </w:r>
            <w:r w:rsidR="00CF204F">
              <w:t>:</w:t>
            </w:r>
          </w:p>
          <w:p w14:paraId="5E38E79F" w14:textId="7C2237C6" w:rsidR="008D039F" w:rsidRDefault="008D039F" w:rsidP="00BE38BC">
            <w:pPr>
              <w:pStyle w:val="Tabletextprimarysource"/>
              <w:numPr>
                <w:ilvl w:val="1"/>
                <w:numId w:val="1"/>
              </w:numPr>
              <w:ind w:left="1156"/>
            </w:pPr>
            <w:r>
              <w:t>i</w:t>
            </w:r>
            <w:r w:rsidR="006178F5">
              <w:t>ncreased incidence of kidney adenocarcinomas at 25 ppm (mice)</w:t>
            </w:r>
            <w:r>
              <w:t xml:space="preserve"> in 1 study</w:t>
            </w:r>
          </w:p>
          <w:p w14:paraId="7981D7D2" w14:textId="77777777" w:rsidR="008D039F" w:rsidRDefault="008D039F" w:rsidP="00BE38BC">
            <w:pPr>
              <w:pStyle w:val="Tabletextprimarysource"/>
              <w:numPr>
                <w:ilvl w:val="1"/>
                <w:numId w:val="1"/>
              </w:numPr>
              <w:ind w:left="1156"/>
            </w:pPr>
            <w:r>
              <w:t>no increased tumorigenicity in separate study with 3 different strains of mice</w:t>
            </w:r>
          </w:p>
          <w:p w14:paraId="52FF323C" w14:textId="1CC8FA54" w:rsidR="006178F5" w:rsidRDefault="008D039F" w:rsidP="00BE38BC">
            <w:pPr>
              <w:pStyle w:val="Tabletextprimarysource"/>
              <w:numPr>
                <w:ilvl w:val="1"/>
                <w:numId w:val="1"/>
              </w:numPr>
              <w:ind w:left="1156"/>
            </w:pPr>
            <w:r>
              <w:t>no increase in overall tumours compared to controls, but increase in mammary tumours</w:t>
            </w:r>
            <w:r w:rsidR="006178F5">
              <w:t xml:space="preserve"> </w:t>
            </w:r>
            <w:r>
              <w:t>at 10 ppm (female rats);</w:t>
            </w:r>
            <w:r w:rsidR="005919E3">
              <w:t xml:space="preserve"> biological</w:t>
            </w:r>
            <w:r>
              <w:t xml:space="preserve"> relevance of result uncertain</w:t>
            </w:r>
          </w:p>
          <w:p w14:paraId="4DDD43C8" w14:textId="3820E622" w:rsidR="005919E3" w:rsidRDefault="005919E3" w:rsidP="00BE38BC">
            <w:pPr>
              <w:pStyle w:val="Tabletextprimarysource"/>
              <w:numPr>
                <w:ilvl w:val="1"/>
                <w:numId w:val="1"/>
              </w:numPr>
              <w:ind w:left="1156"/>
            </w:pPr>
            <w:r>
              <w:t>no increased tumour incidence at 25 and 75 ppm (rats, 6 h/d, 5 d/wk, 1.5 yr); transient hepatocellular fatty infiltration observed, basis of TLV-TWA</w:t>
            </w:r>
          </w:p>
          <w:p w14:paraId="4AB62CF5" w14:textId="2E03DD05" w:rsidR="008D039F" w:rsidRDefault="007832AB" w:rsidP="008D039F">
            <w:pPr>
              <w:pStyle w:val="Tabletextprimarysource"/>
              <w:numPr>
                <w:ilvl w:val="0"/>
                <w:numId w:val="1"/>
              </w:numPr>
            </w:pPr>
            <w:r>
              <w:t>Results of mechanistic study indicate increased tumorigenicity observed in mice was likely due to cytotoxicity rather than genotoxicity; high doses produced cytotoxic metabolites</w:t>
            </w:r>
          </w:p>
          <w:p w14:paraId="46900D32" w14:textId="77777777" w:rsidR="007832AB" w:rsidRDefault="007832AB" w:rsidP="008D039F">
            <w:pPr>
              <w:pStyle w:val="Tabletextprimarysource"/>
              <w:numPr>
                <w:ilvl w:val="0"/>
                <w:numId w:val="1"/>
              </w:numPr>
            </w:pPr>
            <w:r>
              <w:t xml:space="preserve">Mutagenic </w:t>
            </w:r>
            <w:r>
              <w:rPr>
                <w:i/>
              </w:rPr>
              <w:t>in vitro</w:t>
            </w:r>
            <w:r>
              <w:t xml:space="preserve"> in bacteria and mammalian cells in the presence of metabolic activation, non-mutagenic </w:t>
            </w:r>
            <w:r>
              <w:rPr>
                <w:i/>
              </w:rPr>
              <w:t>in vivo</w:t>
            </w:r>
            <w:r>
              <w:t xml:space="preserve"> </w:t>
            </w:r>
            <w:r w:rsidR="00AC54BE">
              <w:t xml:space="preserve">at 55 ppm (rats) and 10–50 ppm (mice) </w:t>
            </w:r>
            <w:r>
              <w:t xml:space="preserve">in </w:t>
            </w:r>
            <w:r w:rsidR="00AC54BE">
              <w:t>dominant lethal mutation assay (mice, rats, 6 h/d, 5 d/wk, 1–11 wk)</w:t>
            </w:r>
          </w:p>
          <w:p w14:paraId="1F4815E0" w14:textId="65381CD0" w:rsidR="00AC54BE" w:rsidRDefault="00AC54BE" w:rsidP="008D039F">
            <w:pPr>
              <w:pStyle w:val="Tabletextprimarysource"/>
              <w:numPr>
                <w:ilvl w:val="0"/>
                <w:numId w:val="1"/>
              </w:numPr>
            </w:pPr>
            <w:r>
              <w:lastRenderedPageBreak/>
              <w:t xml:space="preserve">Metabolites bind to liver and kidney </w:t>
            </w:r>
            <w:r w:rsidR="0056664B">
              <w:t>biomolecules</w:t>
            </w:r>
            <w:r>
              <w:t xml:space="preserve"> dose-dependently between 5–200 ppm (mice, rats, 6 h); metabolic saturation reached at 200–300 ppm, 98% of inhaled dose of 10</w:t>
            </w:r>
            <w:r w:rsidR="0056664B">
              <w:t> </w:t>
            </w:r>
            <w:r>
              <w:t>ppm metabolised in 6 h (rats)</w:t>
            </w:r>
            <w:r w:rsidR="000A6B54">
              <w:t>.</w:t>
            </w:r>
          </w:p>
          <w:p w14:paraId="29494EFA" w14:textId="77777777" w:rsidR="00CF204F" w:rsidRDefault="00CF204F" w:rsidP="004D37BC">
            <w:pPr>
              <w:pStyle w:val="Tabletextprimarysource"/>
            </w:pPr>
          </w:p>
          <w:p w14:paraId="329237A0" w14:textId="7214F6B4" w:rsidR="004D37BC" w:rsidRDefault="004D37BC" w:rsidP="004D37BC">
            <w:pPr>
              <w:pStyle w:val="Tabletextprimarysource"/>
            </w:pPr>
            <w:r>
              <w:t>Insufficient data to recommend a TLV-STEL or notations for skin absorption or sensitisation.</w:t>
            </w:r>
          </w:p>
          <w:p w14:paraId="0CE4D35D" w14:textId="053738FF" w:rsidR="00B01BE9" w:rsidRPr="00DA352E" w:rsidRDefault="00B01BE9" w:rsidP="004D37BC">
            <w:pPr>
              <w:pStyle w:val="Tabletextprimarysource"/>
            </w:pPr>
          </w:p>
        </w:tc>
      </w:tr>
      <w:tr w:rsidR="00C978F0" w:rsidRPr="00DA352E" w14:paraId="174F8B79" w14:textId="77777777" w:rsidTr="00647EB8">
        <w:trPr>
          <w:gridAfter w:val="1"/>
          <w:wAfter w:w="8" w:type="pct"/>
          <w:cantSplit/>
        </w:trPr>
        <w:tc>
          <w:tcPr>
            <w:tcW w:w="4992" w:type="pct"/>
            <w:shd w:val="clear" w:color="auto" w:fill="F2F2F2" w:themeFill="background1" w:themeFillShade="F2"/>
          </w:tcPr>
          <w:p w14:paraId="65BCCE9F" w14:textId="08808478"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687D13" w:rsidRPr="00687D13">
                  <w:t>1985</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7E7F86">
                  <w:t>MAK: 2 ppm (8 mg/m</w:t>
                </w:r>
                <w:r w:rsidR="007E7F86" w:rsidRPr="007E7F86">
                  <w:rPr>
                    <w:vertAlign w:val="superscript"/>
                  </w:rPr>
                  <w:t>3</w:t>
                </w:r>
                <w:r w:rsidR="007E7F86">
                  <w:t>)</w:t>
                </w:r>
              </w:sdtContent>
            </w:sdt>
          </w:p>
        </w:tc>
      </w:tr>
      <w:tr w:rsidR="00C978F0" w:rsidRPr="00DA352E" w14:paraId="4433014F" w14:textId="77777777" w:rsidTr="00647EB8">
        <w:trPr>
          <w:gridAfter w:val="1"/>
          <w:wAfter w:w="8" w:type="pct"/>
        </w:trPr>
        <w:tc>
          <w:tcPr>
            <w:tcW w:w="4992" w:type="pct"/>
          </w:tcPr>
          <w:p w14:paraId="1F7685B1" w14:textId="77777777" w:rsidR="00C978F0" w:rsidRDefault="0056664B" w:rsidP="003365A5">
            <w:pPr>
              <w:pStyle w:val="Tabletextprimarysource"/>
            </w:pPr>
            <w:r>
              <w:t>Summary of additional information:</w:t>
            </w:r>
          </w:p>
          <w:p w14:paraId="15454E48" w14:textId="36A1D5B5" w:rsidR="0056664B" w:rsidRDefault="0056664B" w:rsidP="003365A5">
            <w:pPr>
              <w:pStyle w:val="Tabletextprimarysource"/>
            </w:pPr>
            <w:r>
              <w:t xml:space="preserve">No evidence of adverse effects </w:t>
            </w:r>
            <w:r w:rsidR="00AF001C">
              <w:t xml:space="preserve">or carcinogenicity </w:t>
            </w:r>
            <w:r>
              <w:t>from occupational exposure</w:t>
            </w:r>
            <w:r w:rsidR="00AF001C">
              <w:t xml:space="preserve"> in available epidemiological data</w:t>
            </w:r>
            <w:r>
              <w:t xml:space="preserve">. </w:t>
            </w:r>
            <w:r w:rsidR="00AF001C">
              <w:t>Limited evidence for carcinogenicity in animals</w:t>
            </w:r>
            <w:r w:rsidR="00F6701D">
              <w:t>.</w:t>
            </w:r>
            <w:r w:rsidR="007D0A83">
              <w:t xml:space="preserve"> Previous MAK of 10 ppm based on NOAEC of 30 ppm for reversible liver changes in rats and </w:t>
            </w:r>
            <w:r w:rsidR="0070624A">
              <w:t>LOAEC</w:t>
            </w:r>
            <w:r w:rsidR="007D0A83">
              <w:t xml:space="preserve"> of 25 ppm for chronic liver and kidney damage and carcinogenicity in mice. MAK lowered to 2 ppm in 1985 </w:t>
            </w:r>
            <w:r w:rsidR="003B7A4F">
              <w:t xml:space="preserve">to account for steep dose-response relationship observed in chronically exposed mice. </w:t>
            </w:r>
          </w:p>
          <w:p w14:paraId="792EB794" w14:textId="40297B09" w:rsidR="002A7F24" w:rsidRDefault="00E45499" w:rsidP="003365A5">
            <w:pPr>
              <w:pStyle w:val="Tabletextprimarysource"/>
            </w:pPr>
            <w:r>
              <w:t>Insufficient data to classify</w:t>
            </w:r>
            <w:r w:rsidR="002A7F24">
              <w:t xml:space="preserve"> as human carcinogen based on equivocal carcinogenicity in animals (Category 3B).</w:t>
            </w:r>
          </w:p>
          <w:p w14:paraId="2ABE92D4" w14:textId="77777777" w:rsidR="002A7F24" w:rsidRDefault="002A7F24" w:rsidP="003365A5">
            <w:pPr>
              <w:pStyle w:val="Tabletextprimarysource"/>
            </w:pPr>
            <w:r>
              <w:t>Human data:</w:t>
            </w:r>
          </w:p>
          <w:p w14:paraId="01B28570" w14:textId="79DFC4CE" w:rsidR="002A7F24" w:rsidRDefault="00165C6F" w:rsidP="00165C6F">
            <w:pPr>
              <w:pStyle w:val="Tabletextprimarysource"/>
              <w:numPr>
                <w:ilvl w:val="0"/>
                <w:numId w:val="1"/>
              </w:numPr>
            </w:pPr>
            <w:r>
              <w:t xml:space="preserve">Odour threshold: 50 ppm; irritating to eyes and </w:t>
            </w:r>
            <w:r w:rsidR="000A6B54">
              <w:t>URT</w:t>
            </w:r>
            <w:r>
              <w:t xml:space="preserve"> at 25 ppm (no further details provided)</w:t>
            </w:r>
          </w:p>
          <w:p w14:paraId="63E65174" w14:textId="2AD162F6" w:rsidR="00165C6F" w:rsidRDefault="00165C6F" w:rsidP="00165C6F">
            <w:pPr>
              <w:pStyle w:val="Tabletextprimarysource"/>
              <w:numPr>
                <w:ilvl w:val="0"/>
                <w:numId w:val="1"/>
              </w:numPr>
            </w:pPr>
            <w:r>
              <w:t>No evidence for liver toxicity reported in 2 workplace studies with average exposure at 5 ppm, co-exposure to vinyl chloride at 300 ppm repo</w:t>
            </w:r>
            <w:r w:rsidR="00783533">
              <w:t>rted in 1 of these studies (n=49 and 298)</w:t>
            </w:r>
          </w:p>
          <w:p w14:paraId="3DCE42D2" w14:textId="3843A8AC" w:rsidR="00783533" w:rsidRDefault="004A0C89" w:rsidP="00165C6F">
            <w:pPr>
              <w:pStyle w:val="Tabletextprimarysource"/>
              <w:numPr>
                <w:ilvl w:val="0"/>
                <w:numId w:val="1"/>
              </w:numPr>
            </w:pPr>
            <w:r>
              <w:t xml:space="preserve">No excess mortality associated with occupational exposure at </w:t>
            </w:r>
            <w:r w:rsidR="0084777B">
              <w:t>50 ppm (10 yr), 10 ppm (10 yr)</w:t>
            </w:r>
            <w:r w:rsidR="00F945F3">
              <w:t xml:space="preserve"> and</w:t>
            </w:r>
            <w:r w:rsidR="0084777B">
              <w:t xml:space="preserve"> &lt;5 ppm (&lt;2 yr) in cohort study of production workers</w:t>
            </w:r>
            <w:r w:rsidR="000A6B54">
              <w:t>.</w:t>
            </w:r>
          </w:p>
          <w:p w14:paraId="509D091B" w14:textId="77777777" w:rsidR="002A7F24" w:rsidRDefault="002A7F24" w:rsidP="003365A5">
            <w:pPr>
              <w:pStyle w:val="Tabletextprimarysource"/>
            </w:pPr>
            <w:r>
              <w:t>Animal data:</w:t>
            </w:r>
          </w:p>
          <w:p w14:paraId="2790A180" w14:textId="52DD91F8" w:rsidR="002A7F24" w:rsidRDefault="0084777B" w:rsidP="0084777B">
            <w:pPr>
              <w:pStyle w:val="Tabletextprimarysource"/>
              <w:numPr>
                <w:ilvl w:val="0"/>
                <w:numId w:val="1"/>
              </w:numPr>
            </w:pPr>
            <w:r>
              <w:t>LD</w:t>
            </w:r>
            <w:r>
              <w:rPr>
                <w:vertAlign w:val="subscript"/>
              </w:rPr>
              <w:t>LO</w:t>
            </w:r>
            <w:r>
              <w:t>: 3,700 mg/kg (rabbits)</w:t>
            </w:r>
          </w:p>
          <w:p w14:paraId="1935AFF6" w14:textId="1C2447E7" w:rsidR="0084777B" w:rsidRDefault="0084777B" w:rsidP="003E398C">
            <w:pPr>
              <w:pStyle w:val="Tabletextprimarysource"/>
              <w:numPr>
                <w:ilvl w:val="0"/>
                <w:numId w:val="1"/>
              </w:numPr>
            </w:pPr>
            <w:r>
              <w:t xml:space="preserve">Non-mutagenic </w:t>
            </w:r>
            <w:r>
              <w:rPr>
                <w:i/>
              </w:rPr>
              <w:t>in vivo</w:t>
            </w:r>
            <w:r>
              <w:t xml:space="preserve"> at 10 and 50 ppm (mice, rats, 6 h); dose-dependent </w:t>
            </w:r>
            <w:r w:rsidR="003E398C">
              <w:t>kidney necrosis, increased DNA repair in kidneys at 50 ppm; agency concludes kidney tumours observed in chronically exposed mice likely due to non-genotoxic mechanism</w:t>
            </w:r>
          </w:p>
          <w:p w14:paraId="6966A2DD" w14:textId="2EDBF9CB" w:rsidR="003C0785" w:rsidRDefault="003C0785" w:rsidP="003E398C">
            <w:pPr>
              <w:pStyle w:val="Tabletextprimarysource"/>
              <w:numPr>
                <w:ilvl w:val="0"/>
                <w:numId w:val="1"/>
              </w:numPr>
            </w:pPr>
            <w:r>
              <w:t>Agency concludes carcinogenic potential in animals is weak</w:t>
            </w:r>
            <w:r w:rsidR="00CF204F">
              <w:t>:</w:t>
            </w:r>
            <w:r>
              <w:t xml:space="preserve"> </w:t>
            </w:r>
          </w:p>
          <w:p w14:paraId="24C417B5" w14:textId="16AA972B" w:rsidR="003E398C" w:rsidRDefault="003C0785" w:rsidP="000A6B54">
            <w:pPr>
              <w:pStyle w:val="Tabletextprimarysource"/>
              <w:numPr>
                <w:ilvl w:val="1"/>
                <w:numId w:val="1"/>
              </w:numPr>
              <w:ind w:left="1156"/>
            </w:pPr>
            <w:r>
              <w:t>1</w:t>
            </w:r>
            <w:r w:rsidR="003E398C">
              <w:t>8 separate chronic exposure studies with mice, rats</w:t>
            </w:r>
            <w:r w:rsidR="00F945F3">
              <w:t xml:space="preserve"> and</w:t>
            </w:r>
            <w:r w:rsidR="003E398C">
              <w:t xml:space="preserve"> hamsters (including those presented in ACGIH, 2018)</w:t>
            </w:r>
            <w:r w:rsidR="00445663">
              <w:t xml:space="preserve"> reviewed;</w:t>
            </w:r>
            <w:r w:rsidR="003E398C">
              <w:t xml:space="preserve"> 1</w:t>
            </w:r>
            <w:r>
              <w:t xml:space="preserve"> chronic inhalation</w:t>
            </w:r>
            <w:r w:rsidR="003E398C">
              <w:t xml:space="preserve"> study showed evidence for increased tumorigenicity</w:t>
            </w:r>
            <w:r w:rsidR="00445663">
              <w:t xml:space="preserve"> at 25 ppm (mice, 4 h/d, 4 d/wk, 2 yr)</w:t>
            </w:r>
          </w:p>
          <w:p w14:paraId="2FC956FB" w14:textId="77ABA6F4" w:rsidR="00445663" w:rsidRDefault="003C0785" w:rsidP="000A6B54">
            <w:pPr>
              <w:pStyle w:val="Tabletextprimarysource"/>
              <w:numPr>
                <w:ilvl w:val="1"/>
                <w:numId w:val="1"/>
              </w:numPr>
              <w:ind w:left="1156"/>
            </w:pPr>
            <w:r>
              <w:t>no signs of toxicity at 10 ppm, increased tumorigenicity and nephrotoxic lesions at 25</w:t>
            </w:r>
            <w:r w:rsidR="000A6B54">
              <w:t> </w:t>
            </w:r>
            <w:r>
              <w:t>ppm, increased mortality at 50 ppm observed in this mouse study; dose-response relationship used as basis for lowering MAK</w:t>
            </w:r>
          </w:p>
          <w:p w14:paraId="62C09657" w14:textId="7813FBB3" w:rsidR="003C0785" w:rsidRDefault="003C0785" w:rsidP="000A6B54">
            <w:pPr>
              <w:pStyle w:val="Tabletextprimarysource"/>
              <w:numPr>
                <w:ilvl w:val="1"/>
                <w:numId w:val="1"/>
              </w:numPr>
              <w:ind w:left="1156"/>
            </w:pPr>
            <w:r>
              <w:t>no evidence for significant increase in carcinogenicity in remaining chronic exposure studies</w:t>
            </w:r>
            <w:r w:rsidR="000A6B54">
              <w:t>.</w:t>
            </w:r>
          </w:p>
          <w:p w14:paraId="1B9AF5F4" w14:textId="77777777" w:rsidR="00B01BE9" w:rsidRDefault="00B01BE9" w:rsidP="003365A5">
            <w:pPr>
              <w:pStyle w:val="Tabletextprimarysource"/>
            </w:pPr>
          </w:p>
          <w:p w14:paraId="2C802BB7" w14:textId="77777777" w:rsidR="002A7F24" w:rsidRDefault="00D9229A" w:rsidP="003365A5">
            <w:pPr>
              <w:pStyle w:val="Tabletextprimarysource"/>
            </w:pPr>
            <w:r>
              <w:t>Insufficient data to recommend notations for skin absorption or sensitisation.</w:t>
            </w:r>
          </w:p>
          <w:p w14:paraId="61A64F09" w14:textId="22DA51C8" w:rsidR="00B01BE9" w:rsidRPr="00DA352E" w:rsidRDefault="00B01BE9" w:rsidP="003365A5">
            <w:pPr>
              <w:pStyle w:val="Tabletextprimarysource"/>
            </w:pPr>
          </w:p>
        </w:tc>
      </w:tr>
      <w:tr w:rsidR="00C978F0" w:rsidRPr="00DA352E" w14:paraId="0E6A0B2C" w14:textId="77777777" w:rsidTr="00647EB8">
        <w:trPr>
          <w:gridAfter w:val="1"/>
          <w:wAfter w:w="8" w:type="pct"/>
        </w:trPr>
        <w:tc>
          <w:tcPr>
            <w:tcW w:w="4992" w:type="pct"/>
            <w:shd w:val="clear" w:color="auto" w:fill="F2F2F2" w:themeFill="background1" w:themeFillShade="F2"/>
          </w:tcPr>
          <w:p w14:paraId="73C602E5" w14:textId="17E13B04"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7E7F86" w:rsidRPr="007E7F86">
                  <w:t>2008</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7E7F86" w:rsidRPr="007E7F86">
                  <w:t>TWA</w:t>
                </w:r>
                <w:r w:rsidR="007E7F86">
                  <w:t>: 2 ppm (8 mg/m</w:t>
                </w:r>
                <w:r w:rsidR="007E7F86" w:rsidRPr="007E7F86">
                  <w:rPr>
                    <w:vertAlign w:val="superscript"/>
                  </w:rPr>
                  <w:t>3</w:t>
                </w:r>
                <w:r w:rsidR="007E7F86">
                  <w:t xml:space="preserve">); </w:t>
                </w:r>
                <w:r w:rsidR="006729B4">
                  <w:t>STEL: 5 ppm (20 </w:t>
                </w:r>
                <w:r w:rsidR="007E7F86">
                  <w:t>mg/m</w:t>
                </w:r>
                <w:r w:rsidR="007E7F86" w:rsidRPr="007E7F86">
                  <w:rPr>
                    <w:vertAlign w:val="superscript"/>
                  </w:rPr>
                  <w:t>3</w:t>
                </w:r>
                <w:r w:rsidR="007E7F86">
                  <w:t>)</w:t>
                </w:r>
              </w:sdtContent>
            </w:sdt>
          </w:p>
        </w:tc>
      </w:tr>
      <w:tr w:rsidR="00C978F0" w:rsidRPr="00DA352E" w14:paraId="2008D281" w14:textId="77777777" w:rsidTr="00647EB8">
        <w:trPr>
          <w:gridAfter w:val="1"/>
          <w:wAfter w:w="8" w:type="pct"/>
        </w:trPr>
        <w:tc>
          <w:tcPr>
            <w:tcW w:w="4992" w:type="pct"/>
          </w:tcPr>
          <w:p w14:paraId="36A8A660" w14:textId="77777777" w:rsidR="0099499F" w:rsidRDefault="0099499F" w:rsidP="003365A5">
            <w:pPr>
              <w:pStyle w:val="Tabletextprimarysource"/>
            </w:pPr>
            <w:r>
              <w:t>Summary of additional information:</w:t>
            </w:r>
          </w:p>
          <w:p w14:paraId="1661D2B0" w14:textId="119D0BE3" w:rsidR="0099499F" w:rsidRDefault="002B059F" w:rsidP="003365A5">
            <w:pPr>
              <w:pStyle w:val="Tabletextprimarysource"/>
            </w:pPr>
            <w:r>
              <w:t>Chronic LOAEC of 25 ppm for transient and reversible fatty infiltration of liver cells in rats used as POD for TWA derivation</w:t>
            </w:r>
            <w:r w:rsidR="00021F61">
              <w:t>. This is</w:t>
            </w:r>
            <w:r>
              <w:t xml:space="preserve"> supported by s</w:t>
            </w:r>
            <w:r w:rsidR="0099499F">
              <w:t>ub</w:t>
            </w:r>
            <w:r w:rsidR="00CF204F">
              <w:t>-</w:t>
            </w:r>
            <w:r w:rsidR="0099499F">
              <w:t>chronic NOAEC of 25 ppm with corresponding LOAEC of 47.</w:t>
            </w:r>
            <w:r w:rsidR="00B43C01">
              <w:t>3</w:t>
            </w:r>
            <w:r w:rsidR="0099499F">
              <w:t xml:space="preserve"> ppm for liver and kidney toxicity</w:t>
            </w:r>
            <w:r w:rsidR="005C64C4">
              <w:t xml:space="preserve"> in several other species</w:t>
            </w:r>
            <w:r>
              <w:t xml:space="preserve">. Overall UF of 12.5 applied to account for wide variability in expression of relevant detoxification enzyme in humans </w:t>
            </w:r>
            <w:r w:rsidR="00D9229A">
              <w:t>to produce TWA of 2 ppm</w:t>
            </w:r>
            <w:r w:rsidR="00021F61">
              <w:t>.</w:t>
            </w:r>
            <w:r w:rsidR="00D9229A">
              <w:t xml:space="preserve"> </w:t>
            </w:r>
            <w:r w:rsidR="00021F61">
              <w:t>E</w:t>
            </w:r>
            <w:r w:rsidR="00D9229A">
              <w:t>xcursion factor of 2.5 used to recommend 15-min STEL of 5 ppm, which is close to the sub</w:t>
            </w:r>
            <w:r w:rsidR="00021F61">
              <w:t>-</w:t>
            </w:r>
            <w:r w:rsidR="00D9229A">
              <w:t>chronic NOAEC in animals (no further details provided).</w:t>
            </w:r>
          </w:p>
          <w:p w14:paraId="4E71959C" w14:textId="24989566" w:rsidR="00D9229A" w:rsidRDefault="00D9229A" w:rsidP="003365A5">
            <w:pPr>
              <w:pStyle w:val="Tabletextprimarysource"/>
            </w:pPr>
            <w:r>
              <w:lastRenderedPageBreak/>
              <w:t>Substance is gaseous at physiological temperature, skin notation therefore not considered relevant in occupational setting.</w:t>
            </w:r>
          </w:p>
          <w:p w14:paraId="7006B8F8" w14:textId="77777777" w:rsidR="00D9229A" w:rsidRDefault="00D9229A" w:rsidP="003365A5">
            <w:pPr>
              <w:pStyle w:val="Tabletextprimarysource"/>
            </w:pPr>
            <w:r>
              <w:t>Human data:</w:t>
            </w:r>
          </w:p>
          <w:p w14:paraId="1C99FE20" w14:textId="45F53D8E" w:rsidR="00B43C01" w:rsidRDefault="007431BB" w:rsidP="00B43C01">
            <w:pPr>
              <w:pStyle w:val="Tabletextprimarysource"/>
              <w:numPr>
                <w:ilvl w:val="0"/>
                <w:numId w:val="1"/>
              </w:numPr>
            </w:pPr>
            <w:r>
              <w:t xml:space="preserve">No significant signs of changes in haematology, clinical chemistry, or mortality in </w:t>
            </w:r>
            <w:r w:rsidR="00B43C01">
              <w:t>workplace study (n=178) at average exposures of &lt;5–75 ppm; agency considers sample size too small to be conclusive</w:t>
            </w:r>
            <w:r w:rsidR="000A6B54">
              <w:t>.</w:t>
            </w:r>
          </w:p>
          <w:p w14:paraId="034032E2" w14:textId="77777777" w:rsidR="00D9229A" w:rsidRDefault="00D9229A" w:rsidP="003365A5">
            <w:pPr>
              <w:pStyle w:val="Tabletextprimarysource"/>
            </w:pPr>
            <w:r>
              <w:t>Animal data:</w:t>
            </w:r>
          </w:p>
          <w:p w14:paraId="2BDD08FA" w14:textId="45532F47" w:rsidR="00D9229A" w:rsidRDefault="00B43C01" w:rsidP="00D9229A">
            <w:pPr>
              <w:pStyle w:val="Tabletextprimarysource"/>
              <w:numPr>
                <w:ilvl w:val="0"/>
                <w:numId w:val="1"/>
              </w:numPr>
            </w:pPr>
            <w:r>
              <w:t>NOAEC: 25 ppm for liver and kidney damage (not specified), LOAEC: 47.3 ppm in sub</w:t>
            </w:r>
            <w:r w:rsidR="00021F61">
              <w:t>-</w:t>
            </w:r>
            <w:r>
              <w:t>chronic inhalation study (rats, guinea pigs, rabbits, dogs, monkeys, 24 h/d, 7 d/wk, 90 d)</w:t>
            </w:r>
          </w:p>
          <w:p w14:paraId="30A9F4F2" w14:textId="72F0E49C" w:rsidR="00B43C01" w:rsidRDefault="00B43C01" w:rsidP="00D9229A">
            <w:pPr>
              <w:pStyle w:val="Tabletextprimarysource"/>
              <w:numPr>
                <w:ilvl w:val="0"/>
                <w:numId w:val="1"/>
              </w:numPr>
            </w:pPr>
            <w:r>
              <w:t>Dose-dependent fatty infiltration of liver cells at 25 and 75 ppm in chronic inhalation study (rats, 6 h/d, 5 d/wk, 1.5 yr); effects at 25 ppm sl</w:t>
            </w:r>
            <w:r w:rsidR="00873395">
              <w:t xml:space="preserve">ight, </w:t>
            </w:r>
            <w:r>
              <w:t>severity did not p</w:t>
            </w:r>
            <w:r w:rsidR="00E11A68">
              <w:t>rogress between 6–12 mo</w:t>
            </w:r>
            <w:r w:rsidR="00F945F3">
              <w:t xml:space="preserve"> and</w:t>
            </w:r>
            <w:r w:rsidR="00E11A68">
              <w:t xml:space="preserve"> reversible within 6 mo after exposure cessation</w:t>
            </w:r>
            <w:r w:rsidR="00CF204F">
              <w:t>:</w:t>
            </w:r>
          </w:p>
          <w:p w14:paraId="6527E3FF" w14:textId="77777777" w:rsidR="00873395" w:rsidRDefault="00873395" w:rsidP="000A6B54">
            <w:pPr>
              <w:pStyle w:val="Tabletextprimarysource"/>
              <w:numPr>
                <w:ilvl w:val="1"/>
                <w:numId w:val="1"/>
              </w:numPr>
              <w:ind w:left="1156"/>
            </w:pPr>
            <w:r>
              <w:t>used as POD for TWA derivation</w:t>
            </w:r>
          </w:p>
          <w:p w14:paraId="501624F7" w14:textId="77777777" w:rsidR="00873395" w:rsidRPr="00B01BE9" w:rsidRDefault="00873395" w:rsidP="00873395">
            <w:pPr>
              <w:pStyle w:val="Tabletextprimarysource"/>
              <w:numPr>
                <w:ilvl w:val="0"/>
                <w:numId w:val="1"/>
              </w:numPr>
            </w:pPr>
            <w:r>
              <w:t xml:space="preserve">Mutagenic </w:t>
            </w:r>
            <w:r>
              <w:rPr>
                <w:i/>
              </w:rPr>
              <w:t>in vitro</w:t>
            </w:r>
            <w:r>
              <w:t xml:space="preserve"> in bacteria with metabolic activation, but not in mammalian cells; non-mutagenic </w:t>
            </w:r>
            <w:r>
              <w:rPr>
                <w:i/>
              </w:rPr>
              <w:t>in vivo</w:t>
            </w:r>
            <w:r w:rsidR="000A6B54">
              <w:rPr>
                <w:i/>
              </w:rPr>
              <w:t>.</w:t>
            </w:r>
          </w:p>
          <w:p w14:paraId="153B53C1" w14:textId="4943FB8D" w:rsidR="00B01BE9" w:rsidRPr="00B01BE9" w:rsidRDefault="00B01BE9" w:rsidP="00B01BE9">
            <w:pPr>
              <w:pStyle w:val="Tabletextprimarysource"/>
            </w:pPr>
          </w:p>
        </w:tc>
      </w:tr>
      <w:tr w:rsidR="00DA352E" w:rsidRPr="00DA352E" w14:paraId="12BAB90D" w14:textId="77777777" w:rsidTr="00647EB8">
        <w:trPr>
          <w:gridAfter w:val="1"/>
          <w:wAfter w:w="8" w:type="pct"/>
        </w:trPr>
        <w:tc>
          <w:tcPr>
            <w:tcW w:w="4992" w:type="pct"/>
            <w:shd w:val="clear" w:color="auto" w:fill="F2F2F2" w:themeFill="background1" w:themeFillShade="F2"/>
          </w:tcPr>
          <w:p w14:paraId="0D806BF8" w14:textId="5D7E7725" w:rsidR="00DA352E" w:rsidRPr="00DA352E" w:rsidRDefault="00DA352E" w:rsidP="0051509C">
            <w:pPr>
              <w:pStyle w:val="Tablerowheadingitalic"/>
              <w:tabs>
                <w:tab w:val="clear" w:pos="2268"/>
                <w:tab w:val="clear" w:pos="5670"/>
                <w:tab w:val="left" w:pos="1418"/>
                <w:tab w:val="left" w:pos="2552"/>
              </w:tabs>
            </w:pPr>
            <w:r w:rsidRPr="00DA352E">
              <w:lastRenderedPageBreak/>
              <w:t>OARS/AIHA</w:t>
            </w:r>
            <w:r w:rsidR="00916EC0" w:rsidRPr="003365A5">
              <w:t xml:space="preserve"> </w:t>
            </w:r>
            <w:r w:rsidR="00916EC0" w:rsidRPr="003365A5">
              <w:tab/>
            </w:r>
            <w:sdt>
              <w:sdtPr>
                <w:id w:val="-936748013"/>
                <w:placeholder>
                  <w:docPart w:val="47E4EC2DB10B4B8E8A66F7A5C13653CB"/>
                </w:placeholder>
                <w:text/>
              </w:sdtPr>
              <w:sdtEndPr/>
              <w:sdtContent>
                <w:r w:rsidR="007E7F86">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7E7F86">
                  <w:t>NA</w:t>
                </w:r>
              </w:sdtContent>
            </w:sdt>
          </w:p>
        </w:tc>
      </w:tr>
      <w:tr w:rsidR="00DA352E" w:rsidRPr="00DA352E" w14:paraId="33AAF4A6" w14:textId="77777777" w:rsidTr="00647EB8">
        <w:trPr>
          <w:gridAfter w:val="1"/>
          <w:wAfter w:w="8" w:type="pct"/>
        </w:trPr>
        <w:tc>
          <w:tcPr>
            <w:tcW w:w="4992" w:type="pct"/>
          </w:tcPr>
          <w:p w14:paraId="2059E4CB" w14:textId="40154F9D" w:rsidR="00DA352E" w:rsidRPr="00DA352E" w:rsidRDefault="007E7F86" w:rsidP="003365A5">
            <w:pPr>
              <w:pStyle w:val="Tabletextprimarysource"/>
            </w:pPr>
            <w:r>
              <w:t>No report</w:t>
            </w:r>
            <w:r w:rsidR="000A6B54">
              <w:t>.</w:t>
            </w:r>
          </w:p>
        </w:tc>
      </w:tr>
      <w:tr w:rsidR="00DA352E" w:rsidRPr="00DA352E" w14:paraId="605F758C" w14:textId="77777777" w:rsidTr="00647EB8">
        <w:trPr>
          <w:gridAfter w:val="1"/>
          <w:wAfter w:w="8" w:type="pct"/>
        </w:trPr>
        <w:tc>
          <w:tcPr>
            <w:tcW w:w="4992" w:type="pct"/>
            <w:shd w:val="clear" w:color="auto" w:fill="F2F2F2" w:themeFill="background1" w:themeFillShade="F2"/>
          </w:tcPr>
          <w:p w14:paraId="407840EC" w14:textId="4991A3B8"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7E7F86">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7E7F86">
                  <w:t>NA</w:t>
                </w:r>
              </w:sdtContent>
            </w:sdt>
          </w:p>
        </w:tc>
      </w:tr>
      <w:tr w:rsidR="00DA352E" w:rsidRPr="00DA352E" w14:paraId="7050CB3E" w14:textId="77777777" w:rsidTr="00647EB8">
        <w:trPr>
          <w:gridAfter w:val="1"/>
          <w:wAfter w:w="8" w:type="pct"/>
        </w:trPr>
        <w:tc>
          <w:tcPr>
            <w:tcW w:w="4992" w:type="pct"/>
          </w:tcPr>
          <w:p w14:paraId="492D7791" w14:textId="0C9C0AF6" w:rsidR="00DA352E" w:rsidRPr="00DA352E" w:rsidRDefault="007E7F86" w:rsidP="003365A5">
            <w:pPr>
              <w:pStyle w:val="Tabletextprimarysource"/>
            </w:pPr>
            <w:r>
              <w:t>No report</w:t>
            </w:r>
            <w:r w:rsidR="000A6B54">
              <w:t>.</w:t>
            </w: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8"/>
        <w:gridCol w:w="421"/>
        <w:gridCol w:w="661"/>
        <w:gridCol w:w="6456"/>
      </w:tblGrid>
      <w:tr w:rsidR="004966BF" w:rsidRPr="00263255" w14:paraId="6AE89AB3" w14:textId="77777777" w:rsidTr="00647EB8">
        <w:trPr>
          <w:cnfStyle w:val="100000000000" w:firstRow="1" w:lastRow="0" w:firstColumn="0" w:lastColumn="0" w:oddVBand="0" w:evenVBand="0" w:oddHBand="0" w:evenHBand="0" w:firstRowFirstColumn="0" w:firstRowLastColumn="0" w:lastRowFirstColumn="0" w:lastRowLastColumn="0"/>
          <w:cantSplit/>
          <w:trHeight w:val="393"/>
          <w:tblHeader/>
        </w:trPr>
        <w:tc>
          <w:tcPr>
            <w:tcW w:w="1488"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1"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56"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67214C13" w14:textId="77777777" w:rsidTr="00647EB8">
        <w:trPr>
          <w:cantSplit/>
        </w:trPr>
        <w:tc>
          <w:tcPr>
            <w:tcW w:w="1488" w:type="dxa"/>
          </w:tcPr>
          <w:p w14:paraId="4B3B2A83" w14:textId="77777777" w:rsidR="004966BF" w:rsidRPr="004C23F4" w:rsidRDefault="004966BF" w:rsidP="00224EE2">
            <w:pPr>
              <w:pStyle w:val="Tablefont"/>
            </w:pPr>
            <w:r>
              <w:t>NICNAS</w:t>
            </w:r>
          </w:p>
        </w:tc>
        <w:tc>
          <w:tcPr>
            <w:tcW w:w="421" w:type="dxa"/>
          </w:tcPr>
          <w:p w14:paraId="37DAB09E" w14:textId="6F20B563" w:rsidR="004966BF" w:rsidRPr="00CE617F" w:rsidRDefault="004F6708"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427105">
                  <w:rPr>
                    <w:rStyle w:val="checkbox"/>
                  </w:rPr>
                  <w:t></w:t>
                </w:r>
              </w:sdtContent>
            </w:sdt>
          </w:p>
        </w:tc>
        <w:tc>
          <w:tcPr>
            <w:tcW w:w="661" w:type="dxa"/>
          </w:tcPr>
          <w:p w14:paraId="5BB66CBF" w14:textId="0695DF22" w:rsidR="004966BF" w:rsidRPr="004C23F4" w:rsidRDefault="00427105" w:rsidP="00717D45">
            <w:pPr>
              <w:pStyle w:val="Tablefont"/>
              <w:rPr>
                <w:rStyle w:val="checkbox"/>
                <w:rFonts w:ascii="Arial" w:hAnsi="Arial" w:cs="Arial"/>
              </w:rPr>
            </w:pPr>
            <w:r>
              <w:rPr>
                <w:rStyle w:val="checkbox"/>
                <w:rFonts w:ascii="Arial" w:hAnsi="Arial" w:cs="Arial"/>
              </w:rPr>
              <w:t>2016</w:t>
            </w:r>
          </w:p>
        </w:tc>
        <w:tc>
          <w:tcPr>
            <w:tcW w:w="6456" w:type="dxa"/>
          </w:tcPr>
          <w:p w14:paraId="0ED92C20" w14:textId="51AE44F3" w:rsidR="00B85EF9" w:rsidRDefault="00B85EF9" w:rsidP="00B85EF9">
            <w:pPr>
              <w:pStyle w:val="Tablefont"/>
              <w:numPr>
                <w:ilvl w:val="0"/>
                <w:numId w:val="1"/>
              </w:numPr>
              <w:rPr>
                <w:rFonts w:cs="Arial"/>
              </w:rPr>
            </w:pPr>
            <w:r>
              <w:rPr>
                <w:rFonts w:cs="Arial"/>
              </w:rPr>
              <w:t>No</w:t>
            </w:r>
            <w:r w:rsidR="000A6B54">
              <w:rPr>
                <w:rFonts w:cs="Arial"/>
              </w:rPr>
              <w:t>t</w:t>
            </w:r>
            <w:r>
              <w:rPr>
                <w:rFonts w:cs="Arial"/>
              </w:rPr>
              <w:t xml:space="preserve"> considered genotoxic based on the available </w:t>
            </w:r>
            <w:r>
              <w:rPr>
                <w:rFonts w:cs="Arial"/>
                <w:i/>
              </w:rPr>
              <w:t>in vitro</w:t>
            </w:r>
            <w:r>
              <w:rPr>
                <w:rFonts w:cs="Arial"/>
              </w:rPr>
              <w:t xml:space="preserve"> and </w:t>
            </w:r>
            <w:r>
              <w:rPr>
                <w:rFonts w:cs="Arial"/>
                <w:i/>
              </w:rPr>
              <w:t>in vivo</w:t>
            </w:r>
            <w:r>
              <w:rPr>
                <w:rFonts w:cs="Arial"/>
              </w:rPr>
              <w:t xml:space="preserve"> genotoxicity studies</w:t>
            </w:r>
          </w:p>
          <w:p w14:paraId="3E532CCD" w14:textId="3AEC162F" w:rsidR="00B85EF9" w:rsidRDefault="00B85EF9" w:rsidP="00B85EF9">
            <w:pPr>
              <w:pStyle w:val="Tablefont"/>
              <w:numPr>
                <w:ilvl w:val="0"/>
                <w:numId w:val="1"/>
              </w:numPr>
              <w:rPr>
                <w:rFonts w:cs="Arial"/>
              </w:rPr>
            </w:pPr>
            <w:r>
              <w:rPr>
                <w:rFonts w:cs="Arial"/>
              </w:rPr>
              <w:t>Limited evidence for carcinogenicity (category 3)</w:t>
            </w:r>
          </w:p>
          <w:p w14:paraId="7F4FE5A1" w14:textId="535E33AB" w:rsidR="0095755F" w:rsidRDefault="0095755F" w:rsidP="0095755F">
            <w:pPr>
              <w:pStyle w:val="Tablefont"/>
              <w:numPr>
                <w:ilvl w:val="0"/>
                <w:numId w:val="1"/>
              </w:numPr>
              <w:rPr>
                <w:rFonts w:cs="Arial"/>
              </w:rPr>
            </w:pPr>
            <w:r>
              <w:rPr>
                <w:rFonts w:cs="Arial"/>
              </w:rPr>
              <w:t>Renal tubule cancer (males only) and reduced survival at 6.25–25 ppm in chronic inhalation study (mice, 6 h/d, 5 d/wk, 2 yr); increased incidence of haemangioma in all organs (females only), liver cell adenoma and alveolar/bronchiolar carcinoma at 12.5 ppm (females)</w:t>
            </w:r>
            <w:r w:rsidR="00F945F3">
              <w:rPr>
                <w:rFonts w:cs="Arial"/>
              </w:rPr>
              <w:t xml:space="preserve"> and</w:t>
            </w:r>
            <w:r>
              <w:rPr>
                <w:rFonts w:cs="Arial"/>
              </w:rPr>
              <w:t xml:space="preserve"> liver cell carcinoma at 25 ppm (females)</w:t>
            </w:r>
            <w:r w:rsidR="005871D4">
              <w:rPr>
                <w:rFonts w:cs="Arial"/>
              </w:rPr>
              <w:t>:</w:t>
            </w:r>
          </w:p>
          <w:p w14:paraId="2B997C57" w14:textId="2D28DC25" w:rsidR="0095755F" w:rsidRDefault="00F221CC" w:rsidP="000A6B54">
            <w:pPr>
              <w:pStyle w:val="Tablefont"/>
              <w:numPr>
                <w:ilvl w:val="1"/>
                <w:numId w:val="1"/>
              </w:numPr>
              <w:ind w:left="1143"/>
              <w:rPr>
                <w:rFonts w:cs="Arial"/>
              </w:rPr>
            </w:pPr>
            <w:r>
              <w:rPr>
                <w:rFonts w:cs="Arial"/>
              </w:rPr>
              <w:t>dose-dependent degeneration of olfactory epithelium in all exposed groups and sexes</w:t>
            </w:r>
          </w:p>
          <w:p w14:paraId="0076C2F1" w14:textId="0CE56D32" w:rsidR="00427105" w:rsidRPr="00F221CC" w:rsidRDefault="00F221CC" w:rsidP="00F221CC">
            <w:pPr>
              <w:pStyle w:val="Tablefont"/>
              <w:numPr>
                <w:ilvl w:val="0"/>
                <w:numId w:val="1"/>
              </w:numPr>
              <w:rPr>
                <w:rStyle w:val="checkbox"/>
                <w:rFonts w:ascii="Arial" w:hAnsi="Arial" w:cs="Arial"/>
              </w:rPr>
            </w:pPr>
            <w:r>
              <w:rPr>
                <w:rFonts w:cs="Arial"/>
              </w:rPr>
              <w:t>Increased incidence of alveolar epithelium hyperplasia, nasal epithelium degeneration, fatty liver degeneration</w:t>
            </w:r>
            <w:r w:rsidR="00F945F3">
              <w:rPr>
                <w:rFonts w:cs="Arial"/>
              </w:rPr>
              <w:t xml:space="preserve"> and</w:t>
            </w:r>
            <w:r>
              <w:rPr>
                <w:rFonts w:cs="Arial"/>
              </w:rPr>
              <w:t xml:space="preserve"> dose-dependent malignant mesothelioma at 25, 50 and 100 ppm in chronic inhalation study (rats, 6 h/d, 5 d/wk, 2 yr)</w:t>
            </w:r>
            <w:r w:rsidR="000A6B54">
              <w:rPr>
                <w:rFonts w:cs="Arial"/>
              </w:rPr>
              <w:t>.</w:t>
            </w:r>
          </w:p>
        </w:tc>
      </w:tr>
      <w:tr w:rsidR="004966BF" w:rsidRPr="004C23F4" w14:paraId="04FEEADE" w14:textId="77777777" w:rsidTr="00647EB8">
        <w:tc>
          <w:tcPr>
            <w:tcW w:w="1488" w:type="dxa"/>
          </w:tcPr>
          <w:p w14:paraId="0AEF458D" w14:textId="77777777" w:rsidR="004966BF" w:rsidRPr="004C23F4" w:rsidRDefault="004966BF" w:rsidP="00224EE2">
            <w:pPr>
              <w:pStyle w:val="Tablefont"/>
            </w:pPr>
            <w:r>
              <w:t>IARC</w:t>
            </w:r>
          </w:p>
        </w:tc>
        <w:tc>
          <w:tcPr>
            <w:tcW w:w="421" w:type="dxa"/>
          </w:tcPr>
          <w:p w14:paraId="184BEF97" w14:textId="61EB8DFB" w:rsidR="004966BF" w:rsidRPr="00CE617F" w:rsidRDefault="004F6708"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F221CC">
                  <w:rPr>
                    <w:rStyle w:val="checkbox"/>
                  </w:rPr>
                  <w:t></w:t>
                </w:r>
              </w:sdtContent>
            </w:sdt>
          </w:p>
        </w:tc>
        <w:tc>
          <w:tcPr>
            <w:tcW w:w="661" w:type="dxa"/>
          </w:tcPr>
          <w:p w14:paraId="343344A1" w14:textId="1AE50C28" w:rsidR="004966BF" w:rsidRPr="004C23F4" w:rsidRDefault="003C2EE9" w:rsidP="00717D45">
            <w:pPr>
              <w:pStyle w:val="Tablefont"/>
              <w:rPr>
                <w:rStyle w:val="checkbox"/>
                <w:rFonts w:ascii="Arial" w:hAnsi="Arial" w:cs="Arial"/>
              </w:rPr>
            </w:pPr>
            <w:r>
              <w:rPr>
                <w:rStyle w:val="checkbox"/>
                <w:rFonts w:ascii="Arial" w:hAnsi="Arial" w:cs="Arial"/>
              </w:rPr>
              <w:t>2019</w:t>
            </w:r>
          </w:p>
        </w:tc>
        <w:tc>
          <w:tcPr>
            <w:tcW w:w="6456" w:type="dxa"/>
          </w:tcPr>
          <w:p w14:paraId="449B929A" w14:textId="3390AF4E" w:rsidR="00F221CC" w:rsidRDefault="00F221CC" w:rsidP="00717D45">
            <w:pPr>
              <w:pStyle w:val="Tablefont"/>
              <w:numPr>
                <w:ilvl w:val="0"/>
                <w:numId w:val="1"/>
              </w:numPr>
              <w:rPr>
                <w:rFonts w:cs="Arial"/>
              </w:rPr>
            </w:pPr>
            <w:r>
              <w:rPr>
                <w:rFonts w:cs="Arial"/>
              </w:rPr>
              <w:t xml:space="preserve">Moderate evidence for genotoxicity, </w:t>
            </w:r>
            <w:r w:rsidR="00930B8C">
              <w:rPr>
                <w:rFonts w:cs="Arial"/>
              </w:rPr>
              <w:t xml:space="preserve">no data available for human exposures, not genotoxic in small number of </w:t>
            </w:r>
            <w:r w:rsidR="00930B8C">
              <w:rPr>
                <w:rFonts w:cs="Arial"/>
                <w:i/>
              </w:rPr>
              <w:t>in vivo</w:t>
            </w:r>
            <w:r w:rsidR="00930B8C">
              <w:rPr>
                <w:rFonts w:cs="Arial"/>
              </w:rPr>
              <w:t xml:space="preserve"> studies, but mutagenic </w:t>
            </w:r>
            <w:r w:rsidR="00930B8C">
              <w:rPr>
                <w:rFonts w:cs="Arial"/>
                <w:i/>
              </w:rPr>
              <w:t>in vitro</w:t>
            </w:r>
            <w:r w:rsidR="00930B8C">
              <w:rPr>
                <w:rFonts w:cs="Arial"/>
              </w:rPr>
              <w:t xml:space="preserve"> in the presence of metabolic activation in mammalian cells and bacteria</w:t>
            </w:r>
          </w:p>
          <w:p w14:paraId="45838CC1" w14:textId="3E651085" w:rsidR="00F221CC" w:rsidRDefault="00F221CC" w:rsidP="00F221CC">
            <w:pPr>
              <w:pStyle w:val="Tablefont"/>
              <w:numPr>
                <w:ilvl w:val="0"/>
                <w:numId w:val="1"/>
              </w:numPr>
              <w:rPr>
                <w:rFonts w:cs="Arial"/>
              </w:rPr>
            </w:pPr>
            <w:r>
              <w:rPr>
                <w:rFonts w:cs="Arial"/>
              </w:rPr>
              <w:t>I</w:t>
            </w:r>
            <w:r w:rsidRPr="00F221CC">
              <w:rPr>
                <w:rFonts w:cs="Arial"/>
              </w:rPr>
              <w:t xml:space="preserve">nconsistency between </w:t>
            </w:r>
            <w:r>
              <w:rPr>
                <w:rFonts w:cs="Arial"/>
              </w:rPr>
              <w:t>toxic effects and incidence of</w:t>
            </w:r>
            <w:r w:rsidRPr="00F221CC">
              <w:rPr>
                <w:rFonts w:cs="Arial"/>
              </w:rPr>
              <w:t xml:space="preserve"> </w:t>
            </w:r>
            <w:r>
              <w:rPr>
                <w:rFonts w:cs="Arial"/>
              </w:rPr>
              <w:t>liver, lung and nose in chronic inhalation studies with mice and rats (also presented in NICNAS 2016)</w:t>
            </w:r>
            <w:r w:rsidR="005871D4">
              <w:rPr>
                <w:rFonts w:cs="Arial"/>
              </w:rPr>
              <w:t>:</w:t>
            </w:r>
          </w:p>
          <w:p w14:paraId="30A0FF63" w14:textId="45A4FD26" w:rsidR="00F221CC" w:rsidRDefault="00930B8C" w:rsidP="000A6B54">
            <w:pPr>
              <w:pStyle w:val="Tablefont"/>
              <w:numPr>
                <w:ilvl w:val="1"/>
                <w:numId w:val="1"/>
              </w:numPr>
              <w:ind w:left="1143"/>
              <w:rPr>
                <w:rFonts w:cs="Arial"/>
              </w:rPr>
            </w:pPr>
            <w:r w:rsidRPr="00F221CC">
              <w:rPr>
                <w:rFonts w:cs="Arial"/>
              </w:rPr>
              <w:lastRenderedPageBreak/>
              <w:t xml:space="preserve">liver </w:t>
            </w:r>
            <w:r w:rsidR="00F221CC" w:rsidRPr="00F221CC">
              <w:rPr>
                <w:rFonts w:cs="Arial"/>
              </w:rPr>
              <w:t>inflammation observed in male</w:t>
            </w:r>
            <w:r>
              <w:rPr>
                <w:rFonts w:cs="Arial"/>
              </w:rPr>
              <w:t>s</w:t>
            </w:r>
            <w:r w:rsidR="00F221CC" w:rsidRPr="00F221CC">
              <w:rPr>
                <w:rFonts w:cs="Arial"/>
              </w:rPr>
              <w:t xml:space="preserve"> and female</w:t>
            </w:r>
            <w:r>
              <w:rPr>
                <w:rFonts w:cs="Arial"/>
              </w:rPr>
              <w:t>s</w:t>
            </w:r>
            <w:r w:rsidR="00F221CC" w:rsidRPr="00F221CC">
              <w:rPr>
                <w:rFonts w:cs="Arial"/>
              </w:rPr>
              <w:t xml:space="preserve"> </w:t>
            </w:r>
            <w:r>
              <w:rPr>
                <w:rFonts w:cs="Arial"/>
              </w:rPr>
              <w:t>(</w:t>
            </w:r>
            <w:r w:rsidR="00F221CC" w:rsidRPr="00F221CC">
              <w:rPr>
                <w:rFonts w:cs="Arial"/>
              </w:rPr>
              <w:t>rats</w:t>
            </w:r>
            <w:r>
              <w:rPr>
                <w:rFonts w:cs="Arial"/>
              </w:rPr>
              <w:t>),</w:t>
            </w:r>
            <w:r w:rsidR="00F221CC" w:rsidRPr="00F221CC">
              <w:rPr>
                <w:rFonts w:cs="Arial"/>
              </w:rPr>
              <w:t xml:space="preserve"> tumour induction only detected in female</w:t>
            </w:r>
            <w:r w:rsidR="00F221CC">
              <w:rPr>
                <w:rFonts w:cs="Arial"/>
              </w:rPr>
              <w:t>s (mice)</w:t>
            </w:r>
          </w:p>
          <w:p w14:paraId="02867ECE" w14:textId="42669DDC" w:rsidR="00F221CC" w:rsidRPr="00F221CC" w:rsidRDefault="00F221CC" w:rsidP="000A6B54">
            <w:pPr>
              <w:pStyle w:val="Tablefont"/>
              <w:numPr>
                <w:ilvl w:val="1"/>
                <w:numId w:val="1"/>
              </w:numPr>
              <w:ind w:left="1143"/>
              <w:rPr>
                <w:rFonts w:cs="Arial"/>
              </w:rPr>
            </w:pPr>
            <w:r w:rsidRPr="00F221CC">
              <w:rPr>
                <w:rFonts w:cs="Arial"/>
              </w:rPr>
              <w:t xml:space="preserve">nasal epithelium </w:t>
            </w:r>
            <w:r>
              <w:rPr>
                <w:rFonts w:cs="Arial"/>
              </w:rPr>
              <w:t>degeneration</w:t>
            </w:r>
            <w:r w:rsidRPr="00F221CC">
              <w:rPr>
                <w:rFonts w:cs="Arial"/>
              </w:rPr>
              <w:t xml:space="preserve"> occurred in male</w:t>
            </w:r>
            <w:r>
              <w:rPr>
                <w:rFonts w:cs="Arial"/>
              </w:rPr>
              <w:t>s</w:t>
            </w:r>
            <w:r w:rsidRPr="00F221CC">
              <w:rPr>
                <w:rFonts w:cs="Arial"/>
              </w:rPr>
              <w:t xml:space="preserve"> and female</w:t>
            </w:r>
            <w:r>
              <w:rPr>
                <w:rFonts w:cs="Arial"/>
              </w:rPr>
              <w:t>s</w:t>
            </w:r>
            <w:r w:rsidRPr="00F221CC">
              <w:rPr>
                <w:rFonts w:cs="Arial"/>
              </w:rPr>
              <w:t xml:space="preserve"> </w:t>
            </w:r>
            <w:r>
              <w:rPr>
                <w:rFonts w:cs="Arial"/>
              </w:rPr>
              <w:t>(</w:t>
            </w:r>
            <w:r w:rsidRPr="00F221CC">
              <w:rPr>
                <w:rFonts w:cs="Arial"/>
              </w:rPr>
              <w:t>rats</w:t>
            </w:r>
            <w:r>
              <w:rPr>
                <w:rFonts w:cs="Arial"/>
              </w:rPr>
              <w:t>)</w:t>
            </w:r>
            <w:r w:rsidR="00930B8C">
              <w:rPr>
                <w:rFonts w:cs="Arial"/>
              </w:rPr>
              <w:t xml:space="preserve">, </w:t>
            </w:r>
            <w:r w:rsidRPr="00F221CC">
              <w:rPr>
                <w:rFonts w:cs="Arial"/>
              </w:rPr>
              <w:t xml:space="preserve">tumours </w:t>
            </w:r>
            <w:r w:rsidR="00930B8C">
              <w:rPr>
                <w:rFonts w:cs="Arial"/>
              </w:rPr>
              <w:t>only</w:t>
            </w:r>
            <w:r w:rsidRPr="00F221CC">
              <w:rPr>
                <w:rFonts w:cs="Arial"/>
              </w:rPr>
              <w:t xml:space="preserve"> observed in male</w:t>
            </w:r>
            <w:r w:rsidR="00930B8C">
              <w:rPr>
                <w:rFonts w:cs="Arial"/>
              </w:rPr>
              <w:t>s</w:t>
            </w:r>
          </w:p>
          <w:p w14:paraId="49BC8CC6" w14:textId="5FA0A9DE" w:rsidR="00930B8C" w:rsidRDefault="00930B8C" w:rsidP="00930B8C">
            <w:pPr>
              <w:pStyle w:val="Tablefont"/>
              <w:numPr>
                <w:ilvl w:val="0"/>
                <w:numId w:val="1"/>
              </w:numPr>
              <w:rPr>
                <w:rFonts w:cs="Arial"/>
              </w:rPr>
            </w:pPr>
            <w:r>
              <w:rPr>
                <w:rFonts w:cs="Arial"/>
              </w:rPr>
              <w:t>Inadequate evidence for carcinogenicity in humans</w:t>
            </w:r>
          </w:p>
          <w:p w14:paraId="001E3D98" w14:textId="408A2A9E" w:rsidR="00930B8C" w:rsidRDefault="00930B8C" w:rsidP="00930B8C">
            <w:pPr>
              <w:pStyle w:val="Tablefont"/>
              <w:numPr>
                <w:ilvl w:val="0"/>
                <w:numId w:val="1"/>
              </w:numPr>
              <w:rPr>
                <w:rFonts w:cs="Arial"/>
              </w:rPr>
            </w:pPr>
            <w:r>
              <w:rPr>
                <w:rFonts w:cs="Arial"/>
              </w:rPr>
              <w:t>Sufficient evidence for carcinogenicity in animals</w:t>
            </w:r>
          </w:p>
          <w:p w14:paraId="0F91D408" w14:textId="46378A38" w:rsidR="00930B8C" w:rsidRDefault="00930B8C" w:rsidP="00930B8C">
            <w:pPr>
              <w:pStyle w:val="Tablefont"/>
              <w:numPr>
                <w:ilvl w:val="0"/>
                <w:numId w:val="1"/>
              </w:numPr>
              <w:rPr>
                <w:rFonts w:cs="Arial"/>
              </w:rPr>
            </w:pPr>
            <w:r>
              <w:rPr>
                <w:rFonts w:cs="Arial"/>
              </w:rPr>
              <w:t>Overall, substance is possibly carcinogenic to humans (Group 2B)</w:t>
            </w:r>
            <w:r w:rsidR="005871D4">
              <w:rPr>
                <w:rFonts w:cs="Arial"/>
              </w:rPr>
              <w:t>:</w:t>
            </w:r>
          </w:p>
          <w:p w14:paraId="2DDCA6FC" w14:textId="3C6A709A" w:rsidR="004966BF" w:rsidRPr="00930B8C" w:rsidRDefault="000A6B54" w:rsidP="000A6B54">
            <w:pPr>
              <w:pStyle w:val="Tablefont"/>
              <w:numPr>
                <w:ilvl w:val="1"/>
                <w:numId w:val="1"/>
              </w:numPr>
              <w:ind w:left="1143"/>
              <w:rPr>
                <w:rStyle w:val="checkbox"/>
                <w:rFonts w:ascii="Arial" w:hAnsi="Arial" w:cs="Arial"/>
              </w:rPr>
            </w:pPr>
            <w:r>
              <w:rPr>
                <w:rFonts w:cs="Arial"/>
              </w:rPr>
              <w:t>a</w:t>
            </w:r>
            <w:r w:rsidR="00930B8C">
              <w:rPr>
                <w:rFonts w:cs="Arial"/>
              </w:rPr>
              <w:t>gency notes a higher classification (Group 2A) is disputed by a minority of its evaluators due to similarity</w:t>
            </w:r>
            <w:r w:rsidR="00F31A3D">
              <w:rPr>
                <w:rFonts w:cs="Arial"/>
              </w:rPr>
              <w:t xml:space="preserve"> of the substance</w:t>
            </w:r>
            <w:r w:rsidR="00930B8C">
              <w:rPr>
                <w:rFonts w:cs="Arial"/>
              </w:rPr>
              <w:t xml:space="preserve"> to vinyl chloride</w:t>
            </w:r>
            <w:r>
              <w:rPr>
                <w:rFonts w:cs="Arial"/>
              </w:rPr>
              <w:t>.</w:t>
            </w:r>
          </w:p>
        </w:tc>
      </w:tr>
      <w:tr w:rsidR="004966BF" w:rsidRPr="004C23F4" w14:paraId="5B6AED63" w14:textId="77777777" w:rsidTr="00647EB8">
        <w:trPr>
          <w:cantSplit/>
        </w:trPr>
        <w:tc>
          <w:tcPr>
            <w:tcW w:w="1488" w:type="dxa"/>
          </w:tcPr>
          <w:p w14:paraId="01321F42" w14:textId="77777777" w:rsidR="004966BF" w:rsidRPr="004C23F4" w:rsidRDefault="004966BF" w:rsidP="00224EE2">
            <w:pPr>
              <w:pStyle w:val="Tablefont"/>
            </w:pPr>
            <w:r>
              <w:lastRenderedPageBreak/>
              <w:t>US EPA</w:t>
            </w:r>
          </w:p>
        </w:tc>
        <w:tc>
          <w:tcPr>
            <w:tcW w:w="421" w:type="dxa"/>
          </w:tcPr>
          <w:p w14:paraId="7AE5C94A" w14:textId="19594FF3" w:rsidR="004966BF" w:rsidRPr="00CE617F" w:rsidRDefault="004F6708"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F31A3D">
                  <w:rPr>
                    <w:rStyle w:val="checkbox"/>
                  </w:rPr>
                  <w:t></w:t>
                </w:r>
              </w:sdtContent>
            </w:sdt>
          </w:p>
        </w:tc>
        <w:tc>
          <w:tcPr>
            <w:tcW w:w="661" w:type="dxa"/>
          </w:tcPr>
          <w:p w14:paraId="5C68236E" w14:textId="1B656928" w:rsidR="004966BF" w:rsidRPr="004C23F4" w:rsidRDefault="00F31A3D" w:rsidP="00717D45">
            <w:pPr>
              <w:pStyle w:val="Tablefont"/>
              <w:rPr>
                <w:rStyle w:val="checkbox"/>
                <w:rFonts w:ascii="Arial" w:hAnsi="Arial" w:cs="Arial"/>
              </w:rPr>
            </w:pPr>
            <w:r>
              <w:rPr>
                <w:rStyle w:val="checkbox"/>
                <w:rFonts w:ascii="Arial" w:hAnsi="Arial" w:cs="Arial"/>
              </w:rPr>
              <w:t>2002</w:t>
            </w:r>
          </w:p>
        </w:tc>
        <w:tc>
          <w:tcPr>
            <w:tcW w:w="6456" w:type="dxa"/>
          </w:tcPr>
          <w:p w14:paraId="2224089B" w14:textId="5A6EA101" w:rsidR="004966BF" w:rsidRPr="004C23F4" w:rsidRDefault="00F31A3D" w:rsidP="00743295">
            <w:pPr>
              <w:pStyle w:val="Tablefont"/>
              <w:numPr>
                <w:ilvl w:val="0"/>
                <w:numId w:val="3"/>
              </w:numPr>
              <w:rPr>
                <w:rStyle w:val="checkbox"/>
                <w:rFonts w:ascii="Arial" w:hAnsi="Arial" w:cs="Arial"/>
              </w:rPr>
            </w:pPr>
            <w:r>
              <w:rPr>
                <w:rFonts w:cs="Arial"/>
              </w:rPr>
              <w:t>W</w:t>
            </w:r>
            <w:r w:rsidR="003C2EE9" w:rsidRPr="003C2EE9">
              <w:rPr>
                <w:rFonts w:cs="Arial"/>
              </w:rPr>
              <w:t>eight</w:t>
            </w:r>
            <w:r>
              <w:rPr>
                <w:rFonts w:cs="Arial"/>
              </w:rPr>
              <w:t xml:space="preserve"> </w:t>
            </w:r>
            <w:r w:rsidR="003C2EE9" w:rsidRPr="003C2EE9">
              <w:rPr>
                <w:rFonts w:cs="Arial"/>
              </w:rPr>
              <w:t>of</w:t>
            </w:r>
            <w:r>
              <w:rPr>
                <w:rFonts w:cs="Arial"/>
              </w:rPr>
              <w:t xml:space="preserve"> </w:t>
            </w:r>
            <w:r w:rsidR="003C2EE9" w:rsidRPr="003C2EE9">
              <w:rPr>
                <w:rFonts w:cs="Arial"/>
              </w:rPr>
              <w:t>evidence not sufficient to justify d</w:t>
            </w:r>
            <w:r>
              <w:rPr>
                <w:rFonts w:cs="Arial"/>
              </w:rPr>
              <w:t>eriving an inhalation unit risk for carcinogenicity in humans</w:t>
            </w:r>
            <w:r w:rsidR="000A6B54">
              <w:rPr>
                <w:rFonts w:cs="Arial"/>
              </w:rPr>
              <w:t>.</w:t>
            </w:r>
          </w:p>
        </w:tc>
      </w:tr>
    </w:tbl>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28EBB70" w14:textId="77777777" w:rsidTr="00DE621A">
        <w:trPr>
          <w:trHeight w:val="454"/>
          <w:tblHeader/>
        </w:trPr>
        <w:tc>
          <w:tcPr>
            <w:tcW w:w="6603"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2B8F4675" w14:textId="1E10AFEA" w:rsidR="002E0D61" w:rsidRDefault="00930B8C" w:rsidP="00C3091E">
                <w:pPr>
                  <w:pStyle w:val="Tablefont"/>
                  <w:keepNext/>
                  <w:keepLines/>
                  <w:spacing w:before="40" w:after="40"/>
                </w:pPr>
                <w:r>
                  <w:t>Insufficient data</w:t>
                </w:r>
              </w:p>
            </w:tc>
          </w:sdtContent>
        </w:sdt>
      </w:tr>
      <w:tr w:rsidR="008A36CF" w14:paraId="2618A4C0" w14:textId="77777777" w:rsidTr="00DE621A">
        <w:trPr>
          <w:trHeight w:val="454"/>
        </w:trPr>
        <w:tc>
          <w:tcPr>
            <w:tcW w:w="6603" w:type="dxa"/>
            <w:vAlign w:val="center"/>
          </w:tcPr>
          <w:p w14:paraId="28B995B9"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3" w:type="dxa"/>
                <w:vAlign w:val="center"/>
              </w:tcPr>
              <w:p w14:paraId="72B1B278" w14:textId="5921AF7E" w:rsidR="008A36CF" w:rsidRDefault="00930B8C" w:rsidP="008A36CF">
                <w:pPr>
                  <w:pStyle w:val="Tablefont"/>
                  <w:keepNext/>
                  <w:keepLines/>
                  <w:spacing w:before="40" w:after="40"/>
                </w:pPr>
                <w:r>
                  <w:t>Insufficient data</w:t>
                </w:r>
              </w:p>
            </w:tc>
          </w:sdtContent>
        </w:sdt>
      </w:tr>
      <w:tr w:rsidR="00B01BE9" w14:paraId="4D6DDFA3" w14:textId="77777777" w:rsidTr="00894850">
        <w:trPr>
          <w:trHeight w:val="454"/>
        </w:trPr>
        <w:sdt>
          <w:sdtPr>
            <w:rPr>
              <w:b/>
            </w:rPr>
            <w:id w:val="1830936485"/>
            <w:placeholder>
              <w:docPart w:val="4084B84E30A347788D15221652AC7ABC"/>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8F36B73" w14:textId="6FC187C0" w:rsidR="00B01BE9" w:rsidRDefault="00B01BE9"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647EB8">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647EB8">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7315C66C" w:rsidR="00687890" w:rsidRPr="00DD2F9B" w:rsidRDefault="007D1290" w:rsidP="00DD2F9B">
            <w:pPr>
              <w:pStyle w:val="Tablefont"/>
            </w:pPr>
            <w:r w:rsidRPr="007D1290">
              <w:t>Carc. 2</w:t>
            </w:r>
          </w:p>
        </w:tc>
      </w:tr>
      <w:tr w:rsidR="007925F0" w:rsidRPr="004C23F4" w14:paraId="2A0C13EF" w14:textId="77777777" w:rsidTr="00647EB8">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744122D5" w:rsidR="007925F0" w:rsidRPr="00DD2F9B" w:rsidRDefault="007E7F86" w:rsidP="00DD2F9B">
            <w:pPr>
              <w:pStyle w:val="Tablefont"/>
            </w:pPr>
            <w:r w:rsidRPr="007E7F86">
              <w:t>Carcinogenicity – category 2</w:t>
            </w:r>
          </w:p>
        </w:tc>
      </w:tr>
      <w:tr w:rsidR="00AF483F" w:rsidRPr="004C23F4" w14:paraId="4C1044B3" w14:textId="77777777" w:rsidTr="00647EB8">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5AC028B3" w:rsidR="00AF483F" w:rsidRPr="00DD2F9B" w:rsidRDefault="007E7F86" w:rsidP="00DD2F9B">
            <w:pPr>
              <w:pStyle w:val="Tablefont"/>
            </w:pPr>
            <w:r w:rsidRPr="007E7F86">
              <w:t>Carc. Cat 3</w:t>
            </w:r>
          </w:p>
        </w:tc>
      </w:tr>
      <w:tr w:rsidR="00687890" w:rsidRPr="004C23F4" w14:paraId="7812F0EC" w14:textId="77777777" w:rsidTr="00647EB8">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78164E83" w:rsidR="00687890" w:rsidRPr="00DD2F9B" w:rsidRDefault="003C2EE9" w:rsidP="00DD2F9B">
            <w:pPr>
              <w:pStyle w:val="Tablefont"/>
            </w:pPr>
            <w:r w:rsidRPr="003C2EE9">
              <w:t>Carcinogenicity – category 2</w:t>
            </w:r>
          </w:p>
        </w:tc>
      </w:tr>
      <w:tr w:rsidR="00E41A26" w:rsidRPr="004C23F4" w14:paraId="403F0800" w14:textId="77777777" w:rsidTr="00647EB8">
        <w:trPr>
          <w:cantSplit/>
        </w:trPr>
        <w:tc>
          <w:tcPr>
            <w:tcW w:w="3227" w:type="dxa"/>
          </w:tcPr>
          <w:p w14:paraId="09B172BE" w14:textId="77777777" w:rsidR="00E41A26" w:rsidRDefault="00E41A26" w:rsidP="00F4402E">
            <w:pPr>
              <w:pStyle w:val="Tablefont"/>
            </w:pPr>
            <w:r>
              <w:t>ECHA</w:t>
            </w:r>
          </w:p>
        </w:tc>
        <w:tc>
          <w:tcPr>
            <w:tcW w:w="6015" w:type="dxa"/>
          </w:tcPr>
          <w:p w14:paraId="778B90CD" w14:textId="0A978E2E" w:rsidR="00E41A26" w:rsidRPr="00DD2F9B" w:rsidRDefault="007E7F86" w:rsidP="00DD2F9B">
            <w:pPr>
              <w:pStyle w:val="Tablefont"/>
            </w:pPr>
            <w:r w:rsidRPr="007E7F86">
              <w:t>Carc. 2</w:t>
            </w:r>
          </w:p>
        </w:tc>
      </w:tr>
      <w:tr w:rsidR="002E0D61" w:rsidRPr="004C23F4" w14:paraId="57A490EF" w14:textId="77777777" w:rsidTr="00647EB8">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0B8A9413" w:rsidR="002E0D61" w:rsidRPr="00DD2F9B" w:rsidRDefault="007E7F86" w:rsidP="00DD2F9B">
            <w:pPr>
              <w:pStyle w:val="Tablefont"/>
            </w:pPr>
            <w:r w:rsidRPr="007E7F86">
              <w:t>Carcinogenicity – A4</w:t>
            </w:r>
          </w:p>
        </w:tc>
      </w:tr>
      <w:tr w:rsidR="002E0D61" w:rsidRPr="004C23F4" w14:paraId="43FA3590" w14:textId="77777777" w:rsidTr="00647EB8">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7C7DBB9E" w:rsidR="002E0D61" w:rsidRPr="00DD2F9B" w:rsidRDefault="003B7A4F" w:rsidP="00DD2F9B">
            <w:pPr>
              <w:pStyle w:val="Tablefont"/>
            </w:pPr>
            <w:r>
              <w:t>Carcinogenicity 3B</w:t>
            </w:r>
          </w:p>
        </w:tc>
      </w:tr>
      <w:tr w:rsidR="002E0D61" w:rsidRPr="004C23F4" w14:paraId="2AC7B866" w14:textId="77777777" w:rsidTr="00647EB8">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1487A971" w:rsidR="002E0D61" w:rsidRPr="00DD2F9B" w:rsidRDefault="007E7F86" w:rsidP="00DD2F9B">
            <w:pPr>
              <w:pStyle w:val="Tablefont"/>
            </w:pPr>
            <w:r w:rsidRPr="007E7F86">
              <w:t>—</w:t>
            </w:r>
          </w:p>
        </w:tc>
      </w:tr>
      <w:tr w:rsidR="002E0D61" w:rsidRPr="004C23F4" w14:paraId="1BE6EC07" w14:textId="77777777" w:rsidTr="00647EB8">
        <w:trPr>
          <w:cantSplit/>
        </w:trPr>
        <w:tc>
          <w:tcPr>
            <w:tcW w:w="3227" w:type="dxa"/>
          </w:tcPr>
          <w:p w14:paraId="4AF9E8D6" w14:textId="77777777" w:rsidR="004079B4" w:rsidRDefault="002E0D61" w:rsidP="00F4402E">
            <w:pPr>
              <w:pStyle w:val="Tablefont"/>
            </w:pPr>
            <w:r>
              <w:t>HCOTN</w:t>
            </w:r>
          </w:p>
        </w:tc>
        <w:tc>
          <w:tcPr>
            <w:tcW w:w="6015" w:type="dxa"/>
          </w:tcPr>
          <w:p w14:paraId="70663407" w14:textId="0EDED1C5" w:rsidR="002E0D61" w:rsidRPr="00DD2F9B" w:rsidRDefault="007E7F86" w:rsidP="00DD2F9B">
            <w:pPr>
              <w:pStyle w:val="Tablefont"/>
            </w:pPr>
            <w:r>
              <w:t>NA</w:t>
            </w:r>
          </w:p>
        </w:tc>
      </w:tr>
      <w:tr w:rsidR="00386093" w:rsidRPr="004C23F4" w14:paraId="5F6A6A8E" w14:textId="77777777" w:rsidTr="00647EB8">
        <w:trPr>
          <w:cantSplit/>
        </w:trPr>
        <w:tc>
          <w:tcPr>
            <w:tcW w:w="3227" w:type="dxa"/>
          </w:tcPr>
          <w:p w14:paraId="04F98936" w14:textId="77777777" w:rsidR="004079B4" w:rsidRDefault="00386093" w:rsidP="00F4402E">
            <w:pPr>
              <w:pStyle w:val="Tablefont"/>
            </w:pPr>
            <w:r>
              <w:t>IARC</w:t>
            </w:r>
          </w:p>
        </w:tc>
        <w:tc>
          <w:tcPr>
            <w:tcW w:w="6015" w:type="dxa"/>
          </w:tcPr>
          <w:p w14:paraId="741186B9" w14:textId="0DBF0321" w:rsidR="00386093" w:rsidRPr="00DD2F9B" w:rsidRDefault="007E7F86" w:rsidP="00DD2F9B">
            <w:pPr>
              <w:pStyle w:val="Tablefont"/>
            </w:pPr>
            <w:r w:rsidRPr="007E7F86">
              <w:t>Carcinogenicity – Group 2B</w:t>
            </w:r>
          </w:p>
        </w:tc>
      </w:tr>
      <w:tr w:rsidR="00386093" w:rsidRPr="004C23F4" w14:paraId="7461DB0E" w14:textId="77777777" w:rsidTr="00647EB8">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7D8A319B" w:rsidR="00386093" w:rsidRPr="00DD2F9B" w:rsidRDefault="007E7F86"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4802BA" w14:textId="77777777" w:rsidTr="00EA6243">
        <w:trPr>
          <w:cantSplit/>
          <w:tblHeader/>
        </w:trPr>
        <w:tc>
          <w:tcPr>
            <w:tcW w:w="5000" w:type="pct"/>
            <w:shd w:val="clear" w:color="auto" w:fill="BFBFBF" w:themeFill="background1" w:themeFillShade="BF"/>
            <w:vAlign w:val="center"/>
          </w:tcPr>
          <w:p w14:paraId="509CFAA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6A4B72" w14:textId="77777777" w:rsidTr="00EA6243">
        <w:trPr>
          <w:cantSplit/>
          <w:tblHeader/>
        </w:trPr>
        <w:tc>
          <w:tcPr>
            <w:tcW w:w="5000" w:type="pct"/>
            <w:vAlign w:val="center"/>
          </w:tcPr>
          <w:tbl>
            <w:tblPr>
              <w:tblW w:w="8895" w:type="dxa"/>
              <w:tblLook w:val="04A0" w:firstRow="1" w:lastRow="0" w:firstColumn="1" w:lastColumn="0" w:noHBand="0" w:noVBand="1"/>
            </w:tblPr>
            <w:tblGrid>
              <w:gridCol w:w="3664"/>
              <w:gridCol w:w="1081"/>
              <w:gridCol w:w="1081"/>
              <w:gridCol w:w="2984"/>
            </w:tblGrid>
            <w:tr w:rsidR="00DE621A" w:rsidRPr="00DE621A" w14:paraId="1DF48A47" w14:textId="77777777" w:rsidTr="00DE621A">
              <w:trPr>
                <w:trHeight w:val="231"/>
              </w:trPr>
              <w:tc>
                <w:tcPr>
                  <w:tcW w:w="3701" w:type="dxa"/>
                  <w:tcBorders>
                    <w:top w:val="nil"/>
                    <w:left w:val="nil"/>
                    <w:bottom w:val="nil"/>
                    <w:right w:val="nil"/>
                  </w:tcBorders>
                  <w:shd w:val="clear" w:color="000000" w:fill="C5D9F1"/>
                  <w:noWrap/>
                  <w:vAlign w:val="center"/>
                  <w:hideMark/>
                </w:tcPr>
                <w:p w14:paraId="4CC7AD45" w14:textId="77777777" w:rsidR="00DE621A" w:rsidRPr="00DE621A" w:rsidRDefault="00DE621A" w:rsidP="00DE621A">
                  <w:pPr>
                    <w:spacing w:after="0" w:line="240" w:lineRule="auto"/>
                    <w:jc w:val="right"/>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Adverse effects in human case study:</w:t>
                  </w:r>
                </w:p>
              </w:tc>
              <w:tc>
                <w:tcPr>
                  <w:tcW w:w="1090" w:type="dxa"/>
                  <w:tcBorders>
                    <w:top w:val="nil"/>
                    <w:left w:val="nil"/>
                    <w:bottom w:val="nil"/>
                    <w:right w:val="nil"/>
                  </w:tcBorders>
                  <w:shd w:val="clear" w:color="000000" w:fill="C5D9F1"/>
                  <w:noWrap/>
                  <w:vAlign w:val="center"/>
                  <w:hideMark/>
                </w:tcPr>
                <w:p w14:paraId="234F02F0" w14:textId="77777777" w:rsidR="00DE621A" w:rsidRPr="00DE621A" w:rsidRDefault="00DE621A" w:rsidP="00DE621A">
                  <w:pPr>
                    <w:spacing w:after="0" w:line="240" w:lineRule="auto"/>
                    <w:jc w:val="center"/>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c>
                <w:tcPr>
                  <w:tcW w:w="1090" w:type="dxa"/>
                  <w:tcBorders>
                    <w:top w:val="nil"/>
                    <w:left w:val="nil"/>
                    <w:bottom w:val="nil"/>
                    <w:right w:val="nil"/>
                  </w:tcBorders>
                  <w:shd w:val="clear" w:color="000000" w:fill="C5D9F1"/>
                  <w:noWrap/>
                  <w:vAlign w:val="center"/>
                  <w:hideMark/>
                </w:tcPr>
                <w:p w14:paraId="293086FB" w14:textId="77777777" w:rsidR="00DE621A" w:rsidRPr="00DE621A" w:rsidRDefault="00DE621A" w:rsidP="00DE621A">
                  <w:pPr>
                    <w:spacing w:after="0" w:line="240" w:lineRule="auto"/>
                    <w:rPr>
                      <w:rFonts w:ascii="Segoe UI" w:eastAsia="Times New Roman" w:hAnsi="Segoe UI" w:cs="Segoe UI"/>
                      <w:color w:val="C5D9F1"/>
                      <w:sz w:val="18"/>
                      <w:szCs w:val="18"/>
                      <w:lang w:eastAsia="en-AU"/>
                    </w:rPr>
                  </w:pPr>
                  <w:r w:rsidRPr="00DE621A">
                    <w:rPr>
                      <w:rFonts w:ascii="Segoe UI" w:eastAsia="Times New Roman" w:hAnsi="Segoe UI" w:cs="Segoe UI"/>
                      <w:color w:val="C5D9F1"/>
                      <w:sz w:val="18"/>
                      <w:szCs w:val="18"/>
                      <w:lang w:eastAsia="en-AU"/>
                    </w:rPr>
                    <w:t> </w:t>
                  </w:r>
                </w:p>
              </w:tc>
              <w:tc>
                <w:tcPr>
                  <w:tcW w:w="3014" w:type="dxa"/>
                  <w:tcBorders>
                    <w:top w:val="nil"/>
                    <w:left w:val="nil"/>
                    <w:bottom w:val="nil"/>
                    <w:right w:val="nil"/>
                  </w:tcBorders>
                  <w:shd w:val="clear" w:color="000000" w:fill="C5D9F1"/>
                  <w:noWrap/>
                  <w:vAlign w:val="center"/>
                  <w:hideMark/>
                </w:tcPr>
                <w:p w14:paraId="45B72433" w14:textId="77777777" w:rsidR="00DE621A" w:rsidRPr="00DE621A" w:rsidRDefault="00DE621A" w:rsidP="00DE621A">
                  <w:pPr>
                    <w:spacing w:after="0" w:line="240" w:lineRule="auto"/>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r>
            <w:tr w:rsidR="00DE621A" w:rsidRPr="00DE621A" w14:paraId="03044423" w14:textId="77777777" w:rsidTr="00DE621A">
              <w:trPr>
                <w:trHeight w:val="231"/>
              </w:trPr>
              <w:tc>
                <w:tcPr>
                  <w:tcW w:w="3701" w:type="dxa"/>
                  <w:tcBorders>
                    <w:top w:val="nil"/>
                    <w:left w:val="nil"/>
                    <w:bottom w:val="nil"/>
                    <w:right w:val="nil"/>
                  </w:tcBorders>
                  <w:shd w:val="clear" w:color="000000" w:fill="C5D9F1"/>
                  <w:noWrap/>
                  <w:vAlign w:val="center"/>
                  <w:hideMark/>
                </w:tcPr>
                <w:p w14:paraId="49697FCA" w14:textId="77777777" w:rsidR="00DE621A" w:rsidRPr="00DE621A" w:rsidRDefault="00DE621A" w:rsidP="00DE621A">
                  <w:pPr>
                    <w:spacing w:after="0" w:line="240" w:lineRule="auto"/>
                    <w:jc w:val="right"/>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Dermal LD</w:t>
                  </w:r>
                  <w:r w:rsidRPr="00DE621A">
                    <w:rPr>
                      <w:rFonts w:ascii="Segoe UI" w:eastAsia="Times New Roman" w:hAnsi="Segoe UI" w:cs="Segoe UI"/>
                      <w:color w:val="000000"/>
                      <w:sz w:val="18"/>
                      <w:szCs w:val="18"/>
                      <w:vertAlign w:val="subscript"/>
                      <w:lang w:eastAsia="en-AU"/>
                    </w:rPr>
                    <w:t>50</w:t>
                  </w:r>
                  <w:r w:rsidRPr="00DE621A">
                    <w:rPr>
                      <w:rFonts w:ascii="Segoe UI" w:eastAsia="Times New Roman" w:hAnsi="Segoe UI" w:cs="Segoe UI"/>
                      <w:color w:val="000000"/>
                      <w:sz w:val="18"/>
                      <w:szCs w:val="18"/>
                      <w:lang w:eastAsia="en-AU"/>
                    </w:rPr>
                    <w:t xml:space="preserve"> ≤1000 mg/kg:</w:t>
                  </w:r>
                </w:p>
              </w:tc>
              <w:tc>
                <w:tcPr>
                  <w:tcW w:w="1090" w:type="dxa"/>
                  <w:tcBorders>
                    <w:top w:val="nil"/>
                    <w:left w:val="nil"/>
                    <w:bottom w:val="nil"/>
                    <w:right w:val="nil"/>
                  </w:tcBorders>
                  <w:shd w:val="clear" w:color="000000" w:fill="C5D9F1"/>
                  <w:noWrap/>
                  <w:vAlign w:val="center"/>
                  <w:hideMark/>
                </w:tcPr>
                <w:p w14:paraId="6F58327C" w14:textId="77777777" w:rsidR="00DE621A" w:rsidRPr="00DE621A" w:rsidRDefault="00DE621A" w:rsidP="00DE621A">
                  <w:pPr>
                    <w:spacing w:after="0" w:line="240" w:lineRule="auto"/>
                    <w:jc w:val="center"/>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no</w:t>
                  </w:r>
                </w:p>
              </w:tc>
              <w:tc>
                <w:tcPr>
                  <w:tcW w:w="1090" w:type="dxa"/>
                  <w:tcBorders>
                    <w:top w:val="nil"/>
                    <w:left w:val="nil"/>
                    <w:bottom w:val="nil"/>
                    <w:right w:val="nil"/>
                  </w:tcBorders>
                  <w:shd w:val="clear" w:color="000000" w:fill="C5D9F1"/>
                  <w:noWrap/>
                  <w:vAlign w:val="center"/>
                  <w:hideMark/>
                </w:tcPr>
                <w:p w14:paraId="2595B18A" w14:textId="77777777" w:rsidR="00DE621A" w:rsidRPr="00DE621A" w:rsidRDefault="00DE621A" w:rsidP="00DE621A">
                  <w:pPr>
                    <w:spacing w:after="0" w:line="240" w:lineRule="auto"/>
                    <w:rPr>
                      <w:rFonts w:ascii="Segoe UI" w:eastAsia="Times New Roman" w:hAnsi="Segoe UI" w:cs="Segoe UI"/>
                      <w:color w:val="C5D9F1"/>
                      <w:sz w:val="18"/>
                      <w:szCs w:val="18"/>
                      <w:lang w:eastAsia="en-AU"/>
                    </w:rPr>
                  </w:pPr>
                  <w:r w:rsidRPr="00DE621A">
                    <w:rPr>
                      <w:rFonts w:ascii="Segoe UI" w:eastAsia="Times New Roman" w:hAnsi="Segoe UI" w:cs="Segoe UI"/>
                      <w:color w:val="C5D9F1"/>
                      <w:sz w:val="18"/>
                      <w:szCs w:val="18"/>
                      <w:lang w:eastAsia="en-AU"/>
                    </w:rPr>
                    <w:t> </w:t>
                  </w:r>
                </w:p>
              </w:tc>
              <w:tc>
                <w:tcPr>
                  <w:tcW w:w="3014" w:type="dxa"/>
                  <w:tcBorders>
                    <w:top w:val="nil"/>
                    <w:left w:val="nil"/>
                    <w:bottom w:val="nil"/>
                    <w:right w:val="nil"/>
                  </w:tcBorders>
                  <w:shd w:val="clear" w:color="000000" w:fill="C5D9F1"/>
                  <w:noWrap/>
                  <w:vAlign w:val="center"/>
                  <w:hideMark/>
                </w:tcPr>
                <w:p w14:paraId="7AC8C396" w14:textId="77777777" w:rsidR="00DE621A" w:rsidRPr="00DE621A" w:rsidRDefault="00DE621A" w:rsidP="00DE621A">
                  <w:pPr>
                    <w:spacing w:after="0" w:line="240" w:lineRule="auto"/>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r>
            <w:tr w:rsidR="00DE621A" w:rsidRPr="00DE621A" w14:paraId="28BBABFA" w14:textId="77777777" w:rsidTr="00DE621A">
              <w:trPr>
                <w:trHeight w:val="231"/>
              </w:trPr>
              <w:tc>
                <w:tcPr>
                  <w:tcW w:w="3701" w:type="dxa"/>
                  <w:tcBorders>
                    <w:top w:val="nil"/>
                    <w:left w:val="nil"/>
                    <w:bottom w:val="nil"/>
                    <w:right w:val="nil"/>
                  </w:tcBorders>
                  <w:shd w:val="clear" w:color="000000" w:fill="C5D9F1"/>
                  <w:noWrap/>
                  <w:vAlign w:val="center"/>
                  <w:hideMark/>
                </w:tcPr>
                <w:p w14:paraId="55B6A2E5" w14:textId="77777777" w:rsidR="00DE621A" w:rsidRPr="00DE621A" w:rsidRDefault="00DE621A" w:rsidP="00DE621A">
                  <w:pPr>
                    <w:spacing w:after="0" w:line="240" w:lineRule="auto"/>
                    <w:jc w:val="right"/>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Dermal repeat-dose NOAEL ≤200 mg/kg:</w:t>
                  </w:r>
                </w:p>
              </w:tc>
              <w:tc>
                <w:tcPr>
                  <w:tcW w:w="1090" w:type="dxa"/>
                  <w:tcBorders>
                    <w:top w:val="nil"/>
                    <w:left w:val="nil"/>
                    <w:bottom w:val="nil"/>
                    <w:right w:val="nil"/>
                  </w:tcBorders>
                  <w:shd w:val="clear" w:color="000000" w:fill="C5D9F1"/>
                  <w:noWrap/>
                  <w:vAlign w:val="center"/>
                  <w:hideMark/>
                </w:tcPr>
                <w:p w14:paraId="5A93FD2A" w14:textId="77777777" w:rsidR="00DE621A" w:rsidRPr="00DE621A" w:rsidRDefault="00DE621A" w:rsidP="00DE621A">
                  <w:pPr>
                    <w:spacing w:after="0" w:line="240" w:lineRule="auto"/>
                    <w:jc w:val="center"/>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c>
                <w:tcPr>
                  <w:tcW w:w="1090" w:type="dxa"/>
                  <w:tcBorders>
                    <w:top w:val="nil"/>
                    <w:left w:val="nil"/>
                    <w:bottom w:val="nil"/>
                    <w:right w:val="nil"/>
                  </w:tcBorders>
                  <w:shd w:val="clear" w:color="000000" w:fill="C5D9F1"/>
                  <w:noWrap/>
                  <w:vAlign w:val="center"/>
                  <w:hideMark/>
                </w:tcPr>
                <w:p w14:paraId="7A641A28" w14:textId="77777777" w:rsidR="00DE621A" w:rsidRPr="00DE621A" w:rsidRDefault="00DE621A" w:rsidP="00DE621A">
                  <w:pPr>
                    <w:spacing w:after="0" w:line="240" w:lineRule="auto"/>
                    <w:rPr>
                      <w:rFonts w:ascii="Segoe UI" w:eastAsia="Times New Roman" w:hAnsi="Segoe UI" w:cs="Segoe UI"/>
                      <w:color w:val="C5D9F1"/>
                      <w:sz w:val="18"/>
                      <w:szCs w:val="18"/>
                      <w:lang w:eastAsia="en-AU"/>
                    </w:rPr>
                  </w:pPr>
                  <w:r w:rsidRPr="00DE621A">
                    <w:rPr>
                      <w:rFonts w:ascii="Segoe UI" w:eastAsia="Times New Roman" w:hAnsi="Segoe UI" w:cs="Segoe UI"/>
                      <w:color w:val="C5D9F1"/>
                      <w:sz w:val="18"/>
                      <w:szCs w:val="18"/>
                      <w:lang w:eastAsia="en-AU"/>
                    </w:rPr>
                    <w:t> </w:t>
                  </w:r>
                </w:p>
              </w:tc>
              <w:tc>
                <w:tcPr>
                  <w:tcW w:w="3014" w:type="dxa"/>
                  <w:tcBorders>
                    <w:top w:val="nil"/>
                    <w:left w:val="nil"/>
                    <w:bottom w:val="nil"/>
                    <w:right w:val="nil"/>
                  </w:tcBorders>
                  <w:shd w:val="clear" w:color="000000" w:fill="C5D9F1"/>
                  <w:noWrap/>
                  <w:vAlign w:val="center"/>
                  <w:hideMark/>
                </w:tcPr>
                <w:p w14:paraId="6D4C71EE" w14:textId="77777777" w:rsidR="00DE621A" w:rsidRPr="00DE621A" w:rsidRDefault="00DE621A" w:rsidP="00DE621A">
                  <w:pPr>
                    <w:spacing w:after="0" w:line="240" w:lineRule="auto"/>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r>
            <w:tr w:rsidR="00DE621A" w:rsidRPr="00DE621A" w14:paraId="55E1E75A" w14:textId="77777777" w:rsidTr="00DE621A">
              <w:trPr>
                <w:trHeight w:val="231"/>
              </w:trPr>
              <w:tc>
                <w:tcPr>
                  <w:tcW w:w="3701" w:type="dxa"/>
                  <w:tcBorders>
                    <w:top w:val="nil"/>
                    <w:left w:val="nil"/>
                    <w:bottom w:val="nil"/>
                    <w:right w:val="nil"/>
                  </w:tcBorders>
                  <w:shd w:val="clear" w:color="000000" w:fill="C5D9F1"/>
                  <w:noWrap/>
                  <w:vAlign w:val="center"/>
                  <w:hideMark/>
                </w:tcPr>
                <w:p w14:paraId="42C15AAE" w14:textId="77777777" w:rsidR="00DE621A" w:rsidRPr="00DE621A" w:rsidRDefault="00DE621A" w:rsidP="00DE621A">
                  <w:pPr>
                    <w:spacing w:after="0" w:line="240" w:lineRule="auto"/>
                    <w:jc w:val="right"/>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Dermal LD</w:t>
                  </w:r>
                  <w:r w:rsidRPr="00DE621A">
                    <w:rPr>
                      <w:rFonts w:ascii="Segoe UI" w:eastAsia="Times New Roman" w:hAnsi="Segoe UI" w:cs="Segoe UI"/>
                      <w:color w:val="000000"/>
                      <w:sz w:val="18"/>
                      <w:szCs w:val="18"/>
                      <w:vertAlign w:val="subscript"/>
                      <w:lang w:eastAsia="en-AU"/>
                    </w:rPr>
                    <w:t>50</w:t>
                  </w:r>
                  <w:r w:rsidRPr="00DE621A">
                    <w:rPr>
                      <w:rFonts w:ascii="Segoe UI" w:eastAsia="Times New Roman" w:hAnsi="Segoe UI" w:cs="Segoe UI"/>
                      <w:color w:val="000000"/>
                      <w:sz w:val="18"/>
                      <w:szCs w:val="18"/>
                      <w:lang w:eastAsia="en-AU"/>
                    </w:rPr>
                    <w:t>/Inhalation LD</w:t>
                  </w:r>
                  <w:r w:rsidRPr="00DE621A">
                    <w:rPr>
                      <w:rFonts w:ascii="Segoe UI" w:eastAsia="Times New Roman" w:hAnsi="Segoe UI" w:cs="Segoe UI"/>
                      <w:color w:val="000000"/>
                      <w:sz w:val="18"/>
                      <w:szCs w:val="18"/>
                      <w:vertAlign w:val="subscript"/>
                      <w:lang w:eastAsia="en-AU"/>
                    </w:rPr>
                    <w:t>50</w:t>
                  </w:r>
                  <w:r w:rsidRPr="00DE621A">
                    <w:rPr>
                      <w:rFonts w:ascii="Segoe UI" w:eastAsia="Times New Roman" w:hAnsi="Segoe UI" w:cs="Segoe UI"/>
                      <w:color w:val="000000"/>
                      <w:sz w:val="18"/>
                      <w:szCs w:val="18"/>
                      <w:lang w:eastAsia="en-AU"/>
                    </w:rPr>
                    <w:t xml:space="preserve"> &lt;10:</w:t>
                  </w:r>
                </w:p>
              </w:tc>
              <w:tc>
                <w:tcPr>
                  <w:tcW w:w="1090" w:type="dxa"/>
                  <w:tcBorders>
                    <w:top w:val="nil"/>
                    <w:left w:val="nil"/>
                    <w:bottom w:val="nil"/>
                    <w:right w:val="nil"/>
                  </w:tcBorders>
                  <w:shd w:val="clear" w:color="000000" w:fill="C5D9F1"/>
                  <w:noWrap/>
                  <w:vAlign w:val="center"/>
                  <w:hideMark/>
                </w:tcPr>
                <w:p w14:paraId="0EC09C48" w14:textId="77777777" w:rsidR="00DE621A" w:rsidRPr="00DE621A" w:rsidRDefault="00DE621A" w:rsidP="00DE621A">
                  <w:pPr>
                    <w:spacing w:after="0" w:line="240" w:lineRule="auto"/>
                    <w:jc w:val="center"/>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c>
                <w:tcPr>
                  <w:tcW w:w="1090" w:type="dxa"/>
                  <w:tcBorders>
                    <w:top w:val="nil"/>
                    <w:left w:val="nil"/>
                    <w:bottom w:val="nil"/>
                    <w:right w:val="nil"/>
                  </w:tcBorders>
                  <w:shd w:val="clear" w:color="000000" w:fill="C5D9F1"/>
                  <w:noWrap/>
                  <w:vAlign w:val="center"/>
                  <w:hideMark/>
                </w:tcPr>
                <w:p w14:paraId="0E382C2F" w14:textId="77777777" w:rsidR="00DE621A" w:rsidRPr="00DE621A" w:rsidRDefault="00DE621A" w:rsidP="00DE621A">
                  <w:pPr>
                    <w:spacing w:after="0" w:line="240" w:lineRule="auto"/>
                    <w:rPr>
                      <w:rFonts w:ascii="Segoe UI" w:eastAsia="Times New Roman" w:hAnsi="Segoe UI" w:cs="Segoe UI"/>
                      <w:color w:val="C5D9F1"/>
                      <w:sz w:val="18"/>
                      <w:szCs w:val="18"/>
                      <w:lang w:eastAsia="en-AU"/>
                    </w:rPr>
                  </w:pPr>
                  <w:r w:rsidRPr="00DE621A">
                    <w:rPr>
                      <w:rFonts w:ascii="Segoe UI" w:eastAsia="Times New Roman" w:hAnsi="Segoe UI" w:cs="Segoe UI"/>
                      <w:color w:val="C5D9F1"/>
                      <w:sz w:val="18"/>
                      <w:szCs w:val="18"/>
                      <w:lang w:eastAsia="en-AU"/>
                    </w:rPr>
                    <w:t> </w:t>
                  </w:r>
                </w:p>
              </w:tc>
              <w:tc>
                <w:tcPr>
                  <w:tcW w:w="3014" w:type="dxa"/>
                  <w:tcBorders>
                    <w:top w:val="nil"/>
                    <w:left w:val="nil"/>
                    <w:bottom w:val="nil"/>
                    <w:right w:val="nil"/>
                  </w:tcBorders>
                  <w:shd w:val="clear" w:color="000000" w:fill="C5D9F1"/>
                  <w:noWrap/>
                  <w:vAlign w:val="center"/>
                  <w:hideMark/>
                </w:tcPr>
                <w:p w14:paraId="1C03B921" w14:textId="77777777" w:rsidR="00DE621A" w:rsidRPr="00DE621A" w:rsidRDefault="00DE621A" w:rsidP="00DE621A">
                  <w:pPr>
                    <w:spacing w:after="0" w:line="240" w:lineRule="auto"/>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r>
            <w:tr w:rsidR="00DE621A" w:rsidRPr="00DE621A" w14:paraId="14798D15" w14:textId="77777777" w:rsidTr="00DE621A">
              <w:trPr>
                <w:trHeight w:val="231"/>
              </w:trPr>
              <w:tc>
                <w:tcPr>
                  <w:tcW w:w="3701" w:type="dxa"/>
                  <w:tcBorders>
                    <w:top w:val="nil"/>
                    <w:left w:val="nil"/>
                    <w:bottom w:val="nil"/>
                    <w:right w:val="nil"/>
                  </w:tcBorders>
                  <w:shd w:val="clear" w:color="000000" w:fill="C5D9F1"/>
                  <w:noWrap/>
                  <w:vAlign w:val="center"/>
                  <w:hideMark/>
                </w:tcPr>
                <w:p w14:paraId="567542A8" w14:textId="77777777" w:rsidR="00DE621A" w:rsidRPr="00DE621A" w:rsidRDefault="00DE621A" w:rsidP="00DE621A">
                  <w:pPr>
                    <w:spacing w:after="0" w:line="240" w:lineRule="auto"/>
                    <w:jc w:val="right"/>
                    <w:rPr>
                      <w:rFonts w:ascii="Segoe UI" w:eastAsia="Times New Roman" w:hAnsi="Segoe UI" w:cs="Segoe UI"/>
                      <w:i/>
                      <w:iCs/>
                      <w:color w:val="000000"/>
                      <w:sz w:val="18"/>
                      <w:szCs w:val="18"/>
                      <w:lang w:eastAsia="en-AU"/>
                    </w:rPr>
                  </w:pPr>
                  <w:r w:rsidRPr="00DE621A">
                    <w:rPr>
                      <w:rFonts w:ascii="Segoe UI" w:eastAsia="Times New Roman" w:hAnsi="Segoe UI" w:cs="Segoe UI"/>
                      <w:i/>
                      <w:iCs/>
                      <w:color w:val="000000"/>
                      <w:sz w:val="18"/>
                      <w:szCs w:val="18"/>
                      <w:lang w:eastAsia="en-AU"/>
                    </w:rPr>
                    <w:t>In vivo</w:t>
                  </w:r>
                  <w:r w:rsidRPr="00DE621A">
                    <w:rPr>
                      <w:rFonts w:ascii="Segoe UI" w:eastAsia="Times New Roman" w:hAnsi="Segoe UI" w:cs="Segoe UI"/>
                      <w:color w:val="000000"/>
                      <w:sz w:val="18"/>
                      <w:szCs w:val="18"/>
                      <w:lang w:eastAsia="en-AU"/>
                    </w:rPr>
                    <w:t xml:space="preserve"> dermal absorption rate &gt;10%:</w:t>
                  </w:r>
                </w:p>
              </w:tc>
              <w:tc>
                <w:tcPr>
                  <w:tcW w:w="1090" w:type="dxa"/>
                  <w:tcBorders>
                    <w:top w:val="nil"/>
                    <w:left w:val="nil"/>
                    <w:bottom w:val="nil"/>
                    <w:right w:val="nil"/>
                  </w:tcBorders>
                  <w:shd w:val="clear" w:color="000000" w:fill="C5D9F1"/>
                  <w:noWrap/>
                  <w:vAlign w:val="center"/>
                  <w:hideMark/>
                </w:tcPr>
                <w:p w14:paraId="6B8B1480" w14:textId="77777777" w:rsidR="00DE621A" w:rsidRPr="00DE621A" w:rsidRDefault="00DE621A" w:rsidP="00DE621A">
                  <w:pPr>
                    <w:spacing w:after="0" w:line="240" w:lineRule="auto"/>
                    <w:jc w:val="center"/>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c>
                <w:tcPr>
                  <w:tcW w:w="1090" w:type="dxa"/>
                  <w:tcBorders>
                    <w:top w:val="nil"/>
                    <w:left w:val="nil"/>
                    <w:bottom w:val="nil"/>
                    <w:right w:val="nil"/>
                  </w:tcBorders>
                  <w:shd w:val="clear" w:color="000000" w:fill="C5D9F1"/>
                  <w:noWrap/>
                  <w:vAlign w:val="center"/>
                  <w:hideMark/>
                </w:tcPr>
                <w:p w14:paraId="519E5ACD" w14:textId="77777777" w:rsidR="00DE621A" w:rsidRPr="00DE621A" w:rsidRDefault="00DE621A" w:rsidP="00DE621A">
                  <w:pPr>
                    <w:spacing w:after="0" w:line="240" w:lineRule="auto"/>
                    <w:rPr>
                      <w:rFonts w:ascii="Segoe UI" w:eastAsia="Times New Roman" w:hAnsi="Segoe UI" w:cs="Segoe UI"/>
                      <w:color w:val="C5D9F1"/>
                      <w:sz w:val="18"/>
                      <w:szCs w:val="18"/>
                      <w:lang w:eastAsia="en-AU"/>
                    </w:rPr>
                  </w:pPr>
                  <w:r w:rsidRPr="00DE621A">
                    <w:rPr>
                      <w:rFonts w:ascii="Segoe UI" w:eastAsia="Times New Roman" w:hAnsi="Segoe UI" w:cs="Segoe UI"/>
                      <w:color w:val="C5D9F1"/>
                      <w:sz w:val="18"/>
                      <w:szCs w:val="18"/>
                      <w:lang w:eastAsia="en-AU"/>
                    </w:rPr>
                    <w:t> </w:t>
                  </w:r>
                </w:p>
              </w:tc>
              <w:tc>
                <w:tcPr>
                  <w:tcW w:w="3014" w:type="dxa"/>
                  <w:tcBorders>
                    <w:top w:val="nil"/>
                    <w:left w:val="nil"/>
                    <w:bottom w:val="nil"/>
                    <w:right w:val="nil"/>
                  </w:tcBorders>
                  <w:shd w:val="clear" w:color="000000" w:fill="C5D9F1"/>
                  <w:noWrap/>
                  <w:vAlign w:val="center"/>
                  <w:hideMark/>
                </w:tcPr>
                <w:p w14:paraId="430E3E51" w14:textId="77777777" w:rsidR="00DE621A" w:rsidRPr="00DE621A" w:rsidRDefault="00DE621A" w:rsidP="00DE621A">
                  <w:pPr>
                    <w:spacing w:after="0" w:line="240" w:lineRule="auto"/>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r>
            <w:tr w:rsidR="00DE621A" w:rsidRPr="00DE621A" w14:paraId="16CCA7B4" w14:textId="77777777" w:rsidTr="00DE621A">
              <w:trPr>
                <w:trHeight w:val="231"/>
              </w:trPr>
              <w:tc>
                <w:tcPr>
                  <w:tcW w:w="3701" w:type="dxa"/>
                  <w:tcBorders>
                    <w:top w:val="nil"/>
                    <w:left w:val="nil"/>
                    <w:bottom w:val="nil"/>
                    <w:right w:val="nil"/>
                  </w:tcBorders>
                  <w:shd w:val="clear" w:color="000000" w:fill="C5D9F1"/>
                  <w:noWrap/>
                  <w:vAlign w:val="center"/>
                  <w:hideMark/>
                </w:tcPr>
                <w:p w14:paraId="16262870" w14:textId="77777777" w:rsidR="00DE621A" w:rsidRPr="00DE621A" w:rsidRDefault="00DE621A" w:rsidP="00DE621A">
                  <w:pPr>
                    <w:spacing w:after="0" w:line="240" w:lineRule="auto"/>
                    <w:jc w:val="right"/>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Estimated dermal exposure at WES &gt;10%:</w:t>
                  </w:r>
                </w:p>
              </w:tc>
              <w:tc>
                <w:tcPr>
                  <w:tcW w:w="1090" w:type="dxa"/>
                  <w:tcBorders>
                    <w:top w:val="nil"/>
                    <w:left w:val="nil"/>
                    <w:bottom w:val="nil"/>
                    <w:right w:val="nil"/>
                  </w:tcBorders>
                  <w:shd w:val="clear" w:color="000000" w:fill="C5D9F1"/>
                  <w:noWrap/>
                  <w:vAlign w:val="center"/>
                  <w:hideMark/>
                </w:tcPr>
                <w:p w14:paraId="50EA00F1" w14:textId="77777777" w:rsidR="00DE621A" w:rsidRPr="00DE621A" w:rsidRDefault="00DE621A" w:rsidP="00DE621A">
                  <w:pPr>
                    <w:spacing w:after="0" w:line="240" w:lineRule="auto"/>
                    <w:jc w:val="center"/>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no</w:t>
                  </w:r>
                </w:p>
              </w:tc>
              <w:tc>
                <w:tcPr>
                  <w:tcW w:w="1090" w:type="dxa"/>
                  <w:tcBorders>
                    <w:top w:val="nil"/>
                    <w:left w:val="nil"/>
                    <w:bottom w:val="nil"/>
                    <w:right w:val="nil"/>
                  </w:tcBorders>
                  <w:shd w:val="clear" w:color="000000" w:fill="C5D9F1"/>
                  <w:noWrap/>
                  <w:vAlign w:val="center"/>
                  <w:hideMark/>
                </w:tcPr>
                <w:p w14:paraId="3C32F67E" w14:textId="77777777" w:rsidR="00DE621A" w:rsidRPr="00DE621A" w:rsidRDefault="00DE621A" w:rsidP="00DE621A">
                  <w:pPr>
                    <w:spacing w:after="0" w:line="240" w:lineRule="auto"/>
                    <w:jc w:val="right"/>
                    <w:rPr>
                      <w:rFonts w:ascii="Segoe UI" w:eastAsia="Times New Roman" w:hAnsi="Segoe UI" w:cs="Segoe UI"/>
                      <w:color w:val="C5D9F1"/>
                      <w:sz w:val="18"/>
                      <w:szCs w:val="18"/>
                      <w:lang w:eastAsia="en-AU"/>
                    </w:rPr>
                  </w:pPr>
                  <w:r w:rsidRPr="00DE621A">
                    <w:rPr>
                      <w:rFonts w:ascii="Segoe UI" w:eastAsia="Times New Roman" w:hAnsi="Segoe UI" w:cs="Segoe UI"/>
                      <w:color w:val="C5D9F1"/>
                      <w:sz w:val="18"/>
                      <w:szCs w:val="18"/>
                      <w:lang w:eastAsia="en-AU"/>
                    </w:rPr>
                    <w:t>-2.00</w:t>
                  </w:r>
                </w:p>
              </w:tc>
              <w:tc>
                <w:tcPr>
                  <w:tcW w:w="3014" w:type="dxa"/>
                  <w:tcBorders>
                    <w:top w:val="nil"/>
                    <w:left w:val="nil"/>
                    <w:bottom w:val="nil"/>
                    <w:right w:val="nil"/>
                  </w:tcBorders>
                  <w:shd w:val="clear" w:color="000000" w:fill="C5D9F1"/>
                  <w:noWrap/>
                  <w:vAlign w:val="center"/>
                  <w:hideMark/>
                </w:tcPr>
                <w:p w14:paraId="0A270A8E" w14:textId="77777777" w:rsidR="00DE621A" w:rsidRPr="00DE621A" w:rsidRDefault="00DE621A" w:rsidP="00DE621A">
                  <w:pPr>
                    <w:spacing w:after="0" w:line="240" w:lineRule="auto"/>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r>
            <w:tr w:rsidR="00DE621A" w:rsidRPr="00DE621A" w14:paraId="35BFF946" w14:textId="77777777" w:rsidTr="00DE621A">
              <w:trPr>
                <w:trHeight w:val="231"/>
              </w:trPr>
              <w:tc>
                <w:tcPr>
                  <w:tcW w:w="3701" w:type="dxa"/>
                  <w:tcBorders>
                    <w:top w:val="nil"/>
                    <w:left w:val="nil"/>
                    <w:bottom w:val="nil"/>
                    <w:right w:val="nil"/>
                  </w:tcBorders>
                  <w:shd w:val="clear" w:color="000000" w:fill="C5D9F1"/>
                  <w:noWrap/>
                  <w:vAlign w:val="center"/>
                  <w:hideMark/>
                </w:tcPr>
                <w:p w14:paraId="444A6E1F" w14:textId="77777777" w:rsidR="00DE621A" w:rsidRPr="00DE621A" w:rsidRDefault="00DE621A" w:rsidP="00DE621A">
                  <w:pPr>
                    <w:spacing w:after="0" w:line="240" w:lineRule="auto"/>
                    <w:jc w:val="right"/>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c>
                <w:tcPr>
                  <w:tcW w:w="1090" w:type="dxa"/>
                  <w:tcBorders>
                    <w:top w:val="nil"/>
                    <w:left w:val="nil"/>
                    <w:bottom w:val="nil"/>
                    <w:right w:val="nil"/>
                  </w:tcBorders>
                  <w:shd w:val="clear" w:color="000000" w:fill="C5D9F1"/>
                  <w:noWrap/>
                  <w:vAlign w:val="center"/>
                  <w:hideMark/>
                </w:tcPr>
                <w:p w14:paraId="766F6AE8" w14:textId="77777777" w:rsidR="00DE621A" w:rsidRPr="00DE621A" w:rsidRDefault="00DE621A" w:rsidP="00DE621A">
                  <w:pPr>
                    <w:spacing w:after="0" w:line="240" w:lineRule="auto"/>
                    <w:jc w:val="center"/>
                    <w:rPr>
                      <w:rFonts w:ascii="Segoe UI" w:eastAsia="Times New Roman" w:hAnsi="Segoe UI" w:cs="Segoe UI"/>
                      <w:color w:val="000000"/>
                      <w:sz w:val="18"/>
                      <w:szCs w:val="18"/>
                      <w:lang w:eastAsia="en-AU"/>
                    </w:rPr>
                  </w:pPr>
                  <w:r w:rsidRPr="00DE621A">
                    <w:rPr>
                      <w:rFonts w:ascii="Segoe UI" w:eastAsia="Times New Roman" w:hAnsi="Segoe UI" w:cs="Segoe UI"/>
                      <w:color w:val="000000"/>
                      <w:sz w:val="18"/>
                      <w:szCs w:val="18"/>
                      <w:lang w:eastAsia="en-AU"/>
                    </w:rPr>
                    <w:t> </w:t>
                  </w:r>
                </w:p>
              </w:tc>
              <w:tc>
                <w:tcPr>
                  <w:tcW w:w="1090" w:type="dxa"/>
                  <w:tcBorders>
                    <w:top w:val="nil"/>
                    <w:left w:val="nil"/>
                    <w:bottom w:val="nil"/>
                    <w:right w:val="nil"/>
                  </w:tcBorders>
                  <w:shd w:val="clear" w:color="000000" w:fill="C5D9F1"/>
                  <w:noWrap/>
                  <w:vAlign w:val="center"/>
                  <w:hideMark/>
                </w:tcPr>
                <w:p w14:paraId="2B6549B5" w14:textId="77777777" w:rsidR="00DE621A" w:rsidRPr="00DE621A" w:rsidRDefault="00DE621A" w:rsidP="00DE621A">
                  <w:pPr>
                    <w:spacing w:after="0" w:line="240" w:lineRule="auto"/>
                    <w:jc w:val="right"/>
                    <w:rPr>
                      <w:rFonts w:ascii="Segoe UI" w:eastAsia="Times New Roman" w:hAnsi="Segoe UI" w:cs="Segoe UI"/>
                      <w:color w:val="C5D9F1"/>
                      <w:sz w:val="18"/>
                      <w:szCs w:val="18"/>
                      <w:lang w:eastAsia="en-AU"/>
                    </w:rPr>
                  </w:pPr>
                  <w:r w:rsidRPr="00DE621A">
                    <w:rPr>
                      <w:rFonts w:ascii="Segoe UI" w:eastAsia="Times New Roman" w:hAnsi="Segoe UI" w:cs="Segoe UI"/>
                      <w:color w:val="C5D9F1"/>
                      <w:sz w:val="18"/>
                      <w:szCs w:val="18"/>
                      <w:lang w:eastAsia="en-AU"/>
                    </w:rPr>
                    <w:t>-2</w:t>
                  </w:r>
                </w:p>
              </w:tc>
              <w:tc>
                <w:tcPr>
                  <w:tcW w:w="3014" w:type="dxa"/>
                  <w:tcBorders>
                    <w:top w:val="nil"/>
                    <w:left w:val="nil"/>
                    <w:bottom w:val="nil"/>
                    <w:right w:val="nil"/>
                  </w:tcBorders>
                  <w:shd w:val="clear" w:color="000000" w:fill="C5D9F1"/>
                  <w:noWrap/>
                  <w:vAlign w:val="center"/>
                  <w:hideMark/>
                </w:tcPr>
                <w:p w14:paraId="67C96F4E" w14:textId="77777777" w:rsidR="00DE621A" w:rsidRPr="00DE621A" w:rsidRDefault="00DE621A" w:rsidP="00DE621A">
                  <w:pPr>
                    <w:spacing w:after="0" w:line="240" w:lineRule="auto"/>
                    <w:rPr>
                      <w:rFonts w:ascii="Segoe UI" w:eastAsia="Times New Roman" w:hAnsi="Segoe UI" w:cs="Segoe UI"/>
                      <w:b/>
                      <w:bCs/>
                      <w:color w:val="000000"/>
                      <w:sz w:val="18"/>
                      <w:szCs w:val="18"/>
                      <w:lang w:eastAsia="en-AU"/>
                    </w:rPr>
                  </w:pPr>
                  <w:r w:rsidRPr="00DE621A">
                    <w:rPr>
                      <w:rFonts w:ascii="Segoe UI" w:eastAsia="Times New Roman" w:hAnsi="Segoe UI" w:cs="Segoe UI"/>
                      <w:b/>
                      <w:bCs/>
                      <w:color w:val="000000"/>
                      <w:sz w:val="18"/>
                      <w:szCs w:val="18"/>
                      <w:lang w:eastAsia="en-AU"/>
                    </w:rPr>
                    <w:t>a skin notation is not warranted</w:t>
                  </w:r>
                </w:p>
              </w:tc>
            </w:tr>
          </w:tbl>
          <w:p w14:paraId="329D664C" w14:textId="287D99B2" w:rsidR="00932DCE" w:rsidRPr="004C23F4" w:rsidRDefault="00932DCE" w:rsidP="00F9496B">
            <w:pPr>
              <w:pStyle w:val="Tablefont"/>
            </w:pPr>
          </w:p>
        </w:tc>
      </w:tr>
    </w:tbl>
    <w:bookmarkEnd w:id="3"/>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323BEAEC" w:rsidR="00EB3D1B" w:rsidRDefault="007E7F86" w:rsidP="00EB3D1B">
                <w:pPr>
                  <w:pStyle w:val="Tablefont"/>
                </w:pPr>
                <w:r>
                  <w:t>No</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4207F629" w:rsidR="001B79E5" w:rsidRDefault="007E7F86" w:rsidP="001B79E5">
                <w:pPr>
                  <w:pStyle w:val="Tablefont"/>
                </w:pPr>
                <w:r w:rsidRPr="007E7F86">
                  <w:t>96.94</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04DCE923" w:rsidR="00A31D99" w:rsidRDefault="00A0643F" w:rsidP="00A174CC">
            <w:pPr>
              <w:pStyle w:val="Tablefont"/>
            </w:pPr>
            <w:r>
              <w:t xml:space="preserve">1 ppm = </w:t>
            </w:r>
            <w:sdt>
              <w:sdtPr>
                <w:id w:val="-371151491"/>
                <w:placeholder>
                  <w:docPart w:val="A7231FB73EFF4B2B92EB3BD21C0CEA01"/>
                </w:placeholder>
              </w:sdtPr>
              <w:sdtEndPr/>
              <w:sdtContent>
                <w:r w:rsidR="007E7F86" w:rsidRPr="007E7F86">
                  <w:t>3.97</w:t>
                </w:r>
              </w:sdtContent>
            </w:sdt>
            <w:r>
              <w:t xml:space="preserve"> mg/m</w:t>
            </w:r>
            <w:r w:rsidRPr="00D83761">
              <w:rPr>
                <w:vertAlign w:val="superscript"/>
              </w:rPr>
              <w:t>3</w:t>
            </w:r>
            <w:r>
              <w:t>; 1 mg/m</w:t>
            </w:r>
            <w:r w:rsidRPr="00D83761">
              <w:rPr>
                <w:vertAlign w:val="superscript"/>
              </w:rPr>
              <w:t>3</w:t>
            </w:r>
            <w:r>
              <w:t xml:space="preserve"> = </w:t>
            </w:r>
            <w:r w:rsidR="00687D13" w:rsidRPr="00687D13">
              <w:t>0.25</w:t>
            </w:r>
            <w:r w:rsidR="00687D13">
              <w:t xml:space="preserve"> </w:t>
            </w:r>
            <w:r>
              <w:t>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4F6708"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4"/>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246C00" w14:textId="11CA40C6" w:rsidR="008E4F1F" w:rsidRDefault="008E4F1F" w:rsidP="008E4F1F">
      <w:pPr>
        <w:rPr>
          <w:b/>
        </w:rPr>
      </w:pPr>
      <w:r w:rsidRPr="002022B6">
        <w:t>Deutsche Forschungsgemeinschaft (DFG)</w:t>
      </w:r>
      <w:r>
        <w:t xml:space="preserve"> (</w:t>
      </w:r>
      <w:r w:rsidR="00687D13" w:rsidRPr="00687D13">
        <w:t>1985</w:t>
      </w:r>
      <w:r>
        <w:t xml:space="preserve">) </w:t>
      </w:r>
      <w:r w:rsidR="00687D13" w:rsidRPr="00687D13">
        <w:t>Vinylidene chloride</w:t>
      </w:r>
      <w:r>
        <w:t xml:space="preserve"> – MAK value documentation.</w:t>
      </w:r>
    </w:p>
    <w:p w14:paraId="3A4FF805" w14:textId="18C50376" w:rsidR="008E4F1F" w:rsidRDefault="008E4F1F" w:rsidP="008E4F1F">
      <w:r w:rsidRPr="002022B6">
        <w:t>EU Scientific Committee on Occupational Exposure Limits (SCOEL)</w:t>
      </w:r>
      <w:r>
        <w:t xml:space="preserve"> (</w:t>
      </w:r>
      <w:r w:rsidR="00687D13" w:rsidRPr="00687D13">
        <w:t>2008</w:t>
      </w:r>
      <w:r>
        <w:t xml:space="preserve">) Recommendation from the Scientific Committee on Occupational Exposure Limits for </w:t>
      </w:r>
      <w:r w:rsidR="00687D13" w:rsidRPr="00687D13">
        <w:t>Vinylidene Chloride</w:t>
      </w:r>
      <w:r>
        <w:t>. SCOEL/</w:t>
      </w:r>
      <w:r w:rsidR="00687D13" w:rsidRPr="00687D13">
        <w:t>SUM/132</w:t>
      </w:r>
      <w:r>
        <w:t>.</w:t>
      </w:r>
    </w:p>
    <w:p w14:paraId="59228841" w14:textId="6A388009" w:rsidR="00687D13" w:rsidRDefault="00687D13" w:rsidP="008E4F1F">
      <w:pPr>
        <w:rPr>
          <w:b/>
        </w:rPr>
      </w:pPr>
      <w:r>
        <w:t xml:space="preserve">European Chemicals Agency (ECHA) (2019) </w:t>
      </w:r>
      <w:r w:rsidRPr="00687D13">
        <w:t>Vinylidene chloride</w:t>
      </w:r>
      <w:r>
        <w:t xml:space="preserve"> – REACH assessment.</w:t>
      </w:r>
    </w:p>
    <w:p w14:paraId="4D7F094F" w14:textId="14E55194" w:rsidR="008E4F1F" w:rsidRDefault="008E4F1F" w:rsidP="008E4F1F">
      <w:pPr>
        <w:rPr>
          <w:b/>
        </w:rPr>
      </w:pPr>
      <w:r w:rsidRPr="002022B6">
        <w:t>International Agency for Research on Cancer</w:t>
      </w:r>
      <w:r>
        <w:t xml:space="preserve"> (IARC) (</w:t>
      </w:r>
      <w:r w:rsidR="00687D13" w:rsidRPr="00687D13">
        <w:t>2019</w:t>
      </w:r>
      <w:r>
        <w:t>)</w:t>
      </w:r>
      <w:r w:rsidR="003C2EE9" w:rsidRPr="003C2EE9">
        <w:t xml:space="preserve"> Some Chemicals </w:t>
      </w:r>
      <w:r w:rsidR="003C2EE9">
        <w:t>t</w:t>
      </w:r>
      <w:r w:rsidR="003C2EE9" w:rsidRPr="003C2EE9">
        <w:t xml:space="preserve">hat </w:t>
      </w:r>
      <w:r w:rsidR="003C2EE9">
        <w:t>c</w:t>
      </w:r>
      <w:r w:rsidR="003C2EE9" w:rsidRPr="003C2EE9">
        <w:t xml:space="preserve">ause </w:t>
      </w:r>
      <w:r w:rsidR="003C2EE9">
        <w:t>t</w:t>
      </w:r>
      <w:r w:rsidR="003C2EE9" w:rsidRPr="003C2EE9">
        <w:t>umours of</w:t>
      </w:r>
      <w:r w:rsidR="003C2EE9">
        <w:t xml:space="preserve"> t</w:t>
      </w:r>
      <w:r w:rsidR="003C2EE9" w:rsidRPr="003C2EE9">
        <w:t xml:space="preserve">he </w:t>
      </w:r>
      <w:r w:rsidR="003C2EE9">
        <w:t>u</w:t>
      </w:r>
      <w:r w:rsidR="003C2EE9" w:rsidRPr="003C2EE9">
        <w:t xml:space="preserve">rinary </w:t>
      </w:r>
      <w:r w:rsidR="003C2EE9">
        <w:t>t</w:t>
      </w:r>
      <w:r w:rsidR="003C2EE9" w:rsidRPr="003C2EE9">
        <w:t>ract in</w:t>
      </w:r>
      <w:r w:rsidR="003C2EE9">
        <w:t xml:space="preserve"> r</w:t>
      </w:r>
      <w:r w:rsidR="003C2EE9" w:rsidRPr="003C2EE9">
        <w:t>odents</w:t>
      </w:r>
      <w:r w:rsidR="003C2EE9">
        <w:t>, Volume 119</w:t>
      </w:r>
      <w:r>
        <w:t>. IARC Monographs on the evaluation of the carcinogenic risk to humans.</w:t>
      </w:r>
    </w:p>
    <w:p w14:paraId="1D94FE62" w14:textId="383BFE64" w:rsidR="008E4F1F" w:rsidRDefault="008E4F1F" w:rsidP="008E4F1F">
      <w:r w:rsidRPr="002022B6">
        <w:t>National Industrial Chemicals Notification and Assessment Scheme (NICNAS)</w:t>
      </w:r>
      <w:r>
        <w:t xml:space="preserve"> (</w:t>
      </w:r>
      <w:r w:rsidR="00687D13" w:rsidRPr="00687D13">
        <w:t>2016</w:t>
      </w:r>
      <w:r>
        <w:t xml:space="preserve">) </w:t>
      </w:r>
      <w:r w:rsidR="00687D13" w:rsidRPr="00687D13">
        <w:t>Ethene, 1,1-dichloro</w:t>
      </w:r>
      <w:r w:rsidRPr="0071660C">
        <w:t xml:space="preserve">: Human health </w:t>
      </w:r>
      <w:r w:rsidR="00687D13" w:rsidRPr="00687D13">
        <w:t>tier II</w:t>
      </w:r>
      <w:r>
        <w:t xml:space="preserve"> </w:t>
      </w:r>
      <w:r w:rsidRPr="0071660C">
        <w:t>assessment</w:t>
      </w:r>
      <w:r>
        <w:t xml:space="preserve"> – IMAP report.</w:t>
      </w:r>
    </w:p>
    <w:p w14:paraId="1D6B5790" w14:textId="4250D398" w:rsidR="00F31A3D" w:rsidRPr="00F31A3D" w:rsidRDefault="00F31A3D" w:rsidP="00F31A3D">
      <w:r w:rsidRPr="00F31A3D">
        <w:lastRenderedPageBreak/>
        <w:t>US Environmental Protection Authority (US EPA) (</w:t>
      </w:r>
      <w:r>
        <w:t>2002</w:t>
      </w:r>
      <w:r w:rsidRPr="00F31A3D">
        <w:t>) Integrated Risk Information System (IRIS) Chemical Assessment Summary – 1,1-Dichloroethylene (1,1-DCE).</w:t>
      </w:r>
    </w:p>
    <w:p w14:paraId="709B0A8E" w14:textId="77777777" w:rsidR="00F31A3D" w:rsidRDefault="00F31A3D" w:rsidP="008E4F1F">
      <w:pPr>
        <w:rPr>
          <w:b/>
        </w:rPr>
      </w:pP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7CF43" w14:textId="77777777" w:rsidR="006729B4" w:rsidRDefault="006729B4" w:rsidP="00F43AD5">
      <w:pPr>
        <w:spacing w:after="0" w:line="240" w:lineRule="auto"/>
      </w:pPr>
      <w:r>
        <w:separator/>
      </w:r>
    </w:p>
  </w:endnote>
  <w:endnote w:type="continuationSeparator" w:id="0">
    <w:p w14:paraId="3078B216" w14:textId="77777777" w:rsidR="006729B4" w:rsidRDefault="006729B4"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39C35F53" w:rsidR="006729B4" w:rsidRDefault="006729B4" w:rsidP="0034744C">
        <w:pPr>
          <w:pStyle w:val="Footer"/>
          <w:rPr>
            <w:sz w:val="18"/>
            <w:szCs w:val="18"/>
          </w:rPr>
        </w:pPr>
        <w:r w:rsidRPr="00CE1FC3">
          <w:rPr>
            <w:b/>
            <w:sz w:val="18"/>
            <w:szCs w:val="18"/>
          </w:rPr>
          <w:t>Vinylidene chloride</w:t>
        </w:r>
        <w:r>
          <w:rPr>
            <w:b/>
            <w:sz w:val="18"/>
            <w:szCs w:val="18"/>
          </w:rPr>
          <w:t xml:space="preserve"> (</w:t>
        </w:r>
        <w:r w:rsidRPr="00CE1FC3">
          <w:rPr>
            <w:b/>
            <w:sz w:val="18"/>
            <w:szCs w:val="18"/>
          </w:rPr>
          <w:t>75-35-4</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sidR="00BE38BC">
          <w:rPr>
            <w:sz w:val="18"/>
            <w:szCs w:val="18"/>
          </w:rPr>
          <w:t>20</w:t>
        </w:r>
      </w:p>
      <w:p w14:paraId="2D517F5E" w14:textId="5D02761E" w:rsidR="006729B4" w:rsidRPr="00F43AD5" w:rsidRDefault="006729B4"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282C7D">
          <w:rPr>
            <w:noProof/>
            <w:sz w:val="18"/>
            <w:szCs w:val="18"/>
          </w:rPr>
          <w:t>2</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16FC7" w14:textId="77777777" w:rsidR="006729B4" w:rsidRDefault="006729B4" w:rsidP="00F43AD5">
      <w:pPr>
        <w:spacing w:after="0" w:line="240" w:lineRule="auto"/>
      </w:pPr>
      <w:r>
        <w:separator/>
      </w:r>
    </w:p>
  </w:footnote>
  <w:footnote w:type="continuationSeparator" w:id="0">
    <w:p w14:paraId="5E6E0526" w14:textId="77777777" w:rsidR="006729B4" w:rsidRDefault="006729B4"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E426" w14:textId="6334F682" w:rsidR="00647EB8" w:rsidRDefault="00647EB8" w:rsidP="00647EB8">
    <w:pPr>
      <w:pStyle w:val="Header"/>
      <w:jc w:val="right"/>
    </w:pPr>
    <w:r>
      <w:rPr>
        <w:noProof/>
        <w:lang w:eastAsia="en-AU"/>
      </w:rPr>
      <w:drawing>
        <wp:inline distT="0" distB="0" distL="0" distR="0" wp14:anchorId="5800D3F3" wp14:editId="69358FCF">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4DAA8792" w14:textId="77297CBF" w:rsidR="006729B4" w:rsidRPr="00647EB8" w:rsidRDefault="006729B4" w:rsidP="00647E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D0AB7" w14:textId="22AE4337" w:rsidR="00647EB8" w:rsidRDefault="00647EB8" w:rsidP="00647EB8">
    <w:pPr>
      <w:pStyle w:val="Header"/>
      <w:jc w:val="right"/>
    </w:pPr>
    <w:r>
      <w:rPr>
        <w:noProof/>
        <w:lang w:eastAsia="en-AU"/>
      </w:rPr>
      <w:drawing>
        <wp:inline distT="0" distB="0" distL="0" distR="0" wp14:anchorId="3AAEAAD9" wp14:editId="47930BDC">
          <wp:extent cx="2957195" cy="605790"/>
          <wp:effectExtent l="0" t="0" r="0" b="3810"/>
          <wp:docPr id="2" name="Picture 2"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71F09FB4" w14:textId="77777777" w:rsidR="006729B4" w:rsidRDefault="006729B4"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0F09CC"/>
    <w:multiLevelType w:val="hybridMultilevel"/>
    <w:tmpl w:val="F73EC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BD51AB9"/>
    <w:multiLevelType w:val="hybridMultilevel"/>
    <w:tmpl w:val="E6641EDE"/>
    <w:lvl w:ilvl="0" w:tplc="D3BC6180">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DDF2FAC"/>
    <w:multiLevelType w:val="hybridMultilevel"/>
    <w:tmpl w:val="C04EF99E"/>
    <w:lvl w:ilvl="0" w:tplc="5D3E9BA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80078557">
    <w:abstractNumId w:val="1"/>
  </w:num>
  <w:num w:numId="2" w16cid:durableId="1592079484">
    <w:abstractNumId w:val="2"/>
  </w:num>
  <w:num w:numId="3" w16cid:durableId="1602688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457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21F61"/>
    <w:rsid w:val="00032B88"/>
    <w:rsid w:val="00037E52"/>
    <w:rsid w:val="00044877"/>
    <w:rsid w:val="00046DF5"/>
    <w:rsid w:val="00052060"/>
    <w:rsid w:val="0005574A"/>
    <w:rsid w:val="00055FE1"/>
    <w:rsid w:val="00056EC2"/>
    <w:rsid w:val="00060B48"/>
    <w:rsid w:val="00060FCA"/>
    <w:rsid w:val="00067F32"/>
    <w:rsid w:val="00071807"/>
    <w:rsid w:val="000803E1"/>
    <w:rsid w:val="00084513"/>
    <w:rsid w:val="00084859"/>
    <w:rsid w:val="00092D94"/>
    <w:rsid w:val="000A3408"/>
    <w:rsid w:val="000A6B54"/>
    <w:rsid w:val="000B0868"/>
    <w:rsid w:val="000B3E12"/>
    <w:rsid w:val="000B3E78"/>
    <w:rsid w:val="000B7B48"/>
    <w:rsid w:val="000C096D"/>
    <w:rsid w:val="000C139A"/>
    <w:rsid w:val="000C2053"/>
    <w:rsid w:val="000C248C"/>
    <w:rsid w:val="000D0643"/>
    <w:rsid w:val="000D291C"/>
    <w:rsid w:val="000E5A54"/>
    <w:rsid w:val="000E63D3"/>
    <w:rsid w:val="000E67CF"/>
    <w:rsid w:val="0010461E"/>
    <w:rsid w:val="00106FAA"/>
    <w:rsid w:val="00113443"/>
    <w:rsid w:val="00113F2A"/>
    <w:rsid w:val="001269A7"/>
    <w:rsid w:val="00131092"/>
    <w:rsid w:val="00140E6A"/>
    <w:rsid w:val="00146545"/>
    <w:rsid w:val="00146B75"/>
    <w:rsid w:val="0015266D"/>
    <w:rsid w:val="0015288A"/>
    <w:rsid w:val="00155999"/>
    <w:rsid w:val="00160F47"/>
    <w:rsid w:val="00165C6F"/>
    <w:rsid w:val="00177CA1"/>
    <w:rsid w:val="00183823"/>
    <w:rsid w:val="00183942"/>
    <w:rsid w:val="001915F6"/>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0844"/>
    <w:rsid w:val="002046A6"/>
    <w:rsid w:val="00204956"/>
    <w:rsid w:val="00213640"/>
    <w:rsid w:val="00221547"/>
    <w:rsid w:val="002216FC"/>
    <w:rsid w:val="00222533"/>
    <w:rsid w:val="00222F30"/>
    <w:rsid w:val="00224EE2"/>
    <w:rsid w:val="00227EC7"/>
    <w:rsid w:val="00244AD1"/>
    <w:rsid w:val="002463BC"/>
    <w:rsid w:val="002465CE"/>
    <w:rsid w:val="00253587"/>
    <w:rsid w:val="0025734A"/>
    <w:rsid w:val="00263255"/>
    <w:rsid w:val="00276494"/>
    <w:rsid w:val="00277B0C"/>
    <w:rsid w:val="00282C7D"/>
    <w:rsid w:val="002A7F24"/>
    <w:rsid w:val="002B059F"/>
    <w:rsid w:val="002B1A2C"/>
    <w:rsid w:val="002C34F2"/>
    <w:rsid w:val="002C58FF"/>
    <w:rsid w:val="002C7AFE"/>
    <w:rsid w:val="002D05D2"/>
    <w:rsid w:val="002E0D61"/>
    <w:rsid w:val="002E4C7B"/>
    <w:rsid w:val="002E6832"/>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B7A4F"/>
    <w:rsid w:val="003C0785"/>
    <w:rsid w:val="003C0D58"/>
    <w:rsid w:val="003C2EE9"/>
    <w:rsid w:val="003D4FA3"/>
    <w:rsid w:val="003E0807"/>
    <w:rsid w:val="003E398C"/>
    <w:rsid w:val="003E51FB"/>
    <w:rsid w:val="003E6B39"/>
    <w:rsid w:val="003F07E1"/>
    <w:rsid w:val="004030BC"/>
    <w:rsid w:val="00403F7D"/>
    <w:rsid w:val="00406785"/>
    <w:rsid w:val="004079B4"/>
    <w:rsid w:val="00417A56"/>
    <w:rsid w:val="00420957"/>
    <w:rsid w:val="00422A10"/>
    <w:rsid w:val="00427105"/>
    <w:rsid w:val="00430179"/>
    <w:rsid w:val="004414B5"/>
    <w:rsid w:val="00444482"/>
    <w:rsid w:val="00444B42"/>
    <w:rsid w:val="00445663"/>
    <w:rsid w:val="00445E44"/>
    <w:rsid w:val="004509E2"/>
    <w:rsid w:val="004515EE"/>
    <w:rsid w:val="004529F0"/>
    <w:rsid w:val="00460A03"/>
    <w:rsid w:val="00460A07"/>
    <w:rsid w:val="00472A11"/>
    <w:rsid w:val="00472AAD"/>
    <w:rsid w:val="00474E33"/>
    <w:rsid w:val="00476803"/>
    <w:rsid w:val="00485BFD"/>
    <w:rsid w:val="004867A2"/>
    <w:rsid w:val="004873F2"/>
    <w:rsid w:val="00490D4C"/>
    <w:rsid w:val="00493A35"/>
    <w:rsid w:val="0049527A"/>
    <w:rsid w:val="004966BF"/>
    <w:rsid w:val="00497984"/>
    <w:rsid w:val="004A0C89"/>
    <w:rsid w:val="004A5088"/>
    <w:rsid w:val="004C1E3F"/>
    <w:rsid w:val="004C23F4"/>
    <w:rsid w:val="004C3475"/>
    <w:rsid w:val="004C58B6"/>
    <w:rsid w:val="004D16A3"/>
    <w:rsid w:val="004D37BC"/>
    <w:rsid w:val="004D4AA1"/>
    <w:rsid w:val="004D6D68"/>
    <w:rsid w:val="004E5EDD"/>
    <w:rsid w:val="004F448A"/>
    <w:rsid w:val="004F493D"/>
    <w:rsid w:val="004F65E8"/>
    <w:rsid w:val="004F6708"/>
    <w:rsid w:val="0050005E"/>
    <w:rsid w:val="00502B88"/>
    <w:rsid w:val="005142C4"/>
    <w:rsid w:val="0051509C"/>
    <w:rsid w:val="005272E2"/>
    <w:rsid w:val="0053108F"/>
    <w:rsid w:val="00532B56"/>
    <w:rsid w:val="00534B10"/>
    <w:rsid w:val="00537734"/>
    <w:rsid w:val="005446A2"/>
    <w:rsid w:val="00544D2F"/>
    <w:rsid w:val="00551BD8"/>
    <w:rsid w:val="0056664B"/>
    <w:rsid w:val="00581055"/>
    <w:rsid w:val="005871D4"/>
    <w:rsid w:val="005919E3"/>
    <w:rsid w:val="00591E38"/>
    <w:rsid w:val="005A19C5"/>
    <w:rsid w:val="005A3034"/>
    <w:rsid w:val="005A462D"/>
    <w:rsid w:val="005B253B"/>
    <w:rsid w:val="005B771D"/>
    <w:rsid w:val="005C5D16"/>
    <w:rsid w:val="005C64C4"/>
    <w:rsid w:val="005D3193"/>
    <w:rsid w:val="005D4A6E"/>
    <w:rsid w:val="005E2E4F"/>
    <w:rsid w:val="005E6979"/>
    <w:rsid w:val="005E75CB"/>
    <w:rsid w:val="006013C1"/>
    <w:rsid w:val="0060669E"/>
    <w:rsid w:val="00610F2E"/>
    <w:rsid w:val="00611399"/>
    <w:rsid w:val="006178F5"/>
    <w:rsid w:val="00622BFA"/>
    <w:rsid w:val="00624C4E"/>
    <w:rsid w:val="00625200"/>
    <w:rsid w:val="006363A8"/>
    <w:rsid w:val="00636DB7"/>
    <w:rsid w:val="00647EB8"/>
    <w:rsid w:val="00650905"/>
    <w:rsid w:val="006532ED"/>
    <w:rsid w:val="006549F2"/>
    <w:rsid w:val="006567B7"/>
    <w:rsid w:val="00657BFB"/>
    <w:rsid w:val="0066333C"/>
    <w:rsid w:val="006639B4"/>
    <w:rsid w:val="006650FE"/>
    <w:rsid w:val="006729B4"/>
    <w:rsid w:val="0067305D"/>
    <w:rsid w:val="00675F7D"/>
    <w:rsid w:val="00677D9B"/>
    <w:rsid w:val="006867F3"/>
    <w:rsid w:val="00687890"/>
    <w:rsid w:val="00687D13"/>
    <w:rsid w:val="006901A2"/>
    <w:rsid w:val="00690368"/>
    <w:rsid w:val="0069079C"/>
    <w:rsid w:val="00690B53"/>
    <w:rsid w:val="00695B72"/>
    <w:rsid w:val="006B160A"/>
    <w:rsid w:val="006B4E6C"/>
    <w:rsid w:val="006B50B6"/>
    <w:rsid w:val="006D79EA"/>
    <w:rsid w:val="006E5D05"/>
    <w:rsid w:val="006F0B0D"/>
    <w:rsid w:val="00701053"/>
    <w:rsid w:val="00701507"/>
    <w:rsid w:val="0070624A"/>
    <w:rsid w:val="00706FC9"/>
    <w:rsid w:val="00714021"/>
    <w:rsid w:val="00716A0F"/>
    <w:rsid w:val="00717D45"/>
    <w:rsid w:val="007208F7"/>
    <w:rsid w:val="007218AF"/>
    <w:rsid w:val="007365D1"/>
    <w:rsid w:val="00740E0E"/>
    <w:rsid w:val="007431BB"/>
    <w:rsid w:val="00743295"/>
    <w:rsid w:val="00750212"/>
    <w:rsid w:val="00754779"/>
    <w:rsid w:val="0075716D"/>
    <w:rsid w:val="00765F14"/>
    <w:rsid w:val="00770E31"/>
    <w:rsid w:val="007770F1"/>
    <w:rsid w:val="007832AB"/>
    <w:rsid w:val="00783533"/>
    <w:rsid w:val="00783FB1"/>
    <w:rsid w:val="00785CDD"/>
    <w:rsid w:val="00791847"/>
    <w:rsid w:val="007925F0"/>
    <w:rsid w:val="007939B3"/>
    <w:rsid w:val="0079509C"/>
    <w:rsid w:val="00796708"/>
    <w:rsid w:val="007B1B42"/>
    <w:rsid w:val="007C30EB"/>
    <w:rsid w:val="007D0A83"/>
    <w:rsid w:val="007D1290"/>
    <w:rsid w:val="007E063C"/>
    <w:rsid w:val="007E2A4B"/>
    <w:rsid w:val="007E307D"/>
    <w:rsid w:val="007E6A4E"/>
    <w:rsid w:val="007E6C94"/>
    <w:rsid w:val="007E7F86"/>
    <w:rsid w:val="007F1005"/>
    <w:rsid w:val="007F25E0"/>
    <w:rsid w:val="007F5328"/>
    <w:rsid w:val="00804F5A"/>
    <w:rsid w:val="00810C6D"/>
    <w:rsid w:val="00812887"/>
    <w:rsid w:val="00826F21"/>
    <w:rsid w:val="00834CC8"/>
    <w:rsid w:val="00835E00"/>
    <w:rsid w:val="00837113"/>
    <w:rsid w:val="008414E4"/>
    <w:rsid w:val="00843E21"/>
    <w:rsid w:val="0084508E"/>
    <w:rsid w:val="0084777B"/>
    <w:rsid w:val="00857A8A"/>
    <w:rsid w:val="008630EE"/>
    <w:rsid w:val="00864D13"/>
    <w:rsid w:val="00871CD5"/>
    <w:rsid w:val="008728C4"/>
    <w:rsid w:val="00873395"/>
    <w:rsid w:val="008745A2"/>
    <w:rsid w:val="008768A8"/>
    <w:rsid w:val="0088798F"/>
    <w:rsid w:val="00887E4B"/>
    <w:rsid w:val="008915C8"/>
    <w:rsid w:val="008A36CF"/>
    <w:rsid w:val="008A3BC4"/>
    <w:rsid w:val="008B403C"/>
    <w:rsid w:val="008B7983"/>
    <w:rsid w:val="008C2511"/>
    <w:rsid w:val="008D026D"/>
    <w:rsid w:val="008D039F"/>
    <w:rsid w:val="008D23AB"/>
    <w:rsid w:val="008D4B8B"/>
    <w:rsid w:val="008D5A78"/>
    <w:rsid w:val="008E4F1F"/>
    <w:rsid w:val="008E7B64"/>
    <w:rsid w:val="008F07D0"/>
    <w:rsid w:val="008F5DCD"/>
    <w:rsid w:val="00900951"/>
    <w:rsid w:val="009118A6"/>
    <w:rsid w:val="00916909"/>
    <w:rsid w:val="00916EC0"/>
    <w:rsid w:val="00920467"/>
    <w:rsid w:val="00921DE7"/>
    <w:rsid w:val="0093041A"/>
    <w:rsid w:val="00930714"/>
    <w:rsid w:val="00930B8C"/>
    <w:rsid w:val="00931B03"/>
    <w:rsid w:val="009323B9"/>
    <w:rsid w:val="00932DCE"/>
    <w:rsid w:val="0093327E"/>
    <w:rsid w:val="00934028"/>
    <w:rsid w:val="00935382"/>
    <w:rsid w:val="0093760E"/>
    <w:rsid w:val="00946044"/>
    <w:rsid w:val="0094660B"/>
    <w:rsid w:val="00946A33"/>
    <w:rsid w:val="0095260E"/>
    <w:rsid w:val="0095755F"/>
    <w:rsid w:val="009578DD"/>
    <w:rsid w:val="00961124"/>
    <w:rsid w:val="009621B6"/>
    <w:rsid w:val="00974F2D"/>
    <w:rsid w:val="00977524"/>
    <w:rsid w:val="00977E88"/>
    <w:rsid w:val="00984920"/>
    <w:rsid w:val="0099303A"/>
    <w:rsid w:val="0099499F"/>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54BE"/>
    <w:rsid w:val="00AC6D2F"/>
    <w:rsid w:val="00AE2745"/>
    <w:rsid w:val="00AE2F64"/>
    <w:rsid w:val="00AE7DB9"/>
    <w:rsid w:val="00AF001C"/>
    <w:rsid w:val="00AF42CB"/>
    <w:rsid w:val="00AF483F"/>
    <w:rsid w:val="00AF5E07"/>
    <w:rsid w:val="00AF5F06"/>
    <w:rsid w:val="00B00A25"/>
    <w:rsid w:val="00B01BE9"/>
    <w:rsid w:val="00B1422A"/>
    <w:rsid w:val="00B1765C"/>
    <w:rsid w:val="00B213C4"/>
    <w:rsid w:val="00B40C60"/>
    <w:rsid w:val="00B43C01"/>
    <w:rsid w:val="00B479A9"/>
    <w:rsid w:val="00B52EDF"/>
    <w:rsid w:val="00B71188"/>
    <w:rsid w:val="00B76A41"/>
    <w:rsid w:val="00B85EF9"/>
    <w:rsid w:val="00B87D4C"/>
    <w:rsid w:val="00B93646"/>
    <w:rsid w:val="00BA0B38"/>
    <w:rsid w:val="00BA1DBB"/>
    <w:rsid w:val="00BA4510"/>
    <w:rsid w:val="00BA529A"/>
    <w:rsid w:val="00BB612A"/>
    <w:rsid w:val="00BD499F"/>
    <w:rsid w:val="00BD56DE"/>
    <w:rsid w:val="00BE38BC"/>
    <w:rsid w:val="00BF2406"/>
    <w:rsid w:val="00BF53D1"/>
    <w:rsid w:val="00BF6015"/>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0719"/>
    <w:rsid w:val="00C839C6"/>
    <w:rsid w:val="00C850A0"/>
    <w:rsid w:val="00C85A86"/>
    <w:rsid w:val="00C978F0"/>
    <w:rsid w:val="00CA58FE"/>
    <w:rsid w:val="00CB1CB1"/>
    <w:rsid w:val="00CB6BC1"/>
    <w:rsid w:val="00CB6CB8"/>
    <w:rsid w:val="00CC1A68"/>
    <w:rsid w:val="00CC2123"/>
    <w:rsid w:val="00CD2BFD"/>
    <w:rsid w:val="00CE1FC3"/>
    <w:rsid w:val="00CE5AD6"/>
    <w:rsid w:val="00CE617F"/>
    <w:rsid w:val="00CE78EF"/>
    <w:rsid w:val="00CF03FA"/>
    <w:rsid w:val="00CF204F"/>
    <w:rsid w:val="00D048F7"/>
    <w:rsid w:val="00D0517E"/>
    <w:rsid w:val="00D11717"/>
    <w:rsid w:val="00D140FC"/>
    <w:rsid w:val="00D21D8C"/>
    <w:rsid w:val="00D31357"/>
    <w:rsid w:val="00D33220"/>
    <w:rsid w:val="00D334D1"/>
    <w:rsid w:val="00D44C89"/>
    <w:rsid w:val="00D516CD"/>
    <w:rsid w:val="00D668E6"/>
    <w:rsid w:val="00D70670"/>
    <w:rsid w:val="00D74D80"/>
    <w:rsid w:val="00D76624"/>
    <w:rsid w:val="00D82D16"/>
    <w:rsid w:val="00D87570"/>
    <w:rsid w:val="00D91CB9"/>
    <w:rsid w:val="00D9229A"/>
    <w:rsid w:val="00D97989"/>
    <w:rsid w:val="00D97D8D"/>
    <w:rsid w:val="00DA352E"/>
    <w:rsid w:val="00DB6E48"/>
    <w:rsid w:val="00DC7694"/>
    <w:rsid w:val="00DD1BF6"/>
    <w:rsid w:val="00DD2F9B"/>
    <w:rsid w:val="00DE2513"/>
    <w:rsid w:val="00DE26E8"/>
    <w:rsid w:val="00DE2B4B"/>
    <w:rsid w:val="00DE621A"/>
    <w:rsid w:val="00DF6F36"/>
    <w:rsid w:val="00E0084C"/>
    <w:rsid w:val="00E025AB"/>
    <w:rsid w:val="00E02B23"/>
    <w:rsid w:val="00E04A48"/>
    <w:rsid w:val="00E06F40"/>
    <w:rsid w:val="00E07CE8"/>
    <w:rsid w:val="00E11A68"/>
    <w:rsid w:val="00E26A07"/>
    <w:rsid w:val="00E32595"/>
    <w:rsid w:val="00E37CFD"/>
    <w:rsid w:val="00E41A26"/>
    <w:rsid w:val="00E45499"/>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57DA"/>
    <w:rsid w:val="00ED66BC"/>
    <w:rsid w:val="00EF233A"/>
    <w:rsid w:val="00EF303E"/>
    <w:rsid w:val="00EF3A40"/>
    <w:rsid w:val="00EF7F78"/>
    <w:rsid w:val="00F01B08"/>
    <w:rsid w:val="00F01C4D"/>
    <w:rsid w:val="00F053FA"/>
    <w:rsid w:val="00F10C97"/>
    <w:rsid w:val="00F11C71"/>
    <w:rsid w:val="00F16019"/>
    <w:rsid w:val="00F20E68"/>
    <w:rsid w:val="00F22093"/>
    <w:rsid w:val="00F221CC"/>
    <w:rsid w:val="00F236DF"/>
    <w:rsid w:val="00F31A3D"/>
    <w:rsid w:val="00F43AD5"/>
    <w:rsid w:val="00F4402E"/>
    <w:rsid w:val="00F56DD0"/>
    <w:rsid w:val="00F6491C"/>
    <w:rsid w:val="00F6701D"/>
    <w:rsid w:val="00F67BBB"/>
    <w:rsid w:val="00F87D92"/>
    <w:rsid w:val="00F90AA7"/>
    <w:rsid w:val="00F92498"/>
    <w:rsid w:val="00F945F3"/>
    <w:rsid w:val="00F9496B"/>
    <w:rsid w:val="00F970C9"/>
    <w:rsid w:val="00FA06A8"/>
    <w:rsid w:val="00FA3DF5"/>
    <w:rsid w:val="00FA741F"/>
    <w:rsid w:val="00FB4E07"/>
    <w:rsid w:val="00FB755A"/>
    <w:rsid w:val="00FC60A2"/>
    <w:rsid w:val="00FD1871"/>
    <w:rsid w:val="00FD3110"/>
    <w:rsid w:val="00FE2FC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9"/>
    <o:shapelayout v:ext="edit">
      <o:idmap v:ext="edit" data="1"/>
    </o:shapelayout>
  </w:shapeDefaults>
  <w:decimalSymbol w:val="."/>
  <w:listSeparator w:val=","/>
  <w14:docId w14:val="1D60341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0A3408"/>
    <w:rPr>
      <w:sz w:val="16"/>
      <w:szCs w:val="16"/>
    </w:rPr>
  </w:style>
  <w:style w:type="paragraph" w:styleId="CommentText">
    <w:name w:val="annotation text"/>
    <w:basedOn w:val="Normal"/>
    <w:link w:val="CommentTextChar"/>
    <w:uiPriority w:val="99"/>
    <w:semiHidden/>
    <w:unhideWhenUsed/>
    <w:rsid w:val="000A3408"/>
    <w:pPr>
      <w:spacing w:line="240" w:lineRule="auto"/>
    </w:pPr>
    <w:rPr>
      <w:szCs w:val="20"/>
    </w:rPr>
  </w:style>
  <w:style w:type="character" w:customStyle="1" w:styleId="CommentTextChar">
    <w:name w:val="Comment Text Char"/>
    <w:basedOn w:val="DefaultParagraphFont"/>
    <w:link w:val="CommentText"/>
    <w:uiPriority w:val="99"/>
    <w:semiHidden/>
    <w:rsid w:val="000A3408"/>
    <w:rPr>
      <w:szCs w:val="20"/>
    </w:rPr>
  </w:style>
  <w:style w:type="paragraph" w:styleId="CommentSubject">
    <w:name w:val="annotation subject"/>
    <w:basedOn w:val="CommentText"/>
    <w:next w:val="CommentText"/>
    <w:link w:val="CommentSubjectChar"/>
    <w:uiPriority w:val="99"/>
    <w:semiHidden/>
    <w:unhideWhenUsed/>
    <w:rsid w:val="005871D4"/>
    <w:rPr>
      <w:b/>
      <w:bCs/>
    </w:rPr>
  </w:style>
  <w:style w:type="character" w:customStyle="1" w:styleId="CommentSubjectChar">
    <w:name w:val="Comment Subject Char"/>
    <w:basedOn w:val="CommentTextChar"/>
    <w:link w:val="CommentSubject"/>
    <w:uiPriority w:val="99"/>
    <w:semiHidden/>
    <w:rsid w:val="005871D4"/>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338601">
      <w:bodyDiv w:val="1"/>
      <w:marLeft w:val="0"/>
      <w:marRight w:val="0"/>
      <w:marTop w:val="0"/>
      <w:marBottom w:val="0"/>
      <w:divBdr>
        <w:top w:val="none" w:sz="0" w:space="0" w:color="auto"/>
        <w:left w:val="none" w:sz="0" w:space="0" w:color="auto"/>
        <w:bottom w:val="none" w:sz="0" w:space="0" w:color="auto"/>
        <w:right w:val="none" w:sz="0" w:space="0" w:color="auto"/>
      </w:divBdr>
    </w:div>
    <w:div w:id="1552038555">
      <w:bodyDiv w:val="1"/>
      <w:marLeft w:val="0"/>
      <w:marRight w:val="0"/>
      <w:marTop w:val="0"/>
      <w:marBottom w:val="0"/>
      <w:divBdr>
        <w:top w:val="none" w:sz="0" w:space="0" w:color="auto"/>
        <w:left w:val="none" w:sz="0" w:space="0" w:color="auto"/>
        <w:bottom w:val="none" w:sz="0" w:space="0" w:color="auto"/>
        <w:right w:val="none" w:sz="0" w:space="0" w:color="auto"/>
      </w:divBdr>
    </w:div>
    <w:div w:id="182415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4084B84E30A347788D15221652AC7ABC"/>
        <w:category>
          <w:name w:val="General"/>
          <w:gallery w:val="placeholder"/>
        </w:category>
        <w:types>
          <w:type w:val="bbPlcHdr"/>
        </w:types>
        <w:behaviors>
          <w:behavior w:val="content"/>
        </w:behaviors>
        <w:guid w:val="{61B424DF-235B-441E-9B8F-4DBCFCBDA071}"/>
      </w:docPartPr>
      <w:docPartBody>
        <w:p w:rsidR="00EE582E" w:rsidRDefault="00543471" w:rsidP="00543471">
          <w:pPr>
            <w:pStyle w:val="4084B84E30A347788D15221652AC7ABC"/>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D93"/>
    <w:rsid w:val="00347D16"/>
    <w:rsid w:val="003E0149"/>
    <w:rsid w:val="003E3860"/>
    <w:rsid w:val="00543471"/>
    <w:rsid w:val="00755FBF"/>
    <w:rsid w:val="00BF6015"/>
    <w:rsid w:val="00C80719"/>
    <w:rsid w:val="00CA72D3"/>
    <w:rsid w:val="00D21A9F"/>
    <w:rsid w:val="00E032D9"/>
    <w:rsid w:val="00EE58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3471"/>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4084B84E30A347788D15221652AC7ABC">
    <w:name w:val="4084B84E30A347788D15221652AC7ABC"/>
    <w:rsid w:val="005434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E3C2984C-3975-429A-8DD3-BC4B4F63B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6FD3B4-E5FF-44D0-A85D-1656AEB7AF7B}">
  <ds:schemaRefs>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http://purl.org/dc/dcmitype/"/>
    <ds:schemaRef ds:uri="http://schemas.microsoft.com/office/2006/documentManagement/types"/>
    <ds:schemaRef ds:uri="1c567317-0c4d-4a62-8516-c22afd1b5354"/>
    <ds:schemaRef ds:uri="a0509f21-ed56-4150-9955-96be669e5f2d"/>
    <ds:schemaRef ds:uri="http://www.w3.org/XML/1998/namespace"/>
    <ds:schemaRef ds:uri="http://purl.org/dc/terms/"/>
  </ds:schemaRefs>
</ds:datastoreItem>
</file>

<file path=customXml/itemProps4.xml><?xml version="1.0" encoding="utf-8"?>
<ds:datastoreItem xmlns:ds="http://schemas.openxmlformats.org/officeDocument/2006/customXml" ds:itemID="{582E06F9-D41D-4B85-AF99-DC058E8D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8</Pages>
  <Words>2166</Words>
  <Characters>12349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22</cp:revision>
  <cp:lastPrinted>2018-10-22T22:41:00Z</cp:lastPrinted>
  <dcterms:created xsi:type="dcterms:W3CDTF">2019-10-20T23:20:00Z</dcterms:created>
  <dcterms:modified xsi:type="dcterms:W3CDTF">2026-01-09T02:08:00Z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2026-01-07T01:57:11Z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12a768f4-f696-42d9-992b-5089f18ce074</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