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1F2F86D" w:rsidR="00BD499F" w:rsidRPr="004C23F4" w:rsidRDefault="00A16A99" w:rsidP="00B40C60">
          <w:pPr>
            <w:pStyle w:val="Heading1"/>
            <w:jc w:val="center"/>
            <w:rPr>
              <w:rFonts w:ascii="Arial" w:hAnsi="Arial" w:cs="Arial"/>
            </w:rPr>
          </w:pPr>
          <w:r w:rsidRPr="00A16A99">
            <w:rPr>
              <w:rFonts w:ascii="Arial" w:hAnsi="Arial" w:cs="Arial"/>
            </w:rPr>
            <w:t>Vinyl cyclohexene dioxide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189D6E38" w14:textId="77777777" w:rsidTr="00E31672">
        <w:trPr>
          <w:cantSplit/>
          <w:tblHeader/>
        </w:trPr>
        <w:tc>
          <w:tcPr>
            <w:tcW w:w="3980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3EDBFD9E" w14:textId="2521675B" w:rsidR="00F43AD5" w:rsidRPr="00717D45" w:rsidRDefault="00A16A99" w:rsidP="00B76A41">
            <w:pPr>
              <w:pStyle w:val="Tablefont"/>
            </w:pPr>
            <w:r w:rsidRPr="00A16A99">
              <w:t>106-87-6</w:t>
            </w:r>
          </w:p>
        </w:tc>
      </w:tr>
      <w:tr w:rsidR="00F43AD5" w:rsidRPr="004C23F4" w14:paraId="562A9F51" w14:textId="77777777" w:rsidTr="00E31672">
        <w:trPr>
          <w:cantSplit/>
        </w:trPr>
        <w:tc>
          <w:tcPr>
            <w:tcW w:w="3980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32648AB9" w14:textId="0DCAD2BC" w:rsidR="00F43AD5" w:rsidRPr="00717D45" w:rsidRDefault="00E57F73" w:rsidP="00B76A41">
            <w:pPr>
              <w:pStyle w:val="Tablefont"/>
            </w:pPr>
            <w:r w:rsidRPr="00246415">
              <w:t>4-Vinylcyclohexene diepoxide</w:t>
            </w:r>
            <w:r>
              <w:t xml:space="preserve">, </w:t>
            </w:r>
            <w:r w:rsidR="00E31672">
              <w:br/>
            </w:r>
            <w:r w:rsidR="00A16A99">
              <w:t xml:space="preserve">1,2-epoxy-4-(epoxyethyl)-cyclohexane, </w:t>
            </w:r>
            <w:r w:rsidR="00E31672">
              <w:br/>
            </w:r>
            <w:r w:rsidR="00A16A99">
              <w:t>3-oxiranyl-7-</w:t>
            </w:r>
            <w:r w:rsidR="00B34B45">
              <w:t>oxabicyclo[4.1,0] heptane, VCD</w:t>
            </w:r>
          </w:p>
        </w:tc>
      </w:tr>
      <w:tr w:rsidR="00F43AD5" w:rsidRPr="004C23F4" w14:paraId="6EE54A08" w14:textId="77777777" w:rsidTr="00E31672">
        <w:trPr>
          <w:cantSplit/>
        </w:trPr>
        <w:tc>
          <w:tcPr>
            <w:tcW w:w="3980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69369B00" w14:textId="608D57EC" w:rsidR="00F43AD5" w:rsidRPr="00717D45" w:rsidRDefault="00B34B45" w:rsidP="00B76A41">
            <w:pPr>
              <w:pStyle w:val="Tablefont"/>
            </w:pPr>
            <w:r>
              <w:t>C</w:t>
            </w:r>
            <w:r w:rsidRPr="00B34B45">
              <w:rPr>
                <w:vertAlign w:val="subscript"/>
              </w:rPr>
              <w:t>8</w:t>
            </w:r>
            <w:r>
              <w:t>H</w:t>
            </w:r>
            <w:r w:rsidRPr="00B34B45">
              <w:rPr>
                <w:vertAlign w:val="subscript"/>
              </w:rPr>
              <w:t>12</w:t>
            </w:r>
            <w:r>
              <w:t>O</w:t>
            </w:r>
            <w:r w:rsidRPr="00B34B45">
              <w:rPr>
                <w:vertAlign w:val="subscript"/>
              </w:rPr>
              <w:t>2</w:t>
            </w:r>
          </w:p>
        </w:tc>
      </w:tr>
    </w:tbl>
    <w:p w14:paraId="71D72173" w14:textId="1D9157E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56F4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ABB23B0" w:rsidR="002C7AFE" w:rsidRPr="00D13A6E" w:rsidRDefault="00D13A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256F46">
              <w:rPr>
                <w:b/>
              </w:rPr>
              <w:t>0</w:t>
            </w:r>
            <w:r>
              <w:rPr>
                <w:b/>
              </w:rPr>
              <w:t xml:space="preserve"> ppm (57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6DF0EBF" w:rsidR="00037E52" w:rsidRPr="00EB3D1B" w:rsidRDefault="00D13A6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2, 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25A58A1" w:rsidR="00155999" w:rsidRPr="00EB3D1B" w:rsidRDefault="00155999" w:rsidP="00037E52">
            <w:pPr>
              <w:pStyle w:val="Tablefont"/>
              <w:rPr>
                <w:b/>
              </w:rPr>
            </w:pPr>
            <w:r w:rsidRPr="00FE1338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417A1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BBD8A70" w:rsidR="006639B4" w:rsidRDefault="00D13A6E" w:rsidP="000C139A">
      <w:r>
        <w:rPr>
          <w:rFonts w:cs="Arial"/>
        </w:rPr>
        <w:t>A TWA of 1</w:t>
      </w:r>
      <w:r w:rsidR="00256F46">
        <w:rPr>
          <w:rFonts w:cs="Arial"/>
        </w:rPr>
        <w:t>0</w:t>
      </w:r>
      <w:r>
        <w:rPr>
          <w:rFonts w:cs="Arial"/>
        </w:rPr>
        <w:t xml:space="preserve"> ppm (57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</w:t>
      </w:r>
      <w:r w:rsidRPr="00D13A6E">
        <w:t xml:space="preserve"> </w:t>
      </w:r>
      <w:r>
        <w:t>minimise the potential for adverse effects on male and female reproductive tracts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5C3274" w14:textId="5EC284A4" w:rsidR="00BA4D9B" w:rsidRDefault="00803FB5" w:rsidP="006639B4">
      <w:pPr>
        <w:rPr>
          <w:rFonts w:cs="Arial"/>
        </w:rPr>
      </w:pPr>
      <w:r w:rsidRPr="00001D37">
        <w:rPr>
          <w:rFonts w:cs="Arial"/>
        </w:rPr>
        <w:t xml:space="preserve">No specific Australian use, import, or manufacturing information </w:t>
      </w:r>
      <w:r w:rsidR="00080E79" w:rsidRPr="00001D37">
        <w:rPr>
          <w:rFonts w:cs="Arial"/>
        </w:rPr>
        <w:t xml:space="preserve">for vinyl cyclohexane dioxide (VCD) </w:t>
      </w:r>
      <w:r w:rsidR="00001D37">
        <w:rPr>
          <w:rFonts w:cs="Arial"/>
        </w:rPr>
        <w:t xml:space="preserve">is </w:t>
      </w:r>
      <w:r w:rsidRPr="00001D37">
        <w:rPr>
          <w:rFonts w:cs="Arial"/>
        </w:rPr>
        <w:t>identified</w:t>
      </w:r>
      <w:r w:rsidR="00256F46">
        <w:rPr>
          <w:rFonts w:cs="Arial"/>
        </w:rPr>
        <w:t xml:space="preserve"> (NICNAS, 2016)</w:t>
      </w:r>
      <w:r w:rsidR="00E31672">
        <w:rPr>
          <w:rFonts w:cs="Arial"/>
        </w:rPr>
        <w:t>.</w:t>
      </w:r>
      <w:r w:rsidR="00080E79" w:rsidRPr="00001D37">
        <w:rPr>
          <w:rFonts w:cs="Arial"/>
        </w:rPr>
        <w:t xml:space="preserve"> </w:t>
      </w:r>
      <w:r w:rsidR="00E31672">
        <w:rPr>
          <w:rFonts w:cs="Arial"/>
        </w:rPr>
        <w:t>I</w:t>
      </w:r>
      <w:r w:rsidR="00080E79" w:rsidRPr="00001D37">
        <w:rPr>
          <w:rFonts w:cs="Arial"/>
        </w:rPr>
        <w:t>nternational use includes as a reactive diluent for other diepoxides</w:t>
      </w:r>
      <w:r w:rsidR="00E31672">
        <w:rPr>
          <w:rFonts w:cs="Arial"/>
        </w:rPr>
        <w:t>,</w:t>
      </w:r>
      <w:r w:rsidR="00080E79" w:rsidRPr="00001D37">
        <w:rPr>
          <w:rFonts w:cs="Arial"/>
        </w:rPr>
        <w:t xml:space="preserve"> producing epoxy resins for coatings, adhesives and inks and formulating encapsulants for various electrical applications. </w:t>
      </w:r>
    </w:p>
    <w:p w14:paraId="3AF6C047" w14:textId="0F291011" w:rsidR="006639B4" w:rsidRPr="00001D37" w:rsidRDefault="00BA4D9B" w:rsidP="006639B4">
      <w:pPr>
        <w:rPr>
          <w:rFonts w:cs="Arial"/>
        </w:rPr>
      </w:pPr>
      <w:r>
        <w:rPr>
          <w:rFonts w:cs="Arial"/>
        </w:rPr>
        <w:t>The c</w:t>
      </w:r>
      <w:r w:rsidR="00080E79" w:rsidRPr="00001D37">
        <w:rPr>
          <w:rFonts w:cs="Arial"/>
        </w:rPr>
        <w:t xml:space="preserve">ritical effects </w:t>
      </w:r>
      <w:r w:rsidR="00001D37">
        <w:rPr>
          <w:rFonts w:cs="Arial"/>
        </w:rPr>
        <w:t>of</w:t>
      </w:r>
      <w:r w:rsidR="00080E79" w:rsidRPr="00001D37">
        <w:rPr>
          <w:rFonts w:cs="Arial"/>
        </w:rPr>
        <w:t xml:space="preserve"> exposure are </w:t>
      </w:r>
      <w:r w:rsidR="00080E79" w:rsidRPr="00001D37">
        <w:t>adverse effects on male and female reproductive tracts</w:t>
      </w:r>
      <w:r w:rsidR="00CE231C">
        <w:t xml:space="preserve">. Carcinogenic potential is </w:t>
      </w:r>
      <w:r w:rsidR="0085353C">
        <w:t>observed</w:t>
      </w:r>
      <w:r w:rsidR="00CE231C">
        <w:t xml:space="preserve"> in animal studies but its relevance in humans </w:t>
      </w:r>
      <w:r w:rsidR="00CE231C" w:rsidRPr="00223CBA">
        <w:rPr>
          <w:i/>
        </w:rPr>
        <w:t>via</w:t>
      </w:r>
      <w:r w:rsidR="00CE231C">
        <w:t xml:space="preserve"> inhalation is unknown</w:t>
      </w:r>
      <w:r w:rsidR="00080E79" w:rsidRPr="00001D37">
        <w:t>.</w:t>
      </w:r>
    </w:p>
    <w:p w14:paraId="0B009D26" w14:textId="733D2EFE" w:rsidR="003E7388" w:rsidRPr="00001D37" w:rsidRDefault="00080E79" w:rsidP="006639B4">
      <w:pPr>
        <w:rPr>
          <w:rFonts w:cs="Arial"/>
        </w:rPr>
      </w:pPr>
      <w:r w:rsidRPr="00001D37">
        <w:t xml:space="preserve">No relevant data </w:t>
      </w:r>
      <w:r w:rsidR="00E31672">
        <w:t>are</w:t>
      </w:r>
      <w:r w:rsidRPr="00001D37">
        <w:t xml:space="preserve"> identified in humans. </w:t>
      </w:r>
      <w:r w:rsidR="002F2C3B" w:rsidRPr="00001D37">
        <w:t>The target organs of VCD in rat and mouse are those of the reproductive system. VCD is</w:t>
      </w:r>
      <w:r w:rsidRPr="00001D37">
        <w:t xml:space="preserve"> carcinogenic in rodents</w:t>
      </w:r>
      <w:r w:rsidR="002F2C3B" w:rsidRPr="00001D37">
        <w:t xml:space="preserve">. </w:t>
      </w:r>
      <w:r w:rsidRPr="00001D37">
        <w:t xml:space="preserve">Following </w:t>
      </w:r>
      <w:r w:rsidR="00476C78" w:rsidRPr="00001D37">
        <w:t>chronic dermal application</w:t>
      </w:r>
      <w:r w:rsidR="00E31672">
        <w:t>,</w:t>
      </w:r>
      <w:r w:rsidR="00476C78" w:rsidRPr="00001D37">
        <w:t xml:space="preserve"> </w:t>
      </w:r>
      <w:r w:rsidRPr="00001D37">
        <w:t>VCD</w:t>
      </w:r>
      <w:r w:rsidR="00476C78" w:rsidRPr="00001D37">
        <w:t xml:space="preserve"> induce</w:t>
      </w:r>
      <w:r w:rsidR="00E31672">
        <w:t>s</w:t>
      </w:r>
      <w:r w:rsidR="00476C78" w:rsidRPr="00001D37">
        <w:t xml:space="preserve"> benign and malignant skin tumours in male and female rats and mice. It </w:t>
      </w:r>
      <w:r w:rsidRPr="00001D37">
        <w:t>also</w:t>
      </w:r>
      <w:r w:rsidR="00476C78" w:rsidRPr="00001D37">
        <w:t xml:space="preserve"> induce</w:t>
      </w:r>
      <w:r w:rsidR="00E31672">
        <w:t>s</w:t>
      </w:r>
      <w:r w:rsidR="00476C78" w:rsidRPr="00001D37">
        <w:t xml:space="preserve"> ovarian and lung tumours in female mice</w:t>
      </w:r>
      <w:r w:rsidR="002F2C3B" w:rsidRPr="00001D37">
        <w:t xml:space="preserve"> (ACGIH, 2018; NICNAS, 2016)</w:t>
      </w:r>
      <w:r w:rsidRPr="00001D37">
        <w:t xml:space="preserve">. Mutagenicity is demonstrated in both </w:t>
      </w:r>
      <w:r w:rsidRPr="00001D37">
        <w:rPr>
          <w:i/>
        </w:rPr>
        <w:t>in vitro</w:t>
      </w:r>
      <w:r w:rsidRPr="00001D37">
        <w:t xml:space="preserve"> and </w:t>
      </w:r>
      <w:r w:rsidRPr="00001D37">
        <w:rPr>
          <w:i/>
        </w:rPr>
        <w:t>in vivo</w:t>
      </w:r>
      <w:r w:rsidRPr="00001D37">
        <w:t>. The e</w:t>
      </w:r>
      <w:r w:rsidR="003E7388" w:rsidRPr="00001D37">
        <w:rPr>
          <w:rFonts w:cs="Arial"/>
        </w:rPr>
        <w:t xml:space="preserve">vidence in </w:t>
      </w:r>
      <w:r w:rsidRPr="00001D37">
        <w:rPr>
          <w:rFonts w:cs="Arial"/>
        </w:rPr>
        <w:t>rodents</w:t>
      </w:r>
      <w:r w:rsidR="003E7388" w:rsidRPr="00001D37">
        <w:rPr>
          <w:rFonts w:cs="Arial"/>
        </w:rPr>
        <w:t xml:space="preserve"> suggest that carcinogenicity may act through a m</w:t>
      </w:r>
      <w:r w:rsidRPr="00001D37">
        <w:rPr>
          <w:rFonts w:cs="Arial"/>
        </w:rPr>
        <w:t>utagenic mechanism and DFG (1999</w:t>
      </w:r>
      <w:r w:rsidR="003E7388" w:rsidRPr="00001D37">
        <w:rPr>
          <w:rFonts w:cs="Arial"/>
        </w:rPr>
        <w:t>) note it is a proven genotoxic carcinogen</w:t>
      </w:r>
      <w:r w:rsidR="002F2C3B" w:rsidRPr="00001D37">
        <w:rPr>
          <w:rFonts w:cs="Arial"/>
        </w:rPr>
        <w:t xml:space="preserve"> (ACGIH, 2018; HCOTN, 2008)</w:t>
      </w:r>
      <w:r w:rsidR="003E7388" w:rsidRPr="00001D37">
        <w:rPr>
          <w:rFonts w:cs="Arial"/>
        </w:rPr>
        <w:t>. However, the</w:t>
      </w:r>
      <w:r w:rsidRPr="00001D37">
        <w:rPr>
          <w:rFonts w:cs="Arial"/>
        </w:rPr>
        <w:t xml:space="preserve"> relevance of the</w:t>
      </w:r>
      <w:r w:rsidR="003E7388" w:rsidRPr="00001D37">
        <w:rPr>
          <w:rFonts w:cs="Arial"/>
        </w:rPr>
        <w:t xml:space="preserve"> cancers reported in animals for humans </w:t>
      </w:r>
      <w:r w:rsidRPr="00001D37">
        <w:rPr>
          <w:rFonts w:cs="Arial"/>
        </w:rPr>
        <w:t xml:space="preserve">is unclear </w:t>
      </w:r>
      <w:r w:rsidR="003E7388" w:rsidRPr="00001D37">
        <w:rPr>
          <w:rFonts w:cs="Arial"/>
        </w:rPr>
        <w:t xml:space="preserve">and there </w:t>
      </w:r>
      <w:r w:rsidR="00223CBA">
        <w:rPr>
          <w:rFonts w:cs="Arial"/>
        </w:rPr>
        <w:t>is</w:t>
      </w:r>
      <w:r w:rsidR="003E7388" w:rsidRPr="00001D37">
        <w:rPr>
          <w:rFonts w:cs="Arial"/>
        </w:rPr>
        <w:t xml:space="preserve"> a lack of data available to confirm this effect in humans through the inhalational route. </w:t>
      </w:r>
    </w:p>
    <w:p w14:paraId="6652F85D" w14:textId="753F0DC6" w:rsidR="00D13A6E" w:rsidRPr="004C23F4" w:rsidRDefault="00256F46" w:rsidP="00D13A6E">
      <w:pPr>
        <w:rPr>
          <w:rFonts w:cs="Arial"/>
        </w:rPr>
      </w:pPr>
      <w:r w:rsidRPr="00256F46">
        <w:rPr>
          <w:rFonts w:cs="Arial"/>
        </w:rPr>
        <w:t>There is lack of evidence that this chemical is used or generated in Australian workplaces</w:t>
      </w:r>
      <w:r>
        <w:rPr>
          <w:rFonts w:cs="Arial"/>
        </w:rPr>
        <w:t xml:space="preserve">. Although, there is </w:t>
      </w:r>
      <w:r w:rsidR="00CE231C">
        <w:rPr>
          <w:rFonts w:cs="Arial"/>
        </w:rPr>
        <w:t>evidence for</w:t>
      </w:r>
      <w:r w:rsidR="00D13A6E">
        <w:rPr>
          <w:rFonts w:cs="Arial"/>
        </w:rPr>
        <w:t xml:space="preserve"> potential for carcinogenic outcomes in rodents, </w:t>
      </w:r>
      <w:r w:rsidR="00CE231C">
        <w:rPr>
          <w:rFonts w:cs="Arial"/>
        </w:rPr>
        <w:t xml:space="preserve">there is no evidence of carcinogenic potential in humans </w:t>
      </w:r>
      <w:r w:rsidR="00993D6C">
        <w:rPr>
          <w:rFonts w:cs="Arial"/>
        </w:rPr>
        <w:t xml:space="preserve">by </w:t>
      </w:r>
      <w:r w:rsidR="008611FB">
        <w:rPr>
          <w:rFonts w:cs="Arial"/>
        </w:rPr>
        <w:t>inhalation</w:t>
      </w:r>
      <w:r w:rsidR="00CE231C">
        <w:rPr>
          <w:rFonts w:cs="Arial"/>
        </w:rPr>
        <w:t xml:space="preserve">. </w:t>
      </w:r>
      <w:r w:rsidR="00CE231C">
        <w:t>The current SWA</w:t>
      </w:r>
      <w:r w:rsidR="00D13A6E">
        <w:t xml:space="preserve"> TWA of 1</w:t>
      </w:r>
      <w:r>
        <w:t>0</w:t>
      </w:r>
      <w:r w:rsidR="00D13A6E">
        <w:t xml:space="preserve"> ppm (57</w:t>
      </w:r>
      <w:r w:rsidR="00E31672">
        <w:t> </w:t>
      </w:r>
      <w:r w:rsidR="00D13A6E">
        <w:t>mg/m</w:t>
      </w:r>
      <w:r w:rsidR="00D13A6E">
        <w:rPr>
          <w:vertAlign w:val="superscript"/>
        </w:rPr>
        <w:t>3</w:t>
      </w:r>
      <w:r w:rsidR="00D13A6E">
        <w:t xml:space="preserve">) is recommended </w:t>
      </w:r>
      <w:r w:rsidR="00CE231C">
        <w:t>to be retained to protect for adverse effects in exposed workers</w:t>
      </w:r>
      <w:r w:rsidR="00D13A6E">
        <w:t>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3CE7EB4B" w:rsidR="008E4F1F" w:rsidRPr="002F2C3B" w:rsidRDefault="002F2C3B" w:rsidP="008E4F1F">
      <w:pPr>
        <w:rPr>
          <w:rFonts w:cs="Arial"/>
        </w:rPr>
      </w:pPr>
      <w:r w:rsidRPr="002F2C3B">
        <w:rPr>
          <w:rFonts w:cs="Arial"/>
        </w:rPr>
        <w:t>C</w:t>
      </w:r>
      <w:r w:rsidR="008E4F1F" w:rsidRPr="002F2C3B">
        <w:rPr>
          <w:rFonts w:cs="Arial"/>
        </w:rPr>
        <w:t xml:space="preserve">lassified as a </w:t>
      </w:r>
      <w:r w:rsidR="00001D37" w:rsidRPr="002F2C3B">
        <w:rPr>
          <w:rFonts w:cs="Arial"/>
        </w:rPr>
        <w:t>category 2</w:t>
      </w:r>
      <w:r w:rsidR="00001D37">
        <w:rPr>
          <w:rFonts w:cs="Arial"/>
        </w:rPr>
        <w:t xml:space="preserve"> </w:t>
      </w:r>
      <w:r w:rsidR="008E4F1F" w:rsidRPr="002F2C3B">
        <w:rPr>
          <w:rFonts w:cs="Arial"/>
        </w:rPr>
        <w:t>carcinogen</w:t>
      </w:r>
      <w:r w:rsidRPr="002F2C3B">
        <w:rPr>
          <w:rFonts w:cs="Arial"/>
        </w:rPr>
        <w:t xml:space="preserve"> </w:t>
      </w:r>
      <w:r w:rsidR="008E4F1F" w:rsidRPr="002F2C3B">
        <w:rPr>
          <w:rFonts w:cs="Arial"/>
        </w:rPr>
        <w:t>according to the Globally Harmonized System of</w:t>
      </w:r>
      <w:r w:rsidR="00155999" w:rsidRPr="002F2C3B">
        <w:rPr>
          <w:rFonts w:cs="Arial"/>
        </w:rPr>
        <w:t xml:space="preserve"> Classification and Labelling of</w:t>
      </w:r>
      <w:r w:rsidR="008E4F1F" w:rsidRPr="002F2C3B">
        <w:rPr>
          <w:rFonts w:cs="Arial"/>
        </w:rPr>
        <w:t xml:space="preserve"> Chemicals (GHS). </w:t>
      </w:r>
      <w:r w:rsidR="00F64153">
        <w:rPr>
          <w:rFonts w:cs="Arial"/>
        </w:rPr>
        <w:t>Given the</w:t>
      </w:r>
      <w:r w:rsidR="00F64153" w:rsidRPr="00F64153">
        <w:t xml:space="preserve"> </w:t>
      </w:r>
      <w:r w:rsidR="00F64153" w:rsidRPr="00F64153">
        <w:rPr>
          <w:rFonts w:cs="Arial"/>
        </w:rPr>
        <w:t>evidence in experimental animals for carcinogenicity</w:t>
      </w:r>
      <w:r w:rsidR="00F64153">
        <w:rPr>
          <w:rFonts w:cs="Arial"/>
        </w:rPr>
        <w:t xml:space="preserve"> and the mutagenic potential, a review of this classification is recommended. </w:t>
      </w:r>
    </w:p>
    <w:p w14:paraId="03916CCC" w14:textId="77777777" w:rsidR="008E4F1F" w:rsidRPr="002F2C3B" w:rsidRDefault="008E4F1F" w:rsidP="008E4F1F">
      <w:pPr>
        <w:rPr>
          <w:rFonts w:cs="Arial"/>
        </w:rPr>
      </w:pPr>
      <w:r w:rsidRPr="002F2C3B">
        <w:rPr>
          <w:rFonts w:cs="Arial"/>
        </w:rPr>
        <w:t xml:space="preserve">Not classified as a skin </w:t>
      </w:r>
      <w:r w:rsidR="00155999" w:rsidRPr="002F2C3B">
        <w:rPr>
          <w:rFonts w:cs="Arial"/>
        </w:rPr>
        <w:t xml:space="preserve">sensitiser </w:t>
      </w:r>
      <w:r w:rsidRPr="002F2C3B">
        <w:rPr>
          <w:rFonts w:cs="Arial"/>
        </w:rPr>
        <w:t>or respiratory sensitiser according to the GHS.</w:t>
      </w:r>
    </w:p>
    <w:p w14:paraId="7D0772D2" w14:textId="32503E60" w:rsidR="004529F0" w:rsidRPr="004C23F4" w:rsidRDefault="002F2C3B" w:rsidP="008E4F1F">
      <w:pPr>
        <w:rPr>
          <w:rFonts w:cs="Arial"/>
        </w:rPr>
      </w:pPr>
      <w:r w:rsidRPr="002F2C3B">
        <w:rPr>
          <w:rFonts w:cs="Arial"/>
        </w:rPr>
        <w:t>A</w:t>
      </w:r>
      <w:r w:rsidR="008E4F1F" w:rsidRPr="002F2C3B">
        <w:rPr>
          <w:rFonts w:cs="Arial"/>
        </w:rPr>
        <w:t xml:space="preserve"> skin notation</w:t>
      </w:r>
      <w:r w:rsidRPr="002F2C3B">
        <w:rPr>
          <w:rFonts w:cs="Arial"/>
        </w:rPr>
        <w:t xml:space="preserve"> is recommended based on dermal uptake evidence and severity of effects in animals</w:t>
      </w:r>
      <w:r w:rsidR="008E4F1F" w:rsidRPr="002F2C3B">
        <w:rPr>
          <w:rFonts w:cs="Arial"/>
        </w:rPr>
        <w:t>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49324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49324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28867F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34B4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34B45" w:rsidRPr="00B34B45">
                  <w:t>TWA: 10 ppm (57 mg/m</w:t>
                </w:r>
                <w:r w:rsidR="00B34B45" w:rsidRPr="00D217AB">
                  <w:rPr>
                    <w:vertAlign w:val="superscript"/>
                  </w:rPr>
                  <w:t>3</w:t>
                </w:r>
                <w:r w:rsidR="00B34B45" w:rsidRPr="00B34B45">
                  <w:t>)</w:t>
                </w:r>
              </w:sdtContent>
            </w:sdt>
          </w:p>
        </w:tc>
      </w:tr>
      <w:tr w:rsidR="00C978F0" w:rsidRPr="00DA352E" w14:paraId="26087DDB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49324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0D40B21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06BE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D37E1">
                  <w:t>TLV-TWA: 0.1 ppm (0.57 mg/m</w:t>
                </w:r>
                <w:r w:rsidR="00ED37E1" w:rsidRPr="00D217AB">
                  <w:rPr>
                    <w:vertAlign w:val="superscript"/>
                  </w:rPr>
                  <w:t>3</w:t>
                </w:r>
                <w:r w:rsidR="00ED37E1">
                  <w:t>)</w:t>
                </w:r>
              </w:sdtContent>
            </w:sdt>
          </w:p>
        </w:tc>
      </w:tr>
      <w:tr w:rsidR="00C978F0" w:rsidRPr="00DA352E" w14:paraId="418D532D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76278C46" w14:textId="77777777" w:rsidR="00C978F0" w:rsidRDefault="00D217AB" w:rsidP="003365A5">
            <w:pPr>
              <w:pStyle w:val="Tabletextprimarysource"/>
            </w:pPr>
            <w:r>
              <w:t>TLV-TWA recommended to minimise the potential for adverse effects on male and female reproductive tracts and cancer, reported among experimental animals</w:t>
            </w:r>
            <w:r w:rsidR="00F90AED">
              <w:t>.</w:t>
            </w:r>
          </w:p>
          <w:p w14:paraId="645238CF" w14:textId="67AC7862" w:rsidR="00F90AED" w:rsidRDefault="00F90AED" w:rsidP="003365A5">
            <w:pPr>
              <w:pStyle w:val="Tabletextprimarysource"/>
            </w:pPr>
            <w:r>
              <w:t>Summary of data</w:t>
            </w:r>
            <w:r w:rsidR="00223CBA">
              <w:t>:</w:t>
            </w:r>
          </w:p>
          <w:p w14:paraId="308BE27E" w14:textId="5E932BB4" w:rsidR="00E31672" w:rsidRDefault="008E2F9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</w:t>
            </w:r>
            <w:r w:rsidR="00F90AED">
              <w:t>irect-acting mutagen</w:t>
            </w:r>
            <w:r w:rsidR="00223CBA">
              <w:t>:</w:t>
            </w:r>
            <w:r>
              <w:t xml:space="preserve"> </w:t>
            </w:r>
          </w:p>
          <w:p w14:paraId="251AC33A" w14:textId="719D09BF" w:rsidR="00F90AED" w:rsidRDefault="00F90AED" w:rsidP="00E31672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demonstrated induction of tumours in animals both locally and distant from site of administration</w:t>
            </w:r>
          </w:p>
          <w:p w14:paraId="5062251C" w14:textId="2F8864CC" w:rsidR="00F90AED" w:rsidRDefault="00F90AED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quantitative derivation of TLV-TWA; assumed to be derived by analogy to 4-vinyl cyclohexene (VCH) (TLV-TWA 0.1 ppm)</w:t>
            </w:r>
            <w:r w:rsidR="00001D37">
              <w:t>.</w:t>
            </w:r>
          </w:p>
          <w:p w14:paraId="708BAD28" w14:textId="6307E69E" w:rsidR="00F90AED" w:rsidRDefault="00F90AED" w:rsidP="00F90AED">
            <w:pPr>
              <w:pStyle w:val="Tabletextprimarysource"/>
            </w:pPr>
            <w:r>
              <w:t>Human data</w:t>
            </w:r>
            <w:r w:rsidR="00223CBA">
              <w:t>:</w:t>
            </w:r>
          </w:p>
          <w:p w14:paraId="601E4730" w14:textId="4F008C01" w:rsidR="00E31672" w:rsidRDefault="006B14B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Mild to moderate skin irritant; occasional instances of marked skin irritation reported among exposed workers</w:t>
            </w:r>
            <w:r w:rsidR="00223CBA">
              <w:t>:</w:t>
            </w:r>
            <w:r>
              <w:t xml:space="preserve"> </w:t>
            </w:r>
          </w:p>
          <w:p w14:paraId="69E4C636" w14:textId="2A92E314" w:rsidR="006B14B3" w:rsidRDefault="006B14B3" w:rsidP="00E31672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1 case of severe vesiculation of skin of both feet when worker wore shoes previously contaminated with VCD</w:t>
            </w:r>
          </w:p>
          <w:p w14:paraId="0782D8D7" w14:textId="44A80B2E" w:rsidR="00F90AED" w:rsidRDefault="006B14B3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1 case of allergic contact dermatitis in an electron microscopist within 3 mo of occupational exposure</w:t>
            </w:r>
            <w:r w:rsidR="00001D37">
              <w:t>.</w:t>
            </w:r>
            <w:r>
              <w:t xml:space="preserve"> </w:t>
            </w:r>
          </w:p>
          <w:p w14:paraId="6C21F7DE" w14:textId="41271696" w:rsidR="006B14B3" w:rsidRDefault="002721A4" w:rsidP="002721A4">
            <w:pPr>
              <w:pStyle w:val="Tabletextprimarysource"/>
            </w:pPr>
            <w:r>
              <w:t>Animal data</w:t>
            </w:r>
            <w:r w:rsidR="00223CBA">
              <w:t>:</w:t>
            </w:r>
          </w:p>
          <w:p w14:paraId="0C79A2A9" w14:textId="5AEE67BA" w:rsidR="002721A4" w:rsidRDefault="004047D2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897FB6">
              <w:t xml:space="preserve"> of</w:t>
            </w:r>
            <w:r w:rsidR="00897FB6">
              <w:rPr>
                <w:vertAlign w:val="subscript"/>
              </w:rPr>
              <w:t xml:space="preserve"> </w:t>
            </w:r>
            <w:r>
              <w:t xml:space="preserve">680 mg/kg </w:t>
            </w:r>
            <w:r w:rsidR="00001D37">
              <w:t>(</w:t>
            </w:r>
            <w:r>
              <w:t>rabbits</w:t>
            </w:r>
            <w:r w:rsidR="00001D37">
              <w:t>, dermal)</w:t>
            </w:r>
          </w:p>
          <w:p w14:paraId="005B421E" w14:textId="070E24CA" w:rsidR="004047D2" w:rsidRDefault="004047D2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LC</w:t>
            </w:r>
            <w:r w:rsidRPr="004047D2">
              <w:rPr>
                <w:vertAlign w:val="subscript"/>
              </w:rPr>
              <w:t>50</w:t>
            </w:r>
            <w:r w:rsidR="00897FB6">
              <w:t xml:space="preserve"> of </w:t>
            </w:r>
            <w:r>
              <w:t>800 ppm</w:t>
            </w:r>
            <w:r w:rsidR="00001D37">
              <w:t xml:space="preserve"> (rats, 4</w:t>
            </w:r>
            <w:r w:rsidR="00F75AEB">
              <w:t xml:space="preserve"> </w:t>
            </w:r>
            <w:r w:rsidR="00001D37">
              <w:t>h)</w:t>
            </w:r>
            <w:r>
              <w:t xml:space="preserve">; respiratory tract </w:t>
            </w:r>
            <w:r w:rsidR="00F75AEB">
              <w:t xml:space="preserve">irritation </w:t>
            </w:r>
            <w:r>
              <w:t>and acute pulmonary congestion during exposure</w:t>
            </w:r>
          </w:p>
          <w:p w14:paraId="2602D887" w14:textId="44195DE0" w:rsidR="004047D2" w:rsidRDefault="003E22A3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Topical administration of VCD in acetone conducted 5 d/wk for 105 wk to groups of 60 rats of each sex at 0, 15, or 30 mg/animal; groups of 60 mice of each sex administered 0, 2.5, 5, or 10 mg/animal 5 d/wk for 103 wk</w:t>
            </w:r>
            <w:r w:rsidR="00F75AEB">
              <w:t>:</w:t>
            </w:r>
          </w:p>
          <w:p w14:paraId="63685C26" w14:textId="56E34C3C" w:rsidR="003E22A3" w:rsidRDefault="00122113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treatment acutely necrotis</w:t>
            </w:r>
            <w:r w:rsidR="003E22A3">
              <w:t>ing, causing local ulceration</w:t>
            </w:r>
          </w:p>
          <w:p w14:paraId="2DE98852" w14:textId="23250E8D" w:rsidR="00122113" w:rsidRDefault="00122113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mice developed sebaceous gland hyperplasia, acanthosis and locali</w:t>
            </w:r>
            <w:r w:rsidR="00F75AEB">
              <w:t>s</w:t>
            </w:r>
            <w:r>
              <w:t>ed hyperkeratosis</w:t>
            </w:r>
          </w:p>
          <w:p w14:paraId="00F11E33" w14:textId="139A5482" w:rsidR="003E22A3" w:rsidRDefault="006F6F89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caused </w:t>
            </w:r>
            <w:r w:rsidR="00122113">
              <w:t>all treated female mice marked ovarian atrophy and dose–related tubular hyperplasia</w:t>
            </w:r>
          </w:p>
          <w:p w14:paraId="3DB5B5EE" w14:textId="230823B9" w:rsidR="00122113" w:rsidRDefault="00122113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significant increase in squamous cell and basal cell papillomas and carcinomas of skin in male and female rats</w:t>
            </w:r>
          </w:p>
          <w:p w14:paraId="018FA9CE" w14:textId="635E4EAD" w:rsidR="00122113" w:rsidRDefault="009A0624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increase in squamous cell carcinomas of skin in male mice and squamous cell carcinomas of skin and ovarian gra</w:t>
            </w:r>
            <w:r w:rsidR="002B3749">
              <w:t>nulosa cell neoplasms in female mice</w:t>
            </w:r>
          </w:p>
          <w:p w14:paraId="1582A81D" w14:textId="33FD309E" w:rsidR="002B3749" w:rsidRDefault="007029D5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increased incidence of lung neoplasms in female mice considered to result from metastasis of ovarian cancer to the lung</w:t>
            </w:r>
          </w:p>
          <w:p w14:paraId="5B5F849E" w14:textId="2DC36563" w:rsidR="007029D5" w:rsidRDefault="007029D5" w:rsidP="00E31672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increase in alveolar/bronchiolar adenoma and carcinoma (no further information)</w:t>
            </w:r>
          </w:p>
          <w:p w14:paraId="2DDA9F90" w14:textId="49A808DF" w:rsidR="007029D5" w:rsidRDefault="007029D5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Oocyte destruction in rats occurred after repeated oral intubation of 10</w:t>
            </w:r>
            <w:r w:rsidR="00F75AEB">
              <w:t>-</w:t>
            </w:r>
            <w:r>
              <w:t>80 mg/kg over 30 d; no further information</w:t>
            </w:r>
          </w:p>
          <w:p w14:paraId="4A855C3A" w14:textId="7BAA7570" w:rsidR="007029D5" w:rsidRDefault="00F75AEB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E</w:t>
            </w:r>
            <w:r w:rsidR="007029D5">
              <w:t xml:space="preserve">xposure reduced primordial and primary follicle oocytes in immature </w:t>
            </w:r>
            <w:r w:rsidR="008E2F9D">
              <w:t>and</w:t>
            </w:r>
            <w:r w:rsidR="007029D5">
              <w:t xml:space="preserve"> mature rats; no further information</w:t>
            </w:r>
          </w:p>
          <w:p w14:paraId="68A69D7A" w14:textId="231DAA42" w:rsidR="007873B7" w:rsidRDefault="007873B7" w:rsidP="00E31672">
            <w:pPr>
              <w:pStyle w:val="ListBullet"/>
              <w:spacing w:before="60" w:after="60"/>
              <w:ind w:left="1080" w:hanging="357"/>
              <w:contextualSpacing w:val="0"/>
            </w:pPr>
            <w:r>
              <w:lastRenderedPageBreak/>
              <w:t>Male mice given parenteral VCD at 320 mg/kg/d for 30 d; followed by additional daily treatments for 5–30 d (no further information)</w:t>
            </w:r>
            <w:r w:rsidR="00F75AEB">
              <w:t>:</w:t>
            </w:r>
          </w:p>
          <w:p w14:paraId="640B5A86" w14:textId="67DBACD3" w:rsidR="007873B7" w:rsidRDefault="007873B7" w:rsidP="00E31672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elevated plasma follicle stimulating hormone levels </w:t>
            </w:r>
          </w:p>
          <w:p w14:paraId="774FAF26" w14:textId="668F76A9" w:rsidR="007873B7" w:rsidRDefault="007873B7" w:rsidP="00E31672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significant reductions in testis and seminal vesicle weights</w:t>
            </w:r>
          </w:p>
          <w:p w14:paraId="1FD7B93A" w14:textId="77777777" w:rsidR="007029D5" w:rsidRDefault="007873B7" w:rsidP="00E31672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necrosis in the germinal epithelium</w:t>
            </w:r>
          </w:p>
          <w:p w14:paraId="5856F717" w14:textId="44A6012B" w:rsidR="007873B7" w:rsidRDefault="007873B7" w:rsidP="007873B7">
            <w:pPr>
              <w:pStyle w:val="Tabletextprimarysource"/>
            </w:pPr>
            <w:r>
              <w:t>Genotoxicity</w:t>
            </w:r>
          </w:p>
          <w:p w14:paraId="013D453C" w14:textId="5FABE96C" w:rsidR="007873B7" w:rsidRDefault="007873B7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Mutagenic in presence or absence of mammalian microsomal metabolic activation in </w:t>
            </w:r>
            <w:r>
              <w:rPr>
                <w:i/>
              </w:rPr>
              <w:t>S.</w:t>
            </w:r>
            <w:r w:rsidRPr="007873B7">
              <w:rPr>
                <w:i/>
              </w:rPr>
              <w:t xml:space="preserve"> typhimurium</w:t>
            </w:r>
            <w:r>
              <w:t xml:space="preserve"> strains TA98, TA100 and TA1535; activity in strain TA1537 dependent on exogenous microsomal bioactivation</w:t>
            </w:r>
          </w:p>
          <w:p w14:paraId="789E81A8" w14:textId="3B95A53F" w:rsidR="007873B7" w:rsidRDefault="007873B7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Direct-acting mutagen in cultured Chinese hamster V79 cells</w:t>
            </w:r>
          </w:p>
          <w:p w14:paraId="73345629" w14:textId="76F140BE" w:rsidR="007873B7" w:rsidRDefault="007873B7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Direct sister-chromatid exchange and chromosomal aberrations in cultured Chinese hamster ovary cells</w:t>
            </w:r>
            <w:r w:rsidR="00F75AEB">
              <w:t>.</w:t>
            </w:r>
          </w:p>
          <w:p w14:paraId="3345672E" w14:textId="77777777" w:rsidR="00E31672" w:rsidRDefault="00E31672" w:rsidP="007873B7">
            <w:pPr>
              <w:pStyle w:val="Tabletextprimarysource"/>
            </w:pPr>
          </w:p>
          <w:p w14:paraId="375B5446" w14:textId="77777777" w:rsidR="007873B7" w:rsidRDefault="007873B7" w:rsidP="007873B7">
            <w:pPr>
              <w:pStyle w:val="Tabletextprimarysource"/>
            </w:pPr>
            <w:r>
              <w:t>Insufficient data to recommend a sensitiser notation or TLV-STEL</w:t>
            </w:r>
            <w:r w:rsidR="00F75AEB">
              <w:t>.</w:t>
            </w:r>
          </w:p>
          <w:p w14:paraId="0CE4D35D" w14:textId="08942BA7" w:rsidR="00E31672" w:rsidRPr="00DA352E" w:rsidRDefault="00E31672" w:rsidP="007873B7">
            <w:pPr>
              <w:pStyle w:val="Tabletextprimarysource"/>
            </w:pPr>
          </w:p>
        </w:tc>
      </w:tr>
      <w:tr w:rsidR="00C978F0" w:rsidRPr="00DA352E" w14:paraId="174F8B79" w14:textId="77777777" w:rsidTr="0049324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54DB43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E6300">
                  <w:t>1990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E6300">
                  <w:t>Not assigned</w:t>
                </w:r>
              </w:sdtContent>
            </w:sdt>
          </w:p>
        </w:tc>
      </w:tr>
      <w:tr w:rsidR="00C978F0" w:rsidRPr="00DA352E" w14:paraId="4433014F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4D708207" w14:textId="60887AA9" w:rsidR="00C978F0" w:rsidRDefault="000F742B" w:rsidP="003365A5">
            <w:pPr>
              <w:pStyle w:val="Tabletextprimarysource"/>
            </w:pPr>
            <w:r>
              <w:t>MAK not assigned due to genotoxic potential</w:t>
            </w:r>
            <w:r w:rsidR="00F75AEB">
              <w:t>.</w:t>
            </w:r>
          </w:p>
          <w:p w14:paraId="1C1E49C4" w14:textId="0F00491D" w:rsidR="000F742B" w:rsidRDefault="000F742B" w:rsidP="003365A5">
            <w:pPr>
              <w:pStyle w:val="Tabletextprimarysource"/>
            </w:pPr>
            <w:r>
              <w:t>Summary of additional data</w:t>
            </w:r>
            <w:r w:rsidR="00993D6C">
              <w:t>:</w:t>
            </w:r>
          </w:p>
          <w:p w14:paraId="01F1E041" w14:textId="0137FA4E" w:rsidR="000F742B" w:rsidRDefault="000F742B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An alkylating diepoxide and thus a direct mutagen in </w:t>
            </w:r>
            <w:r w:rsidRPr="00F75AEB">
              <w:rPr>
                <w:i/>
                <w:iCs/>
              </w:rPr>
              <w:t>in vitro</w:t>
            </w:r>
            <w:r>
              <w:t xml:space="preserve"> test systems</w:t>
            </w:r>
          </w:p>
          <w:p w14:paraId="7917F907" w14:textId="77777777" w:rsidR="000F742B" w:rsidRDefault="004A0A9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</w:t>
            </w:r>
            <w:r w:rsidR="000F742B">
              <w:t>ermal a</w:t>
            </w:r>
            <w:r>
              <w:t>pplication to animals induced</w:t>
            </w:r>
            <w:r w:rsidR="000F742B">
              <w:t xml:space="preserve"> local carcinomas </w:t>
            </w:r>
            <w:r>
              <w:t>and</w:t>
            </w:r>
            <w:r w:rsidR="000F742B">
              <w:t xml:space="preserve"> tumours in ovaries and lungs in female mice</w:t>
            </w:r>
            <w:r>
              <w:t xml:space="preserve"> (</w:t>
            </w:r>
            <w:r w:rsidR="00F75AEB">
              <w:t>c</w:t>
            </w:r>
            <w:r>
              <w:t>ited by ACGIH, 2018)</w:t>
            </w:r>
            <w:r w:rsidR="00F75AEB">
              <w:t>.</w:t>
            </w:r>
          </w:p>
          <w:p w14:paraId="61A64F09" w14:textId="45BCDA85" w:rsidR="00E31672" w:rsidRPr="00DA352E" w:rsidRDefault="00E31672" w:rsidP="00E3167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49324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9A1D9B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E63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E6300">
                  <w:t>NA</w:t>
                </w:r>
              </w:sdtContent>
            </w:sdt>
          </w:p>
        </w:tc>
      </w:tr>
      <w:tr w:rsidR="00C978F0" w:rsidRPr="00DA352E" w14:paraId="2008D281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153B53C1" w14:textId="38ECAF2A" w:rsidR="00C978F0" w:rsidRPr="00DA352E" w:rsidRDefault="00AE6300" w:rsidP="003365A5">
            <w:pPr>
              <w:pStyle w:val="Tabletextprimarysource"/>
            </w:pPr>
            <w:r>
              <w:t>No report</w:t>
            </w:r>
            <w:r w:rsidR="00F75AEB">
              <w:t>.</w:t>
            </w:r>
          </w:p>
        </w:tc>
      </w:tr>
      <w:tr w:rsidR="00DA352E" w:rsidRPr="00DA352E" w14:paraId="12BAB90D" w14:textId="77777777" w:rsidTr="0049324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EC60F7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E63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E6300">
                  <w:t>NA</w:t>
                </w:r>
              </w:sdtContent>
            </w:sdt>
          </w:p>
        </w:tc>
      </w:tr>
      <w:tr w:rsidR="00DA352E" w:rsidRPr="00DA352E" w14:paraId="33AAF4A6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2059E4CB" w14:textId="6B08AB35" w:rsidR="00DA352E" w:rsidRPr="00DA352E" w:rsidRDefault="00AE6300" w:rsidP="003365A5">
            <w:pPr>
              <w:pStyle w:val="Tabletextprimarysource"/>
            </w:pPr>
            <w:r>
              <w:t>No report</w:t>
            </w:r>
            <w:r w:rsidR="00F75AEB">
              <w:t>.</w:t>
            </w:r>
          </w:p>
        </w:tc>
      </w:tr>
      <w:tr w:rsidR="00DA352E" w:rsidRPr="00DA352E" w14:paraId="605F758C" w14:textId="77777777" w:rsidTr="0049324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2132CC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E6300" w:rsidRPr="00AE6300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E6300">
                  <w:t>Not assigned</w:t>
                </w:r>
              </w:sdtContent>
            </w:sdt>
          </w:p>
        </w:tc>
      </w:tr>
      <w:tr w:rsidR="00DA352E" w:rsidRPr="00DA352E" w14:paraId="7050CB3E" w14:textId="77777777" w:rsidTr="0049324E">
        <w:trPr>
          <w:gridAfter w:val="1"/>
          <w:wAfter w:w="8" w:type="pct"/>
        </w:trPr>
        <w:tc>
          <w:tcPr>
            <w:tcW w:w="4992" w:type="pct"/>
          </w:tcPr>
          <w:p w14:paraId="3268905B" w14:textId="1E7FAF37" w:rsidR="00DA352E" w:rsidRDefault="00A70532" w:rsidP="003365A5">
            <w:pPr>
              <w:pStyle w:val="Tabletextprimarysource"/>
            </w:pPr>
            <w:r>
              <w:t>Evaluation of carcinogenicity and genotoxicity.</w:t>
            </w:r>
          </w:p>
          <w:p w14:paraId="42DA6FD6" w14:textId="19018B78" w:rsidR="00A70532" w:rsidRDefault="00A70532" w:rsidP="003365A5">
            <w:pPr>
              <w:pStyle w:val="Tabletextprimarysource"/>
            </w:pPr>
            <w:r>
              <w:t>Summary of additional data</w:t>
            </w:r>
            <w:r w:rsidR="00993D6C">
              <w:t>:</w:t>
            </w:r>
          </w:p>
          <w:p w14:paraId="5188EDC3" w14:textId="51BA4197" w:rsidR="00A70532" w:rsidRDefault="00A70532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data on genotoxicity and carcinogenicity in humans available</w:t>
            </w:r>
            <w:r w:rsidR="00806BE5">
              <w:t xml:space="preserve"> </w:t>
            </w:r>
          </w:p>
          <w:p w14:paraId="42917D3A" w14:textId="22A8B4CD" w:rsidR="00476C78" w:rsidRDefault="00476C78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Refers to dermal study in rodents cited by ACGIH (</w:t>
            </w:r>
            <w:r w:rsidR="00806BE5">
              <w:t>2001</w:t>
            </w:r>
            <w:r>
              <w:t>)</w:t>
            </w:r>
          </w:p>
          <w:p w14:paraId="27A995F1" w14:textId="6E4EA28F" w:rsidR="00A01C32" w:rsidRDefault="00F75AEB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P</w:t>
            </w:r>
            <w:r w:rsidR="00A01C32">
              <w:t>roduce</w:t>
            </w:r>
            <w:r>
              <w:t>s</w:t>
            </w:r>
            <w:r w:rsidR="00A01C32">
              <w:t xml:space="preserve"> DNA adducts </w:t>
            </w:r>
            <w:r w:rsidR="00A01C32" w:rsidRPr="00A01C32">
              <w:rPr>
                <w:i/>
              </w:rPr>
              <w:t>in vivo</w:t>
            </w:r>
            <w:r w:rsidR="00A01C32">
              <w:t xml:space="preserve"> (female mice; topical application; 17</w:t>
            </w:r>
            <w:r w:rsidR="005E5934">
              <w:t>–</w:t>
            </w:r>
            <w:r w:rsidR="00A01C32">
              <w:t xml:space="preserve">225 μmol/mouse; </w:t>
            </w:r>
            <w:r>
              <w:t xml:space="preserve">1/d </w:t>
            </w:r>
            <w:r w:rsidR="00A01C32">
              <w:t>for 3 d); adduct levels far below levels generally found for highly potent carcinogens at comparable doses, such as benzo[a]pyrene</w:t>
            </w:r>
          </w:p>
          <w:p w14:paraId="58D687E5" w14:textId="3547D46E" w:rsidR="00476C78" w:rsidRDefault="00F75AEB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</w:t>
            </w:r>
            <w:r w:rsidR="00476C78">
              <w:t>ncreased level</w:t>
            </w:r>
            <w:r>
              <w:t>s</w:t>
            </w:r>
            <w:r w:rsidR="00476C78">
              <w:t xml:space="preserve"> of DNA adducts </w:t>
            </w:r>
            <w:r w:rsidR="00476C78" w:rsidRPr="00476C78">
              <w:rPr>
                <w:i/>
              </w:rPr>
              <w:t>in vitro</w:t>
            </w:r>
            <w:r w:rsidR="00476C78">
              <w:t xml:space="preserve"> and </w:t>
            </w:r>
            <w:r w:rsidR="00476C78" w:rsidRPr="00476C78">
              <w:rPr>
                <w:i/>
              </w:rPr>
              <w:t>in vivo</w:t>
            </w:r>
          </w:p>
          <w:p w14:paraId="59AA1AB8" w14:textId="217E414E" w:rsidR="00476C78" w:rsidRDefault="00476C78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Consider</w:t>
            </w:r>
            <w:r w:rsidR="00F75AEB">
              <w:t>ed</w:t>
            </w:r>
            <w:r>
              <w:t xml:space="preserve"> a genotoxic compound that acts by a stochastic mechanism </w:t>
            </w:r>
          </w:p>
          <w:p w14:paraId="114AB1E3" w14:textId="039C098B" w:rsidR="008002B8" w:rsidRDefault="00476C78" w:rsidP="00E31672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Regarding ovarian carcinogenicity, </w:t>
            </w:r>
            <w:r w:rsidR="008002B8">
              <w:t xml:space="preserve">it </w:t>
            </w:r>
            <w:r>
              <w:t>might exert its effe</w:t>
            </w:r>
            <w:r w:rsidR="008002B8">
              <w:t>ct by acting as a promotor</w:t>
            </w:r>
          </w:p>
          <w:p w14:paraId="46676CB6" w14:textId="59BF3F4F" w:rsidR="00476C78" w:rsidRDefault="008002B8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</w:t>
            </w:r>
            <w:r w:rsidR="00476C78">
              <w:t>id not find indications that observations in animals and the proposed carcinogenic mechanism</w:t>
            </w:r>
            <w:r w:rsidR="00F75AEB">
              <w:t xml:space="preserve">, </w:t>
            </w:r>
            <w:r w:rsidR="00476C78">
              <w:t>would not occur in humans</w:t>
            </w:r>
            <w:r w:rsidR="00F75AEB">
              <w:t>.</w:t>
            </w:r>
          </w:p>
          <w:p w14:paraId="492D7791" w14:textId="4C968B36" w:rsidR="00E31672" w:rsidRPr="00DA352E" w:rsidRDefault="00E31672" w:rsidP="00E3167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3"/>
        <w:gridCol w:w="661"/>
        <w:gridCol w:w="6454"/>
      </w:tblGrid>
      <w:tr w:rsidR="004966BF" w:rsidRPr="00263255" w14:paraId="6AE89AB3" w14:textId="77777777" w:rsidTr="004932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49324E">
        <w:tc>
          <w:tcPr>
            <w:tcW w:w="1488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5EA16631" w:rsidR="004966BF" w:rsidRPr="00CE617F" w:rsidRDefault="004E402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01C3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41057E47" w:rsidR="004966BF" w:rsidRPr="004C23F4" w:rsidRDefault="00A01C3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4" w:type="dxa"/>
          </w:tcPr>
          <w:p w14:paraId="12C3FBE2" w14:textId="77777777" w:rsidR="004966BF" w:rsidRDefault="005848CB" w:rsidP="00516519">
            <w:pPr>
              <w:pStyle w:val="ListBullet"/>
              <w:ind w:left="74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</w:p>
          <w:p w14:paraId="0076C2F1" w14:textId="75BAFE7C" w:rsidR="005848CB" w:rsidRPr="004C23F4" w:rsidRDefault="005848CB" w:rsidP="00516519">
            <w:pPr>
              <w:pStyle w:val="ListBullet"/>
              <w:tabs>
                <w:tab w:val="clear" w:pos="360"/>
                <w:tab w:val="num" w:pos="740"/>
              </w:tabs>
              <w:ind w:left="74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The critical health effects include systemic long-term effects (carcinogenicity, mutagenicity and reproductive toxicity) and systemic acute effects (acute toxicity from oral, dermal and inhalation exposure)</w:t>
            </w:r>
            <w:r w:rsidR="00F75AEB">
              <w:rPr>
                <w:rFonts w:cs="Arial"/>
                <w:color w:val="262626"/>
              </w:rPr>
              <w:t>.</w:t>
            </w:r>
          </w:p>
        </w:tc>
      </w:tr>
      <w:tr w:rsidR="004966BF" w:rsidRPr="004C23F4" w14:paraId="04FEEADE" w14:textId="77777777" w:rsidTr="0049324E">
        <w:tc>
          <w:tcPr>
            <w:tcW w:w="1488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177703D9" w:rsidR="004966BF" w:rsidRPr="00CE617F" w:rsidRDefault="004E402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848C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10387E75" w:rsidR="004966BF" w:rsidRPr="004C23F4" w:rsidRDefault="005848C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58EAF6FF" w14:textId="07C7C38E" w:rsidR="00516519" w:rsidRDefault="00516519" w:rsidP="00516519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</w:p>
          <w:p w14:paraId="389504DD" w14:textId="013C9CB6" w:rsidR="00516519" w:rsidRPr="00516519" w:rsidRDefault="00F75AEB" w:rsidP="00516519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="00516519" w:rsidRPr="00516519">
              <w:rPr>
                <w:rStyle w:val="checkbox"/>
                <w:rFonts w:ascii="Arial" w:hAnsi="Arial" w:cs="Arial"/>
              </w:rPr>
              <w:t xml:space="preserve">nadequate evidence in humans for carcinogenicity </w:t>
            </w:r>
          </w:p>
          <w:p w14:paraId="1EBB35ED" w14:textId="47BCB2EE" w:rsidR="004966BF" w:rsidRDefault="00F75AEB" w:rsidP="00516519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516519" w:rsidRPr="00516519">
              <w:rPr>
                <w:rStyle w:val="checkbox"/>
                <w:rFonts w:ascii="Arial" w:hAnsi="Arial" w:cs="Arial"/>
              </w:rPr>
              <w:t xml:space="preserve">ufficient evidence in experimental animals for carcinogenicity </w:t>
            </w:r>
          </w:p>
          <w:p w14:paraId="2DDCA6FC" w14:textId="21C1D4F5" w:rsidR="00516519" w:rsidRPr="004C23F4" w:rsidRDefault="00516519" w:rsidP="00516519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Concludes </w:t>
            </w:r>
            <w:r w:rsidRPr="00516519">
              <w:rPr>
                <w:rStyle w:val="checkbox"/>
                <w:rFonts w:ascii="Arial" w:hAnsi="Arial" w:cs="Arial"/>
              </w:rPr>
              <w:t>possibly carcinogenic to humans</w:t>
            </w:r>
            <w:r w:rsidR="00F75AE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6D0007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751827F" w:rsidR="002E0D61" w:rsidRDefault="006D000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6D0007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48B5177" w:rsidR="008A36CF" w:rsidRDefault="006D000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31672" w14:paraId="4D6DDFA3" w14:textId="77777777" w:rsidTr="008D194A">
        <w:trPr>
          <w:trHeight w:val="454"/>
        </w:trPr>
        <w:sdt>
          <w:sdtPr>
            <w:rPr>
              <w:b/>
            </w:rPr>
            <w:id w:val="1830936485"/>
            <w:placeholder>
              <w:docPart w:val="AC91EB460673443A87539A6BA35E934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3BC84E52" w:rsidR="00E31672" w:rsidRDefault="00E3167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4932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49324E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6B3313C" w:rsidR="00687890" w:rsidRPr="00DD2F9B" w:rsidRDefault="009061B6" w:rsidP="00DD2F9B">
            <w:pPr>
              <w:pStyle w:val="Tablefont"/>
            </w:pPr>
            <w:r w:rsidRPr="009061B6">
              <w:t>Carc. 2</w:t>
            </w:r>
            <w:r>
              <w:t>, Skin</w:t>
            </w:r>
          </w:p>
        </w:tc>
      </w:tr>
      <w:tr w:rsidR="007925F0" w:rsidRPr="004C23F4" w14:paraId="2A0C13EF" w14:textId="77777777" w:rsidTr="0049324E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38F81A2" w:rsidR="007925F0" w:rsidRPr="00DD2F9B" w:rsidRDefault="00DF072E" w:rsidP="00DD2F9B">
            <w:pPr>
              <w:pStyle w:val="Tablefont"/>
            </w:pPr>
            <w:r w:rsidRPr="00DF072E">
              <w:t>Carcinogenicity – category 2</w:t>
            </w:r>
          </w:p>
        </w:tc>
      </w:tr>
      <w:tr w:rsidR="00AF483F" w:rsidRPr="004C23F4" w14:paraId="4C1044B3" w14:textId="77777777" w:rsidTr="0049324E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C06BF7F" w:rsidR="00AF483F" w:rsidRPr="00DD2F9B" w:rsidRDefault="00DF072E" w:rsidP="00DD2F9B">
            <w:pPr>
              <w:pStyle w:val="Tablefont"/>
            </w:pPr>
            <w:r w:rsidRPr="00DF072E">
              <w:t>Carc. Cat 3</w:t>
            </w:r>
            <w:r>
              <w:t>, Skin</w:t>
            </w:r>
          </w:p>
        </w:tc>
      </w:tr>
      <w:tr w:rsidR="00687890" w:rsidRPr="004C23F4" w14:paraId="7812F0EC" w14:textId="77777777" w:rsidTr="0049324E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04D39BB" w:rsidR="00687890" w:rsidRPr="00DD2F9B" w:rsidRDefault="001A2A52" w:rsidP="00DD2F9B">
            <w:pPr>
              <w:pStyle w:val="Tablefont"/>
            </w:pPr>
            <w:r w:rsidRPr="001A2A52">
              <w:t>Carcinogenicity – category 2</w:t>
            </w:r>
            <w:r>
              <w:t xml:space="preserve">, </w:t>
            </w:r>
          </w:p>
        </w:tc>
      </w:tr>
      <w:tr w:rsidR="00E41A26" w:rsidRPr="004C23F4" w14:paraId="403F0800" w14:textId="77777777" w:rsidTr="0049324E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3882836" w:rsidR="00E41A26" w:rsidRPr="00DD2F9B" w:rsidRDefault="001A2A52" w:rsidP="00DD2F9B">
            <w:pPr>
              <w:pStyle w:val="Tablefont"/>
            </w:pPr>
            <w:r w:rsidRPr="001A2A52">
              <w:t>Carc. 2</w:t>
            </w:r>
          </w:p>
        </w:tc>
      </w:tr>
      <w:tr w:rsidR="002E0D61" w:rsidRPr="004C23F4" w14:paraId="57A490EF" w14:textId="77777777" w:rsidTr="0049324E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60D3F37" w:rsidR="002E0D61" w:rsidRPr="00DD2F9B" w:rsidRDefault="001A2A52" w:rsidP="00DD2F9B">
            <w:pPr>
              <w:pStyle w:val="Tablefont"/>
            </w:pPr>
            <w:r w:rsidRPr="001A2A52">
              <w:t>Carcinogenicity – A3</w:t>
            </w:r>
            <w:r>
              <w:t>, Skin</w:t>
            </w:r>
          </w:p>
        </w:tc>
      </w:tr>
      <w:tr w:rsidR="002E0D61" w:rsidRPr="004C23F4" w14:paraId="43FA3590" w14:textId="77777777" w:rsidTr="0049324E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7A27FA3" w:rsidR="002E0D61" w:rsidRPr="00DD2F9B" w:rsidRDefault="001A2A5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49324E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9EBA30E" w:rsidR="002E0D61" w:rsidRPr="00DD2F9B" w:rsidRDefault="001A2A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49324E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1A64293" w:rsidR="002E0D61" w:rsidRPr="00DD2F9B" w:rsidRDefault="001A2A52" w:rsidP="00DD2F9B">
            <w:pPr>
              <w:pStyle w:val="Tablefont"/>
            </w:pPr>
            <w:r w:rsidRPr="001A2A52">
              <w:t>Carcinogenicity – category 2</w:t>
            </w:r>
          </w:p>
        </w:tc>
      </w:tr>
      <w:tr w:rsidR="00386093" w:rsidRPr="004C23F4" w14:paraId="5F6A6A8E" w14:textId="77777777" w:rsidTr="0049324E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768F4D5" w:rsidR="00386093" w:rsidRPr="00DD2F9B" w:rsidRDefault="005270A9" w:rsidP="00DD2F9B">
            <w:pPr>
              <w:pStyle w:val="Tablefont"/>
            </w:pPr>
            <w:r w:rsidRPr="005270A9">
              <w:t>Carcinogenicity – Group 2B</w:t>
            </w:r>
          </w:p>
        </w:tc>
      </w:tr>
      <w:tr w:rsidR="00386093" w:rsidRPr="004C23F4" w14:paraId="7461DB0E" w14:textId="77777777" w:rsidTr="0049324E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F148D86" w:rsidR="00386093" w:rsidRPr="00DD2F9B" w:rsidRDefault="005270A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61" w:type="dxa"/>
              <w:tblLook w:val="04A0" w:firstRow="1" w:lastRow="0" w:firstColumn="1" w:lastColumn="0" w:noHBand="0" w:noVBand="1"/>
            </w:tblPr>
            <w:tblGrid>
              <w:gridCol w:w="3579"/>
              <w:gridCol w:w="1059"/>
              <w:gridCol w:w="1059"/>
              <w:gridCol w:w="1556"/>
              <w:gridCol w:w="1557"/>
            </w:tblGrid>
            <w:tr w:rsidR="00E03D01" w:rsidRPr="00E03D01" w14:paraId="509EEF78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C93FE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86358A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0C6CE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977957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16FAC4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48C98D93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5A642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CD81FBE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6C047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B07D5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85E60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562197C7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490E40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B4A2E3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9BF32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88CE1C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7E60E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48B31E80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C88E53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8E89B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07612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4E82BB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FA12E1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4FC63FB9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5E965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799D0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D49D66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A72DEB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995E60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2AE63DE1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87748D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EFE9D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AD27B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F9A5DA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C8EFC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3D01" w:rsidRPr="00E03D01" w14:paraId="4A6CD28F" w14:textId="77777777" w:rsidTr="00E03D01">
              <w:trPr>
                <w:trHeight w:val="346"/>
              </w:trPr>
              <w:tc>
                <w:tcPr>
                  <w:tcW w:w="3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E09C88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E1E54D" w14:textId="77777777" w:rsidR="00E03D01" w:rsidRPr="00E03D01" w:rsidRDefault="00E03D01" w:rsidP="00E03D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2670EC" w14:textId="77777777" w:rsidR="00E03D01" w:rsidRPr="00E03D01" w:rsidRDefault="00E03D01" w:rsidP="00E03D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C6DF2E" w14:textId="77777777" w:rsidR="00E03D01" w:rsidRPr="00E03D01" w:rsidRDefault="00E03D01" w:rsidP="00E03D0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3D0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FAC2CBF" w:rsidR="00EB3D1B" w:rsidRDefault="005270A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8807397" w:rsidR="001B79E5" w:rsidRDefault="005270A9" w:rsidP="001B79E5">
                <w:pPr>
                  <w:pStyle w:val="Tablefont"/>
                </w:pPr>
                <w:r w:rsidRPr="005270A9">
                  <w:t>140.17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9CC789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270A9">
                  <w:t>5.73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270A9">
                  <w:t>0.17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4E402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C26ECDF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5270A9">
        <w:t>1990</w:t>
      </w:r>
      <w:r>
        <w:t xml:space="preserve">) </w:t>
      </w:r>
      <w:r w:rsidR="005270A9" w:rsidRPr="005270A9">
        <w:t>4-Vinyl-1-cyclohexene dioxide</w:t>
      </w:r>
      <w:r>
        <w:t xml:space="preserve"> – MAK value documentation.</w:t>
      </w:r>
    </w:p>
    <w:p w14:paraId="21ADCC91" w14:textId="77777777" w:rsidR="00E57F73" w:rsidRDefault="00E57F73" w:rsidP="00E57F73">
      <w:r>
        <w:t xml:space="preserve">European Chemicals Agency (ECHA) (2019) </w:t>
      </w:r>
      <w:r w:rsidRPr="00246415">
        <w:t>Vinyl cyclohexene dioxide</w:t>
      </w:r>
      <w:r>
        <w:t xml:space="preserve"> – REACH assessment.</w:t>
      </w:r>
    </w:p>
    <w:p w14:paraId="28EAA9C1" w14:textId="0308E1F4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246415" w:rsidRPr="00246415">
        <w:t>2008</w:t>
      </w:r>
      <w:r>
        <w:t xml:space="preserve">) </w:t>
      </w:r>
      <w:r w:rsidR="00246415" w:rsidRPr="00246415">
        <w:t>4-Vinylcyclohexene diepoxide</w:t>
      </w:r>
      <w:r w:rsidRPr="005F7416">
        <w:t xml:space="preserve">. Health-based calculated occupational cancer risk values. The Hague: Health Council of the Netherlands; publication no. </w:t>
      </w:r>
      <w:r w:rsidR="00246415" w:rsidRPr="00246415">
        <w:t>2008/03OSH</w:t>
      </w:r>
      <w:r>
        <w:t>.</w:t>
      </w:r>
    </w:p>
    <w:p w14:paraId="4D7F094F" w14:textId="39F7FC33" w:rsidR="008E4F1F" w:rsidRDefault="008E4F1F" w:rsidP="008E4F1F">
      <w:pPr>
        <w:rPr>
          <w:b/>
        </w:rPr>
      </w:pPr>
      <w:r w:rsidRPr="002022B6">
        <w:lastRenderedPageBreak/>
        <w:t>International Agency for Research on Cancer</w:t>
      </w:r>
      <w:r>
        <w:t xml:space="preserve"> (IARC) (</w:t>
      </w:r>
      <w:r w:rsidR="00246415" w:rsidRPr="00246415">
        <w:t>1994</w:t>
      </w:r>
      <w:r>
        <w:t xml:space="preserve">) </w:t>
      </w:r>
      <w:r w:rsidR="00246415" w:rsidRPr="00246415">
        <w:t>4-Vinylcyclohexene diepoxide</w:t>
      </w:r>
      <w:r>
        <w:t>. IARC Monographs on the evaluation of the carcinogenic risk to humans.</w:t>
      </w:r>
    </w:p>
    <w:p w14:paraId="1D94FE62" w14:textId="51C171AB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246415" w:rsidRPr="00246415">
        <w:t>2016</w:t>
      </w:r>
      <w:r>
        <w:t xml:space="preserve">) </w:t>
      </w:r>
      <w:r w:rsidR="00246415" w:rsidRPr="00246415">
        <w:t>Epoxidised cycloaliphatic olefins</w:t>
      </w:r>
      <w:r w:rsidRPr="0071660C">
        <w:t xml:space="preserve">: Human health </w:t>
      </w:r>
      <w:r w:rsidR="00246415" w:rsidRPr="0024641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E0BBE12" w14:textId="77777777" w:rsidR="00246415" w:rsidRDefault="00246415" w:rsidP="00246415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81112EE" w14:textId="77777777" w:rsidR="00246415" w:rsidRPr="00351FE0" w:rsidRDefault="00246415" w:rsidP="00084859"/>
    <w:sectPr w:rsidR="0024641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2144D" w14:textId="77777777" w:rsidR="00252566" w:rsidRDefault="00252566" w:rsidP="00F43AD5">
      <w:pPr>
        <w:spacing w:after="0" w:line="240" w:lineRule="auto"/>
      </w:pPr>
      <w:r>
        <w:separator/>
      </w:r>
    </w:p>
  </w:endnote>
  <w:endnote w:type="continuationSeparator" w:id="0">
    <w:p w14:paraId="7B1C1612" w14:textId="77777777" w:rsidR="00252566" w:rsidRDefault="0025256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4C54387" w:rsidR="008A36CF" w:rsidRDefault="00B34B45" w:rsidP="0034744C">
        <w:pPr>
          <w:pStyle w:val="Footer"/>
          <w:rPr>
            <w:sz w:val="18"/>
            <w:szCs w:val="18"/>
          </w:rPr>
        </w:pPr>
        <w:r w:rsidRPr="00B34B45">
          <w:rPr>
            <w:b/>
            <w:sz w:val="18"/>
            <w:szCs w:val="18"/>
          </w:rPr>
          <w:t>Vinyl cyclohexene dioxide</w:t>
        </w:r>
        <w:r w:rsidR="008A36CF">
          <w:rPr>
            <w:b/>
            <w:sz w:val="18"/>
            <w:szCs w:val="18"/>
          </w:rPr>
          <w:t xml:space="preserve"> (</w:t>
        </w:r>
        <w:r w:rsidRPr="00B34B45">
          <w:rPr>
            <w:b/>
            <w:sz w:val="18"/>
            <w:szCs w:val="18"/>
          </w:rPr>
          <w:t>106-87-6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E57F73">
          <w:rPr>
            <w:sz w:val="18"/>
            <w:szCs w:val="18"/>
          </w:rPr>
          <w:t>20</w:t>
        </w:r>
      </w:p>
      <w:p w14:paraId="2D517F5E" w14:textId="3AB70C5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B541C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41CE8" w14:textId="77777777" w:rsidR="00252566" w:rsidRDefault="00252566" w:rsidP="00F43AD5">
      <w:pPr>
        <w:spacing w:after="0" w:line="240" w:lineRule="auto"/>
      </w:pPr>
      <w:r>
        <w:separator/>
      </w:r>
    </w:p>
  </w:footnote>
  <w:footnote w:type="continuationSeparator" w:id="0">
    <w:p w14:paraId="644A04B0" w14:textId="77777777" w:rsidR="00252566" w:rsidRDefault="0025256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F8F2" w14:textId="4A523748" w:rsidR="0049324E" w:rsidRDefault="0049324E" w:rsidP="0049324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1BAE834" wp14:editId="5E3FD993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4A445393" w:rsidR="008A36CF" w:rsidRPr="0049324E" w:rsidRDefault="008A36CF" w:rsidP="00493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3CD6" w14:textId="2FF43287" w:rsidR="0049324E" w:rsidRDefault="0049324E" w:rsidP="0049324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F374B5" wp14:editId="1EB043DF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B072A5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5D4A9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15D75"/>
    <w:multiLevelType w:val="hybridMultilevel"/>
    <w:tmpl w:val="4CB8A8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6506B5"/>
    <w:multiLevelType w:val="hybridMultilevel"/>
    <w:tmpl w:val="F45022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7A7D3A"/>
    <w:multiLevelType w:val="hybridMultilevel"/>
    <w:tmpl w:val="26B67FC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3769000">
    <w:abstractNumId w:val="0"/>
  </w:num>
  <w:num w:numId="2" w16cid:durableId="1005403399">
    <w:abstractNumId w:val="2"/>
  </w:num>
  <w:num w:numId="3" w16cid:durableId="397287923">
    <w:abstractNumId w:val="1"/>
  </w:num>
  <w:num w:numId="4" w16cid:durableId="1025787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D37"/>
    <w:rsid w:val="00007B80"/>
    <w:rsid w:val="00013A22"/>
    <w:rsid w:val="00014C3F"/>
    <w:rsid w:val="00017C82"/>
    <w:rsid w:val="00032B88"/>
    <w:rsid w:val="00037E52"/>
    <w:rsid w:val="00046DF5"/>
    <w:rsid w:val="000471CE"/>
    <w:rsid w:val="00052060"/>
    <w:rsid w:val="0005574A"/>
    <w:rsid w:val="00055FE1"/>
    <w:rsid w:val="00056EC2"/>
    <w:rsid w:val="000609C3"/>
    <w:rsid w:val="00060B48"/>
    <w:rsid w:val="00067F32"/>
    <w:rsid w:val="00071807"/>
    <w:rsid w:val="000803E1"/>
    <w:rsid w:val="00080E79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E6F61"/>
    <w:rsid w:val="000F742B"/>
    <w:rsid w:val="0010461E"/>
    <w:rsid w:val="00106FAA"/>
    <w:rsid w:val="00113443"/>
    <w:rsid w:val="0012211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2A52"/>
    <w:rsid w:val="001A3859"/>
    <w:rsid w:val="001A3C9D"/>
    <w:rsid w:val="001A43F8"/>
    <w:rsid w:val="001A7AAD"/>
    <w:rsid w:val="001B79E5"/>
    <w:rsid w:val="001D56F0"/>
    <w:rsid w:val="001D663B"/>
    <w:rsid w:val="001D7B41"/>
    <w:rsid w:val="001E3800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C56"/>
    <w:rsid w:val="00221547"/>
    <w:rsid w:val="002216FC"/>
    <w:rsid w:val="00222533"/>
    <w:rsid w:val="00222F30"/>
    <w:rsid w:val="00223CBA"/>
    <w:rsid w:val="00224EE2"/>
    <w:rsid w:val="00227EC7"/>
    <w:rsid w:val="00244AD1"/>
    <w:rsid w:val="002463BC"/>
    <w:rsid w:val="00246415"/>
    <w:rsid w:val="002465CE"/>
    <w:rsid w:val="00252566"/>
    <w:rsid w:val="00256F46"/>
    <w:rsid w:val="0025734A"/>
    <w:rsid w:val="00263255"/>
    <w:rsid w:val="002721A4"/>
    <w:rsid w:val="00276494"/>
    <w:rsid w:val="00277B0C"/>
    <w:rsid w:val="002B1A2C"/>
    <w:rsid w:val="002B3749"/>
    <w:rsid w:val="002C34F2"/>
    <w:rsid w:val="002C58FF"/>
    <w:rsid w:val="002C7AFE"/>
    <w:rsid w:val="002D05D2"/>
    <w:rsid w:val="002E0D61"/>
    <w:rsid w:val="002E4C7B"/>
    <w:rsid w:val="002F2C3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2A3"/>
    <w:rsid w:val="003E51FB"/>
    <w:rsid w:val="003E6B39"/>
    <w:rsid w:val="003E7388"/>
    <w:rsid w:val="003F07E1"/>
    <w:rsid w:val="00402292"/>
    <w:rsid w:val="004030BC"/>
    <w:rsid w:val="00403F7D"/>
    <w:rsid w:val="004047D2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6C78"/>
    <w:rsid w:val="00485BFD"/>
    <w:rsid w:val="004867A2"/>
    <w:rsid w:val="004873F2"/>
    <w:rsid w:val="00490D4C"/>
    <w:rsid w:val="0049324E"/>
    <w:rsid w:val="00493A35"/>
    <w:rsid w:val="0049527A"/>
    <w:rsid w:val="004966BF"/>
    <w:rsid w:val="00497984"/>
    <w:rsid w:val="004A0A96"/>
    <w:rsid w:val="004A5088"/>
    <w:rsid w:val="004C1E3F"/>
    <w:rsid w:val="004C23F4"/>
    <w:rsid w:val="004C3475"/>
    <w:rsid w:val="004C58B6"/>
    <w:rsid w:val="004D16A3"/>
    <w:rsid w:val="004D4AA1"/>
    <w:rsid w:val="004D6D68"/>
    <w:rsid w:val="004E402B"/>
    <w:rsid w:val="004E5EDD"/>
    <w:rsid w:val="004F448A"/>
    <w:rsid w:val="004F493D"/>
    <w:rsid w:val="004F65E8"/>
    <w:rsid w:val="0050005E"/>
    <w:rsid w:val="00502B88"/>
    <w:rsid w:val="005142C4"/>
    <w:rsid w:val="0051509C"/>
    <w:rsid w:val="00516519"/>
    <w:rsid w:val="005270A9"/>
    <w:rsid w:val="005272E2"/>
    <w:rsid w:val="0053108F"/>
    <w:rsid w:val="00532B56"/>
    <w:rsid w:val="00534B10"/>
    <w:rsid w:val="005446A2"/>
    <w:rsid w:val="00544D2F"/>
    <w:rsid w:val="00551BD8"/>
    <w:rsid w:val="00581055"/>
    <w:rsid w:val="005848CB"/>
    <w:rsid w:val="00591E38"/>
    <w:rsid w:val="005A19C5"/>
    <w:rsid w:val="005A3034"/>
    <w:rsid w:val="005A462D"/>
    <w:rsid w:val="005A7679"/>
    <w:rsid w:val="005B253B"/>
    <w:rsid w:val="005B771D"/>
    <w:rsid w:val="005C5D16"/>
    <w:rsid w:val="005D3193"/>
    <w:rsid w:val="005D4A6E"/>
    <w:rsid w:val="005E5934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6173"/>
    <w:rsid w:val="006B14B3"/>
    <w:rsid w:val="006B160A"/>
    <w:rsid w:val="006B4E6C"/>
    <w:rsid w:val="006B50B6"/>
    <w:rsid w:val="006D0007"/>
    <w:rsid w:val="006D79EA"/>
    <w:rsid w:val="006E5D05"/>
    <w:rsid w:val="006F6F89"/>
    <w:rsid w:val="00701053"/>
    <w:rsid w:val="00701507"/>
    <w:rsid w:val="007029D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873B7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50A"/>
    <w:rsid w:val="007E6A4E"/>
    <w:rsid w:val="007E6C94"/>
    <w:rsid w:val="007F1005"/>
    <w:rsid w:val="007F25E0"/>
    <w:rsid w:val="007F5328"/>
    <w:rsid w:val="007F700A"/>
    <w:rsid w:val="008002B8"/>
    <w:rsid w:val="00803FB5"/>
    <w:rsid w:val="00804F5A"/>
    <w:rsid w:val="00806BE5"/>
    <w:rsid w:val="00810C6D"/>
    <w:rsid w:val="00812887"/>
    <w:rsid w:val="00826F21"/>
    <w:rsid w:val="00834CC8"/>
    <w:rsid w:val="00835E00"/>
    <w:rsid w:val="00837113"/>
    <w:rsid w:val="008414E4"/>
    <w:rsid w:val="008417A1"/>
    <w:rsid w:val="00843E21"/>
    <w:rsid w:val="0084508E"/>
    <w:rsid w:val="0085353C"/>
    <w:rsid w:val="00857A8A"/>
    <w:rsid w:val="008611FB"/>
    <w:rsid w:val="008630EE"/>
    <w:rsid w:val="00864D13"/>
    <w:rsid w:val="00871CD5"/>
    <w:rsid w:val="008745A2"/>
    <w:rsid w:val="00875A4E"/>
    <w:rsid w:val="008768A8"/>
    <w:rsid w:val="0088798F"/>
    <w:rsid w:val="00887E4B"/>
    <w:rsid w:val="008915C8"/>
    <w:rsid w:val="00897FB6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2847"/>
    <w:rsid w:val="008E2F9D"/>
    <w:rsid w:val="008E4F1F"/>
    <w:rsid w:val="008E7B64"/>
    <w:rsid w:val="008F5DCD"/>
    <w:rsid w:val="00900951"/>
    <w:rsid w:val="009061B6"/>
    <w:rsid w:val="009118A6"/>
    <w:rsid w:val="00916909"/>
    <w:rsid w:val="00916EC0"/>
    <w:rsid w:val="00920467"/>
    <w:rsid w:val="00921DE7"/>
    <w:rsid w:val="0092743D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12F"/>
    <w:rsid w:val="009621B6"/>
    <w:rsid w:val="00974F2D"/>
    <w:rsid w:val="00977524"/>
    <w:rsid w:val="00977E88"/>
    <w:rsid w:val="00984920"/>
    <w:rsid w:val="0099303A"/>
    <w:rsid w:val="00993D6C"/>
    <w:rsid w:val="009971C2"/>
    <w:rsid w:val="009A0624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F2E"/>
    <w:rsid w:val="00A01C32"/>
    <w:rsid w:val="00A01D0C"/>
    <w:rsid w:val="00A0643F"/>
    <w:rsid w:val="00A067EE"/>
    <w:rsid w:val="00A10FCE"/>
    <w:rsid w:val="00A16693"/>
    <w:rsid w:val="00A16A99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532"/>
    <w:rsid w:val="00A84504"/>
    <w:rsid w:val="00A8672F"/>
    <w:rsid w:val="00A87201"/>
    <w:rsid w:val="00A92864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6300"/>
    <w:rsid w:val="00AF42CB"/>
    <w:rsid w:val="00AF483F"/>
    <w:rsid w:val="00AF5E07"/>
    <w:rsid w:val="00AF5F06"/>
    <w:rsid w:val="00B00A25"/>
    <w:rsid w:val="00B1422A"/>
    <w:rsid w:val="00B1765C"/>
    <w:rsid w:val="00B213C4"/>
    <w:rsid w:val="00B22321"/>
    <w:rsid w:val="00B34B45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4D9B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45E1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231C"/>
    <w:rsid w:val="00CE5AD6"/>
    <w:rsid w:val="00CE617F"/>
    <w:rsid w:val="00CE78EF"/>
    <w:rsid w:val="00CE7969"/>
    <w:rsid w:val="00D048F7"/>
    <w:rsid w:val="00D0517E"/>
    <w:rsid w:val="00D13A6E"/>
    <w:rsid w:val="00D140FC"/>
    <w:rsid w:val="00D217AB"/>
    <w:rsid w:val="00D21D8C"/>
    <w:rsid w:val="00D31357"/>
    <w:rsid w:val="00D33220"/>
    <w:rsid w:val="00D334D1"/>
    <w:rsid w:val="00D44C89"/>
    <w:rsid w:val="00D5001A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541C"/>
    <w:rsid w:val="00DC7694"/>
    <w:rsid w:val="00DD1BF6"/>
    <w:rsid w:val="00DD2F9B"/>
    <w:rsid w:val="00DE2513"/>
    <w:rsid w:val="00DE26E8"/>
    <w:rsid w:val="00DF072E"/>
    <w:rsid w:val="00DF6F36"/>
    <w:rsid w:val="00DF7AD9"/>
    <w:rsid w:val="00E0084C"/>
    <w:rsid w:val="00E025AB"/>
    <w:rsid w:val="00E02B23"/>
    <w:rsid w:val="00E03D01"/>
    <w:rsid w:val="00E06F40"/>
    <w:rsid w:val="00E07CE8"/>
    <w:rsid w:val="00E26A07"/>
    <w:rsid w:val="00E31672"/>
    <w:rsid w:val="00E32595"/>
    <w:rsid w:val="00E37CFD"/>
    <w:rsid w:val="00E41A26"/>
    <w:rsid w:val="00E46BCB"/>
    <w:rsid w:val="00E51CAF"/>
    <w:rsid w:val="00E57F73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37E1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388"/>
    <w:rsid w:val="00F20E68"/>
    <w:rsid w:val="00F22093"/>
    <w:rsid w:val="00F236DF"/>
    <w:rsid w:val="00F43AD5"/>
    <w:rsid w:val="00F4402E"/>
    <w:rsid w:val="00F56DD0"/>
    <w:rsid w:val="00F64153"/>
    <w:rsid w:val="00F6491C"/>
    <w:rsid w:val="00F67BBB"/>
    <w:rsid w:val="00F75AEB"/>
    <w:rsid w:val="00F87D92"/>
    <w:rsid w:val="00F90AA7"/>
    <w:rsid w:val="00F90AED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33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90AE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7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7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72"/>
    <w:rPr>
      <w:b/>
      <w:bCs/>
      <w:szCs w:val="20"/>
    </w:rPr>
  </w:style>
  <w:style w:type="paragraph" w:styleId="NormalWeb">
    <w:name w:val="Normal (Web)"/>
    <w:basedOn w:val="Normal"/>
    <w:uiPriority w:val="99"/>
    <w:semiHidden/>
    <w:unhideWhenUsed/>
    <w:rsid w:val="00A16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96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C91EB460673443A87539A6BA35E9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6AC20-182E-41DE-8208-8297F559D3DF}"/>
      </w:docPartPr>
      <w:docPartBody>
        <w:p w:rsidR="00A81F74" w:rsidRDefault="00E158B1" w:rsidP="00E158B1">
          <w:pPr>
            <w:pStyle w:val="AC91EB460673443A87539A6BA35E934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FBF"/>
    <w:rsid w:val="00875A4E"/>
    <w:rsid w:val="009A11BE"/>
    <w:rsid w:val="009F2F2E"/>
    <w:rsid w:val="00A81F74"/>
    <w:rsid w:val="00AE1FDF"/>
    <w:rsid w:val="00CA72D3"/>
    <w:rsid w:val="00D21A9F"/>
    <w:rsid w:val="00E158B1"/>
    <w:rsid w:val="00F9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58B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AC91EB460673443A87539A6BA35E934C">
    <w:name w:val="AC91EB460673443A87539A6BA35E934C"/>
    <w:rsid w:val="00E15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BCD45-ADF8-4778-AF99-CCD4B9110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5CA4E-D270-4AE5-AD0C-A1444C98129B}">
  <ds:schemaRefs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purl.org/dc/terms/"/>
    <ds:schemaRef ds:uri="http://schemas.microsoft.com/office/2006/metadata/properties"/>
    <ds:schemaRef ds:uri="1c567317-0c4d-4a62-8516-c22afd1b5354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909F2D5-74CB-42EC-97DF-AA93C8FB0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66214C-3CB8-4A7C-938E-86279B8B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2020-05-07T23:32:00Z</dcterms:created>
  <dcterms:modified xsi:type="dcterms:W3CDTF">2026-01-09T02:08:00Z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2026-01-07T01:56:35Z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2d2e9852-004f-46e5-9b22-a0f984088967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