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0467C510" w:rsidR="00BD499F" w:rsidRPr="004C23F4" w:rsidRDefault="001E0FC2" w:rsidP="00B40C60">
          <w:pPr>
            <w:pStyle w:val="Heading1"/>
            <w:jc w:val="center"/>
            <w:rPr>
              <w:rFonts w:ascii="Arial" w:hAnsi="Arial" w:cs="Arial"/>
            </w:rPr>
          </w:pPr>
          <w:r w:rsidRPr="001E0FC2">
            <w:rPr>
              <w:rFonts w:ascii="Arial" w:hAnsi="Arial" w:cs="Arial"/>
            </w:rPr>
            <w:t>Vinyl chloride, monomer</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5"/>
        <w:gridCol w:w="5051"/>
      </w:tblGrid>
      <w:tr w:rsidR="00F43AD5" w:rsidRPr="004C23F4" w14:paraId="189D6E38" w14:textId="77777777" w:rsidTr="00351B9E">
        <w:trPr>
          <w:cantSplit/>
          <w:tblHeader/>
        </w:trPr>
        <w:tc>
          <w:tcPr>
            <w:tcW w:w="3975" w:type="dxa"/>
          </w:tcPr>
          <w:p w14:paraId="517634FF" w14:textId="77777777" w:rsidR="00F43AD5" w:rsidRPr="00921DE7" w:rsidRDefault="00CB1CB1" w:rsidP="00B76A41">
            <w:pPr>
              <w:pStyle w:val="Tablerowright"/>
            </w:pPr>
            <w:r w:rsidRPr="00921DE7">
              <w:t>CAS number:</w:t>
            </w:r>
          </w:p>
        </w:tc>
        <w:tc>
          <w:tcPr>
            <w:tcW w:w="5051" w:type="dxa"/>
          </w:tcPr>
          <w:p w14:paraId="3EDBFD9E" w14:textId="09389718" w:rsidR="00F43AD5" w:rsidRPr="00717D45" w:rsidRDefault="003D44F2" w:rsidP="00B76A41">
            <w:pPr>
              <w:pStyle w:val="Tablefont"/>
            </w:pPr>
            <w:r w:rsidRPr="003D44F2">
              <w:t>75-01-4</w:t>
            </w:r>
          </w:p>
        </w:tc>
      </w:tr>
      <w:tr w:rsidR="00F43AD5" w:rsidRPr="004C23F4" w14:paraId="562A9F51" w14:textId="77777777" w:rsidTr="00351B9E">
        <w:trPr>
          <w:cantSplit/>
        </w:trPr>
        <w:tc>
          <w:tcPr>
            <w:tcW w:w="3975" w:type="dxa"/>
          </w:tcPr>
          <w:p w14:paraId="6A9A0952" w14:textId="77777777" w:rsidR="00F43AD5" w:rsidRPr="00921DE7" w:rsidRDefault="00CB1CB1" w:rsidP="00B76A41">
            <w:pPr>
              <w:pStyle w:val="Tablerowright"/>
            </w:pPr>
            <w:r w:rsidRPr="00921DE7">
              <w:t>Synonyms:</w:t>
            </w:r>
          </w:p>
        </w:tc>
        <w:tc>
          <w:tcPr>
            <w:tcW w:w="5051" w:type="dxa"/>
          </w:tcPr>
          <w:p w14:paraId="32648AB9" w14:textId="62A73922" w:rsidR="00F43AD5" w:rsidRPr="00717D45" w:rsidRDefault="00AC564D" w:rsidP="00B76A41">
            <w:pPr>
              <w:pStyle w:val="Tablefont"/>
            </w:pPr>
            <w:r>
              <w:t>Chloroethene,</w:t>
            </w:r>
            <w:r w:rsidRPr="00AC564D">
              <w:t xml:space="preserve"> Chl</w:t>
            </w:r>
            <w:r>
              <w:t>oroethylene, Monochloroethylene,</w:t>
            </w:r>
            <w:r w:rsidRPr="00AC564D">
              <w:t xml:space="preserve"> Vinyl chloride </w:t>
            </w:r>
          </w:p>
        </w:tc>
      </w:tr>
      <w:tr w:rsidR="00F43AD5" w:rsidRPr="004C23F4" w14:paraId="6EE54A08" w14:textId="77777777" w:rsidTr="00351B9E">
        <w:trPr>
          <w:cantSplit/>
        </w:trPr>
        <w:tc>
          <w:tcPr>
            <w:tcW w:w="3975" w:type="dxa"/>
          </w:tcPr>
          <w:p w14:paraId="3C2EC489" w14:textId="77777777" w:rsidR="00F43AD5" w:rsidRPr="00921DE7" w:rsidRDefault="00CB1CB1" w:rsidP="00B76A41">
            <w:pPr>
              <w:pStyle w:val="Tablerowright"/>
            </w:pPr>
            <w:r w:rsidRPr="00921DE7">
              <w:t>Chemical formula:</w:t>
            </w:r>
          </w:p>
        </w:tc>
        <w:tc>
          <w:tcPr>
            <w:tcW w:w="5051" w:type="dxa"/>
          </w:tcPr>
          <w:p w14:paraId="69369B00" w14:textId="28A67482" w:rsidR="00F43AD5" w:rsidRPr="00717D45" w:rsidRDefault="00AC564D" w:rsidP="00B76A41">
            <w:pPr>
              <w:pStyle w:val="Tablefont"/>
            </w:pPr>
            <w:r w:rsidRPr="00AC564D">
              <w:t>C</w:t>
            </w:r>
            <w:r w:rsidRPr="00AC564D">
              <w:rPr>
                <w:vertAlign w:val="subscript"/>
              </w:rPr>
              <w:t>2</w:t>
            </w:r>
            <w:r w:rsidRPr="00AC564D">
              <w:t>H</w:t>
            </w:r>
            <w:r w:rsidRPr="00AC564D">
              <w:rPr>
                <w:vertAlign w:val="subscript"/>
              </w:rPr>
              <w:t>3</w:t>
            </w:r>
            <w:r w:rsidRPr="00AC564D">
              <w:t>Cl</w:t>
            </w:r>
          </w:p>
        </w:tc>
      </w:tr>
    </w:tbl>
    <w:p w14:paraId="71D72173" w14:textId="010F178E"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721F79">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4A2C85B0" w:rsidR="002C7AFE" w:rsidRPr="006D5701" w:rsidRDefault="006D5701" w:rsidP="00017C82">
            <w:pPr>
              <w:pStyle w:val="Tablefont"/>
            </w:pPr>
            <w:r w:rsidRPr="00366C10">
              <w:rPr>
                <w:b/>
                <w:bCs/>
              </w:rPr>
              <w:t>7 ppb</w:t>
            </w:r>
            <w:r>
              <w:rPr>
                <w:b/>
                <w:bCs/>
              </w:rPr>
              <w:t xml:space="preserve"> (</w:t>
            </w:r>
            <w:r w:rsidR="00721F79" w:rsidRPr="00366C10">
              <w:rPr>
                <w:b/>
                <w:bCs/>
              </w:rPr>
              <w:t xml:space="preserve">18.2 </w:t>
            </w:r>
            <w:r w:rsidR="00721F79" w:rsidRPr="00366C10">
              <w:rPr>
                <w:rFonts w:cs="Arial"/>
                <w:b/>
                <w:bCs/>
              </w:rPr>
              <w:t>µ</w:t>
            </w:r>
            <w:r w:rsidR="00721F79" w:rsidRPr="00366C10">
              <w:rPr>
                <w:b/>
                <w:bCs/>
              </w:rPr>
              <w:t>g/m</w:t>
            </w:r>
            <w:r w:rsidR="00721F79" w:rsidRPr="00366C10">
              <w:rPr>
                <w:b/>
                <w:bCs/>
                <w:vertAlign w:val="superscript"/>
              </w:rPr>
              <w:t>3</w:t>
            </w:r>
            <w:r>
              <w:rPr>
                <w:b/>
                <w:bCs/>
              </w:rPr>
              <w:t>)</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77777777" w:rsidR="00037E52" w:rsidRPr="00EB3D1B" w:rsidRDefault="00037E52" w:rsidP="00037E52">
            <w:pPr>
              <w:pStyle w:val="Tablefont"/>
              <w:rPr>
                <w:b/>
              </w:rPr>
            </w:pP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32A4F6F7" w:rsidR="00037E52" w:rsidRPr="00EB3D1B" w:rsidRDefault="00721F79" w:rsidP="00037E52">
            <w:pPr>
              <w:pStyle w:val="Tablefont"/>
              <w:rPr>
                <w:b/>
              </w:rPr>
            </w:pPr>
            <w:r>
              <w:rPr>
                <w:b/>
              </w:rPr>
              <w:t>Carc. 1A</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77777777" w:rsidR="00037E52" w:rsidRPr="00EB3D1B" w:rsidRDefault="00037E52" w:rsidP="00037E52">
            <w:pPr>
              <w:pStyle w:val="Tablefont"/>
              <w:rPr>
                <w:b/>
              </w:rPr>
            </w:pPr>
            <w:r>
              <w:rPr>
                <w:b/>
              </w:rPr>
              <w:t>—</w:t>
            </w:r>
          </w:p>
        </w:tc>
      </w:tr>
      <w:tr w:rsidR="00155999" w:rsidRPr="004C23F4" w14:paraId="27D0E012" w14:textId="77777777" w:rsidTr="00727C12">
        <w:trPr>
          <w:cantSplit/>
        </w:trPr>
        <w:tc>
          <w:tcPr>
            <w:tcW w:w="9026" w:type="dxa"/>
            <w:gridSpan w:val="2"/>
            <w:vAlign w:val="center"/>
          </w:tcPr>
          <w:p w14:paraId="31B5D59E" w14:textId="416964AC" w:rsidR="00155999" w:rsidRPr="00366C10" w:rsidRDefault="00155999" w:rsidP="00037E52">
            <w:pPr>
              <w:pStyle w:val="Tablefont"/>
              <w:rPr>
                <w:b/>
                <w:bCs/>
              </w:rPr>
            </w:pPr>
            <w:r w:rsidRPr="00366C10">
              <w:rPr>
                <w:b/>
                <w:bCs/>
              </w:rPr>
              <w:t>Sampling and analysis:</w:t>
            </w:r>
            <w:r w:rsidRPr="00366C10">
              <w:rPr>
                <w:rStyle w:val="WESstatus"/>
                <w:b/>
                <w:bCs/>
                <w:color w:val="auto"/>
              </w:rPr>
              <w:t xml:space="preserve"> </w:t>
            </w:r>
            <w:sdt>
              <w:sdtPr>
                <w:rPr>
                  <w:rStyle w:val="WESstatu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366C10">
                  <w:rPr>
                    <w:rStyle w:val="WESstatus"/>
                    <w:color w:val="auto"/>
                  </w:rPr>
                  <w:t>There is uncertainty regarding quantification of the recommended value with available sampling and/or analysis techniques.</w:t>
                </w:r>
              </w:sdtContent>
            </w:sdt>
          </w:p>
        </w:tc>
      </w:tr>
    </w:tbl>
    <w:p w14:paraId="1330EBEE" w14:textId="77777777" w:rsidR="00CB1CB1" w:rsidRPr="003365A5" w:rsidRDefault="00F10C97" w:rsidP="003365A5">
      <w:pPr>
        <w:pStyle w:val="Heading2"/>
      </w:pPr>
      <w:r>
        <w:t>Recommendation and basis for workplace exposure standard</w:t>
      </w:r>
    </w:p>
    <w:p w14:paraId="56D7D7AF" w14:textId="744ADCF1" w:rsidR="006639B4" w:rsidRPr="004C23F4" w:rsidRDefault="001B7B68" w:rsidP="000C139A">
      <w:pPr>
        <w:rPr>
          <w:rFonts w:cs="Arial"/>
        </w:rPr>
      </w:pPr>
      <w:r>
        <w:rPr>
          <w:rFonts w:cs="Arial"/>
        </w:rPr>
        <w:t xml:space="preserve">A TWA of </w:t>
      </w:r>
      <w:r w:rsidR="006D5701">
        <w:t xml:space="preserve">7 ppb </w:t>
      </w:r>
      <w:r>
        <w:t>(</w:t>
      </w:r>
      <w:r w:rsidR="006D5701">
        <w:t xml:space="preserve">18.2 </w:t>
      </w:r>
      <w:r w:rsidR="006D5701">
        <w:rPr>
          <w:rFonts w:cs="Arial"/>
        </w:rPr>
        <w:t>µ</w:t>
      </w:r>
      <w:r w:rsidR="006D5701">
        <w:t>g/m</w:t>
      </w:r>
      <w:r w:rsidR="006D5701">
        <w:rPr>
          <w:vertAlign w:val="superscript"/>
        </w:rPr>
        <w:t>3</w:t>
      </w:r>
      <w:r>
        <w:t>) is recommended to reduce the risk of cancer in exposed workers.</w:t>
      </w:r>
    </w:p>
    <w:p w14:paraId="317A46B1" w14:textId="77777777" w:rsidR="00C7155E" w:rsidRPr="004C23F4" w:rsidRDefault="00F10C97" w:rsidP="003365A5">
      <w:pPr>
        <w:pStyle w:val="Heading2"/>
      </w:pPr>
      <w:r>
        <w:t>Discussion and conclusions</w:t>
      </w:r>
    </w:p>
    <w:p w14:paraId="58D6663D" w14:textId="77777777" w:rsidR="004A7009" w:rsidRDefault="00CB572A" w:rsidP="006639B4">
      <w:r w:rsidRPr="00CB572A">
        <w:rPr>
          <w:rFonts w:cs="Arial"/>
        </w:rPr>
        <w:t>Vinyl chloride i</w:t>
      </w:r>
      <w:r w:rsidR="004E1591">
        <w:rPr>
          <w:rFonts w:cs="Arial"/>
        </w:rPr>
        <w:t xml:space="preserve">s used primarily </w:t>
      </w:r>
      <w:r>
        <w:rPr>
          <w:rFonts w:cs="Arial"/>
        </w:rPr>
        <w:t xml:space="preserve">in the </w:t>
      </w:r>
      <w:r w:rsidRPr="00CB572A">
        <w:rPr>
          <w:rFonts w:cs="Arial"/>
        </w:rPr>
        <w:t>manufact</w:t>
      </w:r>
      <w:r w:rsidR="004E1591">
        <w:rPr>
          <w:rFonts w:cs="Arial"/>
        </w:rPr>
        <w:t xml:space="preserve">ure of polyvinyl chloride (PVC). </w:t>
      </w:r>
      <w:r w:rsidR="004E1591">
        <w:t xml:space="preserve">It </w:t>
      </w:r>
      <w:r w:rsidR="00366C10">
        <w:t xml:space="preserve">has </w:t>
      </w:r>
      <w:r w:rsidR="004E1591">
        <w:t xml:space="preserve">also been employed in organic syntheses and in production of vinyl chloride–vinyl acetate copolymers. </w:t>
      </w:r>
    </w:p>
    <w:p w14:paraId="24C6CE69" w14:textId="77777777" w:rsidR="00BC0805" w:rsidRDefault="00366C10" w:rsidP="00727C12">
      <w:r>
        <w:t>The c</w:t>
      </w:r>
      <w:r w:rsidR="004E1591">
        <w:t xml:space="preserve">ritical effect </w:t>
      </w:r>
      <w:r>
        <w:t>of</w:t>
      </w:r>
      <w:r w:rsidR="004E1591">
        <w:t xml:space="preserve"> exposure is liver cancer. </w:t>
      </w:r>
    </w:p>
    <w:p w14:paraId="50C014C6" w14:textId="0C2F1360" w:rsidR="00727C12" w:rsidRDefault="001B4728" w:rsidP="00727C12">
      <w:r>
        <w:t>Vinyl chloride is considered a human carcinogen b</w:t>
      </w:r>
      <w:r w:rsidR="000B7695">
        <w:t xml:space="preserve">ased on unequivocal results </w:t>
      </w:r>
      <w:r w:rsidR="00351B9E">
        <w:t>in</w:t>
      </w:r>
      <w:r w:rsidR="000B7695">
        <w:t xml:space="preserve"> epidemiological studies</w:t>
      </w:r>
      <w:r w:rsidR="00FB457C">
        <w:t xml:space="preserve">. The most convincing evidence </w:t>
      </w:r>
      <w:r w:rsidR="00955409">
        <w:t>comes</w:t>
      </w:r>
      <w:r w:rsidR="00FB457C">
        <w:t xml:space="preserve"> from two large, multicentre cohort studies, one in Europe and one in North America</w:t>
      </w:r>
      <w:r w:rsidR="002926C9">
        <w:t xml:space="preserve">. These studies </w:t>
      </w:r>
      <w:r w:rsidR="00FB457C">
        <w:t>focus</w:t>
      </w:r>
      <w:r w:rsidR="002926C9">
        <w:t xml:space="preserve"> </w:t>
      </w:r>
      <w:r w:rsidR="00FB457C">
        <w:t xml:space="preserve">on workers in plants that manufactured vinyl chloride monomer, polyvinyl chloride or polyvinyl chloride products. Both </w:t>
      </w:r>
      <w:r w:rsidR="00EF2B40">
        <w:t>studies</w:t>
      </w:r>
      <w:r w:rsidR="00727C12">
        <w:t xml:space="preserve"> </w:t>
      </w:r>
      <w:r w:rsidR="00FB457C">
        <w:t>demonstrate a relationship between occupational exposure and liver cancer</w:t>
      </w:r>
      <w:r w:rsidR="00EF2B40">
        <w:t xml:space="preserve"> with the risk increasing strongly with duration of exposure</w:t>
      </w:r>
      <w:r w:rsidR="00FB457C">
        <w:t xml:space="preserve">. </w:t>
      </w:r>
      <w:r w:rsidR="00D329E8">
        <w:t>In t</w:t>
      </w:r>
      <w:r w:rsidR="000C3E42">
        <w:t>he</w:t>
      </w:r>
      <w:r w:rsidR="00EF2B40">
        <w:t xml:space="preserve"> European study</w:t>
      </w:r>
      <w:r w:rsidR="00D329E8">
        <w:t>,</w:t>
      </w:r>
      <w:r w:rsidR="00EF2B40">
        <w:t xml:space="preserve"> the</w:t>
      </w:r>
      <w:r w:rsidR="00FB457C">
        <w:t xml:space="preserve"> </w:t>
      </w:r>
      <w:r w:rsidR="005B74DB">
        <w:t xml:space="preserve">incidence of liver cancer </w:t>
      </w:r>
      <w:r w:rsidR="00351B9E">
        <w:t>i</w:t>
      </w:r>
      <w:r w:rsidR="005B74DB">
        <w:t>s related to c</w:t>
      </w:r>
      <w:r w:rsidR="00727C12">
        <w:t>umulative exposure in ppm-</w:t>
      </w:r>
      <w:r w:rsidR="000C3E42">
        <w:t>years. This evidence has been support</w:t>
      </w:r>
      <w:r w:rsidR="009F3A6E">
        <w:t>ed</w:t>
      </w:r>
      <w:r w:rsidR="000C3E42">
        <w:t xml:space="preserve"> by other studies in humans </w:t>
      </w:r>
      <w:r w:rsidR="00955409">
        <w:t xml:space="preserve">and animals </w:t>
      </w:r>
      <w:r w:rsidR="000C3E42">
        <w:t>reported in the primary and secondary sources</w:t>
      </w:r>
      <w:r w:rsidR="009F3A6E">
        <w:t xml:space="preserve"> </w:t>
      </w:r>
      <w:r w:rsidR="00727C12">
        <w:t>(AC</w:t>
      </w:r>
      <w:r w:rsidR="00721F79">
        <w:t>GIH, 2018; DFG, 2019; IARC, 2012</w:t>
      </w:r>
      <w:r w:rsidR="00727C12">
        <w:t xml:space="preserve">). </w:t>
      </w:r>
      <w:r w:rsidR="00721F79">
        <w:t>NICNAS (2014) and DFG (2019) cite cancer as the critical</w:t>
      </w:r>
      <w:r w:rsidR="00366C10">
        <w:t xml:space="preserve"> effect</w:t>
      </w:r>
      <w:r w:rsidR="00721F79">
        <w:t xml:space="preserve">. </w:t>
      </w:r>
      <w:r w:rsidR="00721F79" w:rsidRPr="00721F79">
        <w:t xml:space="preserve">Mutagenicity is </w:t>
      </w:r>
      <w:r w:rsidR="00D329E8">
        <w:t>reported</w:t>
      </w:r>
      <w:r w:rsidR="00D329E8" w:rsidRPr="00721F79">
        <w:t xml:space="preserve"> </w:t>
      </w:r>
      <w:r w:rsidR="00721F79" w:rsidRPr="00721F79">
        <w:t xml:space="preserve">both </w:t>
      </w:r>
      <w:r w:rsidR="00721F79" w:rsidRPr="00721F79">
        <w:rPr>
          <w:i/>
        </w:rPr>
        <w:t>in vitro</w:t>
      </w:r>
      <w:r w:rsidR="00721F79" w:rsidRPr="00721F79">
        <w:t xml:space="preserve"> and </w:t>
      </w:r>
      <w:r w:rsidR="00721F79" w:rsidRPr="00721F79">
        <w:rPr>
          <w:i/>
        </w:rPr>
        <w:t>in vivo</w:t>
      </w:r>
      <w:r w:rsidR="00721F79" w:rsidRPr="00721F79">
        <w:t xml:space="preserve">. The mechanism of action for carcinogenicity </w:t>
      </w:r>
      <w:r w:rsidR="00721F79">
        <w:t>is likely to</w:t>
      </w:r>
      <w:r w:rsidR="00721F79" w:rsidRPr="00721F79">
        <w:t xml:space="preserve"> act </w:t>
      </w:r>
      <w:r w:rsidR="00721F79" w:rsidRPr="00351B9E">
        <w:rPr>
          <w:i/>
        </w:rPr>
        <w:t>via</w:t>
      </w:r>
      <w:r w:rsidR="00721F79" w:rsidRPr="00721F79">
        <w:t xml:space="preserve"> a mutagenic mode of action</w:t>
      </w:r>
      <w:r w:rsidR="00721F79">
        <w:t xml:space="preserve"> (ACGIH, 2018; DFG, 2019; </w:t>
      </w:r>
      <w:r w:rsidR="004A7009">
        <w:t xml:space="preserve">IARC, 2012; </w:t>
      </w:r>
      <w:r w:rsidR="00721F79">
        <w:t xml:space="preserve">USEPA, 2000). </w:t>
      </w:r>
      <w:r w:rsidR="00721F79">
        <w:rPr>
          <w:rFonts w:cs="Arial"/>
        </w:rPr>
        <w:t>For the purposes of this assessment, vinyl chloride is assumed to be a non-threshold-based genotoxic carcinogen.</w:t>
      </w:r>
    </w:p>
    <w:p w14:paraId="19481B58" w14:textId="1362A147" w:rsidR="005B74DB" w:rsidRDefault="00721F79" w:rsidP="00721F79">
      <w:r w:rsidRPr="00721F79">
        <w:t xml:space="preserve">The recommended TWA </w:t>
      </w:r>
      <w:r>
        <w:t xml:space="preserve">of </w:t>
      </w:r>
      <w:r w:rsidR="006D5701">
        <w:t xml:space="preserve">7 ppb </w:t>
      </w:r>
      <w:r>
        <w:t>(</w:t>
      </w:r>
      <w:r w:rsidR="006D5701">
        <w:t xml:space="preserve">18.2 </w:t>
      </w:r>
      <w:r w:rsidR="006D5701">
        <w:rPr>
          <w:rFonts w:cs="Arial"/>
        </w:rPr>
        <w:t>µ</w:t>
      </w:r>
      <w:r w:rsidR="006D5701">
        <w:t>g/m</w:t>
      </w:r>
      <w:r w:rsidR="006D5701">
        <w:rPr>
          <w:vertAlign w:val="superscript"/>
        </w:rPr>
        <w:t>3</w:t>
      </w:r>
      <w:r>
        <w:t xml:space="preserve">) </w:t>
      </w:r>
      <w:r w:rsidRPr="00721F79">
        <w:t xml:space="preserve">is derived at a minimal cancer risk level through application of an inhalation </w:t>
      </w:r>
      <w:r>
        <w:t>risk</w:t>
      </w:r>
      <w:r w:rsidRPr="00721F79">
        <w:t xml:space="preserve"> factor derived from a chronic</w:t>
      </w:r>
      <w:r>
        <w:t xml:space="preserve"> rat</w:t>
      </w:r>
      <w:r w:rsidRPr="00721F79">
        <w:t xml:space="preserve"> </w:t>
      </w:r>
      <w:r>
        <w:t>inhalation using a pharmacokinetic model (reducing the uncertainty in extrapolating from animals to humans)</w:t>
      </w:r>
      <w:r w:rsidRPr="00721F79">
        <w:t xml:space="preserve"> </w:t>
      </w:r>
      <w:r>
        <w:t>(US EPA, 2000</w:t>
      </w:r>
      <w:r w:rsidRPr="00721F79">
        <w:t>).</w:t>
      </w:r>
    </w:p>
    <w:p w14:paraId="273B44AD" w14:textId="77777777" w:rsidR="004529F0" w:rsidRPr="004C23F4" w:rsidRDefault="004529F0" w:rsidP="00957E23">
      <w:pPr>
        <w:pStyle w:val="Heading2"/>
        <w:pageBreakBefore/>
      </w:pPr>
      <w:r>
        <w:lastRenderedPageBreak/>
        <w:t>Recommendation for notations</w:t>
      </w:r>
    </w:p>
    <w:p w14:paraId="27C6755E" w14:textId="6CE252F1" w:rsidR="008E4F1F" w:rsidRPr="00721F79" w:rsidRDefault="00721F79" w:rsidP="008E4F1F">
      <w:pPr>
        <w:rPr>
          <w:rFonts w:cs="Arial"/>
        </w:rPr>
      </w:pPr>
      <w:r w:rsidRPr="00721F79">
        <w:rPr>
          <w:rFonts w:cs="Arial"/>
        </w:rPr>
        <w:t>C</w:t>
      </w:r>
      <w:r w:rsidR="008E4F1F" w:rsidRPr="00721F79">
        <w:rPr>
          <w:rFonts w:cs="Arial"/>
        </w:rPr>
        <w:t>lassified as a carcinogen</w:t>
      </w:r>
      <w:r w:rsidRPr="00721F79">
        <w:rPr>
          <w:rFonts w:cs="Arial"/>
        </w:rPr>
        <w:t xml:space="preserve"> category 1</w:t>
      </w:r>
      <w:r>
        <w:rPr>
          <w:rFonts w:cs="Arial"/>
        </w:rPr>
        <w:t>A</w:t>
      </w:r>
      <w:r w:rsidRPr="00721F79">
        <w:rPr>
          <w:rFonts w:cs="Arial"/>
        </w:rPr>
        <w:t xml:space="preserve"> </w:t>
      </w:r>
      <w:r w:rsidR="008E4F1F" w:rsidRPr="00721F79">
        <w:rPr>
          <w:rFonts w:cs="Arial"/>
        </w:rPr>
        <w:t>according to the Globally Harmonized System of</w:t>
      </w:r>
      <w:r w:rsidR="00155999" w:rsidRPr="00721F79">
        <w:rPr>
          <w:rFonts w:cs="Arial"/>
        </w:rPr>
        <w:t xml:space="preserve"> Classification and Labelling of</w:t>
      </w:r>
      <w:r w:rsidR="008E4F1F" w:rsidRPr="00721F79">
        <w:rPr>
          <w:rFonts w:cs="Arial"/>
        </w:rPr>
        <w:t xml:space="preserve"> Chemicals (GHS). </w:t>
      </w:r>
    </w:p>
    <w:p w14:paraId="03916CCC" w14:textId="77777777" w:rsidR="008E4F1F" w:rsidRPr="00721F79" w:rsidRDefault="008E4F1F" w:rsidP="008E4F1F">
      <w:pPr>
        <w:rPr>
          <w:rFonts w:cs="Arial"/>
        </w:rPr>
      </w:pPr>
      <w:r w:rsidRPr="00721F79">
        <w:rPr>
          <w:rFonts w:cs="Arial"/>
        </w:rPr>
        <w:t xml:space="preserve">Not classified as a skin </w:t>
      </w:r>
      <w:r w:rsidR="00155999" w:rsidRPr="00721F79">
        <w:rPr>
          <w:rFonts w:cs="Arial"/>
        </w:rPr>
        <w:t xml:space="preserve">sensitiser </w:t>
      </w:r>
      <w:r w:rsidRPr="00721F79">
        <w:rPr>
          <w:rFonts w:cs="Arial"/>
        </w:rPr>
        <w:t>or respiratory sensitiser according to the GHS.</w:t>
      </w:r>
    </w:p>
    <w:p w14:paraId="7D0772D2" w14:textId="7D65671A" w:rsidR="004529F0" w:rsidRPr="004C23F4" w:rsidRDefault="00366C10" w:rsidP="008E4F1F">
      <w:pPr>
        <w:rPr>
          <w:rFonts w:cs="Arial"/>
        </w:rPr>
      </w:pPr>
      <w:r>
        <w:rPr>
          <w:rFonts w:cs="Arial"/>
        </w:rPr>
        <w:t>There are i</w:t>
      </w:r>
      <w:r w:rsidR="008E4F1F" w:rsidRPr="00721F79">
        <w:rPr>
          <w:rFonts w:cs="Arial"/>
        </w:rPr>
        <w:t xml:space="preserve">nsufficient </w:t>
      </w:r>
      <w:r>
        <w:rPr>
          <w:rFonts w:cs="Arial"/>
        </w:rPr>
        <w:t>data</w:t>
      </w:r>
      <w:r w:rsidR="008E4F1F" w:rsidRPr="00721F79">
        <w:rPr>
          <w:rFonts w:cs="Arial"/>
        </w:rPr>
        <w:t xml:space="preserve"> to recommend a skin notation.</w:t>
      </w:r>
    </w:p>
    <w:p w14:paraId="21CCE2A5" w14:textId="77777777" w:rsidR="0025734A" w:rsidRPr="004C23F4" w:rsidRDefault="0025734A">
      <w:pPr>
        <w:rPr>
          <w:rFonts w:cs="Arial"/>
        </w:rPr>
      </w:pPr>
    </w:p>
    <w:p w14:paraId="4C1F8D43"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8B1678">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8B1678">
        <w:tc>
          <w:tcPr>
            <w:tcW w:w="5000" w:type="pct"/>
            <w:gridSpan w:val="2"/>
            <w:shd w:val="clear" w:color="auto" w:fill="F2F2F2" w:themeFill="background1" w:themeFillShade="F2"/>
          </w:tcPr>
          <w:p w14:paraId="3127B3A8" w14:textId="370BDB71"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AC564D">
                  <w:t>1991</w:t>
                </w:r>
              </w:sdtContent>
            </w:sdt>
            <w:r w:rsidRPr="003365A5">
              <w:tab/>
            </w:r>
            <w:r>
              <w:tab/>
            </w:r>
            <w:sdt>
              <w:sdtPr>
                <w:alias w:val="SWA WES"/>
                <w:tag w:val="SWA WES"/>
                <w:id w:val="857077202"/>
                <w:placeholder>
                  <w:docPart w:val="81CFEC2FDBC5451289F394E66D92D1A0"/>
                </w:placeholder>
              </w:sdtPr>
              <w:sdtEndPr/>
              <w:sdtContent>
                <w:r w:rsidR="00AC564D">
                  <w:t>TWA: 5 ppm (13 mg/m</w:t>
                </w:r>
                <w:r w:rsidR="00AC564D" w:rsidRPr="00AC564D">
                  <w:rPr>
                    <w:vertAlign w:val="superscript"/>
                  </w:rPr>
                  <w:t>3</w:t>
                </w:r>
                <w:r w:rsidR="00AC564D">
                  <w:t>)</w:t>
                </w:r>
              </w:sdtContent>
            </w:sdt>
          </w:p>
        </w:tc>
      </w:tr>
      <w:tr w:rsidR="00C978F0" w:rsidRPr="00DA352E" w14:paraId="26087DDB" w14:textId="77777777" w:rsidTr="008B1678">
        <w:trPr>
          <w:gridAfter w:val="1"/>
          <w:wAfter w:w="8" w:type="pc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8B1678">
        <w:trPr>
          <w:gridAfter w:val="1"/>
          <w:wAfter w:w="8" w:type="pct"/>
        </w:trPr>
        <w:tc>
          <w:tcPr>
            <w:tcW w:w="4992" w:type="pct"/>
            <w:shd w:val="clear" w:color="auto" w:fill="F2F2F2" w:themeFill="background1" w:themeFillShade="F2"/>
          </w:tcPr>
          <w:p w14:paraId="2ED10929" w14:textId="038333D3"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AC564D">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1217D0">
                  <w:t>TLV-TWA: 1 ppm (2.6 mg/m</w:t>
                </w:r>
                <w:r w:rsidR="001217D0" w:rsidRPr="001217D0">
                  <w:rPr>
                    <w:vertAlign w:val="superscript"/>
                  </w:rPr>
                  <w:t>3</w:t>
                </w:r>
                <w:r w:rsidR="001217D0">
                  <w:t>)</w:t>
                </w:r>
              </w:sdtContent>
            </w:sdt>
          </w:p>
        </w:tc>
      </w:tr>
      <w:tr w:rsidR="00C978F0" w:rsidRPr="00DA352E" w14:paraId="418D532D" w14:textId="77777777" w:rsidTr="008B1678">
        <w:trPr>
          <w:gridAfter w:val="1"/>
          <w:wAfter w:w="8" w:type="pct"/>
        </w:trPr>
        <w:tc>
          <w:tcPr>
            <w:tcW w:w="4992" w:type="pct"/>
          </w:tcPr>
          <w:p w14:paraId="129124EA" w14:textId="0A23DB9A" w:rsidR="00C978F0" w:rsidRDefault="006C40DC" w:rsidP="003365A5">
            <w:pPr>
              <w:pStyle w:val="Tabletextprimarysource"/>
            </w:pPr>
            <w:r>
              <w:t>TLV-TWA recommended to minimise the potential for liver cancer, particularly angiosarcoma.</w:t>
            </w:r>
          </w:p>
          <w:p w14:paraId="1CAC5A8B" w14:textId="2F59D2C1" w:rsidR="006C40DC" w:rsidRDefault="006C40DC" w:rsidP="003365A5">
            <w:pPr>
              <w:pStyle w:val="Tabletextprimarysource"/>
            </w:pPr>
            <w:r>
              <w:t>Summary of data:</w:t>
            </w:r>
          </w:p>
          <w:p w14:paraId="128ED46A" w14:textId="3D72FB54" w:rsidR="000B7695" w:rsidRDefault="000B7695" w:rsidP="00351B9E">
            <w:pPr>
              <w:pStyle w:val="ListBullet"/>
              <w:spacing w:before="60" w:after="60"/>
              <w:ind w:left="1077" w:hanging="357"/>
              <w:contextualSpacing w:val="0"/>
            </w:pPr>
            <w:r>
              <w:t xml:space="preserve">TLV-TWA based on identification of approximate 6.5 ppm LOEL from a strong epidemiological study and demonstrated effectiveness of a 1 ppm </w:t>
            </w:r>
            <w:r w:rsidR="00366C10">
              <w:t>OEL</w:t>
            </w:r>
            <w:r>
              <w:t xml:space="preserve"> in preventing occurrence of angiosarcoma in exposed workers</w:t>
            </w:r>
          </w:p>
          <w:p w14:paraId="6ACA1120" w14:textId="58DC429C" w:rsidR="000B7695" w:rsidRDefault="000B7695" w:rsidP="00351B9E">
            <w:pPr>
              <w:pStyle w:val="ListBullet"/>
              <w:spacing w:before="60" w:after="60"/>
              <w:ind w:left="1077" w:hanging="357"/>
              <w:contextualSpacing w:val="0"/>
            </w:pPr>
            <w:r>
              <w:t xml:space="preserve">No cases of liver angiosarcoma observed in individuals first exposed since 1974 when the vinyl chloride industry began complying with the U.S. </w:t>
            </w:r>
            <w:r w:rsidR="00351B9E">
              <w:t xml:space="preserve">OSHA </w:t>
            </w:r>
            <w:r>
              <w:t>PEL of 1 ppm</w:t>
            </w:r>
            <w:r w:rsidR="008968A0">
              <w:t>.</w:t>
            </w:r>
          </w:p>
          <w:p w14:paraId="7C22DE70" w14:textId="23F70278" w:rsidR="000B7695" w:rsidRDefault="000B7695" w:rsidP="000B7695">
            <w:pPr>
              <w:pStyle w:val="Tabletextprimarysource"/>
            </w:pPr>
            <w:r>
              <w:t>Human data:</w:t>
            </w:r>
          </w:p>
          <w:p w14:paraId="70506286" w14:textId="7106F8C6" w:rsidR="006C40DC" w:rsidRDefault="006C40DC" w:rsidP="00351B9E">
            <w:pPr>
              <w:pStyle w:val="ListBullet"/>
              <w:spacing w:before="60" w:after="60"/>
              <w:ind w:left="1080" w:hanging="357"/>
              <w:contextualSpacing w:val="0"/>
            </w:pPr>
            <w:r>
              <w:t>Chronic exposure to lower levels (100–1</w:t>
            </w:r>
            <w:r w:rsidR="00277CE8">
              <w:t>,</w:t>
            </w:r>
            <w:r>
              <w:t>000 ppm) associated with a spectrum of symptoms collectively termed "vinyl chloride disease," which includes Raynaud's syndrome and acroosteolysis</w:t>
            </w:r>
          </w:p>
          <w:p w14:paraId="4DA1DB04" w14:textId="01A71716" w:rsidR="000B7695" w:rsidRDefault="006C40DC" w:rsidP="00351B9E">
            <w:pPr>
              <w:pStyle w:val="ListBullet"/>
              <w:spacing w:before="60" w:after="60"/>
              <w:ind w:left="1080" w:hanging="357"/>
              <w:contextualSpacing w:val="0"/>
            </w:pPr>
            <w:r>
              <w:t>Cancer of the liver (particularly angiosarcoma) causally related to occupational exposure and widely recogni</w:t>
            </w:r>
            <w:r w:rsidR="008968A0">
              <w:t>s</w:t>
            </w:r>
            <w:r>
              <w:t>ed as the most sensitive endpoint of toxicity among humans</w:t>
            </w:r>
            <w:r w:rsidR="000B7695">
              <w:t>;</w:t>
            </w:r>
            <w:r w:rsidR="005B74DB">
              <w:t xml:space="preserve"> </w:t>
            </w:r>
            <w:r w:rsidR="000B7695">
              <w:t>the toxic effect of greatest concern is liver cancer</w:t>
            </w:r>
          </w:p>
          <w:p w14:paraId="1DD5CE26" w14:textId="0268990D" w:rsidR="005B74DB" w:rsidRDefault="005B74DB" w:rsidP="00351B9E">
            <w:pPr>
              <w:pStyle w:val="ListBullet"/>
              <w:spacing w:before="60" w:after="60"/>
              <w:ind w:left="1080" w:hanging="357"/>
              <w:contextualSpacing w:val="0"/>
            </w:pPr>
            <w:r>
              <w:t xml:space="preserve">This </w:t>
            </w:r>
            <w:r w:rsidR="00EF2B40">
              <w:t xml:space="preserve">European </w:t>
            </w:r>
            <w:r>
              <w:t xml:space="preserve">study contains </w:t>
            </w:r>
            <w:r w:rsidR="0018073C">
              <w:t>a</w:t>
            </w:r>
            <w:r>
              <w:t xml:space="preserve"> detailed account of the relationship between estimated occupational exposures and subsequent angiosarcoma</w:t>
            </w:r>
            <w:r w:rsidR="00721646">
              <w:t>:</w:t>
            </w:r>
          </w:p>
          <w:p w14:paraId="08E051CA" w14:textId="14F434BD" w:rsidR="006C40DC" w:rsidRDefault="005B74DB" w:rsidP="00351B9E">
            <w:pPr>
              <w:pStyle w:val="ListBullet"/>
              <w:numPr>
                <w:ilvl w:val="0"/>
                <w:numId w:val="3"/>
              </w:numPr>
              <w:spacing w:before="60" w:after="60"/>
              <w:ind w:hanging="357"/>
              <w:contextualSpacing w:val="0"/>
            </w:pPr>
            <w:r>
              <w:t>a</w:t>
            </w:r>
            <w:r w:rsidR="000B7695">
              <w:t xml:space="preserve"> </w:t>
            </w:r>
            <w:r w:rsidR="00727C12">
              <w:t>collaborative, multicentre</w:t>
            </w:r>
            <w:r w:rsidR="000B7695">
              <w:t xml:space="preserve"> cohort study of exposed workers coordinated by IARC with a total of 12,706 subjects from 19 factories in Sweden, Italy, UK</w:t>
            </w:r>
            <w:r w:rsidR="00DB07D4">
              <w:t xml:space="preserve"> and</w:t>
            </w:r>
            <w:r w:rsidR="000B7695">
              <w:t xml:space="preserve"> Norway</w:t>
            </w:r>
          </w:p>
          <w:p w14:paraId="04D8AD3B" w14:textId="5C3DD689" w:rsidR="000B7695" w:rsidRDefault="000B7695" w:rsidP="00351B9E">
            <w:pPr>
              <w:pStyle w:val="ListBullet"/>
              <w:numPr>
                <w:ilvl w:val="0"/>
                <w:numId w:val="2"/>
              </w:numPr>
              <w:spacing w:before="60" w:after="60"/>
              <w:ind w:hanging="357"/>
              <w:contextualSpacing w:val="0"/>
            </w:pPr>
            <w:r>
              <w:t xml:space="preserve">only employees </w:t>
            </w:r>
            <w:r w:rsidR="008968A0">
              <w:rPr>
                <w:rFonts w:cs="Arial"/>
              </w:rPr>
              <w:t>≥</w:t>
            </w:r>
            <w:r>
              <w:t>1 y</w:t>
            </w:r>
            <w:r w:rsidR="008968A0">
              <w:t>r</w:t>
            </w:r>
            <w:r>
              <w:t xml:space="preserve"> of exposure included in the study</w:t>
            </w:r>
          </w:p>
          <w:p w14:paraId="732B65C3" w14:textId="4B5C3257" w:rsidR="00B46252" w:rsidRDefault="00B46252" w:rsidP="00351B9E">
            <w:pPr>
              <w:pStyle w:val="ListBullet"/>
              <w:numPr>
                <w:ilvl w:val="0"/>
                <w:numId w:val="2"/>
              </w:numPr>
              <w:spacing w:before="60" w:after="60"/>
              <w:ind w:hanging="357"/>
              <w:contextualSpacing w:val="0"/>
            </w:pPr>
            <w:r>
              <w:t>average length of follow-up was 17 yr but ranged from 10</w:t>
            </w:r>
            <w:r w:rsidR="00277CE8">
              <w:t>–</w:t>
            </w:r>
            <w:r>
              <w:t>25 yr</w:t>
            </w:r>
          </w:p>
          <w:p w14:paraId="3876504D" w14:textId="77777777" w:rsidR="00E70989" w:rsidRDefault="00462952" w:rsidP="00351B9E">
            <w:pPr>
              <w:pStyle w:val="ListBullet"/>
              <w:numPr>
                <w:ilvl w:val="0"/>
                <w:numId w:val="2"/>
              </w:numPr>
              <w:spacing w:before="60" w:after="60"/>
              <w:ind w:hanging="357"/>
              <w:contextualSpacing w:val="0"/>
            </w:pPr>
            <w:r>
              <w:t>systematic and occasional air measurements</w:t>
            </w:r>
            <w:r w:rsidR="00E70989">
              <w:t xml:space="preserve"> provided basis for past exposures and indication of variability between job titles</w:t>
            </w:r>
          </w:p>
          <w:p w14:paraId="2A5E25B8" w14:textId="608D2049" w:rsidR="00E70989" w:rsidRDefault="00E70989" w:rsidP="00351B9E">
            <w:pPr>
              <w:pStyle w:val="ListBullet"/>
              <w:numPr>
                <w:ilvl w:val="0"/>
                <w:numId w:val="2"/>
              </w:numPr>
              <w:spacing w:before="60" w:after="60"/>
              <w:ind w:hanging="357"/>
              <w:contextualSpacing w:val="0"/>
            </w:pPr>
            <w:r>
              <w:t>cumulative exposure in ppm-yr calculated; accomplished through multiplying exposure level from job-exposure matrices by duration of employment</w:t>
            </w:r>
          </w:p>
          <w:p w14:paraId="4604CE74" w14:textId="211C7DC3" w:rsidR="00462952" w:rsidRDefault="00E70989" w:rsidP="00351B9E">
            <w:pPr>
              <w:pStyle w:val="ListBullet"/>
              <w:numPr>
                <w:ilvl w:val="0"/>
                <w:numId w:val="2"/>
              </w:numPr>
              <w:spacing w:before="60" w:after="60"/>
              <w:ind w:hanging="357"/>
              <w:contextualSpacing w:val="0"/>
            </w:pPr>
            <w:r>
              <w:t>observed mortality compared to expected mortality based on national mortality rates specific for age and 5-yr calendar periods</w:t>
            </w:r>
            <w:r w:rsidR="00462952">
              <w:t xml:space="preserve"> </w:t>
            </w:r>
          </w:p>
          <w:p w14:paraId="16A47ACD" w14:textId="5D116D97" w:rsidR="00E70989" w:rsidRDefault="00E70989" w:rsidP="00351B9E">
            <w:pPr>
              <w:pStyle w:val="ListBullet"/>
              <w:numPr>
                <w:ilvl w:val="0"/>
                <w:numId w:val="2"/>
              </w:numPr>
              <w:spacing w:before="60" w:after="60"/>
              <w:ind w:hanging="357"/>
              <w:contextualSpacing w:val="0"/>
            </w:pPr>
            <w:r>
              <w:t xml:space="preserve">for all workers exposed </w:t>
            </w:r>
            <w:r w:rsidR="008968A0">
              <w:rPr>
                <w:rFonts w:cs="Arial"/>
              </w:rPr>
              <w:t>≥</w:t>
            </w:r>
            <w:r>
              <w:t xml:space="preserve">1 </w:t>
            </w:r>
            <w:r w:rsidR="00D329E8">
              <w:t>yr</w:t>
            </w:r>
            <w:r>
              <w:t>, a statistically significant excess in cancer of the liver (SMR, 286; 95% CI, 183–425) and cancer of an unspecified site (SMR, 187; 95% CI, 120–278) observed</w:t>
            </w:r>
          </w:p>
          <w:p w14:paraId="3A973D2D" w14:textId="4F1AFFFD" w:rsidR="00E70989" w:rsidRDefault="00E70989" w:rsidP="00351B9E">
            <w:pPr>
              <w:pStyle w:val="ListBullet"/>
              <w:numPr>
                <w:ilvl w:val="0"/>
                <w:numId w:val="2"/>
              </w:numPr>
              <w:spacing w:before="60" w:after="60"/>
              <w:ind w:hanging="357"/>
              <w:contextualSpacing w:val="0"/>
            </w:pPr>
            <w:r>
              <w:t xml:space="preserve">16 cases of liver angiosarcoma among 24 deaths coded as liver cancer </w:t>
            </w:r>
          </w:p>
          <w:p w14:paraId="29B797DB" w14:textId="00A62C33" w:rsidR="00E70989" w:rsidRDefault="00E70989" w:rsidP="00351B9E">
            <w:pPr>
              <w:pStyle w:val="ListBullet"/>
              <w:numPr>
                <w:ilvl w:val="0"/>
                <w:numId w:val="2"/>
              </w:numPr>
              <w:spacing w:before="60" w:after="60"/>
              <w:ind w:hanging="357"/>
              <w:contextualSpacing w:val="0"/>
            </w:pPr>
            <w:r>
              <w:t>incidence of liver cancer and liver angiosarcoma significantly increased among exposed workers; clearly related to time since first exposure;</w:t>
            </w:r>
            <w:r w:rsidR="00243504">
              <w:t xml:space="preserve"> duration of employment; and estimated ranked and quantitative exposures</w:t>
            </w:r>
          </w:p>
          <w:p w14:paraId="3D191D36" w14:textId="5F7C985E" w:rsidR="00243504" w:rsidRDefault="00DD4F1F" w:rsidP="00351B9E">
            <w:pPr>
              <w:pStyle w:val="ListBullet"/>
              <w:numPr>
                <w:ilvl w:val="0"/>
                <w:numId w:val="2"/>
              </w:numPr>
              <w:spacing w:before="60" w:after="60"/>
              <w:contextualSpacing w:val="0"/>
            </w:pPr>
            <w:r>
              <w:t>m</w:t>
            </w:r>
            <w:r w:rsidR="00243504">
              <w:t>ulti-variate analysis among exposure groups demonstrated two variables</w:t>
            </w:r>
            <w:r w:rsidR="008968A0">
              <w:t>:</w:t>
            </w:r>
            <w:r w:rsidR="00243504">
              <w:t xml:space="preserve"> years since first exposure and cumulative exposure</w:t>
            </w:r>
            <w:r w:rsidR="008968A0">
              <w:t>; which</w:t>
            </w:r>
            <w:r w:rsidR="00243504">
              <w:t xml:space="preserve"> had a statistically significant effect on risk of liver cancer mortality</w:t>
            </w:r>
          </w:p>
          <w:p w14:paraId="23E75A70" w14:textId="4E24E97E" w:rsidR="00243504" w:rsidRDefault="00DD4F1F" w:rsidP="00351B9E">
            <w:pPr>
              <w:pStyle w:val="ListBullet"/>
              <w:numPr>
                <w:ilvl w:val="0"/>
                <w:numId w:val="2"/>
              </w:numPr>
              <w:spacing w:before="60" w:after="60"/>
              <w:contextualSpacing w:val="0"/>
            </w:pPr>
            <w:r>
              <w:t>c</w:t>
            </w:r>
            <w:r w:rsidR="00243504">
              <w:t xml:space="preserve">umulative exposures clearly related to increases in relative liver cancer risk in a dose-related manner; cumulative exposures </w:t>
            </w:r>
            <w:r>
              <w:t>of &lt;500 ppm-</w:t>
            </w:r>
            <w:r w:rsidR="00BC0805">
              <w:t>yr</w:t>
            </w:r>
            <w:r>
              <w:t>, 500</w:t>
            </w:r>
            <w:r w:rsidR="00277CE8">
              <w:t>–</w:t>
            </w:r>
            <w:r>
              <w:t>1</w:t>
            </w:r>
            <w:r w:rsidR="008968A0">
              <w:t>,</w:t>
            </w:r>
            <w:r>
              <w:t>999 </w:t>
            </w:r>
            <w:r w:rsidR="00243504">
              <w:t>ppm-</w:t>
            </w:r>
            <w:r w:rsidR="00BC0805">
              <w:t>yr</w:t>
            </w:r>
            <w:r w:rsidR="00243504">
              <w:t>, 2</w:t>
            </w:r>
            <w:r w:rsidR="008968A0">
              <w:t>,</w:t>
            </w:r>
            <w:r w:rsidR="00243504">
              <w:t>000</w:t>
            </w:r>
            <w:r w:rsidR="00277CE8">
              <w:t>–</w:t>
            </w:r>
            <w:r w:rsidR="00243504">
              <w:t>5</w:t>
            </w:r>
            <w:r w:rsidR="008968A0">
              <w:t>,</w:t>
            </w:r>
            <w:r w:rsidR="00243504">
              <w:t>999 ppm-</w:t>
            </w:r>
            <w:r w:rsidR="00BC0805">
              <w:t>yr</w:t>
            </w:r>
            <w:r w:rsidR="00243504">
              <w:t>, 6</w:t>
            </w:r>
            <w:r w:rsidR="008968A0">
              <w:t>,</w:t>
            </w:r>
            <w:r w:rsidR="00243504">
              <w:t>000</w:t>
            </w:r>
            <w:r w:rsidR="00277CE8">
              <w:t>–</w:t>
            </w:r>
            <w:r w:rsidR="00243504">
              <w:t>9</w:t>
            </w:r>
            <w:r w:rsidR="008968A0">
              <w:t>,</w:t>
            </w:r>
            <w:r w:rsidR="00243504">
              <w:t>999 ppm-</w:t>
            </w:r>
            <w:r w:rsidR="00BC0805">
              <w:t>yr</w:t>
            </w:r>
            <w:r w:rsidR="00DB07D4">
              <w:t xml:space="preserve"> and</w:t>
            </w:r>
            <w:r w:rsidR="00243504">
              <w:t xml:space="preserve"> &gt;10,000</w:t>
            </w:r>
            <w:r>
              <w:t> </w:t>
            </w:r>
            <w:r w:rsidR="00243504">
              <w:t>ppm-</w:t>
            </w:r>
            <w:r w:rsidR="00BC0805">
              <w:t>yr</w:t>
            </w:r>
            <w:r w:rsidR="00243504">
              <w:t xml:space="preserve"> associated with </w:t>
            </w:r>
            <w:r w:rsidR="008968A0">
              <w:t>RR</w:t>
            </w:r>
            <w:r w:rsidR="00243504">
              <w:t xml:space="preserve"> of 1, 1.2, 4.6, 12.2</w:t>
            </w:r>
            <w:r w:rsidR="00DB07D4">
              <w:t xml:space="preserve"> and</w:t>
            </w:r>
            <w:r w:rsidR="00243504">
              <w:t xml:space="preserve"> 17.1 for liver cancer, respectively</w:t>
            </w:r>
          </w:p>
          <w:p w14:paraId="0E9FDD2C" w14:textId="71AE45AB" w:rsidR="00243504" w:rsidRDefault="00DD4F1F" w:rsidP="00351B9E">
            <w:pPr>
              <w:pStyle w:val="ListBullet"/>
              <w:numPr>
                <w:ilvl w:val="0"/>
                <w:numId w:val="2"/>
              </w:numPr>
              <w:spacing w:before="60" w:after="60"/>
              <w:contextualSpacing w:val="0"/>
            </w:pPr>
            <w:r>
              <w:lastRenderedPageBreak/>
              <w:t>24 incidences of liver angiosarcoma identified; analysis of cases indicated cumulative exposures of &lt;2</w:t>
            </w:r>
            <w:r w:rsidR="008968A0">
              <w:t>,</w:t>
            </w:r>
            <w:r>
              <w:t>000 ppm-</w:t>
            </w:r>
            <w:r w:rsidR="00BC0805">
              <w:t>yr</w:t>
            </w:r>
            <w:r>
              <w:t>, 2</w:t>
            </w:r>
            <w:r w:rsidR="008968A0">
              <w:t>,</w:t>
            </w:r>
            <w:r>
              <w:t>000</w:t>
            </w:r>
            <w:r w:rsidR="00277CE8">
              <w:t>–</w:t>
            </w:r>
            <w:r>
              <w:t>5</w:t>
            </w:r>
            <w:r w:rsidR="008968A0">
              <w:t>,</w:t>
            </w:r>
            <w:r>
              <w:t>999 ppm-</w:t>
            </w:r>
            <w:r w:rsidR="00BC0805">
              <w:t>yr</w:t>
            </w:r>
            <w:r>
              <w:t>, 6</w:t>
            </w:r>
            <w:r w:rsidR="008968A0">
              <w:t>,</w:t>
            </w:r>
            <w:r>
              <w:t>000</w:t>
            </w:r>
            <w:r w:rsidR="00277CE8">
              <w:t>–</w:t>
            </w:r>
            <w:r>
              <w:t>9</w:t>
            </w:r>
            <w:r w:rsidR="008968A0">
              <w:t>,</w:t>
            </w:r>
            <w:r>
              <w:t>999</w:t>
            </w:r>
            <w:r w:rsidR="008968A0">
              <w:t> </w:t>
            </w:r>
            <w:r>
              <w:t>ppm-yr</w:t>
            </w:r>
            <w:r w:rsidR="00DB07D4">
              <w:t xml:space="preserve"> and</w:t>
            </w:r>
            <w:r>
              <w:t xml:space="preserve"> &gt;10,000 ppm-yr associated with </w:t>
            </w:r>
            <w:r w:rsidR="003C6416">
              <w:t>RR</w:t>
            </w:r>
            <w:r>
              <w:t xml:space="preserve"> of 1, 6.8, 24.7</w:t>
            </w:r>
            <w:r w:rsidR="00DB07D4">
              <w:t xml:space="preserve"> and</w:t>
            </w:r>
            <w:r>
              <w:t xml:space="preserve"> 45.4 for liver angiosarcoma, respectively</w:t>
            </w:r>
          </w:p>
          <w:p w14:paraId="202C3DA2" w14:textId="0A69C661" w:rsidR="00DD4F1F" w:rsidRDefault="00DD4F1F" w:rsidP="00351B9E">
            <w:pPr>
              <w:pStyle w:val="ListBullet"/>
              <w:numPr>
                <w:ilvl w:val="0"/>
                <w:numId w:val="2"/>
              </w:numPr>
              <w:spacing w:before="60" w:after="60"/>
              <w:contextualSpacing w:val="0"/>
            </w:pPr>
            <w:r>
              <w:t>a cumulative exposure of 288 ppm-</w:t>
            </w:r>
            <w:r w:rsidR="00BC0805">
              <w:t>yr</w:t>
            </w:r>
            <w:r>
              <w:t xml:space="preserve"> is equivalent to 6.5 ppm for 45 yr; regarded as the lowest </w:t>
            </w:r>
            <w:r w:rsidR="00BC0805">
              <w:t>cancer-</w:t>
            </w:r>
            <w:r>
              <w:t>causing dose of vinyl chloride so far demonstrated</w:t>
            </w:r>
          </w:p>
          <w:p w14:paraId="2217D5B9" w14:textId="7C83AFE0" w:rsidR="00EF2B40" w:rsidRDefault="00EF2B40" w:rsidP="00351B9E">
            <w:pPr>
              <w:pStyle w:val="ListBullet"/>
              <w:spacing w:before="60" w:after="60"/>
              <w:ind w:left="1077" w:hanging="357"/>
              <w:contextualSpacing w:val="0"/>
            </w:pPr>
            <w:r>
              <w:t>US</w:t>
            </w:r>
            <w:r w:rsidR="000C3E42">
              <w:t xml:space="preserve"> multicentre</w:t>
            </w:r>
            <w:r>
              <w:t xml:space="preserve"> study</w:t>
            </w:r>
            <w:r w:rsidR="00721646">
              <w:t>:</w:t>
            </w:r>
          </w:p>
          <w:p w14:paraId="57662D5E" w14:textId="70236BF3" w:rsidR="00EF2B40" w:rsidRDefault="00EF2B40" w:rsidP="009F3A6E">
            <w:pPr>
              <w:pStyle w:val="ListBullet"/>
              <w:numPr>
                <w:ilvl w:val="0"/>
                <w:numId w:val="8"/>
              </w:numPr>
            </w:pPr>
            <w:r>
              <w:t>10,743 men who worked in 37 plants that manufactured either vinyl chloride monomer, polyvinyl chloride, both vinyl chloride monomer and polyvinyl chloride, or homo- or copolymers with or without vinyl or polyvinyl chloride</w:t>
            </w:r>
          </w:p>
          <w:p w14:paraId="19F12E82" w14:textId="7D317775" w:rsidR="00EF2B40" w:rsidRDefault="009F3A6E" w:rsidP="009F3A6E">
            <w:pPr>
              <w:pStyle w:val="ListBullet"/>
              <w:numPr>
                <w:ilvl w:val="0"/>
                <w:numId w:val="8"/>
              </w:numPr>
            </w:pPr>
            <w:r>
              <w:t>w</w:t>
            </w:r>
            <w:r w:rsidR="00EF2B40">
              <w:t>orked for least 1 yr with average duration of exposure of 16 yr</w:t>
            </w:r>
          </w:p>
          <w:p w14:paraId="72BD3356" w14:textId="77777777" w:rsidR="000C3E42" w:rsidRDefault="00EF2B40" w:rsidP="009F3A6E">
            <w:pPr>
              <w:pStyle w:val="ListBullet"/>
              <w:numPr>
                <w:ilvl w:val="0"/>
                <w:numId w:val="8"/>
              </w:numPr>
            </w:pPr>
            <w:r>
              <w:t xml:space="preserve">Standard Mortality Ratios were determined for 28 different types or classes of cancer and other </w:t>
            </w:r>
            <w:r w:rsidR="000C3E42">
              <w:t>non-malignant causes of death</w:t>
            </w:r>
          </w:p>
          <w:p w14:paraId="0DD37F50" w14:textId="6DC0C966" w:rsidR="00EF2B40" w:rsidRDefault="009F3A6E" w:rsidP="009F3A6E">
            <w:pPr>
              <w:pStyle w:val="ListBullet"/>
              <w:numPr>
                <w:ilvl w:val="0"/>
                <w:numId w:val="8"/>
              </w:numPr>
            </w:pPr>
            <w:r>
              <w:t>o</w:t>
            </w:r>
            <w:r w:rsidR="00EF2B40">
              <w:t>bserved numbers for all cancers and cancers of the liver, gall bladder, brain, and lympho- and reticulosarcomas exceeded the expected number</w:t>
            </w:r>
          </w:p>
          <w:p w14:paraId="6691852E" w14:textId="72433FDC" w:rsidR="006C40DC" w:rsidRDefault="006C40DC" w:rsidP="00351B9E">
            <w:pPr>
              <w:pStyle w:val="ListBullet"/>
              <w:spacing w:before="60" w:after="60"/>
              <w:ind w:left="1077" w:hanging="357"/>
              <w:contextualSpacing w:val="0"/>
            </w:pPr>
            <w:r>
              <w:t xml:space="preserve">Quantitative risk assessments </w:t>
            </w:r>
            <w:r w:rsidR="00EE2AE0">
              <w:t xml:space="preserve">undertaken </w:t>
            </w:r>
            <w:r>
              <w:t>by deriving measures of dose in terms of metabolised vinyl chloride (or vinyl chloride DNA adduct formation) and using rat or human incidence data to project dose-response relationships into the low dose range</w:t>
            </w:r>
            <w:r w:rsidR="005603D4">
              <w:t>; all estimates based on extrapolation of vinyl chloride angiosarcoma dose-response to low doses using quantitative models result in estimates of risk which by far exceed risk at comparable levels actually observed in human populations</w:t>
            </w:r>
            <w:r w:rsidR="003C6416">
              <w:t>.</w:t>
            </w:r>
          </w:p>
          <w:p w14:paraId="45F2ADA4" w14:textId="29FB56EC" w:rsidR="006C40DC" w:rsidRDefault="005603D4" w:rsidP="005603D4">
            <w:pPr>
              <w:pStyle w:val="Tabletextprimarysource"/>
            </w:pPr>
            <w:r>
              <w:t>Animal data</w:t>
            </w:r>
            <w:r w:rsidR="00721646">
              <w:t>:</w:t>
            </w:r>
          </w:p>
          <w:p w14:paraId="4F415C90" w14:textId="52F2F695" w:rsidR="005603D4" w:rsidRDefault="005603D4" w:rsidP="00351B9E">
            <w:pPr>
              <w:pStyle w:val="ListBullet"/>
              <w:spacing w:before="60" w:after="60"/>
              <w:ind w:left="1080" w:hanging="357"/>
              <w:contextualSpacing w:val="0"/>
            </w:pPr>
            <w:r>
              <w:t xml:space="preserve">A comprehensive series of animal studies summarised </w:t>
            </w:r>
            <w:r w:rsidR="00BC0805">
              <w:t>in a cited reference</w:t>
            </w:r>
            <w:r w:rsidR="00721646">
              <w:t>:</w:t>
            </w:r>
          </w:p>
          <w:p w14:paraId="1AF6E608" w14:textId="1BC98BCE" w:rsidR="005603D4" w:rsidRDefault="005603D4" w:rsidP="00351B9E">
            <w:pPr>
              <w:pStyle w:val="ListBullet"/>
              <w:numPr>
                <w:ilvl w:val="0"/>
                <w:numId w:val="4"/>
              </w:numPr>
              <w:spacing w:before="60" w:after="60"/>
              <w:ind w:hanging="357"/>
              <w:contextualSpacing w:val="0"/>
            </w:pPr>
            <w:r>
              <w:t xml:space="preserve">studies included a variety </w:t>
            </w:r>
            <w:r w:rsidR="003C6416">
              <w:t xml:space="preserve">of </w:t>
            </w:r>
            <w:r>
              <w:t>doses administered to rats, mice or hamsters via inhalation, ingestion</w:t>
            </w:r>
            <w:r w:rsidR="00DB07D4">
              <w:t xml:space="preserve"> and</w:t>
            </w:r>
            <w:r>
              <w:t xml:space="preserve"> intraperitoneal or subcutaneous injections using an assortment of dosing schedules</w:t>
            </w:r>
          </w:p>
          <w:p w14:paraId="63DD7B72" w14:textId="4561859F" w:rsidR="005603D4" w:rsidRDefault="00277CE8" w:rsidP="00351B9E">
            <w:pPr>
              <w:pStyle w:val="ListBullet"/>
              <w:numPr>
                <w:ilvl w:val="0"/>
                <w:numId w:val="4"/>
              </w:numPr>
              <w:spacing w:before="60" w:after="60"/>
              <w:ind w:hanging="357"/>
              <w:contextualSpacing w:val="0"/>
            </w:pPr>
            <w:r>
              <w:rPr>
                <w:rFonts w:cs="Arial"/>
              </w:rPr>
              <w:t>≈</w:t>
            </w:r>
            <w:r w:rsidR="005603D4">
              <w:t>7</w:t>
            </w:r>
            <w:r>
              <w:t>,</w:t>
            </w:r>
            <w:r w:rsidR="005603D4">
              <w:t>000 animals were evaluated in total</w:t>
            </w:r>
          </w:p>
          <w:p w14:paraId="4D5244AB" w14:textId="494FEFFD" w:rsidR="005603D4" w:rsidRDefault="005603D4" w:rsidP="00351B9E">
            <w:pPr>
              <w:pStyle w:val="ListBullet"/>
              <w:numPr>
                <w:ilvl w:val="0"/>
                <w:numId w:val="4"/>
              </w:numPr>
              <w:spacing w:before="60" w:after="60"/>
              <w:ind w:hanging="357"/>
              <w:contextualSpacing w:val="0"/>
            </w:pPr>
            <w:r>
              <w:t>in one group of inhalation studies, rats exposed 4 h/d, 5 d/wk for 52 wk at concentrations ranging from 1</w:t>
            </w:r>
            <w:r w:rsidR="00DB07D4">
              <w:t>–</w:t>
            </w:r>
            <w:r>
              <w:t xml:space="preserve">30,000 ppm; statistically significant increases in the following tumours observed: mammary gland carcinomas at 5 ppm; liver angiosarcoma in females at 50 ppm and at 200 ppm in males; nephroblastoma in males at 100 ppm and at 250 ppm in females; </w:t>
            </w:r>
            <w:r w:rsidR="00AD6724">
              <w:t>1</w:t>
            </w:r>
            <w:r w:rsidR="003C6416">
              <w:t>/</w:t>
            </w:r>
            <w:r>
              <w:t>119 rats in the 10</w:t>
            </w:r>
            <w:r w:rsidR="00AD6724">
              <w:t xml:space="preserve"> </w:t>
            </w:r>
            <w:r>
              <w:t>ppm gr</w:t>
            </w:r>
            <w:r w:rsidR="00AD6724">
              <w:t>oup and 5</w:t>
            </w:r>
            <w:r w:rsidR="003C6416">
              <w:t>/</w:t>
            </w:r>
            <w:r w:rsidR="00AD6724">
              <w:t xml:space="preserve">120 rats in the 25 </w:t>
            </w:r>
            <w:r>
              <w:t>ppm group also had liver angiosarcoma</w:t>
            </w:r>
            <w:r w:rsidR="00AD6724">
              <w:t xml:space="preserve"> (not statistically significant, a causal relationship to vinyl chloride assumed since angiosarcoma is extremely rare)</w:t>
            </w:r>
          </w:p>
          <w:p w14:paraId="2C28570E" w14:textId="2735ED85" w:rsidR="005603D4" w:rsidRDefault="00AD6724" w:rsidP="00351B9E">
            <w:pPr>
              <w:pStyle w:val="ListBullet"/>
              <w:numPr>
                <w:ilvl w:val="0"/>
                <w:numId w:val="4"/>
              </w:numPr>
              <w:spacing w:before="60" w:after="60"/>
              <w:ind w:hanging="357"/>
              <w:contextualSpacing w:val="0"/>
            </w:pPr>
            <w:r>
              <w:t>concluded the only concentrations not associated with increases of angiosarcoma were 1 and 5 ppm</w:t>
            </w:r>
          </w:p>
          <w:p w14:paraId="7C41DAA3" w14:textId="043EE7EB" w:rsidR="00AD6724" w:rsidRDefault="00AD6724" w:rsidP="00351B9E">
            <w:pPr>
              <w:pStyle w:val="ListBullet"/>
              <w:spacing w:before="60" w:after="60"/>
              <w:ind w:left="1080" w:hanging="357"/>
              <w:contextualSpacing w:val="0"/>
            </w:pPr>
            <w:r>
              <w:t xml:space="preserve">Significantly increased incidence of liver </w:t>
            </w:r>
            <w:r w:rsidR="003C6416">
              <w:t>haemangiosarcomas</w:t>
            </w:r>
            <w:r>
              <w:t xml:space="preserve"> in rats and mice exposed for 6-12 mo at </w:t>
            </w:r>
            <w:r w:rsidR="00277CE8">
              <w:rPr>
                <w:rFonts w:cs="Arial"/>
              </w:rPr>
              <w:t>≈</w:t>
            </w:r>
            <w:r>
              <w:t>250 ppm and in male rats exposed 6 h/d, 6 d/wk for 12 mo at 100 ppm and then sacrificed at 18 months</w:t>
            </w:r>
            <w:r w:rsidR="00EE1D77">
              <w:t>.</w:t>
            </w:r>
          </w:p>
          <w:p w14:paraId="34257CAD" w14:textId="77777777" w:rsidR="00AD6724" w:rsidRDefault="00AD6724" w:rsidP="00AD6724">
            <w:pPr>
              <w:pStyle w:val="Tabletextprimarysource"/>
            </w:pPr>
            <w:r>
              <w:t>Genotoxicity</w:t>
            </w:r>
          </w:p>
          <w:p w14:paraId="71BCBBE2" w14:textId="77777777" w:rsidR="00AD6724" w:rsidRDefault="008B1D59" w:rsidP="00351B9E">
            <w:pPr>
              <w:pStyle w:val="ListBullet"/>
              <w:spacing w:before="60" w:after="60"/>
              <w:ind w:left="1077" w:hanging="357"/>
              <w:contextualSpacing w:val="0"/>
            </w:pPr>
            <w:r>
              <w:t xml:space="preserve">Mutagenic to </w:t>
            </w:r>
            <w:r>
              <w:rPr>
                <w:i/>
              </w:rPr>
              <w:t>S.</w:t>
            </w:r>
            <w:r w:rsidRPr="008B1D59">
              <w:rPr>
                <w:i/>
              </w:rPr>
              <w:t xml:space="preserve"> typhimurium</w:t>
            </w:r>
            <w:r>
              <w:t xml:space="preserve"> in the presence of hepatic mixed function oxidase enzymes</w:t>
            </w:r>
          </w:p>
          <w:p w14:paraId="0D6EFCDC" w14:textId="28F04AFC" w:rsidR="008B1D59" w:rsidRPr="008B1D59" w:rsidRDefault="003C6416" w:rsidP="00351B9E">
            <w:pPr>
              <w:pStyle w:val="ListBullet"/>
              <w:spacing w:before="60" w:after="60"/>
              <w:ind w:left="1077" w:hanging="357"/>
              <w:contextualSpacing w:val="0"/>
            </w:pPr>
            <w:r>
              <w:t>M</w:t>
            </w:r>
            <w:r w:rsidR="008B1D59">
              <w:t xml:space="preserve">etabolites, 2-chloroethylene oxide and 2-chloroacetaldehyde, direct-acting mutagens in </w:t>
            </w:r>
            <w:r w:rsidR="008B1D59" w:rsidRPr="008B1D59">
              <w:rPr>
                <w:i/>
              </w:rPr>
              <w:t>S. typhimurium</w:t>
            </w:r>
            <w:r w:rsidR="008B1D59">
              <w:t xml:space="preserve"> and in </w:t>
            </w:r>
            <w:r w:rsidR="008B1D59" w:rsidRPr="008B1D59">
              <w:rPr>
                <w:i/>
              </w:rPr>
              <w:t>E. coli</w:t>
            </w:r>
          </w:p>
          <w:p w14:paraId="2C4873DC" w14:textId="77777777" w:rsidR="008B1D59" w:rsidRDefault="008B1D59">
            <w:pPr>
              <w:pStyle w:val="ListBullet"/>
              <w:spacing w:before="60" w:after="60"/>
              <w:ind w:left="1077" w:hanging="357"/>
              <w:contextualSpacing w:val="0"/>
            </w:pPr>
            <w:r>
              <w:t xml:space="preserve">S9 preparations from human liver specimens active in converting vinyl chloride into mutagens in </w:t>
            </w:r>
            <w:r w:rsidRPr="008B1D59">
              <w:rPr>
                <w:i/>
              </w:rPr>
              <w:t>S. typhimurium</w:t>
            </w:r>
            <w:r>
              <w:t xml:space="preserve"> strains TA1530 or TA100</w:t>
            </w:r>
            <w:r w:rsidR="003C6416">
              <w:t>.</w:t>
            </w:r>
          </w:p>
          <w:p w14:paraId="0CE4D35D" w14:textId="1F4EC781" w:rsidR="00351B9E" w:rsidRPr="00DA352E" w:rsidRDefault="00351B9E" w:rsidP="00351B9E">
            <w:pPr>
              <w:pStyle w:val="ListBullet"/>
              <w:numPr>
                <w:ilvl w:val="0"/>
                <w:numId w:val="0"/>
              </w:numPr>
              <w:spacing w:before="60" w:after="60"/>
              <w:ind w:left="360" w:hanging="360"/>
              <w:contextualSpacing w:val="0"/>
            </w:pPr>
          </w:p>
        </w:tc>
      </w:tr>
      <w:tr w:rsidR="00C978F0" w:rsidRPr="00DA352E" w14:paraId="174F8B79" w14:textId="77777777" w:rsidTr="008B1678">
        <w:trPr>
          <w:gridAfter w:val="1"/>
          <w:wAfter w:w="8" w:type="pct"/>
        </w:trPr>
        <w:tc>
          <w:tcPr>
            <w:tcW w:w="4992" w:type="pct"/>
            <w:shd w:val="clear" w:color="auto" w:fill="F2F2F2" w:themeFill="background1" w:themeFillShade="F2"/>
          </w:tcPr>
          <w:p w14:paraId="65BCCE9F" w14:textId="5F992BA9"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CB572A">
                  <w:t>2019</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305697">
                  <w:t>Not assigned</w:t>
                </w:r>
              </w:sdtContent>
            </w:sdt>
          </w:p>
        </w:tc>
      </w:tr>
      <w:tr w:rsidR="00C978F0" w:rsidRPr="00DA352E" w14:paraId="4433014F" w14:textId="77777777" w:rsidTr="008B1678">
        <w:trPr>
          <w:gridAfter w:val="1"/>
          <w:wAfter w:w="8" w:type="pct"/>
        </w:trPr>
        <w:tc>
          <w:tcPr>
            <w:tcW w:w="4992" w:type="pct"/>
          </w:tcPr>
          <w:p w14:paraId="7EB34D33" w14:textId="1C3AA606" w:rsidR="00C978F0" w:rsidRDefault="009373AB" w:rsidP="003365A5">
            <w:pPr>
              <w:pStyle w:val="Tabletextprimarysource"/>
            </w:pPr>
            <w:r>
              <w:t>No MAK assigned due to genotoxicity and carcinogenicity.</w:t>
            </w:r>
          </w:p>
          <w:p w14:paraId="28F03CC2" w14:textId="3A89D4F2" w:rsidR="009373AB" w:rsidRDefault="009373AB" w:rsidP="003365A5">
            <w:pPr>
              <w:pStyle w:val="Tabletextprimarysource"/>
            </w:pPr>
            <w:r>
              <w:lastRenderedPageBreak/>
              <w:t>Summary of additional data</w:t>
            </w:r>
            <w:r w:rsidR="00721646">
              <w:t>:</w:t>
            </w:r>
          </w:p>
          <w:p w14:paraId="53BB2E3F" w14:textId="3D8D30AB" w:rsidR="003A6E44" w:rsidRPr="003A6E44" w:rsidRDefault="003A6E44" w:rsidP="00351B9E">
            <w:pPr>
              <w:pStyle w:val="ListBullet"/>
              <w:spacing w:before="60" w:after="60"/>
              <w:ind w:left="1077" w:hanging="357"/>
              <w:contextualSpacing w:val="0"/>
            </w:pPr>
            <w:r>
              <w:rPr>
                <w:rFonts w:cs="Arial"/>
                <w:color w:val="1C1D1E"/>
                <w:shd w:val="clear" w:color="auto" w:fill="FFFFFF"/>
              </w:rPr>
              <w:t xml:space="preserve">Liver angiosarcoma diagnosed in 2008 in worker exposed between 1957 and 1965; supports findings on the long latency of angiosarcoma </w:t>
            </w:r>
            <w:r w:rsidR="00E72043">
              <w:rPr>
                <w:rFonts w:cs="Arial"/>
                <w:color w:val="1C1D1E"/>
                <w:shd w:val="clear" w:color="auto" w:fill="FFFFFF"/>
              </w:rPr>
              <w:t>following</w:t>
            </w:r>
            <w:r>
              <w:rPr>
                <w:rFonts w:cs="Arial"/>
                <w:color w:val="1C1D1E"/>
                <w:shd w:val="clear" w:color="auto" w:fill="FFFFFF"/>
              </w:rPr>
              <w:t xml:space="preserve"> exposure</w:t>
            </w:r>
          </w:p>
          <w:p w14:paraId="4F603577" w14:textId="78675680" w:rsidR="003A6E44" w:rsidRPr="003A6E44" w:rsidRDefault="003A6E44" w:rsidP="00351B9E">
            <w:pPr>
              <w:pStyle w:val="ListBullet"/>
              <w:spacing w:before="60" w:after="60"/>
              <w:ind w:left="1077" w:hanging="357"/>
              <w:contextualSpacing w:val="0"/>
            </w:pPr>
            <w:r>
              <w:rPr>
                <w:rFonts w:cs="Arial"/>
                <w:color w:val="1C1D1E"/>
                <w:shd w:val="clear" w:color="auto" w:fill="FFFFFF"/>
              </w:rPr>
              <w:t>In an embedded case-control study, 38 lung cancer patients from a cohort of 1</w:t>
            </w:r>
            <w:r w:rsidR="003C6416">
              <w:rPr>
                <w:rFonts w:cs="Arial"/>
                <w:color w:val="1C1D1E"/>
                <w:shd w:val="clear" w:color="auto" w:fill="FFFFFF"/>
              </w:rPr>
              <w:t>,</w:t>
            </w:r>
            <w:r>
              <w:rPr>
                <w:rFonts w:cs="Arial"/>
                <w:color w:val="1C1D1E"/>
                <w:shd w:val="clear" w:color="auto" w:fill="FFFFFF"/>
              </w:rPr>
              <w:t>658 vinyl chloride workers were compared to 224 cancer-free controls; a 20% increase in lung cancer risk was identified for each addit</w:t>
            </w:r>
            <w:r w:rsidR="00AF1369">
              <w:rPr>
                <w:rFonts w:cs="Arial"/>
                <w:color w:val="1C1D1E"/>
                <w:shd w:val="clear" w:color="auto" w:fill="FFFFFF"/>
              </w:rPr>
              <w:t xml:space="preserve">ional year as an exposed </w:t>
            </w:r>
            <w:r>
              <w:rPr>
                <w:rFonts w:cs="Arial"/>
                <w:color w:val="1C1D1E"/>
                <w:shd w:val="clear" w:color="auto" w:fill="FFFFFF"/>
              </w:rPr>
              <w:t>worker; dose-response relationship not established</w:t>
            </w:r>
          </w:p>
          <w:p w14:paraId="34D65145" w14:textId="77777777" w:rsidR="00E60623" w:rsidRPr="00351B9E" w:rsidRDefault="003A6E44" w:rsidP="00E60623">
            <w:pPr>
              <w:pStyle w:val="ListBullet"/>
              <w:spacing w:before="60" w:after="60"/>
              <w:ind w:left="1077" w:hanging="357"/>
              <w:contextualSpacing w:val="0"/>
            </w:pPr>
            <w:r>
              <w:rPr>
                <w:rFonts w:cs="Arial"/>
                <w:color w:val="1C1D1E"/>
                <w:shd w:val="clear" w:color="auto" w:fill="FFFFFF"/>
              </w:rPr>
              <w:t xml:space="preserve">691 male and 588 female subjects with histologically diagnosed renal cell carcinoma, evaluation of data from questionnaires revealed an increased OR of 2.0 (95% CI: </w:t>
            </w:r>
          </w:p>
          <w:p w14:paraId="254429B7" w14:textId="404DAB2D" w:rsidR="003A6E44" w:rsidRPr="003A6E44" w:rsidRDefault="003A6E44" w:rsidP="00351B9E">
            <w:pPr>
              <w:pStyle w:val="ListBullet"/>
              <w:numPr>
                <w:ilvl w:val="0"/>
                <w:numId w:val="0"/>
              </w:numPr>
              <w:spacing w:before="60" w:after="60"/>
              <w:ind w:left="1077"/>
              <w:contextualSpacing w:val="0"/>
            </w:pPr>
            <w:r>
              <w:rPr>
                <w:rFonts w:cs="Arial"/>
                <w:color w:val="1C1D1E"/>
                <w:shd w:val="clear" w:color="auto" w:fill="FFFFFF"/>
              </w:rPr>
              <w:t>1.2</w:t>
            </w:r>
            <w:r w:rsidR="00E60623">
              <w:t>–</w:t>
            </w:r>
            <w:r>
              <w:rPr>
                <w:rFonts w:cs="Arial"/>
                <w:color w:val="1C1D1E"/>
                <w:shd w:val="clear" w:color="auto" w:fill="FFFFFF"/>
              </w:rPr>
              <w:t xml:space="preserve">3.3) for the subjects exposed </w:t>
            </w:r>
          </w:p>
          <w:p w14:paraId="51A080F9" w14:textId="0F32DCF5" w:rsidR="003A6E44" w:rsidRPr="00374642" w:rsidRDefault="003A6E44" w:rsidP="00351B9E">
            <w:pPr>
              <w:pStyle w:val="ListBullet"/>
              <w:spacing w:before="60" w:after="60"/>
              <w:ind w:left="1077" w:hanging="357"/>
              <w:contextualSpacing w:val="0"/>
            </w:pPr>
            <w:r>
              <w:rPr>
                <w:rFonts w:cs="Arial"/>
                <w:color w:val="1C1D1E"/>
                <w:shd w:val="clear" w:color="auto" w:fill="FFFFFF"/>
              </w:rPr>
              <w:t>Refers to multicentre study from Italy, Norway, Sweden and the UK cited by ACGIH (2018)</w:t>
            </w:r>
          </w:p>
          <w:p w14:paraId="2D535C7A" w14:textId="7EE115BD" w:rsidR="00374642" w:rsidRPr="00E72043" w:rsidRDefault="00374642" w:rsidP="00351B9E">
            <w:pPr>
              <w:pStyle w:val="ListBullet"/>
              <w:spacing w:before="60" w:after="60"/>
              <w:ind w:left="1077" w:hanging="357"/>
              <w:contextualSpacing w:val="0"/>
            </w:pPr>
            <w:r>
              <w:rPr>
                <w:rFonts w:cs="Arial"/>
                <w:color w:val="1C1D1E"/>
                <w:shd w:val="clear" w:color="auto" w:fill="FFFFFF"/>
              </w:rPr>
              <w:t>In a meta-analysis of 8 independent multicentre studies from the USA, Canada, Europe, the former USSR, China and Taiwan, cancer mortality recorded by a total of 43</w:t>
            </w:r>
            <w:r w:rsidR="0019417F">
              <w:rPr>
                <w:rFonts w:cs="Arial"/>
                <w:color w:val="1C1D1E"/>
                <w:shd w:val="clear" w:color="auto" w:fill="FFFFFF"/>
              </w:rPr>
              <w:t>,</w:t>
            </w:r>
            <w:r>
              <w:rPr>
                <w:rFonts w:cs="Arial"/>
                <w:color w:val="1C1D1E"/>
                <w:shd w:val="clear" w:color="auto" w:fill="FFFFFF"/>
              </w:rPr>
              <w:t>810 workers from more than 90 vinyl chloride factories</w:t>
            </w:r>
            <w:r w:rsidR="00E72043">
              <w:rPr>
                <w:rFonts w:cs="Arial"/>
                <w:color w:val="1C1D1E"/>
                <w:shd w:val="clear" w:color="auto" w:fill="FFFFFF"/>
              </w:rPr>
              <w:t>; authors conclude workers not only have known increased risk of angiosarcoma of the liver, but also increased risk of hepatocellular carcinoma and soft tissue sarcoma</w:t>
            </w:r>
          </w:p>
          <w:p w14:paraId="5008124A" w14:textId="2E3F9B9E" w:rsidR="009373AB" w:rsidRPr="00CB572A" w:rsidRDefault="00E036DD" w:rsidP="00351B9E">
            <w:pPr>
              <w:pStyle w:val="ListBullet"/>
              <w:spacing w:before="60" w:after="60"/>
              <w:ind w:left="1077" w:hanging="357"/>
              <w:contextualSpacing w:val="0"/>
            </w:pPr>
            <w:r>
              <w:t xml:space="preserve">DFG concludes </w:t>
            </w:r>
            <w:r w:rsidR="003A6E44">
              <w:rPr>
                <w:rFonts w:cs="Arial"/>
                <w:color w:val="1C1D1E"/>
                <w:shd w:val="clear" w:color="auto" w:fill="FFFFFF"/>
              </w:rPr>
              <w:t>carcinogenic in humans and mainly induces angiosarcomas of the liver, but is also very likely to cause hepatocellular tumours</w:t>
            </w:r>
          </w:p>
          <w:p w14:paraId="69788F8F" w14:textId="2B97E489" w:rsidR="00CB572A" w:rsidRPr="00E72043" w:rsidRDefault="00CB572A" w:rsidP="00351B9E">
            <w:pPr>
              <w:pStyle w:val="ListBullet"/>
              <w:spacing w:before="60" w:after="60"/>
              <w:ind w:left="1077" w:hanging="357"/>
              <w:contextualSpacing w:val="0"/>
            </w:pPr>
            <w:r>
              <w:rPr>
                <w:rFonts w:cs="Arial"/>
                <w:color w:val="1C1D1E"/>
                <w:shd w:val="clear" w:color="auto" w:fill="FFFFFF"/>
              </w:rPr>
              <w:t>Reported to induce liver tumours, breast carcinomas, brain tumours and nephroblastomas as well as tumours in lungs, forestomach and cymbal gland in rats, mice and hamsters after oral administration from 1.3 mg/kg and inhalation exposure from 25 ppm </w:t>
            </w:r>
          </w:p>
          <w:p w14:paraId="1A85A280" w14:textId="77777777" w:rsidR="00E72043" w:rsidRPr="00E72043" w:rsidRDefault="00E72043" w:rsidP="00351B9E">
            <w:pPr>
              <w:pStyle w:val="ListBullet"/>
              <w:spacing w:before="60" w:after="60"/>
              <w:ind w:left="1077" w:hanging="357"/>
              <w:contextualSpacing w:val="0"/>
            </w:pPr>
            <w:r>
              <w:rPr>
                <w:rFonts w:cs="Arial"/>
                <w:color w:val="1C1D1E"/>
                <w:shd w:val="clear" w:color="auto" w:fill="FFFFFF"/>
              </w:rPr>
              <w:t>Mutagenic in bacteria and yeast; metabolic activation is necessary to achieve a mutagenic effect or to achieve a maximum effect; base pair substitutions are common</w:t>
            </w:r>
          </w:p>
          <w:p w14:paraId="546DBBBB" w14:textId="77777777" w:rsidR="00E72043" w:rsidRPr="00351B9E" w:rsidRDefault="00E72043">
            <w:pPr>
              <w:pStyle w:val="ListBullet"/>
              <w:spacing w:before="60" w:after="60"/>
              <w:ind w:left="1077" w:hanging="357"/>
              <w:contextualSpacing w:val="0"/>
            </w:pPr>
            <w:r>
              <w:rPr>
                <w:rFonts w:cs="Arial"/>
                <w:color w:val="1C1D1E"/>
                <w:shd w:val="clear" w:color="auto" w:fill="FFFFFF"/>
              </w:rPr>
              <w:t>After inhalation, mutagenic and clastogenic in soma cells. Numerous indicator tests have shown DNA alkylation in rats and mice, DNA damage in mice and the kn</w:t>
            </w:r>
            <w:r w:rsidR="00AF1369">
              <w:rPr>
                <w:rFonts w:cs="Arial"/>
                <w:color w:val="1C1D1E"/>
                <w:shd w:val="clear" w:color="auto" w:fill="FFFFFF"/>
              </w:rPr>
              <w:t xml:space="preserve">own etheno-DNA adducts </w:t>
            </w:r>
            <w:r>
              <w:rPr>
                <w:rFonts w:cs="Arial"/>
                <w:color w:val="1C1D1E"/>
                <w:shd w:val="clear" w:color="auto" w:fill="FFFFFF"/>
              </w:rPr>
              <w:t>in rats.</w:t>
            </w:r>
          </w:p>
          <w:p w14:paraId="61A64F09" w14:textId="72918A26" w:rsidR="00351B9E" w:rsidRPr="00DA352E" w:rsidRDefault="00351B9E" w:rsidP="00351B9E">
            <w:pPr>
              <w:pStyle w:val="ListBullet"/>
              <w:numPr>
                <w:ilvl w:val="0"/>
                <w:numId w:val="0"/>
              </w:numPr>
              <w:spacing w:before="60" w:after="60"/>
              <w:ind w:left="360" w:hanging="360"/>
              <w:contextualSpacing w:val="0"/>
            </w:pPr>
          </w:p>
        </w:tc>
      </w:tr>
      <w:tr w:rsidR="00C978F0" w:rsidRPr="00DA352E" w14:paraId="0E6A0B2C" w14:textId="77777777" w:rsidTr="008B1678">
        <w:trPr>
          <w:gridAfter w:val="1"/>
          <w:wAfter w:w="8" w:type="pct"/>
        </w:trPr>
        <w:tc>
          <w:tcPr>
            <w:tcW w:w="4992" w:type="pct"/>
            <w:shd w:val="clear" w:color="auto" w:fill="F2F2F2" w:themeFill="background1" w:themeFillShade="F2"/>
          </w:tcPr>
          <w:p w14:paraId="73C602E5" w14:textId="13BE4565"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305697">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305697">
                  <w:t>NA</w:t>
                </w:r>
              </w:sdtContent>
            </w:sdt>
          </w:p>
        </w:tc>
      </w:tr>
      <w:tr w:rsidR="00C978F0" w:rsidRPr="00DA352E" w14:paraId="2008D281" w14:textId="77777777" w:rsidTr="008B1678">
        <w:trPr>
          <w:gridAfter w:val="1"/>
          <w:wAfter w:w="8" w:type="pct"/>
        </w:trPr>
        <w:tc>
          <w:tcPr>
            <w:tcW w:w="4992" w:type="pct"/>
          </w:tcPr>
          <w:p w14:paraId="153B53C1" w14:textId="3E4EC3BE" w:rsidR="00C978F0" w:rsidRPr="00DA352E" w:rsidRDefault="00305697" w:rsidP="003365A5">
            <w:pPr>
              <w:pStyle w:val="Tabletextprimarysource"/>
            </w:pPr>
            <w:r>
              <w:t>No report</w:t>
            </w:r>
            <w:r w:rsidR="0019417F">
              <w:t>.</w:t>
            </w:r>
          </w:p>
        </w:tc>
      </w:tr>
      <w:tr w:rsidR="00DA352E" w:rsidRPr="00DA352E" w14:paraId="12BAB90D" w14:textId="77777777" w:rsidTr="008B1678">
        <w:trPr>
          <w:gridAfter w:val="1"/>
          <w:wAfter w:w="8" w:type="pct"/>
        </w:trPr>
        <w:tc>
          <w:tcPr>
            <w:tcW w:w="4992" w:type="pct"/>
            <w:shd w:val="clear" w:color="auto" w:fill="F2F2F2" w:themeFill="background1" w:themeFillShade="F2"/>
          </w:tcPr>
          <w:p w14:paraId="0D806BF8" w14:textId="2E991D76"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305697">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305697">
                  <w:t>NA</w:t>
                </w:r>
              </w:sdtContent>
            </w:sdt>
          </w:p>
        </w:tc>
      </w:tr>
      <w:tr w:rsidR="00DA352E" w:rsidRPr="00DA352E" w14:paraId="33AAF4A6" w14:textId="77777777" w:rsidTr="008B1678">
        <w:trPr>
          <w:gridAfter w:val="1"/>
          <w:wAfter w:w="8" w:type="pct"/>
        </w:trPr>
        <w:tc>
          <w:tcPr>
            <w:tcW w:w="4992" w:type="pct"/>
          </w:tcPr>
          <w:p w14:paraId="2059E4CB" w14:textId="6EB83360" w:rsidR="00DA352E" w:rsidRPr="00DA352E" w:rsidRDefault="00305697" w:rsidP="003365A5">
            <w:pPr>
              <w:pStyle w:val="Tabletextprimarysource"/>
            </w:pPr>
            <w:r>
              <w:t>No report</w:t>
            </w:r>
            <w:r w:rsidR="0019417F">
              <w:t>.</w:t>
            </w:r>
          </w:p>
        </w:tc>
      </w:tr>
      <w:tr w:rsidR="00DA352E" w:rsidRPr="00DA352E" w14:paraId="605F758C" w14:textId="77777777" w:rsidTr="008B1678">
        <w:trPr>
          <w:gridAfter w:val="1"/>
          <w:wAfter w:w="8" w:type="pct"/>
        </w:trPr>
        <w:tc>
          <w:tcPr>
            <w:tcW w:w="4992" w:type="pct"/>
            <w:shd w:val="clear" w:color="auto" w:fill="F2F2F2" w:themeFill="background1" w:themeFillShade="F2"/>
          </w:tcPr>
          <w:p w14:paraId="407840EC" w14:textId="004FEE61"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r w:rsidR="00305697">
              <w:t>NA</w:t>
            </w:r>
            <w:r w:rsidR="00916EC0" w:rsidRPr="003365A5">
              <w:tab/>
            </w:r>
            <w:r w:rsidR="0051509C">
              <w:tab/>
            </w:r>
            <w:sdt>
              <w:sdtPr>
                <w:alias w:val="HCOTN WES equivalent"/>
                <w:tag w:val="HCOTN WES equivalent"/>
                <w:id w:val="1471562734"/>
                <w:placeholder>
                  <w:docPart w:val="F3D4204BA37A4A21A656C76DA4274412"/>
                </w:placeholder>
              </w:sdtPr>
              <w:sdtEndPr/>
              <w:sdtContent>
                <w:r w:rsidR="00305697">
                  <w:t>NA</w:t>
                </w:r>
              </w:sdtContent>
            </w:sdt>
          </w:p>
        </w:tc>
      </w:tr>
      <w:tr w:rsidR="00DA352E" w:rsidRPr="00DA352E" w14:paraId="7050CB3E" w14:textId="77777777" w:rsidTr="008B1678">
        <w:trPr>
          <w:gridAfter w:val="1"/>
          <w:wAfter w:w="8" w:type="pct"/>
        </w:trPr>
        <w:tc>
          <w:tcPr>
            <w:tcW w:w="4992" w:type="pct"/>
          </w:tcPr>
          <w:p w14:paraId="492D7791" w14:textId="37B7A8E1" w:rsidR="00DA352E" w:rsidRPr="00DA352E" w:rsidRDefault="00305697" w:rsidP="003365A5">
            <w:pPr>
              <w:pStyle w:val="Tabletextprimarysource"/>
            </w:pPr>
            <w:r>
              <w:t>No report</w:t>
            </w:r>
            <w:r w:rsidR="0019417F">
              <w:t>.</w:t>
            </w: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2"/>
        <w:gridCol w:w="423"/>
        <w:gridCol w:w="661"/>
        <w:gridCol w:w="6450"/>
      </w:tblGrid>
      <w:tr w:rsidR="004966BF" w:rsidRPr="00263255" w14:paraId="6AE89AB3" w14:textId="77777777" w:rsidTr="008B1678">
        <w:trPr>
          <w:cnfStyle w:val="100000000000" w:firstRow="1" w:lastRow="0" w:firstColumn="0" w:lastColumn="0" w:oddVBand="0" w:evenVBand="0" w:oddHBand="0" w:evenHBand="0" w:firstRowFirstColumn="0" w:firstRowLastColumn="0" w:lastRowFirstColumn="0" w:lastRowLastColumn="0"/>
          <w:cantSplit/>
          <w:trHeight w:val="393"/>
          <w:tblHeader/>
        </w:trPr>
        <w:tc>
          <w:tcPr>
            <w:tcW w:w="1492" w:type="dxa"/>
            <w:shd w:val="clear" w:color="auto" w:fill="BFBFBF" w:themeFill="background1" w:themeFillShade="BF"/>
            <w:vAlign w:val="center"/>
          </w:tcPr>
          <w:p w14:paraId="084A5BD3"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27B16D7E" w14:textId="77777777" w:rsidR="004966BF" w:rsidRPr="00263255" w:rsidRDefault="004966BF" w:rsidP="00263255">
            <w:pPr>
              <w:pStyle w:val="Tableheader"/>
            </w:pPr>
          </w:p>
        </w:tc>
        <w:tc>
          <w:tcPr>
            <w:tcW w:w="661" w:type="dxa"/>
            <w:shd w:val="clear" w:color="auto" w:fill="BFBFBF" w:themeFill="background1" w:themeFillShade="BF"/>
            <w:vAlign w:val="center"/>
          </w:tcPr>
          <w:p w14:paraId="5CC24B52" w14:textId="77777777" w:rsidR="004966BF" w:rsidRPr="00263255" w:rsidRDefault="004966BF" w:rsidP="00263255">
            <w:pPr>
              <w:pStyle w:val="Tableheader"/>
            </w:pPr>
            <w:r>
              <w:t>Year</w:t>
            </w:r>
          </w:p>
        </w:tc>
        <w:tc>
          <w:tcPr>
            <w:tcW w:w="6450" w:type="dxa"/>
            <w:shd w:val="clear" w:color="auto" w:fill="BFBFBF" w:themeFill="background1" w:themeFillShade="BF"/>
            <w:vAlign w:val="center"/>
          </w:tcPr>
          <w:p w14:paraId="24D06CBF" w14:textId="77777777" w:rsidR="004966BF" w:rsidRPr="00263255" w:rsidRDefault="004966BF" w:rsidP="00263255">
            <w:pPr>
              <w:pStyle w:val="Tableheader"/>
            </w:pPr>
            <w:r>
              <w:t>Additional information</w:t>
            </w:r>
          </w:p>
        </w:tc>
      </w:tr>
      <w:tr w:rsidR="004966BF" w:rsidRPr="004C23F4" w14:paraId="67214C13" w14:textId="77777777" w:rsidTr="008B1678">
        <w:trPr>
          <w:cantSplit/>
        </w:trPr>
        <w:tc>
          <w:tcPr>
            <w:tcW w:w="1492" w:type="dxa"/>
          </w:tcPr>
          <w:p w14:paraId="4B3B2A83" w14:textId="77777777" w:rsidR="004966BF" w:rsidRPr="004C23F4" w:rsidRDefault="004966BF" w:rsidP="00224EE2">
            <w:pPr>
              <w:pStyle w:val="Tablefont"/>
            </w:pPr>
            <w:r>
              <w:t>NICNAS</w:t>
            </w:r>
          </w:p>
        </w:tc>
        <w:tc>
          <w:tcPr>
            <w:tcW w:w="423" w:type="dxa"/>
          </w:tcPr>
          <w:p w14:paraId="37DAB09E" w14:textId="37CF9E58" w:rsidR="004966BF" w:rsidRPr="00CE617F" w:rsidRDefault="00386D55"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CB572A">
                  <w:rPr>
                    <w:rStyle w:val="checkbox"/>
                  </w:rPr>
                  <w:t></w:t>
                </w:r>
              </w:sdtContent>
            </w:sdt>
          </w:p>
        </w:tc>
        <w:tc>
          <w:tcPr>
            <w:tcW w:w="661" w:type="dxa"/>
          </w:tcPr>
          <w:p w14:paraId="5BB66CBF" w14:textId="72D42AAD" w:rsidR="004966BF" w:rsidRPr="004C23F4" w:rsidRDefault="00CB572A" w:rsidP="00717D45">
            <w:pPr>
              <w:pStyle w:val="Tablefont"/>
              <w:rPr>
                <w:rStyle w:val="checkbox"/>
                <w:rFonts w:ascii="Arial" w:hAnsi="Arial" w:cs="Arial"/>
              </w:rPr>
            </w:pPr>
            <w:r>
              <w:rPr>
                <w:rStyle w:val="checkbox"/>
                <w:rFonts w:ascii="Arial" w:hAnsi="Arial" w:cs="Arial"/>
              </w:rPr>
              <w:t>2014</w:t>
            </w:r>
          </w:p>
        </w:tc>
        <w:tc>
          <w:tcPr>
            <w:tcW w:w="6450" w:type="dxa"/>
          </w:tcPr>
          <w:p w14:paraId="6C8E9468" w14:textId="5212A059" w:rsidR="00CB572A" w:rsidRPr="00CB572A" w:rsidRDefault="0019417F" w:rsidP="00CB572A">
            <w:pPr>
              <w:pStyle w:val="ListBullet"/>
              <w:ind w:left="720"/>
              <w:rPr>
                <w:rFonts w:cs="Arial"/>
              </w:rPr>
            </w:pPr>
            <w:r>
              <w:rPr>
                <w:rFonts w:cs="Arial"/>
                <w:color w:val="262626"/>
              </w:rPr>
              <w:t>C</w:t>
            </w:r>
            <w:r w:rsidR="00CB572A">
              <w:rPr>
                <w:rFonts w:cs="Arial"/>
                <w:color w:val="262626"/>
              </w:rPr>
              <w:t>ritical effect is carcinogenicity</w:t>
            </w:r>
          </w:p>
          <w:p w14:paraId="526C4C41" w14:textId="2F9E59EA" w:rsidR="00CB572A" w:rsidRPr="00CB572A" w:rsidRDefault="00CB572A" w:rsidP="00CB572A">
            <w:pPr>
              <w:pStyle w:val="ListBullet"/>
              <w:ind w:left="720"/>
              <w:rPr>
                <w:rFonts w:cs="Arial"/>
              </w:rPr>
            </w:pPr>
            <w:r>
              <w:rPr>
                <w:rFonts w:cs="Arial"/>
                <w:color w:val="262626"/>
              </w:rPr>
              <w:t>Numerous</w:t>
            </w:r>
            <w:r>
              <w:rPr>
                <w:rFonts w:cs="Arial"/>
                <w:i/>
                <w:iCs/>
                <w:color w:val="262626"/>
              </w:rPr>
              <w:t> </w:t>
            </w:r>
            <w:r w:rsidRPr="00CB572A">
              <w:rPr>
                <w:rFonts w:cs="Arial"/>
                <w:i/>
                <w:color w:val="262626"/>
              </w:rPr>
              <w:t>in vitro</w:t>
            </w:r>
            <w:r>
              <w:rPr>
                <w:rFonts w:cs="Arial"/>
                <w:color w:val="262626"/>
              </w:rPr>
              <w:t xml:space="preserve"> (with and without metabolic activation) and</w:t>
            </w:r>
            <w:r>
              <w:rPr>
                <w:rFonts w:cs="Arial"/>
                <w:i/>
                <w:iCs/>
                <w:color w:val="262626"/>
              </w:rPr>
              <w:t> </w:t>
            </w:r>
            <w:r w:rsidRPr="00CB572A">
              <w:rPr>
                <w:rFonts w:cs="Arial"/>
                <w:i/>
                <w:color w:val="262626"/>
              </w:rPr>
              <w:t>in</w:t>
            </w:r>
            <w:r w:rsidRPr="00CB572A">
              <w:rPr>
                <w:rFonts w:cs="Arial"/>
                <w:i/>
                <w:iCs/>
                <w:color w:val="262626"/>
              </w:rPr>
              <w:t> </w:t>
            </w:r>
            <w:r w:rsidRPr="00CB572A">
              <w:rPr>
                <w:rFonts w:cs="Arial"/>
                <w:i/>
                <w:color w:val="262626"/>
              </w:rPr>
              <w:t>vivo</w:t>
            </w:r>
            <w:r>
              <w:rPr>
                <w:rFonts w:cs="Arial"/>
                <w:color w:val="262626"/>
              </w:rPr>
              <w:t xml:space="preserve"> genotoxicity studies on the chemical showing DNA damage (no further information)</w:t>
            </w:r>
          </w:p>
          <w:p w14:paraId="723A197E" w14:textId="46E7C135" w:rsidR="004966BF" w:rsidRPr="00CB572A" w:rsidRDefault="00CB572A" w:rsidP="00CB572A">
            <w:pPr>
              <w:pStyle w:val="ListBullet"/>
              <w:ind w:left="720"/>
              <w:rPr>
                <w:rFonts w:cs="Arial"/>
              </w:rPr>
            </w:pPr>
            <w:r>
              <w:rPr>
                <w:rFonts w:cs="Arial"/>
                <w:color w:val="262626"/>
              </w:rPr>
              <w:t xml:space="preserve">OEL of 5 ppm may not provide sufficient protection for workers with long-term repeated exposure </w:t>
            </w:r>
          </w:p>
          <w:p w14:paraId="0076C2F1" w14:textId="588FD02C" w:rsidR="00CB572A" w:rsidRPr="004C23F4" w:rsidRDefault="00CB572A" w:rsidP="00CB572A">
            <w:pPr>
              <w:pStyle w:val="ListBullet"/>
              <w:ind w:left="720"/>
              <w:rPr>
                <w:rStyle w:val="checkbox"/>
                <w:rFonts w:ascii="Arial" w:hAnsi="Arial" w:cs="Arial"/>
              </w:rPr>
            </w:pPr>
            <w:r>
              <w:rPr>
                <w:rFonts w:cs="Arial"/>
                <w:color w:val="262626"/>
              </w:rPr>
              <w:t>NOAEC in rats, rabbits, guinea pigs or dogs is 50 ppm for 6</w:t>
            </w:r>
            <w:r w:rsidR="00BC0805">
              <w:rPr>
                <w:rFonts w:cs="Arial"/>
                <w:color w:val="262626"/>
              </w:rPr>
              <w:t> </w:t>
            </w:r>
            <w:r>
              <w:rPr>
                <w:rFonts w:cs="Arial"/>
                <w:color w:val="262626"/>
              </w:rPr>
              <w:t>mo (no further information)</w:t>
            </w:r>
          </w:p>
        </w:tc>
      </w:tr>
      <w:tr w:rsidR="004966BF" w:rsidRPr="004C23F4" w14:paraId="04FEEADE" w14:textId="77777777" w:rsidTr="008B1678">
        <w:trPr>
          <w:cantSplit/>
        </w:trPr>
        <w:tc>
          <w:tcPr>
            <w:tcW w:w="1492" w:type="dxa"/>
          </w:tcPr>
          <w:p w14:paraId="0AEF458D" w14:textId="77777777" w:rsidR="004966BF" w:rsidRPr="004C23F4" w:rsidRDefault="004966BF" w:rsidP="00224EE2">
            <w:pPr>
              <w:pStyle w:val="Tablefont"/>
            </w:pPr>
            <w:r>
              <w:lastRenderedPageBreak/>
              <w:t>IARC</w:t>
            </w:r>
          </w:p>
        </w:tc>
        <w:tc>
          <w:tcPr>
            <w:tcW w:w="423" w:type="dxa"/>
          </w:tcPr>
          <w:p w14:paraId="184BEF97" w14:textId="12A0B11F" w:rsidR="004966BF" w:rsidRPr="00CE617F" w:rsidRDefault="00386D55"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CB572A">
                  <w:rPr>
                    <w:rStyle w:val="checkbox"/>
                  </w:rPr>
                  <w:t></w:t>
                </w:r>
              </w:sdtContent>
            </w:sdt>
          </w:p>
        </w:tc>
        <w:tc>
          <w:tcPr>
            <w:tcW w:w="661" w:type="dxa"/>
          </w:tcPr>
          <w:p w14:paraId="343344A1" w14:textId="498ED48B" w:rsidR="004966BF" w:rsidRPr="004C23F4" w:rsidRDefault="00CB572A" w:rsidP="00717D45">
            <w:pPr>
              <w:pStyle w:val="Tablefont"/>
              <w:rPr>
                <w:rStyle w:val="checkbox"/>
                <w:rFonts w:ascii="Arial" w:hAnsi="Arial" w:cs="Arial"/>
              </w:rPr>
            </w:pPr>
            <w:r>
              <w:rPr>
                <w:rStyle w:val="checkbox"/>
                <w:rFonts w:ascii="Arial" w:hAnsi="Arial" w:cs="Arial"/>
              </w:rPr>
              <w:t>2012</w:t>
            </w:r>
          </w:p>
        </w:tc>
        <w:tc>
          <w:tcPr>
            <w:tcW w:w="6450" w:type="dxa"/>
          </w:tcPr>
          <w:p w14:paraId="1DB369E5" w14:textId="18B53E62" w:rsidR="004966BF" w:rsidRDefault="00CB572A" w:rsidP="00A26263">
            <w:pPr>
              <w:pStyle w:val="ListBullet"/>
              <w:ind w:left="720"/>
              <w:rPr>
                <w:rStyle w:val="checkbox"/>
                <w:rFonts w:ascii="Arial" w:hAnsi="Arial" w:cs="Arial"/>
              </w:rPr>
            </w:pPr>
            <w:r>
              <w:rPr>
                <w:rStyle w:val="checkbox"/>
                <w:rFonts w:ascii="Arial" w:hAnsi="Arial" w:cs="Arial"/>
              </w:rPr>
              <w:t>Consider</w:t>
            </w:r>
            <w:r w:rsidR="0019417F">
              <w:rPr>
                <w:rStyle w:val="checkbox"/>
                <w:rFonts w:ascii="Arial" w:hAnsi="Arial" w:cs="Arial"/>
              </w:rPr>
              <w:t xml:space="preserve">ed </w:t>
            </w:r>
            <w:r>
              <w:rPr>
                <w:rStyle w:val="checkbox"/>
                <w:rFonts w:ascii="Arial" w:hAnsi="Arial" w:cs="Arial"/>
              </w:rPr>
              <w:t>carcinogenic to humans; refers to multicentre cohort studies cited by ACGIH (2018) and DFG (</w:t>
            </w:r>
            <w:r w:rsidR="0019417F">
              <w:rPr>
                <w:rStyle w:val="checkbox"/>
                <w:rFonts w:ascii="Arial" w:hAnsi="Arial" w:cs="Arial"/>
              </w:rPr>
              <w:t>2019)</w:t>
            </w:r>
          </w:p>
          <w:p w14:paraId="132E937E" w14:textId="02B91ED9" w:rsidR="00CB572A" w:rsidRPr="00CB572A" w:rsidRDefault="00CB572A" w:rsidP="00A26263">
            <w:pPr>
              <w:pStyle w:val="ListBullet"/>
              <w:ind w:left="720"/>
              <w:rPr>
                <w:rFonts w:cs="Arial"/>
              </w:rPr>
            </w:pPr>
            <w:r>
              <w:t>Induces unscheduled DNA synthesis in mice, rats</w:t>
            </w:r>
            <w:r w:rsidR="00DB07D4">
              <w:t xml:space="preserve"> and</w:t>
            </w:r>
            <w:r>
              <w:t xml:space="preserve"> hamsters </w:t>
            </w:r>
            <w:r w:rsidRPr="00CB572A">
              <w:rPr>
                <w:i/>
              </w:rPr>
              <w:t>in vivo</w:t>
            </w:r>
          </w:p>
          <w:p w14:paraId="7E1F0FC6" w14:textId="7EA29516" w:rsidR="00CB572A" w:rsidRPr="00CB572A" w:rsidRDefault="00CB572A" w:rsidP="00A26263">
            <w:pPr>
              <w:pStyle w:val="ListBullet"/>
              <w:ind w:left="720"/>
              <w:rPr>
                <w:rFonts w:cs="Arial"/>
              </w:rPr>
            </w:pPr>
            <w:r>
              <w:t>In rats, DNA adducts found in various organs after exposure by inhalation</w:t>
            </w:r>
          </w:p>
          <w:p w14:paraId="2DDCA6FC" w14:textId="47044A3E" w:rsidR="00CB572A" w:rsidRPr="00A26263" w:rsidRDefault="00CB572A" w:rsidP="00A26263">
            <w:pPr>
              <w:pStyle w:val="ListBullet"/>
              <w:ind w:left="720"/>
              <w:rPr>
                <w:rStyle w:val="checkbox"/>
                <w:rFonts w:ascii="Arial" w:hAnsi="Arial" w:cs="Arial"/>
              </w:rPr>
            </w:pPr>
            <w:r>
              <w:t xml:space="preserve">Strong evidence </w:t>
            </w:r>
            <w:r w:rsidR="00721646">
              <w:t xml:space="preserve">that </w:t>
            </w:r>
            <w:r>
              <w:t>carcinogenicity operates by a genotoxic mechanism involv</w:t>
            </w:r>
            <w:r w:rsidR="0019417F">
              <w:t>ing</w:t>
            </w:r>
            <w:r>
              <w:t xml:space="preserve"> metabolic activation to reactive metabolites, binding of the metabolites to DNA</w:t>
            </w:r>
            <w:r w:rsidR="00DB07D4">
              <w:t xml:space="preserve"> and</w:t>
            </w:r>
            <w:r w:rsidR="0019417F">
              <w:t xml:space="preserve"> </w:t>
            </w:r>
            <w:r>
              <w:t>pro</w:t>
            </w:r>
            <w:r w:rsidR="00BC0805">
              <w:t>-</w:t>
            </w:r>
            <w:r>
              <w:t>mutagenic action of these adducts leading to mutations in proto-oncogenes and tumour-suppressor genes</w:t>
            </w:r>
            <w:r w:rsidR="0019417F">
              <w:t>.</w:t>
            </w:r>
          </w:p>
        </w:tc>
      </w:tr>
      <w:tr w:rsidR="004966BF" w:rsidRPr="004C23F4" w14:paraId="5B6AED63" w14:textId="77777777" w:rsidTr="008B1678">
        <w:trPr>
          <w:cantSplit/>
        </w:trPr>
        <w:tc>
          <w:tcPr>
            <w:tcW w:w="1492" w:type="dxa"/>
          </w:tcPr>
          <w:p w14:paraId="01321F42" w14:textId="77777777" w:rsidR="004966BF" w:rsidRPr="004C23F4" w:rsidRDefault="004966BF" w:rsidP="00224EE2">
            <w:pPr>
              <w:pStyle w:val="Tablefont"/>
            </w:pPr>
            <w:r>
              <w:t>US EPA</w:t>
            </w:r>
          </w:p>
        </w:tc>
        <w:tc>
          <w:tcPr>
            <w:tcW w:w="423" w:type="dxa"/>
          </w:tcPr>
          <w:p w14:paraId="7AE5C94A" w14:textId="5D93AC0E" w:rsidR="004966BF" w:rsidRPr="00CE617F" w:rsidRDefault="00386D55"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A26263">
                  <w:rPr>
                    <w:rStyle w:val="checkbox"/>
                  </w:rPr>
                  <w:t></w:t>
                </w:r>
              </w:sdtContent>
            </w:sdt>
          </w:p>
        </w:tc>
        <w:tc>
          <w:tcPr>
            <w:tcW w:w="661" w:type="dxa"/>
          </w:tcPr>
          <w:p w14:paraId="5C68236E" w14:textId="5E4D0504" w:rsidR="004966BF" w:rsidRPr="004C23F4" w:rsidRDefault="00A26263" w:rsidP="00717D45">
            <w:pPr>
              <w:pStyle w:val="Tablefont"/>
              <w:rPr>
                <w:rStyle w:val="checkbox"/>
                <w:rFonts w:ascii="Arial" w:hAnsi="Arial" w:cs="Arial"/>
              </w:rPr>
            </w:pPr>
            <w:r>
              <w:rPr>
                <w:rStyle w:val="checkbox"/>
                <w:rFonts w:ascii="Arial" w:hAnsi="Arial" w:cs="Arial"/>
              </w:rPr>
              <w:t>2000</w:t>
            </w:r>
          </w:p>
        </w:tc>
        <w:tc>
          <w:tcPr>
            <w:tcW w:w="6450" w:type="dxa"/>
          </w:tcPr>
          <w:p w14:paraId="68657ED6" w14:textId="579D342C" w:rsidR="00A26263" w:rsidRPr="00A26263" w:rsidRDefault="00A26263" w:rsidP="004E1591">
            <w:pPr>
              <w:pStyle w:val="ListBullet"/>
              <w:numPr>
                <w:ilvl w:val="0"/>
                <w:numId w:val="6"/>
              </w:numPr>
              <w:rPr>
                <w:rFonts w:cs="Arial"/>
              </w:rPr>
            </w:pPr>
            <w:r>
              <w:rPr>
                <w:rFonts w:cs="Arial"/>
              </w:rPr>
              <w:t>Consider</w:t>
            </w:r>
            <w:r w:rsidR="0019417F">
              <w:rPr>
                <w:rFonts w:cs="Arial"/>
              </w:rPr>
              <w:t>ed</w:t>
            </w:r>
            <w:r>
              <w:rPr>
                <w:rFonts w:cs="Arial"/>
              </w:rPr>
              <w:t xml:space="preserve"> human carcinogen based on sufficient data from s</w:t>
            </w:r>
            <w:r>
              <w:t>everal independent retrospective and prospective cohort studies demonstrating statistically significant elevated risk of liver cancer, specifically angiosarcomas, from exposure</w:t>
            </w:r>
          </w:p>
          <w:p w14:paraId="4444F6FB" w14:textId="565590D5" w:rsidR="00A26263" w:rsidRPr="004E1591" w:rsidRDefault="00A26263" w:rsidP="004E1591">
            <w:pPr>
              <w:pStyle w:val="ListBullet"/>
              <w:numPr>
                <w:ilvl w:val="0"/>
                <w:numId w:val="6"/>
              </w:numPr>
              <w:rPr>
                <w:rFonts w:cs="Arial"/>
              </w:rPr>
            </w:pPr>
            <w:r>
              <w:t>Concludes carcinogenic in rodents by both oral and inhalation routes</w:t>
            </w:r>
            <w:r w:rsidR="00DB07D4">
              <w:t xml:space="preserve"> and</w:t>
            </w:r>
            <w:r>
              <w:t xml:space="preserve"> some data indicate it produces tumours when </w:t>
            </w:r>
            <w:r w:rsidR="004E1591">
              <w:t>does</w:t>
            </w:r>
            <w:r>
              <w:t xml:space="preserve"> by </w:t>
            </w:r>
            <w:r w:rsidR="004E1591">
              <w:t>subcutaneous methods</w:t>
            </w:r>
            <w:r>
              <w:t xml:space="preserve"> </w:t>
            </w:r>
          </w:p>
          <w:p w14:paraId="71F56B08" w14:textId="2C7B0FF9" w:rsidR="004E1591" w:rsidRPr="004E1591" w:rsidRDefault="00D65C2C" w:rsidP="004E1591">
            <w:pPr>
              <w:pStyle w:val="ListBullet"/>
              <w:numPr>
                <w:ilvl w:val="0"/>
                <w:numId w:val="6"/>
              </w:numPr>
              <w:rPr>
                <w:rFonts w:cs="Arial"/>
              </w:rPr>
            </w:pPr>
            <w:r>
              <w:t>S</w:t>
            </w:r>
            <w:r w:rsidR="004E1591">
              <w:t>everal lines of evidence indicate metabolites are genotoxic, interacting directly with DNA (no further details)</w:t>
            </w:r>
          </w:p>
          <w:p w14:paraId="42BBE6BE" w14:textId="2B57CF9F" w:rsidR="004E1591" w:rsidRPr="004E1591" w:rsidRDefault="004E1591" w:rsidP="004E1591">
            <w:pPr>
              <w:pStyle w:val="ListBullet"/>
              <w:numPr>
                <w:ilvl w:val="0"/>
                <w:numId w:val="6"/>
              </w:numPr>
            </w:pPr>
            <w:r>
              <w:t>Provides an Inhalation Unit Risk of 4.4x10</w:t>
            </w:r>
            <w:r w:rsidRPr="004E1591">
              <w:rPr>
                <w:vertAlign w:val="superscript"/>
              </w:rPr>
              <w:t>-6</w:t>
            </w:r>
            <w:r>
              <w:t xml:space="preserve"> (risk per </w:t>
            </w:r>
            <w:r w:rsidRPr="004E1591">
              <w:rPr>
                <w:rFonts w:cs="Arial"/>
              </w:rPr>
              <w:t>µ</w:t>
            </w:r>
            <w:r>
              <w:t>g/m</w:t>
            </w:r>
            <w:r w:rsidRPr="004E1591">
              <w:rPr>
                <w:vertAlign w:val="superscript"/>
              </w:rPr>
              <w:t>3</w:t>
            </w:r>
            <w:r>
              <w:t>) for continuous lifetime exposure during adulthood; based on rat inhalation study c</w:t>
            </w:r>
            <w:r w:rsidR="00A26263">
              <w:t>ited by ACGIH (2018)</w:t>
            </w:r>
            <w:r w:rsidR="00957E23">
              <w:t>:</w:t>
            </w:r>
            <w:r>
              <w:t xml:space="preserve"> </w:t>
            </w:r>
          </w:p>
          <w:p w14:paraId="3805EAFE" w14:textId="59F5A1A3" w:rsidR="00E60623" w:rsidRPr="00351B9E" w:rsidRDefault="00A26263" w:rsidP="004E1591">
            <w:pPr>
              <w:pStyle w:val="ListBullet"/>
              <w:numPr>
                <w:ilvl w:val="0"/>
                <w:numId w:val="7"/>
              </w:numPr>
              <w:rPr>
                <w:rFonts w:cs="Arial"/>
              </w:rPr>
            </w:pPr>
            <w:r>
              <w:t>rats exposed 4 h/d, 5 d/wk for 52 wk at concentrations ranging from 1</w:t>
            </w:r>
            <w:r w:rsidR="00E60623">
              <w:t>–</w:t>
            </w:r>
            <w:r>
              <w:t xml:space="preserve">30,000 ppm; mice and hamsters to </w:t>
            </w:r>
          </w:p>
          <w:p w14:paraId="2EC87FD2" w14:textId="3F46CAF3" w:rsidR="004966BF" w:rsidRPr="004E1591" w:rsidRDefault="00A26263" w:rsidP="00351B9E">
            <w:pPr>
              <w:pStyle w:val="ListBullet"/>
              <w:numPr>
                <w:ilvl w:val="0"/>
                <w:numId w:val="0"/>
              </w:numPr>
              <w:ind w:left="1080"/>
              <w:rPr>
                <w:rFonts w:cs="Arial"/>
              </w:rPr>
            </w:pPr>
            <w:r>
              <w:t>50</w:t>
            </w:r>
            <w:r w:rsidR="00E60623">
              <w:t>–</w:t>
            </w:r>
            <w:r>
              <w:t>30,000 ppm for 30 w</w:t>
            </w:r>
            <w:r w:rsidR="00D65C2C">
              <w:t>k</w:t>
            </w:r>
            <w:r>
              <w:t>, followed by observation period</w:t>
            </w:r>
          </w:p>
          <w:p w14:paraId="4582291F" w14:textId="347E00D6" w:rsidR="00A26263" w:rsidRPr="004E1591" w:rsidRDefault="00A26263" w:rsidP="004E1591">
            <w:pPr>
              <w:pStyle w:val="ListBullet"/>
              <w:numPr>
                <w:ilvl w:val="0"/>
                <w:numId w:val="7"/>
              </w:numPr>
              <w:rPr>
                <w:rFonts w:cs="Arial"/>
              </w:rPr>
            </w:pPr>
            <w:r>
              <w:t>statistically significant increase in tumour incidence, including liver angiosarcoma, observed in all three species at 50 ppm</w:t>
            </w:r>
          </w:p>
          <w:p w14:paraId="6A424A92" w14:textId="5E846FFE" w:rsidR="004E1591" w:rsidRPr="004E1591" w:rsidRDefault="00D65C2C" w:rsidP="004E1591">
            <w:pPr>
              <w:pStyle w:val="ListBullet"/>
              <w:numPr>
                <w:ilvl w:val="0"/>
                <w:numId w:val="7"/>
              </w:numPr>
              <w:rPr>
                <w:rFonts w:cs="Arial"/>
              </w:rPr>
            </w:pPr>
            <w:r>
              <w:t>h</w:t>
            </w:r>
            <w:r w:rsidR="004E1591">
              <w:t>uman equivalent concentrations derived using a PBPK model</w:t>
            </w:r>
          </w:p>
          <w:p w14:paraId="2224089B" w14:textId="0E4B6636" w:rsidR="004E1591" w:rsidRPr="004C23F4" w:rsidRDefault="004E1591" w:rsidP="004E1591">
            <w:pPr>
              <w:pStyle w:val="ListBullet"/>
              <w:ind w:left="741"/>
              <w:rPr>
                <w:rStyle w:val="checkbox"/>
                <w:rFonts w:ascii="Arial" w:hAnsi="Arial" w:cs="Arial"/>
              </w:rPr>
            </w:pPr>
            <w:r>
              <w:t>Although human studies preferable for deriving human cancer risk estimates, exposure data from most epidemiology studies inadequate to derive risk estimates; because vinyl chloride metabolism becomes nonlinear at high exposure concentrations, cumulative exposure (provided in cited epidemiological studies) not sufficient for quantitating risk</w:t>
            </w:r>
            <w:r w:rsidR="00D65C2C">
              <w:t>.</w:t>
            </w:r>
          </w:p>
        </w:tc>
      </w:tr>
    </w:tbl>
    <w:p w14:paraId="21C7ACE5" w14:textId="77777777" w:rsidR="007E2A4B" w:rsidRDefault="007E2A4B"/>
    <w:bookmarkEnd w:id="0"/>
    <w:p w14:paraId="04408E29"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4"/>
        <w:gridCol w:w="2422"/>
      </w:tblGrid>
      <w:tr w:rsidR="002E0D61" w14:paraId="328EBB70" w14:textId="77777777" w:rsidTr="00610F2E">
        <w:trPr>
          <w:trHeight w:val="454"/>
          <w:tblHeader/>
        </w:trPr>
        <w:tc>
          <w:tcPr>
            <w:tcW w:w="6771"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71" w:type="dxa"/>
                <w:vAlign w:val="center"/>
              </w:tcPr>
              <w:p w14:paraId="2B8F4675" w14:textId="0DE6E613" w:rsidR="002E0D61" w:rsidRDefault="00CB572A" w:rsidP="00C3091E">
                <w:pPr>
                  <w:pStyle w:val="Tablefont"/>
                  <w:keepNext/>
                  <w:keepLines/>
                  <w:spacing w:before="40" w:after="40"/>
                </w:pPr>
                <w:r>
                  <w:t>Yes</w:t>
                </w:r>
              </w:p>
            </w:tc>
          </w:sdtContent>
        </w:sdt>
      </w:tr>
      <w:tr w:rsidR="008A36CF" w14:paraId="2618A4C0" w14:textId="77777777" w:rsidTr="006901A2">
        <w:trPr>
          <w:trHeight w:val="454"/>
        </w:trPr>
        <w:tc>
          <w:tcPr>
            <w:tcW w:w="6771" w:type="dxa"/>
            <w:vAlign w:val="center"/>
          </w:tcPr>
          <w:p w14:paraId="28B995B9"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71" w:type="dxa"/>
                <w:vAlign w:val="center"/>
              </w:tcPr>
              <w:p w14:paraId="72B1B278" w14:textId="2484EC30" w:rsidR="008A36CF" w:rsidRDefault="00CB572A" w:rsidP="008A36CF">
                <w:pPr>
                  <w:pStyle w:val="Tablefont"/>
                  <w:keepNext/>
                  <w:keepLines/>
                  <w:spacing w:before="40" w:after="40"/>
                </w:pPr>
                <w:r>
                  <w:t>Yes</w:t>
                </w:r>
              </w:p>
            </w:tc>
          </w:sdtContent>
        </w:sdt>
      </w:tr>
      <w:tr w:rsidR="008A36CF" w14:paraId="4D6DDFA3" w14:textId="77777777" w:rsidTr="006901A2">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771" w:type="dxa"/>
                <w:vAlign w:val="center"/>
              </w:tcPr>
              <w:p w14:paraId="1A7516AB" w14:textId="4CB0FA8F" w:rsidR="008A36CF" w:rsidRPr="006901A2" w:rsidRDefault="00CB572A" w:rsidP="008A36CF">
                <w:pPr>
                  <w:pStyle w:val="Tablefont"/>
                  <w:keepNext/>
                  <w:keepLines/>
                  <w:spacing w:before="40" w:after="40"/>
                  <w:rPr>
                    <w:b/>
                  </w:rPr>
                </w:pPr>
                <w:r>
                  <w:rPr>
                    <w:b/>
                  </w:rPr>
                  <w:t>The chemical is a non-threshold based genotoxic carcinogen.</w:t>
                </w:r>
              </w:p>
            </w:tc>
          </w:sdtContent>
        </w:sdt>
        <w:tc>
          <w:tcPr>
            <w:tcW w:w="2471" w:type="dxa"/>
            <w:vAlign w:val="center"/>
          </w:tcPr>
          <w:p w14:paraId="18F36B73" w14:textId="77777777" w:rsidR="008A36CF" w:rsidRDefault="008A36CF" w:rsidP="008A36CF">
            <w:pPr>
              <w:pStyle w:val="Tablefont"/>
              <w:keepNext/>
              <w:keepLines/>
              <w:spacing w:before="40" w:after="40"/>
            </w:pPr>
          </w:p>
        </w:tc>
      </w:tr>
      <w:tr w:rsidR="008A36CF" w14:paraId="2B30B9EA" w14:textId="77777777" w:rsidTr="006901A2">
        <w:trPr>
          <w:trHeight w:val="454"/>
        </w:trPr>
        <w:tc>
          <w:tcPr>
            <w:tcW w:w="6771" w:type="dxa"/>
            <w:vAlign w:val="center"/>
          </w:tcPr>
          <w:p w14:paraId="0B294749" w14:textId="77777777" w:rsidR="008A36CF" w:rsidRDefault="008A36CF" w:rsidP="008A36CF">
            <w:pPr>
              <w:pStyle w:val="Tablefont"/>
              <w:keepNext/>
              <w:keepLines/>
              <w:spacing w:before="40" w:after="40"/>
            </w:pPr>
            <w:r w:rsidRPr="008A36CF">
              <w:t>Is a cancer slope factor or inhalation unit risk value available?</w:t>
            </w:r>
          </w:p>
        </w:tc>
        <w:sdt>
          <w:sdtPr>
            <w:id w:val="1304347970"/>
            <w:placeholder>
              <w:docPart w:val="047AD93791DC493F8562BB3488160D64"/>
            </w:placeholder>
            <w:comboBox>
              <w:listItem w:value="Choose an item."/>
              <w:listItem w:displayText="Yes" w:value="Yes"/>
              <w:listItem w:displayText="No" w:value="No"/>
              <w:listItem w:displayText="NA" w:value="NA"/>
            </w:comboBox>
          </w:sdtPr>
          <w:sdtEndPr/>
          <w:sdtContent>
            <w:tc>
              <w:tcPr>
                <w:tcW w:w="2471" w:type="dxa"/>
                <w:vAlign w:val="center"/>
              </w:tcPr>
              <w:p w14:paraId="49A0718B" w14:textId="776AFA29" w:rsidR="008A36CF" w:rsidRDefault="00A26263" w:rsidP="008A36CF">
                <w:pPr>
                  <w:pStyle w:val="Tablefont"/>
                  <w:keepNext/>
                  <w:keepLines/>
                  <w:spacing w:before="40" w:after="40"/>
                </w:pPr>
                <w:r>
                  <w:t>Yes</w:t>
                </w:r>
              </w:p>
            </w:tc>
          </w:sdtContent>
        </w:sdt>
      </w:tr>
      <w:tr w:rsidR="008A36CF" w14:paraId="71B4206D" w14:textId="77777777" w:rsidTr="006901A2">
        <w:trPr>
          <w:trHeight w:val="454"/>
        </w:trPr>
        <w:sdt>
          <w:sdtPr>
            <w:alias w:val="Dropdown"/>
            <w:tag w:val="Dropdown"/>
            <w:id w:val="-1733531363"/>
            <w:placeholder>
              <w:docPart w:val="7B0BAA2441D5427984E6018FB38900E7"/>
            </w:placeholder>
            <w:comboBox>
              <w:listItem w:value="Choose an item."/>
              <w:listItem w:displayText="Cancer slope factor (1/(mg/kg/day))" w:value="Cancer slope factor (1/(mg/kg/day))"/>
              <w:listItem w:displayText="Inhalation unit risk value (1/(µg/m³))" w:value="Inhalation unit risk value (1/(µg/m³))"/>
            </w:comboBox>
          </w:sdtPr>
          <w:sdtEndPr/>
          <w:sdtContent>
            <w:tc>
              <w:tcPr>
                <w:tcW w:w="6771" w:type="dxa"/>
                <w:vAlign w:val="center"/>
              </w:tcPr>
              <w:p w14:paraId="07590660" w14:textId="3EC82A0D" w:rsidR="008A36CF" w:rsidRDefault="00A26263" w:rsidP="008A36CF">
                <w:pPr>
                  <w:pStyle w:val="Tablefont"/>
                  <w:keepNext/>
                  <w:keepLines/>
                  <w:spacing w:before="40" w:after="40"/>
                </w:pPr>
                <w:r>
                  <w:t>Inhalation unit risk value (1/(µg/m³))</w:t>
                </w:r>
              </w:p>
            </w:tc>
          </w:sdtContent>
        </w:sdt>
        <w:sdt>
          <w:sdtPr>
            <w:alias w:val="SlopeFactor"/>
            <w:tag w:val="SlopeFactor"/>
            <w:id w:val="-1925646767"/>
            <w:placeholder>
              <w:docPart w:val="5C1D38B030D146B59436754F8399D502"/>
            </w:placeholder>
          </w:sdtPr>
          <w:sdtEndPr/>
          <w:sdtContent>
            <w:tc>
              <w:tcPr>
                <w:tcW w:w="2471" w:type="dxa"/>
                <w:vAlign w:val="center"/>
              </w:tcPr>
              <w:p w14:paraId="7D564579" w14:textId="3E1DC95C" w:rsidR="008A36CF" w:rsidRDefault="00A26263" w:rsidP="008A36CF">
                <w:pPr>
                  <w:pStyle w:val="Tablefont"/>
                  <w:keepNext/>
                  <w:keepLines/>
                  <w:spacing w:before="40" w:after="40"/>
                </w:pPr>
                <w:r>
                  <w:t>4.4x10</w:t>
                </w:r>
                <w:r>
                  <w:rPr>
                    <w:vertAlign w:val="superscript"/>
                  </w:rPr>
                  <w:t>-6</w:t>
                </w:r>
              </w:p>
            </w:tc>
          </w:sdtContent>
        </w:sdt>
      </w:tr>
      <w:tr w:rsidR="008A36CF" w14:paraId="23383A79" w14:textId="77777777" w:rsidTr="006901A2">
        <w:trPr>
          <w:trHeight w:val="454"/>
        </w:trPr>
        <w:tc>
          <w:tcPr>
            <w:tcW w:w="6771" w:type="dxa"/>
            <w:vAlign w:val="center"/>
          </w:tcPr>
          <w:p w14:paraId="264CDDFA" w14:textId="77777777" w:rsidR="008A36CF" w:rsidRDefault="008A36CF" w:rsidP="008A36CF">
            <w:pPr>
              <w:pStyle w:val="Tablefont"/>
              <w:keepNext/>
              <w:keepLines/>
              <w:spacing w:before="40" w:after="40"/>
            </w:pPr>
            <w:r>
              <w:t>Calculated TWA value (</w:t>
            </w:r>
            <w:r>
              <w:rPr>
                <w:rFonts w:cs="Arial"/>
              </w:rPr>
              <w:t>µ</w:t>
            </w:r>
            <w:r>
              <w:t>g/m</w:t>
            </w:r>
            <w:r w:rsidRPr="008A36CF">
              <w:rPr>
                <w:vertAlign w:val="superscript"/>
              </w:rPr>
              <w:t>3</w:t>
            </w:r>
            <w:r>
              <w:t>)</w:t>
            </w:r>
          </w:p>
        </w:tc>
        <w:tc>
          <w:tcPr>
            <w:tcW w:w="2471" w:type="dxa"/>
            <w:vAlign w:val="center"/>
          </w:tcPr>
          <w:p w14:paraId="6DEC7458" w14:textId="1861EC62" w:rsidR="008A36CF" w:rsidRDefault="00A26263" w:rsidP="008A36CF">
            <w:pPr>
              <w:pStyle w:val="Tablefont"/>
              <w:keepNext/>
              <w:keepLines/>
              <w:spacing w:before="40" w:after="40"/>
            </w:pPr>
            <w:r>
              <w:t>18.2 (7 ppb)</w:t>
            </w:r>
          </w:p>
        </w:tc>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8B1678">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8B1678">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215DB4F5" w:rsidR="00687890" w:rsidRPr="00DD2F9B" w:rsidRDefault="000A7EFD" w:rsidP="00DD2F9B">
            <w:pPr>
              <w:pStyle w:val="Tablefont"/>
            </w:pPr>
            <w:r w:rsidRPr="000A7EFD">
              <w:t>Carc. 1A</w:t>
            </w:r>
          </w:p>
        </w:tc>
      </w:tr>
      <w:tr w:rsidR="007925F0" w:rsidRPr="004C23F4" w14:paraId="2A0C13EF" w14:textId="77777777" w:rsidTr="008B1678">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0AD00F53" w:rsidR="007925F0" w:rsidRPr="00DD2F9B" w:rsidRDefault="000A3F20" w:rsidP="00DD2F9B">
            <w:pPr>
              <w:pStyle w:val="Tablefont"/>
            </w:pPr>
            <w:r w:rsidRPr="000A3F20">
              <w:t>Carcinogenicity – category 1A</w:t>
            </w:r>
          </w:p>
        </w:tc>
      </w:tr>
      <w:tr w:rsidR="00AF483F" w:rsidRPr="004C23F4" w14:paraId="4C1044B3" w14:textId="77777777" w:rsidTr="008B1678">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52C1B9BC" w:rsidR="00AF483F" w:rsidRPr="00DD2F9B" w:rsidRDefault="00565C09" w:rsidP="00DD2F9B">
            <w:pPr>
              <w:pStyle w:val="Tablefont"/>
            </w:pPr>
            <w:r>
              <w:t>NA</w:t>
            </w:r>
          </w:p>
        </w:tc>
      </w:tr>
      <w:tr w:rsidR="00687890" w:rsidRPr="004C23F4" w14:paraId="7812F0EC" w14:textId="77777777" w:rsidTr="008B1678">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5B63DFF6" w:rsidR="00687890" w:rsidRPr="00DD2F9B" w:rsidRDefault="00565C09" w:rsidP="00DD2F9B">
            <w:pPr>
              <w:pStyle w:val="Tablefont"/>
            </w:pPr>
            <w:r>
              <w:t>NA</w:t>
            </w:r>
          </w:p>
        </w:tc>
      </w:tr>
      <w:tr w:rsidR="00E41A26" w:rsidRPr="004C23F4" w14:paraId="403F0800" w14:textId="77777777" w:rsidTr="008B1678">
        <w:trPr>
          <w:cantSplit/>
        </w:trPr>
        <w:tc>
          <w:tcPr>
            <w:tcW w:w="3227" w:type="dxa"/>
          </w:tcPr>
          <w:p w14:paraId="09B172BE" w14:textId="77777777" w:rsidR="00E41A26" w:rsidRDefault="00E41A26" w:rsidP="00F4402E">
            <w:pPr>
              <w:pStyle w:val="Tablefont"/>
            </w:pPr>
            <w:r>
              <w:t>ECHA</w:t>
            </w:r>
          </w:p>
        </w:tc>
        <w:tc>
          <w:tcPr>
            <w:tcW w:w="6015" w:type="dxa"/>
          </w:tcPr>
          <w:p w14:paraId="778B90CD" w14:textId="0DED7FC8" w:rsidR="00E41A26" w:rsidRPr="00DD2F9B" w:rsidRDefault="00565C09" w:rsidP="00DD2F9B">
            <w:pPr>
              <w:pStyle w:val="Tablefont"/>
            </w:pPr>
            <w:r w:rsidRPr="00565C09">
              <w:t>Carc. 1A</w:t>
            </w:r>
          </w:p>
        </w:tc>
      </w:tr>
      <w:tr w:rsidR="002E0D61" w:rsidRPr="004C23F4" w14:paraId="57A490EF" w14:textId="77777777" w:rsidTr="008B1678">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7D119AA8" w:rsidR="002E0D61" w:rsidRPr="00DD2F9B" w:rsidRDefault="00565C09" w:rsidP="00DD2F9B">
            <w:pPr>
              <w:pStyle w:val="Tablefont"/>
            </w:pPr>
            <w:r w:rsidRPr="00565C09">
              <w:t>Carcinogenicity – A1</w:t>
            </w:r>
          </w:p>
        </w:tc>
      </w:tr>
      <w:tr w:rsidR="002E0D61" w:rsidRPr="004C23F4" w14:paraId="43FA3590" w14:textId="77777777" w:rsidTr="008B1678">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086750DE" w:rsidR="002E0D61" w:rsidRPr="00DD2F9B" w:rsidRDefault="00565C09" w:rsidP="00DD2F9B">
            <w:pPr>
              <w:pStyle w:val="Tablefont"/>
            </w:pPr>
            <w:r>
              <w:t>NA</w:t>
            </w:r>
          </w:p>
        </w:tc>
      </w:tr>
      <w:tr w:rsidR="002E0D61" w:rsidRPr="004C23F4" w14:paraId="2AC7B866" w14:textId="77777777" w:rsidTr="008B1678">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0BC4156E" w:rsidR="002E0D61" w:rsidRPr="00DD2F9B" w:rsidRDefault="00565C09" w:rsidP="00DD2F9B">
            <w:pPr>
              <w:pStyle w:val="Tablefont"/>
            </w:pPr>
            <w:r>
              <w:t>NA</w:t>
            </w:r>
          </w:p>
        </w:tc>
      </w:tr>
      <w:tr w:rsidR="002E0D61" w:rsidRPr="004C23F4" w14:paraId="1BE6EC07" w14:textId="77777777" w:rsidTr="008B1678">
        <w:trPr>
          <w:cantSplit/>
        </w:trPr>
        <w:tc>
          <w:tcPr>
            <w:tcW w:w="3227" w:type="dxa"/>
          </w:tcPr>
          <w:p w14:paraId="4AF9E8D6" w14:textId="77777777" w:rsidR="004079B4" w:rsidRDefault="002E0D61" w:rsidP="00F4402E">
            <w:pPr>
              <w:pStyle w:val="Tablefont"/>
            </w:pPr>
            <w:r>
              <w:t>HCOTN</w:t>
            </w:r>
          </w:p>
        </w:tc>
        <w:tc>
          <w:tcPr>
            <w:tcW w:w="6015" w:type="dxa"/>
          </w:tcPr>
          <w:p w14:paraId="70663407" w14:textId="7F09F613" w:rsidR="002E0D61" w:rsidRPr="00DD2F9B" w:rsidRDefault="00565C09" w:rsidP="00DD2F9B">
            <w:pPr>
              <w:pStyle w:val="Tablefont"/>
            </w:pPr>
            <w:r>
              <w:t>NA</w:t>
            </w:r>
          </w:p>
        </w:tc>
      </w:tr>
      <w:tr w:rsidR="00386093" w:rsidRPr="004C23F4" w14:paraId="5F6A6A8E" w14:textId="77777777" w:rsidTr="008B1678">
        <w:trPr>
          <w:cantSplit/>
        </w:trPr>
        <w:tc>
          <w:tcPr>
            <w:tcW w:w="3227" w:type="dxa"/>
          </w:tcPr>
          <w:p w14:paraId="04F98936" w14:textId="77777777" w:rsidR="004079B4" w:rsidRDefault="00386093" w:rsidP="00F4402E">
            <w:pPr>
              <w:pStyle w:val="Tablefont"/>
            </w:pPr>
            <w:r>
              <w:t>IARC</w:t>
            </w:r>
          </w:p>
        </w:tc>
        <w:tc>
          <w:tcPr>
            <w:tcW w:w="6015" w:type="dxa"/>
          </w:tcPr>
          <w:p w14:paraId="741186B9" w14:textId="5DA677C0" w:rsidR="00386093" w:rsidRPr="00DD2F9B" w:rsidRDefault="00565C09" w:rsidP="00DD2F9B">
            <w:pPr>
              <w:pStyle w:val="Tablefont"/>
            </w:pPr>
            <w:r w:rsidRPr="00565C09">
              <w:t>Carcinogenicity – Group 1</w:t>
            </w:r>
          </w:p>
        </w:tc>
      </w:tr>
      <w:tr w:rsidR="00386093" w:rsidRPr="004C23F4" w14:paraId="7461DB0E" w14:textId="77777777" w:rsidTr="008B1678">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785186F8" w:rsidR="00386093" w:rsidRPr="00DD2F9B" w:rsidRDefault="00565C09"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133F1AE4" w:rsidR="00474E33" w:rsidRDefault="00474E33" w:rsidP="00474E33">
      <w:pPr>
        <w:pStyle w:val="Heading3"/>
      </w:pPr>
      <w:r>
        <w:t>Skin notation assessment</w:t>
      </w:r>
    </w:p>
    <w:p w14:paraId="76F74B0E" w14:textId="08075B10" w:rsidR="0019417F" w:rsidRPr="0019417F" w:rsidRDefault="0019417F" w:rsidP="0019417F">
      <w:pPr>
        <w:rPr>
          <w:lang w:eastAsia="en-AU"/>
        </w:rPr>
      </w:pPr>
      <w:r w:rsidRPr="00721F79">
        <w:rPr>
          <w:rFonts w:cs="Arial"/>
        </w:rPr>
        <w:t>Insufficient evidence to recommend a skin notation.</w:t>
      </w:r>
    </w:p>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0"/>
        <w:gridCol w:w="4766"/>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306BB048" w:rsidR="00EB3D1B" w:rsidRDefault="00721F79" w:rsidP="00EB3D1B">
                <w:pPr>
                  <w:pStyle w:val="Tablefont"/>
                </w:pPr>
                <w:r>
                  <w:t>No, the chemical is a genotoxic carcinogen</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20151388" w14:textId="77777777" w:rsidTr="00351B9E">
        <w:trPr>
          <w:cantSplit/>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59C486C3" w:rsidR="001B79E5" w:rsidRDefault="00565C09" w:rsidP="001B79E5">
                <w:pPr>
                  <w:pStyle w:val="Tablefont"/>
                </w:pPr>
                <w:r w:rsidRPr="00565C09">
                  <w:t>62.49</w:t>
                </w:r>
              </w:p>
            </w:tc>
          </w:sdtContent>
        </w:sdt>
      </w:tr>
      <w:tr w:rsidR="00A31D99" w:rsidRPr="004C23F4" w14:paraId="4D7C99C9" w14:textId="77777777" w:rsidTr="00351B9E">
        <w:trPr>
          <w:cantSplit/>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4E3A4954" w:rsidR="00A31D99" w:rsidRDefault="00A0643F" w:rsidP="00A174CC">
            <w:pPr>
              <w:pStyle w:val="Tablefont"/>
            </w:pPr>
            <w:r>
              <w:t xml:space="preserve">1 ppm = </w:t>
            </w:r>
            <w:sdt>
              <w:sdtPr>
                <w:id w:val="-371151491"/>
                <w:placeholder>
                  <w:docPart w:val="A7231FB73EFF4B2B92EB3BD21C0CEA01"/>
                </w:placeholder>
              </w:sdtPr>
              <w:sdtEndPr/>
              <w:sdtContent>
                <w:r w:rsidR="00565C09">
                  <w:t>2.56</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565C09">
                  <w:t>0.39</w:t>
                </w:r>
              </w:sdtContent>
            </w:sdt>
            <w:r>
              <w:t xml:space="preserve"> ppm</w:t>
            </w:r>
          </w:p>
        </w:tc>
      </w:tr>
      <w:tr w:rsidR="00687890" w:rsidRPr="004C23F4" w14:paraId="64400DD3" w14:textId="77777777" w:rsidTr="00351B9E">
        <w:trPr>
          <w:cantSplit/>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4A54B2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48B99DA" w14:textId="77777777" w:rsidTr="00351B9E">
        <w:trPr>
          <w:cantSplit/>
        </w:trPr>
        <w:tc>
          <w:tcPr>
            <w:tcW w:w="4077" w:type="dxa"/>
            <w:vAlign w:val="center"/>
          </w:tcPr>
          <w:p w14:paraId="085F3385" w14:textId="77777777" w:rsidR="00687890" w:rsidRPr="00263255" w:rsidRDefault="00687890" w:rsidP="00263255">
            <w:pPr>
              <w:pStyle w:val="Tablefont"/>
            </w:pPr>
            <w:r w:rsidRPr="00263255">
              <w:lastRenderedPageBreak/>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351B9E">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351B9E">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1D3D3BC6" w:rsidR="00E06F40" w:rsidRPr="00A006A0" w:rsidRDefault="00386D55"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1"/>
                  <w14:checkedState w14:val="00FC" w14:font="Wingdings"/>
                  <w14:uncheckedState w14:val="2610" w14:font="MS Gothic"/>
                </w14:checkbox>
              </w:sdtPr>
              <w:sdtEndPr/>
              <w:sdtContent>
                <w:r w:rsidR="00101D5A">
                  <w:rPr>
                    <w:rFonts w:ascii="MS Gothic" w:eastAsia="MS Gothic" w:hAnsi="MS Gothic" w:cs="MS Gothic" w:hint="eastAsia"/>
                  </w:rPr>
                  <w:sym w:font="Wingdings" w:char="F0FC"/>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3"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3"/>
    <w:p w14:paraId="2632AEE5" w14:textId="77777777" w:rsidR="00F87D92" w:rsidRDefault="00F87D92" w:rsidP="00EF7F78">
      <w:pPr>
        <w:pStyle w:val="Heading2"/>
        <w:tabs>
          <w:tab w:val="right" w:pos="8505"/>
        </w:tabs>
      </w:pPr>
      <w:r>
        <w:t>References</w:t>
      </w:r>
      <w:r w:rsidR="00EF7F78">
        <w:tab/>
      </w:r>
    </w:p>
    <w:p w14:paraId="016C487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709B5687" w14:textId="77777777" w:rsidR="00CB572A" w:rsidRPr="00351FE0" w:rsidRDefault="00CB572A" w:rsidP="00CB572A">
      <w:r w:rsidRPr="002022B6">
        <w:t>Deutsche Forschungsgemeinschaft (DFG)</w:t>
      </w:r>
      <w:r>
        <w:t xml:space="preserve"> (2019) </w:t>
      </w:r>
      <w:r w:rsidRPr="00A3764F">
        <w:t>Vinylchlorid</w:t>
      </w:r>
      <w:r>
        <w:t xml:space="preserve"> – MAK value documentation I n German language</w:t>
      </w:r>
    </w:p>
    <w:p w14:paraId="417B0753" w14:textId="7D9CDF50" w:rsidR="008E4F1F" w:rsidRDefault="00A3764F" w:rsidP="00A3764F">
      <w:r>
        <w:t>European Chemicals Agency (ECHA) (2019) Vinyl chloride – REACH assessment.</w:t>
      </w:r>
    </w:p>
    <w:p w14:paraId="4EB23493" w14:textId="13135675" w:rsidR="00CB572A" w:rsidRDefault="00CB572A" w:rsidP="00CB572A">
      <w:r w:rsidRPr="002022B6">
        <w:t>International Agency for Research on Cancer</w:t>
      </w:r>
      <w:r>
        <w:t xml:space="preserve"> (IARC) (</w:t>
      </w:r>
      <w:r w:rsidRPr="00A3764F">
        <w:t>2012</w:t>
      </w:r>
      <w:r>
        <w:t xml:space="preserve">) </w:t>
      </w:r>
      <w:r w:rsidRPr="00A3764F">
        <w:t>Vinyl chloride</w:t>
      </w:r>
      <w:r>
        <w:t>. IARC Monographs on the evaluation of the carcinogenic risk to humans.</w:t>
      </w:r>
    </w:p>
    <w:p w14:paraId="246AA7F1" w14:textId="27A2D15E" w:rsidR="00D65C2C" w:rsidRPr="00D65C2C" w:rsidRDefault="00D65C2C" w:rsidP="00CB572A">
      <w:r w:rsidRPr="00DB0A36">
        <w:t>National Industrial Chemicals Notification and Assessment Scheme (NICNAS) (201</w:t>
      </w:r>
      <w:r>
        <w:t>4</w:t>
      </w:r>
      <w:r w:rsidRPr="00DB0A36">
        <w:t xml:space="preserve">) </w:t>
      </w:r>
      <w:r>
        <w:t>Ethene, -chloro</w:t>
      </w:r>
      <w:r w:rsidRPr="00DB0A36">
        <w:t>:</w:t>
      </w:r>
      <w:r>
        <w:t xml:space="preserve"> </w:t>
      </w:r>
      <w:r w:rsidRPr="00DB0A36">
        <w:t xml:space="preserve">Human </w:t>
      </w:r>
      <w:r w:rsidRPr="004633BA">
        <w:t xml:space="preserve">health </w:t>
      </w:r>
      <w:sdt>
        <w:sdtPr>
          <w:id w:val="-1295753243"/>
          <w:temporary/>
          <w:showingPlcHdr/>
        </w:sdtPr>
        <w:sdtEndPr/>
        <w:sdtContent>
          <w:r w:rsidRPr="005F4305">
            <w:t>tier II</w:t>
          </w:r>
        </w:sdtContent>
      </w:sdt>
      <w:r w:rsidRPr="004633BA">
        <w:t xml:space="preserve"> assessment </w:t>
      </w:r>
      <w:r w:rsidRPr="00DB0A36">
        <w:t>– IMAP report.</w:t>
      </w:r>
    </w:p>
    <w:p w14:paraId="36BEBB75" w14:textId="78DA6E1B" w:rsidR="00D65C2C" w:rsidRDefault="00D65C2C" w:rsidP="00D65C2C">
      <w:r>
        <w:t xml:space="preserve">US Environmental Protection Authority (US EPA) (2000) </w:t>
      </w:r>
      <w:r w:rsidRPr="003448DD">
        <w:t>Integrated R</w:t>
      </w:r>
      <w:r>
        <w:t xml:space="preserve">isk Information System (IRIS) </w:t>
      </w:r>
      <w:r w:rsidRPr="003448DD">
        <w:t>Chemical Assessment Summary</w:t>
      </w:r>
      <w:r>
        <w:t xml:space="preserve"> – Vinyl chloride.</w:t>
      </w:r>
    </w:p>
    <w:p w14:paraId="6975FA8E" w14:textId="0046C9F7" w:rsidR="00CB572A" w:rsidRPr="00351FE0" w:rsidRDefault="00CB572A" w:rsidP="00D65C2C"/>
    <w:sectPr w:rsidR="00CB572A"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85C47" w14:textId="77777777" w:rsidR="004E6D14" w:rsidRDefault="004E6D14" w:rsidP="00F43AD5">
      <w:pPr>
        <w:spacing w:after="0" w:line="240" w:lineRule="auto"/>
      </w:pPr>
      <w:r>
        <w:separator/>
      </w:r>
    </w:p>
  </w:endnote>
  <w:endnote w:type="continuationSeparator" w:id="0">
    <w:p w14:paraId="51DDAEED" w14:textId="77777777" w:rsidR="004E6D14" w:rsidRDefault="004E6D14"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F94E532" w14:textId="77777777" w:rsidR="00727C12" w:rsidRPr="00AC564D" w:rsidRDefault="00727C12" w:rsidP="00AC564D">
        <w:pPr>
          <w:pStyle w:val="Footer"/>
          <w:rPr>
            <w:b/>
            <w:sz w:val="18"/>
            <w:szCs w:val="18"/>
          </w:rPr>
        </w:pPr>
      </w:p>
      <w:p w14:paraId="39026E62" w14:textId="5F11E354" w:rsidR="00727C12" w:rsidRDefault="00727C12" w:rsidP="00AC564D">
        <w:pPr>
          <w:pStyle w:val="Footer"/>
          <w:rPr>
            <w:sz w:val="18"/>
            <w:szCs w:val="18"/>
          </w:rPr>
        </w:pPr>
        <w:r w:rsidRPr="00AC564D">
          <w:rPr>
            <w:b/>
            <w:sz w:val="18"/>
            <w:szCs w:val="18"/>
          </w:rPr>
          <w:t>Vinyl chloride, monomer</w:t>
        </w:r>
        <w:r>
          <w:rPr>
            <w:b/>
            <w:sz w:val="18"/>
            <w:szCs w:val="18"/>
          </w:rPr>
          <w:t xml:space="preserve"> (</w:t>
        </w:r>
        <w:r w:rsidRPr="00AC564D">
          <w:rPr>
            <w:b/>
            <w:sz w:val="18"/>
            <w:szCs w:val="18"/>
          </w:rPr>
          <w:t>75-01-4</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w:t>
        </w:r>
        <w:r w:rsidR="00366C10">
          <w:rPr>
            <w:sz w:val="18"/>
            <w:szCs w:val="18"/>
          </w:rPr>
          <w:t>20</w:t>
        </w:r>
      </w:p>
      <w:p w14:paraId="2D517F5E" w14:textId="3584979F" w:rsidR="00727C12" w:rsidRPr="00F43AD5" w:rsidRDefault="00727C12"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955409">
          <w:rPr>
            <w:noProof/>
            <w:sz w:val="18"/>
            <w:szCs w:val="18"/>
          </w:rPr>
          <w:t>7</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AA696" w14:textId="77777777" w:rsidR="004E6D14" w:rsidRDefault="004E6D14" w:rsidP="00F43AD5">
      <w:pPr>
        <w:spacing w:after="0" w:line="240" w:lineRule="auto"/>
      </w:pPr>
      <w:r>
        <w:separator/>
      </w:r>
    </w:p>
  </w:footnote>
  <w:footnote w:type="continuationSeparator" w:id="0">
    <w:p w14:paraId="4C4F8BD7" w14:textId="77777777" w:rsidR="004E6D14" w:rsidRDefault="004E6D14"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1F80B" w14:textId="3DD69B65" w:rsidR="008B1678" w:rsidRDefault="008B1678" w:rsidP="008B1678">
    <w:pPr>
      <w:pStyle w:val="Header"/>
      <w:jc w:val="right"/>
    </w:pPr>
    <w:r>
      <w:rPr>
        <w:noProof/>
        <w:lang w:eastAsia="en-AU"/>
      </w:rPr>
      <w:drawing>
        <wp:inline distT="0" distB="0" distL="0" distR="0" wp14:anchorId="7899800A" wp14:editId="155916FD">
          <wp:extent cx="2957195" cy="60579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4DAA8792" w14:textId="6212346A" w:rsidR="00727C12" w:rsidRPr="008B1678" w:rsidRDefault="00727C12" w:rsidP="008B16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C6853" w14:textId="0F55D4E0" w:rsidR="008B1678" w:rsidRDefault="008B1678" w:rsidP="008B1678">
    <w:pPr>
      <w:pStyle w:val="Header"/>
      <w:jc w:val="right"/>
    </w:pPr>
    <w:r>
      <w:rPr>
        <w:noProof/>
        <w:lang w:eastAsia="en-AU"/>
      </w:rPr>
      <w:drawing>
        <wp:inline distT="0" distB="0" distL="0" distR="0" wp14:anchorId="1FBE2BA0" wp14:editId="36535C6F">
          <wp:extent cx="2957195" cy="60579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71F09FB4" w14:textId="70264065" w:rsidR="00727C12" w:rsidRDefault="00727C12"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BA663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99F2DCD"/>
    <w:multiLevelType w:val="hybridMultilevel"/>
    <w:tmpl w:val="94A6479A"/>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26EE337C"/>
    <w:multiLevelType w:val="hybridMultilevel"/>
    <w:tmpl w:val="B2D05270"/>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52705FB9"/>
    <w:multiLevelType w:val="hybridMultilevel"/>
    <w:tmpl w:val="EC96FCD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92E04A4"/>
    <w:multiLevelType w:val="hybridMultilevel"/>
    <w:tmpl w:val="661CC102"/>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5B701EA7"/>
    <w:multiLevelType w:val="hybridMultilevel"/>
    <w:tmpl w:val="39AA969C"/>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5D4037DB"/>
    <w:multiLevelType w:val="hybridMultilevel"/>
    <w:tmpl w:val="F3AEFCB8"/>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7A14194B"/>
    <w:multiLevelType w:val="hybridMultilevel"/>
    <w:tmpl w:val="1C7C1F1A"/>
    <w:lvl w:ilvl="0" w:tplc="04090003">
      <w:start w:val="1"/>
      <w:numFmt w:val="bullet"/>
      <w:lvlText w:val="o"/>
      <w:lvlJc w:val="left"/>
      <w:pPr>
        <w:ind w:left="1437" w:hanging="360"/>
      </w:pPr>
      <w:rPr>
        <w:rFonts w:ascii="Courier New" w:hAnsi="Courier New" w:cs="Courier New"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num w:numId="1" w16cid:durableId="229196381">
    <w:abstractNumId w:val="0"/>
  </w:num>
  <w:num w:numId="2" w16cid:durableId="2079396095">
    <w:abstractNumId w:val="1"/>
  </w:num>
  <w:num w:numId="3" w16cid:durableId="1103039579">
    <w:abstractNumId w:val="5"/>
  </w:num>
  <w:num w:numId="4" w16cid:durableId="512452642">
    <w:abstractNumId w:val="6"/>
  </w:num>
  <w:num w:numId="5" w16cid:durableId="677121875">
    <w:abstractNumId w:val="2"/>
  </w:num>
  <w:num w:numId="6" w16cid:durableId="1157301225">
    <w:abstractNumId w:val="3"/>
  </w:num>
  <w:num w:numId="7" w16cid:durableId="11884352">
    <w:abstractNumId w:val="4"/>
  </w:num>
  <w:num w:numId="8" w16cid:durableId="14364369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574A"/>
    <w:rsid w:val="00055FE1"/>
    <w:rsid w:val="00056EC2"/>
    <w:rsid w:val="00060B48"/>
    <w:rsid w:val="00067F32"/>
    <w:rsid w:val="00071807"/>
    <w:rsid w:val="000803E1"/>
    <w:rsid w:val="00084513"/>
    <w:rsid w:val="00084859"/>
    <w:rsid w:val="00092D94"/>
    <w:rsid w:val="000A3F20"/>
    <w:rsid w:val="000A7EFD"/>
    <w:rsid w:val="000B0868"/>
    <w:rsid w:val="000B3E12"/>
    <w:rsid w:val="000B3E78"/>
    <w:rsid w:val="000B7695"/>
    <w:rsid w:val="000B7B48"/>
    <w:rsid w:val="000C096D"/>
    <w:rsid w:val="000C139A"/>
    <w:rsid w:val="000C2053"/>
    <w:rsid w:val="000C248C"/>
    <w:rsid w:val="000C3E42"/>
    <w:rsid w:val="000D0643"/>
    <w:rsid w:val="000D291C"/>
    <w:rsid w:val="000E5A54"/>
    <w:rsid w:val="000E63D3"/>
    <w:rsid w:val="000E67CF"/>
    <w:rsid w:val="00101D5A"/>
    <w:rsid w:val="0010461E"/>
    <w:rsid w:val="00106FAA"/>
    <w:rsid w:val="00113443"/>
    <w:rsid w:val="001217D0"/>
    <w:rsid w:val="001269A7"/>
    <w:rsid w:val="00131092"/>
    <w:rsid w:val="00140E6A"/>
    <w:rsid w:val="00146545"/>
    <w:rsid w:val="00146B75"/>
    <w:rsid w:val="0015266D"/>
    <w:rsid w:val="0015288A"/>
    <w:rsid w:val="00155999"/>
    <w:rsid w:val="00160F47"/>
    <w:rsid w:val="00177941"/>
    <w:rsid w:val="00177CA1"/>
    <w:rsid w:val="0018073C"/>
    <w:rsid w:val="00183823"/>
    <w:rsid w:val="00183942"/>
    <w:rsid w:val="001915F6"/>
    <w:rsid w:val="0019417F"/>
    <w:rsid w:val="001A009E"/>
    <w:rsid w:val="001A1287"/>
    <w:rsid w:val="001A3859"/>
    <w:rsid w:val="001A3C9D"/>
    <w:rsid w:val="001A43F8"/>
    <w:rsid w:val="001B4728"/>
    <w:rsid w:val="001B79E5"/>
    <w:rsid w:val="001B7B68"/>
    <w:rsid w:val="001D56F0"/>
    <w:rsid w:val="001D663B"/>
    <w:rsid w:val="001D7B41"/>
    <w:rsid w:val="001E0FC2"/>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3504"/>
    <w:rsid w:val="00244AD1"/>
    <w:rsid w:val="002463BC"/>
    <w:rsid w:val="002465CE"/>
    <w:rsid w:val="00255A7F"/>
    <w:rsid w:val="0025734A"/>
    <w:rsid w:val="00263255"/>
    <w:rsid w:val="00276494"/>
    <w:rsid w:val="00277B0C"/>
    <w:rsid w:val="00277CE8"/>
    <w:rsid w:val="00290CFA"/>
    <w:rsid w:val="002926C9"/>
    <w:rsid w:val="002B1A2C"/>
    <w:rsid w:val="002C34F2"/>
    <w:rsid w:val="002C58FF"/>
    <w:rsid w:val="002C7AFE"/>
    <w:rsid w:val="002D05D2"/>
    <w:rsid w:val="002E0D61"/>
    <w:rsid w:val="002E40AC"/>
    <w:rsid w:val="002E4C7B"/>
    <w:rsid w:val="00305697"/>
    <w:rsid w:val="0030740C"/>
    <w:rsid w:val="00315833"/>
    <w:rsid w:val="003215EE"/>
    <w:rsid w:val="003224BF"/>
    <w:rsid w:val="003241A8"/>
    <w:rsid w:val="003253F0"/>
    <w:rsid w:val="003337DA"/>
    <w:rsid w:val="00334EFB"/>
    <w:rsid w:val="00335CDE"/>
    <w:rsid w:val="003365A5"/>
    <w:rsid w:val="00347192"/>
    <w:rsid w:val="0034744C"/>
    <w:rsid w:val="00351B9E"/>
    <w:rsid w:val="00351FE0"/>
    <w:rsid w:val="00352615"/>
    <w:rsid w:val="0035412B"/>
    <w:rsid w:val="003567A8"/>
    <w:rsid w:val="00362895"/>
    <w:rsid w:val="00366C10"/>
    <w:rsid w:val="00370DBF"/>
    <w:rsid w:val="00374642"/>
    <w:rsid w:val="00386093"/>
    <w:rsid w:val="00386D55"/>
    <w:rsid w:val="003904A4"/>
    <w:rsid w:val="00391841"/>
    <w:rsid w:val="00391B6D"/>
    <w:rsid w:val="00394922"/>
    <w:rsid w:val="003A0E32"/>
    <w:rsid w:val="003A2B94"/>
    <w:rsid w:val="003A6E44"/>
    <w:rsid w:val="003B387D"/>
    <w:rsid w:val="003C0D58"/>
    <w:rsid w:val="003C6416"/>
    <w:rsid w:val="003D34A4"/>
    <w:rsid w:val="003D44F2"/>
    <w:rsid w:val="003D4FA3"/>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47317"/>
    <w:rsid w:val="004509E2"/>
    <w:rsid w:val="004515EE"/>
    <w:rsid w:val="004529F0"/>
    <w:rsid w:val="00460A03"/>
    <w:rsid w:val="00462952"/>
    <w:rsid w:val="00472A11"/>
    <w:rsid w:val="00472AAD"/>
    <w:rsid w:val="00474E33"/>
    <w:rsid w:val="00476803"/>
    <w:rsid w:val="00485BFD"/>
    <w:rsid w:val="004867A2"/>
    <w:rsid w:val="004873F2"/>
    <w:rsid w:val="00490D4C"/>
    <w:rsid w:val="00493A35"/>
    <w:rsid w:val="0049527A"/>
    <w:rsid w:val="004966BF"/>
    <w:rsid w:val="00497984"/>
    <w:rsid w:val="004A5088"/>
    <w:rsid w:val="004A7009"/>
    <w:rsid w:val="004C1E3F"/>
    <w:rsid w:val="004C2012"/>
    <w:rsid w:val="004C23F4"/>
    <w:rsid w:val="004C3475"/>
    <w:rsid w:val="004C58B6"/>
    <w:rsid w:val="004D16A3"/>
    <w:rsid w:val="004D4AA1"/>
    <w:rsid w:val="004D6D68"/>
    <w:rsid w:val="004E1591"/>
    <w:rsid w:val="004E5EDD"/>
    <w:rsid w:val="004E6D14"/>
    <w:rsid w:val="004F448A"/>
    <w:rsid w:val="004F493D"/>
    <w:rsid w:val="004F65E8"/>
    <w:rsid w:val="0050005E"/>
    <w:rsid w:val="00502B88"/>
    <w:rsid w:val="005142C4"/>
    <w:rsid w:val="0051509C"/>
    <w:rsid w:val="00516D4A"/>
    <w:rsid w:val="005272E2"/>
    <w:rsid w:val="0053108F"/>
    <w:rsid w:val="00532B56"/>
    <w:rsid w:val="00534B10"/>
    <w:rsid w:val="005446A2"/>
    <w:rsid w:val="00544D2F"/>
    <w:rsid w:val="00551BD8"/>
    <w:rsid w:val="005603D4"/>
    <w:rsid w:val="00565C09"/>
    <w:rsid w:val="00581055"/>
    <w:rsid w:val="00591E38"/>
    <w:rsid w:val="0059730F"/>
    <w:rsid w:val="005A19C5"/>
    <w:rsid w:val="005A3034"/>
    <w:rsid w:val="005A462D"/>
    <w:rsid w:val="005B253B"/>
    <w:rsid w:val="005B74DB"/>
    <w:rsid w:val="005B771D"/>
    <w:rsid w:val="005C5D16"/>
    <w:rsid w:val="005D3193"/>
    <w:rsid w:val="005D4A6E"/>
    <w:rsid w:val="005E6979"/>
    <w:rsid w:val="005E75CB"/>
    <w:rsid w:val="006013C1"/>
    <w:rsid w:val="00603039"/>
    <w:rsid w:val="0060669E"/>
    <w:rsid w:val="00610F2E"/>
    <w:rsid w:val="00611399"/>
    <w:rsid w:val="00624C4E"/>
    <w:rsid w:val="00625200"/>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C0AAA"/>
    <w:rsid w:val="006C40DC"/>
    <w:rsid w:val="006D5701"/>
    <w:rsid w:val="006D79EA"/>
    <w:rsid w:val="006E5A18"/>
    <w:rsid w:val="006E5D05"/>
    <w:rsid w:val="00701053"/>
    <w:rsid w:val="00701507"/>
    <w:rsid w:val="00714021"/>
    <w:rsid w:val="00716A0F"/>
    <w:rsid w:val="00717D45"/>
    <w:rsid w:val="007208F7"/>
    <w:rsid w:val="00721646"/>
    <w:rsid w:val="007218AF"/>
    <w:rsid w:val="00721F79"/>
    <w:rsid w:val="00727C12"/>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4F5A"/>
    <w:rsid w:val="00810C6D"/>
    <w:rsid w:val="00812887"/>
    <w:rsid w:val="00826F21"/>
    <w:rsid w:val="00834CC8"/>
    <w:rsid w:val="00835E00"/>
    <w:rsid w:val="00837113"/>
    <w:rsid w:val="008414E4"/>
    <w:rsid w:val="00843E21"/>
    <w:rsid w:val="0084508E"/>
    <w:rsid w:val="00857A8A"/>
    <w:rsid w:val="0086251D"/>
    <w:rsid w:val="008630EE"/>
    <w:rsid w:val="00864D13"/>
    <w:rsid w:val="00871CD5"/>
    <w:rsid w:val="008745A2"/>
    <w:rsid w:val="008768A8"/>
    <w:rsid w:val="00881443"/>
    <w:rsid w:val="0088798F"/>
    <w:rsid w:val="00887E4B"/>
    <w:rsid w:val="008915C8"/>
    <w:rsid w:val="008968A0"/>
    <w:rsid w:val="008A36CF"/>
    <w:rsid w:val="008A3BC4"/>
    <w:rsid w:val="008B1678"/>
    <w:rsid w:val="008B1D59"/>
    <w:rsid w:val="008B403C"/>
    <w:rsid w:val="008B7983"/>
    <w:rsid w:val="008C2511"/>
    <w:rsid w:val="008D026D"/>
    <w:rsid w:val="008D23AB"/>
    <w:rsid w:val="008D4B8B"/>
    <w:rsid w:val="008D5A78"/>
    <w:rsid w:val="008E4F1F"/>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3AB"/>
    <w:rsid w:val="0093760E"/>
    <w:rsid w:val="00946044"/>
    <w:rsid w:val="0094660B"/>
    <w:rsid w:val="00946A33"/>
    <w:rsid w:val="0095260E"/>
    <w:rsid w:val="00955409"/>
    <w:rsid w:val="009578DD"/>
    <w:rsid w:val="00957E23"/>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C628A"/>
    <w:rsid w:val="009D3B5A"/>
    <w:rsid w:val="009E0C05"/>
    <w:rsid w:val="009E0D1C"/>
    <w:rsid w:val="009E2214"/>
    <w:rsid w:val="009E355A"/>
    <w:rsid w:val="009E63E2"/>
    <w:rsid w:val="009F04D2"/>
    <w:rsid w:val="009F05CF"/>
    <w:rsid w:val="009F0F3A"/>
    <w:rsid w:val="009F3A6E"/>
    <w:rsid w:val="00A01D0C"/>
    <w:rsid w:val="00A0643F"/>
    <w:rsid w:val="00A067EE"/>
    <w:rsid w:val="00A10FCE"/>
    <w:rsid w:val="00A16D91"/>
    <w:rsid w:val="00A174CC"/>
    <w:rsid w:val="00A2073D"/>
    <w:rsid w:val="00A20751"/>
    <w:rsid w:val="00A26263"/>
    <w:rsid w:val="00A27E2D"/>
    <w:rsid w:val="00A31D99"/>
    <w:rsid w:val="00A357BA"/>
    <w:rsid w:val="00A35ADC"/>
    <w:rsid w:val="00A3764F"/>
    <w:rsid w:val="00A402A3"/>
    <w:rsid w:val="00A53681"/>
    <w:rsid w:val="00A633D4"/>
    <w:rsid w:val="00A6461A"/>
    <w:rsid w:val="00A84504"/>
    <w:rsid w:val="00A8672F"/>
    <w:rsid w:val="00A93057"/>
    <w:rsid w:val="00A968B0"/>
    <w:rsid w:val="00AB2672"/>
    <w:rsid w:val="00AB2817"/>
    <w:rsid w:val="00AB43C4"/>
    <w:rsid w:val="00AC32E7"/>
    <w:rsid w:val="00AC3A9F"/>
    <w:rsid w:val="00AC564D"/>
    <w:rsid w:val="00AC6D2F"/>
    <w:rsid w:val="00AD6449"/>
    <w:rsid w:val="00AD6724"/>
    <w:rsid w:val="00AE2745"/>
    <w:rsid w:val="00AE2F64"/>
    <w:rsid w:val="00AF1369"/>
    <w:rsid w:val="00AF42CB"/>
    <w:rsid w:val="00AF483F"/>
    <w:rsid w:val="00AF5E07"/>
    <w:rsid w:val="00AF5F06"/>
    <w:rsid w:val="00B00A25"/>
    <w:rsid w:val="00B1422A"/>
    <w:rsid w:val="00B1765C"/>
    <w:rsid w:val="00B213C4"/>
    <w:rsid w:val="00B40C60"/>
    <w:rsid w:val="00B46252"/>
    <w:rsid w:val="00B479A9"/>
    <w:rsid w:val="00B52EDF"/>
    <w:rsid w:val="00B71188"/>
    <w:rsid w:val="00B72E6A"/>
    <w:rsid w:val="00B76A41"/>
    <w:rsid w:val="00B87D4C"/>
    <w:rsid w:val="00B93646"/>
    <w:rsid w:val="00BA0B38"/>
    <w:rsid w:val="00BA1DBB"/>
    <w:rsid w:val="00BA4510"/>
    <w:rsid w:val="00BA529A"/>
    <w:rsid w:val="00BB612A"/>
    <w:rsid w:val="00BC0805"/>
    <w:rsid w:val="00BD499F"/>
    <w:rsid w:val="00BD56DE"/>
    <w:rsid w:val="00BE6007"/>
    <w:rsid w:val="00BF2406"/>
    <w:rsid w:val="00C06E43"/>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572A"/>
    <w:rsid w:val="00CB6BC1"/>
    <w:rsid w:val="00CB6CB8"/>
    <w:rsid w:val="00CC1A68"/>
    <w:rsid w:val="00CC2123"/>
    <w:rsid w:val="00CD2BFD"/>
    <w:rsid w:val="00CE5AD6"/>
    <w:rsid w:val="00CE617F"/>
    <w:rsid w:val="00CE78EF"/>
    <w:rsid w:val="00D048F7"/>
    <w:rsid w:val="00D0517E"/>
    <w:rsid w:val="00D140FC"/>
    <w:rsid w:val="00D21D8C"/>
    <w:rsid w:val="00D31357"/>
    <w:rsid w:val="00D329E8"/>
    <w:rsid w:val="00D33220"/>
    <w:rsid w:val="00D334D1"/>
    <w:rsid w:val="00D44C89"/>
    <w:rsid w:val="00D516CD"/>
    <w:rsid w:val="00D65C2C"/>
    <w:rsid w:val="00D668E6"/>
    <w:rsid w:val="00D70670"/>
    <w:rsid w:val="00D74D80"/>
    <w:rsid w:val="00D76624"/>
    <w:rsid w:val="00D87570"/>
    <w:rsid w:val="00D91CB9"/>
    <w:rsid w:val="00D97989"/>
    <w:rsid w:val="00D97D8D"/>
    <w:rsid w:val="00DA352E"/>
    <w:rsid w:val="00DA7908"/>
    <w:rsid w:val="00DB07D4"/>
    <w:rsid w:val="00DC7694"/>
    <w:rsid w:val="00DD1BF6"/>
    <w:rsid w:val="00DD2F9B"/>
    <w:rsid w:val="00DD4F1F"/>
    <w:rsid w:val="00DE2513"/>
    <w:rsid w:val="00DE26E8"/>
    <w:rsid w:val="00DF6F36"/>
    <w:rsid w:val="00E0084C"/>
    <w:rsid w:val="00E025AB"/>
    <w:rsid w:val="00E02B23"/>
    <w:rsid w:val="00E036DD"/>
    <w:rsid w:val="00E06F40"/>
    <w:rsid w:val="00E07CE8"/>
    <w:rsid w:val="00E138BE"/>
    <w:rsid w:val="00E26A07"/>
    <w:rsid w:val="00E32595"/>
    <w:rsid w:val="00E37CFD"/>
    <w:rsid w:val="00E41A26"/>
    <w:rsid w:val="00E46BCB"/>
    <w:rsid w:val="00E51CAF"/>
    <w:rsid w:val="00E60623"/>
    <w:rsid w:val="00E60F04"/>
    <w:rsid w:val="00E62AAC"/>
    <w:rsid w:val="00E67C2F"/>
    <w:rsid w:val="00E67EF5"/>
    <w:rsid w:val="00E70989"/>
    <w:rsid w:val="00E72043"/>
    <w:rsid w:val="00E804EA"/>
    <w:rsid w:val="00E80A71"/>
    <w:rsid w:val="00E82337"/>
    <w:rsid w:val="00E92499"/>
    <w:rsid w:val="00E949AF"/>
    <w:rsid w:val="00E96077"/>
    <w:rsid w:val="00EA0A06"/>
    <w:rsid w:val="00EA6243"/>
    <w:rsid w:val="00EA74AB"/>
    <w:rsid w:val="00EB3D1B"/>
    <w:rsid w:val="00ED1D89"/>
    <w:rsid w:val="00ED57DA"/>
    <w:rsid w:val="00ED66BC"/>
    <w:rsid w:val="00EE1D77"/>
    <w:rsid w:val="00EE2AE0"/>
    <w:rsid w:val="00EF233A"/>
    <w:rsid w:val="00EF2B40"/>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56DD0"/>
    <w:rsid w:val="00F6491C"/>
    <w:rsid w:val="00F67BBB"/>
    <w:rsid w:val="00F87D92"/>
    <w:rsid w:val="00F90AA7"/>
    <w:rsid w:val="00F92498"/>
    <w:rsid w:val="00F9496B"/>
    <w:rsid w:val="00F970C9"/>
    <w:rsid w:val="00FA06A8"/>
    <w:rsid w:val="00FA3DF5"/>
    <w:rsid w:val="00FA741F"/>
    <w:rsid w:val="00FB457C"/>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1D60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6C40DC"/>
    <w:pPr>
      <w:numPr>
        <w:numId w:val="1"/>
      </w:numPr>
      <w:contextualSpacing/>
    </w:pPr>
  </w:style>
  <w:style w:type="character" w:styleId="CommentReference">
    <w:name w:val="annotation reference"/>
    <w:basedOn w:val="DefaultParagraphFont"/>
    <w:uiPriority w:val="99"/>
    <w:semiHidden/>
    <w:unhideWhenUsed/>
    <w:rsid w:val="00AD6449"/>
    <w:rPr>
      <w:sz w:val="16"/>
      <w:szCs w:val="16"/>
    </w:rPr>
  </w:style>
  <w:style w:type="paragraph" w:styleId="CommentText">
    <w:name w:val="annotation text"/>
    <w:basedOn w:val="Normal"/>
    <w:link w:val="CommentTextChar"/>
    <w:uiPriority w:val="99"/>
    <w:semiHidden/>
    <w:unhideWhenUsed/>
    <w:rsid w:val="00AD6449"/>
    <w:pPr>
      <w:spacing w:line="240" w:lineRule="auto"/>
    </w:pPr>
    <w:rPr>
      <w:szCs w:val="20"/>
    </w:rPr>
  </w:style>
  <w:style w:type="character" w:customStyle="1" w:styleId="CommentTextChar">
    <w:name w:val="Comment Text Char"/>
    <w:basedOn w:val="DefaultParagraphFont"/>
    <w:link w:val="CommentText"/>
    <w:uiPriority w:val="99"/>
    <w:semiHidden/>
    <w:rsid w:val="00AD6449"/>
    <w:rPr>
      <w:szCs w:val="20"/>
    </w:rPr>
  </w:style>
  <w:style w:type="paragraph" w:styleId="CommentSubject">
    <w:name w:val="annotation subject"/>
    <w:basedOn w:val="CommentText"/>
    <w:next w:val="CommentText"/>
    <w:link w:val="CommentSubjectChar"/>
    <w:uiPriority w:val="99"/>
    <w:semiHidden/>
    <w:unhideWhenUsed/>
    <w:rsid w:val="00AD6449"/>
    <w:rPr>
      <w:b/>
      <w:bCs/>
    </w:rPr>
  </w:style>
  <w:style w:type="character" w:customStyle="1" w:styleId="CommentSubjectChar">
    <w:name w:val="Comment Subject Char"/>
    <w:basedOn w:val="CommentTextChar"/>
    <w:link w:val="CommentSubject"/>
    <w:uiPriority w:val="99"/>
    <w:semiHidden/>
    <w:rsid w:val="00AD6449"/>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8948372">
      <w:bodyDiv w:val="1"/>
      <w:marLeft w:val="0"/>
      <w:marRight w:val="0"/>
      <w:marTop w:val="0"/>
      <w:marBottom w:val="0"/>
      <w:divBdr>
        <w:top w:val="none" w:sz="0" w:space="0" w:color="auto"/>
        <w:left w:val="none" w:sz="0" w:space="0" w:color="auto"/>
        <w:bottom w:val="none" w:sz="0" w:space="0" w:color="auto"/>
        <w:right w:val="none" w:sz="0" w:space="0" w:color="auto"/>
      </w:divBdr>
    </w:div>
    <w:div w:id="170783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047AD93791DC493F8562BB3488160D64"/>
        <w:category>
          <w:name w:val="General"/>
          <w:gallery w:val="placeholder"/>
        </w:category>
        <w:types>
          <w:type w:val="bbPlcHdr"/>
        </w:types>
        <w:behaviors>
          <w:behavior w:val="content"/>
        </w:behaviors>
        <w:guid w:val="{707F63B6-C115-4EF7-97B0-A1A4995B6C1D}"/>
      </w:docPartPr>
      <w:docPartBody>
        <w:p w:rsidR="00D21A9F" w:rsidRDefault="00D21A9F">
          <w:pPr>
            <w:pStyle w:val="047AD93791DC493F8562BB3488160D64"/>
          </w:pPr>
          <w:r w:rsidRPr="00F4402E">
            <w:rPr>
              <w:rStyle w:val="PlaceholderText"/>
              <w:color w:val="FFFFFF" w:themeColor="background1"/>
            </w:rPr>
            <w:t>Choose an item.</w:t>
          </w:r>
        </w:p>
      </w:docPartBody>
    </w:docPart>
    <w:docPart>
      <w:docPartPr>
        <w:name w:val="7B0BAA2441D5427984E6018FB38900E7"/>
        <w:category>
          <w:name w:val="General"/>
          <w:gallery w:val="placeholder"/>
        </w:category>
        <w:types>
          <w:type w:val="bbPlcHdr"/>
        </w:types>
        <w:behaviors>
          <w:behavior w:val="content"/>
        </w:behaviors>
        <w:guid w:val="{F8A75C92-832B-40AB-8BE2-B7067B457426}"/>
      </w:docPartPr>
      <w:docPartBody>
        <w:p w:rsidR="00D21A9F" w:rsidRDefault="00D21A9F">
          <w:pPr>
            <w:pStyle w:val="7B0BAA2441D5427984E6018FB38900E7"/>
          </w:pPr>
          <w:r w:rsidRPr="00CA109A">
            <w:rPr>
              <w:rStyle w:val="PlaceholderText"/>
              <w:color w:val="FFFFFF" w:themeColor="background1"/>
            </w:rPr>
            <w:t>Choose an item.</w:t>
          </w:r>
        </w:p>
      </w:docPartBody>
    </w:docPart>
    <w:docPart>
      <w:docPartPr>
        <w:name w:val="5C1D38B030D146B59436754F8399D502"/>
        <w:category>
          <w:name w:val="General"/>
          <w:gallery w:val="placeholder"/>
        </w:category>
        <w:types>
          <w:type w:val="bbPlcHdr"/>
        </w:types>
        <w:behaviors>
          <w:behavior w:val="content"/>
        </w:behaviors>
        <w:guid w:val="{D4CD45D3-FCC7-4128-9931-F2D9B6FFD50C}"/>
      </w:docPartPr>
      <w:docPartBody>
        <w:p w:rsidR="00D21A9F" w:rsidRDefault="00D21A9F">
          <w:pPr>
            <w:pStyle w:val="5C1D38B030D146B59436754F8399D502"/>
          </w:pPr>
          <w:r w:rsidRPr="00121186">
            <w:rPr>
              <w:rStyle w:val="PlaceholderText"/>
              <w:color w:val="FFFFFF" w:themeColor="background1"/>
            </w:rPr>
            <w:t>Click here to enter text.</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10D93"/>
    <w:rsid w:val="0024143D"/>
    <w:rsid w:val="00347D16"/>
    <w:rsid w:val="003508C9"/>
    <w:rsid w:val="003D34A4"/>
    <w:rsid w:val="003E0149"/>
    <w:rsid w:val="00447317"/>
    <w:rsid w:val="00755FBF"/>
    <w:rsid w:val="00CA72D3"/>
    <w:rsid w:val="00D21A9F"/>
    <w:rsid w:val="00EE688E"/>
    <w:rsid w:val="00F738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2D3"/>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CFFDE270CB50461B826B0194984892C5">
    <w:name w:val="CFFDE270CB50461B826B0194984892C5"/>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CAD2D506A5824AB88D896BC2795BCEDE">
    <w:name w:val="CAD2D506A5824AB88D896BC2795BCEDE"/>
  </w:style>
  <w:style w:type="paragraph" w:customStyle="1" w:styleId="047AD93791DC493F8562BB3488160D64">
    <w:name w:val="047AD93791DC493F8562BB3488160D64"/>
  </w:style>
  <w:style w:type="paragraph" w:customStyle="1" w:styleId="7B0BAA2441D5427984E6018FB38900E7">
    <w:name w:val="7B0BAA2441D5427984E6018FB38900E7"/>
  </w:style>
  <w:style w:type="paragraph" w:customStyle="1" w:styleId="5C1D38B030D146B59436754F8399D502">
    <w:name w:val="5C1D38B030D146B59436754F8399D502"/>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310E7-A3DD-40F1-A04C-7491678D016C}">
  <ds:schemaRefs>
    <ds:schemaRef ds:uri="http://schemas.microsoft.com/sharepoint/v3/contenttype/forms"/>
  </ds:schemaRefs>
</ds:datastoreItem>
</file>

<file path=customXml/itemProps2.xml><?xml version="1.0" encoding="utf-8"?>
<ds:datastoreItem xmlns:ds="http://schemas.openxmlformats.org/officeDocument/2006/customXml" ds:itemID="{DA1720CB-07FE-4DB7-96C1-9BB588BF8397}">
  <ds:schemaRefs>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purl.org/dc/dcmitype/"/>
    <ds:schemaRef ds:uri="a0509f21-ed56-4150-9955-96be669e5f2d"/>
    <ds:schemaRef ds:uri="1c567317-0c4d-4a62-8516-c22afd1b5354"/>
    <ds:schemaRef ds:uri="http://www.w3.org/XML/1998/namespace"/>
    <ds:schemaRef ds:uri="http://purl.org/dc/elements/1.1/"/>
  </ds:schemaRefs>
</ds:datastoreItem>
</file>

<file path=customXml/itemProps3.xml><?xml version="1.0" encoding="utf-8"?>
<ds:datastoreItem xmlns:ds="http://schemas.openxmlformats.org/officeDocument/2006/customXml" ds:itemID="{46A4E26B-8C46-4290-B933-758B1D3A8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B84B52-38BC-4736-8B61-4B5C1EA39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2272</Words>
  <Characters>12951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2020-06-04T03:41:00Z</dcterms:created>
  <dcterms:modified xsi:type="dcterms:W3CDTF">2026-01-09T02:07:00Z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2026-01-07T01:56:13Z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a6e9fe55-72c4-40de-86f1-ad9e23319bd2</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