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3B0CBB68" w14:textId="77777777" w:rsidR="00BD499F" w:rsidRPr="004C23F4" w:rsidRDefault="00C92362" w:rsidP="00B40C60">
          <w:pPr>
            <w:pStyle w:val="Heading1"/>
            <w:jc w:val="center"/>
            <w:rPr>
              <w:rFonts w:ascii="Arial" w:hAnsi="Arial" w:cs="Arial"/>
            </w:rPr>
          </w:pPr>
          <w:r>
            <w:rPr>
              <w:rFonts w:ascii="Arial" w:hAnsi="Arial" w:cs="Arial"/>
            </w:rPr>
            <w:t xml:space="preserve">uranium (natural), soluble &amp; insoluble compounds (as </w:t>
          </w:r>
          <w:r w:rsidR="00656F3B">
            <w:rPr>
              <w:rFonts w:ascii="Arial" w:hAnsi="Arial" w:cs="Arial"/>
            </w:rPr>
            <w:t>U</w:t>
          </w:r>
          <w:r>
            <w:rPr>
              <w:rFonts w:ascii="Arial" w:hAnsi="Arial" w:cs="Arial"/>
            </w:rPr>
            <w:t>)</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8"/>
        <w:gridCol w:w="5038"/>
      </w:tblGrid>
      <w:tr w:rsidR="00F43AD5" w:rsidRPr="004C23F4" w14:paraId="177365E5" w14:textId="77777777" w:rsidTr="00B76A41">
        <w:trPr>
          <w:cantSplit/>
          <w:tblHeader/>
        </w:trPr>
        <w:tc>
          <w:tcPr>
            <w:tcW w:w="4077" w:type="dxa"/>
          </w:tcPr>
          <w:p w14:paraId="727E5028" w14:textId="77777777" w:rsidR="00F43AD5" w:rsidRPr="00921DE7" w:rsidRDefault="00CB1CB1" w:rsidP="00B76A41">
            <w:pPr>
              <w:pStyle w:val="Tablerowright"/>
            </w:pPr>
            <w:r w:rsidRPr="00921DE7">
              <w:t>CAS number:</w:t>
            </w:r>
          </w:p>
        </w:tc>
        <w:tc>
          <w:tcPr>
            <w:tcW w:w="5165" w:type="dxa"/>
          </w:tcPr>
          <w:p w14:paraId="72D60464" w14:textId="77777777" w:rsidR="00F43AD5" w:rsidRPr="00717D45" w:rsidRDefault="008C7FB3" w:rsidP="00B76A41">
            <w:pPr>
              <w:pStyle w:val="Tablefont"/>
            </w:pPr>
            <w:r>
              <w:t>7440-61-1</w:t>
            </w:r>
          </w:p>
        </w:tc>
      </w:tr>
      <w:tr w:rsidR="00F43AD5" w:rsidRPr="004C23F4" w14:paraId="35629B5B" w14:textId="77777777" w:rsidTr="00B76A41">
        <w:trPr>
          <w:cantSplit/>
        </w:trPr>
        <w:tc>
          <w:tcPr>
            <w:tcW w:w="4077" w:type="dxa"/>
          </w:tcPr>
          <w:p w14:paraId="4118B584" w14:textId="77777777" w:rsidR="00F43AD5" w:rsidRPr="00921DE7" w:rsidRDefault="00CB1CB1" w:rsidP="00B76A41">
            <w:pPr>
              <w:pStyle w:val="Tablerowright"/>
            </w:pPr>
            <w:r w:rsidRPr="00921DE7">
              <w:t>Synonyms:</w:t>
            </w:r>
          </w:p>
        </w:tc>
        <w:tc>
          <w:tcPr>
            <w:tcW w:w="5165" w:type="dxa"/>
          </w:tcPr>
          <w:p w14:paraId="6BF8730D" w14:textId="3DEAB625" w:rsidR="00F43AD5" w:rsidRPr="00717D45" w:rsidRDefault="00CF24FD" w:rsidP="00B76A41">
            <w:pPr>
              <w:pStyle w:val="Tablefont"/>
            </w:pPr>
            <w:r>
              <w:t>Depleted uranium, natural uranium</w:t>
            </w:r>
            <w:r w:rsidR="00877B35">
              <w:t xml:space="preserve">, yellowcake </w:t>
            </w:r>
          </w:p>
        </w:tc>
      </w:tr>
      <w:tr w:rsidR="00F43AD5" w:rsidRPr="004C23F4" w14:paraId="09599C65" w14:textId="77777777" w:rsidTr="00B76A41">
        <w:trPr>
          <w:cantSplit/>
        </w:trPr>
        <w:tc>
          <w:tcPr>
            <w:tcW w:w="4077" w:type="dxa"/>
          </w:tcPr>
          <w:p w14:paraId="22EEBF9D" w14:textId="77777777" w:rsidR="00F43AD5" w:rsidRPr="00921DE7" w:rsidRDefault="00CB1CB1" w:rsidP="00B76A41">
            <w:pPr>
              <w:pStyle w:val="Tablerowright"/>
            </w:pPr>
            <w:r w:rsidRPr="00921DE7">
              <w:t>Chemical formula:</w:t>
            </w:r>
          </w:p>
        </w:tc>
        <w:tc>
          <w:tcPr>
            <w:tcW w:w="5165" w:type="dxa"/>
          </w:tcPr>
          <w:p w14:paraId="3C399D70" w14:textId="77777777" w:rsidR="00F43AD5" w:rsidRPr="00717D45" w:rsidRDefault="007155B9" w:rsidP="00B76A41">
            <w:pPr>
              <w:pStyle w:val="Tablefont"/>
            </w:pPr>
            <w:r>
              <w:t>U</w:t>
            </w:r>
          </w:p>
        </w:tc>
      </w:tr>
      <w:tr w:rsidR="00F43AD5" w:rsidRPr="004C23F4" w14:paraId="2CFCC448" w14:textId="77777777" w:rsidTr="00B76A41">
        <w:trPr>
          <w:cantSplit/>
        </w:trPr>
        <w:tc>
          <w:tcPr>
            <w:tcW w:w="4077" w:type="dxa"/>
          </w:tcPr>
          <w:p w14:paraId="4DD185D7" w14:textId="77777777" w:rsidR="00F43AD5" w:rsidRPr="00921DE7" w:rsidRDefault="00CB1CB1" w:rsidP="00B76A41">
            <w:pPr>
              <w:pStyle w:val="Tablerowright"/>
            </w:pPr>
            <w:r w:rsidRPr="00921DE7">
              <w:t>Structural formula:</w:t>
            </w:r>
          </w:p>
        </w:tc>
        <w:tc>
          <w:tcPr>
            <w:tcW w:w="5165" w:type="dxa"/>
          </w:tcPr>
          <w:p w14:paraId="7A0856F4" w14:textId="77777777" w:rsidR="00F43AD5" w:rsidRPr="00B40C60" w:rsidRDefault="00037E52" w:rsidP="00B76A41">
            <w:pPr>
              <w:pStyle w:val="Tablerowheading"/>
              <w:rPr>
                <w:b w:val="0"/>
              </w:rPr>
            </w:pPr>
            <w:r>
              <w:rPr>
                <w:b w:val="0"/>
              </w:rPr>
              <w:t>—</w:t>
            </w:r>
          </w:p>
        </w:tc>
      </w:tr>
    </w:tbl>
    <w:p w14:paraId="7802B886" w14:textId="399649C3"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45140F">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78F9D628" w14:textId="77777777" w:rsidTr="00037E52">
        <w:trPr>
          <w:cantSplit/>
          <w:tblHeader/>
        </w:trPr>
        <w:tc>
          <w:tcPr>
            <w:tcW w:w="4010" w:type="dxa"/>
            <w:vAlign w:val="center"/>
          </w:tcPr>
          <w:p w14:paraId="1B6DD9A1" w14:textId="77777777" w:rsidR="002C7AFE" w:rsidRPr="002C58FF" w:rsidRDefault="00921DE7" w:rsidP="00921DE7">
            <w:pPr>
              <w:pStyle w:val="Tablerowright"/>
            </w:pPr>
            <w:r>
              <w:t>TWA:</w:t>
            </w:r>
          </w:p>
        </w:tc>
        <w:tc>
          <w:tcPr>
            <w:tcW w:w="5016" w:type="dxa"/>
          </w:tcPr>
          <w:p w14:paraId="6042AD29" w14:textId="75A9EF09" w:rsidR="002C7AFE" w:rsidRPr="006438C3" w:rsidRDefault="006438C3" w:rsidP="00017C82">
            <w:pPr>
              <w:pStyle w:val="Tablefont"/>
              <w:rPr>
                <w:b/>
              </w:rPr>
            </w:pPr>
            <w:r>
              <w:rPr>
                <w:b/>
              </w:rPr>
              <w:t>0.2 mg/m</w:t>
            </w:r>
            <w:r>
              <w:rPr>
                <w:b/>
                <w:vertAlign w:val="superscript"/>
              </w:rPr>
              <w:t>3</w:t>
            </w:r>
          </w:p>
        </w:tc>
      </w:tr>
      <w:tr w:rsidR="00037E52" w:rsidRPr="004C23F4" w14:paraId="3E4D9DE3" w14:textId="77777777" w:rsidTr="00037E52">
        <w:trPr>
          <w:cantSplit/>
        </w:trPr>
        <w:tc>
          <w:tcPr>
            <w:tcW w:w="4010" w:type="dxa"/>
            <w:vAlign w:val="center"/>
          </w:tcPr>
          <w:p w14:paraId="2399BBB0" w14:textId="77777777" w:rsidR="00037E52" w:rsidRPr="002C58FF" w:rsidRDefault="00037E52" w:rsidP="00037E52">
            <w:pPr>
              <w:pStyle w:val="Tablerowright"/>
            </w:pPr>
            <w:r w:rsidRPr="002C58FF">
              <w:t>STEL</w:t>
            </w:r>
            <w:r>
              <w:t>:</w:t>
            </w:r>
          </w:p>
        </w:tc>
        <w:tc>
          <w:tcPr>
            <w:tcW w:w="5016" w:type="dxa"/>
          </w:tcPr>
          <w:p w14:paraId="5BC20BDA" w14:textId="77777777" w:rsidR="00037E52" w:rsidRPr="00EB3D1B" w:rsidRDefault="00037E52" w:rsidP="00037E52">
            <w:pPr>
              <w:pStyle w:val="Tablefont"/>
              <w:rPr>
                <w:b/>
              </w:rPr>
            </w:pPr>
            <w:r>
              <w:rPr>
                <w:b/>
              </w:rPr>
              <w:t>—</w:t>
            </w:r>
          </w:p>
        </w:tc>
      </w:tr>
      <w:tr w:rsidR="00037E52" w:rsidRPr="004C23F4" w14:paraId="4E1AEDBB" w14:textId="77777777" w:rsidTr="00037E52">
        <w:trPr>
          <w:cantSplit/>
        </w:trPr>
        <w:tc>
          <w:tcPr>
            <w:tcW w:w="4010" w:type="dxa"/>
            <w:vAlign w:val="center"/>
          </w:tcPr>
          <w:p w14:paraId="42AED253" w14:textId="77777777" w:rsidR="00037E52" w:rsidRPr="002C58FF" w:rsidRDefault="00037E52" w:rsidP="00037E52">
            <w:pPr>
              <w:pStyle w:val="Tablerowright"/>
            </w:pPr>
            <w:r>
              <w:t>Peak limitation:</w:t>
            </w:r>
          </w:p>
        </w:tc>
        <w:tc>
          <w:tcPr>
            <w:tcW w:w="5016" w:type="dxa"/>
          </w:tcPr>
          <w:p w14:paraId="47C79138" w14:textId="77777777" w:rsidR="00037E52" w:rsidRPr="00EB3D1B" w:rsidRDefault="00037E52" w:rsidP="00037E52">
            <w:pPr>
              <w:pStyle w:val="Tablefont"/>
              <w:rPr>
                <w:b/>
              </w:rPr>
            </w:pPr>
            <w:r>
              <w:rPr>
                <w:b/>
              </w:rPr>
              <w:t>—</w:t>
            </w:r>
          </w:p>
        </w:tc>
      </w:tr>
      <w:tr w:rsidR="00037E52" w:rsidRPr="004C23F4" w14:paraId="6050327C" w14:textId="77777777" w:rsidTr="00037E52">
        <w:trPr>
          <w:cantSplit/>
        </w:trPr>
        <w:tc>
          <w:tcPr>
            <w:tcW w:w="4010" w:type="dxa"/>
          </w:tcPr>
          <w:p w14:paraId="7A1EF759"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1103F810" w14:textId="77777777" w:rsidR="00037E52" w:rsidRPr="00EB3D1B" w:rsidRDefault="00037E52" w:rsidP="00037E52">
            <w:pPr>
              <w:pStyle w:val="Tablefont"/>
              <w:rPr>
                <w:b/>
              </w:rPr>
            </w:pPr>
            <w:r>
              <w:rPr>
                <w:b/>
              </w:rPr>
              <w:t>—</w:t>
            </w:r>
          </w:p>
        </w:tc>
      </w:tr>
      <w:tr w:rsidR="00037E52" w:rsidRPr="004C23F4" w14:paraId="2B03055E" w14:textId="77777777" w:rsidTr="00037E52">
        <w:trPr>
          <w:cantSplit/>
        </w:trPr>
        <w:tc>
          <w:tcPr>
            <w:tcW w:w="4010" w:type="dxa"/>
            <w:vAlign w:val="center"/>
          </w:tcPr>
          <w:p w14:paraId="7FADB37B" w14:textId="77777777" w:rsidR="00037E52" w:rsidRPr="002C58FF" w:rsidRDefault="00037E52" w:rsidP="00037E52">
            <w:pPr>
              <w:pStyle w:val="Tablerowright"/>
            </w:pPr>
            <w:r>
              <w:t>IDLH:</w:t>
            </w:r>
          </w:p>
        </w:tc>
        <w:tc>
          <w:tcPr>
            <w:tcW w:w="5016" w:type="dxa"/>
          </w:tcPr>
          <w:p w14:paraId="45CB803A" w14:textId="5781574A" w:rsidR="00037E52" w:rsidRPr="00EB3D1B" w:rsidRDefault="00E835A8" w:rsidP="00037E52">
            <w:pPr>
              <w:pStyle w:val="Tablefont"/>
              <w:rPr>
                <w:b/>
              </w:rPr>
            </w:pPr>
            <w:r>
              <w:rPr>
                <w:b/>
              </w:rPr>
              <w:t>10 mg U/m</w:t>
            </w:r>
            <w:r w:rsidRPr="00E835A8">
              <w:rPr>
                <w:b/>
                <w:vertAlign w:val="superscript"/>
              </w:rPr>
              <w:t>3</w:t>
            </w:r>
          </w:p>
        </w:tc>
      </w:tr>
      <w:tr w:rsidR="00155999" w:rsidRPr="004C23F4" w14:paraId="2AC286E8" w14:textId="77777777" w:rsidTr="0060682B">
        <w:trPr>
          <w:cantSplit/>
        </w:trPr>
        <w:tc>
          <w:tcPr>
            <w:tcW w:w="9026" w:type="dxa"/>
            <w:gridSpan w:val="2"/>
            <w:vAlign w:val="center"/>
          </w:tcPr>
          <w:p w14:paraId="2DF1A7E3" w14:textId="2066D658" w:rsidR="00155999" w:rsidRPr="00EB3D1B" w:rsidRDefault="00155999" w:rsidP="00037E52">
            <w:pPr>
              <w:pStyle w:val="Tablefont"/>
              <w:rPr>
                <w:b/>
              </w:rPr>
            </w:pPr>
            <w:r w:rsidRPr="00B16B92">
              <w:rPr>
                <w:b/>
                <w:bCs/>
              </w:rPr>
              <w:t>Sampling and analysis:</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6438C3" w:rsidRPr="00B16B92">
                  <w:rPr>
                    <w:rStyle w:val="WESstatus"/>
                    <w:bCs/>
                    <w:color w:val="auto"/>
                  </w:rPr>
                  <w:t xml:space="preserve">The recommended value is quantifiable through available sampling and analysis techniques. </w:t>
                </w:r>
              </w:sdtContent>
            </w:sdt>
          </w:p>
        </w:tc>
      </w:tr>
    </w:tbl>
    <w:p w14:paraId="03BE4B26" w14:textId="77777777" w:rsidR="00CB1CB1" w:rsidRPr="003365A5" w:rsidRDefault="00F10C97" w:rsidP="003365A5">
      <w:pPr>
        <w:pStyle w:val="Heading2"/>
      </w:pPr>
      <w:r>
        <w:t>Recommendation and basis for workplace exposure standard</w:t>
      </w:r>
    </w:p>
    <w:p w14:paraId="3655B49E" w14:textId="4C5A9EDE" w:rsidR="006639B4" w:rsidRDefault="006438C3" w:rsidP="000C139A">
      <w:pPr>
        <w:rPr>
          <w:rFonts w:cs="Arial"/>
        </w:rPr>
      </w:pPr>
      <w:r w:rsidRPr="006438C3">
        <w:rPr>
          <w:rFonts w:cs="Arial"/>
        </w:rPr>
        <w:t xml:space="preserve">A TWA of </w:t>
      </w:r>
      <w:r w:rsidR="00AA250E">
        <w:rPr>
          <w:rFonts w:cs="Arial"/>
        </w:rPr>
        <w:t>0.2</w:t>
      </w:r>
      <w:r w:rsidRPr="006438C3">
        <w:rPr>
          <w:rFonts w:cs="Arial"/>
        </w:rPr>
        <w:t xml:space="preserve"> mg/m</w:t>
      </w:r>
      <w:r w:rsidRPr="006438C3">
        <w:rPr>
          <w:rFonts w:cs="Arial"/>
          <w:vertAlign w:val="superscript"/>
        </w:rPr>
        <w:t>3</w:t>
      </w:r>
      <w:r w:rsidRPr="006438C3">
        <w:rPr>
          <w:rFonts w:cs="Arial"/>
        </w:rPr>
        <w:t xml:space="preserve"> is recommended </w:t>
      </w:r>
      <w:r w:rsidR="00AA250E">
        <w:rPr>
          <w:rFonts w:cs="Arial"/>
        </w:rPr>
        <w:t xml:space="preserve">to </w:t>
      </w:r>
      <w:r w:rsidRPr="006438C3">
        <w:rPr>
          <w:rFonts w:cs="Arial"/>
        </w:rPr>
        <w:t xml:space="preserve">protect for </w:t>
      </w:r>
      <w:r w:rsidR="00AA250E">
        <w:rPr>
          <w:rFonts w:cs="Arial"/>
        </w:rPr>
        <w:t>kidney damage</w:t>
      </w:r>
      <w:r w:rsidRPr="006438C3">
        <w:rPr>
          <w:rFonts w:cs="Arial"/>
        </w:rPr>
        <w:t xml:space="preserve"> in exposed workers.</w:t>
      </w:r>
    </w:p>
    <w:p w14:paraId="551218FB" w14:textId="5BE0DAF9" w:rsidR="006438C3" w:rsidRDefault="006438C3" w:rsidP="000C139A">
      <w:pPr>
        <w:rPr>
          <w:rFonts w:cs="Arial"/>
        </w:rPr>
      </w:pPr>
      <w:r w:rsidRPr="006438C3">
        <w:rPr>
          <w:rFonts w:cs="Arial"/>
        </w:rPr>
        <w:t xml:space="preserve">Insufficient data </w:t>
      </w:r>
      <w:r w:rsidR="000B5702">
        <w:rPr>
          <w:rFonts w:cs="Arial"/>
        </w:rPr>
        <w:t xml:space="preserve">are </w:t>
      </w:r>
      <w:r w:rsidRPr="006438C3">
        <w:rPr>
          <w:rFonts w:cs="Arial"/>
        </w:rPr>
        <w:t xml:space="preserve">available to recommend a </w:t>
      </w:r>
      <w:r w:rsidR="00AA250E">
        <w:rPr>
          <w:rFonts w:cs="Arial"/>
        </w:rPr>
        <w:t>STEL.</w:t>
      </w:r>
    </w:p>
    <w:p w14:paraId="245DB17C" w14:textId="6DAE416A" w:rsidR="006438C3" w:rsidRPr="004C23F4" w:rsidRDefault="00AA250E" w:rsidP="000C139A">
      <w:pPr>
        <w:rPr>
          <w:rFonts w:cs="Arial"/>
        </w:rPr>
      </w:pPr>
      <w:r w:rsidRPr="00AA250E">
        <w:rPr>
          <w:rFonts w:cs="Arial"/>
        </w:rPr>
        <w:t xml:space="preserve">A priority review of the </w:t>
      </w:r>
      <w:r>
        <w:rPr>
          <w:rFonts w:cs="Arial"/>
        </w:rPr>
        <w:t>carcinogenic potential</w:t>
      </w:r>
      <w:r w:rsidRPr="00AA250E">
        <w:rPr>
          <w:rFonts w:cs="Arial"/>
        </w:rPr>
        <w:t xml:space="preserve"> for the chemical in the next scheduled review of the workplace exposure standards is recommended.</w:t>
      </w:r>
    </w:p>
    <w:p w14:paraId="10FED3A3" w14:textId="77777777" w:rsidR="00C7155E" w:rsidRPr="004C23F4" w:rsidRDefault="00F10C97" w:rsidP="003365A5">
      <w:pPr>
        <w:pStyle w:val="Heading2"/>
      </w:pPr>
      <w:r>
        <w:t>Discussion and conclusions</w:t>
      </w:r>
    </w:p>
    <w:p w14:paraId="7D1DB90D" w14:textId="38BA24E7" w:rsidR="009C6A7B" w:rsidRDefault="008F2AA0" w:rsidP="006639B4">
      <w:pPr>
        <w:rPr>
          <w:rFonts w:cs="Arial"/>
        </w:rPr>
      </w:pPr>
      <w:r>
        <w:rPr>
          <w:rFonts w:cs="Arial"/>
        </w:rPr>
        <w:t xml:space="preserve">Uranium is used </w:t>
      </w:r>
      <w:r w:rsidR="00C27381">
        <w:rPr>
          <w:rFonts w:cs="Arial"/>
        </w:rPr>
        <w:t>in</w:t>
      </w:r>
      <w:r>
        <w:rPr>
          <w:rFonts w:cs="Arial"/>
        </w:rPr>
        <w:t xml:space="preserve"> </w:t>
      </w:r>
      <w:r w:rsidR="00C27381">
        <w:rPr>
          <w:rFonts w:cs="Arial"/>
        </w:rPr>
        <w:t>electric power generation</w:t>
      </w:r>
      <w:r w:rsidR="00284112">
        <w:rPr>
          <w:rFonts w:cs="Arial"/>
        </w:rPr>
        <w:t xml:space="preserve"> and</w:t>
      </w:r>
      <w:r w:rsidR="00C27381">
        <w:rPr>
          <w:rFonts w:cs="Arial"/>
        </w:rPr>
        <w:t xml:space="preserve"> </w:t>
      </w:r>
      <w:r w:rsidR="00AA250E">
        <w:rPr>
          <w:rFonts w:cs="Arial"/>
        </w:rPr>
        <w:t xml:space="preserve">in the </w:t>
      </w:r>
      <w:r w:rsidR="00C27381">
        <w:rPr>
          <w:rFonts w:cs="Arial"/>
        </w:rPr>
        <w:t>production of paints</w:t>
      </w:r>
      <w:r w:rsidR="00AA250E">
        <w:rPr>
          <w:rFonts w:cs="Arial"/>
        </w:rPr>
        <w:t xml:space="preserve"> </w:t>
      </w:r>
      <w:r>
        <w:rPr>
          <w:rFonts w:cs="Arial"/>
        </w:rPr>
        <w:t>and certain ammunition.</w:t>
      </w:r>
      <w:r w:rsidR="00CF24FD">
        <w:rPr>
          <w:rFonts w:cs="Arial"/>
        </w:rPr>
        <w:t xml:space="preserve"> </w:t>
      </w:r>
    </w:p>
    <w:p w14:paraId="3477AE6A" w14:textId="77777777" w:rsidR="000B5702" w:rsidRDefault="006438C3" w:rsidP="006639B4">
      <w:pPr>
        <w:rPr>
          <w:rFonts w:cs="Arial"/>
        </w:rPr>
      </w:pPr>
      <w:r>
        <w:rPr>
          <w:rFonts w:cs="Arial"/>
        </w:rPr>
        <w:t>The c</w:t>
      </w:r>
      <w:r w:rsidR="008F2AA0">
        <w:rPr>
          <w:rFonts w:cs="Arial"/>
        </w:rPr>
        <w:t>ritical effect</w:t>
      </w:r>
      <w:r>
        <w:rPr>
          <w:rFonts w:cs="Arial"/>
        </w:rPr>
        <w:t xml:space="preserve"> of exposure is kidney damage.</w:t>
      </w:r>
      <w:r w:rsidR="009C6A7B">
        <w:rPr>
          <w:rFonts w:cs="Arial"/>
        </w:rPr>
        <w:t xml:space="preserve"> </w:t>
      </w:r>
    </w:p>
    <w:p w14:paraId="4A3ED5F1" w14:textId="1E1049F6" w:rsidR="008F2AA0" w:rsidRDefault="008F2AA0" w:rsidP="006639B4">
      <w:pPr>
        <w:rPr>
          <w:rFonts w:cs="Arial"/>
        </w:rPr>
      </w:pPr>
      <w:r>
        <w:rPr>
          <w:rFonts w:cs="Arial"/>
        </w:rPr>
        <w:t xml:space="preserve">Most human exposure data are confounded by mixed exposures or inadequately designed </w:t>
      </w:r>
      <w:r w:rsidR="00C45AAB">
        <w:rPr>
          <w:rFonts w:cs="Arial"/>
        </w:rPr>
        <w:t xml:space="preserve">studies </w:t>
      </w:r>
      <w:r>
        <w:rPr>
          <w:rFonts w:cs="Arial"/>
        </w:rPr>
        <w:t>to detect small incidences of adverse effects from chronic exposure</w:t>
      </w:r>
      <w:r w:rsidR="00AA250E">
        <w:rPr>
          <w:rFonts w:cs="Arial"/>
        </w:rPr>
        <w:t xml:space="preserve"> (ACGIH, 2018; HCOTN, </w:t>
      </w:r>
      <w:r w:rsidR="0045140F">
        <w:rPr>
          <w:rFonts w:cs="Arial"/>
        </w:rPr>
        <w:t>2002</w:t>
      </w:r>
      <w:r w:rsidR="00AA250E">
        <w:rPr>
          <w:rFonts w:cs="Arial"/>
        </w:rPr>
        <w:t>)</w:t>
      </w:r>
      <w:r>
        <w:rPr>
          <w:rFonts w:cs="Arial"/>
        </w:rPr>
        <w:t>. The development of critical symptoms depends greatly on the solubility of the material</w:t>
      </w:r>
      <w:r w:rsidR="00AA250E">
        <w:rPr>
          <w:rFonts w:cs="Arial"/>
        </w:rPr>
        <w:t xml:space="preserve"> (DFG, 2014)</w:t>
      </w:r>
      <w:r>
        <w:rPr>
          <w:rFonts w:cs="Arial"/>
        </w:rPr>
        <w:t>. Soluble compounds are absorbed and excreted rapidly and contribute to renal toxicity</w:t>
      </w:r>
      <w:r w:rsidR="00CA28F6">
        <w:rPr>
          <w:rFonts w:cs="Arial"/>
        </w:rPr>
        <w:t>. Kidney concentrations of 3 µg/g in animals and humans are not associated with adverse effects</w:t>
      </w:r>
      <w:r w:rsidR="00AA250E">
        <w:rPr>
          <w:rFonts w:cs="Arial"/>
        </w:rPr>
        <w:t xml:space="preserve"> (ACGIH, 2018; HCOTN, </w:t>
      </w:r>
      <w:r w:rsidR="0045140F">
        <w:rPr>
          <w:rFonts w:cs="Arial"/>
        </w:rPr>
        <w:t>2002</w:t>
      </w:r>
      <w:r w:rsidR="00AA250E">
        <w:rPr>
          <w:rFonts w:cs="Arial"/>
        </w:rPr>
        <w:t>)</w:t>
      </w:r>
      <w:r w:rsidR="00CA28F6">
        <w:rPr>
          <w:rFonts w:cs="Arial"/>
        </w:rPr>
        <w:t>. I</w:t>
      </w:r>
      <w:r>
        <w:rPr>
          <w:rFonts w:cs="Arial"/>
        </w:rPr>
        <w:t xml:space="preserve">nsoluble compounds accumulate in the lungs and </w:t>
      </w:r>
      <w:r w:rsidR="006B6834">
        <w:rPr>
          <w:rFonts w:cs="Arial"/>
        </w:rPr>
        <w:t>may cause lung cancer in exposed workers by production of excess reactive oxygen species (ROS)</w:t>
      </w:r>
      <w:r>
        <w:rPr>
          <w:rFonts w:cs="Arial"/>
        </w:rPr>
        <w:t xml:space="preserve"> </w:t>
      </w:r>
      <w:r w:rsidR="006B6834">
        <w:rPr>
          <w:rFonts w:cs="Arial"/>
        </w:rPr>
        <w:t>or chronic radiologic effects</w:t>
      </w:r>
      <w:r w:rsidR="00AA250E">
        <w:rPr>
          <w:rFonts w:cs="Arial"/>
        </w:rPr>
        <w:t xml:space="preserve"> (DFG, 2014)</w:t>
      </w:r>
      <w:r w:rsidR="006B6834">
        <w:rPr>
          <w:rFonts w:cs="Arial"/>
        </w:rPr>
        <w:t xml:space="preserve">. </w:t>
      </w:r>
      <w:r w:rsidR="00CA28F6">
        <w:rPr>
          <w:rFonts w:cs="Arial"/>
        </w:rPr>
        <w:t>Epidemiological e</w:t>
      </w:r>
      <w:r w:rsidR="006B6834">
        <w:rPr>
          <w:rFonts w:cs="Arial"/>
        </w:rPr>
        <w:t xml:space="preserve">vidence for such carcinogenic activity is equivocal and </w:t>
      </w:r>
      <w:r w:rsidR="00CA28F6">
        <w:rPr>
          <w:rFonts w:cs="Arial"/>
        </w:rPr>
        <w:t xml:space="preserve">the available </w:t>
      </w:r>
      <w:r w:rsidR="006B6834">
        <w:rPr>
          <w:rFonts w:cs="Arial"/>
        </w:rPr>
        <w:t xml:space="preserve">animal </w:t>
      </w:r>
      <w:r w:rsidR="00CA28F6">
        <w:rPr>
          <w:rFonts w:cs="Arial"/>
        </w:rPr>
        <w:t>data are inadequate to conclusively evaluate carcinogenicity</w:t>
      </w:r>
      <w:r w:rsidR="00507244">
        <w:rPr>
          <w:rFonts w:cs="Arial"/>
        </w:rPr>
        <w:t xml:space="preserve"> (HCOTN, </w:t>
      </w:r>
      <w:r w:rsidR="0045140F">
        <w:rPr>
          <w:rFonts w:cs="Arial"/>
        </w:rPr>
        <w:t>2002</w:t>
      </w:r>
      <w:r w:rsidR="00507244">
        <w:rPr>
          <w:rFonts w:cs="Arial"/>
        </w:rPr>
        <w:t>)</w:t>
      </w:r>
      <w:r w:rsidR="00570BF4">
        <w:rPr>
          <w:rFonts w:cs="Arial"/>
        </w:rPr>
        <w:t>.</w:t>
      </w:r>
    </w:p>
    <w:p w14:paraId="18992FDF" w14:textId="05E3705D" w:rsidR="00604095" w:rsidRDefault="00607E12" w:rsidP="00FB6054">
      <w:pPr>
        <w:rPr>
          <w:rFonts w:cs="Arial"/>
        </w:rPr>
      </w:pPr>
      <w:r>
        <w:rPr>
          <w:rFonts w:cs="Arial"/>
        </w:rPr>
        <w:t>ACGIH (2018) recommends a TLV-TWA of 0.2</w:t>
      </w:r>
      <w:r w:rsidR="00FB6054">
        <w:rPr>
          <w:rFonts w:cs="Arial"/>
        </w:rPr>
        <w:t> </w:t>
      </w:r>
      <w:r>
        <w:rPr>
          <w:rFonts w:cs="Arial"/>
        </w:rPr>
        <w:t>mg</w:t>
      </w:r>
      <w:r w:rsidR="00FB6054">
        <w:rPr>
          <w:rFonts w:cs="Arial"/>
        </w:rPr>
        <w:t>/m</w:t>
      </w:r>
      <w:r w:rsidR="00FB6054">
        <w:rPr>
          <w:rFonts w:cs="Arial"/>
          <w:vertAlign w:val="superscript"/>
        </w:rPr>
        <w:t>3</w:t>
      </w:r>
      <w:r w:rsidR="0028620A">
        <w:rPr>
          <w:rFonts w:cs="Arial"/>
        </w:rPr>
        <w:t>.</w:t>
      </w:r>
      <w:r w:rsidR="00CA28F6">
        <w:rPr>
          <w:rFonts w:cs="Arial"/>
        </w:rPr>
        <w:t xml:space="preserve"> </w:t>
      </w:r>
      <w:r w:rsidR="0028620A">
        <w:rPr>
          <w:rFonts w:cs="Arial"/>
        </w:rPr>
        <w:t>T</w:t>
      </w:r>
      <w:r w:rsidR="00CA28F6">
        <w:rPr>
          <w:rFonts w:cs="Arial"/>
        </w:rPr>
        <w:t xml:space="preserve">he derivation </w:t>
      </w:r>
      <w:r w:rsidR="0028620A">
        <w:rPr>
          <w:rFonts w:cs="Arial"/>
        </w:rPr>
        <w:t>of TLV-TWA by ACGIH</w:t>
      </w:r>
      <w:r w:rsidR="00CA28F6">
        <w:rPr>
          <w:rFonts w:cs="Arial"/>
        </w:rPr>
        <w:t xml:space="preserve"> is not detailed but is </w:t>
      </w:r>
      <w:r w:rsidR="00C27381">
        <w:rPr>
          <w:rFonts w:cs="Arial"/>
        </w:rPr>
        <w:t>likely</w:t>
      </w:r>
      <w:r w:rsidR="00CA28F6">
        <w:rPr>
          <w:rFonts w:cs="Arial"/>
        </w:rPr>
        <w:t xml:space="preserve"> </w:t>
      </w:r>
      <w:r w:rsidR="00FB6054">
        <w:rPr>
          <w:rFonts w:cs="Arial"/>
        </w:rPr>
        <w:t>based on</w:t>
      </w:r>
      <w:r w:rsidR="00CA28F6">
        <w:rPr>
          <w:rFonts w:cs="Arial"/>
        </w:rPr>
        <w:t xml:space="preserve"> </w:t>
      </w:r>
      <w:r w:rsidR="00C27381">
        <w:rPr>
          <w:rFonts w:cs="Arial"/>
        </w:rPr>
        <w:t xml:space="preserve">the absence of adverse effects at kidney concentrations of 3 µg/g in humans and animals (HCOTN, </w:t>
      </w:r>
      <w:r w:rsidR="0045140F">
        <w:rPr>
          <w:rFonts w:cs="Arial"/>
        </w:rPr>
        <w:t>2002</w:t>
      </w:r>
      <w:r w:rsidR="00C27381">
        <w:rPr>
          <w:rFonts w:cs="Arial"/>
        </w:rPr>
        <w:t xml:space="preserve">). This value is supported by </w:t>
      </w:r>
      <w:r w:rsidR="00FB6054">
        <w:rPr>
          <w:rFonts w:cs="Arial"/>
        </w:rPr>
        <w:t xml:space="preserve">industrial </w:t>
      </w:r>
      <w:r w:rsidR="00C45AAB">
        <w:rPr>
          <w:rFonts w:cs="Arial"/>
        </w:rPr>
        <w:t xml:space="preserve">observations </w:t>
      </w:r>
      <w:r w:rsidR="00FB6054">
        <w:rPr>
          <w:rFonts w:cs="Arial"/>
        </w:rPr>
        <w:t xml:space="preserve">that </w:t>
      </w:r>
      <w:r w:rsidR="00C45AAB">
        <w:rPr>
          <w:rFonts w:cs="Arial"/>
        </w:rPr>
        <w:t xml:space="preserve">there is </w:t>
      </w:r>
      <w:r w:rsidR="00FB6054">
        <w:rPr>
          <w:rFonts w:cs="Arial"/>
        </w:rPr>
        <w:t>no increased incidence of adverse effects in exposed workers during a 25-year period</w:t>
      </w:r>
      <w:r w:rsidR="00CA28F6">
        <w:rPr>
          <w:rFonts w:cs="Arial"/>
        </w:rPr>
        <w:t xml:space="preserve"> of its implementation</w:t>
      </w:r>
      <w:r w:rsidR="00507244">
        <w:rPr>
          <w:rFonts w:cs="Arial"/>
        </w:rPr>
        <w:t xml:space="preserve"> (ACGIH, 2018)</w:t>
      </w:r>
      <w:r w:rsidR="00CA28F6">
        <w:rPr>
          <w:rFonts w:cs="Arial"/>
        </w:rPr>
        <w:t xml:space="preserve">. </w:t>
      </w:r>
      <w:r w:rsidR="0028620A">
        <w:rPr>
          <w:rFonts w:cs="Arial"/>
        </w:rPr>
        <w:t>HCOTN also adopted this value of 0.2 mg/m</w:t>
      </w:r>
      <w:r w:rsidR="0028620A">
        <w:rPr>
          <w:rFonts w:cs="Arial"/>
          <w:vertAlign w:val="superscript"/>
        </w:rPr>
        <w:t>3</w:t>
      </w:r>
      <w:r w:rsidR="001D6D2C">
        <w:rPr>
          <w:rFonts w:cs="Arial"/>
          <w:vertAlign w:val="superscript"/>
        </w:rPr>
        <w:t xml:space="preserve"> </w:t>
      </w:r>
      <w:r w:rsidR="00CA28F6">
        <w:rPr>
          <w:rFonts w:cs="Arial"/>
        </w:rPr>
        <w:t xml:space="preserve">as an administrative </w:t>
      </w:r>
      <w:r w:rsidR="00CA28F6">
        <w:rPr>
          <w:rFonts w:cs="Arial"/>
        </w:rPr>
        <w:lastRenderedPageBreak/>
        <w:t xml:space="preserve">OEL but is under reconsideration (HCOTN, </w:t>
      </w:r>
      <w:r w:rsidR="0045140F">
        <w:rPr>
          <w:rFonts w:cs="Arial"/>
        </w:rPr>
        <w:t>2002</w:t>
      </w:r>
      <w:r w:rsidR="00CA28F6">
        <w:rPr>
          <w:rFonts w:cs="Arial"/>
        </w:rPr>
        <w:t>)</w:t>
      </w:r>
      <w:r w:rsidR="00FB6054">
        <w:rPr>
          <w:rFonts w:cs="Arial"/>
        </w:rPr>
        <w:t xml:space="preserve">. A MAK is not assigned by DFG (2014) </w:t>
      </w:r>
      <w:r w:rsidR="00CA28F6">
        <w:rPr>
          <w:rFonts w:cs="Arial"/>
        </w:rPr>
        <w:t>due to the carcinoge</w:t>
      </w:r>
      <w:r w:rsidR="00507244">
        <w:rPr>
          <w:rFonts w:cs="Arial"/>
        </w:rPr>
        <w:t>nic potential of the substance</w:t>
      </w:r>
      <w:r w:rsidR="00C45AAB">
        <w:rPr>
          <w:rFonts w:cs="Arial"/>
        </w:rPr>
        <w:t>.</w:t>
      </w:r>
      <w:r w:rsidR="00604095">
        <w:rPr>
          <w:rFonts w:cs="Arial"/>
        </w:rPr>
        <w:t xml:space="preserve"> However, t</w:t>
      </w:r>
      <w:r w:rsidR="00AA250E">
        <w:rPr>
          <w:rFonts w:cs="Arial"/>
        </w:rPr>
        <w:t>here is uncertainty in the interpretation of these results with respect to carcinogenicity classification</w:t>
      </w:r>
      <w:r w:rsidR="00507244">
        <w:rPr>
          <w:rFonts w:cs="Arial"/>
        </w:rPr>
        <w:t>.</w:t>
      </w:r>
      <w:r w:rsidR="006438C3" w:rsidRPr="006438C3">
        <w:rPr>
          <w:rFonts w:cs="Arial"/>
        </w:rPr>
        <w:t xml:space="preserve"> </w:t>
      </w:r>
    </w:p>
    <w:p w14:paraId="51392911" w14:textId="58B22B38" w:rsidR="00507244" w:rsidRDefault="00AA250E" w:rsidP="00FB6054">
      <w:pPr>
        <w:rPr>
          <w:rFonts w:cs="Arial"/>
        </w:rPr>
      </w:pPr>
      <w:r>
        <w:rPr>
          <w:rFonts w:cs="Arial"/>
        </w:rPr>
        <w:t>In the absence of further information, the TWA of 0.2 mg/</w:t>
      </w:r>
      <w:r w:rsidRPr="00AA250E">
        <w:rPr>
          <w:rFonts w:cs="Arial"/>
        </w:rPr>
        <w:t>m</w:t>
      </w:r>
      <w:r w:rsidRPr="00AA250E">
        <w:rPr>
          <w:rFonts w:cs="Arial"/>
          <w:vertAlign w:val="superscript"/>
        </w:rPr>
        <w:t>3</w:t>
      </w:r>
      <w:r>
        <w:rPr>
          <w:rFonts w:cs="Arial"/>
        </w:rPr>
        <w:t xml:space="preserve"> </w:t>
      </w:r>
      <w:r w:rsidR="00604095">
        <w:rPr>
          <w:rFonts w:cs="Arial"/>
        </w:rPr>
        <w:t xml:space="preserve">by ACGIH (2018) </w:t>
      </w:r>
      <w:r>
        <w:rPr>
          <w:rFonts w:cs="Arial"/>
        </w:rPr>
        <w:t xml:space="preserve">is </w:t>
      </w:r>
      <w:r w:rsidR="00F07570">
        <w:rPr>
          <w:rFonts w:cs="Arial"/>
        </w:rPr>
        <w:t xml:space="preserve">recommended to be </w:t>
      </w:r>
      <w:r>
        <w:rPr>
          <w:rFonts w:cs="Arial"/>
        </w:rPr>
        <w:t>retained.</w:t>
      </w:r>
      <w:r w:rsidR="00604095" w:rsidRPr="00604095">
        <w:rPr>
          <w:rFonts w:cs="Arial"/>
        </w:rPr>
        <w:t xml:space="preserve"> </w:t>
      </w:r>
      <w:r w:rsidR="00604095">
        <w:rPr>
          <w:rFonts w:cs="Arial"/>
        </w:rPr>
        <w:t xml:space="preserve">There is insufficient evidence </w:t>
      </w:r>
      <w:r w:rsidR="00604095" w:rsidRPr="00604095">
        <w:rPr>
          <w:rFonts w:cs="Arial"/>
        </w:rPr>
        <w:t xml:space="preserve">to suggest an immediately acute effect at concentrations within ten times </w:t>
      </w:r>
      <w:r w:rsidR="00604095">
        <w:rPr>
          <w:rFonts w:cs="Arial"/>
        </w:rPr>
        <w:t>of the recommended TWA</w:t>
      </w:r>
      <w:r w:rsidR="00C45AAB">
        <w:rPr>
          <w:rFonts w:cs="Arial"/>
        </w:rPr>
        <w:t>. Consequently</w:t>
      </w:r>
      <w:r w:rsidR="00604095">
        <w:rPr>
          <w:rFonts w:cs="Arial"/>
        </w:rPr>
        <w:t>, the previous STEL of 0.6 mg/m</w:t>
      </w:r>
      <w:r w:rsidR="00604095">
        <w:rPr>
          <w:rFonts w:cs="Arial"/>
          <w:vertAlign w:val="superscript"/>
        </w:rPr>
        <w:t>3</w:t>
      </w:r>
      <w:r w:rsidR="00604095">
        <w:rPr>
          <w:rFonts w:cs="Arial"/>
        </w:rPr>
        <w:t xml:space="preserve"> is recommended to be withdrawn.</w:t>
      </w:r>
    </w:p>
    <w:p w14:paraId="4AA13BC0" w14:textId="60147288" w:rsidR="00607E12" w:rsidRDefault="00507244" w:rsidP="00FB6054">
      <w:pPr>
        <w:rPr>
          <w:rFonts w:cs="Arial"/>
        </w:rPr>
      </w:pPr>
      <w:r>
        <w:rPr>
          <w:rFonts w:cs="Arial"/>
        </w:rPr>
        <w:t xml:space="preserve">The recommendation of a carcinogenicity notation is disputed </w:t>
      </w:r>
      <w:r w:rsidR="00210F07">
        <w:rPr>
          <w:rFonts w:cs="Arial"/>
        </w:rPr>
        <w:t xml:space="preserve">in the available source material. Both ACGIH (2018) and DFG (2014) recommend a carcinogenicity notation based on the results of epidemiological studies, but </w:t>
      </w:r>
      <w:r w:rsidR="006438C3">
        <w:rPr>
          <w:rFonts w:cs="Arial"/>
        </w:rPr>
        <w:t>HCOTN (</w:t>
      </w:r>
      <w:r w:rsidR="0045140F">
        <w:rPr>
          <w:rFonts w:cs="Arial"/>
        </w:rPr>
        <w:t>2002</w:t>
      </w:r>
      <w:r w:rsidR="006438C3">
        <w:rPr>
          <w:rFonts w:cs="Arial"/>
        </w:rPr>
        <w:t xml:space="preserve">) interprets the results of these studies as inconclusive. In view of this uncertainty, further assessment of carcinogenic potential </w:t>
      </w:r>
      <w:r w:rsidR="00AA250E">
        <w:rPr>
          <w:rFonts w:cs="Arial"/>
        </w:rPr>
        <w:t>from</w:t>
      </w:r>
      <w:r w:rsidR="006438C3">
        <w:rPr>
          <w:rFonts w:cs="Arial"/>
        </w:rPr>
        <w:t xml:space="preserve"> additional sources is recommended as a priority during subsequent reviews.</w:t>
      </w:r>
    </w:p>
    <w:p w14:paraId="6485FD35" w14:textId="77777777" w:rsidR="004529F0" w:rsidRPr="004C23F4" w:rsidRDefault="004529F0" w:rsidP="004529F0">
      <w:pPr>
        <w:pStyle w:val="Heading2"/>
      </w:pPr>
      <w:r>
        <w:t>Recommendation for notations</w:t>
      </w:r>
    </w:p>
    <w:p w14:paraId="034FCBED" w14:textId="707CC812" w:rsidR="008E4F1F" w:rsidRPr="006438C3" w:rsidRDefault="008E4F1F" w:rsidP="008E4F1F">
      <w:pPr>
        <w:rPr>
          <w:rFonts w:cs="Arial"/>
        </w:rPr>
      </w:pPr>
      <w:r w:rsidRPr="006438C3">
        <w:rPr>
          <w:rFonts w:cs="Arial"/>
        </w:rPr>
        <w:t>Not classified as a carcinogen according to the Globally Harmonized System of</w:t>
      </w:r>
      <w:r w:rsidR="00155999" w:rsidRPr="006438C3">
        <w:rPr>
          <w:rFonts w:cs="Arial"/>
        </w:rPr>
        <w:t xml:space="preserve"> Classification and Labelling of</w:t>
      </w:r>
      <w:r w:rsidRPr="006438C3">
        <w:rPr>
          <w:rFonts w:cs="Arial"/>
        </w:rPr>
        <w:t xml:space="preserve"> Chemicals (GHS). </w:t>
      </w:r>
      <w:r w:rsidR="00507244" w:rsidRPr="006438C3">
        <w:rPr>
          <w:rFonts w:cs="Arial"/>
        </w:rPr>
        <w:t>However, there are inconsistencies in the carcinogenicity notation recommendations in the available source material (ACGIH, 2018; DFG, 2014</w:t>
      </w:r>
      <w:r w:rsidR="0045140F">
        <w:rPr>
          <w:rFonts w:cs="Arial"/>
        </w:rPr>
        <w:t>; HCOTN, 2002</w:t>
      </w:r>
      <w:r w:rsidR="00507244" w:rsidRPr="006438C3">
        <w:rPr>
          <w:rFonts w:cs="Arial"/>
        </w:rPr>
        <w:t>).</w:t>
      </w:r>
    </w:p>
    <w:p w14:paraId="274EE544" w14:textId="77777777" w:rsidR="008E4F1F" w:rsidRPr="006438C3" w:rsidRDefault="008E4F1F" w:rsidP="008E4F1F">
      <w:pPr>
        <w:rPr>
          <w:rFonts w:cs="Arial"/>
        </w:rPr>
      </w:pPr>
      <w:r w:rsidRPr="006438C3">
        <w:rPr>
          <w:rFonts w:cs="Arial"/>
        </w:rPr>
        <w:t xml:space="preserve">Not classified as a skin </w:t>
      </w:r>
      <w:r w:rsidR="00155999" w:rsidRPr="006438C3">
        <w:rPr>
          <w:rFonts w:cs="Arial"/>
        </w:rPr>
        <w:t xml:space="preserve">sensitiser </w:t>
      </w:r>
      <w:r w:rsidRPr="006438C3">
        <w:rPr>
          <w:rFonts w:cs="Arial"/>
        </w:rPr>
        <w:t>or respiratory sensitiser according to the GHS.</w:t>
      </w:r>
    </w:p>
    <w:p w14:paraId="5402378D" w14:textId="2DF2F25F" w:rsidR="0025734A" w:rsidRPr="006438C3" w:rsidRDefault="006438C3">
      <w:pPr>
        <w:rPr>
          <w:rFonts w:cs="Arial"/>
        </w:rPr>
      </w:pPr>
      <w:r w:rsidRPr="006438C3">
        <w:rPr>
          <w:rFonts w:cs="Arial"/>
        </w:rPr>
        <w:t>A skin notation is not recommended based on the available evidence.</w:t>
      </w:r>
    </w:p>
    <w:p w14:paraId="7419FDED"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242F67E8"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9B1FE08"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4BC56165" w14:textId="77777777" w:rsidTr="008856AB">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4C6B4F13"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2BCB765" w14:textId="77777777" w:rsidTr="008856AB">
        <w:trPr>
          <w:cantSplit/>
        </w:trPr>
        <w:tc>
          <w:tcPr>
            <w:tcW w:w="5000" w:type="pct"/>
            <w:gridSpan w:val="2"/>
            <w:shd w:val="clear" w:color="auto" w:fill="F2F2F2" w:themeFill="background1" w:themeFillShade="F2"/>
          </w:tcPr>
          <w:p w14:paraId="6E364332" w14:textId="48F70F00"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8A22C2">
                  <w:t>1991</w:t>
                </w:r>
              </w:sdtContent>
            </w:sdt>
            <w:r w:rsidRPr="003365A5">
              <w:tab/>
            </w:r>
            <w:r>
              <w:tab/>
            </w:r>
            <w:sdt>
              <w:sdtPr>
                <w:alias w:val="SWA WES"/>
                <w:tag w:val="SWA WES"/>
                <w:id w:val="857077202"/>
                <w:placeholder>
                  <w:docPart w:val="81CFEC2FDBC5451289F394E66D92D1A0"/>
                </w:placeholder>
              </w:sdtPr>
              <w:sdtEndPr/>
              <w:sdtContent>
                <w:r w:rsidR="008A22C2">
                  <w:t>TWA: 0.2 mg/m</w:t>
                </w:r>
                <w:r w:rsidR="008A22C2" w:rsidRPr="008A22C2">
                  <w:rPr>
                    <w:vertAlign w:val="superscript"/>
                  </w:rPr>
                  <w:t>3</w:t>
                </w:r>
                <w:r w:rsidR="008A22C2">
                  <w:t>; STEL: 0.6 mg/m</w:t>
                </w:r>
                <w:r w:rsidR="008A22C2" w:rsidRPr="008A22C2">
                  <w:rPr>
                    <w:vertAlign w:val="superscript"/>
                  </w:rPr>
                  <w:t>3</w:t>
                </w:r>
              </w:sdtContent>
            </w:sdt>
          </w:p>
        </w:tc>
      </w:tr>
      <w:tr w:rsidR="00C978F0" w:rsidRPr="00DA352E" w14:paraId="4EBDE549" w14:textId="77777777" w:rsidTr="008856AB">
        <w:trPr>
          <w:gridAfter w:val="1"/>
          <w:wAfter w:w="8" w:type="pct"/>
          <w:cantSplit/>
        </w:trPr>
        <w:tc>
          <w:tcPr>
            <w:tcW w:w="4992" w:type="pct"/>
          </w:tcPr>
          <w:p w14:paraId="0CD47CA1" w14:textId="77777777" w:rsidR="00C978F0" w:rsidRPr="00DA352E" w:rsidRDefault="00C978F0" w:rsidP="003365A5">
            <w:pPr>
              <w:pStyle w:val="Tabletextprimarysource"/>
            </w:pPr>
          </w:p>
        </w:tc>
      </w:tr>
      <w:tr w:rsidR="00C978F0" w:rsidRPr="00DA352E" w14:paraId="59131F0B" w14:textId="77777777" w:rsidTr="008856AB">
        <w:trPr>
          <w:gridAfter w:val="1"/>
          <w:wAfter w:w="8" w:type="pct"/>
          <w:cantSplit/>
        </w:trPr>
        <w:tc>
          <w:tcPr>
            <w:tcW w:w="4992" w:type="pct"/>
            <w:shd w:val="clear" w:color="auto" w:fill="F2F2F2" w:themeFill="background1" w:themeFillShade="F2"/>
          </w:tcPr>
          <w:p w14:paraId="6611EF38" w14:textId="6806D48F"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9E0EC1">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9E0EC1">
                  <w:t>TL</w:t>
                </w:r>
                <w:r w:rsidR="00712BDE">
                  <w:t>V-TWA: 0.2</w:t>
                </w:r>
                <w:r w:rsidR="00A50F61">
                  <w:t xml:space="preserve"> mg/m</w:t>
                </w:r>
                <w:r w:rsidR="00A50F61" w:rsidRPr="00A50F61">
                  <w:rPr>
                    <w:vertAlign w:val="superscript"/>
                  </w:rPr>
                  <w:t>3</w:t>
                </w:r>
                <w:r w:rsidR="00A50F61">
                  <w:t xml:space="preserve"> (as U); TLV-STEL: 0.6 mg/m</w:t>
                </w:r>
                <w:r w:rsidR="00A50F61" w:rsidRPr="00A50F61">
                  <w:rPr>
                    <w:vertAlign w:val="superscript"/>
                  </w:rPr>
                  <w:t>3</w:t>
                </w:r>
                <w:r w:rsidR="00A50F61">
                  <w:t xml:space="preserve"> (as U)</w:t>
                </w:r>
              </w:sdtContent>
            </w:sdt>
          </w:p>
        </w:tc>
      </w:tr>
      <w:tr w:rsidR="00C978F0" w:rsidRPr="00DA352E" w14:paraId="4770438C" w14:textId="77777777" w:rsidTr="008856AB">
        <w:trPr>
          <w:gridAfter w:val="1"/>
          <w:wAfter w:w="8" w:type="pct"/>
        </w:trPr>
        <w:tc>
          <w:tcPr>
            <w:tcW w:w="4992" w:type="pct"/>
          </w:tcPr>
          <w:p w14:paraId="1C0CF448" w14:textId="12E6463F" w:rsidR="001E4415" w:rsidRDefault="001E4415" w:rsidP="003365A5">
            <w:pPr>
              <w:pStyle w:val="Tabletextprimarysource"/>
            </w:pPr>
            <w:r>
              <w:t>TLV-TWA and TLV-STEL intended to protect for kidney damage and adverse haemopoietic changes, e.g. leukaemia. Substantial evidence for carcinogenicity in humans</w:t>
            </w:r>
            <w:r w:rsidR="00C45AAB">
              <w:t xml:space="preserve"> to assign</w:t>
            </w:r>
            <w:r>
              <w:t xml:space="preserve"> </w:t>
            </w:r>
            <w:r w:rsidR="00C45AAB">
              <w:t xml:space="preserve">a carcinogenic notation of </w:t>
            </w:r>
            <w:r>
              <w:t>confirmed human carcinogen</w:t>
            </w:r>
            <w:r w:rsidR="00C45AAB">
              <w:t>,</w:t>
            </w:r>
            <w:r>
              <w:t xml:space="preserve"> classification (A1). All exposure routes should be carefully controlled.</w:t>
            </w:r>
          </w:p>
          <w:p w14:paraId="36E99FD2" w14:textId="48310310" w:rsidR="001E4415" w:rsidRDefault="001E4415" w:rsidP="003365A5">
            <w:pPr>
              <w:pStyle w:val="Tabletextprimarysource"/>
            </w:pPr>
            <w:r>
              <w:t>Summary of information:</w:t>
            </w:r>
          </w:p>
          <w:p w14:paraId="16C5AB34" w14:textId="666F4220" w:rsidR="001E4415" w:rsidRPr="0060682B" w:rsidRDefault="00585CFB" w:rsidP="003365A5">
            <w:pPr>
              <w:pStyle w:val="Tabletextprimarysource"/>
            </w:pPr>
            <w:r>
              <w:t xml:space="preserve">Kidney is </w:t>
            </w:r>
            <w:r w:rsidR="00CF24FD">
              <w:t xml:space="preserve">the </w:t>
            </w:r>
            <w:r>
              <w:t xml:space="preserve">target organ for acutely toxic doses in humans and animals. </w:t>
            </w:r>
            <w:r w:rsidR="0060682B">
              <w:t>TLV-TWA recommendation based on lack of evidence for renal or haemopoietic injury at chronic workplace exposures above 0.05 mg/m</w:t>
            </w:r>
            <w:r w:rsidR="0060682B">
              <w:rPr>
                <w:vertAlign w:val="superscript"/>
              </w:rPr>
              <w:t>3</w:t>
            </w:r>
            <w:r w:rsidR="0060682B">
              <w:t xml:space="preserve"> and under 0.2 mg/m</w:t>
            </w:r>
            <w:r w:rsidR="0060682B">
              <w:rPr>
                <w:vertAlign w:val="superscript"/>
              </w:rPr>
              <w:t>3</w:t>
            </w:r>
            <w:r w:rsidR="0060682B">
              <w:t xml:space="preserve"> during 25 years of the implementation of this value; the TLV-STEL is similarly justified with industrial experience indicat</w:t>
            </w:r>
            <w:r w:rsidR="00CF24FD">
              <w:t>ing</w:t>
            </w:r>
            <w:r w:rsidR="0060682B">
              <w:t xml:space="preserve"> </w:t>
            </w:r>
            <w:r w:rsidR="00777364">
              <w:t>limiting acute exposures to 0.6 </w:t>
            </w:r>
            <w:r w:rsidR="0060682B">
              <w:t>mg/m</w:t>
            </w:r>
            <w:r w:rsidR="0060682B">
              <w:rPr>
                <w:vertAlign w:val="superscript"/>
              </w:rPr>
              <w:t>3</w:t>
            </w:r>
            <w:r w:rsidR="0060682B">
              <w:t xml:space="preserve"> is protective of critical effects in workers (no further justification provided).</w:t>
            </w:r>
          </w:p>
          <w:p w14:paraId="05548BEF" w14:textId="1B4F52E8" w:rsidR="001E4415" w:rsidRDefault="001E4415" w:rsidP="003365A5">
            <w:pPr>
              <w:pStyle w:val="Tabletextprimarysource"/>
            </w:pPr>
            <w:r>
              <w:t>Human data:</w:t>
            </w:r>
          </w:p>
          <w:p w14:paraId="0F2C2AF6" w14:textId="7DB755CF" w:rsidR="001E4415" w:rsidRDefault="00BA3A08" w:rsidP="00BA3A08">
            <w:pPr>
              <w:pStyle w:val="Tabletextprimarysource"/>
              <w:numPr>
                <w:ilvl w:val="0"/>
                <w:numId w:val="2"/>
              </w:numPr>
            </w:pPr>
            <w:r>
              <w:t xml:space="preserve">No quantitative dermal </w:t>
            </w:r>
            <w:r w:rsidR="00C45AAB">
              <w:t xml:space="preserve">BA </w:t>
            </w:r>
            <w:r>
              <w:t xml:space="preserve">data available but reports of dermal absorption from occupational exposure </w:t>
            </w:r>
            <w:r w:rsidR="00F30000">
              <w:t>a</w:t>
            </w:r>
            <w:r w:rsidR="00C45AAB">
              <w:t xml:space="preserve">re </w:t>
            </w:r>
            <w:r w:rsidR="00F30000">
              <w:t>available</w:t>
            </w:r>
            <w:r w:rsidR="00C45AAB">
              <w:t xml:space="preserve"> </w:t>
            </w:r>
            <w:r>
              <w:t>(no further details provided</w:t>
            </w:r>
            <w:r w:rsidR="00F30000">
              <w:t>). B</w:t>
            </w:r>
            <w:r>
              <w:t xml:space="preserve">ased on analogy to other metals, dermal uptake </w:t>
            </w:r>
            <w:r w:rsidR="00F30000">
              <w:t xml:space="preserve">is </w:t>
            </w:r>
            <w:r>
              <w:t>considered negligible compared to inhalational uptake</w:t>
            </w:r>
          </w:p>
          <w:p w14:paraId="21C16F9C" w14:textId="4FD008D6" w:rsidR="00BA3A08" w:rsidRDefault="006C3DBB" w:rsidP="00BA3A08">
            <w:pPr>
              <w:pStyle w:val="Tabletextprimarysource"/>
              <w:numPr>
                <w:ilvl w:val="0"/>
                <w:numId w:val="2"/>
              </w:numPr>
            </w:pPr>
            <w:r>
              <w:t xml:space="preserve">Intestinal absorption rate </w:t>
            </w:r>
            <w:r w:rsidR="00F30000">
              <w:t xml:space="preserve">reported </w:t>
            </w:r>
            <w:r>
              <w:t xml:space="preserve">between 0.01–34%, but commonly considered to be </w:t>
            </w:r>
            <w:r>
              <w:rPr>
                <w:rFonts w:cs="Arial"/>
              </w:rPr>
              <w:t>≈</w:t>
            </w:r>
            <w:r>
              <w:t>1% (no further details provided)</w:t>
            </w:r>
            <w:r w:rsidR="00EA4BF1">
              <w:t>:</w:t>
            </w:r>
          </w:p>
          <w:p w14:paraId="2A317AAD" w14:textId="00096BF3" w:rsidR="006C3DBB" w:rsidRDefault="006C3DBB" w:rsidP="00CF24FD">
            <w:pPr>
              <w:pStyle w:val="Tabletextprimarysource"/>
              <w:numPr>
                <w:ilvl w:val="1"/>
                <w:numId w:val="2"/>
              </w:numPr>
              <w:ind w:left="1156"/>
            </w:pPr>
            <w:r>
              <w:t>fasted volunteers absorbed 0.3–3.3% of 10.8 mg of oral dose</w:t>
            </w:r>
          </w:p>
          <w:p w14:paraId="7C39A3E4" w14:textId="4DE97635" w:rsidR="00517A4F" w:rsidRDefault="00517A4F" w:rsidP="001D4A54">
            <w:pPr>
              <w:pStyle w:val="Tabletextprimarysource"/>
              <w:numPr>
                <w:ilvl w:val="0"/>
                <w:numId w:val="2"/>
              </w:numPr>
            </w:pPr>
            <w:r>
              <w:t>ADME data complicated by varying solubilities of different uranium compounds, which are not always specified in the available data</w:t>
            </w:r>
            <w:r w:rsidR="00604095">
              <w:t>:</w:t>
            </w:r>
          </w:p>
          <w:p w14:paraId="047EEBF9" w14:textId="61C18AF4" w:rsidR="001D4A54" w:rsidRDefault="00517A4F" w:rsidP="00CF24FD">
            <w:pPr>
              <w:pStyle w:val="Tabletextprimarysource"/>
              <w:numPr>
                <w:ilvl w:val="1"/>
                <w:numId w:val="2"/>
              </w:numPr>
              <w:ind w:left="1156"/>
            </w:pPr>
            <w:r>
              <w:t>p</w:t>
            </w:r>
            <w:r w:rsidR="001D4A54">
              <w:t>ulmonary absorption</w:t>
            </w:r>
            <w:r w:rsidR="00F30000">
              <w:t xml:space="preserve"> of </w:t>
            </w:r>
            <w:r w:rsidR="001D4A54">
              <w:t>20</w:t>
            </w:r>
            <w:r w:rsidR="00F30000">
              <w:t xml:space="preserve">% reported in </w:t>
            </w:r>
            <w:r w:rsidR="001D4A54">
              <w:t>an acute inhalational dose, 10–30% reversibly binds to bone, 10–20% deposits in kidneys</w:t>
            </w:r>
            <w:r w:rsidR="00284112">
              <w:t xml:space="preserve"> and</w:t>
            </w:r>
            <w:r w:rsidR="001D4A54">
              <w:t xml:space="preserve"> 60–70% excreted in urine within 24 h</w:t>
            </w:r>
            <w:r>
              <w:t xml:space="preserve"> (substance not specified)</w:t>
            </w:r>
          </w:p>
          <w:p w14:paraId="16AEB3C1" w14:textId="05D3A642" w:rsidR="001D4A54" w:rsidRDefault="001D4A54" w:rsidP="00CF24FD">
            <w:pPr>
              <w:pStyle w:val="Tabletextprimarysource"/>
              <w:numPr>
                <w:ilvl w:val="1"/>
                <w:numId w:val="2"/>
              </w:numPr>
              <w:ind w:left="1156"/>
            </w:pPr>
            <w:r>
              <w:t>kidney elimination t½ 2–6 d</w:t>
            </w:r>
          </w:p>
          <w:p w14:paraId="239DE827" w14:textId="71A3F4F7" w:rsidR="00517A4F" w:rsidRDefault="00517A4F" w:rsidP="00CF24FD">
            <w:pPr>
              <w:pStyle w:val="Tabletextprimarysource"/>
              <w:numPr>
                <w:ilvl w:val="1"/>
                <w:numId w:val="2"/>
              </w:numPr>
              <w:ind w:left="1156"/>
            </w:pPr>
            <w:r>
              <w:t>60% of chronic inhalational dose remained in body for 32 d (no further details)</w:t>
            </w:r>
          </w:p>
          <w:p w14:paraId="39F99BCC" w14:textId="42DC9280" w:rsidR="00517A4F" w:rsidRDefault="00517A4F" w:rsidP="00517A4F">
            <w:pPr>
              <w:pStyle w:val="Tabletextprimarysource"/>
              <w:numPr>
                <w:ilvl w:val="0"/>
                <w:numId w:val="2"/>
              </w:numPr>
            </w:pPr>
            <w:r>
              <w:t>Average elimination t½ of 250 d calculated from workplace study of nuclear fuel workers exposed</w:t>
            </w:r>
            <w:r w:rsidR="00431262">
              <w:t xml:space="preserve"> to</w:t>
            </w:r>
            <w:r>
              <w:t xml:space="preserve"> </w:t>
            </w:r>
            <w:r w:rsidR="00431262">
              <w:t xml:space="preserve">uranium dioxide </w:t>
            </w:r>
            <w:r w:rsidR="00241E99">
              <w:t>(UO</w:t>
            </w:r>
            <w:r w:rsidR="00241E99" w:rsidRPr="00241E99">
              <w:rPr>
                <w:vertAlign w:val="subscript"/>
              </w:rPr>
              <w:t>2</w:t>
            </w:r>
            <w:r w:rsidR="00241E99">
              <w:t xml:space="preserve">) </w:t>
            </w:r>
            <w:r>
              <w:t>at 7 µg/m</w:t>
            </w:r>
            <w:r>
              <w:rPr>
                <w:vertAlign w:val="superscript"/>
              </w:rPr>
              <w:t>3</w:t>
            </w:r>
            <w:r>
              <w:t xml:space="preserve"> for several years; </w:t>
            </w:r>
            <w:r w:rsidR="00431262">
              <w:t>authors of cited article conclude effective dose at 0.13 mg/m</w:t>
            </w:r>
            <w:r w:rsidR="00431262">
              <w:rPr>
                <w:vertAlign w:val="superscript"/>
              </w:rPr>
              <w:t>3</w:t>
            </w:r>
            <w:r w:rsidR="00431262">
              <w:t xml:space="preserve"> corresponds to 0.42 Sv/yr, which is the maximally permissible yearly radiation dose for pulmonary tissue in the absence of other radiation exposure</w:t>
            </w:r>
          </w:p>
          <w:p w14:paraId="3B90FDE4" w14:textId="2ACAC266" w:rsidR="00004E7D" w:rsidRDefault="00EA4BF1" w:rsidP="003365A5">
            <w:pPr>
              <w:pStyle w:val="Tabletextprimarysource"/>
              <w:numPr>
                <w:ilvl w:val="0"/>
                <w:numId w:val="2"/>
              </w:numPr>
            </w:pPr>
            <w:r>
              <w:t>N</w:t>
            </w:r>
            <w:r w:rsidR="00004E7D">
              <w:t xml:space="preserve">o </w:t>
            </w:r>
            <w:r w:rsidR="00FB1E87">
              <w:t xml:space="preserve">excess lung cancer and pulmonary fibrosis </w:t>
            </w:r>
            <w:r w:rsidR="00004E7D">
              <w:t>attributable to pulmonary uranium concentrations</w:t>
            </w:r>
            <w:r w:rsidR="00F30000">
              <w:t xml:space="preserve"> reported in several epidemiological studies of miners.</w:t>
            </w:r>
            <w:r w:rsidR="00FB1E87">
              <w:t xml:space="preserve"> </w:t>
            </w:r>
            <w:r w:rsidR="00F30000">
              <w:t>Co</w:t>
            </w:r>
            <w:r w:rsidR="00004E7D">
              <w:t>-expos</w:t>
            </w:r>
            <w:r w:rsidR="00005904">
              <w:t>ure</w:t>
            </w:r>
            <w:r w:rsidR="00004E7D">
              <w:t xml:space="preserve"> to arsenic, radon, diesel engine fumes, cigarette smoke</w:t>
            </w:r>
            <w:r w:rsidR="00284112">
              <w:t xml:space="preserve"> and</w:t>
            </w:r>
            <w:r w:rsidR="00004E7D">
              <w:t xml:space="preserve"> silicates</w:t>
            </w:r>
            <w:r w:rsidR="00FB1E87">
              <w:t xml:space="preserve"> likely caused observed excess disease</w:t>
            </w:r>
          </w:p>
          <w:p w14:paraId="39A4D19F" w14:textId="1A990A7B" w:rsidR="00004E7D" w:rsidRDefault="00603BF0" w:rsidP="003365A5">
            <w:pPr>
              <w:pStyle w:val="Tabletextprimarysource"/>
              <w:numPr>
                <w:ilvl w:val="0"/>
                <w:numId w:val="2"/>
              </w:numPr>
            </w:pPr>
            <w:r>
              <w:t>Occupational exposures prior to 1950 typically 4–30-fold &lt;0.05 mg/m</w:t>
            </w:r>
            <w:r>
              <w:rPr>
                <w:vertAlign w:val="superscript"/>
              </w:rPr>
              <w:t xml:space="preserve">3 </w:t>
            </w:r>
            <w:r>
              <w:t>(</w:t>
            </w:r>
            <w:r w:rsidR="003B5C51">
              <w:t>TLV-TWA at the time) in several plants, no abnormal clinical findings reported in workplace review of one such workplace or in 25-yr follow-up study of 3 workplaces (n=100 each)</w:t>
            </w:r>
            <w:r w:rsidR="00CF24FD">
              <w:t>.</w:t>
            </w:r>
          </w:p>
          <w:p w14:paraId="27A9E39F" w14:textId="286A1FAD" w:rsidR="001E4415" w:rsidRDefault="001E4415" w:rsidP="00004E7D">
            <w:pPr>
              <w:pStyle w:val="Tabletextprimarysource"/>
            </w:pPr>
            <w:r>
              <w:t>Animal data</w:t>
            </w:r>
            <w:r w:rsidR="00EA4BF1">
              <w:t>:</w:t>
            </w:r>
          </w:p>
          <w:p w14:paraId="2349C510" w14:textId="0A4E07E4" w:rsidR="001E4415" w:rsidRDefault="00585CFB" w:rsidP="00585CFB">
            <w:pPr>
              <w:pStyle w:val="Tabletextprimarysource"/>
              <w:numPr>
                <w:ilvl w:val="0"/>
                <w:numId w:val="1"/>
              </w:numPr>
            </w:pPr>
            <w:r>
              <w:t>Oral LD</w:t>
            </w:r>
            <w:r>
              <w:rPr>
                <w:vertAlign w:val="subscript"/>
              </w:rPr>
              <w:t>50</w:t>
            </w:r>
            <w:r w:rsidR="00F30000">
              <w:t xml:space="preserve"> of </w:t>
            </w:r>
            <w:r>
              <w:t>1–2 mg/kg (dogs, rats); mice less susceptible (no further details provided)</w:t>
            </w:r>
          </w:p>
          <w:p w14:paraId="47096E99" w14:textId="0C5B6DB9" w:rsidR="005B07BD" w:rsidRDefault="005B07BD" w:rsidP="005B07BD">
            <w:pPr>
              <w:pStyle w:val="Tabletextprimarysource"/>
              <w:numPr>
                <w:ilvl w:val="0"/>
                <w:numId w:val="1"/>
              </w:numPr>
            </w:pPr>
            <w:r>
              <w:t>Substantial damage (not specified) at kidney uranium concentration of 3 µg/g (rodents), proteinuria at 2 µg/g (rats)</w:t>
            </w:r>
            <w:r w:rsidR="00284112">
              <w:t xml:space="preserve"> and</w:t>
            </w:r>
            <w:r>
              <w:t xml:space="preserve"> threshold for acute renal injury of 0.3 µg/g (dogs)</w:t>
            </w:r>
          </w:p>
          <w:p w14:paraId="0E68EA73" w14:textId="5DF72AAF" w:rsidR="005B07BD" w:rsidRDefault="005B07BD" w:rsidP="005B07BD">
            <w:pPr>
              <w:pStyle w:val="Tabletextprimarysource"/>
              <w:numPr>
                <w:ilvl w:val="0"/>
                <w:numId w:val="1"/>
              </w:numPr>
            </w:pPr>
            <w:r>
              <w:lastRenderedPageBreak/>
              <w:t>Reversible kidney damage at 60–240 µg/kg in sub</w:t>
            </w:r>
            <w:r w:rsidR="00EA4BF1">
              <w:t>-</w:t>
            </w:r>
            <w:r>
              <w:t>chronic oral study; cumulative dose</w:t>
            </w:r>
            <w:r w:rsidR="00F30000">
              <w:t>s</w:t>
            </w:r>
            <w:r>
              <w:t xml:space="preserve"> 0.66–1.32 mg/kg </w:t>
            </w:r>
            <w:r w:rsidR="00607E12">
              <w:t>(</w:t>
            </w:r>
            <w:r>
              <w:t>rats, 24 d); effects reversible within 35 d</w:t>
            </w:r>
          </w:p>
          <w:p w14:paraId="128BFDE1" w14:textId="73737F2F" w:rsidR="005B07BD" w:rsidRDefault="005B07BD" w:rsidP="005B07BD">
            <w:pPr>
              <w:pStyle w:val="Tabletextprimarysource"/>
              <w:numPr>
                <w:ilvl w:val="0"/>
                <w:numId w:val="1"/>
              </w:numPr>
            </w:pPr>
            <w:r>
              <w:t xml:space="preserve">Large brief exposure or chronic exposure to inhalable </w:t>
            </w:r>
            <w:r w:rsidR="00241E99">
              <w:t>UO</w:t>
            </w:r>
            <w:r w:rsidR="00241E99" w:rsidRPr="00241E99">
              <w:rPr>
                <w:vertAlign w:val="subscript"/>
              </w:rPr>
              <w:t>2</w:t>
            </w:r>
            <w:r w:rsidR="00241E99">
              <w:rPr>
                <w:vertAlign w:val="subscript"/>
              </w:rPr>
              <w:t xml:space="preserve"> </w:t>
            </w:r>
            <w:r>
              <w:t>dust caused retention in lungs and pulmonary lymph nodes with little translocation to bone or kidney (no further details provided)</w:t>
            </w:r>
          </w:p>
          <w:p w14:paraId="217907F7" w14:textId="77777777" w:rsidR="005B07BD" w:rsidRDefault="005B07BD" w:rsidP="005B07BD">
            <w:pPr>
              <w:pStyle w:val="Tabletextprimarysource"/>
              <w:numPr>
                <w:ilvl w:val="0"/>
                <w:numId w:val="1"/>
              </w:numPr>
            </w:pPr>
            <w:r>
              <w:t>Pulmonary fibrosis and malignant neoplasia at 25 mg/m</w:t>
            </w:r>
            <w:r>
              <w:rPr>
                <w:vertAlign w:val="superscript"/>
              </w:rPr>
              <w:t>3</w:t>
            </w:r>
            <w:r>
              <w:t xml:space="preserve"> in chronic inhalation study (rats, dogs, monkeys, duration and frequency not specified); neoplasia due to alpha radiation</w:t>
            </w:r>
          </w:p>
          <w:p w14:paraId="3F30175E" w14:textId="6015E595" w:rsidR="005B07BD" w:rsidRDefault="005B07BD" w:rsidP="003B5C51">
            <w:pPr>
              <w:pStyle w:val="Tabletextprimarysource"/>
              <w:numPr>
                <w:ilvl w:val="0"/>
                <w:numId w:val="1"/>
              </w:numPr>
            </w:pPr>
            <w:r>
              <w:t>Mild renal injury in some animals at 0.05 mg/m</w:t>
            </w:r>
            <w:r>
              <w:rPr>
                <w:vertAlign w:val="superscript"/>
              </w:rPr>
              <w:t>3</w:t>
            </w:r>
            <w:r>
              <w:t xml:space="preserve"> (dogs, 1 yr, exposure frequency not specified); steady state renal uranium concentration reported at 0.3–0.4 µg/L</w:t>
            </w:r>
            <w:r w:rsidR="00CF24FD">
              <w:t>.</w:t>
            </w:r>
          </w:p>
          <w:p w14:paraId="5EDEB666" w14:textId="77777777" w:rsidR="00EA4BF1" w:rsidRDefault="00EA4BF1" w:rsidP="003365A5">
            <w:pPr>
              <w:pStyle w:val="Tabletextprimarysource"/>
            </w:pPr>
          </w:p>
          <w:p w14:paraId="021F59B8" w14:textId="6E2D673E" w:rsidR="001E4415" w:rsidRDefault="001E4415" w:rsidP="003365A5">
            <w:pPr>
              <w:pStyle w:val="Tabletextprimarysource"/>
            </w:pPr>
            <w:r>
              <w:t>Insufficient data to recommend notations for skin absorption and sensitisation.</w:t>
            </w:r>
          </w:p>
          <w:p w14:paraId="4D9AD1D2" w14:textId="2A8D19B1" w:rsidR="00E75736" w:rsidRPr="00DA352E" w:rsidRDefault="00E75736" w:rsidP="003365A5">
            <w:pPr>
              <w:pStyle w:val="Tabletextprimarysource"/>
            </w:pPr>
          </w:p>
        </w:tc>
      </w:tr>
      <w:tr w:rsidR="00C978F0" w:rsidRPr="00DA352E" w14:paraId="746AE255" w14:textId="77777777" w:rsidTr="008856AB">
        <w:trPr>
          <w:gridAfter w:val="1"/>
          <w:wAfter w:w="8" w:type="pct"/>
          <w:cantSplit/>
        </w:trPr>
        <w:tc>
          <w:tcPr>
            <w:tcW w:w="4992" w:type="pct"/>
            <w:shd w:val="clear" w:color="auto" w:fill="F2F2F2" w:themeFill="background1" w:themeFillShade="F2"/>
          </w:tcPr>
          <w:p w14:paraId="38DC3F08" w14:textId="293BAC2A"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8D52FB">
                  <w:t>2014</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205631">
                  <w:t>not assigned</w:t>
                </w:r>
              </w:sdtContent>
            </w:sdt>
          </w:p>
        </w:tc>
      </w:tr>
      <w:tr w:rsidR="00C978F0" w:rsidRPr="00DA352E" w14:paraId="300FC27C" w14:textId="77777777" w:rsidTr="008856AB">
        <w:trPr>
          <w:gridAfter w:val="1"/>
          <w:wAfter w:w="8" w:type="pct"/>
        </w:trPr>
        <w:tc>
          <w:tcPr>
            <w:tcW w:w="4992" w:type="pct"/>
          </w:tcPr>
          <w:p w14:paraId="7066E8A6" w14:textId="571B46EE" w:rsidR="00C978F0" w:rsidRDefault="007F63C6" w:rsidP="003365A5">
            <w:pPr>
              <w:pStyle w:val="Tabletextprimarysource"/>
            </w:pPr>
            <w:r>
              <w:t>Summary of additional information</w:t>
            </w:r>
            <w:r w:rsidR="00EA4BF1">
              <w:t>:</w:t>
            </w:r>
          </w:p>
          <w:p w14:paraId="15BD0E3D" w14:textId="4C7CEA0F" w:rsidR="009A6C2C" w:rsidRDefault="00DF0590" w:rsidP="00DF0590">
            <w:pPr>
              <w:pStyle w:val="Tabletextprimarysource"/>
            </w:pPr>
            <w:r>
              <w:t xml:space="preserve">Kidneys are target organs for </w:t>
            </w:r>
            <w:r w:rsidR="00B4054D">
              <w:t>soluble compounds</w:t>
            </w:r>
            <w:r>
              <w:t xml:space="preserve">, lungs </w:t>
            </w:r>
            <w:r w:rsidR="007B50F8">
              <w:t>for insoluble compounds. Toxicity considered to act via multiple mechanisms</w:t>
            </w:r>
            <w:r w:rsidR="00F30000">
              <w:t>, including</w:t>
            </w:r>
            <w:r w:rsidR="007B50F8">
              <w:t xml:space="preserve"> disruption of calcium homeostasis, generation of ROS from redox reactions with glutathione</w:t>
            </w:r>
            <w:r w:rsidR="00284112">
              <w:t xml:space="preserve"> and</w:t>
            </w:r>
            <w:r w:rsidR="007B50F8">
              <w:t xml:space="preserve"> radioactivity.</w:t>
            </w:r>
            <w:r>
              <w:t xml:space="preserve"> </w:t>
            </w:r>
            <w:r w:rsidR="007F63C6">
              <w:t xml:space="preserve">MAK not established due to carcinogenicity of </w:t>
            </w:r>
            <w:r w:rsidR="00A3254A">
              <w:t xml:space="preserve">uranium compounds in </w:t>
            </w:r>
            <w:r w:rsidR="004D0518">
              <w:t>humans</w:t>
            </w:r>
            <w:r w:rsidR="00A3254A">
              <w:t xml:space="preserve"> and </w:t>
            </w:r>
            <w:r w:rsidR="004D0518">
              <w:t>animals</w:t>
            </w:r>
            <w:r w:rsidR="00A3254A">
              <w:t>; insoluble and soluble compounds assigned to category 2 and category 3B, respectively</w:t>
            </w:r>
            <w:r w:rsidR="007F63C6">
              <w:t xml:space="preserve">. </w:t>
            </w:r>
          </w:p>
          <w:p w14:paraId="5B173576" w14:textId="6F2C13DE" w:rsidR="00DF0590" w:rsidRDefault="00DF0590" w:rsidP="00DF0590">
            <w:pPr>
              <w:pStyle w:val="Tabletextprimarysource"/>
            </w:pPr>
            <w:r w:rsidRPr="00A3254A">
              <w:rPr>
                <w:i/>
              </w:rPr>
              <w:t>Carcinogenicity</w:t>
            </w:r>
          </w:p>
          <w:p w14:paraId="246ADAF1" w14:textId="0903245D" w:rsidR="00DF0590" w:rsidRDefault="00DF0590" w:rsidP="00DF0590">
            <w:pPr>
              <w:pStyle w:val="Tabletextprimarysource"/>
              <w:numPr>
                <w:ilvl w:val="0"/>
                <w:numId w:val="1"/>
              </w:numPr>
            </w:pPr>
            <w:r>
              <w:t xml:space="preserve">Epidemiological data confounded by co-exposures, but indicate association between insoluble uranium exposure and excess lung cancer in workers, supported by carcinogenicity in chronic inhalation studies </w:t>
            </w:r>
            <w:r w:rsidR="00F30000">
              <w:t xml:space="preserve">in </w:t>
            </w:r>
            <w:r>
              <w:t xml:space="preserve">dogs (category 2) </w:t>
            </w:r>
          </w:p>
          <w:p w14:paraId="325E18AF" w14:textId="0B6360B4" w:rsidR="00DF0590" w:rsidRDefault="00DF0590" w:rsidP="00DF0590">
            <w:pPr>
              <w:pStyle w:val="Tabletextprimarysource"/>
              <w:numPr>
                <w:ilvl w:val="0"/>
                <w:numId w:val="1"/>
              </w:numPr>
            </w:pPr>
            <w:r>
              <w:t>Soluble uranium compounds are suspected carcinogens (category 3B) based on limited animal carcinogenicity data and analogy to carcinogenicity of insoluble compounds</w:t>
            </w:r>
            <w:r w:rsidR="00241E99">
              <w:t>.</w:t>
            </w:r>
          </w:p>
          <w:p w14:paraId="165C428D" w14:textId="5896A8E0" w:rsidR="009A6C2C" w:rsidRDefault="009A6C2C" w:rsidP="003365A5">
            <w:pPr>
              <w:pStyle w:val="Tabletextprimarysource"/>
            </w:pPr>
            <w:r w:rsidRPr="009A6C2C">
              <w:rPr>
                <w:i/>
              </w:rPr>
              <w:t>Radioactivity</w:t>
            </w:r>
          </w:p>
          <w:p w14:paraId="5C781729" w14:textId="7EA47C78" w:rsidR="00C351C7" w:rsidRDefault="007F63C6" w:rsidP="003365A5">
            <w:pPr>
              <w:pStyle w:val="Tabletextprimarysource"/>
            </w:pPr>
            <w:r>
              <w:t>Based on protection for</w:t>
            </w:r>
            <w:r w:rsidR="00C351C7">
              <w:t xml:space="preserve"> excess</w:t>
            </w:r>
            <w:r>
              <w:t xml:space="preserve"> </w:t>
            </w:r>
            <w:r w:rsidR="00C351C7">
              <w:t>radiation</w:t>
            </w:r>
            <w:r>
              <w:t xml:space="preserve"> alone</w:t>
            </w:r>
            <w:r w:rsidR="001972E2">
              <w:t xml:space="preserve"> (i.e. </w:t>
            </w:r>
            <w:r w:rsidR="00B13671">
              <w:rPr>
                <w:rFonts w:cs="Arial"/>
              </w:rPr>
              <w:t>≤</w:t>
            </w:r>
            <w:r w:rsidR="001972E2">
              <w:t>0.02 Sv/yr or 0.4 Sv/</w:t>
            </w:r>
            <w:r w:rsidR="00D70E8C">
              <w:t xml:space="preserve">40-yr </w:t>
            </w:r>
            <w:r w:rsidR="001972E2">
              <w:t>working lifetime</w:t>
            </w:r>
            <w:r w:rsidR="007A3E6A">
              <w:t xml:space="preserve"> recommended by German Commission on Radiological Protection</w:t>
            </w:r>
            <w:r w:rsidR="001972E2">
              <w:t>)</w:t>
            </w:r>
            <w:r>
              <w:t>, threshold values of 0.25 mg/m</w:t>
            </w:r>
            <w:r>
              <w:rPr>
                <w:vertAlign w:val="superscript"/>
              </w:rPr>
              <w:t>3</w:t>
            </w:r>
            <w:r>
              <w:t xml:space="preserve"> and </w:t>
            </w:r>
            <w:r w:rsidR="001B5367">
              <w:t>0</w:t>
            </w:r>
            <w:r>
              <w:t>.025 mg/</w:t>
            </w:r>
            <w:r w:rsidRPr="007F63C6">
              <w:t>m</w:t>
            </w:r>
            <w:r w:rsidRPr="007F63C6">
              <w:rPr>
                <w:vertAlign w:val="superscript"/>
              </w:rPr>
              <w:t>3</w:t>
            </w:r>
            <w:r>
              <w:t xml:space="preserve"> </w:t>
            </w:r>
            <w:r w:rsidR="001B5367">
              <w:t xml:space="preserve">for soluble and insoluble compounds </w:t>
            </w:r>
            <w:r>
              <w:t>are recommended</w:t>
            </w:r>
            <w:r w:rsidR="001B5367">
              <w:t>, respectively</w:t>
            </w:r>
            <w:r w:rsidR="00673865">
              <w:t xml:space="preserve">. DFG </w:t>
            </w:r>
            <w:r>
              <w:t>emphasises value</w:t>
            </w:r>
            <w:r w:rsidR="001B5367">
              <w:t>s are</w:t>
            </w:r>
            <w:r>
              <w:t xml:space="preserve"> not protective of nephrotoxicity</w:t>
            </w:r>
            <w:r w:rsidR="00A3254A">
              <w:t xml:space="preserve"> and do not constitute a MAK</w:t>
            </w:r>
            <w:r>
              <w:t>.</w:t>
            </w:r>
            <w:r w:rsidR="00A3254A">
              <w:t xml:space="preserve"> </w:t>
            </w:r>
          </w:p>
          <w:p w14:paraId="495BDFFC" w14:textId="4C256563" w:rsidR="00C351C7" w:rsidRDefault="00A3254A" w:rsidP="003365A5">
            <w:pPr>
              <w:pStyle w:val="Tabletextprimarysource"/>
            </w:pPr>
            <w:r>
              <w:t xml:space="preserve">A skin notation is recommended based on evidence for systemic effects following dermal application of both soluble and insoluble compounds in rabbits. </w:t>
            </w:r>
          </w:p>
          <w:p w14:paraId="5173F7E6" w14:textId="52B71455" w:rsidR="007F63C6" w:rsidRDefault="005D784B" w:rsidP="003365A5">
            <w:pPr>
              <w:pStyle w:val="Tabletextprimarysource"/>
            </w:pPr>
            <w:r>
              <w:t>MAK d</w:t>
            </w:r>
            <w:r w:rsidR="00A3254A">
              <w:t xml:space="preserve">erivations of </w:t>
            </w:r>
            <w:r>
              <w:t>insoluble and soluble compounds</w:t>
            </w:r>
            <w:r w:rsidR="00A3254A">
              <w:t xml:space="preserve"> are </w:t>
            </w:r>
            <w:r w:rsidR="00EA4BF1">
              <w:t>reported but</w:t>
            </w:r>
            <w:r w:rsidR="00DF0590">
              <w:t xml:space="preserve"> are not recommended</w:t>
            </w:r>
            <w:r>
              <w:t xml:space="preserve"> by the agency</w:t>
            </w:r>
            <w:r w:rsidR="00EA4BF1">
              <w:t>.</w:t>
            </w:r>
          </w:p>
          <w:p w14:paraId="54D21827" w14:textId="5493D7CB" w:rsidR="00A3254A" w:rsidRPr="00A3254A" w:rsidRDefault="00A3254A" w:rsidP="003365A5">
            <w:pPr>
              <w:pStyle w:val="Tabletextprimarysource"/>
            </w:pPr>
            <w:r w:rsidRPr="00A3254A">
              <w:rPr>
                <w:i/>
              </w:rPr>
              <w:t>Insoluble uranium compounds</w:t>
            </w:r>
          </w:p>
          <w:p w14:paraId="037FD3B1" w14:textId="1A891787" w:rsidR="00467773" w:rsidRDefault="00673865" w:rsidP="003365A5">
            <w:pPr>
              <w:pStyle w:val="Tabletextprimarysource"/>
            </w:pPr>
            <w:r>
              <w:t>A MAK of 0.0005 mg/m</w:t>
            </w:r>
            <w:r>
              <w:rPr>
                <w:vertAlign w:val="superscript"/>
              </w:rPr>
              <w:t>3</w:t>
            </w:r>
            <w:r>
              <w:t xml:space="preserve"> for insoluble uranium compounds would increase radiation exposure in the lung by a factor of 2 above background based on </w:t>
            </w:r>
            <w:r w:rsidR="00A3254A">
              <w:t xml:space="preserve">the general threshold for insoluble dust and background </w:t>
            </w:r>
            <w:r w:rsidR="007A3E6A">
              <w:t xml:space="preserve">radiation </w:t>
            </w:r>
            <w:r w:rsidR="00A3254A">
              <w:t>exposure of 1.1 mSv/yr in German populations.</w:t>
            </w:r>
          </w:p>
          <w:p w14:paraId="6567F213" w14:textId="18586000" w:rsidR="00A3254A" w:rsidRPr="00A3254A" w:rsidRDefault="00A3254A" w:rsidP="003365A5">
            <w:pPr>
              <w:pStyle w:val="Tabletextprimarysource"/>
            </w:pPr>
            <w:r w:rsidRPr="00A3254A">
              <w:rPr>
                <w:i/>
              </w:rPr>
              <w:t>Soluble uranium compounds</w:t>
            </w:r>
          </w:p>
          <w:p w14:paraId="382B634E" w14:textId="77777777" w:rsidR="00A3254A" w:rsidRDefault="001B5367" w:rsidP="00DF0590">
            <w:pPr>
              <w:pStyle w:val="Tabletextprimarysource"/>
            </w:pPr>
            <w:r>
              <w:t>A benchmark calculation for a 5% increase in incidence of nephrotoxicity corresponds to 0.025 mg/m</w:t>
            </w:r>
            <w:r>
              <w:rPr>
                <w:vertAlign w:val="superscript"/>
              </w:rPr>
              <w:t>3</w:t>
            </w:r>
            <w:r>
              <w:t xml:space="preserve"> based on the dose-response relationship for renal damage in dogs chronically exposed to soluble uranium (uranium hexafluoride and uranium tetrachloride). A MAK of 0.01</w:t>
            </w:r>
            <w:r w:rsidR="00AF0929">
              <w:t> </w:t>
            </w:r>
            <w:r>
              <w:t>mg/m</w:t>
            </w:r>
            <w:r>
              <w:rPr>
                <w:vertAlign w:val="superscript"/>
              </w:rPr>
              <w:t>3</w:t>
            </w:r>
            <w:r>
              <w:t xml:space="preserve"> based on this benchmark dose would contribute an additional 0.2 mSv/yr in the lungs for a particle size of 5 µm.</w:t>
            </w:r>
          </w:p>
          <w:p w14:paraId="7F50578C" w14:textId="7B639006" w:rsidR="00347801" w:rsidRDefault="00347801" w:rsidP="00DF0590">
            <w:pPr>
              <w:pStyle w:val="Tabletextprimarysource"/>
            </w:pPr>
            <w:r>
              <w:t>Human data</w:t>
            </w:r>
            <w:r w:rsidR="00EA4BF1">
              <w:t>:</w:t>
            </w:r>
          </w:p>
          <w:p w14:paraId="23262A6E" w14:textId="52521924" w:rsidR="00D63697" w:rsidRDefault="00D63697" w:rsidP="00347801">
            <w:pPr>
              <w:pStyle w:val="Tabletextprimarysource"/>
              <w:numPr>
                <w:ilvl w:val="0"/>
                <w:numId w:val="1"/>
              </w:numPr>
            </w:pPr>
            <w:r>
              <w:t xml:space="preserve">Available epidemiological data inconclusive regarding an association between occupational exposure to poorly soluble compounds and kidney damage in milling operations and munitions production/handling (depleted uranium) </w:t>
            </w:r>
            <w:r w:rsidR="00673865">
              <w:t>(</w:t>
            </w:r>
            <w:r>
              <w:t>no details on exposure are provided</w:t>
            </w:r>
            <w:r w:rsidR="00673865">
              <w:t>)</w:t>
            </w:r>
            <w:r w:rsidR="00EA4BF1">
              <w:t>:</w:t>
            </w:r>
          </w:p>
          <w:p w14:paraId="66414E7E" w14:textId="0C4DF767" w:rsidR="00D63697" w:rsidRDefault="00D63697" w:rsidP="00241E99">
            <w:pPr>
              <w:pStyle w:val="Tabletextprimarysource"/>
              <w:numPr>
                <w:ilvl w:val="1"/>
                <w:numId w:val="1"/>
              </w:numPr>
              <w:ind w:left="1156"/>
            </w:pPr>
            <w:r>
              <w:lastRenderedPageBreak/>
              <w:t>a cited article assumes that renal uranium concentrations of 2–3 µg/g are not toxic, but this effect level is not confirmed in the available database</w:t>
            </w:r>
          </w:p>
          <w:p w14:paraId="02BD4FA0" w14:textId="05F3C64E" w:rsidR="00347801" w:rsidRDefault="00A22794" w:rsidP="00347801">
            <w:pPr>
              <w:pStyle w:val="Tabletextprimarysource"/>
              <w:numPr>
                <w:ilvl w:val="0"/>
                <w:numId w:val="1"/>
              </w:numPr>
            </w:pPr>
            <w:r>
              <w:t xml:space="preserve">Non-sensitising in patch test of </w:t>
            </w:r>
            <w:r w:rsidR="00D63697">
              <w:t>workers (n=175), 36 of whom had contact dermatitis</w:t>
            </w:r>
          </w:p>
          <w:p w14:paraId="0D49A942" w14:textId="0C034F24" w:rsidR="00826051" w:rsidRDefault="009A6C2C" w:rsidP="00347801">
            <w:pPr>
              <w:pStyle w:val="Tabletextprimarysource"/>
              <w:numPr>
                <w:ilvl w:val="0"/>
                <w:numId w:val="1"/>
              </w:numPr>
            </w:pPr>
            <w:r>
              <w:t>Results of several epidemiological studies of mining, processing</w:t>
            </w:r>
            <w:r w:rsidR="00284112">
              <w:t xml:space="preserve"> and</w:t>
            </w:r>
            <w:r>
              <w:t xml:space="preserve"> enrichment workers are summarised, these studies give inconclusive evidence for carcinogenicity in humans</w:t>
            </w:r>
            <w:r w:rsidR="00EA4BF1">
              <w:t>:</w:t>
            </w:r>
          </w:p>
          <w:p w14:paraId="79FCDB97" w14:textId="5A55F0D3" w:rsidR="009A6C2C" w:rsidRDefault="009A6C2C" w:rsidP="00241E99">
            <w:pPr>
              <w:pStyle w:val="Tabletextprimarysource"/>
              <w:numPr>
                <w:ilvl w:val="1"/>
                <w:numId w:val="1"/>
              </w:numPr>
              <w:ind w:left="1156"/>
            </w:pPr>
            <w:r>
              <w:t>significant increases in mortality from lung cancer in exposed workers</w:t>
            </w:r>
          </w:p>
          <w:p w14:paraId="2E04C604" w14:textId="570A5B0B" w:rsidR="009A6C2C" w:rsidRDefault="009A6C2C" w:rsidP="00241E99">
            <w:pPr>
              <w:pStyle w:val="Tabletextprimarysource"/>
              <w:numPr>
                <w:ilvl w:val="1"/>
                <w:numId w:val="1"/>
              </w:numPr>
              <w:ind w:left="1156"/>
            </w:pPr>
            <w:r>
              <w:t>studies are confounded by mixed exposures to other airborne contaminants and radiation sources</w:t>
            </w:r>
          </w:p>
          <w:p w14:paraId="635E2900" w14:textId="7905787C" w:rsidR="009A6C2C" w:rsidRDefault="009A6C2C" w:rsidP="00347801">
            <w:pPr>
              <w:pStyle w:val="Tabletextprimarysource"/>
              <w:numPr>
                <w:ilvl w:val="0"/>
                <w:numId w:val="1"/>
              </w:numPr>
            </w:pPr>
            <w:r>
              <w:t>Increased chromosomal aberrations in lymphocytes in</w:t>
            </w:r>
            <w:r w:rsidR="00AE7904">
              <w:t xml:space="preserve"> exposed mining,</w:t>
            </w:r>
            <w:r>
              <w:t xml:space="preserve"> processing</w:t>
            </w:r>
            <w:r w:rsidR="00284112">
              <w:t xml:space="preserve"> and</w:t>
            </w:r>
            <w:r w:rsidR="00AE7904">
              <w:t xml:space="preserve"> military</w:t>
            </w:r>
            <w:r>
              <w:t xml:space="preserve"> workers</w:t>
            </w:r>
            <w:r w:rsidR="00AE7904">
              <w:t>; no increased frequency in chromosomal aberrations in workers exposed to uranium that produced radiation at 0.25–0.5 mSv</w:t>
            </w:r>
            <w:r w:rsidR="00241E99">
              <w:t>.</w:t>
            </w:r>
          </w:p>
          <w:p w14:paraId="23D36074" w14:textId="07140964" w:rsidR="00DF0590" w:rsidRDefault="007F2722" w:rsidP="00DF0590">
            <w:pPr>
              <w:pStyle w:val="Tabletextprimarysource"/>
            </w:pPr>
            <w:r>
              <w:t>Animal data</w:t>
            </w:r>
            <w:r w:rsidR="00EA4BF1">
              <w:t>:</w:t>
            </w:r>
          </w:p>
          <w:p w14:paraId="5464EA4D" w14:textId="4EA42160" w:rsidR="00347801" w:rsidRDefault="00347801" w:rsidP="007F2722">
            <w:pPr>
              <w:pStyle w:val="Tabletextprimarysource"/>
              <w:numPr>
                <w:ilvl w:val="0"/>
                <w:numId w:val="1"/>
              </w:numPr>
            </w:pPr>
            <w:r>
              <w:t xml:space="preserve">Dermal flux </w:t>
            </w:r>
            <w:r>
              <w:rPr>
                <w:i/>
              </w:rPr>
              <w:t>in vitro</w:t>
            </w:r>
            <w:r>
              <w:t xml:space="preserve"> 22.36 ng/cm</w:t>
            </w:r>
            <w:r>
              <w:rPr>
                <w:vertAlign w:val="superscript"/>
              </w:rPr>
              <w:t>2</w:t>
            </w:r>
            <w:r>
              <w:t>/h (rats), 31.17 ng/cm</w:t>
            </w:r>
            <w:r>
              <w:rPr>
                <w:vertAlign w:val="superscript"/>
              </w:rPr>
              <w:t>2</w:t>
            </w:r>
            <w:r>
              <w:t>/h (pigs)</w:t>
            </w:r>
          </w:p>
          <w:p w14:paraId="74E34D88" w14:textId="7851EDDA" w:rsidR="00B4054D" w:rsidRDefault="00B4054D" w:rsidP="007F2722">
            <w:pPr>
              <w:pStyle w:val="Tabletextprimarysource"/>
              <w:numPr>
                <w:ilvl w:val="0"/>
                <w:numId w:val="1"/>
              </w:numPr>
            </w:pPr>
            <w:r>
              <w:t>LOAEC</w:t>
            </w:r>
            <w:r w:rsidR="00673865">
              <w:t xml:space="preserve"> of </w:t>
            </w:r>
            <w:r>
              <w:t>0.05 mg/m</w:t>
            </w:r>
            <w:r>
              <w:rPr>
                <w:vertAlign w:val="superscript"/>
              </w:rPr>
              <w:t>3</w:t>
            </w:r>
            <w:r>
              <w:t xml:space="preserve"> for mild kidney tubule damage in chronic inhalation study using soluble uranium hexafluoride (dogs, 6 h/d, 5/5 d/wk, 1 yr)</w:t>
            </w:r>
            <w:r w:rsidR="00673865">
              <w:t>. E</w:t>
            </w:r>
            <w:r w:rsidR="00347801">
              <w:t>ffects more severe at 0.2 mg/m</w:t>
            </w:r>
            <w:r w:rsidR="00347801">
              <w:rPr>
                <w:vertAlign w:val="superscript"/>
              </w:rPr>
              <w:t>3</w:t>
            </w:r>
            <w:r w:rsidR="00347801">
              <w:t xml:space="preserve"> </w:t>
            </w:r>
          </w:p>
          <w:p w14:paraId="4FCD880D" w14:textId="22BC3BAE" w:rsidR="00AD45B9" w:rsidRDefault="00673865" w:rsidP="007F2722">
            <w:pPr>
              <w:pStyle w:val="Tabletextprimarysource"/>
              <w:numPr>
                <w:ilvl w:val="0"/>
                <w:numId w:val="1"/>
              </w:numPr>
            </w:pPr>
            <w:r>
              <w:t xml:space="preserve">DFG </w:t>
            </w:r>
            <w:r w:rsidR="00AD45B9">
              <w:t xml:space="preserve">considers the available evidence for carcinogenicity in animals inconclusive due to </w:t>
            </w:r>
            <w:r w:rsidR="00484C18">
              <w:t xml:space="preserve">inadequate </w:t>
            </w:r>
            <w:r w:rsidR="00AD45B9">
              <w:t>experimental designs</w:t>
            </w:r>
            <w:r w:rsidR="00EA4BF1">
              <w:t>:</w:t>
            </w:r>
          </w:p>
          <w:p w14:paraId="2D9A9BFD" w14:textId="2A4A43A0" w:rsidR="007F2722" w:rsidRDefault="00AD45B9" w:rsidP="00241E99">
            <w:pPr>
              <w:pStyle w:val="Tabletextprimarysource"/>
              <w:numPr>
                <w:ilvl w:val="1"/>
                <w:numId w:val="1"/>
              </w:numPr>
              <w:ind w:left="1156"/>
            </w:pPr>
            <w:r>
              <w:t>i</w:t>
            </w:r>
            <w:r w:rsidR="007A3E6A">
              <w:t>ncreased</w:t>
            </w:r>
            <w:r w:rsidR="007F2722">
              <w:t xml:space="preserve"> incidence of lung </w:t>
            </w:r>
            <w:r w:rsidR="00C351C7">
              <w:t xml:space="preserve">and lymph node </w:t>
            </w:r>
            <w:r w:rsidR="007F2722">
              <w:t>tumours</w:t>
            </w:r>
            <w:r w:rsidR="00284112">
              <w:t xml:space="preserve"> and</w:t>
            </w:r>
            <w:r w:rsidR="007A3E6A">
              <w:t xml:space="preserve"> pulmonary fibrosis</w:t>
            </w:r>
            <w:r w:rsidR="007F2722">
              <w:t xml:space="preserve"> </w:t>
            </w:r>
            <w:r w:rsidR="00C351C7">
              <w:t>in</w:t>
            </w:r>
            <w:r>
              <w:t xml:space="preserve"> 2</w:t>
            </w:r>
            <w:r w:rsidR="00673865">
              <w:t> </w:t>
            </w:r>
            <w:r w:rsidR="007F2722">
              <w:t>chronic inhalation stud</w:t>
            </w:r>
            <w:r>
              <w:t>ies</w:t>
            </w:r>
            <w:r w:rsidR="00347801">
              <w:t xml:space="preserve"> using </w:t>
            </w:r>
            <w:r w:rsidR="00241E99">
              <w:t>UO</w:t>
            </w:r>
            <w:r w:rsidR="00241E99" w:rsidRPr="00241E99">
              <w:rPr>
                <w:vertAlign w:val="subscript"/>
              </w:rPr>
              <w:t>2</w:t>
            </w:r>
            <w:r w:rsidR="00241E99">
              <w:rPr>
                <w:vertAlign w:val="subscript"/>
              </w:rPr>
              <w:t xml:space="preserve"> </w:t>
            </w:r>
            <w:r w:rsidR="00C351C7">
              <w:t>(dogs</w:t>
            </w:r>
            <w:r>
              <w:t>, monkeys</w:t>
            </w:r>
            <w:r w:rsidR="00C351C7">
              <w:t xml:space="preserve">, 1–5 yr); all </w:t>
            </w:r>
            <w:r>
              <w:t>animals</w:t>
            </w:r>
            <w:r w:rsidR="00C351C7">
              <w:t xml:space="preserve"> were exposed at 5.8 mg/m</w:t>
            </w:r>
            <w:r w:rsidR="00C351C7">
              <w:rPr>
                <w:vertAlign w:val="superscript"/>
              </w:rPr>
              <w:t>3</w:t>
            </w:r>
            <w:r w:rsidR="007A3E6A">
              <w:t xml:space="preserve">, </w:t>
            </w:r>
            <w:r w:rsidR="00C351C7">
              <w:t>duration and frequency were adjusted to produce cumulative radiation doses between 7–132 Sv (lungs) and 26–3,200 Sv (lymph nodes)</w:t>
            </w:r>
          </w:p>
          <w:p w14:paraId="0262B1CB" w14:textId="00CEEB90" w:rsidR="001049DA" w:rsidRPr="001049DA" w:rsidRDefault="00AD45B9" w:rsidP="00241E99">
            <w:pPr>
              <w:pStyle w:val="Tabletextprimarysource"/>
              <w:numPr>
                <w:ilvl w:val="1"/>
                <w:numId w:val="1"/>
              </w:numPr>
              <w:ind w:left="1156"/>
            </w:pPr>
            <w:r>
              <w:t>no increased tumorigenicity at 0.15–0.25 mg/m</w:t>
            </w:r>
            <w:r>
              <w:rPr>
                <w:vertAlign w:val="superscript"/>
              </w:rPr>
              <w:t>3</w:t>
            </w:r>
            <w:r>
              <w:t xml:space="preserve"> (1</w:t>
            </w:r>
            <w:r w:rsidRPr="00AD45B9">
              <w:rPr>
                <w:vertAlign w:val="superscript"/>
              </w:rPr>
              <w:t>st</w:t>
            </w:r>
            <w:r>
              <w:t xml:space="preserve"> yr) </w:t>
            </w:r>
            <w:r w:rsidR="00484C18">
              <w:t>and 2</w:t>
            </w:r>
            <w:r>
              <w:t xml:space="preserve"> mg/m</w:t>
            </w:r>
            <w:r>
              <w:rPr>
                <w:vertAlign w:val="superscript"/>
              </w:rPr>
              <w:t>3</w:t>
            </w:r>
            <w:r>
              <w:t xml:space="preserve"> (2</w:t>
            </w:r>
            <w:r w:rsidRPr="00AD45B9">
              <w:rPr>
                <w:vertAlign w:val="superscript"/>
              </w:rPr>
              <w:t>nd</w:t>
            </w:r>
            <w:r>
              <w:t xml:space="preserve"> yr) using uranyl nitrate (rats, dogs, 2 yr); similar dose regimens using other soluble uranium compounds at 0.2–10 mg/m</w:t>
            </w:r>
            <w:r>
              <w:rPr>
                <w:vertAlign w:val="superscript"/>
              </w:rPr>
              <w:t>3</w:t>
            </w:r>
            <w:r>
              <w:t xml:space="preserve"> also did not elicit increased tumorigenicity</w:t>
            </w:r>
          </w:p>
          <w:p w14:paraId="12A2B082" w14:textId="713493B9" w:rsidR="00D70E8C" w:rsidRDefault="00EE66E1" w:rsidP="001049DA">
            <w:pPr>
              <w:pStyle w:val="Tabletextprimarysource"/>
              <w:numPr>
                <w:ilvl w:val="0"/>
                <w:numId w:val="1"/>
              </w:numPr>
            </w:pPr>
            <w:r>
              <w:t xml:space="preserve">Soluble compounds are genotoxic </w:t>
            </w:r>
            <w:r>
              <w:rPr>
                <w:i/>
              </w:rPr>
              <w:t>in vitro</w:t>
            </w:r>
            <w:r>
              <w:t xml:space="preserve"> in bacteria mammalian cells due to formation of DNA adducts, DNA strand breaks, micronucleus formation</w:t>
            </w:r>
            <w:r w:rsidR="00284112">
              <w:t xml:space="preserve"> and</w:t>
            </w:r>
            <w:r>
              <w:t xml:space="preserve"> gene mutations</w:t>
            </w:r>
            <w:r w:rsidR="00D70E8C">
              <w:t xml:space="preserve">; genotoxic </w:t>
            </w:r>
            <w:r w:rsidR="00D70E8C">
              <w:rPr>
                <w:i/>
              </w:rPr>
              <w:t>in vivo</w:t>
            </w:r>
            <w:r w:rsidR="00D70E8C">
              <w:t xml:space="preserve"> due to increased sperm abnormalities and micronucleus formation in bone marrow at 4 and 40 mg/kg (mice)</w:t>
            </w:r>
            <w:r w:rsidR="00EA4BF1">
              <w:t>:</w:t>
            </w:r>
            <w:r>
              <w:t xml:space="preserve"> </w:t>
            </w:r>
          </w:p>
          <w:p w14:paraId="0ADA7141" w14:textId="7A0450F5" w:rsidR="00EE66E1" w:rsidRDefault="00EE66E1" w:rsidP="00D70E8C">
            <w:pPr>
              <w:pStyle w:val="Tabletextprimarysource"/>
              <w:numPr>
                <w:ilvl w:val="1"/>
                <w:numId w:val="1"/>
              </w:numPr>
            </w:pPr>
            <w:r>
              <w:t>authors of cited articles conclude effects due to radiation are negligible</w:t>
            </w:r>
          </w:p>
          <w:p w14:paraId="3676A770" w14:textId="3CFE9DDF" w:rsidR="008D2F5C" w:rsidRDefault="00D70E8C" w:rsidP="008D2F5C">
            <w:pPr>
              <w:pStyle w:val="Tabletextprimarysource"/>
              <w:numPr>
                <w:ilvl w:val="0"/>
                <w:numId w:val="1"/>
              </w:numPr>
            </w:pPr>
            <w:r>
              <w:t>Insoluble compounds caused gene mutation</w:t>
            </w:r>
            <w:r w:rsidR="00284112">
              <w:t xml:space="preserve"> and</w:t>
            </w:r>
            <w:r>
              <w:t xml:space="preserve"> micronuclei </w:t>
            </w:r>
            <w:r>
              <w:rPr>
                <w:i/>
              </w:rPr>
              <w:t xml:space="preserve">in vitro </w:t>
            </w:r>
            <w:r>
              <w:t>in bacteria</w:t>
            </w:r>
            <w:r w:rsidR="00284112">
              <w:t xml:space="preserve"> and</w:t>
            </w:r>
            <w:r>
              <w:t xml:space="preserve"> DNA damage in kidneys </w:t>
            </w:r>
            <w:r>
              <w:rPr>
                <w:i/>
              </w:rPr>
              <w:t>in vivo</w:t>
            </w:r>
            <w:r>
              <w:t xml:space="preserve"> following acute inhalation of 190 mg/m</w:t>
            </w:r>
            <w:r>
              <w:rPr>
                <w:vertAlign w:val="superscript"/>
              </w:rPr>
              <w:t>3</w:t>
            </w:r>
            <w:r>
              <w:t xml:space="preserve"> or 375 mg/m</w:t>
            </w:r>
            <w:r>
              <w:rPr>
                <w:vertAlign w:val="superscript"/>
              </w:rPr>
              <w:t>3</w:t>
            </w:r>
            <w:r>
              <w:t xml:space="preserve"> insoluble </w:t>
            </w:r>
            <w:r w:rsidR="00241E99">
              <w:t>UO</w:t>
            </w:r>
            <w:r w:rsidR="00241E99" w:rsidRPr="00241E99">
              <w:rPr>
                <w:vertAlign w:val="subscript"/>
              </w:rPr>
              <w:t>2</w:t>
            </w:r>
            <w:r w:rsidR="00241E99">
              <w:rPr>
                <w:vertAlign w:val="subscript"/>
              </w:rPr>
              <w:t xml:space="preserve"> </w:t>
            </w:r>
            <w:r>
              <w:t>(rats, 30 min); these effects were likely due</w:t>
            </w:r>
            <w:r w:rsidR="008D2F5C">
              <w:t xml:space="preserve"> to formation of ROS during metabolism</w:t>
            </w:r>
            <w:r>
              <w:t xml:space="preserve"> rather than radioactivity, because depleted uranium was used in these studies</w:t>
            </w:r>
            <w:r w:rsidR="00241E99">
              <w:t>.</w:t>
            </w:r>
          </w:p>
          <w:p w14:paraId="4379BB35" w14:textId="6C6D417F" w:rsidR="00E75736" w:rsidRPr="00A3254A" w:rsidRDefault="00E75736" w:rsidP="00E75736">
            <w:pPr>
              <w:pStyle w:val="Tabletextprimarysource"/>
              <w:ind w:left="720"/>
            </w:pPr>
          </w:p>
        </w:tc>
      </w:tr>
      <w:tr w:rsidR="00C978F0" w:rsidRPr="00DA352E" w14:paraId="3D47B579" w14:textId="77777777" w:rsidTr="008856AB">
        <w:trPr>
          <w:gridAfter w:val="1"/>
          <w:wAfter w:w="8" w:type="pct"/>
          <w:cantSplit/>
        </w:trPr>
        <w:tc>
          <w:tcPr>
            <w:tcW w:w="4992" w:type="pct"/>
            <w:shd w:val="clear" w:color="auto" w:fill="F2F2F2" w:themeFill="background1" w:themeFillShade="F2"/>
          </w:tcPr>
          <w:p w14:paraId="67A4EDE7" w14:textId="49CAFEF3"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8B3634">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8B3634">
                  <w:t>NA</w:t>
                </w:r>
              </w:sdtContent>
            </w:sdt>
          </w:p>
        </w:tc>
      </w:tr>
      <w:tr w:rsidR="00C978F0" w:rsidRPr="00DA352E" w14:paraId="26691D9F" w14:textId="77777777" w:rsidTr="008856AB">
        <w:trPr>
          <w:gridAfter w:val="1"/>
          <w:wAfter w:w="8" w:type="pct"/>
          <w:cantSplit/>
        </w:trPr>
        <w:tc>
          <w:tcPr>
            <w:tcW w:w="4992" w:type="pct"/>
          </w:tcPr>
          <w:p w14:paraId="0309B4C8" w14:textId="13906CDB" w:rsidR="00C978F0" w:rsidRPr="00DA352E" w:rsidRDefault="008B3634" w:rsidP="003365A5">
            <w:pPr>
              <w:pStyle w:val="Tabletextprimarysource"/>
            </w:pPr>
            <w:r>
              <w:t>No report</w:t>
            </w:r>
            <w:r w:rsidR="00241E99">
              <w:t>.</w:t>
            </w:r>
          </w:p>
        </w:tc>
      </w:tr>
      <w:tr w:rsidR="00DA352E" w:rsidRPr="00DA352E" w14:paraId="4C1BDCE4" w14:textId="77777777" w:rsidTr="008856AB">
        <w:trPr>
          <w:gridAfter w:val="1"/>
          <w:wAfter w:w="8" w:type="pct"/>
          <w:cantSplit/>
        </w:trPr>
        <w:tc>
          <w:tcPr>
            <w:tcW w:w="4992" w:type="pct"/>
            <w:shd w:val="clear" w:color="auto" w:fill="F2F2F2" w:themeFill="background1" w:themeFillShade="F2"/>
          </w:tcPr>
          <w:p w14:paraId="29A222C0" w14:textId="1EFD35F0"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8B3634">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8B3634">
                  <w:t>NA</w:t>
                </w:r>
              </w:sdtContent>
            </w:sdt>
          </w:p>
        </w:tc>
      </w:tr>
      <w:tr w:rsidR="00DA352E" w:rsidRPr="00DA352E" w14:paraId="6E60934E" w14:textId="77777777" w:rsidTr="008856AB">
        <w:trPr>
          <w:gridAfter w:val="1"/>
          <w:wAfter w:w="8" w:type="pct"/>
          <w:cantSplit/>
        </w:trPr>
        <w:tc>
          <w:tcPr>
            <w:tcW w:w="4992" w:type="pct"/>
          </w:tcPr>
          <w:p w14:paraId="63F5F90F" w14:textId="26ACBF76" w:rsidR="00DA352E" w:rsidRPr="00DA352E" w:rsidRDefault="008B3634" w:rsidP="003365A5">
            <w:pPr>
              <w:pStyle w:val="Tabletextprimarysource"/>
            </w:pPr>
            <w:r>
              <w:t>No report</w:t>
            </w:r>
            <w:r w:rsidR="00241E99">
              <w:t>.</w:t>
            </w:r>
          </w:p>
        </w:tc>
      </w:tr>
      <w:tr w:rsidR="00DA352E" w:rsidRPr="00DA352E" w14:paraId="40549DBA" w14:textId="77777777" w:rsidTr="008856AB">
        <w:trPr>
          <w:gridAfter w:val="1"/>
          <w:wAfter w:w="8" w:type="pct"/>
          <w:cantSplit/>
        </w:trPr>
        <w:tc>
          <w:tcPr>
            <w:tcW w:w="4992" w:type="pct"/>
            <w:shd w:val="clear" w:color="auto" w:fill="F2F2F2" w:themeFill="background1" w:themeFillShade="F2"/>
          </w:tcPr>
          <w:p w14:paraId="0A0015E5" w14:textId="09A5C56E"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45140F">
                  <w:t>2002</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0D78F8">
                  <w:t>TWA: 0.2 mg/m</w:t>
                </w:r>
                <w:r w:rsidR="000D78F8" w:rsidRPr="008A22C2">
                  <w:rPr>
                    <w:vertAlign w:val="superscript"/>
                  </w:rPr>
                  <w:t>3</w:t>
                </w:r>
              </w:sdtContent>
            </w:sdt>
          </w:p>
        </w:tc>
      </w:tr>
      <w:tr w:rsidR="00DA352E" w:rsidRPr="00DA352E" w14:paraId="1F0706BA" w14:textId="77777777" w:rsidTr="008856AB">
        <w:trPr>
          <w:gridAfter w:val="1"/>
          <w:wAfter w:w="8" w:type="pct"/>
        </w:trPr>
        <w:tc>
          <w:tcPr>
            <w:tcW w:w="4992" w:type="pct"/>
          </w:tcPr>
          <w:p w14:paraId="19E9B686" w14:textId="61634DF6" w:rsidR="001C50C1" w:rsidRDefault="001C50C1" w:rsidP="001C50C1">
            <w:pPr>
              <w:pStyle w:val="Tabletextprimarysource"/>
            </w:pPr>
            <w:r>
              <w:t>Summary of additional information</w:t>
            </w:r>
            <w:r w:rsidR="00EA4BF1">
              <w:t>:</w:t>
            </w:r>
          </w:p>
          <w:p w14:paraId="788FE8F3" w14:textId="39B2CF4D" w:rsidR="001C50C1" w:rsidRDefault="001C50C1" w:rsidP="001C50C1">
            <w:pPr>
              <w:pStyle w:val="Tabletextprimarysource"/>
            </w:pPr>
            <w:r>
              <w:t>Available report is an overview of the health risks of exposure to depleted uranium and contains some information on occupational exposure to naturally occurring uranium. Existing administrative OEL of 0.2 mg/m</w:t>
            </w:r>
            <w:r>
              <w:rPr>
                <w:vertAlign w:val="superscript"/>
              </w:rPr>
              <w:t>3</w:t>
            </w:r>
            <w:r>
              <w:t xml:space="preserve"> </w:t>
            </w:r>
            <w:r w:rsidR="00241E99">
              <w:t>(</w:t>
            </w:r>
            <w:r>
              <w:t xml:space="preserve">TWA) for natural uranium adopted from ACGIH </w:t>
            </w:r>
            <w:r w:rsidR="002E6D33">
              <w:t xml:space="preserve">(1976) </w:t>
            </w:r>
            <w:r>
              <w:t xml:space="preserve">TLV recommendation, but </w:t>
            </w:r>
            <w:r w:rsidR="00A80C9C">
              <w:t xml:space="preserve">provisionally </w:t>
            </w:r>
            <w:r>
              <w:t>considered too high. A health-based recommended OEL (HBROEL) is not derived.</w:t>
            </w:r>
          </w:p>
          <w:p w14:paraId="59B4ADA8" w14:textId="20B918C9" w:rsidR="00040E13" w:rsidRDefault="00040E13" w:rsidP="001C1FCB">
            <w:pPr>
              <w:pStyle w:val="Tabletextprimarysource"/>
              <w:numPr>
                <w:ilvl w:val="0"/>
                <w:numId w:val="1"/>
              </w:numPr>
            </w:pPr>
            <w:r>
              <w:lastRenderedPageBreak/>
              <w:t>Origin of ACGIH (1976) TLV-TWA unclear</w:t>
            </w:r>
            <w:r w:rsidR="003B7640">
              <w:t>. HCOTN</w:t>
            </w:r>
            <w:r>
              <w:t xml:space="preserve"> assumes it is based on tissue concentrations not associated with increased radiological risk or adverse kidney effects as observed in animals</w:t>
            </w:r>
            <w:r w:rsidR="00EA4BF1">
              <w:t>:</w:t>
            </w:r>
          </w:p>
          <w:p w14:paraId="7B85C991" w14:textId="7397C911" w:rsidR="00A80C9C" w:rsidRDefault="00A80C9C" w:rsidP="00241E99">
            <w:pPr>
              <w:pStyle w:val="Tabletextprimarysource"/>
              <w:numPr>
                <w:ilvl w:val="1"/>
                <w:numId w:val="1"/>
              </w:numPr>
              <w:ind w:left="1156"/>
            </w:pPr>
            <w:r>
              <w:t xml:space="preserve">kidney concentration </w:t>
            </w:r>
            <w:r w:rsidR="00040E13">
              <w:t>of 3 µg/g</w:t>
            </w:r>
            <w:r>
              <w:t xml:space="preserve"> cited as level of accumulation without serious adverse effects in animals</w:t>
            </w:r>
          </w:p>
          <w:p w14:paraId="42FD92BC" w14:textId="7B068EE3" w:rsidR="00040E13" w:rsidRDefault="00A80C9C" w:rsidP="00241E99">
            <w:pPr>
              <w:pStyle w:val="Tabletextprimarysource"/>
              <w:numPr>
                <w:ilvl w:val="1"/>
                <w:numId w:val="1"/>
              </w:numPr>
              <w:ind w:left="1156"/>
            </w:pPr>
            <w:r w:rsidRPr="00A80C9C">
              <w:t xml:space="preserve">in humans, </w:t>
            </w:r>
            <w:r>
              <w:t xml:space="preserve">kidney </w:t>
            </w:r>
            <w:r w:rsidRPr="00A80C9C">
              <w:t>concentrations of 2</w:t>
            </w:r>
            <w:r>
              <w:t>–</w:t>
            </w:r>
            <w:r w:rsidRPr="00A80C9C">
              <w:t>6 µg/g had no serious impact on health</w:t>
            </w:r>
          </w:p>
          <w:p w14:paraId="5BBE124B" w14:textId="2B0F0D74" w:rsidR="00A80C9C" w:rsidRDefault="00A80C9C" w:rsidP="00241E99">
            <w:pPr>
              <w:pStyle w:val="Tabletextprimarysource"/>
              <w:numPr>
                <w:ilvl w:val="1"/>
                <w:numId w:val="1"/>
              </w:numPr>
              <w:ind w:left="1156"/>
            </w:pPr>
            <w:r>
              <w:t>generally accepted safe level of 3 µg/g is thus recommended by consensus rather than health-based evidence</w:t>
            </w:r>
          </w:p>
          <w:p w14:paraId="7CDE4816" w14:textId="06788F9C" w:rsidR="00A80C9C" w:rsidRDefault="003B7640" w:rsidP="000D78F8">
            <w:pPr>
              <w:pStyle w:val="Tabletextprimarysource"/>
              <w:numPr>
                <w:ilvl w:val="0"/>
                <w:numId w:val="1"/>
              </w:numPr>
            </w:pPr>
            <w:r>
              <w:t xml:space="preserve">It may be inferred from evidence </w:t>
            </w:r>
            <w:r w:rsidR="00A80C9C">
              <w:t xml:space="preserve">for kidney damage at kidney concentrations </w:t>
            </w:r>
            <w:r w:rsidR="008010B2">
              <w:t>of</w:t>
            </w:r>
            <w:r w:rsidR="00A80C9C">
              <w:t xml:space="preserve"> 0.1–0.4</w:t>
            </w:r>
            <w:r>
              <w:t xml:space="preserve"> </w:t>
            </w:r>
            <w:r w:rsidR="00A80C9C">
              <w:t xml:space="preserve">µg/g </w:t>
            </w:r>
            <w:r w:rsidR="008010B2">
              <w:t xml:space="preserve">in animals (no further details) </w:t>
            </w:r>
            <w:r>
              <w:t xml:space="preserve">that a </w:t>
            </w:r>
            <w:r w:rsidR="008010B2">
              <w:t>conventional threshold of 3 µg/g should be provisionally reduced by an order of magnitude pending further assessment</w:t>
            </w:r>
          </w:p>
          <w:p w14:paraId="7A1AE394" w14:textId="79EBED50" w:rsidR="008010B2" w:rsidRPr="008502A0" w:rsidRDefault="003B7640" w:rsidP="000D78F8">
            <w:pPr>
              <w:pStyle w:val="Tabletextprimarysource"/>
              <w:numPr>
                <w:ilvl w:val="0"/>
                <w:numId w:val="1"/>
              </w:numPr>
            </w:pPr>
            <w:r>
              <w:t xml:space="preserve">The following occupational </w:t>
            </w:r>
            <w:r w:rsidR="008502A0">
              <w:t xml:space="preserve">radiation </w:t>
            </w:r>
            <w:r w:rsidR="00777364">
              <w:t xml:space="preserve">exposure </w:t>
            </w:r>
            <w:r w:rsidR="008502A0">
              <w:t>dependent on solubility and activity median aerodynamic diameter (AMAD) of the particles</w:t>
            </w:r>
            <w:r>
              <w:t xml:space="preserve"> reported for </w:t>
            </w:r>
            <w:r w:rsidR="00777364">
              <w:t xml:space="preserve">1 yr at the TLV </w:t>
            </w:r>
            <w:r w:rsidR="00777364">
              <w:rPr>
                <w:rFonts w:cs="Arial"/>
              </w:rPr>
              <w:t>≡</w:t>
            </w:r>
            <w:r w:rsidR="00976163">
              <w:rPr>
                <w:rFonts w:cs="Arial"/>
              </w:rPr>
              <w:t xml:space="preserve">53 </w:t>
            </w:r>
            <w:r w:rsidR="008502A0">
              <w:rPr>
                <w:rFonts w:cs="Arial"/>
              </w:rPr>
              <w:t>(insoluble) or 3.6 mSv (soluble) with 1 µm AMAD or 41 (insoluble) or 4.3 mSv (soluble) with 5 µm AMAD</w:t>
            </w:r>
            <w:r w:rsidR="00091876">
              <w:rPr>
                <w:rFonts w:cs="Arial"/>
              </w:rPr>
              <w:t>:</w:t>
            </w:r>
            <w:r w:rsidR="008502A0">
              <w:rPr>
                <w:rFonts w:cs="Arial"/>
              </w:rPr>
              <w:t xml:space="preserve"> </w:t>
            </w:r>
          </w:p>
          <w:p w14:paraId="4CE10671" w14:textId="70E7648D" w:rsidR="008502A0" w:rsidRPr="008502A0" w:rsidRDefault="008502A0" w:rsidP="00241E99">
            <w:pPr>
              <w:pStyle w:val="Tabletextprimarysource"/>
              <w:numPr>
                <w:ilvl w:val="1"/>
                <w:numId w:val="1"/>
              </w:numPr>
              <w:ind w:left="1156"/>
            </w:pPr>
            <w:r>
              <w:rPr>
                <w:rFonts w:cs="Arial"/>
              </w:rPr>
              <w:t>radiological effects are critical effects for insoluble compounds</w:t>
            </w:r>
            <w:r w:rsidR="002C3F07">
              <w:rPr>
                <w:rFonts w:cs="Arial"/>
              </w:rPr>
              <w:t>;</w:t>
            </w:r>
            <w:r>
              <w:rPr>
                <w:rFonts w:cs="Arial"/>
              </w:rPr>
              <w:t xml:space="preserve"> exposure limited by radiological protection requirement of 20 mSv/yr</w:t>
            </w:r>
          </w:p>
          <w:p w14:paraId="6F8C92F3" w14:textId="6AFC052E" w:rsidR="008502A0" w:rsidRPr="008502A0" w:rsidRDefault="008502A0" w:rsidP="00241E99">
            <w:pPr>
              <w:pStyle w:val="Tabletextprimarysource"/>
              <w:numPr>
                <w:ilvl w:val="1"/>
                <w:numId w:val="1"/>
              </w:numPr>
              <w:ind w:left="1156"/>
            </w:pPr>
            <w:r>
              <w:rPr>
                <w:rFonts w:cs="Arial"/>
              </w:rPr>
              <w:t>air concentration of insoluble particles corresponds to an effective radiation dose of 20</w:t>
            </w:r>
            <w:r w:rsidR="00241E99">
              <w:rPr>
                <w:rFonts w:cs="Arial"/>
              </w:rPr>
              <w:t> </w:t>
            </w:r>
            <w:r>
              <w:rPr>
                <w:rFonts w:cs="Arial"/>
              </w:rPr>
              <w:t>mSv/yr ≡75 µg/m</w:t>
            </w:r>
            <w:r>
              <w:rPr>
                <w:rFonts w:cs="Arial"/>
                <w:vertAlign w:val="superscript"/>
              </w:rPr>
              <w:t>3</w:t>
            </w:r>
            <w:r>
              <w:rPr>
                <w:rFonts w:cs="Arial"/>
              </w:rPr>
              <w:t xml:space="preserve"> (1 µm AMAD) or 96 µg/m</w:t>
            </w:r>
            <w:r>
              <w:rPr>
                <w:rFonts w:cs="Arial"/>
                <w:vertAlign w:val="superscript"/>
              </w:rPr>
              <w:t>3</w:t>
            </w:r>
            <w:r>
              <w:rPr>
                <w:rFonts w:cs="Arial"/>
              </w:rPr>
              <w:t xml:space="preserve"> (5 µm AMAD)</w:t>
            </w:r>
          </w:p>
          <w:p w14:paraId="1E1E6E9E" w14:textId="30866C4E" w:rsidR="008502A0" w:rsidRDefault="008502A0" w:rsidP="00241E99">
            <w:pPr>
              <w:pStyle w:val="Tabletextprimarysource"/>
              <w:numPr>
                <w:ilvl w:val="1"/>
                <w:numId w:val="1"/>
              </w:numPr>
              <w:ind w:left="1156"/>
            </w:pPr>
            <w:r>
              <w:rPr>
                <w:rFonts w:cs="Arial"/>
              </w:rPr>
              <w:t>for soluble compounds, the TLV of 200 µg/m</w:t>
            </w:r>
            <w:r>
              <w:rPr>
                <w:rFonts w:cs="Arial"/>
                <w:vertAlign w:val="superscript"/>
              </w:rPr>
              <w:t>3</w:t>
            </w:r>
            <w:r>
              <w:rPr>
                <w:rFonts w:cs="Arial"/>
              </w:rPr>
              <w:t xml:space="preserve"> is applicable to protect for potential kidney damage, since radiological effects are not expected</w:t>
            </w:r>
          </w:p>
          <w:p w14:paraId="0CB85061" w14:textId="66DCA675" w:rsidR="00210F07" w:rsidRDefault="00210F07" w:rsidP="005E43A2">
            <w:pPr>
              <w:pStyle w:val="Tabletextprimarysource"/>
              <w:numPr>
                <w:ilvl w:val="0"/>
                <w:numId w:val="1"/>
              </w:numPr>
            </w:pPr>
            <w:r>
              <w:t>E</w:t>
            </w:r>
            <w:r w:rsidRPr="00210F07">
              <w:t xml:space="preserve">pidemiological evidence </w:t>
            </w:r>
            <w:r w:rsidR="00AA250E">
              <w:t xml:space="preserve">from 2 studies </w:t>
            </w:r>
            <w:r w:rsidR="00073A77">
              <w:t xml:space="preserve">may be inferred to </w:t>
            </w:r>
            <w:r>
              <w:t>suggest</w:t>
            </w:r>
            <w:r w:rsidRPr="00210F07">
              <w:t xml:space="preserve"> </w:t>
            </w:r>
            <w:r>
              <w:t xml:space="preserve">inhalational exposure </w:t>
            </w:r>
            <w:r w:rsidRPr="00210F07">
              <w:t xml:space="preserve">not associated with increased risk of lung cancer </w:t>
            </w:r>
            <w:r>
              <w:t>at an absorbed radiation dose &lt;200 mGy</w:t>
            </w:r>
            <w:r w:rsidR="00073A77">
              <w:t>.</w:t>
            </w:r>
            <w:r>
              <w:t xml:space="preserve"> </w:t>
            </w:r>
            <w:r w:rsidR="00073A77">
              <w:t xml:space="preserve">Evidence </w:t>
            </w:r>
            <w:r>
              <w:t>for lung cancer above this level is inconclusive</w:t>
            </w:r>
          </w:p>
          <w:p w14:paraId="778D8291" w14:textId="3154B5E1" w:rsidR="005E43A2" w:rsidRDefault="00DE667E" w:rsidP="005E43A2">
            <w:pPr>
              <w:pStyle w:val="Tabletextprimarysource"/>
              <w:numPr>
                <w:ilvl w:val="0"/>
                <w:numId w:val="1"/>
              </w:numPr>
            </w:pPr>
            <w:r>
              <w:t>Radioactivity of natural and depleted uranium is low</w:t>
            </w:r>
            <w:r w:rsidR="00073A77">
              <w:t>’</w:t>
            </w:r>
            <w:r w:rsidR="00091876">
              <w:t>.</w:t>
            </w:r>
            <w:r w:rsidR="00073A77">
              <w:t xml:space="preserve"> Carcinogenicity </w:t>
            </w:r>
            <w:r>
              <w:t>due to radiological effects therefore</w:t>
            </w:r>
            <w:r w:rsidR="005E43A2">
              <w:t xml:space="preserve"> anticipated to be undetectable in the available human and animal dataset, but potential carcinogenicity is not ruled out by analogy to carcinogenicity from</w:t>
            </w:r>
            <w:r>
              <w:t xml:space="preserve"> other</w:t>
            </w:r>
            <w:r w:rsidR="005E43A2">
              <w:t xml:space="preserve"> sources of radiation</w:t>
            </w:r>
            <w:r w:rsidR="00091876">
              <w:t>:</w:t>
            </w:r>
          </w:p>
          <w:p w14:paraId="0AD6DC61" w14:textId="64B2789B" w:rsidR="005E43A2" w:rsidRDefault="005E43A2" w:rsidP="00241E99">
            <w:pPr>
              <w:pStyle w:val="Tabletextprimarysource"/>
              <w:numPr>
                <w:ilvl w:val="1"/>
                <w:numId w:val="1"/>
              </w:numPr>
              <w:ind w:left="1156"/>
            </w:pPr>
            <w:r>
              <w:t>exposure to a radiation dose of 1 mSv corresponds to an increased cancer risk of 5 in 100,000, which is currently the individual dose limit for the general public</w:t>
            </w:r>
          </w:p>
          <w:p w14:paraId="356090A0" w14:textId="6FD137B2" w:rsidR="002F351F" w:rsidRDefault="005E43A2" w:rsidP="00241E99">
            <w:pPr>
              <w:pStyle w:val="Tabletextprimarysource"/>
              <w:numPr>
                <w:ilvl w:val="1"/>
                <w:numId w:val="1"/>
              </w:numPr>
              <w:ind w:left="1156"/>
            </w:pPr>
            <w:r>
              <w:t>occupational equivalent is 20 mSv/yr</w:t>
            </w:r>
          </w:p>
          <w:p w14:paraId="3CC7D887" w14:textId="570BFD4C" w:rsidR="00DE667E" w:rsidRDefault="00DE667E" w:rsidP="00A80C9C">
            <w:pPr>
              <w:pStyle w:val="Tabletextprimarysource"/>
              <w:numPr>
                <w:ilvl w:val="0"/>
                <w:numId w:val="1"/>
              </w:numPr>
            </w:pPr>
            <w:r>
              <w:t>Acute</w:t>
            </w:r>
            <w:r w:rsidR="00535D03" w:rsidRPr="002F351F">
              <w:t xml:space="preserve"> exposure </w:t>
            </w:r>
            <w:r>
              <w:t>to &gt;1 mg</w:t>
            </w:r>
            <w:r w:rsidR="00535D03" w:rsidRPr="002F351F">
              <w:t xml:space="preserve"> uranium induce</w:t>
            </w:r>
            <w:r>
              <w:t>d</w:t>
            </w:r>
            <w:r w:rsidR="00535D03" w:rsidRPr="002F351F">
              <w:t xml:space="preserve"> </w:t>
            </w:r>
            <w:r>
              <w:t>acute, but</w:t>
            </w:r>
            <w:r w:rsidR="00535D03" w:rsidRPr="002F351F">
              <w:t xml:space="preserve"> generally r</w:t>
            </w:r>
            <w:r>
              <w:t>eversible, kidney dysfunction (no further details provided)</w:t>
            </w:r>
          </w:p>
          <w:p w14:paraId="07A5872A" w14:textId="33103C73" w:rsidR="00DE667E" w:rsidRDefault="00535D03" w:rsidP="00A80C9C">
            <w:pPr>
              <w:pStyle w:val="Tabletextprimarysource"/>
              <w:numPr>
                <w:ilvl w:val="0"/>
                <w:numId w:val="1"/>
              </w:numPr>
            </w:pPr>
            <w:r w:rsidRPr="002F351F">
              <w:t xml:space="preserve">No dose-related change kidney disease </w:t>
            </w:r>
            <w:r w:rsidR="00DE667E">
              <w:t>incidence in populations with</w:t>
            </w:r>
            <w:r w:rsidRPr="002F351F">
              <w:t xml:space="preserve"> chroni</w:t>
            </w:r>
            <w:r w:rsidR="00DE667E">
              <w:t>c exposure to natural uranium, e.g. mining and military workers</w:t>
            </w:r>
            <w:r w:rsidR="00091876">
              <w:t>:</w:t>
            </w:r>
          </w:p>
          <w:p w14:paraId="488C1785" w14:textId="77777777" w:rsidR="00535D03" w:rsidRDefault="00DE667E" w:rsidP="00626A64">
            <w:pPr>
              <w:pStyle w:val="Tabletextprimarysource"/>
              <w:numPr>
                <w:ilvl w:val="1"/>
                <w:numId w:val="1"/>
              </w:numPr>
              <w:ind w:left="1156"/>
            </w:pPr>
            <w:r>
              <w:t>lack of reports of kidney damage in available human database suggests current occupational exposure concentrations are not toxic</w:t>
            </w:r>
            <w:r w:rsidR="00626A64">
              <w:t>.</w:t>
            </w:r>
          </w:p>
          <w:p w14:paraId="0933B081" w14:textId="43AC6ADA" w:rsidR="00091876" w:rsidRPr="00DA352E" w:rsidRDefault="00091876" w:rsidP="00091876">
            <w:pPr>
              <w:pStyle w:val="Tabletextprimarysource"/>
              <w:ind w:left="1156"/>
            </w:pPr>
          </w:p>
        </w:tc>
      </w:tr>
    </w:tbl>
    <w:p w14:paraId="6B99DA72"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8"/>
        <w:gridCol w:w="422"/>
        <w:gridCol w:w="661"/>
        <w:gridCol w:w="6455"/>
      </w:tblGrid>
      <w:tr w:rsidR="004966BF" w:rsidRPr="00263255" w14:paraId="0957669B" w14:textId="77777777" w:rsidTr="008856AB">
        <w:trPr>
          <w:cnfStyle w:val="100000000000" w:firstRow="1" w:lastRow="0" w:firstColumn="0" w:lastColumn="0" w:oddVBand="0" w:evenVBand="0" w:oddHBand="0" w:evenHBand="0" w:firstRowFirstColumn="0" w:firstRowLastColumn="0" w:lastRowFirstColumn="0" w:lastRowLastColumn="0"/>
          <w:cantSplit/>
          <w:trHeight w:val="393"/>
          <w:tblHeader/>
        </w:trPr>
        <w:tc>
          <w:tcPr>
            <w:tcW w:w="1488" w:type="dxa"/>
            <w:shd w:val="clear" w:color="auto" w:fill="BFBFBF" w:themeFill="background1" w:themeFillShade="BF"/>
            <w:vAlign w:val="center"/>
          </w:tcPr>
          <w:p w14:paraId="085E2F32"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2045344F" w14:textId="77777777" w:rsidR="004966BF" w:rsidRPr="00263255" w:rsidRDefault="004966BF" w:rsidP="00263255">
            <w:pPr>
              <w:pStyle w:val="Tableheader"/>
            </w:pPr>
          </w:p>
        </w:tc>
        <w:tc>
          <w:tcPr>
            <w:tcW w:w="661" w:type="dxa"/>
            <w:shd w:val="clear" w:color="auto" w:fill="BFBFBF" w:themeFill="background1" w:themeFillShade="BF"/>
            <w:vAlign w:val="center"/>
          </w:tcPr>
          <w:p w14:paraId="19F47572" w14:textId="77777777" w:rsidR="004966BF" w:rsidRPr="00263255" w:rsidRDefault="004966BF" w:rsidP="00263255">
            <w:pPr>
              <w:pStyle w:val="Tableheader"/>
            </w:pPr>
            <w:r>
              <w:t>Year</w:t>
            </w:r>
          </w:p>
        </w:tc>
        <w:tc>
          <w:tcPr>
            <w:tcW w:w="6455" w:type="dxa"/>
            <w:shd w:val="clear" w:color="auto" w:fill="BFBFBF" w:themeFill="background1" w:themeFillShade="BF"/>
            <w:vAlign w:val="center"/>
          </w:tcPr>
          <w:p w14:paraId="524A5979" w14:textId="77777777" w:rsidR="004966BF" w:rsidRPr="00263255" w:rsidRDefault="004966BF" w:rsidP="00263255">
            <w:pPr>
              <w:pStyle w:val="Tableheader"/>
            </w:pPr>
            <w:r>
              <w:t>Additional information</w:t>
            </w:r>
          </w:p>
        </w:tc>
      </w:tr>
      <w:tr w:rsidR="004966BF" w:rsidRPr="004C23F4" w14:paraId="41FD18E3" w14:textId="77777777" w:rsidTr="008856AB">
        <w:trPr>
          <w:cantSplit/>
        </w:trPr>
        <w:tc>
          <w:tcPr>
            <w:tcW w:w="1488" w:type="dxa"/>
          </w:tcPr>
          <w:p w14:paraId="6781DF30" w14:textId="77777777" w:rsidR="004966BF" w:rsidRPr="004C23F4" w:rsidRDefault="004966BF" w:rsidP="00224EE2">
            <w:pPr>
              <w:pStyle w:val="Tablefont"/>
            </w:pPr>
            <w:r>
              <w:t>IARC</w:t>
            </w:r>
          </w:p>
        </w:tc>
        <w:tc>
          <w:tcPr>
            <w:tcW w:w="422" w:type="dxa"/>
          </w:tcPr>
          <w:p w14:paraId="7C5C310A" w14:textId="4F38125B" w:rsidR="004966BF" w:rsidRPr="00CE617F" w:rsidRDefault="00C954E4"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8761A1">
                  <w:rPr>
                    <w:rStyle w:val="checkbox"/>
                  </w:rPr>
                  <w:t></w:t>
                </w:r>
              </w:sdtContent>
            </w:sdt>
          </w:p>
        </w:tc>
        <w:tc>
          <w:tcPr>
            <w:tcW w:w="661" w:type="dxa"/>
          </w:tcPr>
          <w:p w14:paraId="77D24F74" w14:textId="54988E38" w:rsidR="004966BF" w:rsidRPr="004C23F4" w:rsidRDefault="008761A1" w:rsidP="00717D45">
            <w:pPr>
              <w:pStyle w:val="Tablefont"/>
              <w:rPr>
                <w:rStyle w:val="checkbox"/>
                <w:rFonts w:ascii="Arial" w:hAnsi="Arial" w:cs="Arial"/>
              </w:rPr>
            </w:pPr>
            <w:r>
              <w:rPr>
                <w:rStyle w:val="checkbox"/>
                <w:rFonts w:ascii="Arial" w:hAnsi="Arial" w:cs="Arial"/>
              </w:rPr>
              <w:t>1999</w:t>
            </w:r>
          </w:p>
        </w:tc>
        <w:tc>
          <w:tcPr>
            <w:tcW w:w="6455" w:type="dxa"/>
          </w:tcPr>
          <w:p w14:paraId="2904F5F4" w14:textId="372313FF" w:rsidR="00607E12" w:rsidRDefault="00607E12" w:rsidP="00E75736">
            <w:pPr>
              <w:pStyle w:val="Tablefont"/>
              <w:numPr>
                <w:ilvl w:val="0"/>
                <w:numId w:val="1"/>
              </w:numPr>
              <w:spacing w:before="60" w:after="60"/>
              <w:ind w:hanging="357"/>
              <w:rPr>
                <w:rFonts w:cs="Arial"/>
              </w:rPr>
            </w:pPr>
            <w:r>
              <w:rPr>
                <w:rFonts w:cs="Arial"/>
              </w:rPr>
              <w:t>Available report assesses carcinogenicity of implanted uranium metal only (primarily depleted uranium from ammunition/shrapnel fragments)</w:t>
            </w:r>
          </w:p>
          <w:p w14:paraId="24A29131" w14:textId="553B15C0" w:rsidR="008F2AA0" w:rsidRDefault="008F2AA0" w:rsidP="00E75736">
            <w:pPr>
              <w:pStyle w:val="Tablefont"/>
              <w:numPr>
                <w:ilvl w:val="0"/>
                <w:numId w:val="1"/>
              </w:numPr>
              <w:spacing w:before="60" w:after="60"/>
              <w:ind w:hanging="357"/>
              <w:rPr>
                <w:rFonts w:cs="Arial"/>
              </w:rPr>
            </w:pPr>
            <w:r>
              <w:rPr>
                <w:rFonts w:cs="Arial"/>
              </w:rPr>
              <w:t>Regardless of exposure route, m</w:t>
            </w:r>
            <w:r w:rsidR="008761A1" w:rsidRPr="008761A1">
              <w:rPr>
                <w:rFonts w:cs="Arial"/>
              </w:rPr>
              <w:t xml:space="preserve">ost absorbed uranium is excreted in </w:t>
            </w:r>
            <w:r>
              <w:rPr>
                <w:rFonts w:cs="Arial"/>
              </w:rPr>
              <w:t>urine within 24 h</w:t>
            </w:r>
            <w:r w:rsidR="00091876">
              <w:rPr>
                <w:rFonts w:cs="Arial"/>
              </w:rPr>
              <w:t>:</w:t>
            </w:r>
          </w:p>
          <w:p w14:paraId="7BE50B57" w14:textId="3018809D" w:rsidR="008F2AA0" w:rsidRDefault="00626A64" w:rsidP="00E75736">
            <w:pPr>
              <w:pStyle w:val="Tablefont"/>
              <w:numPr>
                <w:ilvl w:val="1"/>
                <w:numId w:val="1"/>
              </w:numPr>
              <w:spacing w:before="60" w:after="60"/>
              <w:ind w:left="1143" w:hanging="357"/>
              <w:rPr>
                <w:rFonts w:cs="Arial"/>
              </w:rPr>
            </w:pPr>
            <w:r>
              <w:rPr>
                <w:rFonts w:cs="Arial"/>
              </w:rPr>
              <w:t>r</w:t>
            </w:r>
            <w:r w:rsidR="008F2AA0">
              <w:rPr>
                <w:rFonts w:cs="Arial"/>
              </w:rPr>
              <w:t xml:space="preserve">etained substance </w:t>
            </w:r>
            <w:r w:rsidR="008761A1" w:rsidRPr="008761A1">
              <w:rPr>
                <w:rFonts w:cs="Arial"/>
              </w:rPr>
              <w:t xml:space="preserve">reabsorbed </w:t>
            </w:r>
            <w:r w:rsidR="008F2AA0">
              <w:rPr>
                <w:rFonts w:cs="Arial"/>
              </w:rPr>
              <w:t>in</w:t>
            </w:r>
            <w:r w:rsidR="008761A1" w:rsidRPr="008761A1">
              <w:rPr>
                <w:rFonts w:cs="Arial"/>
              </w:rPr>
              <w:t xml:space="preserve"> kidney</w:t>
            </w:r>
            <w:r w:rsidR="008F2AA0">
              <w:rPr>
                <w:rFonts w:cs="Arial"/>
              </w:rPr>
              <w:t>s</w:t>
            </w:r>
            <w:r w:rsidR="008761A1" w:rsidRPr="008761A1">
              <w:rPr>
                <w:rFonts w:cs="Arial"/>
              </w:rPr>
              <w:t>, where it causes its primary toxic effects</w:t>
            </w:r>
          </w:p>
          <w:p w14:paraId="1E0697BF" w14:textId="77777777" w:rsidR="004966BF" w:rsidRDefault="008F2AA0" w:rsidP="00E75736">
            <w:pPr>
              <w:pStyle w:val="Tablefont"/>
              <w:numPr>
                <w:ilvl w:val="1"/>
                <w:numId w:val="1"/>
              </w:numPr>
              <w:spacing w:before="60" w:after="60"/>
              <w:ind w:left="1143" w:hanging="357"/>
              <w:rPr>
                <w:rFonts w:cs="Arial"/>
              </w:rPr>
            </w:pPr>
            <w:r>
              <w:rPr>
                <w:rFonts w:cs="Arial"/>
              </w:rPr>
              <w:t>c</w:t>
            </w:r>
            <w:r w:rsidR="008761A1" w:rsidRPr="008761A1">
              <w:rPr>
                <w:rFonts w:cs="Arial"/>
              </w:rPr>
              <w:t>hronically exposed uranium mill workers showed</w:t>
            </w:r>
            <w:r>
              <w:rPr>
                <w:rFonts w:cs="Arial"/>
              </w:rPr>
              <w:t xml:space="preserve"> mild dysfunction of the kidney</w:t>
            </w:r>
          </w:p>
          <w:p w14:paraId="5A3F1B09" w14:textId="3EAABAFF" w:rsidR="00607E12" w:rsidRPr="004C23F4" w:rsidRDefault="00607E12" w:rsidP="00E75736">
            <w:pPr>
              <w:pStyle w:val="Tablefont"/>
              <w:numPr>
                <w:ilvl w:val="0"/>
                <w:numId w:val="1"/>
              </w:numPr>
              <w:spacing w:before="60" w:after="60"/>
              <w:ind w:hanging="357"/>
              <w:rPr>
                <w:rStyle w:val="checkbox"/>
                <w:rFonts w:ascii="Arial" w:hAnsi="Arial" w:cs="Arial"/>
              </w:rPr>
            </w:pPr>
            <w:r>
              <w:t>Implanted uranium not classifiable as human carcinogen (Group 3)</w:t>
            </w:r>
            <w:r w:rsidR="00626A64">
              <w:t>.</w:t>
            </w:r>
          </w:p>
        </w:tc>
      </w:tr>
      <w:tr w:rsidR="004966BF" w:rsidRPr="004C23F4" w14:paraId="64DC3D43" w14:textId="77777777" w:rsidTr="008856AB">
        <w:trPr>
          <w:cantSplit/>
        </w:trPr>
        <w:tc>
          <w:tcPr>
            <w:tcW w:w="1488" w:type="dxa"/>
          </w:tcPr>
          <w:p w14:paraId="04121D4A" w14:textId="77777777" w:rsidR="004966BF" w:rsidRDefault="004966BF" w:rsidP="00224EE2">
            <w:pPr>
              <w:pStyle w:val="Tablefont"/>
            </w:pPr>
            <w:r>
              <w:t>US NIOSH</w:t>
            </w:r>
          </w:p>
        </w:tc>
        <w:tc>
          <w:tcPr>
            <w:tcW w:w="422" w:type="dxa"/>
          </w:tcPr>
          <w:p w14:paraId="45FA656B" w14:textId="49606C45" w:rsidR="004966BF" w:rsidRDefault="00C954E4"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3905FA">
                  <w:rPr>
                    <w:rStyle w:val="checkbox"/>
                  </w:rPr>
                  <w:t></w:t>
                </w:r>
              </w:sdtContent>
            </w:sdt>
          </w:p>
        </w:tc>
        <w:tc>
          <w:tcPr>
            <w:tcW w:w="661" w:type="dxa"/>
          </w:tcPr>
          <w:p w14:paraId="321182ED" w14:textId="1FC3C736" w:rsidR="004966BF" w:rsidRPr="004C23F4" w:rsidRDefault="003905FA" w:rsidP="00717D45">
            <w:pPr>
              <w:pStyle w:val="Tablefont"/>
              <w:rPr>
                <w:rStyle w:val="checkbox"/>
                <w:rFonts w:ascii="Arial" w:hAnsi="Arial" w:cs="Arial"/>
              </w:rPr>
            </w:pPr>
            <w:r>
              <w:rPr>
                <w:rStyle w:val="checkbox"/>
                <w:rFonts w:ascii="Arial" w:hAnsi="Arial" w:cs="Arial"/>
              </w:rPr>
              <w:t>1994</w:t>
            </w:r>
          </w:p>
        </w:tc>
        <w:tc>
          <w:tcPr>
            <w:tcW w:w="6455" w:type="dxa"/>
          </w:tcPr>
          <w:p w14:paraId="34E1DA20" w14:textId="77777777" w:rsidR="00A15E27" w:rsidRDefault="00DE667E" w:rsidP="00E75736">
            <w:pPr>
              <w:pStyle w:val="Tablefont"/>
              <w:numPr>
                <w:ilvl w:val="0"/>
                <w:numId w:val="1"/>
              </w:numPr>
              <w:spacing w:before="60" w:after="60"/>
              <w:ind w:left="714" w:hanging="357"/>
              <w:rPr>
                <w:rFonts w:cs="Arial"/>
              </w:rPr>
            </w:pPr>
            <w:r w:rsidRPr="003905FA">
              <w:rPr>
                <w:rFonts w:cs="Arial"/>
              </w:rPr>
              <w:t>IDLH</w:t>
            </w:r>
            <w:r>
              <w:rPr>
                <w:rFonts w:cs="Arial"/>
              </w:rPr>
              <w:t xml:space="preserve"> for soluble uranium compounds</w:t>
            </w:r>
            <w:r w:rsidRPr="003905FA">
              <w:rPr>
                <w:rFonts w:cs="Arial"/>
              </w:rPr>
              <w:t xml:space="preserve"> based on chronic toxicity data in animals</w:t>
            </w:r>
          </w:p>
          <w:p w14:paraId="64D89BC2" w14:textId="56BE3E57" w:rsidR="003905FA" w:rsidRPr="00A15E27" w:rsidRDefault="003905FA" w:rsidP="00E75736">
            <w:pPr>
              <w:pStyle w:val="Tablefont"/>
              <w:numPr>
                <w:ilvl w:val="0"/>
                <w:numId w:val="1"/>
              </w:numPr>
              <w:spacing w:before="60" w:after="60"/>
              <w:ind w:left="714" w:hanging="357"/>
              <w:rPr>
                <w:rStyle w:val="checkbox"/>
                <w:rFonts w:ascii="Arial" w:hAnsi="Arial" w:cs="Arial"/>
              </w:rPr>
            </w:pPr>
            <w:r w:rsidRPr="00A15E27">
              <w:rPr>
                <w:rFonts w:cs="Arial"/>
              </w:rPr>
              <w:t>IDLH for insoluble compounds based on sub</w:t>
            </w:r>
            <w:r w:rsidR="00091876">
              <w:rPr>
                <w:rFonts w:cs="Arial"/>
              </w:rPr>
              <w:t>-</w:t>
            </w:r>
            <w:r w:rsidRPr="00A15E27">
              <w:rPr>
                <w:rFonts w:cs="Arial"/>
              </w:rPr>
              <w:t>chronic inha</w:t>
            </w:r>
            <w:r w:rsidR="00DE667E" w:rsidRPr="00A15E27">
              <w:rPr>
                <w:rFonts w:cs="Arial"/>
              </w:rPr>
              <w:t>lation toxicity data in animals</w:t>
            </w:r>
            <w:r w:rsidR="00284112">
              <w:rPr>
                <w:rFonts w:cs="Arial"/>
              </w:rPr>
              <w:t xml:space="preserve"> and</w:t>
            </w:r>
            <w:r w:rsidRPr="00A15E27">
              <w:rPr>
                <w:rFonts w:cs="Arial"/>
              </w:rPr>
              <w:t xml:space="preserve"> to be consistent with </w:t>
            </w:r>
            <w:r w:rsidR="00DE667E" w:rsidRPr="00A15E27">
              <w:rPr>
                <w:rFonts w:cs="Arial"/>
              </w:rPr>
              <w:t>soluble uranium compounds</w:t>
            </w:r>
            <w:r w:rsidR="00626A64">
              <w:rPr>
                <w:rFonts w:cs="Arial"/>
              </w:rPr>
              <w:t>.</w:t>
            </w:r>
          </w:p>
        </w:tc>
      </w:tr>
    </w:tbl>
    <w:p w14:paraId="702720BC" w14:textId="77777777" w:rsidR="007E2A4B" w:rsidRDefault="007E2A4B"/>
    <w:bookmarkEnd w:id="0"/>
    <w:p w14:paraId="281FADA1"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23859074" w14:textId="77777777" w:rsidTr="003905FA">
        <w:trPr>
          <w:trHeight w:val="454"/>
          <w:tblHeader/>
        </w:trPr>
        <w:tc>
          <w:tcPr>
            <w:tcW w:w="6597" w:type="dxa"/>
            <w:vAlign w:val="center"/>
          </w:tcPr>
          <w:p w14:paraId="6254D187"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6AF7124A" w14:textId="3D2C99C4" w:rsidR="002E0D61" w:rsidRDefault="003905FA" w:rsidP="00C3091E">
                <w:pPr>
                  <w:pStyle w:val="Tablefont"/>
                  <w:keepNext/>
                  <w:keepLines/>
                  <w:spacing w:before="40" w:after="40"/>
                </w:pPr>
                <w:r>
                  <w:t>Yes</w:t>
                </w:r>
              </w:p>
            </w:tc>
          </w:sdtContent>
        </w:sdt>
      </w:tr>
      <w:tr w:rsidR="008A36CF" w14:paraId="4CDD6DE8" w14:textId="77777777" w:rsidTr="003905FA">
        <w:trPr>
          <w:trHeight w:val="454"/>
        </w:trPr>
        <w:tc>
          <w:tcPr>
            <w:tcW w:w="6597" w:type="dxa"/>
            <w:vAlign w:val="center"/>
          </w:tcPr>
          <w:p w14:paraId="56037773"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5E0A514A" w14:textId="3C953453" w:rsidR="008A36CF" w:rsidRDefault="003905FA" w:rsidP="008A36CF">
                <w:pPr>
                  <w:pStyle w:val="Tablefont"/>
                  <w:keepNext/>
                  <w:keepLines/>
                  <w:spacing w:before="40" w:after="40"/>
                </w:pPr>
                <w:r>
                  <w:t>Insufficient data</w:t>
                </w:r>
              </w:p>
            </w:tc>
          </w:sdtContent>
        </w:sdt>
      </w:tr>
      <w:tr w:rsidR="008A36CF" w14:paraId="7B974402" w14:textId="77777777" w:rsidTr="003905FA">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597" w:type="dxa"/>
                <w:vAlign w:val="center"/>
              </w:tcPr>
              <w:p w14:paraId="65CE37F1" w14:textId="79E37999" w:rsidR="008A36CF" w:rsidRPr="006901A2" w:rsidRDefault="003905FA" w:rsidP="008A36CF">
                <w:pPr>
                  <w:pStyle w:val="Tablefont"/>
                  <w:keepNext/>
                  <w:keepLines/>
                  <w:spacing w:before="40" w:after="40"/>
                  <w:rPr>
                    <w:b/>
                  </w:rPr>
                </w:pPr>
                <w:r>
                  <w:rPr>
                    <w:b/>
                  </w:rPr>
                  <w:t>Insufficient data are available to determine if the chemical is a non-threshold based genotoxic carcinogen.</w:t>
                </w:r>
              </w:p>
            </w:tc>
          </w:sdtContent>
        </w:sdt>
        <w:tc>
          <w:tcPr>
            <w:tcW w:w="2429" w:type="dxa"/>
            <w:vAlign w:val="center"/>
          </w:tcPr>
          <w:p w14:paraId="33451083" w14:textId="77777777" w:rsidR="008A36CF" w:rsidRDefault="008A36CF" w:rsidP="008A36CF">
            <w:pPr>
              <w:pStyle w:val="Tablefont"/>
              <w:keepNext/>
              <w:keepLines/>
              <w:spacing w:before="40" w:after="40"/>
            </w:pPr>
          </w:p>
        </w:tc>
      </w:tr>
    </w:tbl>
    <w:bookmarkEnd w:id="1"/>
    <w:p w14:paraId="3713BCCE"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344F1F19" w14:textId="77777777" w:rsidTr="008856AB">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0B3F025B"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B4A1688" w14:textId="77777777" w:rsidR="00687890" w:rsidRPr="004C23F4" w:rsidRDefault="00687890" w:rsidP="00F4402E">
            <w:pPr>
              <w:pStyle w:val="Tableheader"/>
              <w:tabs>
                <w:tab w:val="right" w:pos="5272"/>
              </w:tabs>
            </w:pPr>
            <w:r w:rsidRPr="004C23F4">
              <w:t>Notations</w:t>
            </w:r>
            <w:r w:rsidR="003A2B94">
              <w:tab/>
            </w:r>
          </w:p>
        </w:tc>
      </w:tr>
      <w:tr w:rsidR="00687890" w:rsidRPr="004C23F4" w14:paraId="64563B10" w14:textId="77777777" w:rsidTr="008856AB">
        <w:trPr>
          <w:cantSplit/>
        </w:trPr>
        <w:tc>
          <w:tcPr>
            <w:tcW w:w="3227" w:type="dxa"/>
          </w:tcPr>
          <w:p w14:paraId="5A68C4B1" w14:textId="77777777" w:rsidR="004079B4" w:rsidRPr="004C23F4" w:rsidRDefault="00084513" w:rsidP="00F4402E">
            <w:pPr>
              <w:pStyle w:val="Tablefont"/>
            </w:pPr>
            <w:r w:rsidRPr="004C23F4">
              <w:t>SWA</w:t>
            </w:r>
          </w:p>
        </w:tc>
        <w:tc>
          <w:tcPr>
            <w:tcW w:w="6015" w:type="dxa"/>
          </w:tcPr>
          <w:p w14:paraId="004EA680" w14:textId="2F6DB3C4" w:rsidR="00687890" w:rsidRPr="00DD2F9B" w:rsidRDefault="003905FA" w:rsidP="00DD2F9B">
            <w:pPr>
              <w:pStyle w:val="Tablefont"/>
            </w:pPr>
            <w:r>
              <w:t>—</w:t>
            </w:r>
          </w:p>
        </w:tc>
      </w:tr>
      <w:tr w:rsidR="007925F0" w:rsidRPr="004C23F4" w14:paraId="4EABC0A9" w14:textId="77777777" w:rsidTr="008856AB">
        <w:trPr>
          <w:cantSplit/>
        </w:trPr>
        <w:tc>
          <w:tcPr>
            <w:tcW w:w="3227" w:type="dxa"/>
          </w:tcPr>
          <w:p w14:paraId="5B24C85A" w14:textId="77777777" w:rsidR="004079B4" w:rsidRPr="004C23F4" w:rsidRDefault="007925F0" w:rsidP="00F4402E">
            <w:pPr>
              <w:pStyle w:val="Tablefont"/>
            </w:pPr>
            <w:r>
              <w:t>HCIS</w:t>
            </w:r>
          </w:p>
        </w:tc>
        <w:tc>
          <w:tcPr>
            <w:tcW w:w="6015" w:type="dxa"/>
          </w:tcPr>
          <w:p w14:paraId="2D27105E" w14:textId="69250D2C" w:rsidR="007925F0" w:rsidRPr="00DD2F9B" w:rsidRDefault="00EA1470" w:rsidP="00DD2F9B">
            <w:pPr>
              <w:pStyle w:val="Tablefont"/>
            </w:pPr>
            <w:r>
              <w:t>—</w:t>
            </w:r>
          </w:p>
        </w:tc>
      </w:tr>
      <w:tr w:rsidR="00AF483F" w:rsidRPr="004C23F4" w14:paraId="44BB755E" w14:textId="77777777" w:rsidTr="008856AB">
        <w:trPr>
          <w:cantSplit/>
        </w:trPr>
        <w:tc>
          <w:tcPr>
            <w:tcW w:w="3227" w:type="dxa"/>
          </w:tcPr>
          <w:p w14:paraId="2E0AFD6B" w14:textId="77777777" w:rsidR="00AF483F" w:rsidRPr="004C23F4" w:rsidRDefault="00AF483F" w:rsidP="00F4402E">
            <w:pPr>
              <w:pStyle w:val="Tablefont"/>
            </w:pPr>
            <w:r>
              <w:t>NICNAS</w:t>
            </w:r>
          </w:p>
        </w:tc>
        <w:tc>
          <w:tcPr>
            <w:tcW w:w="6015" w:type="dxa"/>
          </w:tcPr>
          <w:p w14:paraId="76A8CC88" w14:textId="78A906E3" w:rsidR="00AF483F" w:rsidRPr="00DD2F9B" w:rsidRDefault="00507244" w:rsidP="00DD2F9B">
            <w:pPr>
              <w:pStyle w:val="Tablefont"/>
            </w:pPr>
            <w:r>
              <w:t>NA</w:t>
            </w:r>
          </w:p>
        </w:tc>
      </w:tr>
      <w:tr w:rsidR="00687890" w:rsidRPr="004C23F4" w14:paraId="0308833D" w14:textId="77777777" w:rsidTr="008856AB">
        <w:trPr>
          <w:cantSplit/>
        </w:trPr>
        <w:tc>
          <w:tcPr>
            <w:tcW w:w="3227" w:type="dxa"/>
          </w:tcPr>
          <w:p w14:paraId="669269A4" w14:textId="77777777" w:rsidR="004079B4" w:rsidRPr="004C23F4" w:rsidRDefault="00687890" w:rsidP="00F4402E">
            <w:pPr>
              <w:pStyle w:val="Tablefont"/>
            </w:pPr>
            <w:r w:rsidRPr="004C23F4">
              <w:t>EU Annex</w:t>
            </w:r>
          </w:p>
        </w:tc>
        <w:tc>
          <w:tcPr>
            <w:tcW w:w="6015" w:type="dxa"/>
          </w:tcPr>
          <w:p w14:paraId="19EBB842" w14:textId="4D775289" w:rsidR="00687890" w:rsidRPr="00DD2F9B" w:rsidRDefault="00EA1470" w:rsidP="00DD2F9B">
            <w:pPr>
              <w:pStyle w:val="Tablefont"/>
            </w:pPr>
            <w:r>
              <w:t>—</w:t>
            </w:r>
          </w:p>
        </w:tc>
      </w:tr>
      <w:tr w:rsidR="00E41A26" w:rsidRPr="004C23F4" w14:paraId="2FB8D567" w14:textId="77777777" w:rsidTr="008856AB">
        <w:trPr>
          <w:cantSplit/>
        </w:trPr>
        <w:tc>
          <w:tcPr>
            <w:tcW w:w="3227" w:type="dxa"/>
          </w:tcPr>
          <w:p w14:paraId="789F64AB" w14:textId="77777777" w:rsidR="00E41A26" w:rsidRDefault="00E41A26" w:rsidP="00F4402E">
            <w:pPr>
              <w:pStyle w:val="Tablefont"/>
            </w:pPr>
            <w:r>
              <w:t>ECHA</w:t>
            </w:r>
          </w:p>
        </w:tc>
        <w:tc>
          <w:tcPr>
            <w:tcW w:w="6015" w:type="dxa"/>
          </w:tcPr>
          <w:p w14:paraId="15E5E618" w14:textId="3A7306E6" w:rsidR="00E41A26" w:rsidRPr="00DD2F9B" w:rsidRDefault="003905FA" w:rsidP="00DD2F9B">
            <w:pPr>
              <w:pStyle w:val="Tablefont"/>
            </w:pPr>
            <w:r>
              <w:t>—</w:t>
            </w:r>
          </w:p>
        </w:tc>
      </w:tr>
      <w:tr w:rsidR="002E0D61" w:rsidRPr="004C23F4" w14:paraId="0B62819A" w14:textId="77777777" w:rsidTr="008856AB">
        <w:trPr>
          <w:cantSplit/>
        </w:trPr>
        <w:tc>
          <w:tcPr>
            <w:tcW w:w="3227" w:type="dxa"/>
          </w:tcPr>
          <w:p w14:paraId="60DF8A1C" w14:textId="77777777" w:rsidR="004079B4" w:rsidRPr="004C23F4" w:rsidRDefault="002E0D61" w:rsidP="00F4402E">
            <w:pPr>
              <w:pStyle w:val="Tablefont"/>
            </w:pPr>
            <w:r>
              <w:t>ACGIH</w:t>
            </w:r>
          </w:p>
        </w:tc>
        <w:tc>
          <w:tcPr>
            <w:tcW w:w="6015" w:type="dxa"/>
          </w:tcPr>
          <w:p w14:paraId="7AC24F20" w14:textId="37B5D3DB" w:rsidR="002E0D61" w:rsidRPr="00DD2F9B" w:rsidRDefault="00EA1470" w:rsidP="00DD2F9B">
            <w:pPr>
              <w:pStyle w:val="Tablefont"/>
            </w:pPr>
            <w:r w:rsidRPr="00EA1470">
              <w:t>Carcinogenicity – A1</w:t>
            </w:r>
          </w:p>
        </w:tc>
      </w:tr>
      <w:tr w:rsidR="002E0D61" w:rsidRPr="004C23F4" w14:paraId="74F2ED3D" w14:textId="77777777" w:rsidTr="008856AB">
        <w:trPr>
          <w:cantSplit/>
        </w:trPr>
        <w:tc>
          <w:tcPr>
            <w:tcW w:w="3227" w:type="dxa"/>
          </w:tcPr>
          <w:p w14:paraId="5D12B7E7" w14:textId="77777777" w:rsidR="004079B4" w:rsidRPr="004C23F4" w:rsidRDefault="002E0D61" w:rsidP="00F4402E">
            <w:pPr>
              <w:pStyle w:val="Tablefont"/>
            </w:pPr>
            <w:r>
              <w:t>DFG</w:t>
            </w:r>
          </w:p>
        </w:tc>
        <w:tc>
          <w:tcPr>
            <w:tcW w:w="6015" w:type="dxa"/>
          </w:tcPr>
          <w:p w14:paraId="3225F348" w14:textId="2A8316D8" w:rsidR="002E0D61" w:rsidRPr="00DD2F9B" w:rsidRDefault="00EA1470" w:rsidP="00DD2F9B">
            <w:pPr>
              <w:pStyle w:val="Tablefont"/>
            </w:pPr>
            <w:r w:rsidRPr="00EA1470">
              <w:t>Carcinogenicity – 2</w:t>
            </w:r>
            <w:r>
              <w:t>, H (skin)</w:t>
            </w:r>
          </w:p>
        </w:tc>
      </w:tr>
      <w:tr w:rsidR="002E0D61" w:rsidRPr="004C23F4" w14:paraId="6DA170A9" w14:textId="77777777" w:rsidTr="008856AB">
        <w:trPr>
          <w:cantSplit/>
        </w:trPr>
        <w:tc>
          <w:tcPr>
            <w:tcW w:w="3227" w:type="dxa"/>
          </w:tcPr>
          <w:p w14:paraId="2684466E" w14:textId="77777777" w:rsidR="004079B4" w:rsidRPr="004C23F4" w:rsidRDefault="002E0D61" w:rsidP="00F4402E">
            <w:pPr>
              <w:pStyle w:val="Tablefont"/>
            </w:pPr>
            <w:r>
              <w:t>SCOEL</w:t>
            </w:r>
          </w:p>
        </w:tc>
        <w:tc>
          <w:tcPr>
            <w:tcW w:w="6015" w:type="dxa"/>
          </w:tcPr>
          <w:p w14:paraId="3B8EBACF" w14:textId="452A1764" w:rsidR="002E0D61" w:rsidRPr="00DD2F9B" w:rsidRDefault="00CA79EB" w:rsidP="00DD2F9B">
            <w:pPr>
              <w:pStyle w:val="Tablefont"/>
            </w:pPr>
            <w:r>
              <w:t>NA</w:t>
            </w:r>
          </w:p>
        </w:tc>
      </w:tr>
      <w:tr w:rsidR="002E0D61" w:rsidRPr="004C23F4" w14:paraId="2D678FA7" w14:textId="77777777" w:rsidTr="008856AB">
        <w:trPr>
          <w:cantSplit/>
        </w:trPr>
        <w:tc>
          <w:tcPr>
            <w:tcW w:w="3227" w:type="dxa"/>
          </w:tcPr>
          <w:p w14:paraId="656BFEF3" w14:textId="77777777" w:rsidR="004079B4" w:rsidRDefault="002E0D61" w:rsidP="00F4402E">
            <w:pPr>
              <w:pStyle w:val="Tablefont"/>
            </w:pPr>
            <w:r>
              <w:t>HCOTN</w:t>
            </w:r>
          </w:p>
        </w:tc>
        <w:tc>
          <w:tcPr>
            <w:tcW w:w="6015" w:type="dxa"/>
          </w:tcPr>
          <w:p w14:paraId="7B209E58" w14:textId="3AEF7729" w:rsidR="002E0D61" w:rsidRPr="00DD2F9B" w:rsidRDefault="003905FA" w:rsidP="00DD2F9B">
            <w:pPr>
              <w:pStyle w:val="Tablefont"/>
            </w:pPr>
            <w:r>
              <w:t>—</w:t>
            </w:r>
          </w:p>
        </w:tc>
      </w:tr>
      <w:tr w:rsidR="00386093" w:rsidRPr="004C23F4" w14:paraId="5DDA48F8" w14:textId="77777777" w:rsidTr="008856AB">
        <w:trPr>
          <w:cantSplit/>
        </w:trPr>
        <w:tc>
          <w:tcPr>
            <w:tcW w:w="3227" w:type="dxa"/>
          </w:tcPr>
          <w:p w14:paraId="78FED2E8" w14:textId="77777777" w:rsidR="004079B4" w:rsidRDefault="00386093" w:rsidP="00F4402E">
            <w:pPr>
              <w:pStyle w:val="Tablefont"/>
            </w:pPr>
            <w:r>
              <w:t>IARC</w:t>
            </w:r>
          </w:p>
        </w:tc>
        <w:tc>
          <w:tcPr>
            <w:tcW w:w="6015" w:type="dxa"/>
          </w:tcPr>
          <w:p w14:paraId="62EDF4EE" w14:textId="752BE5B6" w:rsidR="00386093" w:rsidRPr="00DD2F9B" w:rsidRDefault="00626A64" w:rsidP="00DD2F9B">
            <w:pPr>
              <w:pStyle w:val="Tablefont"/>
            </w:pPr>
            <w:r>
              <w:t>—</w:t>
            </w:r>
          </w:p>
        </w:tc>
      </w:tr>
      <w:tr w:rsidR="00386093" w:rsidRPr="004C23F4" w14:paraId="0C5BC584" w14:textId="77777777" w:rsidTr="008856AB">
        <w:trPr>
          <w:cantSplit/>
        </w:trPr>
        <w:tc>
          <w:tcPr>
            <w:tcW w:w="3227" w:type="dxa"/>
          </w:tcPr>
          <w:p w14:paraId="1A2E2B43" w14:textId="77777777" w:rsidR="004079B4" w:rsidRDefault="00386093" w:rsidP="00F4402E">
            <w:pPr>
              <w:pStyle w:val="Tablefont"/>
              <w:keepNext/>
            </w:pPr>
            <w:r>
              <w:t>US NIOSH</w:t>
            </w:r>
          </w:p>
        </w:tc>
        <w:tc>
          <w:tcPr>
            <w:tcW w:w="6015" w:type="dxa"/>
          </w:tcPr>
          <w:p w14:paraId="783E62A8" w14:textId="1EDA237D" w:rsidR="00386093" w:rsidRPr="00DD2F9B" w:rsidRDefault="00E835A8" w:rsidP="00D87570">
            <w:pPr>
              <w:pStyle w:val="Tablefont"/>
              <w:keepNext/>
            </w:pPr>
            <w:r>
              <w:t>NA</w:t>
            </w:r>
          </w:p>
        </w:tc>
      </w:tr>
    </w:tbl>
    <w:bookmarkEnd w:id="2"/>
    <w:p w14:paraId="37B4FD72"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56BC380"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77C132" w14:textId="77777777" w:rsidTr="00EA6243">
        <w:trPr>
          <w:cantSplit/>
          <w:tblHeader/>
        </w:trPr>
        <w:tc>
          <w:tcPr>
            <w:tcW w:w="5000" w:type="pct"/>
            <w:shd w:val="clear" w:color="auto" w:fill="BFBFBF" w:themeFill="background1" w:themeFillShade="BF"/>
            <w:vAlign w:val="center"/>
          </w:tcPr>
          <w:p w14:paraId="0237CB1D"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35F9108E" w14:textId="77777777" w:rsidTr="00EA6243">
        <w:trPr>
          <w:cantSplit/>
          <w:tblHeader/>
        </w:trPr>
        <w:tc>
          <w:tcPr>
            <w:tcW w:w="5000" w:type="pct"/>
            <w:vAlign w:val="center"/>
          </w:tcPr>
          <w:tbl>
            <w:tblPr>
              <w:tblW w:w="8924" w:type="dxa"/>
              <w:tblLook w:val="04A0" w:firstRow="1" w:lastRow="0" w:firstColumn="1" w:lastColumn="0" w:noHBand="0" w:noVBand="1"/>
            </w:tblPr>
            <w:tblGrid>
              <w:gridCol w:w="3664"/>
              <w:gridCol w:w="1081"/>
              <w:gridCol w:w="1081"/>
              <w:gridCol w:w="2984"/>
            </w:tblGrid>
            <w:tr w:rsidR="00DE667E" w:rsidRPr="00DE667E" w14:paraId="3665E661" w14:textId="77777777" w:rsidTr="00DE667E">
              <w:trPr>
                <w:trHeight w:val="231"/>
              </w:trPr>
              <w:tc>
                <w:tcPr>
                  <w:tcW w:w="3714" w:type="dxa"/>
                  <w:tcBorders>
                    <w:top w:val="nil"/>
                    <w:left w:val="nil"/>
                    <w:bottom w:val="nil"/>
                    <w:right w:val="nil"/>
                  </w:tcBorders>
                  <w:shd w:val="clear" w:color="000000" w:fill="C5D9F1"/>
                  <w:noWrap/>
                  <w:vAlign w:val="center"/>
                  <w:hideMark/>
                </w:tcPr>
                <w:p w14:paraId="7F577EEE" w14:textId="77777777" w:rsidR="00DE667E" w:rsidRPr="00DE667E" w:rsidRDefault="00DE667E" w:rsidP="00DE667E">
                  <w:pPr>
                    <w:spacing w:after="0" w:line="240" w:lineRule="auto"/>
                    <w:jc w:val="right"/>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Adverse effects in human case study:</w:t>
                  </w:r>
                </w:p>
              </w:tc>
              <w:tc>
                <w:tcPr>
                  <w:tcW w:w="1093" w:type="dxa"/>
                  <w:tcBorders>
                    <w:top w:val="nil"/>
                    <w:left w:val="nil"/>
                    <w:bottom w:val="nil"/>
                    <w:right w:val="nil"/>
                  </w:tcBorders>
                  <w:shd w:val="clear" w:color="000000" w:fill="C5D9F1"/>
                  <w:noWrap/>
                  <w:vAlign w:val="center"/>
                  <w:hideMark/>
                </w:tcPr>
                <w:p w14:paraId="5AAD6FC3" w14:textId="77777777" w:rsidR="00DE667E" w:rsidRPr="00DE667E" w:rsidRDefault="00DE667E" w:rsidP="00DE667E">
                  <w:pPr>
                    <w:spacing w:after="0" w:line="240" w:lineRule="auto"/>
                    <w:jc w:val="center"/>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c>
                <w:tcPr>
                  <w:tcW w:w="1093" w:type="dxa"/>
                  <w:tcBorders>
                    <w:top w:val="nil"/>
                    <w:left w:val="nil"/>
                    <w:bottom w:val="nil"/>
                    <w:right w:val="nil"/>
                  </w:tcBorders>
                  <w:shd w:val="clear" w:color="000000" w:fill="C5D9F1"/>
                  <w:noWrap/>
                  <w:vAlign w:val="center"/>
                  <w:hideMark/>
                </w:tcPr>
                <w:p w14:paraId="4AA57D0E" w14:textId="77777777" w:rsidR="00DE667E" w:rsidRPr="00DE667E" w:rsidRDefault="00DE667E" w:rsidP="00DE667E">
                  <w:pPr>
                    <w:spacing w:after="0" w:line="240" w:lineRule="auto"/>
                    <w:rPr>
                      <w:rFonts w:ascii="Segoe UI" w:eastAsia="Times New Roman" w:hAnsi="Segoe UI" w:cs="Segoe UI"/>
                      <w:color w:val="C5D9F1"/>
                      <w:sz w:val="18"/>
                      <w:szCs w:val="18"/>
                      <w:lang w:eastAsia="en-AU"/>
                    </w:rPr>
                  </w:pPr>
                  <w:r w:rsidRPr="00DE667E">
                    <w:rPr>
                      <w:rFonts w:ascii="Segoe UI" w:eastAsia="Times New Roman" w:hAnsi="Segoe UI" w:cs="Segoe UI"/>
                      <w:color w:val="C5D9F1"/>
                      <w:sz w:val="18"/>
                      <w:szCs w:val="18"/>
                      <w:lang w:eastAsia="en-AU"/>
                    </w:rPr>
                    <w:t> </w:t>
                  </w:r>
                </w:p>
              </w:tc>
              <w:tc>
                <w:tcPr>
                  <w:tcW w:w="3024" w:type="dxa"/>
                  <w:tcBorders>
                    <w:top w:val="nil"/>
                    <w:left w:val="nil"/>
                    <w:bottom w:val="nil"/>
                    <w:right w:val="nil"/>
                  </w:tcBorders>
                  <w:shd w:val="clear" w:color="000000" w:fill="C5D9F1"/>
                  <w:noWrap/>
                  <w:vAlign w:val="center"/>
                  <w:hideMark/>
                </w:tcPr>
                <w:p w14:paraId="49BB6D88" w14:textId="77777777" w:rsidR="00DE667E" w:rsidRPr="00DE667E" w:rsidRDefault="00DE667E" w:rsidP="00DE667E">
                  <w:pPr>
                    <w:spacing w:after="0" w:line="240" w:lineRule="auto"/>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r>
            <w:tr w:rsidR="00DE667E" w:rsidRPr="00DE667E" w14:paraId="224360BB" w14:textId="77777777" w:rsidTr="00DE667E">
              <w:trPr>
                <w:trHeight w:val="231"/>
              </w:trPr>
              <w:tc>
                <w:tcPr>
                  <w:tcW w:w="3714" w:type="dxa"/>
                  <w:tcBorders>
                    <w:top w:val="nil"/>
                    <w:left w:val="nil"/>
                    <w:bottom w:val="nil"/>
                    <w:right w:val="nil"/>
                  </w:tcBorders>
                  <w:shd w:val="clear" w:color="000000" w:fill="C5D9F1"/>
                  <w:noWrap/>
                  <w:vAlign w:val="center"/>
                  <w:hideMark/>
                </w:tcPr>
                <w:p w14:paraId="7E43E742" w14:textId="77777777" w:rsidR="00DE667E" w:rsidRPr="00DE667E" w:rsidRDefault="00DE667E" w:rsidP="00DE667E">
                  <w:pPr>
                    <w:spacing w:after="0" w:line="240" w:lineRule="auto"/>
                    <w:jc w:val="right"/>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Dermal LD</w:t>
                  </w:r>
                  <w:r w:rsidRPr="00DE667E">
                    <w:rPr>
                      <w:rFonts w:ascii="Segoe UI" w:eastAsia="Times New Roman" w:hAnsi="Segoe UI" w:cs="Segoe UI"/>
                      <w:color w:val="000000"/>
                      <w:sz w:val="18"/>
                      <w:szCs w:val="18"/>
                      <w:vertAlign w:val="subscript"/>
                      <w:lang w:eastAsia="en-AU"/>
                    </w:rPr>
                    <w:t>50</w:t>
                  </w:r>
                  <w:r w:rsidRPr="00DE667E">
                    <w:rPr>
                      <w:rFonts w:ascii="Segoe UI" w:eastAsia="Times New Roman" w:hAnsi="Segoe UI" w:cs="Segoe UI"/>
                      <w:color w:val="000000"/>
                      <w:sz w:val="18"/>
                      <w:szCs w:val="18"/>
                      <w:lang w:eastAsia="en-AU"/>
                    </w:rPr>
                    <w:t xml:space="preserve"> ≤1000 mg/kg:</w:t>
                  </w:r>
                </w:p>
              </w:tc>
              <w:tc>
                <w:tcPr>
                  <w:tcW w:w="1093" w:type="dxa"/>
                  <w:tcBorders>
                    <w:top w:val="nil"/>
                    <w:left w:val="nil"/>
                    <w:bottom w:val="nil"/>
                    <w:right w:val="nil"/>
                  </w:tcBorders>
                  <w:shd w:val="clear" w:color="000000" w:fill="C5D9F1"/>
                  <w:noWrap/>
                  <w:vAlign w:val="center"/>
                  <w:hideMark/>
                </w:tcPr>
                <w:p w14:paraId="0E0BCEE2" w14:textId="77777777" w:rsidR="00DE667E" w:rsidRPr="00DE667E" w:rsidRDefault="00DE667E" w:rsidP="00DE667E">
                  <w:pPr>
                    <w:spacing w:after="0" w:line="240" w:lineRule="auto"/>
                    <w:jc w:val="center"/>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c>
                <w:tcPr>
                  <w:tcW w:w="1093" w:type="dxa"/>
                  <w:tcBorders>
                    <w:top w:val="nil"/>
                    <w:left w:val="nil"/>
                    <w:bottom w:val="nil"/>
                    <w:right w:val="nil"/>
                  </w:tcBorders>
                  <w:shd w:val="clear" w:color="000000" w:fill="C5D9F1"/>
                  <w:noWrap/>
                  <w:vAlign w:val="center"/>
                  <w:hideMark/>
                </w:tcPr>
                <w:p w14:paraId="760C69F9" w14:textId="77777777" w:rsidR="00DE667E" w:rsidRPr="00DE667E" w:rsidRDefault="00DE667E" w:rsidP="00DE667E">
                  <w:pPr>
                    <w:spacing w:after="0" w:line="240" w:lineRule="auto"/>
                    <w:rPr>
                      <w:rFonts w:ascii="Segoe UI" w:eastAsia="Times New Roman" w:hAnsi="Segoe UI" w:cs="Segoe UI"/>
                      <w:color w:val="C5D9F1"/>
                      <w:sz w:val="18"/>
                      <w:szCs w:val="18"/>
                      <w:lang w:eastAsia="en-AU"/>
                    </w:rPr>
                  </w:pPr>
                  <w:r w:rsidRPr="00DE667E">
                    <w:rPr>
                      <w:rFonts w:ascii="Segoe UI" w:eastAsia="Times New Roman" w:hAnsi="Segoe UI" w:cs="Segoe UI"/>
                      <w:color w:val="C5D9F1"/>
                      <w:sz w:val="18"/>
                      <w:szCs w:val="18"/>
                      <w:lang w:eastAsia="en-AU"/>
                    </w:rPr>
                    <w:t> </w:t>
                  </w:r>
                </w:p>
              </w:tc>
              <w:tc>
                <w:tcPr>
                  <w:tcW w:w="3024" w:type="dxa"/>
                  <w:tcBorders>
                    <w:top w:val="nil"/>
                    <w:left w:val="nil"/>
                    <w:bottom w:val="nil"/>
                    <w:right w:val="nil"/>
                  </w:tcBorders>
                  <w:shd w:val="clear" w:color="000000" w:fill="C5D9F1"/>
                  <w:noWrap/>
                  <w:vAlign w:val="center"/>
                  <w:hideMark/>
                </w:tcPr>
                <w:p w14:paraId="554A664C" w14:textId="77777777" w:rsidR="00DE667E" w:rsidRPr="00DE667E" w:rsidRDefault="00DE667E" w:rsidP="00DE667E">
                  <w:pPr>
                    <w:spacing w:after="0" w:line="240" w:lineRule="auto"/>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r>
            <w:tr w:rsidR="00DE667E" w:rsidRPr="00DE667E" w14:paraId="4DAD7BE6" w14:textId="77777777" w:rsidTr="00DE667E">
              <w:trPr>
                <w:trHeight w:val="231"/>
              </w:trPr>
              <w:tc>
                <w:tcPr>
                  <w:tcW w:w="3714" w:type="dxa"/>
                  <w:tcBorders>
                    <w:top w:val="nil"/>
                    <w:left w:val="nil"/>
                    <w:bottom w:val="nil"/>
                    <w:right w:val="nil"/>
                  </w:tcBorders>
                  <w:shd w:val="clear" w:color="000000" w:fill="C5D9F1"/>
                  <w:noWrap/>
                  <w:vAlign w:val="center"/>
                  <w:hideMark/>
                </w:tcPr>
                <w:p w14:paraId="0DE2A7B9" w14:textId="77777777" w:rsidR="00DE667E" w:rsidRPr="00DE667E" w:rsidRDefault="00DE667E" w:rsidP="00DE667E">
                  <w:pPr>
                    <w:spacing w:after="0" w:line="240" w:lineRule="auto"/>
                    <w:jc w:val="right"/>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Dermal repeat-dose NOAEL ≤200 mg/kg:</w:t>
                  </w:r>
                </w:p>
              </w:tc>
              <w:tc>
                <w:tcPr>
                  <w:tcW w:w="1093" w:type="dxa"/>
                  <w:tcBorders>
                    <w:top w:val="nil"/>
                    <w:left w:val="nil"/>
                    <w:bottom w:val="nil"/>
                    <w:right w:val="nil"/>
                  </w:tcBorders>
                  <w:shd w:val="clear" w:color="000000" w:fill="C5D9F1"/>
                  <w:noWrap/>
                  <w:vAlign w:val="center"/>
                  <w:hideMark/>
                </w:tcPr>
                <w:p w14:paraId="4B492A1D" w14:textId="77777777" w:rsidR="00DE667E" w:rsidRPr="00DE667E" w:rsidRDefault="00DE667E" w:rsidP="00DE667E">
                  <w:pPr>
                    <w:spacing w:after="0" w:line="240" w:lineRule="auto"/>
                    <w:jc w:val="center"/>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c>
                <w:tcPr>
                  <w:tcW w:w="1093" w:type="dxa"/>
                  <w:tcBorders>
                    <w:top w:val="nil"/>
                    <w:left w:val="nil"/>
                    <w:bottom w:val="nil"/>
                    <w:right w:val="nil"/>
                  </w:tcBorders>
                  <w:shd w:val="clear" w:color="000000" w:fill="C5D9F1"/>
                  <w:noWrap/>
                  <w:vAlign w:val="center"/>
                  <w:hideMark/>
                </w:tcPr>
                <w:p w14:paraId="50E1866E" w14:textId="77777777" w:rsidR="00DE667E" w:rsidRPr="00DE667E" w:rsidRDefault="00DE667E" w:rsidP="00DE667E">
                  <w:pPr>
                    <w:spacing w:after="0" w:line="240" w:lineRule="auto"/>
                    <w:rPr>
                      <w:rFonts w:ascii="Segoe UI" w:eastAsia="Times New Roman" w:hAnsi="Segoe UI" w:cs="Segoe UI"/>
                      <w:color w:val="C5D9F1"/>
                      <w:sz w:val="18"/>
                      <w:szCs w:val="18"/>
                      <w:lang w:eastAsia="en-AU"/>
                    </w:rPr>
                  </w:pPr>
                  <w:r w:rsidRPr="00DE667E">
                    <w:rPr>
                      <w:rFonts w:ascii="Segoe UI" w:eastAsia="Times New Roman" w:hAnsi="Segoe UI" w:cs="Segoe UI"/>
                      <w:color w:val="C5D9F1"/>
                      <w:sz w:val="18"/>
                      <w:szCs w:val="18"/>
                      <w:lang w:eastAsia="en-AU"/>
                    </w:rPr>
                    <w:t> </w:t>
                  </w:r>
                </w:p>
              </w:tc>
              <w:tc>
                <w:tcPr>
                  <w:tcW w:w="3024" w:type="dxa"/>
                  <w:tcBorders>
                    <w:top w:val="nil"/>
                    <w:left w:val="nil"/>
                    <w:bottom w:val="nil"/>
                    <w:right w:val="nil"/>
                  </w:tcBorders>
                  <w:shd w:val="clear" w:color="000000" w:fill="C5D9F1"/>
                  <w:noWrap/>
                  <w:vAlign w:val="center"/>
                  <w:hideMark/>
                </w:tcPr>
                <w:p w14:paraId="76EF1960" w14:textId="77777777" w:rsidR="00DE667E" w:rsidRPr="00DE667E" w:rsidRDefault="00DE667E" w:rsidP="00DE667E">
                  <w:pPr>
                    <w:spacing w:after="0" w:line="240" w:lineRule="auto"/>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r>
            <w:tr w:rsidR="00DE667E" w:rsidRPr="00DE667E" w14:paraId="565BD27C" w14:textId="77777777" w:rsidTr="00DE667E">
              <w:trPr>
                <w:trHeight w:val="231"/>
              </w:trPr>
              <w:tc>
                <w:tcPr>
                  <w:tcW w:w="3714" w:type="dxa"/>
                  <w:tcBorders>
                    <w:top w:val="nil"/>
                    <w:left w:val="nil"/>
                    <w:bottom w:val="nil"/>
                    <w:right w:val="nil"/>
                  </w:tcBorders>
                  <w:shd w:val="clear" w:color="000000" w:fill="C5D9F1"/>
                  <w:noWrap/>
                  <w:vAlign w:val="center"/>
                  <w:hideMark/>
                </w:tcPr>
                <w:p w14:paraId="1377027F" w14:textId="77777777" w:rsidR="00DE667E" w:rsidRPr="00DE667E" w:rsidRDefault="00DE667E" w:rsidP="00DE667E">
                  <w:pPr>
                    <w:spacing w:after="0" w:line="240" w:lineRule="auto"/>
                    <w:jc w:val="right"/>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Dermal LD</w:t>
                  </w:r>
                  <w:r w:rsidRPr="00DE667E">
                    <w:rPr>
                      <w:rFonts w:ascii="Segoe UI" w:eastAsia="Times New Roman" w:hAnsi="Segoe UI" w:cs="Segoe UI"/>
                      <w:color w:val="000000"/>
                      <w:sz w:val="18"/>
                      <w:szCs w:val="18"/>
                      <w:vertAlign w:val="subscript"/>
                      <w:lang w:eastAsia="en-AU"/>
                    </w:rPr>
                    <w:t>50</w:t>
                  </w:r>
                  <w:r w:rsidRPr="00DE667E">
                    <w:rPr>
                      <w:rFonts w:ascii="Segoe UI" w:eastAsia="Times New Roman" w:hAnsi="Segoe UI" w:cs="Segoe UI"/>
                      <w:color w:val="000000"/>
                      <w:sz w:val="18"/>
                      <w:szCs w:val="18"/>
                      <w:lang w:eastAsia="en-AU"/>
                    </w:rPr>
                    <w:t>/Inhalation LD</w:t>
                  </w:r>
                  <w:r w:rsidRPr="00DE667E">
                    <w:rPr>
                      <w:rFonts w:ascii="Segoe UI" w:eastAsia="Times New Roman" w:hAnsi="Segoe UI" w:cs="Segoe UI"/>
                      <w:color w:val="000000"/>
                      <w:sz w:val="18"/>
                      <w:szCs w:val="18"/>
                      <w:vertAlign w:val="subscript"/>
                      <w:lang w:eastAsia="en-AU"/>
                    </w:rPr>
                    <w:t>50</w:t>
                  </w:r>
                  <w:r w:rsidRPr="00DE667E">
                    <w:rPr>
                      <w:rFonts w:ascii="Segoe UI" w:eastAsia="Times New Roman" w:hAnsi="Segoe UI" w:cs="Segoe UI"/>
                      <w:color w:val="000000"/>
                      <w:sz w:val="18"/>
                      <w:szCs w:val="18"/>
                      <w:lang w:eastAsia="en-AU"/>
                    </w:rPr>
                    <w:t xml:space="preserve"> &lt;10:</w:t>
                  </w:r>
                </w:p>
              </w:tc>
              <w:tc>
                <w:tcPr>
                  <w:tcW w:w="1093" w:type="dxa"/>
                  <w:tcBorders>
                    <w:top w:val="nil"/>
                    <w:left w:val="nil"/>
                    <w:bottom w:val="nil"/>
                    <w:right w:val="nil"/>
                  </w:tcBorders>
                  <w:shd w:val="clear" w:color="000000" w:fill="C5D9F1"/>
                  <w:noWrap/>
                  <w:vAlign w:val="center"/>
                  <w:hideMark/>
                </w:tcPr>
                <w:p w14:paraId="57A770BE" w14:textId="77777777" w:rsidR="00DE667E" w:rsidRPr="00DE667E" w:rsidRDefault="00DE667E" w:rsidP="00DE667E">
                  <w:pPr>
                    <w:spacing w:after="0" w:line="240" w:lineRule="auto"/>
                    <w:jc w:val="center"/>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c>
                <w:tcPr>
                  <w:tcW w:w="1093" w:type="dxa"/>
                  <w:tcBorders>
                    <w:top w:val="nil"/>
                    <w:left w:val="nil"/>
                    <w:bottom w:val="nil"/>
                    <w:right w:val="nil"/>
                  </w:tcBorders>
                  <w:shd w:val="clear" w:color="000000" w:fill="C5D9F1"/>
                  <w:noWrap/>
                  <w:vAlign w:val="center"/>
                  <w:hideMark/>
                </w:tcPr>
                <w:p w14:paraId="4D9D021D" w14:textId="77777777" w:rsidR="00DE667E" w:rsidRPr="00DE667E" w:rsidRDefault="00DE667E" w:rsidP="00DE667E">
                  <w:pPr>
                    <w:spacing w:after="0" w:line="240" w:lineRule="auto"/>
                    <w:rPr>
                      <w:rFonts w:ascii="Segoe UI" w:eastAsia="Times New Roman" w:hAnsi="Segoe UI" w:cs="Segoe UI"/>
                      <w:color w:val="C5D9F1"/>
                      <w:sz w:val="18"/>
                      <w:szCs w:val="18"/>
                      <w:lang w:eastAsia="en-AU"/>
                    </w:rPr>
                  </w:pPr>
                  <w:r w:rsidRPr="00DE667E">
                    <w:rPr>
                      <w:rFonts w:ascii="Segoe UI" w:eastAsia="Times New Roman" w:hAnsi="Segoe UI" w:cs="Segoe UI"/>
                      <w:color w:val="C5D9F1"/>
                      <w:sz w:val="18"/>
                      <w:szCs w:val="18"/>
                      <w:lang w:eastAsia="en-AU"/>
                    </w:rPr>
                    <w:t> </w:t>
                  </w:r>
                </w:p>
              </w:tc>
              <w:tc>
                <w:tcPr>
                  <w:tcW w:w="3024" w:type="dxa"/>
                  <w:tcBorders>
                    <w:top w:val="nil"/>
                    <w:left w:val="nil"/>
                    <w:bottom w:val="nil"/>
                    <w:right w:val="nil"/>
                  </w:tcBorders>
                  <w:shd w:val="clear" w:color="000000" w:fill="C5D9F1"/>
                  <w:noWrap/>
                  <w:vAlign w:val="center"/>
                  <w:hideMark/>
                </w:tcPr>
                <w:p w14:paraId="1B66EB41" w14:textId="77777777" w:rsidR="00DE667E" w:rsidRPr="00DE667E" w:rsidRDefault="00DE667E" w:rsidP="00DE667E">
                  <w:pPr>
                    <w:spacing w:after="0" w:line="240" w:lineRule="auto"/>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r>
            <w:tr w:rsidR="00DE667E" w:rsidRPr="00DE667E" w14:paraId="1096DB4F" w14:textId="77777777" w:rsidTr="00DE667E">
              <w:trPr>
                <w:trHeight w:val="231"/>
              </w:trPr>
              <w:tc>
                <w:tcPr>
                  <w:tcW w:w="3714" w:type="dxa"/>
                  <w:tcBorders>
                    <w:top w:val="nil"/>
                    <w:left w:val="nil"/>
                    <w:bottom w:val="nil"/>
                    <w:right w:val="nil"/>
                  </w:tcBorders>
                  <w:shd w:val="clear" w:color="000000" w:fill="C5D9F1"/>
                  <w:noWrap/>
                  <w:vAlign w:val="center"/>
                  <w:hideMark/>
                </w:tcPr>
                <w:p w14:paraId="1BA6CFE4" w14:textId="77777777" w:rsidR="00DE667E" w:rsidRPr="00DE667E" w:rsidRDefault="00DE667E" w:rsidP="00DE667E">
                  <w:pPr>
                    <w:spacing w:after="0" w:line="240" w:lineRule="auto"/>
                    <w:jc w:val="right"/>
                    <w:rPr>
                      <w:rFonts w:ascii="Segoe UI" w:eastAsia="Times New Roman" w:hAnsi="Segoe UI" w:cs="Segoe UI"/>
                      <w:i/>
                      <w:iCs/>
                      <w:color w:val="000000"/>
                      <w:sz w:val="18"/>
                      <w:szCs w:val="18"/>
                      <w:lang w:eastAsia="en-AU"/>
                    </w:rPr>
                  </w:pPr>
                  <w:r w:rsidRPr="00DE667E">
                    <w:rPr>
                      <w:rFonts w:ascii="Segoe UI" w:eastAsia="Times New Roman" w:hAnsi="Segoe UI" w:cs="Segoe UI"/>
                      <w:i/>
                      <w:iCs/>
                      <w:color w:val="000000"/>
                      <w:sz w:val="18"/>
                      <w:szCs w:val="18"/>
                      <w:lang w:eastAsia="en-AU"/>
                    </w:rPr>
                    <w:t>In vivo</w:t>
                  </w:r>
                  <w:r w:rsidRPr="00DE667E">
                    <w:rPr>
                      <w:rFonts w:ascii="Segoe UI" w:eastAsia="Times New Roman" w:hAnsi="Segoe UI" w:cs="Segoe UI"/>
                      <w:color w:val="000000"/>
                      <w:sz w:val="18"/>
                      <w:szCs w:val="18"/>
                      <w:lang w:eastAsia="en-AU"/>
                    </w:rPr>
                    <w:t xml:space="preserve"> dermal absorption rate &gt;10%:</w:t>
                  </w:r>
                </w:p>
              </w:tc>
              <w:tc>
                <w:tcPr>
                  <w:tcW w:w="1093" w:type="dxa"/>
                  <w:tcBorders>
                    <w:top w:val="nil"/>
                    <w:left w:val="nil"/>
                    <w:bottom w:val="nil"/>
                    <w:right w:val="nil"/>
                  </w:tcBorders>
                  <w:shd w:val="clear" w:color="000000" w:fill="C5D9F1"/>
                  <w:noWrap/>
                  <w:vAlign w:val="center"/>
                  <w:hideMark/>
                </w:tcPr>
                <w:p w14:paraId="6982266E" w14:textId="77777777" w:rsidR="00DE667E" w:rsidRPr="00DE667E" w:rsidRDefault="00DE667E" w:rsidP="00DE667E">
                  <w:pPr>
                    <w:spacing w:after="0" w:line="240" w:lineRule="auto"/>
                    <w:jc w:val="center"/>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c>
                <w:tcPr>
                  <w:tcW w:w="1093" w:type="dxa"/>
                  <w:tcBorders>
                    <w:top w:val="nil"/>
                    <w:left w:val="nil"/>
                    <w:bottom w:val="nil"/>
                    <w:right w:val="nil"/>
                  </w:tcBorders>
                  <w:shd w:val="clear" w:color="000000" w:fill="C5D9F1"/>
                  <w:noWrap/>
                  <w:vAlign w:val="center"/>
                  <w:hideMark/>
                </w:tcPr>
                <w:p w14:paraId="41094A8A" w14:textId="77777777" w:rsidR="00DE667E" w:rsidRPr="00DE667E" w:rsidRDefault="00DE667E" w:rsidP="00DE667E">
                  <w:pPr>
                    <w:spacing w:after="0" w:line="240" w:lineRule="auto"/>
                    <w:rPr>
                      <w:rFonts w:ascii="Segoe UI" w:eastAsia="Times New Roman" w:hAnsi="Segoe UI" w:cs="Segoe UI"/>
                      <w:color w:val="C5D9F1"/>
                      <w:sz w:val="18"/>
                      <w:szCs w:val="18"/>
                      <w:lang w:eastAsia="en-AU"/>
                    </w:rPr>
                  </w:pPr>
                  <w:r w:rsidRPr="00DE667E">
                    <w:rPr>
                      <w:rFonts w:ascii="Segoe UI" w:eastAsia="Times New Roman" w:hAnsi="Segoe UI" w:cs="Segoe UI"/>
                      <w:color w:val="C5D9F1"/>
                      <w:sz w:val="18"/>
                      <w:szCs w:val="18"/>
                      <w:lang w:eastAsia="en-AU"/>
                    </w:rPr>
                    <w:t> </w:t>
                  </w:r>
                </w:p>
              </w:tc>
              <w:tc>
                <w:tcPr>
                  <w:tcW w:w="3024" w:type="dxa"/>
                  <w:tcBorders>
                    <w:top w:val="nil"/>
                    <w:left w:val="nil"/>
                    <w:bottom w:val="nil"/>
                    <w:right w:val="nil"/>
                  </w:tcBorders>
                  <w:shd w:val="clear" w:color="000000" w:fill="C5D9F1"/>
                  <w:noWrap/>
                  <w:vAlign w:val="center"/>
                  <w:hideMark/>
                </w:tcPr>
                <w:p w14:paraId="1C7D5E49" w14:textId="77777777" w:rsidR="00DE667E" w:rsidRPr="00DE667E" w:rsidRDefault="00DE667E" w:rsidP="00DE667E">
                  <w:pPr>
                    <w:spacing w:after="0" w:line="240" w:lineRule="auto"/>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r>
            <w:tr w:rsidR="00DE667E" w:rsidRPr="00DE667E" w14:paraId="53E49977" w14:textId="77777777" w:rsidTr="00DE667E">
              <w:trPr>
                <w:trHeight w:val="231"/>
              </w:trPr>
              <w:tc>
                <w:tcPr>
                  <w:tcW w:w="3714" w:type="dxa"/>
                  <w:tcBorders>
                    <w:top w:val="nil"/>
                    <w:left w:val="nil"/>
                    <w:bottom w:val="nil"/>
                    <w:right w:val="nil"/>
                  </w:tcBorders>
                  <w:shd w:val="clear" w:color="000000" w:fill="C5D9F1"/>
                  <w:noWrap/>
                  <w:vAlign w:val="center"/>
                  <w:hideMark/>
                </w:tcPr>
                <w:p w14:paraId="06680F70" w14:textId="77777777" w:rsidR="00DE667E" w:rsidRPr="00DE667E" w:rsidRDefault="00DE667E" w:rsidP="00DE667E">
                  <w:pPr>
                    <w:spacing w:after="0" w:line="240" w:lineRule="auto"/>
                    <w:jc w:val="right"/>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Estimated dermal exposure at WES &gt;10%:</w:t>
                  </w:r>
                </w:p>
              </w:tc>
              <w:tc>
                <w:tcPr>
                  <w:tcW w:w="1093" w:type="dxa"/>
                  <w:tcBorders>
                    <w:top w:val="nil"/>
                    <w:left w:val="nil"/>
                    <w:bottom w:val="nil"/>
                    <w:right w:val="nil"/>
                  </w:tcBorders>
                  <w:shd w:val="clear" w:color="000000" w:fill="C5D9F1"/>
                  <w:noWrap/>
                  <w:vAlign w:val="center"/>
                  <w:hideMark/>
                </w:tcPr>
                <w:p w14:paraId="6124F5D5" w14:textId="77777777" w:rsidR="00DE667E" w:rsidRPr="00DE667E" w:rsidRDefault="00DE667E" w:rsidP="00DE667E">
                  <w:pPr>
                    <w:spacing w:after="0" w:line="240" w:lineRule="auto"/>
                    <w:jc w:val="center"/>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no</w:t>
                  </w:r>
                </w:p>
              </w:tc>
              <w:tc>
                <w:tcPr>
                  <w:tcW w:w="1093" w:type="dxa"/>
                  <w:tcBorders>
                    <w:top w:val="nil"/>
                    <w:left w:val="nil"/>
                    <w:bottom w:val="nil"/>
                    <w:right w:val="nil"/>
                  </w:tcBorders>
                  <w:shd w:val="clear" w:color="000000" w:fill="C5D9F1"/>
                  <w:noWrap/>
                  <w:vAlign w:val="center"/>
                  <w:hideMark/>
                </w:tcPr>
                <w:p w14:paraId="61F7C46B" w14:textId="77777777" w:rsidR="00DE667E" w:rsidRPr="00DE667E" w:rsidRDefault="00DE667E" w:rsidP="00DE667E">
                  <w:pPr>
                    <w:spacing w:after="0" w:line="240" w:lineRule="auto"/>
                    <w:jc w:val="right"/>
                    <w:rPr>
                      <w:rFonts w:ascii="Segoe UI" w:eastAsia="Times New Roman" w:hAnsi="Segoe UI" w:cs="Segoe UI"/>
                      <w:color w:val="C5D9F1"/>
                      <w:sz w:val="18"/>
                      <w:szCs w:val="18"/>
                      <w:lang w:eastAsia="en-AU"/>
                    </w:rPr>
                  </w:pPr>
                  <w:r w:rsidRPr="00DE667E">
                    <w:rPr>
                      <w:rFonts w:ascii="Segoe UI" w:eastAsia="Times New Roman" w:hAnsi="Segoe UI" w:cs="Segoe UI"/>
                      <w:color w:val="C5D9F1"/>
                      <w:sz w:val="18"/>
                      <w:szCs w:val="18"/>
                      <w:lang w:eastAsia="en-AU"/>
                    </w:rPr>
                    <w:t>-2.00</w:t>
                  </w:r>
                </w:p>
              </w:tc>
              <w:tc>
                <w:tcPr>
                  <w:tcW w:w="3024" w:type="dxa"/>
                  <w:tcBorders>
                    <w:top w:val="nil"/>
                    <w:left w:val="nil"/>
                    <w:bottom w:val="nil"/>
                    <w:right w:val="nil"/>
                  </w:tcBorders>
                  <w:shd w:val="clear" w:color="000000" w:fill="C5D9F1"/>
                  <w:noWrap/>
                  <w:vAlign w:val="center"/>
                  <w:hideMark/>
                </w:tcPr>
                <w:p w14:paraId="7937271E" w14:textId="77777777" w:rsidR="00DE667E" w:rsidRPr="00DE667E" w:rsidRDefault="00DE667E" w:rsidP="00DE667E">
                  <w:pPr>
                    <w:spacing w:after="0" w:line="240" w:lineRule="auto"/>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r>
            <w:tr w:rsidR="00DE667E" w:rsidRPr="00DE667E" w14:paraId="6A975936" w14:textId="77777777" w:rsidTr="00DE667E">
              <w:trPr>
                <w:trHeight w:val="231"/>
              </w:trPr>
              <w:tc>
                <w:tcPr>
                  <w:tcW w:w="3714" w:type="dxa"/>
                  <w:tcBorders>
                    <w:top w:val="nil"/>
                    <w:left w:val="nil"/>
                    <w:bottom w:val="nil"/>
                    <w:right w:val="nil"/>
                  </w:tcBorders>
                  <w:shd w:val="clear" w:color="000000" w:fill="C5D9F1"/>
                  <w:noWrap/>
                  <w:vAlign w:val="center"/>
                  <w:hideMark/>
                </w:tcPr>
                <w:p w14:paraId="03E055E8" w14:textId="77777777" w:rsidR="00DE667E" w:rsidRPr="00DE667E" w:rsidRDefault="00DE667E" w:rsidP="00DE667E">
                  <w:pPr>
                    <w:spacing w:after="0" w:line="240" w:lineRule="auto"/>
                    <w:jc w:val="right"/>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c>
                <w:tcPr>
                  <w:tcW w:w="1093" w:type="dxa"/>
                  <w:tcBorders>
                    <w:top w:val="nil"/>
                    <w:left w:val="nil"/>
                    <w:bottom w:val="nil"/>
                    <w:right w:val="nil"/>
                  </w:tcBorders>
                  <w:shd w:val="clear" w:color="000000" w:fill="C5D9F1"/>
                  <w:noWrap/>
                  <w:vAlign w:val="center"/>
                  <w:hideMark/>
                </w:tcPr>
                <w:p w14:paraId="504C596E" w14:textId="77777777" w:rsidR="00DE667E" w:rsidRPr="00DE667E" w:rsidRDefault="00DE667E" w:rsidP="00DE667E">
                  <w:pPr>
                    <w:spacing w:after="0" w:line="240" w:lineRule="auto"/>
                    <w:jc w:val="center"/>
                    <w:rPr>
                      <w:rFonts w:ascii="Segoe UI" w:eastAsia="Times New Roman" w:hAnsi="Segoe UI" w:cs="Segoe UI"/>
                      <w:color w:val="000000"/>
                      <w:sz w:val="18"/>
                      <w:szCs w:val="18"/>
                      <w:lang w:eastAsia="en-AU"/>
                    </w:rPr>
                  </w:pPr>
                  <w:r w:rsidRPr="00DE667E">
                    <w:rPr>
                      <w:rFonts w:ascii="Segoe UI" w:eastAsia="Times New Roman" w:hAnsi="Segoe UI" w:cs="Segoe UI"/>
                      <w:color w:val="000000"/>
                      <w:sz w:val="18"/>
                      <w:szCs w:val="18"/>
                      <w:lang w:eastAsia="en-AU"/>
                    </w:rPr>
                    <w:t> </w:t>
                  </w:r>
                </w:p>
              </w:tc>
              <w:tc>
                <w:tcPr>
                  <w:tcW w:w="1093" w:type="dxa"/>
                  <w:tcBorders>
                    <w:top w:val="nil"/>
                    <w:left w:val="nil"/>
                    <w:bottom w:val="nil"/>
                    <w:right w:val="nil"/>
                  </w:tcBorders>
                  <w:shd w:val="clear" w:color="000000" w:fill="C5D9F1"/>
                  <w:noWrap/>
                  <w:vAlign w:val="center"/>
                  <w:hideMark/>
                </w:tcPr>
                <w:p w14:paraId="1C0FBAFD" w14:textId="77777777" w:rsidR="00DE667E" w:rsidRPr="00DE667E" w:rsidRDefault="00DE667E" w:rsidP="00DE667E">
                  <w:pPr>
                    <w:spacing w:after="0" w:line="240" w:lineRule="auto"/>
                    <w:jc w:val="right"/>
                    <w:rPr>
                      <w:rFonts w:ascii="Segoe UI" w:eastAsia="Times New Roman" w:hAnsi="Segoe UI" w:cs="Segoe UI"/>
                      <w:color w:val="C5D9F1"/>
                      <w:sz w:val="18"/>
                      <w:szCs w:val="18"/>
                      <w:lang w:eastAsia="en-AU"/>
                    </w:rPr>
                  </w:pPr>
                  <w:r w:rsidRPr="00DE667E">
                    <w:rPr>
                      <w:rFonts w:ascii="Segoe UI" w:eastAsia="Times New Roman" w:hAnsi="Segoe UI" w:cs="Segoe UI"/>
                      <w:color w:val="C5D9F1"/>
                      <w:sz w:val="18"/>
                      <w:szCs w:val="18"/>
                      <w:lang w:eastAsia="en-AU"/>
                    </w:rPr>
                    <w:t>-2</w:t>
                  </w:r>
                </w:p>
              </w:tc>
              <w:tc>
                <w:tcPr>
                  <w:tcW w:w="3024" w:type="dxa"/>
                  <w:tcBorders>
                    <w:top w:val="nil"/>
                    <w:left w:val="nil"/>
                    <w:bottom w:val="nil"/>
                    <w:right w:val="nil"/>
                  </w:tcBorders>
                  <w:shd w:val="clear" w:color="000000" w:fill="C5D9F1"/>
                  <w:noWrap/>
                  <w:vAlign w:val="center"/>
                  <w:hideMark/>
                </w:tcPr>
                <w:p w14:paraId="22853036" w14:textId="77777777" w:rsidR="00DE667E" w:rsidRPr="00DE667E" w:rsidRDefault="00DE667E" w:rsidP="00DE667E">
                  <w:pPr>
                    <w:spacing w:after="0" w:line="240" w:lineRule="auto"/>
                    <w:rPr>
                      <w:rFonts w:ascii="Segoe UI" w:eastAsia="Times New Roman" w:hAnsi="Segoe UI" w:cs="Segoe UI"/>
                      <w:b/>
                      <w:bCs/>
                      <w:color w:val="000000"/>
                      <w:sz w:val="18"/>
                      <w:szCs w:val="18"/>
                      <w:lang w:eastAsia="en-AU"/>
                    </w:rPr>
                  </w:pPr>
                  <w:r w:rsidRPr="00DE667E">
                    <w:rPr>
                      <w:rFonts w:ascii="Segoe UI" w:eastAsia="Times New Roman" w:hAnsi="Segoe UI" w:cs="Segoe UI"/>
                      <w:b/>
                      <w:bCs/>
                      <w:color w:val="000000"/>
                      <w:sz w:val="18"/>
                      <w:szCs w:val="18"/>
                      <w:lang w:eastAsia="en-AU"/>
                    </w:rPr>
                    <w:t>a skin notation is not warranted</w:t>
                  </w:r>
                </w:p>
              </w:tc>
            </w:tr>
          </w:tbl>
          <w:p w14:paraId="5A3B74B4" w14:textId="77777777" w:rsidR="00932DCE" w:rsidRPr="004C23F4" w:rsidRDefault="00932DCE" w:rsidP="00F9496B">
            <w:pPr>
              <w:pStyle w:val="Tablefont"/>
            </w:pPr>
          </w:p>
        </w:tc>
      </w:tr>
    </w:tbl>
    <w:bookmarkEnd w:id="3"/>
    <w:p w14:paraId="2EFCF865"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294B3D97" w14:textId="77777777" w:rsidTr="00610F2E">
        <w:trPr>
          <w:trHeight w:val="454"/>
          <w:tblHeader/>
        </w:trPr>
        <w:tc>
          <w:tcPr>
            <w:tcW w:w="4361" w:type="dxa"/>
            <w:vAlign w:val="center"/>
          </w:tcPr>
          <w:p w14:paraId="39D2083E"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49930C4A" w14:textId="04D8E6CF" w:rsidR="00EB3D1B" w:rsidRDefault="00E835A8" w:rsidP="00EB3D1B">
                <w:pPr>
                  <w:pStyle w:val="Tablefont"/>
                </w:pPr>
                <w:r>
                  <w:t>Yes</w:t>
                </w:r>
              </w:p>
            </w:tc>
          </w:sdtContent>
        </w:sdt>
      </w:tr>
    </w:tbl>
    <w:p w14:paraId="46868101"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33627032" w14:textId="77777777" w:rsidTr="00EA6243">
        <w:trPr>
          <w:cantSplit/>
          <w:tblHeader/>
        </w:trPr>
        <w:tc>
          <w:tcPr>
            <w:tcW w:w="4077" w:type="dxa"/>
            <w:vAlign w:val="center"/>
          </w:tcPr>
          <w:p w14:paraId="310FD137"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6D9FA41" w14:textId="11E8B29F" w:rsidR="001B79E5" w:rsidRDefault="00A45D4F" w:rsidP="001B79E5">
                <w:pPr>
                  <w:pStyle w:val="Tablefont"/>
                </w:pPr>
                <w:r>
                  <w:t>238.03</w:t>
                </w:r>
              </w:p>
            </w:tc>
          </w:sdtContent>
        </w:sdt>
      </w:tr>
      <w:tr w:rsidR="00A31D99" w:rsidRPr="004C23F4" w14:paraId="3CEC1D1E" w14:textId="77777777" w:rsidTr="00EA6243">
        <w:trPr>
          <w:cantSplit/>
          <w:tblHeader/>
        </w:trPr>
        <w:tc>
          <w:tcPr>
            <w:tcW w:w="4077" w:type="dxa"/>
            <w:vAlign w:val="center"/>
          </w:tcPr>
          <w:p w14:paraId="62770D2C"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0C41371D" w14:textId="70317DA0" w:rsidR="00A31D99" w:rsidRDefault="00A0643F" w:rsidP="00A174CC">
            <w:pPr>
              <w:pStyle w:val="Tablefont"/>
            </w:pPr>
            <w:r>
              <w:t xml:space="preserve">1 ppm = </w:t>
            </w:r>
            <w:sdt>
              <w:sdtPr>
                <w:id w:val="-371151491"/>
                <w:placeholder>
                  <w:docPart w:val="A7231FB73EFF4B2B92EB3BD21C0CEA01"/>
                </w:placeholder>
              </w:sdtPr>
              <w:sdtEndPr/>
              <w:sdtContent>
                <w:r w:rsidR="00D52161" w:rsidRPr="00D52161">
                  <w:rPr>
                    <w:rStyle w:val="PlaceholderText"/>
                    <w:color w:val="auto"/>
                  </w:rPr>
                  <w:t>9.76</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D52161" w:rsidRPr="00D52161">
                  <w:t>0.10</w:t>
                </w:r>
              </w:sdtContent>
            </w:sdt>
            <w:r>
              <w:t xml:space="preserve"> ppm</w:t>
            </w:r>
          </w:p>
        </w:tc>
      </w:tr>
      <w:tr w:rsidR="00687890" w:rsidRPr="004C23F4" w14:paraId="24AD227A" w14:textId="77777777" w:rsidTr="00EA6243">
        <w:trPr>
          <w:cantSplit/>
          <w:tblHeader/>
        </w:trPr>
        <w:tc>
          <w:tcPr>
            <w:tcW w:w="4077" w:type="dxa"/>
            <w:vAlign w:val="center"/>
          </w:tcPr>
          <w:p w14:paraId="4925C99C"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49B44AFA"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20A951B" w14:textId="77777777" w:rsidTr="00EA6243">
        <w:trPr>
          <w:cantSplit/>
        </w:trPr>
        <w:tc>
          <w:tcPr>
            <w:tcW w:w="4077" w:type="dxa"/>
            <w:vAlign w:val="center"/>
          </w:tcPr>
          <w:p w14:paraId="21106B01"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0DE5C02F"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1E312964" w14:textId="77777777" w:rsidTr="00EA6243">
        <w:trPr>
          <w:cantSplit/>
        </w:trPr>
        <w:tc>
          <w:tcPr>
            <w:tcW w:w="4077" w:type="dxa"/>
            <w:vAlign w:val="center"/>
          </w:tcPr>
          <w:p w14:paraId="2B06F1F8"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447D83AC"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7852E281" w14:textId="77777777" w:rsidTr="00EA6243">
        <w:trPr>
          <w:cantSplit/>
        </w:trPr>
        <w:tc>
          <w:tcPr>
            <w:tcW w:w="4077" w:type="dxa"/>
            <w:vAlign w:val="center"/>
          </w:tcPr>
          <w:p w14:paraId="5F0D94E1"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27155461" w14:textId="36754B5C" w:rsidR="00E06F40" w:rsidRPr="00A006A0" w:rsidRDefault="00C954E4"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EndPr/>
              <w:sdtContent>
                <w:r w:rsidR="00626A64">
                  <w:sym w:font="Wingdings" w:char="F0FC"/>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626A64">
                  <w:sym w:font="Wingdings" w:char="F0FC"/>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EC863D4"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5D6F1A68" w14:textId="77777777" w:rsidTr="00F053FA">
        <w:trPr>
          <w:tblHeader/>
        </w:trPr>
        <w:tc>
          <w:tcPr>
            <w:tcW w:w="4077" w:type="dxa"/>
            <w:shd w:val="clear" w:color="auto" w:fill="BFBFBF" w:themeFill="background1" w:themeFillShade="BF"/>
            <w:vAlign w:val="center"/>
          </w:tcPr>
          <w:p w14:paraId="08AA845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10A3227F" w14:textId="77777777" w:rsidR="00224EE2" w:rsidRPr="004C23F4" w:rsidRDefault="00224EE2" w:rsidP="00EB3D1B">
            <w:pPr>
              <w:pStyle w:val="Tableheader"/>
              <w:keepNext/>
              <w:keepLines/>
            </w:pPr>
            <w:r>
              <w:t>Standard</w:t>
            </w:r>
          </w:p>
        </w:tc>
      </w:tr>
      <w:tr w:rsidR="007F1005" w:rsidRPr="004C23F4" w14:paraId="71B65CA4" w14:textId="77777777" w:rsidTr="00F053FA">
        <w:trPr>
          <w:tblHeader/>
        </w:trPr>
        <w:sdt>
          <w:sdtPr>
            <w:id w:val="-25557549"/>
            <w:showingPlcHdr/>
            <w:text/>
          </w:sdtPr>
          <w:sdtEndPr/>
          <w:sdtContent>
            <w:tc>
              <w:tcPr>
                <w:tcW w:w="4077" w:type="dxa"/>
                <w:vAlign w:val="center"/>
              </w:tcPr>
              <w:p w14:paraId="0A54F16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77BEE725" w14:textId="77777777" w:rsidR="007F1005" w:rsidRPr="004C23F4" w:rsidRDefault="007F1005" w:rsidP="00EB3D1B">
            <w:pPr>
              <w:pStyle w:val="Tablefont"/>
              <w:keepLines/>
            </w:pPr>
          </w:p>
        </w:tc>
      </w:tr>
    </w:tbl>
    <w:bookmarkEnd w:id="4"/>
    <w:p w14:paraId="7C0CF67C" w14:textId="77777777" w:rsidR="00F87D92" w:rsidRDefault="00F87D92" w:rsidP="00EF7F78">
      <w:pPr>
        <w:pStyle w:val="Heading2"/>
        <w:tabs>
          <w:tab w:val="right" w:pos="8505"/>
        </w:tabs>
      </w:pPr>
      <w:r>
        <w:t>References</w:t>
      </w:r>
      <w:r w:rsidR="00EF7F78">
        <w:tab/>
      </w:r>
    </w:p>
    <w:p w14:paraId="1858FD71" w14:textId="61CD52A0"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CE7AD54" w14:textId="728CC328" w:rsidR="008D52FB" w:rsidRDefault="008D52FB" w:rsidP="00084859">
      <w:r w:rsidRPr="002022B6">
        <w:t>Deutsche Forschungsgemeinschaft (DFG)</w:t>
      </w:r>
      <w:r>
        <w:t xml:space="preserve"> (</w:t>
      </w:r>
      <w:r w:rsidR="004015BF">
        <w:t>2014</w:t>
      </w:r>
      <w:r>
        <w:t xml:space="preserve">) </w:t>
      </w:r>
      <w:r w:rsidR="004015BF" w:rsidRPr="004015BF">
        <w:t>Substance Overview for Uranium and its hardly soluble inorganic compounds</w:t>
      </w:r>
      <w:r>
        <w:t xml:space="preserve"> – MAK value documentation.</w:t>
      </w:r>
    </w:p>
    <w:p w14:paraId="7A850150" w14:textId="4CDD97BB" w:rsidR="008E4F1F" w:rsidRPr="008D52FB" w:rsidRDefault="008E4F1F" w:rsidP="008D52FB">
      <w:r w:rsidRPr="002022B6">
        <w:t>Health Council of the Netherlands</w:t>
      </w:r>
      <w:r>
        <w:t xml:space="preserve"> (HCOTN) (</w:t>
      </w:r>
      <w:r w:rsidR="0045140F">
        <w:t>2002</w:t>
      </w:r>
      <w:r>
        <w:t xml:space="preserve">) </w:t>
      </w:r>
      <w:r w:rsidR="0045140F">
        <w:t>Health risks of exposure to depleted u</w:t>
      </w:r>
      <w:r w:rsidR="008D52FB">
        <w:t>ranium</w:t>
      </w:r>
      <w:r w:rsidR="0045140F">
        <w:t>, an overview</w:t>
      </w:r>
      <w:r w:rsidRPr="005F7416">
        <w:t xml:space="preserve">. The Hague: Health Council of the Netherlands; publication no. </w:t>
      </w:r>
      <w:r w:rsidR="0045140F">
        <w:t>2001</w:t>
      </w:r>
      <w:r w:rsidR="008D52FB">
        <w:t>/</w:t>
      </w:r>
      <w:r w:rsidR="0045140F">
        <w:t>13E</w:t>
      </w:r>
      <w:r>
        <w:t>.</w:t>
      </w:r>
    </w:p>
    <w:p w14:paraId="18558F58" w14:textId="4CD8D7EC" w:rsidR="0045140F" w:rsidRDefault="0045140F" w:rsidP="008E4F1F">
      <w:r w:rsidRPr="0045140F">
        <w:t xml:space="preserve">International Agency for Research on Cancer (IARC) </w:t>
      </w:r>
      <w:r w:rsidR="00107F8E">
        <w:t xml:space="preserve">(1999) </w:t>
      </w:r>
      <w:r>
        <w:t>Surgical implants and other foreign bodies</w:t>
      </w:r>
      <w:r w:rsidRPr="0045140F">
        <w:t xml:space="preserve">. IARC Monographs – </w:t>
      </w:r>
      <w:r>
        <w:t>74</w:t>
      </w:r>
      <w:r w:rsidRPr="0045140F">
        <w:t>.</w:t>
      </w:r>
    </w:p>
    <w:p w14:paraId="3434AC44" w14:textId="77777777" w:rsidR="00626A64" w:rsidRDefault="00626A64" w:rsidP="00626A64">
      <w:r w:rsidRPr="00502D8C">
        <w:t xml:space="preserve">Tenth Adaptation to Technical Progress Commission Regulation (EU) No 2017/776 amending, for the purposes of its adaptation to technical and scientific progress, Regulation (EC) No 1272/2008 of the </w:t>
      </w:r>
      <w:r w:rsidRPr="00502D8C">
        <w:lastRenderedPageBreak/>
        <w:t>European Parliament and of the Council on classification, labelling and packaging of substances and mixtures (the CLP Regulation).</w:t>
      </w:r>
    </w:p>
    <w:p w14:paraId="4C1C6B2B" w14:textId="2465B79E" w:rsidR="008E4F1F" w:rsidRDefault="008E4F1F" w:rsidP="008E4F1F">
      <w:r w:rsidRPr="00D86E03">
        <w:t>US National Institute for Occupational Safety and Health (NIOSH)</w:t>
      </w:r>
      <w:r>
        <w:t xml:space="preserve"> (</w:t>
      </w:r>
      <w:r w:rsidR="00502D8C">
        <w:t>1994</w:t>
      </w:r>
      <w:r>
        <w:t xml:space="preserve">) Immediately dangerous to life or health concentrations – </w:t>
      </w:r>
      <w:r w:rsidR="00502D8C">
        <w:t>uranium (insoluble compounds, as U)</w:t>
      </w:r>
      <w:r>
        <w:t>.</w:t>
      </w:r>
    </w:p>
    <w:p w14:paraId="6D41FE90" w14:textId="7A1911ED" w:rsidR="00107F8E" w:rsidRDefault="00107F8E" w:rsidP="008E4F1F">
      <w:pPr>
        <w:rPr>
          <w:b/>
        </w:rPr>
      </w:pPr>
      <w:r w:rsidRPr="00D86E03">
        <w:t>US National Institute for Occupational Safety and Health (NIOSH)</w:t>
      </w:r>
      <w:r>
        <w:t xml:space="preserve"> (1994) Immediately dangerous to life or health concentrations – uranium (soluble compounds, as U).</w:t>
      </w:r>
    </w:p>
    <w:p w14:paraId="79483971"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21204" w14:textId="77777777" w:rsidR="00CC26F1" w:rsidRDefault="00CC26F1" w:rsidP="00F43AD5">
      <w:pPr>
        <w:spacing w:after="0" w:line="240" w:lineRule="auto"/>
      </w:pPr>
      <w:r>
        <w:separator/>
      </w:r>
    </w:p>
  </w:endnote>
  <w:endnote w:type="continuationSeparator" w:id="0">
    <w:p w14:paraId="51290023" w14:textId="77777777" w:rsidR="00CC26F1" w:rsidRDefault="00CC26F1"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FB7B4A3" w14:textId="2A899FCA" w:rsidR="006438C3" w:rsidRDefault="006438C3" w:rsidP="0034744C">
        <w:pPr>
          <w:pStyle w:val="Footer"/>
          <w:rPr>
            <w:sz w:val="18"/>
            <w:szCs w:val="18"/>
          </w:rPr>
        </w:pPr>
        <w:r>
          <w:rPr>
            <w:b/>
            <w:sz w:val="18"/>
            <w:szCs w:val="18"/>
          </w:rPr>
          <w:t>Uranium (natural), soluble &amp; insoluble</w:t>
        </w:r>
        <w:r w:rsidR="00CF24FD">
          <w:rPr>
            <w:b/>
            <w:sz w:val="18"/>
            <w:szCs w:val="18"/>
          </w:rPr>
          <w:t xml:space="preserve"> compounds</w:t>
        </w:r>
        <w:r>
          <w:rPr>
            <w:b/>
            <w:sz w:val="18"/>
            <w:szCs w:val="18"/>
          </w:rPr>
          <w:t xml:space="preserve"> (as U) (7440-61-1)</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sidR="00CF24FD">
          <w:rPr>
            <w:sz w:val="18"/>
            <w:szCs w:val="18"/>
          </w:rPr>
          <w:t>20</w:t>
        </w:r>
      </w:p>
      <w:p w14:paraId="0599B386" w14:textId="4644230C" w:rsidR="006438C3" w:rsidRPr="00F43AD5" w:rsidRDefault="006438C3"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107F8E">
          <w:rPr>
            <w:noProof/>
            <w:sz w:val="18"/>
            <w:szCs w:val="18"/>
          </w:rPr>
          <w:t>7</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23286" w14:textId="77777777" w:rsidR="00CC26F1" w:rsidRDefault="00CC26F1" w:rsidP="00F43AD5">
      <w:pPr>
        <w:spacing w:after="0" w:line="240" w:lineRule="auto"/>
      </w:pPr>
      <w:r>
        <w:separator/>
      </w:r>
    </w:p>
  </w:footnote>
  <w:footnote w:type="continuationSeparator" w:id="0">
    <w:p w14:paraId="1BEEE9F8" w14:textId="77777777" w:rsidR="00CC26F1" w:rsidRDefault="00CC26F1"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E50F0" w14:textId="20A81993" w:rsidR="008856AB" w:rsidRDefault="008856AB" w:rsidP="008856AB">
    <w:pPr>
      <w:pStyle w:val="Header"/>
      <w:jc w:val="right"/>
    </w:pPr>
    <w:r>
      <w:rPr>
        <w:noProof/>
        <w:lang w:eastAsia="en-AU"/>
      </w:rPr>
      <w:drawing>
        <wp:inline distT="0" distB="0" distL="0" distR="0" wp14:anchorId="4E226660" wp14:editId="3FEA50F0">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1C0BA6F3" w14:textId="64DB516C" w:rsidR="006438C3" w:rsidRPr="008856AB" w:rsidRDefault="006438C3" w:rsidP="00885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F3B25" w14:textId="5A4E097A" w:rsidR="008856AB" w:rsidRDefault="008856AB" w:rsidP="008856AB">
    <w:pPr>
      <w:pStyle w:val="Header"/>
      <w:jc w:val="right"/>
    </w:pPr>
    <w:r>
      <w:rPr>
        <w:noProof/>
        <w:lang w:eastAsia="en-AU"/>
      </w:rPr>
      <w:drawing>
        <wp:inline distT="0" distB="0" distL="0" distR="0" wp14:anchorId="4BB3FA1E" wp14:editId="29792688">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7195" cy="605790"/>
                  </a:xfrm>
                  <a:prstGeom prst="rect">
                    <a:avLst/>
                  </a:prstGeom>
                </pic:spPr>
              </pic:pic>
            </a:graphicData>
          </a:graphic>
        </wp:inline>
      </w:drawing>
    </w:r>
  </w:p>
  <w:p w14:paraId="414BEE83" w14:textId="5399D08D" w:rsidR="006438C3" w:rsidRDefault="006438C3"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810681"/>
    <w:multiLevelType w:val="hybridMultilevel"/>
    <w:tmpl w:val="4BB6F64A"/>
    <w:lvl w:ilvl="0" w:tplc="C4CC605E">
      <w:start w:val="40"/>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56654D1"/>
    <w:multiLevelType w:val="hybridMultilevel"/>
    <w:tmpl w:val="D2F45FF6"/>
    <w:lvl w:ilvl="0" w:tplc="C44E6DE2">
      <w:start w:val="40"/>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4439488">
    <w:abstractNumId w:val="1"/>
  </w:num>
  <w:num w:numId="2" w16cid:durableId="1748845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4E7D"/>
    <w:rsid w:val="00005904"/>
    <w:rsid w:val="00007B80"/>
    <w:rsid w:val="00013A22"/>
    <w:rsid w:val="00014C3F"/>
    <w:rsid w:val="00017C82"/>
    <w:rsid w:val="00032B88"/>
    <w:rsid w:val="00037E52"/>
    <w:rsid w:val="00040E13"/>
    <w:rsid w:val="00046DF5"/>
    <w:rsid w:val="00052060"/>
    <w:rsid w:val="0005574A"/>
    <w:rsid w:val="00055FE1"/>
    <w:rsid w:val="00056EC2"/>
    <w:rsid w:val="00060B48"/>
    <w:rsid w:val="0006620B"/>
    <w:rsid w:val="00067F32"/>
    <w:rsid w:val="00071807"/>
    <w:rsid w:val="00073A77"/>
    <w:rsid w:val="000803E1"/>
    <w:rsid w:val="000833C2"/>
    <w:rsid w:val="00084513"/>
    <w:rsid w:val="00084859"/>
    <w:rsid w:val="00091876"/>
    <w:rsid w:val="00092D94"/>
    <w:rsid w:val="000B0868"/>
    <w:rsid w:val="000B3E12"/>
    <w:rsid w:val="000B3E78"/>
    <w:rsid w:val="000B5702"/>
    <w:rsid w:val="000B7B48"/>
    <w:rsid w:val="000C096D"/>
    <w:rsid w:val="000C139A"/>
    <w:rsid w:val="000C2053"/>
    <w:rsid w:val="000C248C"/>
    <w:rsid w:val="000D291C"/>
    <w:rsid w:val="000D78F8"/>
    <w:rsid w:val="000E5A54"/>
    <w:rsid w:val="000E63D3"/>
    <w:rsid w:val="000E67CF"/>
    <w:rsid w:val="0010461E"/>
    <w:rsid w:val="001049DA"/>
    <w:rsid w:val="00106FAA"/>
    <w:rsid w:val="00107F8E"/>
    <w:rsid w:val="00113443"/>
    <w:rsid w:val="001269A7"/>
    <w:rsid w:val="00131092"/>
    <w:rsid w:val="00140E6A"/>
    <w:rsid w:val="00146545"/>
    <w:rsid w:val="00146B75"/>
    <w:rsid w:val="0015266D"/>
    <w:rsid w:val="0015288A"/>
    <w:rsid w:val="00155999"/>
    <w:rsid w:val="00160F47"/>
    <w:rsid w:val="00177CA1"/>
    <w:rsid w:val="00183823"/>
    <w:rsid w:val="00183942"/>
    <w:rsid w:val="001915F6"/>
    <w:rsid w:val="001972E2"/>
    <w:rsid w:val="001A009E"/>
    <w:rsid w:val="001A1287"/>
    <w:rsid w:val="001A3859"/>
    <w:rsid w:val="001A3C9D"/>
    <w:rsid w:val="001A43F8"/>
    <w:rsid w:val="001B5367"/>
    <w:rsid w:val="001B79E5"/>
    <w:rsid w:val="001C1FCB"/>
    <w:rsid w:val="001C50C1"/>
    <w:rsid w:val="001D4A54"/>
    <w:rsid w:val="001D56F0"/>
    <w:rsid w:val="001D663B"/>
    <w:rsid w:val="001D6D2C"/>
    <w:rsid w:val="001D7B41"/>
    <w:rsid w:val="001E4415"/>
    <w:rsid w:val="001E46DA"/>
    <w:rsid w:val="001E7D80"/>
    <w:rsid w:val="001F4B6C"/>
    <w:rsid w:val="001F62CB"/>
    <w:rsid w:val="001F6ED0"/>
    <w:rsid w:val="001F72E6"/>
    <w:rsid w:val="001F73C5"/>
    <w:rsid w:val="002046A6"/>
    <w:rsid w:val="00204956"/>
    <w:rsid w:val="00205631"/>
    <w:rsid w:val="00210F07"/>
    <w:rsid w:val="00213640"/>
    <w:rsid w:val="00221547"/>
    <w:rsid w:val="002216FC"/>
    <w:rsid w:val="00222533"/>
    <w:rsid w:val="00222F30"/>
    <w:rsid w:val="00224EE2"/>
    <w:rsid w:val="00227EC7"/>
    <w:rsid w:val="00241E99"/>
    <w:rsid w:val="00244AD1"/>
    <w:rsid w:val="002463BC"/>
    <w:rsid w:val="002465CE"/>
    <w:rsid w:val="0025734A"/>
    <w:rsid w:val="00263255"/>
    <w:rsid w:val="00276494"/>
    <w:rsid w:val="00277B0C"/>
    <w:rsid w:val="00284112"/>
    <w:rsid w:val="0028620A"/>
    <w:rsid w:val="002B1A2C"/>
    <w:rsid w:val="002C34F2"/>
    <w:rsid w:val="002C3F07"/>
    <w:rsid w:val="002C58FF"/>
    <w:rsid w:val="002C7AFE"/>
    <w:rsid w:val="002D05D2"/>
    <w:rsid w:val="002E0D61"/>
    <w:rsid w:val="002E4C7B"/>
    <w:rsid w:val="002E6D33"/>
    <w:rsid w:val="002F351F"/>
    <w:rsid w:val="0030740C"/>
    <w:rsid w:val="00315833"/>
    <w:rsid w:val="003215EE"/>
    <w:rsid w:val="003224BF"/>
    <w:rsid w:val="003241A8"/>
    <w:rsid w:val="003253F0"/>
    <w:rsid w:val="003337DA"/>
    <w:rsid w:val="00334EFB"/>
    <w:rsid w:val="00335CDE"/>
    <w:rsid w:val="003365A5"/>
    <w:rsid w:val="00347192"/>
    <w:rsid w:val="0034744C"/>
    <w:rsid w:val="00347801"/>
    <w:rsid w:val="00351FE0"/>
    <w:rsid w:val="00352615"/>
    <w:rsid w:val="0035412B"/>
    <w:rsid w:val="003567A8"/>
    <w:rsid w:val="00362895"/>
    <w:rsid w:val="00370DBF"/>
    <w:rsid w:val="00386093"/>
    <w:rsid w:val="003904A4"/>
    <w:rsid w:val="003905FA"/>
    <w:rsid w:val="00391841"/>
    <w:rsid w:val="00391B6D"/>
    <w:rsid w:val="00394922"/>
    <w:rsid w:val="003A0E32"/>
    <w:rsid w:val="003A2579"/>
    <w:rsid w:val="003A2B94"/>
    <w:rsid w:val="003B387D"/>
    <w:rsid w:val="003B5C51"/>
    <w:rsid w:val="003B7640"/>
    <w:rsid w:val="003C0D58"/>
    <w:rsid w:val="003D4FA3"/>
    <w:rsid w:val="003E0807"/>
    <w:rsid w:val="003E51FB"/>
    <w:rsid w:val="003E6B39"/>
    <w:rsid w:val="003F07E1"/>
    <w:rsid w:val="004015BF"/>
    <w:rsid w:val="004030BC"/>
    <w:rsid w:val="00403F7D"/>
    <w:rsid w:val="00406785"/>
    <w:rsid w:val="004079B4"/>
    <w:rsid w:val="00417A56"/>
    <w:rsid w:val="00420957"/>
    <w:rsid w:val="00422A10"/>
    <w:rsid w:val="00430179"/>
    <w:rsid w:val="00431262"/>
    <w:rsid w:val="004414B5"/>
    <w:rsid w:val="00444482"/>
    <w:rsid w:val="00444B42"/>
    <w:rsid w:val="00445E44"/>
    <w:rsid w:val="004509E2"/>
    <w:rsid w:val="0045140F"/>
    <w:rsid w:val="004515EE"/>
    <w:rsid w:val="004529F0"/>
    <w:rsid w:val="00460A03"/>
    <w:rsid w:val="00467773"/>
    <w:rsid w:val="00472A11"/>
    <w:rsid w:val="00472AAD"/>
    <w:rsid w:val="00474E33"/>
    <w:rsid w:val="00476803"/>
    <w:rsid w:val="00484C18"/>
    <w:rsid w:val="00485BFD"/>
    <w:rsid w:val="004867A2"/>
    <w:rsid w:val="004873F2"/>
    <w:rsid w:val="00490D4C"/>
    <w:rsid w:val="00493A35"/>
    <w:rsid w:val="0049527A"/>
    <w:rsid w:val="004966BF"/>
    <w:rsid w:val="00497984"/>
    <w:rsid w:val="00497D1C"/>
    <w:rsid w:val="004A5088"/>
    <w:rsid w:val="004C1E3F"/>
    <w:rsid w:val="004C23F4"/>
    <w:rsid w:val="004C3475"/>
    <w:rsid w:val="004C58B6"/>
    <w:rsid w:val="004D0518"/>
    <w:rsid w:val="004D16A3"/>
    <w:rsid w:val="004D4AA1"/>
    <w:rsid w:val="004D6D68"/>
    <w:rsid w:val="004E5EDD"/>
    <w:rsid w:val="004F448A"/>
    <w:rsid w:val="004F493D"/>
    <w:rsid w:val="004F65E8"/>
    <w:rsid w:val="0050005E"/>
    <w:rsid w:val="00502B88"/>
    <w:rsid w:val="00502D8C"/>
    <w:rsid w:val="00507244"/>
    <w:rsid w:val="005142C4"/>
    <w:rsid w:val="0051509C"/>
    <w:rsid w:val="00517A4F"/>
    <w:rsid w:val="005272E2"/>
    <w:rsid w:val="0053108F"/>
    <w:rsid w:val="00532B56"/>
    <w:rsid w:val="00534B10"/>
    <w:rsid w:val="00535D03"/>
    <w:rsid w:val="005446A2"/>
    <w:rsid w:val="00544D2F"/>
    <w:rsid w:val="00551BD8"/>
    <w:rsid w:val="00570BF4"/>
    <w:rsid w:val="00581055"/>
    <w:rsid w:val="00585CFB"/>
    <w:rsid w:val="00591E38"/>
    <w:rsid w:val="005A19C5"/>
    <w:rsid w:val="005A3034"/>
    <w:rsid w:val="005A394C"/>
    <w:rsid w:val="005A462D"/>
    <w:rsid w:val="005B07BD"/>
    <w:rsid w:val="005B253B"/>
    <w:rsid w:val="005B771D"/>
    <w:rsid w:val="005C5D16"/>
    <w:rsid w:val="005D3193"/>
    <w:rsid w:val="005D4A6E"/>
    <w:rsid w:val="005D784B"/>
    <w:rsid w:val="005E43A2"/>
    <w:rsid w:val="005E6979"/>
    <w:rsid w:val="005E75CB"/>
    <w:rsid w:val="006013C1"/>
    <w:rsid w:val="00603BF0"/>
    <w:rsid w:val="00604095"/>
    <w:rsid w:val="0060669E"/>
    <w:rsid w:val="0060682B"/>
    <w:rsid w:val="00607E12"/>
    <w:rsid w:val="00610F2E"/>
    <w:rsid w:val="00611399"/>
    <w:rsid w:val="00624C4E"/>
    <w:rsid w:val="00625200"/>
    <w:rsid w:val="00626A64"/>
    <w:rsid w:val="006363A8"/>
    <w:rsid w:val="00636DB7"/>
    <w:rsid w:val="006438C3"/>
    <w:rsid w:val="00644D2E"/>
    <w:rsid w:val="00650905"/>
    <w:rsid w:val="006532ED"/>
    <w:rsid w:val="006549F2"/>
    <w:rsid w:val="00655F18"/>
    <w:rsid w:val="006567B7"/>
    <w:rsid w:val="00656F3B"/>
    <w:rsid w:val="00657BFB"/>
    <w:rsid w:val="0066333C"/>
    <w:rsid w:val="006639B4"/>
    <w:rsid w:val="006650FE"/>
    <w:rsid w:val="0067305D"/>
    <w:rsid w:val="00673865"/>
    <w:rsid w:val="00677D9B"/>
    <w:rsid w:val="006867F3"/>
    <w:rsid w:val="00687890"/>
    <w:rsid w:val="006901A2"/>
    <w:rsid w:val="00690368"/>
    <w:rsid w:val="0069079C"/>
    <w:rsid w:val="00690B53"/>
    <w:rsid w:val="00690EAE"/>
    <w:rsid w:val="00695B72"/>
    <w:rsid w:val="006B160A"/>
    <w:rsid w:val="006B4E6C"/>
    <w:rsid w:val="006B50B6"/>
    <w:rsid w:val="006B6834"/>
    <w:rsid w:val="006C3DBB"/>
    <w:rsid w:val="006D79EA"/>
    <w:rsid w:val="006E5D05"/>
    <w:rsid w:val="00701053"/>
    <w:rsid w:val="00701507"/>
    <w:rsid w:val="00712BDE"/>
    <w:rsid w:val="00714021"/>
    <w:rsid w:val="007155B9"/>
    <w:rsid w:val="00716A0F"/>
    <w:rsid w:val="00717D45"/>
    <w:rsid w:val="007208F7"/>
    <w:rsid w:val="007218AF"/>
    <w:rsid w:val="007365D1"/>
    <w:rsid w:val="00740E0E"/>
    <w:rsid w:val="00750212"/>
    <w:rsid w:val="00754779"/>
    <w:rsid w:val="0075716D"/>
    <w:rsid w:val="00765F14"/>
    <w:rsid w:val="00767A9F"/>
    <w:rsid w:val="00770E31"/>
    <w:rsid w:val="007770F1"/>
    <w:rsid w:val="00777364"/>
    <w:rsid w:val="00783FB1"/>
    <w:rsid w:val="00785CDD"/>
    <w:rsid w:val="00791847"/>
    <w:rsid w:val="007925F0"/>
    <w:rsid w:val="007939B3"/>
    <w:rsid w:val="0079509C"/>
    <w:rsid w:val="00796708"/>
    <w:rsid w:val="007A3E6A"/>
    <w:rsid w:val="007B1B42"/>
    <w:rsid w:val="007B50F8"/>
    <w:rsid w:val="007C30EB"/>
    <w:rsid w:val="007E063C"/>
    <w:rsid w:val="007E174F"/>
    <w:rsid w:val="007E2A4B"/>
    <w:rsid w:val="007E307D"/>
    <w:rsid w:val="007E6A4E"/>
    <w:rsid w:val="007E6C94"/>
    <w:rsid w:val="007F1005"/>
    <w:rsid w:val="007F25E0"/>
    <w:rsid w:val="007F2722"/>
    <w:rsid w:val="007F5328"/>
    <w:rsid w:val="007F63C6"/>
    <w:rsid w:val="008010B2"/>
    <w:rsid w:val="00804F5A"/>
    <w:rsid w:val="00810C6D"/>
    <w:rsid w:val="00812887"/>
    <w:rsid w:val="0082517E"/>
    <w:rsid w:val="00826051"/>
    <w:rsid w:val="00826F21"/>
    <w:rsid w:val="00834CC8"/>
    <w:rsid w:val="00835E00"/>
    <w:rsid w:val="00837113"/>
    <w:rsid w:val="008414E4"/>
    <w:rsid w:val="00843E21"/>
    <w:rsid w:val="0084508E"/>
    <w:rsid w:val="008502A0"/>
    <w:rsid w:val="00857A8A"/>
    <w:rsid w:val="008630EE"/>
    <w:rsid w:val="00864D13"/>
    <w:rsid w:val="00871CD5"/>
    <w:rsid w:val="008745A2"/>
    <w:rsid w:val="008761A1"/>
    <w:rsid w:val="008768A8"/>
    <w:rsid w:val="00877B35"/>
    <w:rsid w:val="00882A02"/>
    <w:rsid w:val="008856AB"/>
    <w:rsid w:val="0088798F"/>
    <w:rsid w:val="00887E4B"/>
    <w:rsid w:val="008915C8"/>
    <w:rsid w:val="008942EE"/>
    <w:rsid w:val="008A22C2"/>
    <w:rsid w:val="008A36CF"/>
    <w:rsid w:val="008A3BC4"/>
    <w:rsid w:val="008B3634"/>
    <w:rsid w:val="008B403C"/>
    <w:rsid w:val="008B7983"/>
    <w:rsid w:val="008C2511"/>
    <w:rsid w:val="008C7FB3"/>
    <w:rsid w:val="008D026D"/>
    <w:rsid w:val="008D23AB"/>
    <w:rsid w:val="008D2F5C"/>
    <w:rsid w:val="008D4B8B"/>
    <w:rsid w:val="008D52FB"/>
    <w:rsid w:val="008D5A78"/>
    <w:rsid w:val="008E4F1F"/>
    <w:rsid w:val="008E67DB"/>
    <w:rsid w:val="008E7B64"/>
    <w:rsid w:val="008F2AA0"/>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6163"/>
    <w:rsid w:val="00977524"/>
    <w:rsid w:val="00977E88"/>
    <w:rsid w:val="00984920"/>
    <w:rsid w:val="0099303A"/>
    <w:rsid w:val="009971C2"/>
    <w:rsid w:val="009A1254"/>
    <w:rsid w:val="009A6C2C"/>
    <w:rsid w:val="009B2FF2"/>
    <w:rsid w:val="009B380C"/>
    <w:rsid w:val="009B4843"/>
    <w:rsid w:val="009B6543"/>
    <w:rsid w:val="009C199D"/>
    <w:rsid w:val="009C278F"/>
    <w:rsid w:val="009C2B94"/>
    <w:rsid w:val="009C5874"/>
    <w:rsid w:val="009C6A7B"/>
    <w:rsid w:val="009D3B5A"/>
    <w:rsid w:val="009E0C05"/>
    <w:rsid w:val="009E0D1C"/>
    <w:rsid w:val="009E0EC1"/>
    <w:rsid w:val="009E1101"/>
    <w:rsid w:val="009E2214"/>
    <w:rsid w:val="009E355A"/>
    <w:rsid w:val="009E63E2"/>
    <w:rsid w:val="009F04D2"/>
    <w:rsid w:val="009F05CF"/>
    <w:rsid w:val="009F0F3A"/>
    <w:rsid w:val="00A01D0C"/>
    <w:rsid w:val="00A0643F"/>
    <w:rsid w:val="00A067EE"/>
    <w:rsid w:val="00A10FCE"/>
    <w:rsid w:val="00A15E27"/>
    <w:rsid w:val="00A16D91"/>
    <w:rsid w:val="00A174CC"/>
    <w:rsid w:val="00A2073D"/>
    <w:rsid w:val="00A20751"/>
    <w:rsid w:val="00A22794"/>
    <w:rsid w:val="00A27E2D"/>
    <w:rsid w:val="00A31D99"/>
    <w:rsid w:val="00A3254A"/>
    <w:rsid w:val="00A357BA"/>
    <w:rsid w:val="00A35ADC"/>
    <w:rsid w:val="00A402A3"/>
    <w:rsid w:val="00A45D4F"/>
    <w:rsid w:val="00A50F61"/>
    <w:rsid w:val="00A53681"/>
    <w:rsid w:val="00A633D4"/>
    <w:rsid w:val="00A6461A"/>
    <w:rsid w:val="00A80C9C"/>
    <w:rsid w:val="00A84504"/>
    <w:rsid w:val="00A865BB"/>
    <w:rsid w:val="00A8672F"/>
    <w:rsid w:val="00A93057"/>
    <w:rsid w:val="00A968B0"/>
    <w:rsid w:val="00AA250E"/>
    <w:rsid w:val="00AA3F3B"/>
    <w:rsid w:val="00AB2672"/>
    <w:rsid w:val="00AB2817"/>
    <w:rsid w:val="00AB43C4"/>
    <w:rsid w:val="00AC32E7"/>
    <w:rsid w:val="00AC3A9F"/>
    <w:rsid w:val="00AC6D2F"/>
    <w:rsid w:val="00AD45B9"/>
    <w:rsid w:val="00AE2745"/>
    <w:rsid w:val="00AE2F64"/>
    <w:rsid w:val="00AE7904"/>
    <w:rsid w:val="00AF0929"/>
    <w:rsid w:val="00AF2B87"/>
    <w:rsid w:val="00AF42CB"/>
    <w:rsid w:val="00AF483F"/>
    <w:rsid w:val="00AF5E07"/>
    <w:rsid w:val="00AF5F06"/>
    <w:rsid w:val="00B00A25"/>
    <w:rsid w:val="00B104FA"/>
    <w:rsid w:val="00B13671"/>
    <w:rsid w:val="00B1422A"/>
    <w:rsid w:val="00B16B92"/>
    <w:rsid w:val="00B1765C"/>
    <w:rsid w:val="00B213C4"/>
    <w:rsid w:val="00B4054D"/>
    <w:rsid w:val="00B40C60"/>
    <w:rsid w:val="00B479A9"/>
    <w:rsid w:val="00B52EDF"/>
    <w:rsid w:val="00B71188"/>
    <w:rsid w:val="00B76A41"/>
    <w:rsid w:val="00B87D4C"/>
    <w:rsid w:val="00B93646"/>
    <w:rsid w:val="00BA0B38"/>
    <w:rsid w:val="00BA1DBB"/>
    <w:rsid w:val="00BA3A08"/>
    <w:rsid w:val="00BA4510"/>
    <w:rsid w:val="00BA529A"/>
    <w:rsid w:val="00BB0B3F"/>
    <w:rsid w:val="00BB612A"/>
    <w:rsid w:val="00BD499F"/>
    <w:rsid w:val="00BD56DE"/>
    <w:rsid w:val="00BF2406"/>
    <w:rsid w:val="00C06E43"/>
    <w:rsid w:val="00C16315"/>
    <w:rsid w:val="00C27381"/>
    <w:rsid w:val="00C3091E"/>
    <w:rsid w:val="00C351C7"/>
    <w:rsid w:val="00C40FF1"/>
    <w:rsid w:val="00C419E2"/>
    <w:rsid w:val="00C45AAB"/>
    <w:rsid w:val="00C5020E"/>
    <w:rsid w:val="00C57452"/>
    <w:rsid w:val="00C61EDF"/>
    <w:rsid w:val="00C6239D"/>
    <w:rsid w:val="00C6594B"/>
    <w:rsid w:val="00C67FFB"/>
    <w:rsid w:val="00C7155E"/>
    <w:rsid w:val="00C71D1E"/>
    <w:rsid w:val="00C71D7D"/>
    <w:rsid w:val="00C74833"/>
    <w:rsid w:val="00C8293E"/>
    <w:rsid w:val="00C850A0"/>
    <w:rsid w:val="00C85A86"/>
    <w:rsid w:val="00C92362"/>
    <w:rsid w:val="00C954E4"/>
    <w:rsid w:val="00C978F0"/>
    <w:rsid w:val="00CA28F6"/>
    <w:rsid w:val="00CA58FE"/>
    <w:rsid w:val="00CA79EB"/>
    <w:rsid w:val="00CB1CB1"/>
    <w:rsid w:val="00CB6BC1"/>
    <w:rsid w:val="00CB6CB8"/>
    <w:rsid w:val="00CC1A68"/>
    <w:rsid w:val="00CC2123"/>
    <w:rsid w:val="00CC26F1"/>
    <w:rsid w:val="00CD2BFD"/>
    <w:rsid w:val="00CE5AD6"/>
    <w:rsid w:val="00CE617F"/>
    <w:rsid w:val="00CE78EF"/>
    <w:rsid w:val="00CF24FD"/>
    <w:rsid w:val="00D048F7"/>
    <w:rsid w:val="00D0517E"/>
    <w:rsid w:val="00D140FC"/>
    <w:rsid w:val="00D21D8C"/>
    <w:rsid w:val="00D31357"/>
    <w:rsid w:val="00D33220"/>
    <w:rsid w:val="00D334D1"/>
    <w:rsid w:val="00D44C89"/>
    <w:rsid w:val="00D516CD"/>
    <w:rsid w:val="00D52161"/>
    <w:rsid w:val="00D63697"/>
    <w:rsid w:val="00D668E6"/>
    <w:rsid w:val="00D70670"/>
    <w:rsid w:val="00D70E8C"/>
    <w:rsid w:val="00D74D80"/>
    <w:rsid w:val="00D76624"/>
    <w:rsid w:val="00D87570"/>
    <w:rsid w:val="00D91CB9"/>
    <w:rsid w:val="00D97989"/>
    <w:rsid w:val="00D97D8D"/>
    <w:rsid w:val="00DA352E"/>
    <w:rsid w:val="00DC7694"/>
    <w:rsid w:val="00DD1BF6"/>
    <w:rsid w:val="00DD2F9B"/>
    <w:rsid w:val="00DE2513"/>
    <w:rsid w:val="00DE26E8"/>
    <w:rsid w:val="00DE667E"/>
    <w:rsid w:val="00DF0590"/>
    <w:rsid w:val="00DF1CE3"/>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75736"/>
    <w:rsid w:val="00E804EA"/>
    <w:rsid w:val="00E80A71"/>
    <w:rsid w:val="00E82337"/>
    <w:rsid w:val="00E835A8"/>
    <w:rsid w:val="00E92499"/>
    <w:rsid w:val="00E949AF"/>
    <w:rsid w:val="00E96077"/>
    <w:rsid w:val="00EA0A06"/>
    <w:rsid w:val="00EA1470"/>
    <w:rsid w:val="00EA4BF1"/>
    <w:rsid w:val="00EA6243"/>
    <w:rsid w:val="00EA74AB"/>
    <w:rsid w:val="00EB3D1B"/>
    <w:rsid w:val="00ED1D89"/>
    <w:rsid w:val="00ED57DA"/>
    <w:rsid w:val="00ED66BC"/>
    <w:rsid w:val="00EE66E1"/>
    <w:rsid w:val="00EF233A"/>
    <w:rsid w:val="00EF303E"/>
    <w:rsid w:val="00EF3A40"/>
    <w:rsid w:val="00EF7F78"/>
    <w:rsid w:val="00F01B08"/>
    <w:rsid w:val="00F01C4D"/>
    <w:rsid w:val="00F053FA"/>
    <w:rsid w:val="00F07570"/>
    <w:rsid w:val="00F10C97"/>
    <w:rsid w:val="00F11C71"/>
    <w:rsid w:val="00F14567"/>
    <w:rsid w:val="00F16019"/>
    <w:rsid w:val="00F20E68"/>
    <w:rsid w:val="00F22093"/>
    <w:rsid w:val="00F236DF"/>
    <w:rsid w:val="00F30000"/>
    <w:rsid w:val="00F43AD5"/>
    <w:rsid w:val="00F4402E"/>
    <w:rsid w:val="00F56DD0"/>
    <w:rsid w:val="00F6491C"/>
    <w:rsid w:val="00F67BBB"/>
    <w:rsid w:val="00F87D92"/>
    <w:rsid w:val="00F90AA7"/>
    <w:rsid w:val="00F92498"/>
    <w:rsid w:val="00F9496B"/>
    <w:rsid w:val="00F970C9"/>
    <w:rsid w:val="00FA06A8"/>
    <w:rsid w:val="00FA3DF5"/>
    <w:rsid w:val="00FA741F"/>
    <w:rsid w:val="00FB1E87"/>
    <w:rsid w:val="00FB4E07"/>
    <w:rsid w:val="00FB6054"/>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17AF1D46"/>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656F3B"/>
    <w:rPr>
      <w:sz w:val="16"/>
      <w:szCs w:val="16"/>
    </w:rPr>
  </w:style>
  <w:style w:type="paragraph" w:styleId="CommentText">
    <w:name w:val="annotation text"/>
    <w:basedOn w:val="Normal"/>
    <w:link w:val="CommentTextChar"/>
    <w:uiPriority w:val="99"/>
    <w:semiHidden/>
    <w:unhideWhenUsed/>
    <w:rsid w:val="00656F3B"/>
    <w:pPr>
      <w:spacing w:line="240" w:lineRule="auto"/>
    </w:pPr>
    <w:rPr>
      <w:szCs w:val="20"/>
    </w:rPr>
  </w:style>
  <w:style w:type="character" w:customStyle="1" w:styleId="CommentTextChar">
    <w:name w:val="Comment Text Char"/>
    <w:basedOn w:val="DefaultParagraphFont"/>
    <w:link w:val="CommentText"/>
    <w:uiPriority w:val="99"/>
    <w:semiHidden/>
    <w:rsid w:val="00656F3B"/>
    <w:rPr>
      <w:szCs w:val="20"/>
    </w:rPr>
  </w:style>
  <w:style w:type="paragraph" w:styleId="CommentSubject">
    <w:name w:val="annotation subject"/>
    <w:basedOn w:val="CommentText"/>
    <w:next w:val="CommentText"/>
    <w:link w:val="CommentSubjectChar"/>
    <w:uiPriority w:val="99"/>
    <w:semiHidden/>
    <w:unhideWhenUsed/>
    <w:rsid w:val="00656F3B"/>
    <w:rPr>
      <w:b/>
      <w:bCs/>
    </w:rPr>
  </w:style>
  <w:style w:type="character" w:customStyle="1" w:styleId="CommentSubjectChar">
    <w:name w:val="Comment Subject Char"/>
    <w:basedOn w:val="CommentTextChar"/>
    <w:link w:val="CommentSubject"/>
    <w:uiPriority w:val="99"/>
    <w:semiHidden/>
    <w:rsid w:val="00656F3B"/>
    <w:rPr>
      <w:b/>
      <w:bCs/>
      <w:szCs w:val="20"/>
    </w:rPr>
  </w:style>
  <w:style w:type="character" w:styleId="UnresolvedMention">
    <w:name w:val="Unresolved Mention"/>
    <w:basedOn w:val="DefaultParagraphFont"/>
    <w:uiPriority w:val="99"/>
    <w:semiHidden/>
    <w:unhideWhenUsed/>
    <w:rsid w:val="004015BF"/>
    <w:rPr>
      <w:color w:val="605E5C"/>
      <w:shd w:val="clear" w:color="auto" w:fill="E1DFDD"/>
    </w:rPr>
  </w:style>
  <w:style w:type="character" w:styleId="FollowedHyperlink">
    <w:name w:val="FollowedHyperlink"/>
    <w:basedOn w:val="DefaultParagraphFont"/>
    <w:uiPriority w:val="99"/>
    <w:semiHidden/>
    <w:unhideWhenUsed/>
    <w:rsid w:val="002056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722727">
      <w:bodyDiv w:val="1"/>
      <w:marLeft w:val="0"/>
      <w:marRight w:val="0"/>
      <w:marTop w:val="0"/>
      <w:marBottom w:val="0"/>
      <w:divBdr>
        <w:top w:val="none" w:sz="0" w:space="0" w:color="auto"/>
        <w:left w:val="none" w:sz="0" w:space="0" w:color="auto"/>
        <w:bottom w:val="none" w:sz="0" w:space="0" w:color="auto"/>
        <w:right w:val="none" w:sz="0" w:space="0" w:color="auto"/>
      </w:divBdr>
    </w:div>
    <w:div w:id="561327647">
      <w:bodyDiv w:val="1"/>
      <w:marLeft w:val="0"/>
      <w:marRight w:val="0"/>
      <w:marTop w:val="0"/>
      <w:marBottom w:val="0"/>
      <w:divBdr>
        <w:top w:val="none" w:sz="0" w:space="0" w:color="auto"/>
        <w:left w:val="none" w:sz="0" w:space="0" w:color="auto"/>
        <w:bottom w:val="none" w:sz="0" w:space="0" w:color="auto"/>
        <w:right w:val="none" w:sz="0" w:space="0" w:color="auto"/>
      </w:divBdr>
    </w:div>
    <w:div w:id="1310094887">
      <w:bodyDiv w:val="1"/>
      <w:marLeft w:val="0"/>
      <w:marRight w:val="0"/>
      <w:marTop w:val="0"/>
      <w:marBottom w:val="0"/>
      <w:divBdr>
        <w:top w:val="none" w:sz="0" w:space="0" w:color="auto"/>
        <w:left w:val="none" w:sz="0" w:space="0" w:color="auto"/>
        <w:bottom w:val="none" w:sz="0" w:space="0" w:color="auto"/>
        <w:right w:val="none" w:sz="0" w:space="0" w:color="auto"/>
      </w:divBdr>
    </w:div>
    <w:div w:id="162916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FB0686" w:rsidRDefault="00CA72D3" w:rsidP="00CA72D3">
          <w:pPr>
            <w:pStyle w:val="DA2FFE9CEF2D415F9F59B567F352ED2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347D16"/>
    <w:rsid w:val="003E0149"/>
    <w:rsid w:val="004D1FBF"/>
    <w:rsid w:val="00677777"/>
    <w:rsid w:val="00755FBF"/>
    <w:rsid w:val="008942EE"/>
    <w:rsid w:val="008E67DB"/>
    <w:rsid w:val="00B95673"/>
    <w:rsid w:val="00BD1ABF"/>
    <w:rsid w:val="00CA72D3"/>
    <w:rsid w:val="00D21A9F"/>
    <w:rsid w:val="00DA56D7"/>
    <w:rsid w:val="00FB06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2D3"/>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20BC8D26515A4C11AC6304FB75A7CBAD">
    <w:name w:val="20BC8D26515A4C11AC6304FB75A7CBAD"/>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DA2FFE9CEF2D415F9F59B567F352ED2C">
    <w:name w:val="DA2FFE9CEF2D415F9F59B567F352ED2C"/>
    <w:rsid w:val="00CA72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B26FD3B4-E5FF-44D0-A85D-1656AEB7AF7B}">
  <ds:schemaRefs>
    <ds:schemaRef ds:uri="1c567317-0c4d-4a62-8516-c22afd1b5354"/>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http://schemas.microsoft.com/office/2006/metadata/properties"/>
    <ds:schemaRef ds:uri="a0509f21-ed56-4150-9955-96be669e5f2d"/>
    <ds:schemaRef ds:uri="http://purl.org/dc/terms/"/>
  </ds:schemaRefs>
</ds:datastoreItem>
</file>

<file path=customXml/itemProps3.xml><?xml version="1.0" encoding="utf-8"?>
<ds:datastoreItem xmlns:ds="http://schemas.openxmlformats.org/officeDocument/2006/customXml" ds:itemID="{2CDF037A-5477-41C4-A6F4-37951FE6E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F692C1-B5AB-4D70-9D20-596B6C071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2867</Words>
  <Characters>16346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5</cp:revision>
  <cp:lastPrinted>2018-10-22T22:41:00Z</cp:lastPrinted>
  <dcterms:created xsi:type="dcterms:W3CDTF">2020-07-05T23:17:00Z</dcterms:created>
  <dcterms:modified xsi:type="dcterms:W3CDTF">2026-01-09T02:05:00Z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2026-01-07T01:54:28Z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b5e9155c-fb22-47f6-88c9-42ebdd64d471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