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  <w:lang w:val="it-IT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0EBEDFD1" w:rsidR="00BD499F" w:rsidRPr="00687DBE" w:rsidRDefault="001006DA" w:rsidP="00B40C60">
          <w:pPr>
            <w:pStyle w:val="Heading1"/>
            <w:jc w:val="center"/>
            <w:rPr>
              <w:rFonts w:ascii="Arial" w:hAnsi="Arial" w:cs="Arial"/>
              <w:lang w:val="it-IT"/>
            </w:rPr>
          </w:pPr>
          <w:r w:rsidRPr="00687DBE">
            <w:rPr>
              <w:rFonts w:ascii="Arial" w:hAnsi="Arial" w:cs="Arial"/>
              <w:lang w:val="it-IT"/>
            </w:rPr>
            <w:t>m-Xylene-ALPHA, ALPHA'-diamine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2615"/>
        <w:gridCol w:w="3797"/>
        <w:gridCol w:w="2614"/>
      </w:tblGrid>
      <w:tr w:rsidR="00221526" w:rsidRPr="004C23F4" w14:paraId="189D6E38" w14:textId="5DBD602A" w:rsidTr="00221526">
        <w:trPr>
          <w:cantSplit/>
          <w:tblHeader/>
        </w:trPr>
        <w:tc>
          <w:tcPr>
            <w:tcW w:w="2615" w:type="dxa"/>
          </w:tcPr>
          <w:p w14:paraId="517634FF" w14:textId="77777777" w:rsidR="00221526" w:rsidRPr="00921DE7" w:rsidRDefault="00221526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3797" w:type="dxa"/>
          </w:tcPr>
          <w:p w14:paraId="3EDBFD9E" w14:textId="7BFC34B4" w:rsidR="00221526" w:rsidRPr="00717D45" w:rsidRDefault="00221526" w:rsidP="00B76A41">
            <w:pPr>
              <w:pStyle w:val="Tablefont"/>
            </w:pPr>
            <w:r w:rsidRPr="001006DA">
              <w:t>1477-55-0</w:t>
            </w:r>
          </w:p>
        </w:tc>
        <w:tc>
          <w:tcPr>
            <w:tcW w:w="2614" w:type="dxa"/>
          </w:tcPr>
          <w:p w14:paraId="451F1941" w14:textId="77777777" w:rsidR="00221526" w:rsidRPr="001006DA" w:rsidRDefault="00221526" w:rsidP="00B76A41">
            <w:pPr>
              <w:pStyle w:val="Tablefont"/>
            </w:pPr>
          </w:p>
        </w:tc>
      </w:tr>
      <w:tr w:rsidR="00221526" w:rsidRPr="004C23F4" w14:paraId="562A9F51" w14:textId="55189EF7" w:rsidTr="00221526">
        <w:trPr>
          <w:cantSplit/>
        </w:trPr>
        <w:tc>
          <w:tcPr>
            <w:tcW w:w="2615" w:type="dxa"/>
          </w:tcPr>
          <w:p w14:paraId="6A9A0952" w14:textId="77777777" w:rsidR="00221526" w:rsidRPr="00921DE7" w:rsidRDefault="00221526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3797" w:type="dxa"/>
          </w:tcPr>
          <w:p w14:paraId="32648AB9" w14:textId="096FCF80" w:rsidR="00221526" w:rsidRPr="00717D45" w:rsidRDefault="00221526" w:rsidP="00B76A41">
            <w:pPr>
              <w:pStyle w:val="Tablefont"/>
            </w:pPr>
            <w:r>
              <w:t xml:space="preserve">1,3-Benzenedimethanamine, </w:t>
            </w:r>
            <w:r w:rsidRPr="00DB7AF5">
              <w:t>m-</w:t>
            </w:r>
            <w:r>
              <w:t>xylene</w:t>
            </w:r>
            <w:r w:rsidRPr="00DB7AF5">
              <w:t xml:space="preserve"> </w:t>
            </w:r>
            <w:proofErr w:type="gramStart"/>
            <w:r w:rsidRPr="00DB7AF5">
              <w:t>α,α</w:t>
            </w:r>
            <w:proofErr w:type="gramEnd"/>
            <w:r w:rsidRPr="00DB7AF5">
              <w:t>'-</w:t>
            </w:r>
            <w:r>
              <w:t xml:space="preserve">diamine, 1,3-bis(aminomethyl)benzene, MXDA, </w:t>
            </w:r>
            <w:r>
              <w:br/>
              <w:t>m-</w:t>
            </w:r>
            <w:proofErr w:type="spellStart"/>
            <w:r>
              <w:t>xylenediamine</w:t>
            </w:r>
            <w:proofErr w:type="spellEnd"/>
          </w:p>
        </w:tc>
        <w:tc>
          <w:tcPr>
            <w:tcW w:w="2614" w:type="dxa"/>
          </w:tcPr>
          <w:p w14:paraId="2C974718" w14:textId="77777777" w:rsidR="00221526" w:rsidRDefault="00221526" w:rsidP="00B76A41">
            <w:pPr>
              <w:pStyle w:val="Tablefont"/>
            </w:pPr>
          </w:p>
        </w:tc>
      </w:tr>
      <w:tr w:rsidR="00221526" w:rsidRPr="004C23F4" w14:paraId="6EE54A08" w14:textId="428F23A2" w:rsidTr="00221526">
        <w:trPr>
          <w:cantSplit/>
        </w:trPr>
        <w:tc>
          <w:tcPr>
            <w:tcW w:w="2615" w:type="dxa"/>
          </w:tcPr>
          <w:p w14:paraId="3C2EC489" w14:textId="77777777" w:rsidR="00221526" w:rsidRPr="00921DE7" w:rsidRDefault="00221526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3797" w:type="dxa"/>
          </w:tcPr>
          <w:p w14:paraId="69369B00" w14:textId="2B413CEE" w:rsidR="00221526" w:rsidRPr="00717D45" w:rsidRDefault="00221526" w:rsidP="00B76A41">
            <w:pPr>
              <w:pStyle w:val="Tablefont"/>
            </w:pPr>
            <w:r>
              <w:t>C</w:t>
            </w:r>
            <w:r w:rsidRPr="001006DA">
              <w:rPr>
                <w:vertAlign w:val="subscript"/>
              </w:rPr>
              <w:t>8</w:t>
            </w:r>
            <w:r>
              <w:t>H</w:t>
            </w:r>
            <w:r w:rsidRPr="001006DA">
              <w:rPr>
                <w:vertAlign w:val="subscript"/>
              </w:rPr>
              <w:t>12</w:t>
            </w:r>
            <w:r>
              <w:t>N</w:t>
            </w:r>
            <w:r w:rsidRPr="001006DA">
              <w:rPr>
                <w:vertAlign w:val="subscript"/>
              </w:rPr>
              <w:t>2</w:t>
            </w:r>
          </w:p>
        </w:tc>
        <w:tc>
          <w:tcPr>
            <w:tcW w:w="2614" w:type="dxa"/>
          </w:tcPr>
          <w:p w14:paraId="0856D55F" w14:textId="77777777" w:rsidR="00221526" w:rsidRDefault="00221526" w:rsidP="00B76A41">
            <w:pPr>
              <w:pStyle w:val="Tablefont"/>
            </w:pPr>
          </w:p>
        </w:tc>
      </w:tr>
    </w:tbl>
    <w:p w14:paraId="71D72173" w14:textId="0748381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F1642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3B5B418" w:rsidR="00037E52" w:rsidRPr="00AF1642" w:rsidRDefault="00AF1642" w:rsidP="00037E5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61E0F2A4" w:rsidR="00037E52" w:rsidRPr="00EB3D1B" w:rsidRDefault="00F305E5" w:rsidP="00037E5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 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078546DB" w:rsidR="00155999" w:rsidRPr="00F305E5" w:rsidRDefault="00155999" w:rsidP="00037E52">
            <w:pPr>
              <w:pStyle w:val="Tablefont"/>
              <w:rPr>
                <w:b/>
                <w:bCs/>
              </w:rPr>
            </w:pPr>
            <w:r w:rsidRPr="00F305E5">
              <w:rPr>
                <w:b/>
                <w:bCs/>
              </w:rPr>
              <w:t>Sampling and analysis:</w:t>
            </w:r>
            <w:r w:rsidRPr="00F305E5">
              <w:rPr>
                <w:rStyle w:val="WESstatus"/>
                <w:b/>
                <w:bCs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305E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00A7E13C" w:rsidR="006639B4" w:rsidRDefault="00AF1642" w:rsidP="000C139A">
      <w:r>
        <w:rPr>
          <w:rFonts w:cs="Arial"/>
        </w:rPr>
        <w:t>A peak limitation of 0.1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</w:t>
      </w:r>
      <w:r>
        <w:t>ocular, dermal and gastrointestinal irritation</w:t>
      </w:r>
      <w:r w:rsidR="00503F1E">
        <w:t xml:space="preserve"> in exposed workers</w:t>
      </w:r>
      <w:r>
        <w:t>.</w:t>
      </w:r>
    </w:p>
    <w:p w14:paraId="4218357E" w14:textId="41B3E521" w:rsidR="00AF1642" w:rsidRPr="00AF1642" w:rsidRDefault="00AF1642" w:rsidP="000C139A">
      <w:pPr>
        <w:rPr>
          <w:rFonts w:cs="Arial"/>
        </w:rPr>
      </w:pPr>
      <w:r>
        <w:t>This value may not protect susceptible workers from possible sensitisation or an allergic reaction in previously sensitised individuals</w:t>
      </w:r>
      <w:r w:rsidR="00F305E5"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2C513B5" w14:textId="77777777" w:rsidR="00E36290" w:rsidRDefault="00935A50" w:rsidP="006639B4">
      <w:bookmarkStart w:id="0" w:name="_Hlk38890120"/>
      <w:r w:rsidRPr="00935A50">
        <w:rPr>
          <w:rFonts w:cs="Arial"/>
        </w:rPr>
        <w:t>m-Xylene-</w:t>
      </w:r>
      <w:proofErr w:type="spellStart"/>
      <w:proofErr w:type="gramStart"/>
      <w:r w:rsidRPr="00935A50">
        <w:rPr>
          <w:rFonts w:cs="Arial"/>
        </w:rPr>
        <w:t>alpha,alpha</w:t>
      </w:r>
      <w:proofErr w:type="spellEnd"/>
      <w:proofErr w:type="gramEnd"/>
      <w:r w:rsidRPr="00935A50">
        <w:rPr>
          <w:rFonts w:cs="Arial"/>
        </w:rPr>
        <w:t>'-diamine</w:t>
      </w:r>
      <w:r>
        <w:rPr>
          <w:rFonts w:cs="Arial"/>
        </w:rPr>
        <w:t xml:space="preserve"> </w:t>
      </w:r>
      <w:bookmarkEnd w:id="0"/>
      <w:r>
        <w:rPr>
          <w:rFonts w:cs="Arial"/>
        </w:rPr>
        <w:t xml:space="preserve">(MXDA) </w:t>
      </w:r>
      <w:r>
        <w:t xml:space="preserve">is used as a source </w:t>
      </w:r>
      <w:proofErr w:type="gramStart"/>
      <w:r>
        <w:t>for the production of</w:t>
      </w:r>
      <w:proofErr w:type="gramEnd"/>
      <w:r>
        <w:t xml:space="preserve"> polyamide fibres and resins. It is also used as a starting chemical for the synthesis of m-xylene diisocyanate and as a curing agent for epoxy resins. </w:t>
      </w:r>
    </w:p>
    <w:p w14:paraId="33FBCBC8" w14:textId="77777777" w:rsidR="00687DBE" w:rsidRDefault="00935A50" w:rsidP="00A44906">
      <w:pPr>
        <w:rPr>
          <w:rFonts w:cs="Arial"/>
        </w:rPr>
      </w:pPr>
      <w:r>
        <w:t>The critical effects of exposure are ocular, dermal, and gastrointestinal irritation, and possible sensitisation.</w:t>
      </w:r>
      <w:r w:rsidR="00E36290">
        <w:rPr>
          <w:rFonts w:cs="Arial"/>
        </w:rPr>
        <w:t xml:space="preserve"> </w:t>
      </w:r>
    </w:p>
    <w:p w14:paraId="688F2C0B" w14:textId="31341BC0" w:rsidR="00A44906" w:rsidRPr="00844CC9" w:rsidRDefault="00A44906" w:rsidP="00A44906">
      <w:pPr>
        <w:rPr>
          <w:vertAlign w:val="superscript"/>
        </w:rPr>
      </w:pPr>
      <w:r>
        <w:rPr>
          <w:rFonts w:cs="Arial"/>
        </w:rPr>
        <w:t xml:space="preserve">Limited data are available. </w:t>
      </w:r>
      <w:r>
        <w:t xml:space="preserve">MXDA is reported as a potent dermatologic sensitiser </w:t>
      </w:r>
      <w:r w:rsidR="00E36290">
        <w:t>in</w:t>
      </w:r>
      <w:r>
        <w:t xml:space="preserve"> workers in plastics manufacturing. </w:t>
      </w:r>
      <w:r w:rsidR="00844CC9">
        <w:t xml:space="preserve">Nine </w:t>
      </w:r>
      <w:r>
        <w:rPr>
          <w:shd w:val="clear" w:color="auto" w:fill="FFFFFF"/>
        </w:rPr>
        <w:t xml:space="preserve">cases of sensitisation </w:t>
      </w:r>
      <w:r w:rsidR="00E36290">
        <w:rPr>
          <w:shd w:val="clear" w:color="auto" w:fill="FFFFFF"/>
        </w:rPr>
        <w:t>a</w:t>
      </w:r>
      <w:r>
        <w:rPr>
          <w:shd w:val="clear" w:color="auto" w:fill="FFFFFF"/>
        </w:rPr>
        <w:t xml:space="preserve">re </w:t>
      </w:r>
      <w:r w:rsidR="00844CC9">
        <w:rPr>
          <w:shd w:val="clear" w:color="auto" w:fill="FFFFFF"/>
        </w:rPr>
        <w:t>reported in the chemical industry</w:t>
      </w:r>
      <w:r w:rsidR="00221526">
        <w:rPr>
          <w:shd w:val="clear" w:color="auto" w:fill="FFFFFF"/>
        </w:rPr>
        <w:t xml:space="preserve"> workers</w:t>
      </w:r>
      <w:r w:rsidR="00844CC9">
        <w:rPr>
          <w:shd w:val="clear" w:color="auto" w:fill="FFFFFF"/>
        </w:rPr>
        <w:t>,</w:t>
      </w:r>
      <w:r>
        <w:rPr>
          <w:shd w:val="clear" w:color="auto" w:fill="FFFFFF"/>
        </w:rPr>
        <w:t xml:space="preserve"> without further details</w:t>
      </w:r>
      <w:r w:rsidR="00844CC9">
        <w:rPr>
          <w:shd w:val="clear" w:color="auto" w:fill="FFFFFF"/>
        </w:rPr>
        <w:t xml:space="preserve">. </w:t>
      </w:r>
      <w:r w:rsidR="00844CC9">
        <w:t xml:space="preserve">In experimental animals, </w:t>
      </w:r>
      <w:r w:rsidR="00F305E5">
        <w:t>MXDA</w:t>
      </w:r>
      <w:r w:rsidR="00844CC9">
        <w:t xml:space="preserve"> </w:t>
      </w:r>
      <w:r w:rsidR="00E36290">
        <w:t>i</w:t>
      </w:r>
      <w:r w:rsidR="00844CC9">
        <w:t xml:space="preserve">s irritating to the eyes and the skin of rabbits, and </w:t>
      </w:r>
      <w:r w:rsidR="00687DBE">
        <w:t>caused</w:t>
      </w:r>
      <w:r w:rsidR="00844CC9">
        <w:t xml:space="preserve"> sensitisation in guinea pigs (ACGIH, 2018; DFG, 2005; HCOTN, 2003). The ACGIH (2018) established a </w:t>
      </w:r>
      <w:r w:rsidR="00F305E5">
        <w:t>TLV-C</w:t>
      </w:r>
      <w:r w:rsidR="00844CC9">
        <w:t>eiling of 0.</w:t>
      </w:r>
      <w:r w:rsidR="00E36290">
        <w:t>1 </w:t>
      </w:r>
      <w:r w:rsidR="00844CC9">
        <w:t>mg/m</w:t>
      </w:r>
      <w:r w:rsidR="00844CC9">
        <w:rPr>
          <w:vertAlign w:val="superscript"/>
        </w:rPr>
        <w:t xml:space="preserve">3 </w:t>
      </w:r>
      <w:r w:rsidR="00844CC9" w:rsidRPr="00844CC9">
        <w:t>based on analogy to</w:t>
      </w:r>
      <w:r w:rsidR="00844CC9">
        <w:t xml:space="preserve"> p-phenylenediamine</w:t>
      </w:r>
      <w:r w:rsidR="00DB7AF5">
        <w:t>.</w:t>
      </w:r>
    </w:p>
    <w:p w14:paraId="1D5F746B" w14:textId="51C79B1F" w:rsidR="00935A50" w:rsidRPr="004C23F4" w:rsidRDefault="007468AE" w:rsidP="006639B4">
      <w:pPr>
        <w:rPr>
          <w:rFonts w:cs="Arial"/>
        </w:rPr>
      </w:pPr>
      <w:r w:rsidRPr="007468AE">
        <w:rPr>
          <w:rFonts w:cs="Arial"/>
        </w:rPr>
        <w:t xml:space="preserve">Given the limited available data, the </w:t>
      </w:r>
      <w:r>
        <w:rPr>
          <w:rFonts w:cs="Arial"/>
        </w:rPr>
        <w:t>peak limitation of 0.1 mg/m</w:t>
      </w:r>
      <w:r>
        <w:rPr>
          <w:rFonts w:cs="Arial"/>
          <w:vertAlign w:val="superscript"/>
        </w:rPr>
        <w:t>3</w:t>
      </w:r>
      <w:r w:rsidRPr="007468AE">
        <w:rPr>
          <w:rFonts w:cs="Arial"/>
        </w:rPr>
        <w:t xml:space="preserve"> </w:t>
      </w:r>
      <w:r w:rsidR="00687DBE" w:rsidRPr="007468AE">
        <w:rPr>
          <w:rFonts w:cs="Arial"/>
        </w:rPr>
        <w:t>by ACGIH</w:t>
      </w:r>
      <w:r w:rsidR="00687DBE">
        <w:rPr>
          <w:rFonts w:cs="Arial"/>
        </w:rPr>
        <w:t xml:space="preserve"> (2018) and HCOTN (2003) </w:t>
      </w:r>
      <w:r w:rsidRPr="007468AE">
        <w:rPr>
          <w:rFonts w:cs="Arial"/>
        </w:rPr>
        <w:t>is recommended to be retained to limit irritant effects</w:t>
      </w:r>
      <w:r w:rsidR="00221526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273B44AD" w14:textId="77777777" w:rsidR="004529F0" w:rsidRPr="004C23F4" w:rsidRDefault="004529F0" w:rsidP="00687DBE">
      <w:pPr>
        <w:pStyle w:val="Heading2"/>
        <w:pageBreakBefore/>
      </w:pPr>
      <w:r>
        <w:lastRenderedPageBreak/>
        <w:t>Recommendation for notations</w:t>
      </w:r>
    </w:p>
    <w:p w14:paraId="27C6755E" w14:textId="4513BDD5" w:rsidR="008E4F1F" w:rsidRPr="00311191" w:rsidRDefault="008E4F1F" w:rsidP="008E4F1F">
      <w:pPr>
        <w:rPr>
          <w:rFonts w:cs="Arial"/>
        </w:rPr>
      </w:pPr>
      <w:r w:rsidRPr="00311191">
        <w:rPr>
          <w:rFonts w:cs="Arial"/>
        </w:rPr>
        <w:t>Not classified as a carcinogen according to the Globally Harmonized System of</w:t>
      </w:r>
      <w:r w:rsidR="00155999" w:rsidRPr="00311191">
        <w:rPr>
          <w:rFonts w:cs="Arial"/>
        </w:rPr>
        <w:t xml:space="preserve"> Classification and Labelling of</w:t>
      </w:r>
      <w:r w:rsidRPr="00311191">
        <w:rPr>
          <w:rFonts w:cs="Arial"/>
        </w:rPr>
        <w:t xml:space="preserve"> Chemicals (GHS).</w:t>
      </w:r>
    </w:p>
    <w:p w14:paraId="03916CCC" w14:textId="143A3799" w:rsidR="008E4F1F" w:rsidRPr="00311191" w:rsidRDefault="008E4F1F" w:rsidP="008E4F1F">
      <w:pPr>
        <w:rPr>
          <w:rFonts w:cs="Arial"/>
        </w:rPr>
      </w:pPr>
      <w:r w:rsidRPr="00311191">
        <w:rPr>
          <w:rFonts w:cs="Arial"/>
        </w:rPr>
        <w:t xml:space="preserve">Not classified as a skin </w:t>
      </w:r>
      <w:r w:rsidR="00155999" w:rsidRPr="00311191">
        <w:rPr>
          <w:rFonts w:cs="Arial"/>
        </w:rPr>
        <w:t xml:space="preserve">sensitiser </w:t>
      </w:r>
      <w:r w:rsidRPr="00311191">
        <w:rPr>
          <w:rFonts w:cs="Arial"/>
        </w:rPr>
        <w:t>or respiratory sensitiser according to the GHS.</w:t>
      </w:r>
      <w:r w:rsidR="00311191">
        <w:rPr>
          <w:rFonts w:cs="Arial"/>
        </w:rPr>
        <w:t xml:space="preserve"> Case-report</w:t>
      </w:r>
      <w:r w:rsidR="00F305E5">
        <w:rPr>
          <w:rFonts w:cs="Arial"/>
        </w:rPr>
        <w:t>s in humans</w:t>
      </w:r>
      <w:r w:rsidR="00311191">
        <w:rPr>
          <w:rFonts w:cs="Arial"/>
        </w:rPr>
        <w:t xml:space="preserve"> indicate dermal sensitiser potential. A review of this notation is recommended.</w:t>
      </w:r>
    </w:p>
    <w:p w14:paraId="0547551A" w14:textId="77777777" w:rsidR="002A3CEC" w:rsidRDefault="002A3CEC" w:rsidP="002A3CEC">
      <w:pPr>
        <w:rPr>
          <w:rFonts w:cs="Arial"/>
        </w:rPr>
      </w:pPr>
      <w:r w:rsidRPr="005F3074">
        <w:rPr>
          <w:rFonts w:cs="Arial"/>
        </w:rPr>
        <w:t xml:space="preserve">A skin notation </w:t>
      </w:r>
      <w:r>
        <w:rPr>
          <w:rFonts w:cs="Arial"/>
        </w:rPr>
        <w:t>may not be</w:t>
      </w:r>
      <w:r w:rsidRPr="005F3074">
        <w:rPr>
          <w:rFonts w:cs="Arial"/>
        </w:rPr>
        <w:t xml:space="preserve"> warranted based on the available evidence.</w:t>
      </w:r>
      <w:r>
        <w:rPr>
          <w:rFonts w:cs="Arial"/>
        </w:rPr>
        <w:t xml:space="preserve"> However, this evaluation found inconsistencies in the available data from primary sources, including the historical basis for the notation. Therefore, the skin notation is retained and a</w:t>
      </w:r>
      <w:r w:rsidRPr="006A51A8">
        <w:rPr>
          <w:rFonts w:cs="Arial"/>
        </w:rPr>
        <w:t>n evaluation of additional sources, including dermal studies, are recommended at the next scheduled rev</w:t>
      </w:r>
      <w:r>
        <w:rPr>
          <w:rFonts w:cs="Arial"/>
        </w:rPr>
        <w:t>i</w:t>
      </w:r>
      <w:r w:rsidRPr="006A51A8">
        <w:rPr>
          <w:rFonts w:cs="Arial"/>
        </w:rPr>
        <w:t>ew</w:t>
      </w:r>
      <w:r>
        <w:rPr>
          <w:rFonts w:cs="Arial"/>
        </w:rPr>
        <w:t>.</w:t>
      </w:r>
    </w:p>
    <w:p w14:paraId="1FC98D13" w14:textId="77777777" w:rsidR="002A3CEC" w:rsidRDefault="002A3CEC" w:rsidP="002A3CEC">
      <w:pPr>
        <w:rPr>
          <w:rFonts w:cs="Arial"/>
        </w:rPr>
      </w:pPr>
    </w:p>
    <w:p w14:paraId="3C7C7DB9" w14:textId="1C9874E7" w:rsidR="002A3CEC" w:rsidRPr="004C23F4" w:rsidRDefault="002A3CEC" w:rsidP="002A3CEC">
      <w:pPr>
        <w:rPr>
          <w:rFonts w:cs="Arial"/>
        </w:rPr>
        <w:sectPr w:rsidR="002A3CEC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9878D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9878D1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3FBA897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006D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006DA">
                  <w:t>Peak limitation: 0.1 mg/m</w:t>
                </w:r>
                <w:r w:rsidR="001006DA" w:rsidRPr="001006D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9878D1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9878D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50C74DD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46254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006DA">
                  <w:t>TLV-Ceiling: 0.1 mg/m</w:t>
                </w:r>
                <w:r w:rsidR="001006DA" w:rsidRPr="001006D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9878D1">
        <w:trPr>
          <w:gridAfter w:val="1"/>
          <w:wAfter w:w="8" w:type="pct"/>
          <w:cantSplit/>
        </w:trPr>
        <w:tc>
          <w:tcPr>
            <w:tcW w:w="4992" w:type="pct"/>
          </w:tcPr>
          <w:p w14:paraId="54BFE4F6" w14:textId="7A7E984B" w:rsidR="005C5921" w:rsidRDefault="00E46254" w:rsidP="003365A5">
            <w:pPr>
              <w:pStyle w:val="Tabletextprimarysource"/>
            </w:pPr>
            <w:r>
              <w:t>TLV-Ceiling recommended to minimise potential for ocular, dermal and gastrointestinal irritation, and possible sensitisation.</w:t>
            </w:r>
            <w:r w:rsidR="005C5921">
              <w:t xml:space="preserve"> </w:t>
            </w:r>
          </w:p>
          <w:p w14:paraId="09F84385" w14:textId="11DE5A17" w:rsidR="00C978F0" w:rsidRDefault="00075F10" w:rsidP="003365A5">
            <w:pPr>
              <w:pStyle w:val="Tabletextprimarysource"/>
            </w:pPr>
            <w:r>
              <w:t>R</w:t>
            </w:r>
            <w:r w:rsidR="005C5921">
              <w:t>ecommended TLV may not necessarily protect susceptible workers from possible sensitisation or allergic reaction in previously sensitised individuals.</w:t>
            </w:r>
            <w:r w:rsidR="00DB7AF5">
              <w:t xml:space="preserve"> As such </w:t>
            </w:r>
            <w:r w:rsidR="00DB7AF5" w:rsidRPr="00DB7AF5">
              <w:t>exposures should be kept as low as possible below the recommended TLV.</w:t>
            </w:r>
          </w:p>
          <w:p w14:paraId="07F5A0E6" w14:textId="7196C94E" w:rsidR="00E46254" w:rsidRDefault="00E46254" w:rsidP="00E36290">
            <w:pPr>
              <w:pStyle w:val="Tabletextprimarysource"/>
            </w:pPr>
            <w:r>
              <w:t>Summary of data</w:t>
            </w:r>
            <w:r w:rsidR="00221526">
              <w:t>:</w:t>
            </w:r>
          </w:p>
          <w:p w14:paraId="30EB3DC5" w14:textId="66E410A7" w:rsidR="00E46254" w:rsidRDefault="00E46254" w:rsidP="00E36290">
            <w:pPr>
              <w:pStyle w:val="ListBullet"/>
              <w:spacing w:before="60" w:after="60"/>
              <w:ind w:left="717"/>
              <w:contextualSpacing w:val="0"/>
            </w:pPr>
            <w:r>
              <w:t>TLV-Ceiling derived based on analogy with p-phenylenediamine (TLV-TWA of 0.1 mg/m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14:paraId="47D0E11C" w14:textId="7E9A3525" w:rsidR="00E46254" w:rsidRDefault="00F305E5" w:rsidP="00E36290">
            <w:pPr>
              <w:pStyle w:val="ListBullet"/>
              <w:spacing w:before="60" w:after="60"/>
              <w:ind w:left="717"/>
              <w:contextualSpacing w:val="0"/>
            </w:pPr>
            <w:r>
              <w:t>S</w:t>
            </w:r>
            <w:r w:rsidR="00E46254">
              <w:t xml:space="preserve">aturated vapor concentration </w:t>
            </w:r>
            <w:r>
              <w:t>&gt;</w:t>
            </w:r>
            <w:r w:rsidR="00E46254">
              <w:t xml:space="preserve"> TLV</w:t>
            </w:r>
            <w:r>
              <w:t>-C</w:t>
            </w:r>
            <w:r w:rsidR="00E46254">
              <w:t>, may exist largely as vapour at that concentration</w:t>
            </w:r>
            <w:r>
              <w:t>.</w:t>
            </w:r>
          </w:p>
          <w:p w14:paraId="0C968440" w14:textId="40B5A3C8" w:rsidR="00E46254" w:rsidRDefault="00E46254" w:rsidP="00E36290">
            <w:pPr>
              <w:pStyle w:val="Tabletextprimarysource"/>
            </w:pPr>
            <w:r>
              <w:t>Human data</w:t>
            </w:r>
            <w:r w:rsidR="00221526">
              <w:t>:</w:t>
            </w:r>
          </w:p>
          <w:p w14:paraId="7C171C27" w14:textId="2CE7FECA" w:rsidR="00E46254" w:rsidRDefault="00E46254" w:rsidP="00E36290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Reported as a potent dermatologic sensitiser </w:t>
            </w:r>
            <w:r w:rsidR="00E36290">
              <w:t>in</w:t>
            </w:r>
            <w:r>
              <w:t xml:space="preserve"> workers in plastics manufacturing</w:t>
            </w:r>
          </w:p>
          <w:p w14:paraId="71F1C7F2" w14:textId="1A32E53F" w:rsidR="00E46254" w:rsidRDefault="00DB7AF5" w:rsidP="00E36290">
            <w:pPr>
              <w:pStyle w:val="ListBullet"/>
              <w:spacing w:before="60" w:after="60"/>
              <w:ind w:left="717"/>
              <w:contextualSpacing w:val="0"/>
            </w:pPr>
            <w:r>
              <w:t>A</w:t>
            </w:r>
            <w:r w:rsidR="00E46254">
              <w:t>ppears to act as a gastrointestinal irritant</w:t>
            </w:r>
            <w:r w:rsidR="00A44906">
              <w:t xml:space="preserve"> likely due to caustic nature</w:t>
            </w:r>
            <w:r>
              <w:t>.</w:t>
            </w:r>
          </w:p>
          <w:p w14:paraId="4672C5E7" w14:textId="1358FF9C" w:rsidR="00E46254" w:rsidRDefault="00E46254" w:rsidP="00E36290">
            <w:pPr>
              <w:pStyle w:val="Tabletextprimarysource"/>
            </w:pPr>
            <w:r>
              <w:t>Animal data</w:t>
            </w:r>
            <w:r w:rsidR="00221526">
              <w:t>:</w:t>
            </w:r>
          </w:p>
          <w:p w14:paraId="471C111E" w14:textId="5852AFE1" w:rsidR="00E36290" w:rsidRDefault="00E46254" w:rsidP="00E36290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Undiluted MXDA </w:t>
            </w:r>
            <w:r w:rsidR="005C5921">
              <w:t xml:space="preserve">corrosive to guinea pig skin; </w:t>
            </w:r>
            <w:r>
              <w:t>50% emulsion in acetone-dioxane mixt</w:t>
            </w:r>
            <w:r w:rsidR="005C5921">
              <w:t>ure severely irritating</w:t>
            </w:r>
            <w:r w:rsidR="00221526">
              <w:t>:</w:t>
            </w:r>
            <w:r>
              <w:t xml:space="preserve"> </w:t>
            </w:r>
          </w:p>
          <w:p w14:paraId="36F3BCAD" w14:textId="0755261E" w:rsidR="00E46254" w:rsidRDefault="00687DBE" w:rsidP="00E36290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limited</w:t>
            </w:r>
            <w:r w:rsidR="00E46254">
              <w:t xml:space="preserve"> effect produced by a concentration of 10%</w:t>
            </w:r>
          </w:p>
          <w:p w14:paraId="29C91E0D" w14:textId="77322B05" w:rsidR="00E36290" w:rsidRDefault="005C5921" w:rsidP="00E36290">
            <w:pPr>
              <w:pStyle w:val="ListBullet"/>
              <w:spacing w:before="60" w:after="60"/>
              <w:ind w:left="717"/>
              <w:contextualSpacing w:val="0"/>
            </w:pPr>
            <w:r>
              <w:t>Evidence of mild sensitisation following one study with repeated application to guinea pig skin</w:t>
            </w:r>
            <w:r w:rsidR="00221526">
              <w:t>:</w:t>
            </w:r>
            <w:r>
              <w:t xml:space="preserve"> </w:t>
            </w:r>
          </w:p>
          <w:p w14:paraId="08DB8C30" w14:textId="20A6604D" w:rsidR="005C5921" w:rsidRDefault="005C5921" w:rsidP="00E36290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observation could not be duplicated in subsequent investigation</w:t>
            </w:r>
          </w:p>
          <w:p w14:paraId="4DDE199A" w14:textId="5B26605A" w:rsidR="005C5921" w:rsidRDefault="005C5921" w:rsidP="00E36290">
            <w:pPr>
              <w:pStyle w:val="ListBullet"/>
              <w:spacing w:before="60" w:after="60"/>
              <w:ind w:left="717"/>
              <w:contextualSpacing w:val="0"/>
            </w:pPr>
            <w:r>
              <w:t>Exposure of rats for 1 h to aerosol at 1</w:t>
            </w:r>
            <w:r w:rsidR="00DB7AF5">
              <w:t>,</w:t>
            </w:r>
            <w:r>
              <w:t>740</w:t>
            </w:r>
            <w:r w:rsidR="00DB7AF5">
              <w:t>-</w:t>
            </w:r>
            <w:r>
              <w:t>6</w:t>
            </w:r>
            <w:r w:rsidR="00DB7AF5">
              <w:t>,</w:t>
            </w:r>
            <w:r>
              <w:t>040 mg/m</w:t>
            </w:r>
            <w:r>
              <w:rPr>
                <w:vertAlign w:val="superscript"/>
              </w:rPr>
              <w:t>3</w:t>
            </w:r>
            <w:r>
              <w:t xml:space="preserve"> resulted in frank ocular irritation, lacrimation and dyspn</w:t>
            </w:r>
            <w:r w:rsidR="00F305E5">
              <w:t>o</w:t>
            </w:r>
            <w:r>
              <w:t>ea</w:t>
            </w:r>
            <w:r w:rsidR="00DB7AF5">
              <w:t>.</w:t>
            </w:r>
          </w:p>
          <w:p w14:paraId="6FD6DB42" w14:textId="77777777" w:rsidR="00E36290" w:rsidRDefault="00E36290" w:rsidP="005C5921">
            <w:pPr>
              <w:pStyle w:val="Tabletextprimarysource"/>
            </w:pPr>
          </w:p>
          <w:p w14:paraId="763CD93B" w14:textId="77777777" w:rsidR="00E36290" w:rsidRDefault="005C5921" w:rsidP="005C5921">
            <w:pPr>
              <w:pStyle w:val="Tabletextprimarysource"/>
            </w:pPr>
            <w:r>
              <w:t>Insufficient data to recommend a sensitiser o</w:t>
            </w:r>
            <w:r w:rsidR="00075F10">
              <w:t>r</w:t>
            </w:r>
            <w:r>
              <w:t xml:space="preserve"> carcinogenicity notation.</w:t>
            </w:r>
            <w:r w:rsidR="002A3CEC">
              <w:t xml:space="preserve"> </w:t>
            </w:r>
          </w:p>
          <w:p w14:paraId="550BA83A" w14:textId="77777777" w:rsidR="005C5921" w:rsidRDefault="002A3CEC" w:rsidP="005C5921">
            <w:pPr>
              <w:pStyle w:val="Tabletextprimarysource"/>
            </w:pPr>
            <w:r>
              <w:t xml:space="preserve">Skin notation based on </w:t>
            </w:r>
            <w:r w:rsidR="00AE4EE2">
              <w:t xml:space="preserve">analogy to </w:t>
            </w:r>
            <w:r w:rsidRPr="002A3CEC">
              <w:t>p-</w:t>
            </w:r>
            <w:r>
              <w:t>p</w:t>
            </w:r>
            <w:r w:rsidRPr="002A3CEC">
              <w:t>henylenediamine</w:t>
            </w:r>
            <w:r>
              <w:t xml:space="preserve"> (which has </w:t>
            </w:r>
            <w:r w:rsidR="00AE4EE2">
              <w:t>since been deleted</w:t>
            </w:r>
            <w:r>
              <w:t xml:space="preserve">). </w:t>
            </w:r>
          </w:p>
          <w:p w14:paraId="0CE4D35D" w14:textId="77777777" w:rsidR="00E36290" w:rsidRPr="00DA352E" w:rsidRDefault="00E36290" w:rsidP="005C5921">
            <w:pPr>
              <w:pStyle w:val="Tabletextprimarysource"/>
            </w:pPr>
          </w:p>
        </w:tc>
      </w:tr>
      <w:tr w:rsidR="00C978F0" w:rsidRPr="00DA352E" w14:paraId="174F8B79" w14:textId="77777777" w:rsidTr="009878D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7844860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E5AF5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E5AF5">
                  <w:t>Not assigned</w:t>
                </w:r>
              </w:sdtContent>
            </w:sdt>
          </w:p>
        </w:tc>
      </w:tr>
      <w:tr w:rsidR="00C978F0" w:rsidRPr="00DA352E" w14:paraId="4433014F" w14:textId="77777777" w:rsidTr="009878D1">
        <w:trPr>
          <w:gridAfter w:val="1"/>
          <w:wAfter w:w="8" w:type="pct"/>
          <w:cantSplit/>
        </w:trPr>
        <w:tc>
          <w:tcPr>
            <w:tcW w:w="4992" w:type="pct"/>
          </w:tcPr>
          <w:p w14:paraId="5D0CBE12" w14:textId="760E3BC9" w:rsidR="00C978F0" w:rsidRDefault="00A45102" w:rsidP="003365A5">
            <w:pPr>
              <w:pStyle w:val="Tabletextprimarysource"/>
            </w:pPr>
            <w:r>
              <w:t>Summary of additional data</w:t>
            </w:r>
          </w:p>
          <w:p w14:paraId="236075C1" w14:textId="2CDE0BFB" w:rsidR="00A45102" w:rsidRPr="00A45102" w:rsidRDefault="00DB7AF5" w:rsidP="00E36290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shd w:val="clear" w:color="auto" w:fill="FFFFFF"/>
              </w:rPr>
              <w:t>C</w:t>
            </w:r>
            <w:r w:rsidR="00A45102">
              <w:rPr>
                <w:shd w:val="clear" w:color="auto" w:fill="FFFFFF"/>
              </w:rPr>
              <w:t xml:space="preserve">ompilation of work-related cases of contact allergies in the chemical industry, </w:t>
            </w:r>
            <w:r w:rsidR="00A44906">
              <w:rPr>
                <w:shd w:val="clear" w:color="auto" w:fill="FFFFFF"/>
              </w:rPr>
              <w:t>9</w:t>
            </w:r>
            <w:r w:rsidR="00A45102">
              <w:rPr>
                <w:shd w:val="clear" w:color="auto" w:fill="FFFFFF"/>
              </w:rPr>
              <w:t xml:space="preserve"> sensitisation </w:t>
            </w:r>
            <w:r>
              <w:rPr>
                <w:shd w:val="clear" w:color="auto" w:fill="FFFFFF"/>
              </w:rPr>
              <w:t xml:space="preserve">cases </w:t>
            </w:r>
            <w:proofErr w:type="gramStart"/>
            <w:r w:rsidR="00A45102">
              <w:rPr>
                <w:shd w:val="clear" w:color="auto" w:fill="FFFFFF"/>
              </w:rPr>
              <w:t>listed</w:t>
            </w:r>
            <w:r>
              <w:rPr>
                <w:shd w:val="clear" w:color="auto" w:fill="FFFFFF"/>
              </w:rPr>
              <w:t>;</w:t>
            </w:r>
            <w:proofErr w:type="gramEnd"/>
            <w:r w:rsidR="00A45102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no</w:t>
            </w:r>
            <w:r w:rsidR="00A45102">
              <w:rPr>
                <w:shd w:val="clear" w:color="auto" w:fill="FFFFFF"/>
              </w:rPr>
              <w:t xml:space="preserve"> further details</w:t>
            </w:r>
          </w:p>
          <w:p w14:paraId="6E17802D" w14:textId="77777777" w:rsidR="00A45102" w:rsidRPr="00E36290" w:rsidRDefault="00A45102" w:rsidP="00E36290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shd w:val="clear" w:color="auto" w:fill="FFFFFF"/>
              </w:rPr>
              <w:t>Dermal sensitiser notation assigned based on this evidence.</w:t>
            </w:r>
          </w:p>
          <w:p w14:paraId="61A64F09" w14:textId="77777777" w:rsidR="00E36290" w:rsidRPr="00DA352E" w:rsidRDefault="00E36290" w:rsidP="00E36290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9878D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5B7E897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E5AF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8E5AF5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9878D1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7777777" w:rsidR="00C978F0" w:rsidRPr="00DA352E" w:rsidRDefault="008E5AF5" w:rsidP="003365A5">
            <w:pPr>
              <w:pStyle w:val="Tabletextprimarysource"/>
            </w:pPr>
            <w:r>
              <w:t>No report</w:t>
            </w:r>
            <w:r w:rsidR="00DB7AF5">
              <w:t>.</w:t>
            </w:r>
          </w:p>
        </w:tc>
      </w:tr>
      <w:tr w:rsidR="00DA352E" w:rsidRPr="00DA352E" w14:paraId="12BAB90D" w14:textId="77777777" w:rsidTr="009878D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63860F5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E5AF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E5AF5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9878D1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5CB04D81" w:rsidR="00DA352E" w:rsidRPr="00DA352E" w:rsidRDefault="008E5AF5" w:rsidP="003365A5">
            <w:pPr>
              <w:pStyle w:val="Tabletextprimarysource"/>
            </w:pPr>
            <w:r>
              <w:t>No report</w:t>
            </w:r>
            <w:r w:rsidR="00DB7AF5">
              <w:t>.</w:t>
            </w:r>
          </w:p>
        </w:tc>
      </w:tr>
      <w:tr w:rsidR="00DA352E" w:rsidRPr="00DA352E" w14:paraId="605F758C" w14:textId="77777777" w:rsidTr="009878D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56DB79C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E5AF5" w:rsidRPr="008E5AF5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45102">
                  <w:t>Ceiling</w:t>
                </w:r>
                <w:r w:rsidR="008E5AF5">
                  <w:t>: 0.1 mg/m</w:t>
                </w:r>
                <w:r w:rsidR="008E5AF5" w:rsidRPr="008E5AF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9878D1">
        <w:trPr>
          <w:gridAfter w:val="1"/>
          <w:wAfter w:w="8" w:type="pct"/>
          <w:cantSplit/>
        </w:trPr>
        <w:tc>
          <w:tcPr>
            <w:tcW w:w="4992" w:type="pct"/>
          </w:tcPr>
          <w:p w14:paraId="2FFD6B34" w14:textId="43D280A7" w:rsidR="00DA352E" w:rsidRDefault="00A45102" w:rsidP="003365A5">
            <w:pPr>
              <w:pStyle w:val="Tabletextprimarysource"/>
            </w:pPr>
            <w:r>
              <w:t>Administrative OEL</w:t>
            </w:r>
            <w:r w:rsidR="005C20CE">
              <w:t>.</w:t>
            </w:r>
          </w:p>
          <w:p w14:paraId="7D3CEB2D" w14:textId="1B188E60" w:rsidR="00A45102" w:rsidRDefault="00311191" w:rsidP="003365A5">
            <w:pPr>
              <w:pStyle w:val="Tabletextprimarysource"/>
            </w:pPr>
            <w:r>
              <w:t>Summary of additional data</w:t>
            </w:r>
          </w:p>
          <w:p w14:paraId="7824A9CB" w14:textId="3A6379C2" w:rsidR="00311191" w:rsidRDefault="00311191" w:rsidP="00E362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qualitative or quantitative data available of dermal absorption. However, it can be expected MXDA will penetrate the skin based on analogy with other aromatic amines</w:t>
            </w:r>
          </w:p>
          <w:p w14:paraId="25576441" w14:textId="38E35C3B" w:rsidR="00311191" w:rsidRDefault="00311191" w:rsidP="00E362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studies in humans showed it is a skin sensitiser</w:t>
            </w:r>
          </w:p>
          <w:p w14:paraId="455C4DF5" w14:textId="21024E14" w:rsidR="00844CC9" w:rsidRDefault="00844CC9" w:rsidP="00E362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844CC9">
              <w:rPr>
                <w:vertAlign w:val="subscript"/>
              </w:rPr>
              <w:t>50</w:t>
            </w:r>
            <w:r w:rsidR="00DB7AF5">
              <w:t>:</w:t>
            </w:r>
            <w:r>
              <w:t xml:space="preserve"> 2</w:t>
            </w:r>
            <w:r w:rsidR="00DB7AF5">
              <w:t>,</w:t>
            </w:r>
            <w:r>
              <w:t>000 mg/kg</w:t>
            </w:r>
            <w:r w:rsidR="00DB7AF5">
              <w:t xml:space="preserve"> (rabbit, dermal)</w:t>
            </w:r>
          </w:p>
          <w:p w14:paraId="57365915" w14:textId="77777777" w:rsidR="00311191" w:rsidRDefault="00844CC9" w:rsidP="00E362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Instillation of one drop of MXDA (concentration not reported) into eyes of rabbits (n=3) caused extensive lachrymation and severe conjunctivitis; eyes returned to normal by the </w:t>
            </w:r>
            <w:r w:rsidR="0028530C">
              <w:t>day 3</w:t>
            </w:r>
            <w:r>
              <w:t xml:space="preserve"> in </w:t>
            </w:r>
            <w:r w:rsidR="0028530C">
              <w:t>two</w:t>
            </w:r>
            <w:r>
              <w:t xml:space="preserve"> rabbits and day</w:t>
            </w:r>
            <w:r w:rsidR="0028530C">
              <w:t xml:space="preserve"> 5</w:t>
            </w:r>
            <w:r>
              <w:t xml:space="preserve"> in the third rabbit</w:t>
            </w:r>
            <w:r w:rsidR="00DB7AF5">
              <w:t>.</w:t>
            </w:r>
          </w:p>
          <w:p w14:paraId="492D7791" w14:textId="4BECD1B8" w:rsidR="00E36290" w:rsidRPr="00DA352E" w:rsidRDefault="00E36290" w:rsidP="00E36290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416632DB" w:rsidR="007E2A4B" w:rsidRDefault="00DB7AF5">
      <w:r>
        <w:t xml:space="preserve">NIL. </w:t>
      </w:r>
    </w:p>
    <w:bookmarkEnd w:id="1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311191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7BE1AAEC" w:rsidR="002E0D61" w:rsidRDefault="0031119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311191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1B86D44D" w:rsidR="008A36CF" w:rsidRDefault="0031119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36290" w14:paraId="4D6DDFA3" w14:textId="77777777" w:rsidTr="00490C44">
        <w:trPr>
          <w:trHeight w:val="454"/>
        </w:trPr>
        <w:sdt>
          <w:sdtPr>
            <w:rPr>
              <w:b/>
            </w:rPr>
            <w:id w:val="1830936485"/>
            <w:placeholder>
              <w:docPart w:val="7C03ED26F48447D6B9C624F71DEE0F9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76E650E9" w:rsidR="00E36290" w:rsidRDefault="00E3629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2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987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9878D1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55D65A58" w:rsidR="00687890" w:rsidRPr="00DD2F9B" w:rsidRDefault="008E5AF5" w:rsidP="00DD2F9B">
            <w:pPr>
              <w:pStyle w:val="Tablefont"/>
            </w:pPr>
            <w:r w:rsidRPr="008E5AF5">
              <w:t>Skin</w:t>
            </w:r>
          </w:p>
        </w:tc>
      </w:tr>
      <w:tr w:rsidR="007925F0" w:rsidRPr="004C23F4" w14:paraId="2A0C13EF" w14:textId="77777777" w:rsidTr="009878D1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649257D5" w:rsidR="007925F0" w:rsidRPr="00DD2F9B" w:rsidRDefault="008E5AF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9878D1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5F5B5285" w:rsidR="00AF483F" w:rsidRPr="00DD2F9B" w:rsidRDefault="008E5AF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9878D1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21EA024A" w:rsidR="00687890" w:rsidRPr="00DD2F9B" w:rsidRDefault="008E5AF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9878D1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2EAB4E83" w:rsidR="00E41A26" w:rsidRPr="00DD2F9B" w:rsidRDefault="008E5AF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9878D1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77F0D0DF" w:rsidR="002E0D61" w:rsidRPr="00DD2F9B" w:rsidRDefault="008E5AF5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3FA3590" w14:textId="77777777" w:rsidTr="009878D1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35257F2E" w:rsidR="002E0D61" w:rsidRPr="00DD2F9B" w:rsidRDefault="008E5AF5" w:rsidP="00DD2F9B">
            <w:pPr>
              <w:pStyle w:val="Tablefont"/>
            </w:pPr>
            <w:proofErr w:type="spellStart"/>
            <w:r w:rsidRPr="008E5AF5">
              <w:t>Sh</w:t>
            </w:r>
            <w:proofErr w:type="spellEnd"/>
            <w:r w:rsidRPr="008E5AF5">
              <w:t xml:space="preserve"> (dermal sensitiser)</w:t>
            </w:r>
          </w:p>
        </w:tc>
      </w:tr>
      <w:tr w:rsidR="002E0D61" w:rsidRPr="004C23F4" w14:paraId="2AC7B866" w14:textId="77777777" w:rsidTr="009878D1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12642F5A" w:rsidR="002E0D61" w:rsidRPr="00DD2F9B" w:rsidRDefault="008E5AF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9878D1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5AF772D" w:rsidR="002E0D61" w:rsidRPr="00DD2F9B" w:rsidRDefault="008E5AF5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F6A6A8E" w14:textId="77777777" w:rsidTr="009878D1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0CB9F2BA" w:rsidR="00386093" w:rsidRPr="00DD2F9B" w:rsidRDefault="008E5AF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9878D1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63F71A18" w:rsidR="00386093" w:rsidRPr="00DD2F9B" w:rsidRDefault="008E5AF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67" w:type="dxa"/>
              <w:tblLook w:val="04A0" w:firstRow="1" w:lastRow="0" w:firstColumn="1" w:lastColumn="0" w:noHBand="0" w:noVBand="1"/>
            </w:tblPr>
            <w:tblGrid>
              <w:gridCol w:w="3277"/>
              <w:gridCol w:w="737"/>
              <w:gridCol w:w="4796"/>
            </w:tblGrid>
            <w:tr w:rsidR="002A3CEC" w:rsidRPr="002A3CEC" w14:paraId="147B8E69" w14:textId="77777777" w:rsidTr="002A3CEC">
              <w:trPr>
                <w:trHeight w:val="342"/>
              </w:trPr>
              <w:tc>
                <w:tcPr>
                  <w:tcW w:w="3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F90F3C" w14:textId="77777777" w:rsidR="002A3CEC" w:rsidRPr="002A3CEC" w:rsidRDefault="002A3CEC" w:rsidP="002A3C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CA3AFA" w14:textId="77777777" w:rsidR="002A3CEC" w:rsidRPr="002A3CEC" w:rsidRDefault="002A3CEC" w:rsidP="002A3C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E40AB5" w14:textId="77777777" w:rsidR="002A3CEC" w:rsidRPr="002A3CEC" w:rsidRDefault="002A3CEC" w:rsidP="002A3C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A3CEC" w:rsidRPr="002A3CEC" w14:paraId="3650F669" w14:textId="77777777" w:rsidTr="002A3CEC">
              <w:trPr>
                <w:trHeight w:val="342"/>
              </w:trPr>
              <w:tc>
                <w:tcPr>
                  <w:tcW w:w="3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6E1E1" w14:textId="77777777" w:rsidR="002A3CEC" w:rsidRPr="002A3CEC" w:rsidRDefault="002A3CEC" w:rsidP="002A3C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446CDA" w14:textId="77777777" w:rsidR="002A3CEC" w:rsidRPr="002A3CEC" w:rsidRDefault="002A3CEC" w:rsidP="002A3C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4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049EE7" w14:textId="77777777" w:rsidR="002A3CEC" w:rsidRPr="002A3CEC" w:rsidRDefault="002A3CEC" w:rsidP="002A3C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A3CEC" w:rsidRPr="002A3CEC" w14:paraId="2D267806" w14:textId="77777777" w:rsidTr="002A3CEC">
              <w:trPr>
                <w:trHeight w:val="342"/>
              </w:trPr>
              <w:tc>
                <w:tcPr>
                  <w:tcW w:w="3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FA331A" w14:textId="77777777" w:rsidR="002A3CEC" w:rsidRPr="002A3CEC" w:rsidRDefault="002A3CEC" w:rsidP="002A3C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87307B" w14:textId="77777777" w:rsidR="002A3CEC" w:rsidRPr="002A3CEC" w:rsidRDefault="002A3CEC" w:rsidP="002A3C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5B4302" w14:textId="77777777" w:rsidR="002A3CEC" w:rsidRPr="002A3CEC" w:rsidRDefault="002A3CEC" w:rsidP="002A3C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A3CEC" w:rsidRPr="002A3CEC" w14:paraId="3DD03CFE" w14:textId="77777777" w:rsidTr="002A3CEC">
              <w:trPr>
                <w:trHeight w:val="342"/>
              </w:trPr>
              <w:tc>
                <w:tcPr>
                  <w:tcW w:w="3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7AC86E" w14:textId="77777777" w:rsidR="002A3CEC" w:rsidRPr="002A3CEC" w:rsidRDefault="002A3CEC" w:rsidP="002A3C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67E7C6" w14:textId="77777777" w:rsidR="002A3CEC" w:rsidRPr="002A3CEC" w:rsidRDefault="002A3CEC" w:rsidP="002A3C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F08FFB" w14:textId="77777777" w:rsidR="002A3CEC" w:rsidRPr="002A3CEC" w:rsidRDefault="002A3CEC" w:rsidP="002A3C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A3CEC" w:rsidRPr="002A3CEC" w14:paraId="7DF3C31C" w14:textId="77777777" w:rsidTr="002A3CEC">
              <w:trPr>
                <w:trHeight w:val="342"/>
              </w:trPr>
              <w:tc>
                <w:tcPr>
                  <w:tcW w:w="3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DDB3DB" w14:textId="77777777" w:rsidR="002A3CEC" w:rsidRPr="002A3CEC" w:rsidRDefault="002A3CEC" w:rsidP="002A3C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49AAD5" w14:textId="77777777" w:rsidR="002A3CEC" w:rsidRPr="002A3CEC" w:rsidRDefault="002A3CEC" w:rsidP="002A3C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B92600" w14:textId="77777777" w:rsidR="002A3CEC" w:rsidRPr="002A3CEC" w:rsidRDefault="002A3CEC" w:rsidP="002A3C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A3CEC" w:rsidRPr="002A3CEC" w14:paraId="37FD2E1D" w14:textId="77777777" w:rsidTr="002A3CEC">
              <w:trPr>
                <w:trHeight w:val="342"/>
              </w:trPr>
              <w:tc>
                <w:tcPr>
                  <w:tcW w:w="3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0FCE5E" w14:textId="77777777" w:rsidR="002A3CEC" w:rsidRPr="002A3CEC" w:rsidRDefault="002A3CEC" w:rsidP="002A3C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6CCAA1" w14:textId="77777777" w:rsidR="002A3CEC" w:rsidRPr="002A3CEC" w:rsidRDefault="002A3CEC" w:rsidP="002A3C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386EBD" w14:textId="77777777" w:rsidR="002A3CEC" w:rsidRPr="002A3CEC" w:rsidRDefault="002A3CEC" w:rsidP="002A3C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A3CEC" w:rsidRPr="002A3CEC" w14:paraId="41D734FD" w14:textId="77777777" w:rsidTr="002A3CEC">
              <w:trPr>
                <w:trHeight w:val="342"/>
              </w:trPr>
              <w:tc>
                <w:tcPr>
                  <w:tcW w:w="3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C77788" w14:textId="77777777" w:rsidR="002A3CEC" w:rsidRPr="002A3CEC" w:rsidRDefault="002A3CEC" w:rsidP="002A3C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415F64" w14:textId="77777777" w:rsidR="002A3CEC" w:rsidRPr="002A3CEC" w:rsidRDefault="002A3CEC" w:rsidP="002A3C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A3BEB0" w14:textId="77777777" w:rsidR="002A3CEC" w:rsidRPr="002A3CEC" w:rsidRDefault="002A3CEC" w:rsidP="002A3CE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A3CE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29D664C" w14:textId="4AF7C56C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6FC0879D" w:rsidR="00EB3D1B" w:rsidRDefault="008E5AF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97835C4" w:rsidR="001B79E5" w:rsidRDefault="008E5AF5" w:rsidP="001B79E5">
                <w:pPr>
                  <w:pStyle w:val="Tablefont"/>
                </w:pPr>
                <w:r w:rsidRPr="008E5AF5">
                  <w:t>136.19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96E7AB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221526">
                  <w:t>5.57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221526" w:rsidRPr="00221526">
                  <w:t>0.18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995A8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70E706E5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4F7739">
        <w:t>2005</w:t>
      </w:r>
      <w:r>
        <w:t xml:space="preserve">) </w:t>
      </w:r>
      <w:r w:rsidR="004F7739">
        <w:t>m-</w:t>
      </w:r>
      <w:proofErr w:type="spellStart"/>
      <w:r w:rsidR="004F7739">
        <w:t>Xylylendiamin</w:t>
      </w:r>
      <w:proofErr w:type="spellEnd"/>
      <w:r>
        <w:t xml:space="preserve"> – MAK value documentation.</w:t>
      </w:r>
    </w:p>
    <w:p w14:paraId="28EAA9C1" w14:textId="1789D12B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4F7739" w:rsidRPr="004F7739">
        <w:t>2003</w:t>
      </w:r>
      <w:r>
        <w:t xml:space="preserve">) </w:t>
      </w:r>
      <w:r w:rsidR="004F7739" w:rsidRPr="004F7739">
        <w:t>m-</w:t>
      </w:r>
      <w:proofErr w:type="spellStart"/>
      <w:r w:rsidR="004F7739" w:rsidRPr="004F7739">
        <w:t>xylen</w:t>
      </w:r>
      <w:proofErr w:type="spellEnd"/>
      <w:r w:rsidR="004F7739" w:rsidRPr="004F7739">
        <w:t>-</w:t>
      </w:r>
      <w:proofErr w:type="gramStart"/>
      <w:r w:rsidR="004F7739" w:rsidRPr="004F7739">
        <w:t>α,α</w:t>
      </w:r>
      <w:proofErr w:type="gramEnd"/>
      <w:r w:rsidR="004F7739" w:rsidRPr="004F7739">
        <w:t>’-</w:t>
      </w:r>
      <w:proofErr w:type="spellStart"/>
      <w:r w:rsidR="004F7739" w:rsidRPr="004F7739">
        <w:t>ylenediamine</w:t>
      </w:r>
      <w:proofErr w:type="spellEnd"/>
      <w:r w:rsidRPr="005F7416">
        <w:t xml:space="preserve">. Health-based calculated occupational cancer risk values. The Hague: Health Council of the Netherlands; publication no. </w:t>
      </w:r>
      <w:r w:rsidR="004F7739" w:rsidRPr="004F7739">
        <w:t>2000/15OSH/092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6EEC4" w14:textId="77777777" w:rsidR="00FB2821" w:rsidRDefault="00FB2821" w:rsidP="00F43AD5">
      <w:pPr>
        <w:spacing w:after="0" w:line="240" w:lineRule="auto"/>
      </w:pPr>
      <w:r>
        <w:separator/>
      </w:r>
    </w:p>
  </w:endnote>
  <w:endnote w:type="continuationSeparator" w:id="0">
    <w:p w14:paraId="1F5B92A3" w14:textId="77777777" w:rsidR="00FB2821" w:rsidRDefault="00FB282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01527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D0E2840" w14:textId="66F38D08" w:rsidR="002A3CEC" w:rsidRDefault="00AE4EE2" w:rsidP="0034744C">
        <w:pPr>
          <w:pStyle w:val="Footer"/>
          <w:rPr>
            <w:sz w:val="18"/>
            <w:szCs w:val="18"/>
          </w:rPr>
        </w:pPr>
        <w:r w:rsidRPr="00AE4EE2">
          <w:rPr>
            <w:b/>
            <w:sz w:val="18"/>
            <w:szCs w:val="18"/>
          </w:rPr>
          <w:t>m-Xylene-</w:t>
        </w:r>
        <w:proofErr w:type="spellStart"/>
        <w:proofErr w:type="gramStart"/>
        <w:r w:rsidRPr="00AE4EE2">
          <w:rPr>
            <w:b/>
            <w:sz w:val="18"/>
            <w:szCs w:val="18"/>
          </w:rPr>
          <w:t>alpha,alpha</w:t>
        </w:r>
        <w:proofErr w:type="spellEnd"/>
        <w:proofErr w:type="gramEnd"/>
        <w:r w:rsidRPr="00AE4EE2">
          <w:rPr>
            <w:b/>
            <w:sz w:val="18"/>
            <w:szCs w:val="18"/>
          </w:rPr>
          <w:t xml:space="preserve">'-diamine </w:t>
        </w:r>
        <w:r w:rsidR="002A3CEC">
          <w:rPr>
            <w:b/>
            <w:sz w:val="18"/>
            <w:szCs w:val="18"/>
          </w:rPr>
          <w:t>(</w:t>
        </w:r>
        <w:r>
          <w:rPr>
            <w:b/>
            <w:sz w:val="18"/>
            <w:szCs w:val="18"/>
          </w:rPr>
          <w:t>1477-55-0</w:t>
        </w:r>
        <w:r w:rsidR="002A3CEC">
          <w:rPr>
            <w:b/>
            <w:sz w:val="18"/>
            <w:szCs w:val="18"/>
          </w:rPr>
          <w:t>)</w:t>
        </w:r>
        <w:r w:rsidR="002A3CEC" w:rsidRPr="00F43AD5">
          <w:rPr>
            <w:sz w:val="18"/>
            <w:szCs w:val="18"/>
          </w:rPr>
          <w:br/>
          <w:t xml:space="preserve">Safe Work Australia </w:t>
        </w:r>
        <w:r w:rsidR="002A3CEC" w:rsidRPr="00F43AD5">
          <w:rPr>
            <w:rFonts w:ascii="Courier New" w:hAnsi="Courier New" w:cs="Courier New"/>
            <w:sz w:val="18"/>
            <w:szCs w:val="18"/>
          </w:rPr>
          <w:t>—</w:t>
        </w:r>
        <w:r w:rsidR="002A3CEC" w:rsidRPr="00F43AD5">
          <w:rPr>
            <w:sz w:val="18"/>
            <w:szCs w:val="18"/>
          </w:rPr>
          <w:t xml:space="preserve"> 20</w:t>
        </w:r>
        <w:r w:rsidR="002A3CEC">
          <w:rPr>
            <w:sz w:val="18"/>
            <w:szCs w:val="18"/>
          </w:rPr>
          <w:t>20</w:t>
        </w:r>
      </w:p>
      <w:p w14:paraId="632AFABC" w14:textId="3A93E05C" w:rsidR="002A3CEC" w:rsidRPr="00F43AD5" w:rsidRDefault="002A3CEC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E7CE4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56D3F" w14:textId="77777777" w:rsidR="00FB2821" w:rsidRDefault="00FB2821" w:rsidP="00F43AD5">
      <w:pPr>
        <w:spacing w:after="0" w:line="240" w:lineRule="auto"/>
      </w:pPr>
      <w:r>
        <w:separator/>
      </w:r>
    </w:p>
  </w:footnote>
  <w:footnote w:type="continuationSeparator" w:id="0">
    <w:p w14:paraId="7C7570B8" w14:textId="77777777" w:rsidR="00FB2821" w:rsidRDefault="00FB282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48ADB" w14:textId="04544263" w:rsidR="002A3CEC" w:rsidRPr="009878D1" w:rsidRDefault="009878D1" w:rsidP="009878D1">
    <w:pPr>
      <w:pStyle w:val="Header"/>
      <w:jc w:val="right"/>
    </w:pPr>
    <w:r>
      <w:rPr>
        <w:noProof/>
        <w:lang w:eastAsia="en-AU"/>
      </w:rPr>
      <w:drawing>
        <wp:inline distT="0" distB="0" distL="0" distR="0" wp14:anchorId="1AD9A60C" wp14:editId="4D4BBBE6">
          <wp:extent cx="2935605" cy="601345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74A65" w14:textId="19769724" w:rsidR="009878D1" w:rsidRDefault="009878D1" w:rsidP="009878D1">
    <w:pPr>
      <w:pStyle w:val="Header"/>
      <w:jc w:val="right"/>
    </w:pPr>
    <w:r>
      <w:rPr>
        <w:noProof/>
        <w:lang w:eastAsia="en-AU"/>
      </w:rPr>
      <w:drawing>
        <wp:inline distT="0" distB="0" distL="0" distR="0" wp14:anchorId="2ABE5A9F" wp14:editId="29D761CD">
          <wp:extent cx="2935605" cy="601345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DDED38" w14:textId="77777777" w:rsidR="009878D1" w:rsidRDefault="009878D1" w:rsidP="009878D1">
    <w:pPr>
      <w:pStyle w:val="Header"/>
    </w:pPr>
  </w:p>
  <w:p w14:paraId="71F09FB4" w14:textId="56D9295E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76CA8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100722"/>
    <w:multiLevelType w:val="hybridMultilevel"/>
    <w:tmpl w:val="AD8442C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71F63F1E"/>
    <w:multiLevelType w:val="hybridMultilevel"/>
    <w:tmpl w:val="5D44526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717582392">
    <w:abstractNumId w:val="0"/>
  </w:num>
  <w:num w:numId="2" w16cid:durableId="139032165">
    <w:abstractNumId w:val="1"/>
  </w:num>
  <w:num w:numId="3" w16cid:durableId="104538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06B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5F10"/>
    <w:rsid w:val="000803E1"/>
    <w:rsid w:val="00084513"/>
    <w:rsid w:val="00084859"/>
    <w:rsid w:val="00092D94"/>
    <w:rsid w:val="000B0868"/>
    <w:rsid w:val="000B2EDC"/>
    <w:rsid w:val="000B3E12"/>
    <w:rsid w:val="000B3E78"/>
    <w:rsid w:val="000B7B48"/>
    <w:rsid w:val="000C096D"/>
    <w:rsid w:val="000C139A"/>
    <w:rsid w:val="000C2053"/>
    <w:rsid w:val="000C248C"/>
    <w:rsid w:val="000C391B"/>
    <w:rsid w:val="000D0643"/>
    <w:rsid w:val="000D291C"/>
    <w:rsid w:val="000E5A54"/>
    <w:rsid w:val="000E63D3"/>
    <w:rsid w:val="000E67CF"/>
    <w:rsid w:val="001006DA"/>
    <w:rsid w:val="0010461E"/>
    <w:rsid w:val="00106FAA"/>
    <w:rsid w:val="001120A9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236D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26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5029"/>
    <w:rsid w:val="0025734A"/>
    <w:rsid w:val="00263255"/>
    <w:rsid w:val="00276494"/>
    <w:rsid w:val="00277B0C"/>
    <w:rsid w:val="0028530C"/>
    <w:rsid w:val="002A3CEC"/>
    <w:rsid w:val="002B1A2C"/>
    <w:rsid w:val="002C34F2"/>
    <w:rsid w:val="002C58FF"/>
    <w:rsid w:val="002C7AFE"/>
    <w:rsid w:val="002D05D2"/>
    <w:rsid w:val="002E0D61"/>
    <w:rsid w:val="002E4C7B"/>
    <w:rsid w:val="0030740C"/>
    <w:rsid w:val="00311191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5D9B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4F7739"/>
    <w:rsid w:val="0050005E"/>
    <w:rsid w:val="00502B88"/>
    <w:rsid w:val="00503F1E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20CE"/>
    <w:rsid w:val="005C5921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49F3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87DBE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68A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4CC9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5AF5"/>
    <w:rsid w:val="008E7B64"/>
    <w:rsid w:val="008F5DCD"/>
    <w:rsid w:val="00900951"/>
    <w:rsid w:val="009118A6"/>
    <w:rsid w:val="00915F1A"/>
    <w:rsid w:val="00916909"/>
    <w:rsid w:val="00916EC0"/>
    <w:rsid w:val="00920467"/>
    <w:rsid w:val="00921DE7"/>
    <w:rsid w:val="0093041A"/>
    <w:rsid w:val="00930714"/>
    <w:rsid w:val="00931B03"/>
    <w:rsid w:val="009323B9"/>
    <w:rsid w:val="009326BE"/>
    <w:rsid w:val="00932DCE"/>
    <w:rsid w:val="0093327E"/>
    <w:rsid w:val="00934028"/>
    <w:rsid w:val="00935A50"/>
    <w:rsid w:val="0093760E"/>
    <w:rsid w:val="00946044"/>
    <w:rsid w:val="0094660B"/>
    <w:rsid w:val="00946A33"/>
    <w:rsid w:val="009512C5"/>
    <w:rsid w:val="0095260E"/>
    <w:rsid w:val="009578DD"/>
    <w:rsid w:val="00961124"/>
    <w:rsid w:val="009621B6"/>
    <w:rsid w:val="00974F2D"/>
    <w:rsid w:val="00977524"/>
    <w:rsid w:val="00977E88"/>
    <w:rsid w:val="00984920"/>
    <w:rsid w:val="009878D1"/>
    <w:rsid w:val="0099303A"/>
    <w:rsid w:val="00995A8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906"/>
    <w:rsid w:val="00A45102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4EE2"/>
    <w:rsid w:val="00AF1642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7AF5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6290"/>
    <w:rsid w:val="00E37CFD"/>
    <w:rsid w:val="00E41A26"/>
    <w:rsid w:val="00E46254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05E5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2821"/>
    <w:rsid w:val="00FB4E07"/>
    <w:rsid w:val="00FB755A"/>
    <w:rsid w:val="00FC3484"/>
    <w:rsid w:val="00FC60A2"/>
    <w:rsid w:val="00FD1871"/>
    <w:rsid w:val="00FD3110"/>
    <w:rsid w:val="00FE7CE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E4625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2E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ED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ED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E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ED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7C03ED26F48447D6B9C624F71DEE0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B9828-4D4D-41A2-AF58-B08C3357D840}"/>
      </w:docPartPr>
      <w:docPartBody>
        <w:p w:rsidR="004E7452" w:rsidRDefault="009F52B1" w:rsidP="009F52B1">
          <w:pPr>
            <w:pStyle w:val="7C03ED26F48447D6B9C624F71DEE0F9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391B"/>
    <w:rsid w:val="00110D93"/>
    <w:rsid w:val="0018236D"/>
    <w:rsid w:val="00347D16"/>
    <w:rsid w:val="003E0149"/>
    <w:rsid w:val="004E7452"/>
    <w:rsid w:val="00755FBF"/>
    <w:rsid w:val="00970C28"/>
    <w:rsid w:val="009F52B1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52B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7C03ED26F48447D6B9C624F71DEE0F9E">
    <w:name w:val="7C03ED26F48447D6B9C624F71DEE0F9E"/>
    <w:rsid w:val="009F52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59D30-64BD-45E3-8BE8-872A6E47735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1c567317-0c4d-4a62-8516-c22afd1b5354"/>
    <ds:schemaRef ds:uri="a0509f21-ed56-4150-9955-96be669e5f2d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CD2855-4CBB-470E-A44F-392A45405D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E13657-F63F-4E62-A6DC-DAB52A7AA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CC8D7C-A0C5-4011-B6CE-D321C1F32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2020-05-07T23:30:00Z</dcterms:created>
  <dcterms:modified xsi:type="dcterms:W3CDTF">2026-01-09T02:04:00Z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2026-01-07T01:10:47Z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d9489c81-0ab4-4898-b728-9de7ed0dc60c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