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635267E" w:rsidR="00BD499F" w:rsidRPr="004C23F4" w:rsidRDefault="001236D4" w:rsidP="00B40C60">
          <w:pPr>
            <w:pStyle w:val="Heading1"/>
            <w:jc w:val="center"/>
            <w:rPr>
              <w:rFonts w:ascii="Arial" w:hAnsi="Arial" w:cs="Arial"/>
            </w:rPr>
          </w:pPr>
          <w:r w:rsidRPr="001236D4">
            <w:rPr>
              <w:rFonts w:ascii="Arial" w:hAnsi="Arial" w:cs="Arial"/>
            </w:rPr>
            <w:t>N-Vinyl-2-pyrrolidone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647AF6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1D631046" w:rsidR="00F43AD5" w:rsidRPr="00717D45" w:rsidRDefault="001236D4" w:rsidP="00B76A41">
            <w:pPr>
              <w:pStyle w:val="Tablefont"/>
            </w:pPr>
            <w:r w:rsidRPr="001236D4">
              <w:t>88-12-0</w:t>
            </w:r>
          </w:p>
        </w:tc>
      </w:tr>
      <w:tr w:rsidR="00F43AD5" w:rsidRPr="004C23F4" w14:paraId="562A9F51" w14:textId="77777777" w:rsidTr="00647AF6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0B8CB178" w:rsidR="00F43AD5" w:rsidRPr="00717D45" w:rsidRDefault="001236D4" w:rsidP="00B76A41">
            <w:pPr>
              <w:pStyle w:val="Tablefont"/>
            </w:pPr>
            <w:r>
              <w:t>1-</w:t>
            </w:r>
            <w:r w:rsidR="00A61418">
              <w:t xml:space="preserve">Ethenyl-2-pyrrolidinone, vinylbutyrlactam, vinylpyrrolidinone, 1-vinylpyrrolidinone, </w:t>
            </w:r>
            <w:r w:rsidR="00647AF6">
              <w:br/>
            </w:r>
            <w:r w:rsidR="00A61418">
              <w:t>N-vinylpyrrolidinone, vinylpyrrolidone</w:t>
            </w:r>
          </w:p>
        </w:tc>
      </w:tr>
      <w:tr w:rsidR="00F43AD5" w:rsidRPr="004C23F4" w14:paraId="6EE54A08" w14:textId="77777777" w:rsidTr="00647AF6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7EACAB0E" w:rsidR="00F43AD5" w:rsidRPr="00717D45" w:rsidRDefault="00A61418" w:rsidP="00B76A41">
            <w:pPr>
              <w:pStyle w:val="Tablefont"/>
            </w:pPr>
            <w:r>
              <w:t>C</w:t>
            </w:r>
            <w:r w:rsidRPr="00A61418">
              <w:rPr>
                <w:vertAlign w:val="subscript"/>
              </w:rPr>
              <w:t>6</w:t>
            </w:r>
            <w:r>
              <w:t>H</w:t>
            </w:r>
            <w:r w:rsidRPr="00A61418">
              <w:rPr>
                <w:vertAlign w:val="subscript"/>
              </w:rPr>
              <w:t>9</w:t>
            </w:r>
            <w:r>
              <w:t>NO</w:t>
            </w:r>
          </w:p>
        </w:tc>
      </w:tr>
    </w:tbl>
    <w:p w14:paraId="71D72173" w14:textId="203A28F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201B6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891CBBE" w:rsidR="002C7AFE" w:rsidRPr="00EB3D1B" w:rsidRDefault="007F452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0.01 </w:t>
            </w:r>
            <w:r w:rsidRPr="00F920D5">
              <w:rPr>
                <w:b/>
              </w:rPr>
              <w:t>ppm</w:t>
            </w:r>
            <w:r w:rsidR="00F920D5" w:rsidRPr="00F920D5">
              <w:rPr>
                <w:b/>
              </w:rPr>
              <w:t xml:space="preserve"> </w:t>
            </w:r>
            <w:r w:rsidR="00F920D5" w:rsidRPr="00F920D5">
              <w:rPr>
                <w:rFonts w:cs="Arial"/>
                <w:b/>
              </w:rPr>
              <w:t>(0.046 mg/m</w:t>
            </w:r>
            <w:r w:rsidR="00F920D5" w:rsidRPr="00F920D5">
              <w:rPr>
                <w:rFonts w:cs="Arial"/>
                <w:b/>
                <w:vertAlign w:val="superscript"/>
              </w:rPr>
              <w:t>3</w:t>
            </w:r>
            <w:r w:rsidR="00F920D5" w:rsidRPr="00F920D5">
              <w:rPr>
                <w:rFonts w:cs="Arial"/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856E0F9" w:rsidR="00037E52" w:rsidRPr="00EB3D1B" w:rsidRDefault="0029228A" w:rsidP="0087752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Carc. 2., </w:t>
            </w:r>
            <w:r w:rsidR="00877522"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CB37A0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FFD87DE" w:rsidR="00155999" w:rsidRPr="00EB3D1B" w:rsidRDefault="00155999" w:rsidP="00037E52">
            <w:pPr>
              <w:pStyle w:val="Tablefont"/>
              <w:rPr>
                <w:b/>
              </w:rPr>
            </w:pPr>
            <w:r w:rsidRPr="00AB5FD4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67E1B">
                  <w:rPr>
                    <w:rStyle w:val="WESstatus"/>
                    <w:bCs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C420CEA" w:rsidR="006639B4" w:rsidRPr="004C23F4" w:rsidRDefault="007F4524" w:rsidP="000C139A">
      <w:pPr>
        <w:rPr>
          <w:rFonts w:cs="Arial"/>
        </w:rPr>
      </w:pPr>
      <w:r w:rsidRPr="007F4524">
        <w:rPr>
          <w:rFonts w:cs="Arial"/>
        </w:rPr>
        <w:t xml:space="preserve">A TWA of </w:t>
      </w:r>
      <w:r>
        <w:rPr>
          <w:rFonts w:cs="Arial"/>
        </w:rPr>
        <w:t>0.</w:t>
      </w:r>
      <w:r w:rsidR="00F920D5">
        <w:rPr>
          <w:rFonts w:cs="Arial"/>
        </w:rPr>
        <w:t>01</w:t>
      </w:r>
      <w:r w:rsidRPr="007F4524">
        <w:rPr>
          <w:rFonts w:cs="Arial"/>
        </w:rPr>
        <w:t xml:space="preserve"> ppm (</w:t>
      </w:r>
      <w:r>
        <w:rPr>
          <w:rFonts w:cs="Arial"/>
        </w:rPr>
        <w:t>0.046</w:t>
      </w:r>
      <w:r w:rsidRPr="007F4524">
        <w:rPr>
          <w:rFonts w:cs="Arial"/>
        </w:rPr>
        <w:t xml:space="preserve"> mg/m</w:t>
      </w:r>
      <w:r w:rsidRPr="007F4524">
        <w:rPr>
          <w:rFonts w:cs="Arial"/>
          <w:vertAlign w:val="superscript"/>
        </w:rPr>
        <w:t>3</w:t>
      </w:r>
      <w:r w:rsidRPr="007F4524">
        <w:rPr>
          <w:rFonts w:cs="Arial"/>
        </w:rPr>
        <w:t xml:space="preserve">) is recommended to protect for liver damage, upper respiratory tract </w:t>
      </w:r>
      <w:r w:rsidR="0029228A">
        <w:rPr>
          <w:rFonts w:cs="Arial"/>
        </w:rPr>
        <w:t xml:space="preserve">(URT) </w:t>
      </w:r>
      <w:r w:rsidRPr="007F4524">
        <w:rPr>
          <w:rFonts w:cs="Arial"/>
        </w:rPr>
        <w:t>irritation</w:t>
      </w:r>
      <w:r w:rsidR="00631E23">
        <w:rPr>
          <w:rFonts w:cs="Arial"/>
        </w:rPr>
        <w:t xml:space="preserve"> and</w:t>
      </w:r>
      <w:r w:rsidRPr="007F4524">
        <w:rPr>
          <w:rFonts w:cs="Arial"/>
        </w:rPr>
        <w:t xml:space="preserve"> carcinogenicity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ED41358" w14:textId="77777777" w:rsidR="00F80AEB" w:rsidRDefault="003F0FD7" w:rsidP="006639B4">
      <w:pPr>
        <w:rPr>
          <w:rFonts w:cs="Arial"/>
        </w:rPr>
      </w:pPr>
      <w:r>
        <w:rPr>
          <w:rFonts w:cs="Arial"/>
        </w:rPr>
        <w:t>N-vinyl-2-pyrrolidone is used in polymer and pharmaceutical production.</w:t>
      </w:r>
      <w:r w:rsidR="0029228A">
        <w:rPr>
          <w:rFonts w:cs="Arial"/>
        </w:rPr>
        <w:t xml:space="preserve"> </w:t>
      </w:r>
    </w:p>
    <w:p w14:paraId="2A11E67F" w14:textId="77777777" w:rsidR="00E76FC4" w:rsidRDefault="00F80AEB" w:rsidP="006639B4">
      <w:pPr>
        <w:rPr>
          <w:rFonts w:cs="Arial"/>
        </w:rPr>
      </w:pPr>
      <w:r>
        <w:rPr>
          <w:rFonts w:cs="Arial"/>
        </w:rPr>
        <w:t>The c</w:t>
      </w:r>
      <w:r w:rsidR="003F0FD7">
        <w:rPr>
          <w:rFonts w:cs="Arial"/>
        </w:rPr>
        <w:t>ritical effec</w:t>
      </w:r>
      <w:r w:rsidR="00203AB5">
        <w:rPr>
          <w:rFonts w:cs="Arial"/>
        </w:rPr>
        <w:t xml:space="preserve">ts of exposure are liver damage, </w:t>
      </w:r>
      <w:r w:rsidR="0029228A">
        <w:rPr>
          <w:rFonts w:cs="Arial"/>
        </w:rPr>
        <w:t>URT</w:t>
      </w:r>
      <w:r w:rsidR="003F0FD7">
        <w:rPr>
          <w:rFonts w:cs="Arial"/>
        </w:rPr>
        <w:t xml:space="preserve"> irritation</w:t>
      </w:r>
      <w:r w:rsidR="00631E23">
        <w:rPr>
          <w:rFonts w:cs="Arial"/>
        </w:rPr>
        <w:t xml:space="preserve"> and</w:t>
      </w:r>
      <w:r w:rsidR="00203AB5">
        <w:rPr>
          <w:rFonts w:cs="Arial"/>
        </w:rPr>
        <w:t xml:space="preserve"> carcinogenicity as observed in animals</w:t>
      </w:r>
      <w:r w:rsidR="003F0FD7">
        <w:rPr>
          <w:rFonts w:cs="Arial"/>
        </w:rPr>
        <w:t>.</w:t>
      </w:r>
      <w:r>
        <w:rPr>
          <w:rFonts w:cs="Arial"/>
        </w:rPr>
        <w:t xml:space="preserve"> </w:t>
      </w:r>
    </w:p>
    <w:p w14:paraId="4223CC31" w14:textId="7A89FB4A" w:rsidR="003F0FD7" w:rsidRDefault="003F0FD7" w:rsidP="006639B4">
      <w:pPr>
        <w:rPr>
          <w:rFonts w:cs="Arial"/>
        </w:rPr>
      </w:pPr>
      <w:r>
        <w:rPr>
          <w:rFonts w:cs="Arial"/>
        </w:rPr>
        <w:t xml:space="preserve">No quantitative human exposure data are available. </w:t>
      </w:r>
      <w:r w:rsidR="00287154">
        <w:rPr>
          <w:rFonts w:cs="Arial"/>
        </w:rPr>
        <w:t>A</w:t>
      </w:r>
      <w:r w:rsidR="00877522">
        <w:rPr>
          <w:rFonts w:cs="Arial"/>
        </w:rPr>
        <w:t xml:space="preserve"> NOAEC of 0.2 ppm </w:t>
      </w:r>
      <w:r w:rsidR="00402599">
        <w:rPr>
          <w:rFonts w:cs="Arial"/>
        </w:rPr>
        <w:t xml:space="preserve">and LOAEC of 0.5 ppm </w:t>
      </w:r>
      <w:r w:rsidR="00877522">
        <w:rPr>
          <w:rFonts w:cs="Arial"/>
        </w:rPr>
        <w:t xml:space="preserve">for </w:t>
      </w:r>
      <w:r w:rsidR="00402599">
        <w:rPr>
          <w:rFonts w:cs="Arial"/>
        </w:rPr>
        <w:t xml:space="preserve">dose-dependent </w:t>
      </w:r>
      <w:r w:rsidR="00877522">
        <w:rPr>
          <w:rFonts w:cs="Arial"/>
        </w:rPr>
        <w:t>hyperplasia of the nasal epith</w:t>
      </w:r>
      <w:r w:rsidR="00402599">
        <w:rPr>
          <w:rFonts w:cs="Arial"/>
        </w:rPr>
        <w:t>elium</w:t>
      </w:r>
      <w:r w:rsidR="008E3D09">
        <w:rPr>
          <w:rFonts w:cs="Arial"/>
        </w:rPr>
        <w:t xml:space="preserve"> and</w:t>
      </w:r>
      <w:r w:rsidR="00402599">
        <w:rPr>
          <w:rFonts w:cs="Arial"/>
        </w:rPr>
        <w:t xml:space="preserve"> liver cell </w:t>
      </w:r>
      <w:r w:rsidR="00937851">
        <w:rPr>
          <w:rFonts w:cs="Arial"/>
        </w:rPr>
        <w:t>proliferation and degeneration</w:t>
      </w:r>
      <w:r w:rsidR="00402599">
        <w:rPr>
          <w:rFonts w:cs="Arial"/>
        </w:rPr>
        <w:t xml:space="preserve"> are reported in a sub</w:t>
      </w:r>
      <w:r w:rsidR="00A23B99">
        <w:rPr>
          <w:rFonts w:cs="Arial"/>
        </w:rPr>
        <w:t>-</w:t>
      </w:r>
      <w:r w:rsidR="00402599">
        <w:rPr>
          <w:rFonts w:cs="Arial"/>
        </w:rPr>
        <w:t xml:space="preserve">chronic inhalation study </w:t>
      </w:r>
      <w:r w:rsidR="00287154">
        <w:rPr>
          <w:rFonts w:cs="Arial"/>
        </w:rPr>
        <w:t xml:space="preserve">in rats </w:t>
      </w:r>
      <w:r w:rsidR="00402599">
        <w:rPr>
          <w:rFonts w:cs="Arial"/>
        </w:rPr>
        <w:t>(DFG, 2017)</w:t>
      </w:r>
      <w:r w:rsidR="00E72BCA">
        <w:rPr>
          <w:rFonts w:cs="Arial"/>
        </w:rPr>
        <w:t xml:space="preserve">. These endpoints </w:t>
      </w:r>
      <w:r w:rsidR="00402599">
        <w:rPr>
          <w:rFonts w:cs="Arial"/>
        </w:rPr>
        <w:t>are consistent with the results of other less detailed sub</w:t>
      </w:r>
      <w:r w:rsidR="00A23B99">
        <w:rPr>
          <w:rFonts w:cs="Arial"/>
        </w:rPr>
        <w:t>-</w:t>
      </w:r>
      <w:r w:rsidR="00402599">
        <w:rPr>
          <w:rFonts w:cs="Arial"/>
        </w:rPr>
        <w:t xml:space="preserve">chronic inhalation studies </w:t>
      </w:r>
      <w:r w:rsidR="003041A2">
        <w:rPr>
          <w:rFonts w:cs="Arial"/>
        </w:rPr>
        <w:t xml:space="preserve">in </w:t>
      </w:r>
      <w:r w:rsidR="00402599">
        <w:rPr>
          <w:rFonts w:cs="Arial"/>
        </w:rPr>
        <w:t xml:space="preserve">mice and rats </w:t>
      </w:r>
      <w:r w:rsidR="003041A2">
        <w:rPr>
          <w:rFonts w:cs="Arial"/>
        </w:rPr>
        <w:t xml:space="preserve">with a LOAEC of 5 ppm for nasal irritation </w:t>
      </w:r>
      <w:r w:rsidR="00877522">
        <w:rPr>
          <w:rFonts w:cs="Arial"/>
        </w:rPr>
        <w:t xml:space="preserve">and </w:t>
      </w:r>
      <w:r w:rsidR="003041A2">
        <w:rPr>
          <w:rFonts w:cs="Arial"/>
        </w:rPr>
        <w:t xml:space="preserve">45 ppm for </w:t>
      </w:r>
      <w:r w:rsidR="00877522">
        <w:rPr>
          <w:rFonts w:cs="Arial"/>
        </w:rPr>
        <w:t>liver cell degeneration (ACGIH, 2018</w:t>
      </w:r>
      <w:r w:rsidR="00402599">
        <w:rPr>
          <w:rFonts w:cs="Arial"/>
        </w:rPr>
        <w:t xml:space="preserve">). </w:t>
      </w:r>
      <w:r w:rsidR="00EC2A64">
        <w:rPr>
          <w:rFonts w:cs="Arial"/>
        </w:rPr>
        <w:t>Although c</w:t>
      </w:r>
      <w:r w:rsidR="00402599">
        <w:rPr>
          <w:rFonts w:cs="Arial"/>
        </w:rPr>
        <w:t>hronic inhalation at 5 to 20 ppm d</w:t>
      </w:r>
      <w:r w:rsidR="00647AF6">
        <w:rPr>
          <w:rFonts w:cs="Arial"/>
        </w:rPr>
        <w:t>oes</w:t>
      </w:r>
      <w:r w:rsidR="00402599">
        <w:rPr>
          <w:rFonts w:cs="Arial"/>
        </w:rPr>
        <w:t xml:space="preserve"> not affect the survival of exposed rats, but dose-dependent incidences of liver cell carcinomas and </w:t>
      </w:r>
      <w:r w:rsidR="00EC2A64">
        <w:rPr>
          <w:rFonts w:cs="Arial"/>
        </w:rPr>
        <w:t xml:space="preserve">other </w:t>
      </w:r>
      <w:r w:rsidR="00402599">
        <w:rPr>
          <w:rFonts w:cs="Arial"/>
        </w:rPr>
        <w:t xml:space="preserve">adverse effects </w:t>
      </w:r>
      <w:r w:rsidR="00EC2A64">
        <w:rPr>
          <w:rFonts w:cs="Arial"/>
        </w:rPr>
        <w:t xml:space="preserve">are </w:t>
      </w:r>
      <w:r w:rsidR="00402599">
        <w:rPr>
          <w:rFonts w:cs="Arial"/>
        </w:rPr>
        <w:t>consistent with those observed in sub</w:t>
      </w:r>
      <w:r w:rsidR="00A23B99">
        <w:rPr>
          <w:rFonts w:cs="Arial"/>
        </w:rPr>
        <w:t>-</w:t>
      </w:r>
      <w:r w:rsidR="00402599">
        <w:rPr>
          <w:rFonts w:cs="Arial"/>
        </w:rPr>
        <w:t>chronic inhalation studies (ACGIH, 2018; DFG, 2017; HCOTN, 2007). Although a NOAEC for carcinogenic activity is not determined</w:t>
      </w:r>
      <w:r w:rsidR="00937851">
        <w:rPr>
          <w:rFonts w:cs="Arial"/>
        </w:rPr>
        <w:t xml:space="preserve"> </w:t>
      </w:r>
      <w:r w:rsidR="00E72BCA">
        <w:rPr>
          <w:rFonts w:cs="Arial"/>
        </w:rPr>
        <w:t xml:space="preserve">experimentally </w:t>
      </w:r>
      <w:r w:rsidR="00937851">
        <w:rPr>
          <w:rFonts w:cs="Arial"/>
        </w:rPr>
        <w:t xml:space="preserve">in </w:t>
      </w:r>
      <w:r w:rsidR="00E72BCA">
        <w:rPr>
          <w:rFonts w:cs="Arial"/>
        </w:rPr>
        <w:t xml:space="preserve">the available </w:t>
      </w:r>
      <w:r w:rsidR="00937851">
        <w:rPr>
          <w:rFonts w:cs="Arial"/>
        </w:rPr>
        <w:t>chronic exposure studies</w:t>
      </w:r>
      <w:r w:rsidR="00402599">
        <w:rPr>
          <w:rFonts w:cs="Arial"/>
        </w:rPr>
        <w:t>,</w:t>
      </w:r>
      <w:r w:rsidR="00E72BCA">
        <w:rPr>
          <w:rFonts w:cs="Arial"/>
        </w:rPr>
        <w:t xml:space="preserve"> </w:t>
      </w:r>
      <w:r w:rsidR="00402599">
        <w:rPr>
          <w:rFonts w:cs="Arial"/>
        </w:rPr>
        <w:t>the carcinogenic mechanism of action is non-genotoxic</w:t>
      </w:r>
      <w:r w:rsidR="00E72BCA">
        <w:rPr>
          <w:rFonts w:cs="Arial"/>
        </w:rPr>
        <w:t xml:space="preserve"> based on </w:t>
      </w:r>
      <w:r w:rsidR="00E72BCA">
        <w:rPr>
          <w:rFonts w:cs="Arial"/>
          <w:i/>
        </w:rPr>
        <w:t>in vitro</w:t>
      </w:r>
      <w:r w:rsidR="00E72BCA">
        <w:rPr>
          <w:rFonts w:cs="Arial"/>
        </w:rPr>
        <w:t xml:space="preserve"> and </w:t>
      </w:r>
      <w:r w:rsidR="00E72BCA">
        <w:rPr>
          <w:rFonts w:cs="Arial"/>
          <w:i/>
        </w:rPr>
        <w:t>in vivo</w:t>
      </w:r>
      <w:r w:rsidR="00E72BCA">
        <w:rPr>
          <w:rFonts w:cs="Arial"/>
        </w:rPr>
        <w:t xml:space="preserve"> mutagenicity data (ACGIH, 2018; DFG, 2017). Carcinogenic action </w:t>
      </w:r>
      <w:r w:rsidR="00402599">
        <w:rPr>
          <w:rFonts w:cs="Arial"/>
        </w:rPr>
        <w:t>likely depends on the generation of acidic metabolites, which cause cytotoxicity and chr</w:t>
      </w:r>
      <w:r w:rsidR="00583314">
        <w:rPr>
          <w:rFonts w:cs="Arial"/>
        </w:rPr>
        <w:t>onic irrita</w:t>
      </w:r>
      <w:r w:rsidR="00937851">
        <w:rPr>
          <w:rFonts w:cs="Arial"/>
        </w:rPr>
        <w:t xml:space="preserve">tion </w:t>
      </w:r>
      <w:r w:rsidR="00E72BCA">
        <w:rPr>
          <w:rFonts w:cs="Arial"/>
        </w:rPr>
        <w:t xml:space="preserve">in the liver </w:t>
      </w:r>
      <w:r w:rsidR="00937851">
        <w:rPr>
          <w:rFonts w:cs="Arial"/>
        </w:rPr>
        <w:t xml:space="preserve">(ACGIH, 2018; HCOTN, 2007). </w:t>
      </w:r>
      <w:r w:rsidR="00EC2A64">
        <w:rPr>
          <w:rFonts w:cs="Arial"/>
        </w:rPr>
        <w:t>P</w:t>
      </w:r>
      <w:r w:rsidR="00937851">
        <w:rPr>
          <w:rFonts w:cs="Arial"/>
        </w:rPr>
        <w:t>revention of these effects is likely to protect for carcinogenicity</w:t>
      </w:r>
      <w:r w:rsidR="00EC2A64">
        <w:rPr>
          <w:rFonts w:cs="Arial"/>
        </w:rPr>
        <w:t xml:space="preserve">. Therefore, </w:t>
      </w:r>
      <w:r w:rsidR="00937851">
        <w:rPr>
          <w:rFonts w:cs="Arial"/>
        </w:rPr>
        <w:t xml:space="preserve">the NOAEC 0.2 ppm for </w:t>
      </w:r>
      <w:r w:rsidR="00E52A51">
        <w:rPr>
          <w:rFonts w:cs="Arial"/>
        </w:rPr>
        <w:t xml:space="preserve">liver cell proliferation and nasal irritation in rats </w:t>
      </w:r>
      <w:r w:rsidR="00E72BCA">
        <w:rPr>
          <w:rFonts w:cs="Arial"/>
        </w:rPr>
        <w:t xml:space="preserve">may be regarded </w:t>
      </w:r>
      <w:r w:rsidR="00E52A51">
        <w:rPr>
          <w:rFonts w:cs="Arial"/>
        </w:rPr>
        <w:t>as a NOAEC for liver cancer</w:t>
      </w:r>
      <w:r w:rsidR="00E72BCA">
        <w:rPr>
          <w:rFonts w:cs="Arial"/>
        </w:rPr>
        <w:t xml:space="preserve"> (DFG, 2017)</w:t>
      </w:r>
      <w:r w:rsidR="00E52A51">
        <w:rPr>
          <w:rFonts w:cs="Arial"/>
        </w:rPr>
        <w:t>.</w:t>
      </w:r>
    </w:p>
    <w:p w14:paraId="066A9BC8" w14:textId="53A06F9C" w:rsidR="00702703" w:rsidRPr="004C23F4" w:rsidRDefault="00702703" w:rsidP="006639B4">
      <w:pPr>
        <w:rPr>
          <w:rFonts w:cs="Arial"/>
        </w:rPr>
      </w:pPr>
      <w:r>
        <w:rPr>
          <w:rFonts w:cs="Arial"/>
        </w:rPr>
        <w:t>ACGIH (2018) recommends a TLV-TWA of 0.05 ppm</w:t>
      </w:r>
      <w:r w:rsidR="00EC2A64">
        <w:rPr>
          <w:rFonts w:cs="Arial"/>
        </w:rPr>
        <w:t xml:space="preserve"> </w:t>
      </w:r>
      <w:r w:rsidR="00AE414B">
        <w:rPr>
          <w:rFonts w:cs="Arial"/>
        </w:rPr>
        <w:t xml:space="preserve">based on </w:t>
      </w:r>
      <w:r w:rsidR="003E7C3D">
        <w:rPr>
          <w:rFonts w:cs="Arial"/>
        </w:rPr>
        <w:t xml:space="preserve">the LOAEC of 5 ppm and associated dose-response relationship for </w:t>
      </w:r>
      <w:r w:rsidR="00615EA0">
        <w:rPr>
          <w:rFonts w:cs="Arial"/>
        </w:rPr>
        <w:t>nasal epithelial damage in mice.</w:t>
      </w:r>
      <w:r w:rsidR="003E7C3D">
        <w:rPr>
          <w:rFonts w:cs="Arial"/>
        </w:rPr>
        <w:t xml:space="preserve"> DFG (2018) recommends a MAK of 0.01 </w:t>
      </w:r>
      <w:r w:rsidR="00F920D5">
        <w:rPr>
          <w:rFonts w:cs="Arial"/>
        </w:rPr>
        <w:t xml:space="preserve">ppm </w:t>
      </w:r>
      <w:r w:rsidR="003E7C3D">
        <w:rPr>
          <w:rFonts w:cs="Arial"/>
        </w:rPr>
        <w:t xml:space="preserve">based on </w:t>
      </w:r>
      <w:r>
        <w:rPr>
          <w:rFonts w:cs="Arial"/>
        </w:rPr>
        <w:t>the more recently reported NOAEC of 0.2</w:t>
      </w:r>
      <w:r w:rsidR="003E7C3D">
        <w:rPr>
          <w:rFonts w:cs="Arial"/>
        </w:rPr>
        <w:t> </w:t>
      </w:r>
      <w:r>
        <w:rPr>
          <w:rFonts w:cs="Arial"/>
        </w:rPr>
        <w:t xml:space="preserve">ppm for </w:t>
      </w:r>
      <w:r w:rsidR="00615EA0">
        <w:rPr>
          <w:rFonts w:cs="Arial"/>
        </w:rPr>
        <w:t xml:space="preserve">nasal irritation and </w:t>
      </w:r>
      <w:r>
        <w:rPr>
          <w:rFonts w:cs="Arial"/>
        </w:rPr>
        <w:t>liver toxicity</w:t>
      </w:r>
      <w:r w:rsidR="00615EA0" w:rsidRPr="00615EA0">
        <w:rPr>
          <w:rFonts w:cs="Arial"/>
        </w:rPr>
        <w:t xml:space="preserve"> </w:t>
      </w:r>
      <w:r w:rsidR="00615EA0">
        <w:rPr>
          <w:rFonts w:cs="Arial"/>
        </w:rPr>
        <w:lastRenderedPageBreak/>
        <w:t>in rats.</w:t>
      </w:r>
      <w:r w:rsidR="00937851">
        <w:rPr>
          <w:rFonts w:cs="Arial"/>
        </w:rPr>
        <w:t xml:space="preserve"> Carcinogenicity is </w:t>
      </w:r>
      <w:r w:rsidR="00203AB5">
        <w:rPr>
          <w:rFonts w:cs="Arial"/>
        </w:rPr>
        <w:t xml:space="preserve">likely </w:t>
      </w:r>
      <w:r w:rsidR="00E72BCA">
        <w:rPr>
          <w:rFonts w:cs="Arial"/>
        </w:rPr>
        <w:t>due to</w:t>
      </w:r>
      <w:r w:rsidR="00203AB5">
        <w:rPr>
          <w:rFonts w:cs="Arial"/>
        </w:rPr>
        <w:t xml:space="preserve"> chronic </w:t>
      </w:r>
      <w:r w:rsidR="00E72BCA">
        <w:rPr>
          <w:rFonts w:cs="Arial"/>
        </w:rPr>
        <w:t>cell proliferation</w:t>
      </w:r>
      <w:r w:rsidR="008E3D09">
        <w:rPr>
          <w:rFonts w:cs="Arial"/>
        </w:rPr>
        <w:t xml:space="preserve"> and liver degeneration</w:t>
      </w:r>
      <w:r w:rsidR="00203AB5">
        <w:rPr>
          <w:rFonts w:cs="Arial"/>
        </w:rPr>
        <w:t xml:space="preserve"> caused by acidic metabolites</w:t>
      </w:r>
      <w:r w:rsidR="00AE414B">
        <w:rPr>
          <w:rFonts w:cs="Arial"/>
        </w:rPr>
        <w:t xml:space="preserve"> and</w:t>
      </w:r>
      <w:r w:rsidR="00203AB5">
        <w:rPr>
          <w:rFonts w:cs="Arial"/>
        </w:rPr>
        <w:t xml:space="preserve"> protection for these effects is </w:t>
      </w:r>
      <w:r w:rsidR="00E72BCA">
        <w:rPr>
          <w:rFonts w:cs="Arial"/>
        </w:rPr>
        <w:t xml:space="preserve">considered </w:t>
      </w:r>
      <w:r w:rsidR="00203AB5">
        <w:rPr>
          <w:rFonts w:cs="Arial"/>
        </w:rPr>
        <w:t xml:space="preserve">preventative of cancer. </w:t>
      </w:r>
      <w:r w:rsidR="00615EA0">
        <w:rPr>
          <w:rFonts w:cs="Arial"/>
        </w:rPr>
        <w:t xml:space="preserve">In view of the more recently reported NOAEC of 0.2 ppm in rats, </w:t>
      </w:r>
      <w:r w:rsidR="00E76FC4">
        <w:rPr>
          <w:rFonts w:cs="Arial"/>
        </w:rPr>
        <w:t xml:space="preserve">the </w:t>
      </w:r>
      <w:r w:rsidR="00615EA0">
        <w:rPr>
          <w:rFonts w:cs="Arial"/>
        </w:rPr>
        <w:t xml:space="preserve">TWA of 0.01 ppm </w:t>
      </w:r>
      <w:r w:rsidR="00E76FC4">
        <w:rPr>
          <w:rFonts w:cs="Arial"/>
        </w:rPr>
        <w:t xml:space="preserve">by DFG (2017) </w:t>
      </w:r>
      <w:r w:rsidR="00615EA0">
        <w:rPr>
          <w:rFonts w:cs="Arial"/>
        </w:rPr>
        <w:t xml:space="preserve">is recommended </w:t>
      </w:r>
      <w:r w:rsidR="00AE414B">
        <w:rPr>
          <w:rFonts w:cs="Arial"/>
        </w:rPr>
        <w:t xml:space="preserve">to </w:t>
      </w:r>
      <w:r w:rsidR="00E76FC4">
        <w:rPr>
          <w:rFonts w:cs="Arial"/>
        </w:rPr>
        <w:t xml:space="preserve">be adopted </w:t>
      </w:r>
      <w:r w:rsidR="00615EA0">
        <w:rPr>
          <w:rFonts w:cs="Arial"/>
        </w:rPr>
        <w:t>and expected to be</w:t>
      </w:r>
      <w:r w:rsidR="00203AB5">
        <w:rPr>
          <w:rFonts w:cs="Arial"/>
        </w:rPr>
        <w:t xml:space="preserve"> protective of local irritation, </w:t>
      </w:r>
      <w:r w:rsidR="00615EA0">
        <w:rPr>
          <w:rFonts w:cs="Arial"/>
        </w:rPr>
        <w:t>liver damage</w:t>
      </w:r>
      <w:r w:rsidR="00631E23">
        <w:rPr>
          <w:rFonts w:cs="Arial"/>
        </w:rPr>
        <w:t xml:space="preserve"> and</w:t>
      </w:r>
      <w:r w:rsidR="00203AB5">
        <w:rPr>
          <w:rFonts w:cs="Arial"/>
        </w:rPr>
        <w:t xml:space="preserve"> potential carcinogenicity</w:t>
      </w:r>
      <w:r w:rsidR="00615EA0">
        <w:rPr>
          <w:rFonts w:cs="Arial"/>
        </w:rPr>
        <w:t>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AEC55FC" w14:textId="30B8D1BB" w:rsidR="00203AB5" w:rsidRPr="007F4524" w:rsidRDefault="00203AB5" w:rsidP="008E4F1F">
      <w:pPr>
        <w:rPr>
          <w:rFonts w:cs="Arial"/>
        </w:rPr>
      </w:pPr>
      <w:r w:rsidRPr="007F4524">
        <w:rPr>
          <w:rFonts w:cs="Arial"/>
        </w:rPr>
        <w:t xml:space="preserve">Classified as a category </w:t>
      </w:r>
      <w:r w:rsidR="00336386" w:rsidRPr="007F4524">
        <w:rPr>
          <w:rFonts w:cs="Arial"/>
        </w:rPr>
        <w:t>2</w:t>
      </w:r>
      <w:r w:rsidRPr="007F4524">
        <w:rPr>
          <w:rFonts w:cs="Arial"/>
        </w:rPr>
        <w:t xml:space="preserve"> carcinogen according to the Globally Harmonized System of Classification and Labelling of Chemicals (GHS).</w:t>
      </w:r>
    </w:p>
    <w:p w14:paraId="03916CCC" w14:textId="4CA6ED59" w:rsidR="008E4F1F" w:rsidRPr="007F4524" w:rsidRDefault="008E4F1F" w:rsidP="008E4F1F">
      <w:pPr>
        <w:rPr>
          <w:rFonts w:cs="Arial"/>
        </w:rPr>
      </w:pPr>
      <w:r w:rsidRPr="007F4524">
        <w:rPr>
          <w:rFonts w:cs="Arial"/>
        </w:rPr>
        <w:t xml:space="preserve">Not classified as a skin </w:t>
      </w:r>
      <w:r w:rsidR="00155999" w:rsidRPr="007F4524">
        <w:rPr>
          <w:rFonts w:cs="Arial"/>
        </w:rPr>
        <w:t xml:space="preserve">sensitiser </w:t>
      </w:r>
      <w:r w:rsidRPr="007F4524">
        <w:rPr>
          <w:rFonts w:cs="Arial"/>
        </w:rPr>
        <w:t>or respiratory sensitiser according to the GHS.</w:t>
      </w:r>
    </w:p>
    <w:p w14:paraId="11AA6B66" w14:textId="07374CE9" w:rsidR="00336386" w:rsidRPr="007F4524" w:rsidRDefault="00336386" w:rsidP="00336386">
      <w:pPr>
        <w:rPr>
          <w:rFonts w:cs="Arial"/>
        </w:rPr>
      </w:pPr>
      <w:r w:rsidRPr="007F4524">
        <w:rPr>
          <w:rFonts w:cs="Arial"/>
        </w:rPr>
        <w:t>A skin notation is recommended due to evidence of dermal absorption and contribution to adverse systemic effects in animals.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401E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401E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90FD31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148CB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148CB">
                  <w:t>NA</w:t>
                </w:r>
                <w:r w:rsidR="00A61418">
                  <w:t xml:space="preserve"> </w:t>
                </w:r>
              </w:sdtContent>
            </w:sdt>
          </w:p>
        </w:tc>
      </w:tr>
      <w:tr w:rsidR="00C978F0" w:rsidRPr="00DA352E" w14:paraId="26087DDB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1137D58F" w14:textId="23D4014A" w:rsidR="00C978F0" w:rsidRPr="00DA352E" w:rsidRDefault="009148CB" w:rsidP="003365A5">
            <w:pPr>
              <w:pStyle w:val="Tabletextprimarysource"/>
            </w:pPr>
            <w:r>
              <w:t>No report</w:t>
            </w:r>
            <w:r w:rsidR="00AB5FD4">
              <w:t>.</w:t>
            </w:r>
          </w:p>
        </w:tc>
      </w:tr>
      <w:tr w:rsidR="00C978F0" w:rsidRPr="00DA352E" w14:paraId="24593221" w14:textId="77777777" w:rsidTr="00B401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3AD61C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148C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148CB">
                  <w:t xml:space="preserve">TLV-TWA: </w:t>
                </w:r>
                <w:r w:rsidR="00341005">
                  <w:t>0.05 ppm (0.23 mg/m</w:t>
                </w:r>
                <w:r w:rsidR="00341005" w:rsidRPr="00341005">
                  <w:rPr>
                    <w:vertAlign w:val="superscript"/>
                  </w:rPr>
                  <w:t>3</w:t>
                </w:r>
                <w:r w:rsidR="00341005">
                  <w:t>)</w:t>
                </w:r>
              </w:sdtContent>
            </w:sdt>
          </w:p>
        </w:tc>
      </w:tr>
      <w:tr w:rsidR="00C978F0" w:rsidRPr="00DA352E" w14:paraId="418D532D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37428694" w14:textId="77777777" w:rsidR="00647AF6" w:rsidRDefault="00CB37A0" w:rsidP="003365A5">
            <w:pPr>
              <w:pStyle w:val="Tabletextprimarysource"/>
            </w:pPr>
            <w:r>
              <w:t xml:space="preserve">TLV-TWA intended to protect for liver toxicity and nasal tissue damage. </w:t>
            </w:r>
          </w:p>
          <w:p w14:paraId="57542360" w14:textId="63956C59" w:rsidR="00CB37A0" w:rsidRDefault="00CB37A0" w:rsidP="003365A5">
            <w:pPr>
              <w:pStyle w:val="Tabletextprimarysource"/>
            </w:pPr>
            <w:r>
              <w:t>Summary of information:</w:t>
            </w:r>
          </w:p>
          <w:p w14:paraId="5D2F5FA2" w14:textId="61B2F1A9" w:rsidR="00CB37A0" w:rsidRDefault="00CB37A0" w:rsidP="003365A5">
            <w:pPr>
              <w:pStyle w:val="Tabletextprimarysource"/>
            </w:pPr>
            <w:r>
              <w:t>TLV-TWA based on LOAEC of 5 ppm for slight liver toxicity and nasal tissue damage</w:t>
            </w:r>
            <w:r w:rsidR="009721D5">
              <w:t xml:space="preserve"> in mice</w:t>
            </w:r>
            <w:r>
              <w:t>. Effects at the LOAEC minimal and a dose-response relationship established with results from higher doses; TLV-TWA of 0.05 ppm therefore considered protective of critical effects.</w:t>
            </w:r>
          </w:p>
          <w:p w14:paraId="523677FE" w14:textId="12711959" w:rsidR="00CB37A0" w:rsidRDefault="00CB37A0" w:rsidP="003365A5">
            <w:pPr>
              <w:pStyle w:val="Tabletextprimarysource"/>
            </w:pPr>
            <w:r>
              <w:t>Human data:</w:t>
            </w:r>
          </w:p>
          <w:p w14:paraId="3115ED9D" w14:textId="4CE68F89" w:rsidR="00CB37A0" w:rsidRDefault="00D04D39" w:rsidP="00D04D39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 adverse effects in exposed workers (n=94) compared with </w:t>
            </w:r>
            <w:r w:rsidR="00E76FC4">
              <w:t xml:space="preserve">controls </w:t>
            </w:r>
            <w:r>
              <w:t>(n=95) with average employment duration of 12.7 yr (no details on exposure provided)</w:t>
            </w:r>
            <w:r w:rsidR="00F920D5">
              <w:t>.</w:t>
            </w:r>
          </w:p>
          <w:p w14:paraId="6D9D3C0B" w14:textId="2E019C20" w:rsidR="00CB37A0" w:rsidRDefault="00CB37A0" w:rsidP="003365A5">
            <w:pPr>
              <w:pStyle w:val="Tabletextprimarysource"/>
            </w:pPr>
            <w:r>
              <w:t>Animal data</w:t>
            </w:r>
            <w:r w:rsidR="00AE414B">
              <w:t>:</w:t>
            </w:r>
          </w:p>
          <w:p w14:paraId="0EC74A8B" w14:textId="3E3964A9" w:rsidR="00647AF6" w:rsidRDefault="005F47ED" w:rsidP="00CB37A0">
            <w:pPr>
              <w:pStyle w:val="Tabletextprimarysource"/>
              <w:numPr>
                <w:ilvl w:val="0"/>
                <w:numId w:val="1"/>
              </w:numPr>
            </w:pPr>
            <w:r>
              <w:t>Lethal at 2,250 mg/kg in single oral dose study (rats)</w:t>
            </w:r>
            <w:r w:rsidR="00AE414B">
              <w:t>:</w:t>
            </w:r>
            <w:r>
              <w:t xml:space="preserve"> </w:t>
            </w:r>
          </w:p>
          <w:p w14:paraId="3B19962F" w14:textId="77777777" w:rsidR="00647AF6" w:rsidRDefault="005F47ED" w:rsidP="00647AF6">
            <w:pPr>
              <w:pStyle w:val="Tabletextprimarysource"/>
              <w:numPr>
                <w:ilvl w:val="0"/>
                <w:numId w:val="5"/>
              </w:numPr>
            </w:pPr>
            <w:r>
              <w:t>kidney and liver damage (not sp</w:t>
            </w:r>
            <w:r w:rsidR="00295B94">
              <w:t>ecified) observed at necropsy</w:t>
            </w:r>
          </w:p>
          <w:p w14:paraId="7D8F46BA" w14:textId="37E24305" w:rsidR="00CB37A0" w:rsidRDefault="00295B94" w:rsidP="004E1DB5">
            <w:pPr>
              <w:pStyle w:val="Tabletextprimarysource"/>
              <w:numPr>
                <w:ilvl w:val="0"/>
                <w:numId w:val="5"/>
              </w:numPr>
            </w:pPr>
            <w:r>
              <w:t>n</w:t>
            </w:r>
            <w:r w:rsidR="005F47ED">
              <w:t>o such effects in survivors dosed at 1,000 and 1,500 mg/kg</w:t>
            </w:r>
          </w:p>
          <w:p w14:paraId="2F500442" w14:textId="7E31ECC1" w:rsidR="005F47ED" w:rsidRDefault="005F47ED" w:rsidP="005F47ED">
            <w:pPr>
              <w:pStyle w:val="Tabletextprimarysource"/>
              <w:numPr>
                <w:ilvl w:val="0"/>
                <w:numId w:val="1"/>
              </w:numPr>
            </w:pPr>
            <w:r>
              <w:t>Laboured breathing</w:t>
            </w:r>
            <w:r w:rsidR="00647AF6">
              <w:t xml:space="preserve"> and</w:t>
            </w:r>
            <w:r>
              <w:t xml:space="preserve"> no mortality at 45,000 mg/m</w:t>
            </w:r>
            <w:r>
              <w:rPr>
                <w:vertAlign w:val="superscript"/>
              </w:rPr>
              <w:t>3</w:t>
            </w:r>
            <w:r>
              <w:t xml:space="preserve"> (rats, 8 h)</w:t>
            </w:r>
          </w:p>
          <w:p w14:paraId="52B84EDC" w14:textId="4AE7E03A" w:rsidR="005F47ED" w:rsidRDefault="005F47ED" w:rsidP="005F47ED">
            <w:pPr>
              <w:pStyle w:val="Tabletextprimarysource"/>
              <w:numPr>
                <w:ilvl w:val="0"/>
                <w:numId w:val="1"/>
              </w:numPr>
            </w:pPr>
            <w:r>
              <w:t>Non-sensitising to guinea pigs (no further details provided)</w:t>
            </w:r>
          </w:p>
          <w:p w14:paraId="3C91EF8E" w14:textId="06094B3C" w:rsidR="005F47ED" w:rsidRDefault="009721D5" w:rsidP="005F47ED">
            <w:pPr>
              <w:pStyle w:val="Tabletextprimarysource"/>
              <w:numPr>
                <w:ilvl w:val="0"/>
                <w:numId w:val="1"/>
              </w:numPr>
            </w:pPr>
            <w:r>
              <w:t>Increased liver weights and minimal incidence of foci of cellular alteration at 40 mg/kg/d in repeat gavage dose (rats, 13 wk); increased incidence of liver foci at 60 and 100 mg/kg/d</w:t>
            </w:r>
          </w:p>
          <w:p w14:paraId="3090441C" w14:textId="1680FE5A" w:rsidR="009721D5" w:rsidRDefault="009721D5" w:rsidP="005F47ED">
            <w:pPr>
              <w:pStyle w:val="Tabletextprimarysource"/>
              <w:numPr>
                <w:ilvl w:val="0"/>
                <w:numId w:val="1"/>
              </w:numPr>
            </w:pPr>
            <w:r>
              <w:t>Series of sub</w:t>
            </w:r>
            <w:r w:rsidR="00F52FAF">
              <w:t>-</w:t>
            </w:r>
            <w:r>
              <w:t xml:space="preserve">chronic inhalation studies with exposure groups </w:t>
            </w:r>
            <w:r w:rsidR="00E76FC4">
              <w:t xml:space="preserve">of </w:t>
            </w:r>
            <w:r>
              <w:t xml:space="preserve">0, </w:t>
            </w:r>
            <w:r w:rsidR="006E5C42">
              <w:t xml:space="preserve">1, </w:t>
            </w:r>
            <w:r>
              <w:t>5, 15</w:t>
            </w:r>
            <w:r w:rsidR="00631E23">
              <w:t xml:space="preserve"> and</w:t>
            </w:r>
            <w:r>
              <w:t xml:space="preserve"> 45 ppm are summarised (mice, rats, 6 h/d, 5 d/wk, 7 wk</w:t>
            </w:r>
            <w:r w:rsidR="006E5C42">
              <w:t>–3 mo</w:t>
            </w:r>
            <w:r>
              <w:t>)</w:t>
            </w:r>
            <w:r w:rsidR="00AE414B">
              <w:t>:</w:t>
            </w:r>
          </w:p>
          <w:p w14:paraId="74EDB290" w14:textId="6027A414" w:rsidR="009721D5" w:rsidRDefault="009721D5" w:rsidP="00AB5FD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changes in serum protein levels, increased liver function</w:t>
            </w:r>
            <w:r w:rsidR="00631E23">
              <w:t xml:space="preserve"> and</w:t>
            </w:r>
            <w:r>
              <w:t xml:space="preserve"> haematological changes reported at 15 and 45 ppm</w:t>
            </w:r>
          </w:p>
          <w:p w14:paraId="17A31EED" w14:textId="6BCE7472" w:rsidR="009721D5" w:rsidRDefault="009721D5" w:rsidP="00AB5FD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hepatocyte enlargement, single-cell necrosis</w:t>
            </w:r>
            <w:r w:rsidR="00631E23">
              <w:t xml:space="preserve"> and</w:t>
            </w:r>
            <w:r>
              <w:t xml:space="preserve"> degeneration at 45 ppm</w:t>
            </w:r>
          </w:p>
          <w:p w14:paraId="213DCFD1" w14:textId="7A0F647E" w:rsidR="009721D5" w:rsidRDefault="009721D5" w:rsidP="00AB5FD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atrophy of nasal epithelium at 5–45 ppm (mice) and 15–45 ppm (rats)</w:t>
            </w:r>
          </w:p>
          <w:p w14:paraId="3B8F3886" w14:textId="326A9F8D" w:rsidR="006E5C42" w:rsidRDefault="006E5C42" w:rsidP="00AB5FD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slight proliferation of bronchial epithelium (mice) after 1 wk at 45 ppm, 3 wk at 15 ppm and 7 wk at 5 ppm</w:t>
            </w:r>
          </w:p>
          <w:p w14:paraId="6112D6E9" w14:textId="4A673C98" w:rsidR="009721D5" w:rsidRDefault="006E5C42" w:rsidP="009721D5">
            <w:pPr>
              <w:pStyle w:val="Tabletextprimarysource"/>
              <w:numPr>
                <w:ilvl w:val="0"/>
                <w:numId w:val="1"/>
              </w:numPr>
            </w:pPr>
            <w:r>
              <w:t>NOAEC</w:t>
            </w:r>
            <w:r w:rsidR="00E76FC4">
              <w:t xml:space="preserve"> of </w:t>
            </w:r>
            <w:r>
              <w:t>10 ppm for signs of toxicity reported in separate sub</w:t>
            </w:r>
            <w:r w:rsidR="00AE414B">
              <w:t>-</w:t>
            </w:r>
            <w:r>
              <w:t>chronic inhalation study (rats, mice, 6 h/d, 5 d/wk, 6 mo, no further details provided)</w:t>
            </w:r>
          </w:p>
          <w:p w14:paraId="003BC64C" w14:textId="7A9908ED" w:rsidR="00ED52FD" w:rsidRDefault="00ED52FD" w:rsidP="009721D5">
            <w:pPr>
              <w:pStyle w:val="Tabletextprimarysource"/>
              <w:numPr>
                <w:ilvl w:val="0"/>
                <w:numId w:val="1"/>
              </w:numPr>
            </w:pPr>
            <w:r>
              <w:t>Dose-dependent haematological and clinical chemistry changes, increased liver weight, liver cell necrosis</w:t>
            </w:r>
            <w:r w:rsidR="00631E23">
              <w:t xml:space="preserve"> and</w:t>
            </w:r>
            <w:r>
              <w:t xml:space="preserve"> hyperplasia of nasal epithelium at</w:t>
            </w:r>
            <w:r w:rsidR="000D1CA2">
              <w:t xml:space="preserve"> </w:t>
            </w:r>
            <w:r w:rsidR="00ED084D">
              <w:t>0</w:t>
            </w:r>
            <w:r w:rsidR="000D1CA2">
              <w:t>,</w:t>
            </w:r>
            <w:r>
              <w:t xml:space="preserve"> 5, 10</w:t>
            </w:r>
            <w:r w:rsidR="00631E23">
              <w:t xml:space="preserve"> and</w:t>
            </w:r>
            <w:r>
              <w:t xml:space="preserve"> 20 ppm in chronic inhalation study (rats, 6 h/d, 5 d/wk, 2 yr, animals per group not specified)</w:t>
            </w:r>
            <w:r w:rsidR="00AE414B">
              <w:t>:</w:t>
            </w:r>
            <w:r>
              <w:t xml:space="preserve"> </w:t>
            </w:r>
          </w:p>
          <w:p w14:paraId="0189D26E" w14:textId="5BF8633B" w:rsidR="000D1CA2" w:rsidRDefault="00ED52FD" w:rsidP="0029228A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survival unaffected by cancer incidence</w:t>
            </w:r>
          </w:p>
          <w:p w14:paraId="297E0E9A" w14:textId="4029F1BE" w:rsidR="00ED52FD" w:rsidRDefault="00ED52FD" w:rsidP="0029228A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dose-dependent incidence of liver cell carcinomas reported </w:t>
            </w:r>
            <w:r w:rsidR="00EC2A64">
              <w:t xml:space="preserve">as 1, 6, 5 and 17 (males) and 1, 3, 6, 26 (females) </w:t>
            </w:r>
            <w:r>
              <w:t>for exposure groups 0, 5, 10</w:t>
            </w:r>
            <w:r w:rsidR="00631E23">
              <w:t xml:space="preserve"> and</w:t>
            </w:r>
            <w:r>
              <w:t xml:space="preserve"> 20 ppm </w:t>
            </w:r>
          </w:p>
          <w:p w14:paraId="7A024DF0" w14:textId="70ACB4BA" w:rsidR="00ED52FD" w:rsidRDefault="00D04D39" w:rsidP="00ED52F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Non-genotoxic in 4 </w:t>
            </w:r>
            <w:r>
              <w:rPr>
                <w:i/>
              </w:rPr>
              <w:t>in vitro</w:t>
            </w:r>
            <w:r>
              <w:t xml:space="preserve"> assays with bacteria and mammalian cells with or without metabolic activation</w:t>
            </w:r>
          </w:p>
          <w:p w14:paraId="2C9E3B02" w14:textId="0BF1611D" w:rsidR="00D04D39" w:rsidRDefault="00D04D39" w:rsidP="00ED52F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vivo</w:t>
            </w:r>
            <w:r>
              <w:t xml:space="preserve"> in micronucleus assay at oral doses of 150–600 mg/kg (mice)</w:t>
            </w:r>
            <w:r w:rsidR="00AB5FD4">
              <w:t>.</w:t>
            </w:r>
          </w:p>
          <w:p w14:paraId="2CC9EDBF" w14:textId="77777777" w:rsidR="004E1DB5" w:rsidRDefault="004E1DB5" w:rsidP="003365A5">
            <w:pPr>
              <w:pStyle w:val="Tabletextprimarysource"/>
            </w:pPr>
          </w:p>
          <w:p w14:paraId="50012B90" w14:textId="77777777" w:rsidR="00CB37A0" w:rsidRDefault="00CB37A0" w:rsidP="003365A5">
            <w:pPr>
              <w:pStyle w:val="Tabletextprimarysource"/>
            </w:pPr>
            <w:r>
              <w:t>Insufficient data to recommend a TLV-STEL.</w:t>
            </w:r>
          </w:p>
          <w:p w14:paraId="57F1123F" w14:textId="77777777" w:rsidR="00AE414B" w:rsidRDefault="00AE414B" w:rsidP="00AE414B">
            <w:pPr>
              <w:pStyle w:val="Tabletextprimarysource"/>
            </w:pPr>
            <w:r>
              <w:lastRenderedPageBreak/>
              <w:t xml:space="preserve">Classified as a confirmed animal carcinogen with unknown relevance to humans (A3) based on results of chronic inhalation study with rats. </w:t>
            </w:r>
          </w:p>
          <w:p w14:paraId="37D5EB6E" w14:textId="77777777" w:rsidR="00AE414B" w:rsidRDefault="00AE414B" w:rsidP="00AE414B">
            <w:pPr>
              <w:pStyle w:val="Tabletextprimarysource"/>
            </w:pPr>
            <w:r>
              <w:t>Skin and sensitiser notations not recommended based on human exposure data.</w:t>
            </w:r>
          </w:p>
          <w:p w14:paraId="0CE4D35D" w14:textId="5FD98BD2" w:rsidR="00AE414B" w:rsidRPr="00DA352E" w:rsidRDefault="00AE414B" w:rsidP="00AE414B">
            <w:pPr>
              <w:pStyle w:val="Tabletextprimarysource"/>
            </w:pPr>
          </w:p>
        </w:tc>
      </w:tr>
      <w:tr w:rsidR="00C978F0" w:rsidRPr="00DA352E" w14:paraId="174F8B79" w14:textId="77777777" w:rsidTr="00B401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1FAFC5E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41005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41005">
                  <w:t>MAK: 0.01 ppm (0.046 mg/m</w:t>
                </w:r>
                <w:r w:rsidR="00341005" w:rsidRPr="00341005">
                  <w:rPr>
                    <w:vertAlign w:val="superscript"/>
                  </w:rPr>
                  <w:t>3</w:t>
                </w:r>
                <w:r w:rsidR="00341005">
                  <w:t>)</w:t>
                </w:r>
              </w:sdtContent>
            </w:sdt>
          </w:p>
        </w:tc>
      </w:tr>
      <w:tr w:rsidR="00C978F0" w:rsidRPr="00DA352E" w14:paraId="4433014F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1A50AE19" w14:textId="63D72CAC" w:rsidR="00BE5D0D" w:rsidRDefault="00BE5D0D" w:rsidP="003365A5">
            <w:pPr>
              <w:pStyle w:val="Tabletextprimarysource"/>
            </w:pPr>
            <w:r>
              <w:t>Summary of additional information:</w:t>
            </w:r>
          </w:p>
          <w:p w14:paraId="32D98A26" w14:textId="2B8878F9" w:rsidR="00C978F0" w:rsidRDefault="00A05D16" w:rsidP="003365A5">
            <w:pPr>
              <w:pStyle w:val="Tabletextprimarysource"/>
            </w:pPr>
            <w:r>
              <w:t xml:space="preserve">Critical effects </w:t>
            </w:r>
            <w:r w:rsidR="00BE5D0D">
              <w:t>are liver toxicity and hyperplasia of nasal epithelia as observed in rats. MAK based on NOAEC of 0.2 ppm</w:t>
            </w:r>
            <w:r w:rsidR="00C020F3">
              <w:t xml:space="preserve"> and LOAEC of 0.5 ppm</w:t>
            </w:r>
            <w:r w:rsidR="00BE5D0D">
              <w:t xml:space="preserve"> for these effects reported in </w:t>
            </w:r>
            <w:r w:rsidR="00C020F3">
              <w:t xml:space="preserve">a </w:t>
            </w:r>
            <w:r w:rsidR="00BE5D0D">
              <w:t>sub</w:t>
            </w:r>
            <w:r w:rsidR="00AE414B">
              <w:t>-</w:t>
            </w:r>
            <w:r w:rsidR="00BE5D0D">
              <w:t xml:space="preserve">chronic inhalation study with rats. </w:t>
            </w:r>
            <w:r w:rsidR="000D1CA2">
              <w:t xml:space="preserve">DFG’s </w:t>
            </w:r>
            <w:r w:rsidR="00320417">
              <w:t>publication</w:t>
            </w:r>
            <w:r w:rsidR="003041A2">
              <w:t xml:space="preserve"> on</w:t>
            </w:r>
            <w:r w:rsidR="00320417">
              <w:t xml:space="preserve"> “List of MAK and BAT values 2018”</w:t>
            </w:r>
            <w:r w:rsidR="003041A2">
              <w:t xml:space="preserve"> describes that</w:t>
            </w:r>
            <w:r w:rsidR="00320417">
              <w:t xml:space="preserve"> the N</w:t>
            </w:r>
            <w:r w:rsidR="000D1CA2">
              <w:t>O</w:t>
            </w:r>
            <w:r w:rsidR="00320417">
              <w:t xml:space="preserve">AEC for sensory irritation </w:t>
            </w:r>
            <w:r w:rsidR="003041A2">
              <w:t xml:space="preserve">in humans </w:t>
            </w:r>
            <w:r w:rsidR="00320417">
              <w:t>may be estimated from the NOAEC for irritation of the olfactory epithelium from a suitable short-term sub</w:t>
            </w:r>
            <w:r w:rsidR="00AE414B">
              <w:t>-</w:t>
            </w:r>
            <w:r w:rsidR="00320417">
              <w:t>chronic inhalation study with rats</w:t>
            </w:r>
            <w:r w:rsidR="000807FC">
              <w:t xml:space="preserve"> applying conversion factors according to DFG methodology</w:t>
            </w:r>
            <w:r w:rsidR="00320417">
              <w:t>. Accordingly, a factor o</w:t>
            </w:r>
            <w:r w:rsidR="00AB7D68">
              <w:t>f</w:t>
            </w:r>
            <w:r w:rsidR="00320417">
              <w:t xml:space="preserve"> 6 is applied to estimate the N</w:t>
            </w:r>
            <w:r w:rsidR="000D1CA2">
              <w:t>O</w:t>
            </w:r>
            <w:r w:rsidR="00320417">
              <w:t xml:space="preserve">AEC </w:t>
            </w:r>
            <w:r w:rsidR="00615EA0">
              <w:t xml:space="preserve">of 0.03 ppm </w:t>
            </w:r>
            <w:r w:rsidR="00320417">
              <w:t>in humans, this value is halved to account for increased respiratory volume in the workplace and rounded down to produce the MAK of 0.01 ppm.</w:t>
            </w:r>
          </w:p>
          <w:p w14:paraId="716529C7" w14:textId="64EE5B07" w:rsidR="00615EA0" w:rsidRDefault="00615EA0" w:rsidP="003365A5">
            <w:pPr>
              <w:pStyle w:val="Tabletextprimarysource"/>
            </w:pPr>
            <w:r>
              <w:t>Classified as a category 4 carcinogen based on absence of evidence for genotoxicity</w:t>
            </w:r>
            <w:r w:rsidR="00631E23">
              <w:t xml:space="preserve"> and</w:t>
            </w:r>
            <w:r>
              <w:t xml:space="preserve"> </w:t>
            </w:r>
            <w:r w:rsidR="00937851">
              <w:t>evidence proliferative effects at 0.5 ppm reported in a sub</w:t>
            </w:r>
            <w:r w:rsidR="000D1CA2">
              <w:t>-</w:t>
            </w:r>
            <w:r w:rsidR="00937851">
              <w:t xml:space="preserve">chronic inhalation study </w:t>
            </w:r>
            <w:r w:rsidR="000D1CA2">
              <w:t xml:space="preserve">in </w:t>
            </w:r>
            <w:r w:rsidR="00937851">
              <w:t xml:space="preserve">rats are the likely cause of dose-dependent carcinogenicity observed in a chronic inhalation study (also </w:t>
            </w:r>
            <w:r w:rsidR="000D1CA2">
              <w:t xml:space="preserve">reported </w:t>
            </w:r>
            <w:r w:rsidR="00937851">
              <w:t xml:space="preserve">in ACGIH, 2018). Therefore, </w:t>
            </w:r>
            <w:r w:rsidR="000D1CA2">
              <w:t xml:space="preserve">if the MAK is protective </w:t>
            </w:r>
            <w:r w:rsidR="00937851">
              <w:t xml:space="preserve">of liver toxicity, </w:t>
            </w:r>
            <w:r w:rsidR="000D1CA2">
              <w:t xml:space="preserve">it </w:t>
            </w:r>
            <w:r w:rsidR="00937851">
              <w:t>is protective of carcinogenicity.</w:t>
            </w:r>
          </w:p>
          <w:p w14:paraId="38C6CC0F" w14:textId="142E1D46" w:rsidR="00D837B2" w:rsidRDefault="00D837B2" w:rsidP="003365A5">
            <w:pPr>
              <w:pStyle w:val="Tabletextprimarysource"/>
            </w:pPr>
            <w:r>
              <w:t>A</w:t>
            </w:r>
            <w:r w:rsidRPr="00D837B2">
              <w:t xml:space="preserve">mount absorbed through skin is far above amount absorbed daily by inhalation at the MAK, </w:t>
            </w:r>
            <w:r>
              <w:t>as such</w:t>
            </w:r>
            <w:r w:rsidRPr="00D837B2">
              <w:t xml:space="preserve"> is designated with a </w:t>
            </w:r>
            <w:r>
              <w:t>skin notation (2014).</w:t>
            </w:r>
          </w:p>
          <w:p w14:paraId="3D6F5743" w14:textId="38C1F4A4" w:rsidR="00C020F3" w:rsidRDefault="00C020F3" w:rsidP="003365A5">
            <w:pPr>
              <w:pStyle w:val="Tabletextprimarysource"/>
            </w:pPr>
            <w:r>
              <w:t>Human data:</w:t>
            </w:r>
          </w:p>
          <w:p w14:paraId="7E9B9EEA" w14:textId="554E7C03" w:rsidR="00C020F3" w:rsidRDefault="00C020F3" w:rsidP="00C020F3">
            <w:pPr>
              <w:pStyle w:val="Tabletextprimarysource"/>
              <w:numPr>
                <w:ilvl w:val="0"/>
                <w:numId w:val="1"/>
              </w:numPr>
            </w:pPr>
            <w:r>
              <w:t>None presented</w:t>
            </w:r>
            <w:r w:rsidR="00AB7D68">
              <w:t>.</w:t>
            </w:r>
          </w:p>
          <w:p w14:paraId="6FB92167" w14:textId="03D30F66" w:rsidR="00C020F3" w:rsidRDefault="00C020F3" w:rsidP="00C020F3">
            <w:pPr>
              <w:pStyle w:val="Tabletextprimarysource"/>
            </w:pPr>
            <w:r>
              <w:t>Animal data:</w:t>
            </w:r>
          </w:p>
          <w:p w14:paraId="0A0717E6" w14:textId="43EB395E" w:rsidR="00A54731" w:rsidRDefault="00A54731" w:rsidP="00A54731">
            <w:pPr>
              <w:pStyle w:val="Tabletextprimarysource"/>
              <w:numPr>
                <w:ilvl w:val="0"/>
                <w:numId w:val="1"/>
              </w:numPr>
            </w:pPr>
            <w:r>
              <w:t>NOAEC: 0.2 ppm for liver cell proliferation and degeneration</w:t>
            </w:r>
            <w:r w:rsidR="00631E23">
              <w:t xml:space="preserve"> and</w:t>
            </w:r>
            <w:r>
              <w:t xml:space="preserve"> hyperplasia of nasal epithelium reported in OECD 412-compliant sub</w:t>
            </w:r>
            <w:r w:rsidR="000D1CA2">
              <w:t>-</w:t>
            </w:r>
            <w:r>
              <w:t xml:space="preserve">chronic inhalation study with exposure </w:t>
            </w:r>
            <w:r w:rsidR="000D1CA2">
              <w:t xml:space="preserve">of </w:t>
            </w:r>
            <w:r>
              <w:t>0, 0.2, 0.5, 5</w:t>
            </w:r>
            <w:r w:rsidR="00631E23">
              <w:t xml:space="preserve"> and</w:t>
            </w:r>
            <w:r>
              <w:t xml:space="preserve"> 10 ppm (rats, 6 h/d, 28 d, exposure frequency not specified)</w:t>
            </w:r>
            <w:r w:rsidR="00AE414B">
              <w:t>:</w:t>
            </w:r>
            <w:r>
              <w:t xml:space="preserve"> </w:t>
            </w:r>
          </w:p>
          <w:p w14:paraId="31503BE0" w14:textId="57BDE913" w:rsidR="00A54731" w:rsidRDefault="00A54731" w:rsidP="0029228A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LOAEC</w:t>
            </w:r>
            <w:r w:rsidR="000D1CA2">
              <w:t xml:space="preserve"> of </w:t>
            </w:r>
            <w:r>
              <w:t>0.5 ppm</w:t>
            </w:r>
            <w:r w:rsidR="000D1CA2">
              <w:t xml:space="preserve"> for </w:t>
            </w:r>
            <w:r>
              <w:t xml:space="preserve">adverse </w:t>
            </w:r>
            <w:r w:rsidR="000D1CA2">
              <w:t xml:space="preserve">dose dependent </w:t>
            </w:r>
            <w:r>
              <w:t>effects in liver and nose</w:t>
            </w:r>
            <w:r w:rsidR="00AB7D68">
              <w:t>.</w:t>
            </w:r>
          </w:p>
          <w:p w14:paraId="61A64F09" w14:textId="59B28975" w:rsidR="004E1DB5" w:rsidRPr="00DA352E" w:rsidRDefault="004E1DB5" w:rsidP="004E1DB5">
            <w:pPr>
              <w:pStyle w:val="Tabletextprimarysource"/>
            </w:pPr>
          </w:p>
        </w:tc>
      </w:tr>
      <w:tr w:rsidR="00C978F0" w:rsidRPr="00DA352E" w14:paraId="0E6A0B2C" w14:textId="77777777" w:rsidTr="00B401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04E6256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4100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41005">
                  <w:t>NA</w:t>
                </w:r>
              </w:sdtContent>
            </w:sdt>
          </w:p>
        </w:tc>
      </w:tr>
      <w:tr w:rsidR="00C978F0" w:rsidRPr="00DA352E" w14:paraId="2008D281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153B53C1" w14:textId="6ADE38A2" w:rsidR="00C978F0" w:rsidRPr="00DA352E" w:rsidRDefault="00341005" w:rsidP="003365A5">
            <w:pPr>
              <w:pStyle w:val="Tabletextprimarysource"/>
            </w:pPr>
            <w:r>
              <w:t>No report</w:t>
            </w:r>
            <w:r w:rsidR="00AB5FD4">
              <w:t>.</w:t>
            </w:r>
          </w:p>
        </w:tc>
      </w:tr>
      <w:tr w:rsidR="00DA352E" w:rsidRPr="00DA352E" w14:paraId="12BAB90D" w14:textId="77777777" w:rsidTr="00B401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40361A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4100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341005">
                  <w:t>NA</w:t>
                </w:r>
              </w:sdtContent>
            </w:sdt>
          </w:p>
        </w:tc>
      </w:tr>
      <w:tr w:rsidR="00DA352E" w:rsidRPr="00DA352E" w14:paraId="33AAF4A6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2059E4CB" w14:textId="6A2F85CD" w:rsidR="00DA352E" w:rsidRPr="00DA352E" w:rsidRDefault="00341005" w:rsidP="003365A5">
            <w:pPr>
              <w:pStyle w:val="Tabletextprimarysource"/>
            </w:pPr>
            <w:r>
              <w:t>No report</w:t>
            </w:r>
            <w:r w:rsidR="00AB5FD4">
              <w:t>.</w:t>
            </w:r>
          </w:p>
        </w:tc>
      </w:tr>
      <w:tr w:rsidR="00DA352E" w:rsidRPr="00DA352E" w14:paraId="605F758C" w14:textId="77777777" w:rsidTr="00B401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B8C85F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41005" w:rsidRPr="00341005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41005">
                  <w:t>Not assigned</w:t>
                </w:r>
              </w:sdtContent>
            </w:sdt>
          </w:p>
        </w:tc>
      </w:tr>
      <w:tr w:rsidR="00DA352E" w:rsidRPr="00DA352E" w14:paraId="7050CB3E" w14:textId="77777777" w:rsidTr="00B401EE">
        <w:trPr>
          <w:gridAfter w:val="1"/>
          <w:wAfter w:w="8" w:type="pct"/>
        </w:trPr>
        <w:tc>
          <w:tcPr>
            <w:tcW w:w="4992" w:type="pct"/>
          </w:tcPr>
          <w:p w14:paraId="06F491BD" w14:textId="4B819E85" w:rsidR="00DA352E" w:rsidRDefault="00A05D16" w:rsidP="003365A5">
            <w:pPr>
              <w:pStyle w:val="Tabletextprimarysource"/>
            </w:pPr>
            <w:r>
              <w:t>Summary of additional information:</w:t>
            </w:r>
          </w:p>
          <w:p w14:paraId="137ABAFD" w14:textId="3204ACDB" w:rsidR="00A05D16" w:rsidRDefault="00A05D16" w:rsidP="003365A5">
            <w:pPr>
              <w:pStyle w:val="Tabletextprimarysource"/>
            </w:pPr>
            <w:r>
              <w:t xml:space="preserve">Available report assesses carcinogenic potential only, no existing administrative OEL or health-based recommended OEL (HBROEL) discussed or presented. No mechanistic studies available in the toxicological database. However, all available genotoxicity data indicate substance is non-genotoxic; </w:t>
            </w:r>
            <w:r w:rsidR="000D1CA2">
              <w:t xml:space="preserve">HCOTN </w:t>
            </w:r>
            <w:r>
              <w:t xml:space="preserve">therefore assumes carcinogenicity observed in animals not due to genotoxic mechanism. Possible cause for carcinogenicity could be generation of acidic metabolites, </w:t>
            </w:r>
            <w:r w:rsidR="00AB5FD4">
              <w:t>with</w:t>
            </w:r>
            <w:r>
              <w:t xml:space="preserve"> cytotoxicity and irritation, further assessment is required.</w:t>
            </w:r>
          </w:p>
          <w:p w14:paraId="45E8A88E" w14:textId="428063F3" w:rsidR="00A05D16" w:rsidRDefault="00A05D16" w:rsidP="00A05D16">
            <w:pPr>
              <w:pStyle w:val="Tabletextprimarysource"/>
            </w:pPr>
            <w:r>
              <w:t>Human data:</w:t>
            </w:r>
          </w:p>
          <w:p w14:paraId="178E84C8" w14:textId="10768274" w:rsidR="00A05D16" w:rsidRDefault="00A05D16" w:rsidP="00A05D16">
            <w:pPr>
              <w:pStyle w:val="Tabletextprimarysource"/>
              <w:numPr>
                <w:ilvl w:val="0"/>
                <w:numId w:val="1"/>
              </w:numPr>
            </w:pPr>
            <w:r>
              <w:t>No data available to evaluate carcinogenicity in humans</w:t>
            </w:r>
            <w:r w:rsidR="00AB5FD4">
              <w:t>.</w:t>
            </w:r>
          </w:p>
          <w:p w14:paraId="2710CE3D" w14:textId="613EEBCB" w:rsidR="00A05D16" w:rsidRDefault="00A05D16" w:rsidP="00A05D16">
            <w:pPr>
              <w:pStyle w:val="Tabletextprimarysource"/>
            </w:pPr>
            <w:r>
              <w:t>Animal data:</w:t>
            </w:r>
          </w:p>
          <w:p w14:paraId="6CD865DD" w14:textId="78682200" w:rsidR="00A05D16" w:rsidRDefault="00A05D16" w:rsidP="00A05D16">
            <w:pPr>
              <w:pStyle w:val="Tabletextprimarysource"/>
              <w:numPr>
                <w:ilvl w:val="0"/>
                <w:numId w:val="1"/>
              </w:numPr>
            </w:pPr>
            <w:r>
              <w:t>No haematotoxicity or hepatotoxicity observed in chronic inhalation study with exposure groups 0, 5, 10</w:t>
            </w:r>
            <w:r w:rsidR="00631E23">
              <w:t xml:space="preserve"> and</w:t>
            </w:r>
            <w:r>
              <w:t xml:space="preserve"> 20 ppm (rats, 6 h/d, 5 d/wk, 2 yr, also cited by ACGIH, 2018)</w:t>
            </w:r>
            <w:r w:rsidR="00AB5FD4">
              <w:t>.</w:t>
            </w:r>
          </w:p>
          <w:p w14:paraId="492D7791" w14:textId="62FF07BA" w:rsidR="004E1DB5" w:rsidRPr="00DA352E" w:rsidRDefault="004E1DB5" w:rsidP="004E1DB5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6AE89AB3" w14:textId="77777777" w:rsidTr="00B40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B401EE">
        <w:tc>
          <w:tcPr>
            <w:tcW w:w="149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7DAB09E" w14:textId="5572C55C" w:rsidR="004966BF" w:rsidRPr="00CE617F" w:rsidRDefault="00F7142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201B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726C48B9" w:rsidR="004966BF" w:rsidRPr="004C23F4" w:rsidRDefault="00C201B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46" w:type="dxa"/>
          </w:tcPr>
          <w:p w14:paraId="3BB69D75" w14:textId="06CCF17C" w:rsidR="00EF3C71" w:rsidRDefault="00EF3C71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Confusion and fatigue following single acute exposure in humans reported in poorly documented study (no further details provided)</w:t>
            </w:r>
          </w:p>
          <w:p w14:paraId="0494D5B4" w14:textId="58272A9D" w:rsidR="00EF3C71" w:rsidRDefault="00EF3C71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LC</w:t>
            </w:r>
            <w:r>
              <w:rPr>
                <w:rFonts w:cs="Arial"/>
                <w:vertAlign w:val="subscript"/>
              </w:rPr>
              <w:t>50</w:t>
            </w:r>
            <w:r>
              <w:rPr>
                <w:rFonts w:cs="Arial"/>
              </w:rPr>
              <w:t>: 666 ppm (rats, 4 h)</w:t>
            </w:r>
          </w:p>
          <w:p w14:paraId="39074B2D" w14:textId="4DED4F0A" w:rsidR="00EF3C71" w:rsidRPr="00EF3C71" w:rsidRDefault="00EF3C71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No NOAEC for carcinogenicity determined in available chronic inhalation study (</w:t>
            </w:r>
            <w:r>
              <w:t>rats, 6 h/d, 5 d/wk, 2 yr, also cited by ACGIH, 2018)</w:t>
            </w:r>
            <w:r w:rsidR="00AE414B">
              <w:t>:</w:t>
            </w:r>
          </w:p>
          <w:p w14:paraId="5B5437D6" w14:textId="7DC8334F" w:rsidR="00EF3C71" w:rsidRDefault="00EF3C71" w:rsidP="0029228A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>
              <w:t>substance non-mutagenic, underlying carcinogenic mechanism not known</w:t>
            </w:r>
          </w:p>
          <w:p w14:paraId="2F057CAD" w14:textId="23FE01FC" w:rsidR="00EF3C71" w:rsidRDefault="00EF3C71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Dermal absorption &lt;2% in dermal application study using 5 mg/kg on 25 cm</w:t>
            </w:r>
            <w:r>
              <w:rPr>
                <w:rFonts w:cs="Arial"/>
                <w:vertAlign w:val="superscript"/>
                <w:lang w:val="en-US"/>
              </w:rPr>
              <w:t>2</w:t>
            </w:r>
            <w:r>
              <w:rPr>
                <w:rFonts w:cs="Arial"/>
                <w:lang w:val="en-US"/>
              </w:rPr>
              <w:t xml:space="preserve"> of skin (dogs, 6 h)</w:t>
            </w:r>
            <w:r w:rsidR="00AE414B">
              <w:rPr>
                <w:rFonts w:cs="Arial"/>
                <w:lang w:val="en-US"/>
              </w:rPr>
              <w:t>:</w:t>
            </w:r>
          </w:p>
          <w:p w14:paraId="0076C2F1" w14:textId="0465634D" w:rsidR="007F4524" w:rsidRPr="00EF3C71" w:rsidRDefault="00EF3C71" w:rsidP="0029228A">
            <w:pPr>
              <w:pStyle w:val="Tablefont"/>
              <w:numPr>
                <w:ilvl w:val="1"/>
                <w:numId w:val="1"/>
              </w:numPr>
              <w:ind w:left="1143"/>
              <w:rPr>
                <w:rStyle w:val="checkbox"/>
                <w:rFonts w:ascii="Arial" w:hAnsi="Arial" w:cs="Arial"/>
                <w:lang w:val="en-US"/>
              </w:rPr>
            </w:pPr>
            <w:r>
              <w:rPr>
                <w:rFonts w:cs="Arial"/>
                <w:lang w:val="en-US"/>
              </w:rPr>
              <w:t>physicochemical properties indicate appreciable dermal absorption is anticipated, log K</w:t>
            </w:r>
            <w:r>
              <w:rPr>
                <w:rFonts w:cs="Arial"/>
                <w:vertAlign w:val="subscript"/>
                <w:lang w:val="en-US"/>
              </w:rPr>
              <w:t>OW</w:t>
            </w:r>
            <w:r>
              <w:rPr>
                <w:rFonts w:cs="Arial"/>
                <w:lang w:val="en-US"/>
              </w:rPr>
              <w:softHyphen/>
              <w:t>: 0.4, water solubility ≥100,000 mg/L</w:t>
            </w:r>
            <w:r w:rsidR="00D837B2">
              <w:rPr>
                <w:rFonts w:cs="Arial"/>
                <w:lang w:val="en-US"/>
              </w:rPr>
              <w:t>.</w:t>
            </w:r>
          </w:p>
        </w:tc>
      </w:tr>
      <w:tr w:rsidR="004966BF" w:rsidRPr="004C23F4" w14:paraId="04FEEADE" w14:textId="77777777" w:rsidTr="00B401EE">
        <w:trPr>
          <w:cantSplit/>
        </w:trPr>
        <w:tc>
          <w:tcPr>
            <w:tcW w:w="1497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184BEF97" w14:textId="2768C73F" w:rsidR="004966BF" w:rsidRPr="00CE617F" w:rsidRDefault="00F7142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201B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662B5CD3" w:rsidR="004966BF" w:rsidRPr="004C23F4" w:rsidRDefault="00BF7AA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6" w:type="dxa"/>
          </w:tcPr>
          <w:p w14:paraId="1C6D441F" w14:textId="340BEDD9" w:rsidR="00EF3C71" w:rsidRDefault="00EF3C71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Insufficient evidence for carcinogenicity in humans</w:t>
            </w:r>
          </w:p>
          <w:p w14:paraId="6F56FF79" w14:textId="583FA36C" w:rsidR="00EF3C71" w:rsidRPr="00EF3C71" w:rsidRDefault="00AB5FD4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BF7AA4" w:rsidRPr="00BF7AA4">
              <w:rPr>
                <w:rFonts w:cs="Arial"/>
              </w:rPr>
              <w:t>imited evidence for carcinogenicity in animals</w:t>
            </w:r>
          </w:p>
          <w:p w14:paraId="2DDCA6FC" w14:textId="409F2F5B" w:rsidR="00BF7AA4" w:rsidRPr="004C23F4" w:rsidRDefault="00EF3C71" w:rsidP="00EF3C71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Overall: n</w:t>
            </w:r>
            <w:r w:rsidR="00BF7AA4" w:rsidRPr="00BF7AA4">
              <w:rPr>
                <w:rFonts w:cs="Arial"/>
              </w:rPr>
              <w:t xml:space="preserve">ot classifiable </w:t>
            </w:r>
            <w:r>
              <w:rPr>
                <w:rFonts w:cs="Arial"/>
              </w:rPr>
              <w:t>as carcinogenic</w:t>
            </w:r>
            <w:r w:rsidR="00BF7AA4" w:rsidRPr="00BF7AA4">
              <w:rPr>
                <w:rFonts w:cs="Arial"/>
              </w:rPr>
              <w:t xml:space="preserve"> to humans (Group 3)</w:t>
            </w:r>
            <w:r w:rsidR="00D837B2">
              <w:rPr>
                <w:rFonts w:cs="Arial"/>
              </w:rPr>
              <w:t>.</w:t>
            </w:r>
          </w:p>
        </w:tc>
      </w:tr>
      <w:tr w:rsidR="004966BF" w:rsidRPr="004C23F4" w14:paraId="61B5CF9D" w14:textId="77777777" w:rsidTr="00B401EE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271840" w14:textId="4FCED5CC" w:rsidR="004966BF" w:rsidRPr="00CE617F" w:rsidRDefault="00F7142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7AA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5A773339" w:rsidR="004966BF" w:rsidRPr="004C23F4" w:rsidRDefault="00BF7AA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6" w:type="dxa"/>
          </w:tcPr>
          <w:p w14:paraId="6AD01CF5" w14:textId="29E12594" w:rsidR="00EF3C71" w:rsidRDefault="00BF7AA4" w:rsidP="00EF3C71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LD</w:t>
            </w:r>
            <w:r w:rsidRPr="00AB5FD4">
              <w:rPr>
                <w:rFonts w:cs="Arial"/>
                <w:vertAlign w:val="subscript"/>
              </w:rPr>
              <w:t>50</w:t>
            </w:r>
            <w:r>
              <w:rPr>
                <w:rFonts w:cs="Arial"/>
              </w:rPr>
              <w:t xml:space="preserve">: </w:t>
            </w:r>
            <w:r w:rsidRPr="00BF7AA4">
              <w:rPr>
                <w:rFonts w:cs="Arial"/>
              </w:rPr>
              <w:t xml:space="preserve">560 mg/kg </w:t>
            </w:r>
            <w:r>
              <w:rPr>
                <w:rFonts w:cs="Arial"/>
              </w:rPr>
              <w:t>(rabbits</w:t>
            </w:r>
            <w:r w:rsidR="00AB5FD4">
              <w:rPr>
                <w:rFonts w:cs="Arial"/>
              </w:rPr>
              <w:t>, dermal</w:t>
            </w:r>
            <w:r>
              <w:rPr>
                <w:rFonts w:cs="Arial"/>
              </w:rPr>
              <w:t>)</w:t>
            </w:r>
            <w:r w:rsidR="00AE414B">
              <w:rPr>
                <w:rFonts w:cs="Arial"/>
              </w:rPr>
              <w:t>:</w:t>
            </w:r>
          </w:p>
          <w:p w14:paraId="40510857" w14:textId="77777777" w:rsidR="00EF3C71" w:rsidRDefault="00EF3C71" w:rsidP="0029228A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 w:rsidRPr="00BF7AA4">
              <w:rPr>
                <w:rFonts w:cs="Arial"/>
              </w:rPr>
              <w:t>mortality within 5 d of dosing</w:t>
            </w:r>
            <w:r>
              <w:rPr>
                <w:rFonts w:cs="Arial"/>
              </w:rPr>
              <w:t xml:space="preserve"> at ≥375 mg/kg</w:t>
            </w:r>
          </w:p>
          <w:p w14:paraId="29F85FDE" w14:textId="77777777" w:rsidR="00EF3C71" w:rsidRDefault="00EF3C71" w:rsidP="0029228A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>
              <w:rPr>
                <w:rFonts w:cs="Arial"/>
              </w:rPr>
              <w:t>100% mortality</w:t>
            </w:r>
            <w:r w:rsidR="00BF7AA4" w:rsidRPr="00BF7AA4">
              <w:rPr>
                <w:rFonts w:cs="Arial"/>
              </w:rPr>
              <w:t xml:space="preserve"> at ≥1000 mg/kg</w:t>
            </w:r>
          </w:p>
          <w:p w14:paraId="0D54BDE6" w14:textId="1EB81E6E" w:rsidR="00BF7AA4" w:rsidRDefault="00BF7AA4" w:rsidP="0029228A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 w:rsidRPr="00BF7AA4">
              <w:rPr>
                <w:rFonts w:cs="Arial"/>
              </w:rPr>
              <w:t xml:space="preserve">no mortality at </w:t>
            </w:r>
            <w:r w:rsidR="00EF3C71">
              <w:rPr>
                <w:rFonts w:cs="Arial"/>
              </w:rPr>
              <w:t>200 mg/kg</w:t>
            </w:r>
          </w:p>
          <w:p w14:paraId="5C19B807" w14:textId="0446C430" w:rsidR="00BF7AA4" w:rsidRPr="00034154" w:rsidRDefault="00034154" w:rsidP="00034154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/>
                <w:lang w:eastAsia="en-US"/>
              </w:rPr>
            </w:pPr>
            <w:r>
              <w:rPr>
                <w:rFonts w:cs="Arial"/>
              </w:rPr>
              <w:t xml:space="preserve">Long-term systemic </w:t>
            </w:r>
            <w:r w:rsidR="00BF7AA4" w:rsidRPr="00BF7AA4">
              <w:rPr>
                <w:rFonts w:cs="Arial"/>
              </w:rPr>
              <w:t>DNEL</w:t>
            </w:r>
            <w:r w:rsidR="00EF3C71">
              <w:rPr>
                <w:rFonts w:cs="Arial"/>
              </w:rPr>
              <w:t xml:space="preserve"> of</w:t>
            </w:r>
            <w:r w:rsidR="00BF7AA4" w:rsidRPr="00BF7AA4">
              <w:rPr>
                <w:rFonts w:ascii="Tahoma" w:hAnsi="Tahoma" w:cs="Tahoma"/>
                <w:color w:val="799096"/>
                <w:szCs w:val="20"/>
                <w:shd w:val="clear" w:color="auto" w:fill="FFFFFF"/>
                <w:lang w:eastAsia="en-US"/>
              </w:rPr>
              <w:t xml:space="preserve"> </w:t>
            </w:r>
            <w:r>
              <w:rPr>
                <w:rFonts w:cs="Arial"/>
              </w:rPr>
              <w:t xml:space="preserve">0.022 ppm and local DNEL of 0.066 ppm </w:t>
            </w:r>
            <w:r w:rsidR="00BF7AA4" w:rsidRPr="00BF7AA4">
              <w:rPr>
                <w:rFonts w:cs="Arial"/>
              </w:rPr>
              <w:t>derived from</w:t>
            </w:r>
            <w:r>
              <w:rPr>
                <w:rFonts w:cs="Arial"/>
              </w:rPr>
              <w:t xml:space="preserve"> NOAEC of 0.2 ppm for liver cell proliferation/degeneration and nasal epithelial hyperplasia reported in</w:t>
            </w:r>
            <w:r w:rsidR="00BF7AA4" w:rsidRPr="00BF7AA4">
              <w:rPr>
                <w:rFonts w:cs="Arial"/>
              </w:rPr>
              <w:t xml:space="preserve"> </w:t>
            </w:r>
            <w:r w:rsidR="00EF3C71">
              <w:rPr>
                <w:rFonts w:cs="Arial"/>
              </w:rPr>
              <w:t>sub</w:t>
            </w:r>
            <w:r w:rsidR="00AE414B">
              <w:rPr>
                <w:rFonts w:cs="Arial"/>
              </w:rPr>
              <w:t>-</w:t>
            </w:r>
            <w:r w:rsidR="00EF3C71">
              <w:rPr>
                <w:rFonts w:cs="Arial"/>
              </w:rPr>
              <w:t>chronic inhalation study</w:t>
            </w:r>
            <w:r>
              <w:rPr>
                <w:rFonts w:cs="Arial"/>
              </w:rPr>
              <w:t xml:space="preserve"> (</w:t>
            </w:r>
            <w:r>
              <w:t>rats, 6 h/d, 28 d, also presented in DFG, 2017)</w:t>
            </w:r>
            <w:r w:rsidR="00D837B2"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F7AA4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7322DEEC" w:rsidR="002E0D61" w:rsidRDefault="00BF7AA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F7AA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5FCD3925" w:rsidR="008A36CF" w:rsidRPr="006901A2" w:rsidRDefault="00BF7AA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40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401EE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2754C393" w:rsidR="00687890" w:rsidRPr="00DD2F9B" w:rsidRDefault="0034100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B401EE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636E2ED" w:rsidR="007925F0" w:rsidRPr="00DD2F9B" w:rsidRDefault="00341005" w:rsidP="00DD2F9B">
            <w:pPr>
              <w:pStyle w:val="Tablefont"/>
            </w:pPr>
            <w:r w:rsidRPr="00341005">
              <w:t>Carcinogenicity – category 2</w:t>
            </w:r>
          </w:p>
        </w:tc>
      </w:tr>
      <w:tr w:rsidR="00AF483F" w:rsidRPr="004C23F4" w14:paraId="4C1044B3" w14:textId="77777777" w:rsidTr="00B401EE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A4CDB0E" w:rsidR="00AF483F" w:rsidRPr="00DD2F9B" w:rsidRDefault="0034100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401EE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B172D3A" w:rsidR="00341005" w:rsidRPr="00DD2F9B" w:rsidRDefault="00341005" w:rsidP="00DD2F9B">
            <w:pPr>
              <w:pStyle w:val="Tablefont"/>
            </w:pPr>
            <w:r w:rsidRPr="00341005">
              <w:t>Carcinogenicity – category 2</w:t>
            </w:r>
          </w:p>
        </w:tc>
      </w:tr>
      <w:tr w:rsidR="00E41A26" w:rsidRPr="004C23F4" w14:paraId="403F0800" w14:textId="77777777" w:rsidTr="00B401EE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F89F4B9" w:rsidR="00E41A26" w:rsidRPr="00DD2F9B" w:rsidRDefault="00341005" w:rsidP="00DD2F9B">
            <w:pPr>
              <w:pStyle w:val="Tablefont"/>
            </w:pPr>
            <w:r w:rsidRPr="00341005">
              <w:t>Carc. 2</w:t>
            </w:r>
          </w:p>
        </w:tc>
      </w:tr>
      <w:tr w:rsidR="002E0D61" w:rsidRPr="004C23F4" w14:paraId="57A490EF" w14:textId="77777777" w:rsidTr="00B401EE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4A591C6E" w14:textId="23FD439C" w:rsidR="002E0D61" w:rsidRPr="00DD2F9B" w:rsidRDefault="00341005" w:rsidP="00DD2F9B">
            <w:pPr>
              <w:pStyle w:val="Tablefont"/>
            </w:pPr>
            <w:r w:rsidRPr="00341005">
              <w:t>Carcinogenicity – A3</w:t>
            </w:r>
          </w:p>
        </w:tc>
      </w:tr>
      <w:tr w:rsidR="002E0D61" w:rsidRPr="004C23F4" w14:paraId="43FA3590" w14:textId="77777777" w:rsidTr="00B401EE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5CF5782" w:rsidR="002E0D61" w:rsidRPr="00DD2F9B" w:rsidRDefault="009D7399" w:rsidP="00DD2F9B">
            <w:pPr>
              <w:pStyle w:val="Tablefont"/>
            </w:pPr>
            <w:r w:rsidRPr="009D7399">
              <w:t>Carcinogenicity – 4</w:t>
            </w:r>
            <w:r>
              <w:t xml:space="preserve">, </w:t>
            </w:r>
            <w:r w:rsidRPr="009D7399">
              <w:t>H (skin)</w:t>
            </w:r>
          </w:p>
        </w:tc>
      </w:tr>
      <w:tr w:rsidR="002E0D61" w:rsidRPr="004C23F4" w14:paraId="2AC7B866" w14:textId="77777777" w:rsidTr="00B401EE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CA34D43" w:rsidR="002E0D61" w:rsidRPr="00DD2F9B" w:rsidRDefault="009D739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401EE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7F2C5E36" w:rsidR="002E0D61" w:rsidRPr="00DD2F9B" w:rsidRDefault="009D7399" w:rsidP="00DD2F9B">
            <w:pPr>
              <w:pStyle w:val="Tablefont"/>
            </w:pPr>
            <w:r w:rsidRPr="009D7399">
              <w:t>Carcinogenicity – category 3</w:t>
            </w:r>
          </w:p>
        </w:tc>
      </w:tr>
      <w:tr w:rsidR="00386093" w:rsidRPr="004C23F4" w14:paraId="5F6A6A8E" w14:textId="77777777" w:rsidTr="00B401EE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27B47C5" w:rsidR="00386093" w:rsidRPr="00DD2F9B" w:rsidRDefault="009D7399" w:rsidP="00DD2F9B">
            <w:pPr>
              <w:pStyle w:val="Tablefont"/>
            </w:pPr>
            <w:r w:rsidRPr="009D7399">
              <w:t>Carcinogenicity – Group 3</w:t>
            </w:r>
          </w:p>
        </w:tc>
      </w:tr>
      <w:tr w:rsidR="00386093" w:rsidRPr="004C23F4" w14:paraId="7461DB0E" w14:textId="77777777" w:rsidTr="00B401EE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51E09AD" w:rsidR="00386093" w:rsidRPr="00DD2F9B" w:rsidRDefault="009D739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23"/>
              <w:gridCol w:w="592"/>
              <w:gridCol w:w="683"/>
              <w:gridCol w:w="3812"/>
            </w:tblGrid>
            <w:tr w:rsidR="007F4524" w:rsidRPr="007F4524" w14:paraId="6526F071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E17F9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BA775D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1DE55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3B61E2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532405BB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31AFC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08EF9A9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0C8025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9CC451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4EB1D690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FCBA84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8C33CB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BC46C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9B1642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6D7D9F17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1446E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52AFBF0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00711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C1210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751C763B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4D26CD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D63A40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85706E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371B3A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50EC3FEB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F0A081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D4A646F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FBBB90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57307E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F4524" w:rsidRPr="007F4524" w14:paraId="5DFE74FF" w14:textId="77777777" w:rsidTr="007F4524">
              <w:trPr>
                <w:trHeight w:val="23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5CF4AA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2CC84" w14:textId="77777777" w:rsidR="007F4524" w:rsidRPr="007F4524" w:rsidRDefault="007F4524" w:rsidP="007F45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0CA49E" w14:textId="77777777" w:rsidR="007F4524" w:rsidRPr="007F4524" w:rsidRDefault="007F4524" w:rsidP="007F45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1.25</w:t>
                  </w:r>
                </w:p>
              </w:tc>
              <w:tc>
                <w:tcPr>
                  <w:tcW w:w="3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1411DF" w14:textId="77777777" w:rsidR="007F4524" w:rsidRPr="007F4524" w:rsidRDefault="007F4524" w:rsidP="007F452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F452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198D8D8" w:rsidR="00EB3D1B" w:rsidRDefault="009D739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BD2B364" w:rsidR="001B79E5" w:rsidRDefault="009D7399" w:rsidP="001B79E5">
                <w:pPr>
                  <w:pStyle w:val="Tablefont"/>
                </w:pPr>
                <w:r w:rsidRPr="009D7399">
                  <w:t>111.14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ED7A1D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D7399">
                  <w:t>4.55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D7399">
                  <w:t>0.22</w:t>
                </w:r>
              </w:sdtContent>
            </w:sdt>
            <w:r w:rsidRPr="009D7399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F7142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12B1215" w14:textId="20DE8091" w:rsidR="00D837B2" w:rsidRDefault="00D837B2" w:rsidP="00D837B2">
      <w:r w:rsidRPr="002022B6">
        <w:t>Deutsche Forschungsgemeinschaft (DFG)</w:t>
      </w:r>
      <w:r>
        <w:t xml:space="preserve"> (</w:t>
      </w:r>
      <w:r w:rsidRPr="009D7399">
        <w:t>201</w:t>
      </w:r>
      <w:r>
        <w:t xml:space="preserve">4) </w:t>
      </w:r>
      <w:r w:rsidRPr="009D7399">
        <w:t>N-Vinyl-2-pyrrolidone</w:t>
      </w:r>
      <w:r>
        <w:t xml:space="preserve"> – MAK value documentation.</w:t>
      </w:r>
    </w:p>
    <w:p w14:paraId="32246C00" w14:textId="3A338148" w:rsidR="008E4F1F" w:rsidRDefault="008E4F1F" w:rsidP="008E4F1F">
      <w:r w:rsidRPr="002022B6">
        <w:t>Deutsche Forschungsgemeinschaft (DFG)</w:t>
      </w:r>
      <w:r>
        <w:t xml:space="preserve"> (</w:t>
      </w:r>
      <w:r w:rsidR="009D7399" w:rsidRPr="009D7399">
        <w:t>2018</w:t>
      </w:r>
      <w:r>
        <w:t xml:space="preserve">) </w:t>
      </w:r>
      <w:r w:rsidR="009D7399" w:rsidRPr="009D7399">
        <w:t>N-Vinyl-2-pyrrolidone</w:t>
      </w:r>
      <w:r>
        <w:t xml:space="preserve"> – MAK value documentation.</w:t>
      </w:r>
    </w:p>
    <w:p w14:paraId="64F3754E" w14:textId="4A2A699F" w:rsidR="00320417" w:rsidRDefault="00320417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Pr="009D7399">
        <w:t>2018</w:t>
      </w:r>
      <w:r>
        <w:t>) List of MAK and BAT Values 2018, Section I.</w:t>
      </w:r>
    </w:p>
    <w:p w14:paraId="1DD9B67B" w14:textId="27FC3EC3" w:rsidR="00D837B2" w:rsidRDefault="00D837B2" w:rsidP="008E4F1F">
      <w:r>
        <w:t xml:space="preserve">European Chemicals Agency (ECHA) (2019) </w:t>
      </w:r>
      <w:r w:rsidRPr="005E592E">
        <w:t>N-Vinyl-2-pyrrolidone</w:t>
      </w:r>
      <w:r>
        <w:t xml:space="preserve"> – REACH assessment.</w:t>
      </w:r>
    </w:p>
    <w:p w14:paraId="28EAA9C1" w14:textId="20F2CE1B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9D7399" w:rsidRPr="009D7399">
        <w:t>2007</w:t>
      </w:r>
      <w:r>
        <w:t xml:space="preserve">) </w:t>
      </w:r>
      <w:r w:rsidR="009D7399" w:rsidRPr="009D7399">
        <w:t>N-vinyl-2-pyrrolidone</w:t>
      </w:r>
      <w:r w:rsidRPr="005F7416">
        <w:t xml:space="preserve">. Health-based calculated occupational cancer risk values. The Hague: Health Council of the Netherlands; publication no. </w:t>
      </w:r>
      <w:r w:rsidR="009D7399" w:rsidRPr="009D7399">
        <w:t>2007/11OSH</w:t>
      </w:r>
      <w:r>
        <w:t>.</w:t>
      </w:r>
    </w:p>
    <w:p w14:paraId="25373799" w14:textId="0B31E5C2" w:rsidR="005E592E" w:rsidRDefault="008E4F1F" w:rsidP="008E4F1F">
      <w:r w:rsidRPr="002022B6">
        <w:t>International Agency for Research on Cancer</w:t>
      </w:r>
      <w:r>
        <w:t xml:space="preserve"> (IARC) (</w:t>
      </w:r>
      <w:r w:rsidR="005E592E" w:rsidRPr="005E592E">
        <w:t>1999</w:t>
      </w:r>
      <w:r>
        <w:t xml:space="preserve">) </w:t>
      </w:r>
      <w:r w:rsidR="005E592E" w:rsidRPr="005E592E">
        <w:t>N-Vinyl-2-pyrrolidone</w:t>
      </w:r>
      <w:r>
        <w:t>. IARC Monographs on the evaluation of the carcinogenic risk to humans.</w:t>
      </w:r>
    </w:p>
    <w:p w14:paraId="4AF0D9E1" w14:textId="77777777" w:rsidR="00D837B2" w:rsidRPr="00034154" w:rsidRDefault="00D837B2" w:rsidP="00D837B2">
      <w:r w:rsidRPr="00034154">
        <w:t>National Industrial Chemicals Notification and Assessment Scheme (NICNAS) (</w:t>
      </w:r>
      <w:r>
        <w:t>2000</w:t>
      </w:r>
      <w:r w:rsidRPr="00034154">
        <w:t>) 1-Vinyl-2-pyrrolidone</w:t>
      </w:r>
      <w:r>
        <w:t xml:space="preserve"> </w:t>
      </w:r>
      <w:r w:rsidRPr="00034154">
        <w:t xml:space="preserve">– Priority Existing </w:t>
      </w:r>
      <w:r>
        <w:t xml:space="preserve">Chemical (PEC) </w:t>
      </w:r>
      <w:r w:rsidRPr="00034154">
        <w:t>Report No.1</w:t>
      </w:r>
      <w:r>
        <w:t>1</w:t>
      </w:r>
      <w:r w:rsidRPr="00034154">
        <w:t>.</w:t>
      </w:r>
    </w:p>
    <w:p w14:paraId="5BF17407" w14:textId="77777777" w:rsidR="005E592E" w:rsidRDefault="005E592E" w:rsidP="005E592E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AF63264" w14:textId="77777777" w:rsidR="005E592E" w:rsidRDefault="005E592E" w:rsidP="008E4F1F">
      <w:pPr>
        <w:rPr>
          <w:b/>
        </w:rPr>
      </w:pP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D887E" w14:textId="77777777" w:rsidR="002B634C" w:rsidRDefault="002B634C" w:rsidP="00F43AD5">
      <w:pPr>
        <w:spacing w:after="0" w:line="240" w:lineRule="auto"/>
      </w:pPr>
      <w:r>
        <w:separator/>
      </w:r>
    </w:p>
  </w:endnote>
  <w:endnote w:type="continuationSeparator" w:id="0">
    <w:p w14:paraId="218EA201" w14:textId="77777777" w:rsidR="002B634C" w:rsidRDefault="002B634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7BFDD54" w:rsidR="00A54731" w:rsidRDefault="00A54731" w:rsidP="0034744C">
        <w:pPr>
          <w:pStyle w:val="Footer"/>
          <w:rPr>
            <w:sz w:val="18"/>
            <w:szCs w:val="18"/>
          </w:rPr>
        </w:pPr>
        <w:r w:rsidRPr="00A61418">
          <w:rPr>
            <w:b/>
            <w:sz w:val="18"/>
            <w:szCs w:val="18"/>
          </w:rPr>
          <w:t>N-Vinyl-2-pyrrolidone</w:t>
        </w:r>
        <w:r>
          <w:rPr>
            <w:b/>
            <w:sz w:val="18"/>
            <w:szCs w:val="18"/>
          </w:rPr>
          <w:t xml:space="preserve"> (</w:t>
        </w:r>
        <w:r w:rsidRPr="00A61418">
          <w:rPr>
            <w:b/>
            <w:sz w:val="18"/>
            <w:szCs w:val="18"/>
          </w:rPr>
          <w:t>88-12-0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AB5FD4">
          <w:rPr>
            <w:sz w:val="18"/>
            <w:szCs w:val="18"/>
          </w:rPr>
          <w:t>20</w:t>
        </w:r>
      </w:p>
      <w:p w14:paraId="2D517F5E" w14:textId="0F73863F" w:rsidR="00A54731" w:rsidRPr="00F43AD5" w:rsidRDefault="00A5473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72BC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48D4" w14:textId="77777777" w:rsidR="002B634C" w:rsidRDefault="002B634C" w:rsidP="00F43AD5">
      <w:pPr>
        <w:spacing w:after="0" w:line="240" w:lineRule="auto"/>
      </w:pPr>
      <w:r>
        <w:separator/>
      </w:r>
    </w:p>
  </w:footnote>
  <w:footnote w:type="continuationSeparator" w:id="0">
    <w:p w14:paraId="5300D9C4" w14:textId="77777777" w:rsidR="002B634C" w:rsidRDefault="002B634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D135" w14:textId="12CB8ED3" w:rsidR="004573A9" w:rsidRDefault="004573A9" w:rsidP="004573A9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2DC685" wp14:editId="32594FEE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2918C5F" w:rsidR="00A54731" w:rsidRPr="004573A9" w:rsidRDefault="00A54731" w:rsidP="004573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4CAB" w14:textId="57918855" w:rsidR="004573A9" w:rsidRDefault="004573A9" w:rsidP="004573A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9E4CC1" wp14:editId="668A3212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D1440B" w14:textId="77777777" w:rsidR="004573A9" w:rsidRDefault="004573A9" w:rsidP="004573A9">
    <w:pPr>
      <w:pStyle w:val="Header"/>
    </w:pPr>
  </w:p>
  <w:p w14:paraId="71F09FB4" w14:textId="6CD64E52" w:rsidR="00A54731" w:rsidRDefault="00A54731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262404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32E35C84"/>
    <w:multiLevelType w:val="hybridMultilevel"/>
    <w:tmpl w:val="8B522D38"/>
    <w:lvl w:ilvl="0" w:tplc="22CC35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31C59"/>
    <w:multiLevelType w:val="hybridMultilevel"/>
    <w:tmpl w:val="A2E013DE"/>
    <w:lvl w:ilvl="0" w:tplc="77267C94">
      <w:start w:val="14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E6ADA"/>
    <w:multiLevelType w:val="hybridMultilevel"/>
    <w:tmpl w:val="0B144DC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DF6729"/>
    <w:multiLevelType w:val="hybridMultilevel"/>
    <w:tmpl w:val="B524A1CC"/>
    <w:lvl w:ilvl="0" w:tplc="BACCAAD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613284">
    <w:abstractNumId w:val="1"/>
  </w:num>
  <w:num w:numId="2" w16cid:durableId="1698040297">
    <w:abstractNumId w:val="0"/>
  </w:num>
  <w:num w:numId="3" w16cid:durableId="1370375024">
    <w:abstractNumId w:val="4"/>
  </w:num>
  <w:num w:numId="4" w16cid:durableId="1916436099">
    <w:abstractNumId w:val="2"/>
  </w:num>
  <w:num w:numId="5" w16cid:durableId="1508981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154"/>
    <w:rsid w:val="00037E52"/>
    <w:rsid w:val="0004295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7FC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1CA2"/>
    <w:rsid w:val="000D291C"/>
    <w:rsid w:val="000D4583"/>
    <w:rsid w:val="000E5A54"/>
    <w:rsid w:val="000E63D3"/>
    <w:rsid w:val="000E67CF"/>
    <w:rsid w:val="0010461E"/>
    <w:rsid w:val="00106FAA"/>
    <w:rsid w:val="00113443"/>
    <w:rsid w:val="001236D4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AB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7154"/>
    <w:rsid w:val="0029228A"/>
    <w:rsid w:val="00295B94"/>
    <w:rsid w:val="002B1A2C"/>
    <w:rsid w:val="002B634C"/>
    <w:rsid w:val="002C34F2"/>
    <w:rsid w:val="002C58FF"/>
    <w:rsid w:val="002C7AFE"/>
    <w:rsid w:val="002D05D2"/>
    <w:rsid w:val="002E0D61"/>
    <w:rsid w:val="002E4C7B"/>
    <w:rsid w:val="003041A2"/>
    <w:rsid w:val="0030740C"/>
    <w:rsid w:val="00315833"/>
    <w:rsid w:val="00320417"/>
    <w:rsid w:val="003215EE"/>
    <w:rsid w:val="003224BF"/>
    <w:rsid w:val="003241A8"/>
    <w:rsid w:val="003253F0"/>
    <w:rsid w:val="003337DA"/>
    <w:rsid w:val="00334EFB"/>
    <w:rsid w:val="00335CDE"/>
    <w:rsid w:val="00336386"/>
    <w:rsid w:val="003365A5"/>
    <w:rsid w:val="0034100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E7C3D"/>
    <w:rsid w:val="003F07E1"/>
    <w:rsid w:val="003F0FD7"/>
    <w:rsid w:val="00402599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3A9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DB5"/>
    <w:rsid w:val="004E2077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1075"/>
    <w:rsid w:val="00581055"/>
    <w:rsid w:val="00583314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92E"/>
    <w:rsid w:val="005E6979"/>
    <w:rsid w:val="005E75CB"/>
    <w:rsid w:val="005F47ED"/>
    <w:rsid w:val="006013C1"/>
    <w:rsid w:val="0060669E"/>
    <w:rsid w:val="00610F2E"/>
    <w:rsid w:val="00611399"/>
    <w:rsid w:val="00615EA0"/>
    <w:rsid w:val="00624C4E"/>
    <w:rsid w:val="00625200"/>
    <w:rsid w:val="00631E23"/>
    <w:rsid w:val="006363A8"/>
    <w:rsid w:val="00636DB7"/>
    <w:rsid w:val="00647AF6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C42"/>
    <w:rsid w:val="006E5D05"/>
    <w:rsid w:val="00701053"/>
    <w:rsid w:val="00701507"/>
    <w:rsid w:val="00702703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57456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524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7522"/>
    <w:rsid w:val="008849AF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D09"/>
    <w:rsid w:val="008E4F1F"/>
    <w:rsid w:val="008E7B64"/>
    <w:rsid w:val="008F5DCD"/>
    <w:rsid w:val="00900951"/>
    <w:rsid w:val="009118A6"/>
    <w:rsid w:val="009148CB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851"/>
    <w:rsid w:val="00946044"/>
    <w:rsid w:val="0094660B"/>
    <w:rsid w:val="00946A33"/>
    <w:rsid w:val="0095260E"/>
    <w:rsid w:val="009578DD"/>
    <w:rsid w:val="00961124"/>
    <w:rsid w:val="009621B6"/>
    <w:rsid w:val="00965FAD"/>
    <w:rsid w:val="009721D5"/>
    <w:rsid w:val="00974F2D"/>
    <w:rsid w:val="00977524"/>
    <w:rsid w:val="00977E88"/>
    <w:rsid w:val="00984920"/>
    <w:rsid w:val="0099303A"/>
    <w:rsid w:val="00995150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399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D16"/>
    <w:rsid w:val="00A0643F"/>
    <w:rsid w:val="00A067EE"/>
    <w:rsid w:val="00A10FCE"/>
    <w:rsid w:val="00A16D91"/>
    <w:rsid w:val="00A174CC"/>
    <w:rsid w:val="00A2073D"/>
    <w:rsid w:val="00A20751"/>
    <w:rsid w:val="00A23B99"/>
    <w:rsid w:val="00A27E2D"/>
    <w:rsid w:val="00A31D99"/>
    <w:rsid w:val="00A357BA"/>
    <w:rsid w:val="00A35ADC"/>
    <w:rsid w:val="00A402A3"/>
    <w:rsid w:val="00A53681"/>
    <w:rsid w:val="00A54731"/>
    <w:rsid w:val="00A61418"/>
    <w:rsid w:val="00A633D4"/>
    <w:rsid w:val="00A6461A"/>
    <w:rsid w:val="00A67E1B"/>
    <w:rsid w:val="00A84504"/>
    <w:rsid w:val="00A8672F"/>
    <w:rsid w:val="00A93057"/>
    <w:rsid w:val="00A968B0"/>
    <w:rsid w:val="00AB2672"/>
    <w:rsid w:val="00AB2817"/>
    <w:rsid w:val="00AB43C4"/>
    <w:rsid w:val="00AB5FD4"/>
    <w:rsid w:val="00AB7D68"/>
    <w:rsid w:val="00AC32E7"/>
    <w:rsid w:val="00AC3A9F"/>
    <w:rsid w:val="00AC5B6A"/>
    <w:rsid w:val="00AC6D2F"/>
    <w:rsid w:val="00AE2745"/>
    <w:rsid w:val="00AE2F64"/>
    <w:rsid w:val="00AE414B"/>
    <w:rsid w:val="00AF42CB"/>
    <w:rsid w:val="00AF483F"/>
    <w:rsid w:val="00AF5E07"/>
    <w:rsid w:val="00AF5F06"/>
    <w:rsid w:val="00B00A25"/>
    <w:rsid w:val="00B1422A"/>
    <w:rsid w:val="00B1765C"/>
    <w:rsid w:val="00B213C4"/>
    <w:rsid w:val="00B401EE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5D0D"/>
    <w:rsid w:val="00BF2406"/>
    <w:rsid w:val="00BF7AA4"/>
    <w:rsid w:val="00C020F3"/>
    <w:rsid w:val="00C06E43"/>
    <w:rsid w:val="00C16315"/>
    <w:rsid w:val="00C201B6"/>
    <w:rsid w:val="00C30520"/>
    <w:rsid w:val="00C3091E"/>
    <w:rsid w:val="00C403E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7A0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4D39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37B2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A51"/>
    <w:rsid w:val="00E60F04"/>
    <w:rsid w:val="00E62AAC"/>
    <w:rsid w:val="00E67C2F"/>
    <w:rsid w:val="00E67EF5"/>
    <w:rsid w:val="00E72BCA"/>
    <w:rsid w:val="00E76FC4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A64"/>
    <w:rsid w:val="00EC7667"/>
    <w:rsid w:val="00ED084D"/>
    <w:rsid w:val="00ED1D89"/>
    <w:rsid w:val="00ED52FD"/>
    <w:rsid w:val="00ED57DA"/>
    <w:rsid w:val="00ED66BC"/>
    <w:rsid w:val="00EF233A"/>
    <w:rsid w:val="00EF303E"/>
    <w:rsid w:val="00EF3A40"/>
    <w:rsid w:val="00EF3C71"/>
    <w:rsid w:val="00EF763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FAF"/>
    <w:rsid w:val="00F56DD0"/>
    <w:rsid w:val="00F6491C"/>
    <w:rsid w:val="00F67BBB"/>
    <w:rsid w:val="00F71425"/>
    <w:rsid w:val="00F80AEB"/>
    <w:rsid w:val="00F87D92"/>
    <w:rsid w:val="00F90AA7"/>
    <w:rsid w:val="00F920D5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Number3">
    <w:name w:val="List Number 3"/>
    <w:basedOn w:val="Normal"/>
    <w:uiPriority w:val="99"/>
    <w:unhideWhenUsed/>
    <w:rsid w:val="009721D5"/>
    <w:pPr>
      <w:numPr>
        <w:numId w:val="2"/>
      </w:numPr>
      <w:contextualSpacing/>
    </w:pPr>
  </w:style>
  <w:style w:type="character" w:customStyle="1" w:styleId="userentry">
    <w:name w:val="userentry"/>
    <w:basedOn w:val="DefaultParagraphFont"/>
    <w:rsid w:val="00BF7AA4"/>
  </w:style>
  <w:style w:type="character" w:styleId="CommentReference">
    <w:name w:val="annotation reference"/>
    <w:basedOn w:val="DefaultParagraphFont"/>
    <w:uiPriority w:val="99"/>
    <w:semiHidden/>
    <w:unhideWhenUsed/>
    <w:rsid w:val="00AB5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FD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FD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F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FD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B13C5"/>
    <w:rsid w:val="00755FBF"/>
    <w:rsid w:val="007946DB"/>
    <w:rsid w:val="00965FAD"/>
    <w:rsid w:val="009C2442"/>
    <w:rsid w:val="00C403EE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purl.org/dc/dcmitype/"/>
    <ds:schemaRef ds:uri="1c567317-0c4d-4a62-8516-c22afd1b5354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70517-A615-49AE-B717-0A6BF662F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4EE6C-EC1E-48DE-8D7A-4EB71CDB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7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21</cp:revision>
  <cp:lastPrinted>2018-10-22T22:41:00Z</cp:lastPrinted>
  <dcterms:created xsi:type="dcterms:W3CDTF">2019-10-18T04:37:00Z</dcterms:created>
  <dcterms:modified xsi:type="dcterms:W3CDTF">2026-01-09T02:05:00Z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2026-01-07T01:12:54Z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14ba2e7a-9e6a-409c-af84-909c7f3f4c8d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