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0857953A" w:rsidR="00BD499F" w:rsidRPr="004C23F4" w:rsidRDefault="009E7587" w:rsidP="00B40C60">
          <w:pPr>
            <w:pStyle w:val="Heading1"/>
            <w:jc w:val="center"/>
            <w:rPr>
              <w:rFonts w:ascii="Arial" w:hAnsi="Arial" w:cs="Arial"/>
            </w:rPr>
          </w:pPr>
          <w:r w:rsidRPr="009E7587">
            <w:rPr>
              <w:rFonts w:ascii="Arial" w:hAnsi="Arial" w:cs="Arial"/>
            </w:rPr>
            <w:t>4-Vinyl Cyclohexene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189D6E38" w14:textId="77777777" w:rsidTr="003C617D">
        <w:trPr>
          <w:cantSplit/>
          <w:tblHeader/>
        </w:trPr>
        <w:tc>
          <w:tcPr>
            <w:tcW w:w="3975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1" w:type="dxa"/>
          </w:tcPr>
          <w:p w14:paraId="3EDBFD9E" w14:textId="4C6C8026" w:rsidR="00F43AD5" w:rsidRPr="00717D45" w:rsidRDefault="009E7587" w:rsidP="00B76A41">
            <w:pPr>
              <w:pStyle w:val="Tablefont"/>
            </w:pPr>
            <w:bookmarkStart w:id="0" w:name="_Hlk22294942"/>
            <w:r w:rsidRPr="009E7587">
              <w:t>100-40-3</w:t>
            </w:r>
            <w:bookmarkEnd w:id="0"/>
          </w:p>
        </w:tc>
      </w:tr>
      <w:tr w:rsidR="00F43AD5" w:rsidRPr="004C23F4" w14:paraId="562A9F51" w14:textId="77777777" w:rsidTr="003C617D">
        <w:trPr>
          <w:cantSplit/>
        </w:trPr>
        <w:tc>
          <w:tcPr>
            <w:tcW w:w="3975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1" w:type="dxa"/>
          </w:tcPr>
          <w:p w14:paraId="32648AB9" w14:textId="2E722519" w:rsidR="00F43AD5" w:rsidRPr="00717D45" w:rsidRDefault="009E7587" w:rsidP="009E7587">
            <w:pPr>
              <w:pStyle w:val="Tablefont"/>
            </w:pPr>
            <w:r>
              <w:t xml:space="preserve">4-Ethenylcyclohexene, VCH; 1-Vinylcyclohexene-3, </w:t>
            </w:r>
            <w:r w:rsidR="00E94402">
              <w:br/>
            </w:r>
            <w:r>
              <w:t>4-Vinyl-1-cyclohexene, 4-Vinylcyclohex-1-ene</w:t>
            </w:r>
          </w:p>
        </w:tc>
      </w:tr>
      <w:tr w:rsidR="00F43AD5" w:rsidRPr="004C23F4" w14:paraId="6EE54A08" w14:textId="77777777" w:rsidTr="003C617D">
        <w:trPr>
          <w:cantSplit/>
        </w:trPr>
        <w:tc>
          <w:tcPr>
            <w:tcW w:w="3975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1" w:type="dxa"/>
          </w:tcPr>
          <w:p w14:paraId="69369B00" w14:textId="41E7B944" w:rsidR="00F43AD5" w:rsidRPr="00717D45" w:rsidRDefault="009E7587" w:rsidP="00B76A41">
            <w:pPr>
              <w:pStyle w:val="Tablefont"/>
            </w:pPr>
            <w:r w:rsidRPr="009E7587">
              <w:t>C</w:t>
            </w:r>
            <w:r w:rsidRPr="009E7587">
              <w:rPr>
                <w:vertAlign w:val="subscript"/>
              </w:rPr>
              <w:t>8</w:t>
            </w:r>
            <w:r w:rsidRPr="009E7587">
              <w:t>H</w:t>
            </w:r>
            <w:r w:rsidRPr="009E7587">
              <w:rPr>
                <w:vertAlign w:val="subscript"/>
              </w:rPr>
              <w:t>12</w:t>
            </w:r>
          </w:p>
        </w:tc>
      </w:tr>
    </w:tbl>
    <w:p w14:paraId="71D72173" w14:textId="55320EF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80DDC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229EEC97" w:rsidR="002C7AFE" w:rsidRPr="009E08C1" w:rsidRDefault="00392393" w:rsidP="00017C82">
            <w:pPr>
              <w:pStyle w:val="Tablefont"/>
              <w:rPr>
                <w:b/>
              </w:rPr>
            </w:pPr>
            <w:r>
              <w:rPr>
                <w:b/>
              </w:rPr>
              <w:softHyphen/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BE871EA" w:rsidR="00037E52" w:rsidRPr="00EB3D1B" w:rsidRDefault="009E08C1" w:rsidP="00037E52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2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64ABA580" w:rsidR="00155999" w:rsidRPr="00861863" w:rsidRDefault="00155999" w:rsidP="00037E52">
            <w:pPr>
              <w:pStyle w:val="Tablefont"/>
              <w:rPr>
                <w:b/>
                <w:bCs/>
              </w:rPr>
            </w:pPr>
            <w:r w:rsidRPr="00861863">
              <w:rPr>
                <w:b/>
                <w:bCs/>
              </w:rPr>
              <w:t>Sampling and analysis:</w:t>
            </w:r>
            <w:r w:rsidRPr="00861863">
              <w:rPr>
                <w:rStyle w:val="WESstatus"/>
                <w:b/>
                <w:bCs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86186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EF44E50" w14:textId="7FB01137" w:rsidR="003C617D" w:rsidRDefault="003C617D" w:rsidP="003365A5">
      <w:pPr>
        <w:pStyle w:val="Heading2"/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</w:pPr>
      <w:r w:rsidRPr="003C617D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Given the limited data available from the primary sources</w:t>
      </w:r>
      <w:r w:rsidR="00130200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and its carcinogenic potential in animals,</w:t>
      </w:r>
      <w:r w:rsidR="00392393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</w:t>
      </w:r>
      <w:r w:rsidR="00130200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a</w:t>
      </w:r>
      <w:r w:rsidR="00392393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TWA is</w:t>
      </w:r>
      <w:r w:rsidR="00130200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not</w:t>
      </w:r>
      <w:r w:rsidR="00392393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recommended</w:t>
      </w:r>
      <w:r w:rsidR="00130200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in the interim</w:t>
      </w:r>
      <w:r w:rsidR="002E7AB7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. It is recommended that</w:t>
      </w:r>
      <w:r w:rsidR="00392393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a broader evaluation</w:t>
      </w:r>
      <w:r w:rsidRPr="003C617D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be conducted at the next scheduled review.</w:t>
      </w:r>
    </w:p>
    <w:p w14:paraId="317A46B1" w14:textId="477B4434" w:rsidR="00C7155E" w:rsidRPr="004C23F4" w:rsidRDefault="00F10C97" w:rsidP="003365A5">
      <w:pPr>
        <w:pStyle w:val="Heading2"/>
      </w:pPr>
      <w:r>
        <w:t>Discussion and conclusions</w:t>
      </w:r>
    </w:p>
    <w:p w14:paraId="4379C7E5" w14:textId="77777777" w:rsidR="003C617D" w:rsidRDefault="004D79E0" w:rsidP="00BE289D">
      <w:pPr>
        <w:rPr>
          <w:rFonts w:cs="Arial"/>
        </w:rPr>
      </w:pPr>
      <w:r>
        <w:rPr>
          <w:rFonts w:cs="Arial"/>
        </w:rPr>
        <w:t>4-Vinyl cyclohexene (VCH)</w:t>
      </w:r>
      <w:r w:rsidR="00F61669">
        <w:rPr>
          <w:rFonts w:cs="Arial"/>
        </w:rPr>
        <w:t xml:space="preserve"> </w:t>
      </w:r>
      <w:r>
        <w:rPr>
          <w:rFonts w:cs="Arial"/>
        </w:rPr>
        <w:t>is used as an</w:t>
      </w:r>
      <w:r w:rsidR="00BE289D" w:rsidRPr="00BE289D">
        <w:rPr>
          <w:rFonts w:cs="Arial"/>
        </w:rPr>
        <w:t xml:space="preserve"> intermediate in the manufacture of other chemicals such as polyolefins, flame retardants</w:t>
      </w:r>
      <w:r>
        <w:rPr>
          <w:rFonts w:cs="Arial"/>
        </w:rPr>
        <w:t xml:space="preserve">, </w:t>
      </w:r>
      <w:r w:rsidR="00BE289D" w:rsidRPr="00BE289D">
        <w:rPr>
          <w:rFonts w:cs="Arial"/>
        </w:rPr>
        <w:t>fragrances</w:t>
      </w:r>
      <w:r w:rsidR="00BE289D">
        <w:rPr>
          <w:rFonts w:cs="Arial"/>
        </w:rPr>
        <w:t xml:space="preserve"> and solvent</w:t>
      </w:r>
      <w:r>
        <w:rPr>
          <w:rFonts w:cs="Arial"/>
        </w:rPr>
        <w:t>s</w:t>
      </w:r>
      <w:r w:rsidR="00BE289D">
        <w:rPr>
          <w:rFonts w:cs="Arial"/>
        </w:rPr>
        <w:t xml:space="preserve">. </w:t>
      </w:r>
      <w:r w:rsidRPr="00BE289D">
        <w:rPr>
          <w:rFonts w:cs="Arial"/>
        </w:rPr>
        <w:t>No specific Australian use, import, or manufacturing information has been identified</w:t>
      </w:r>
      <w:r>
        <w:rPr>
          <w:rFonts w:cs="Arial"/>
        </w:rPr>
        <w:t xml:space="preserve">. </w:t>
      </w:r>
    </w:p>
    <w:p w14:paraId="3AF6C047" w14:textId="216D3F4A" w:rsidR="006639B4" w:rsidRDefault="004D79E0" w:rsidP="00BE289D">
      <w:r>
        <w:rPr>
          <w:rFonts w:cs="Arial"/>
        </w:rPr>
        <w:t>C</w:t>
      </w:r>
      <w:r w:rsidR="00BE289D">
        <w:rPr>
          <w:rFonts w:cs="Arial"/>
        </w:rPr>
        <w:t xml:space="preserve">ritical effects </w:t>
      </w:r>
      <w:r>
        <w:rPr>
          <w:rFonts w:cs="Arial"/>
        </w:rPr>
        <w:t>of</w:t>
      </w:r>
      <w:r w:rsidR="00BE289D">
        <w:rPr>
          <w:rFonts w:cs="Arial"/>
        </w:rPr>
        <w:t xml:space="preserve"> exposure are </w:t>
      </w:r>
      <w:r w:rsidR="00BE289D">
        <w:t>reproductive effects including testicular degeneration and ovarian atrophy, and ovarian neoplasms and other cancers.</w:t>
      </w:r>
    </w:p>
    <w:p w14:paraId="771B5C72" w14:textId="77777777" w:rsidR="00E94402" w:rsidRDefault="00E94402" w:rsidP="00E92108">
      <w:r>
        <w:t xml:space="preserve">There are limited human studies available. </w:t>
      </w:r>
      <w:r w:rsidR="00880B52">
        <w:t xml:space="preserve">Rubber workers exposed to VCH </w:t>
      </w:r>
      <w:r w:rsidR="003C617D">
        <w:t>at</w:t>
      </w:r>
      <w:r w:rsidR="00880B52">
        <w:t xml:space="preserve"> 271 to 542 ppm, with peaks of 677 ppm</w:t>
      </w:r>
      <w:r w:rsidR="003C617D">
        <w:t>,</w:t>
      </w:r>
      <w:r w:rsidR="00880B52">
        <w:t xml:space="preserve"> </w:t>
      </w:r>
      <w:r w:rsidR="003C617D">
        <w:t>a</w:t>
      </w:r>
      <w:r w:rsidR="00880B52">
        <w:t xml:space="preserve">re reported to suffer from keratitis, rhinitis, headache, hypotonia, leukopenia, neutrophilia, lymphocytosis and impairment of pigment and carbohydrate metabolism. </w:t>
      </w:r>
    </w:p>
    <w:p w14:paraId="54724211" w14:textId="19C42942" w:rsidR="00880B52" w:rsidRDefault="00945928" w:rsidP="00945928">
      <w:r>
        <w:t>Ovarian atrophy and testicular degeneration in mice, with a NOAEC of 250 ppm reported in a</w:t>
      </w:r>
      <w:r w:rsidR="00880B52">
        <w:t xml:space="preserve"> </w:t>
      </w:r>
      <w:r>
        <w:t>13</w:t>
      </w:r>
      <w:r>
        <w:noBreakHyphen/>
      </w:r>
      <w:r w:rsidR="00880B52">
        <w:t xml:space="preserve">week inhalation study in rats and mice (ACGIH, 2018). </w:t>
      </w:r>
      <w:r>
        <w:t xml:space="preserve">The numbers of uncommon ovarian neoplasms and ovarian pathologies </w:t>
      </w:r>
      <w:proofErr w:type="gramStart"/>
      <w:r>
        <w:t>increases</w:t>
      </w:r>
      <w:proofErr w:type="gramEnd"/>
      <w:r>
        <w:t xml:space="preserve"> significantly among female mice in a two</w:t>
      </w:r>
      <w:r>
        <w:noBreakHyphen/>
      </w:r>
      <w:r w:rsidR="004D79E0">
        <w:t>year</w:t>
      </w:r>
      <w:r w:rsidR="00880B52">
        <w:t xml:space="preserve"> oral gavage study in rats and mice</w:t>
      </w:r>
      <w:r>
        <w:t>.</w:t>
      </w:r>
      <w:r w:rsidR="00AA2807">
        <w:t xml:space="preserve"> </w:t>
      </w:r>
      <w:r>
        <w:t>S</w:t>
      </w:r>
      <w:r w:rsidR="00AA2807">
        <w:t xml:space="preserve">light but significantly increased incidence of tumours </w:t>
      </w:r>
      <w:r w:rsidR="00E34D9B">
        <w:t xml:space="preserve">reported </w:t>
      </w:r>
      <w:r w:rsidR="00AA2807">
        <w:t xml:space="preserve">at various locations in both </w:t>
      </w:r>
      <w:r w:rsidR="00880B52">
        <w:t>male m</w:t>
      </w:r>
      <w:r w:rsidR="004D79E0">
        <w:t>ice</w:t>
      </w:r>
      <w:r w:rsidR="00880B52">
        <w:t xml:space="preserve"> and male</w:t>
      </w:r>
      <w:r w:rsidR="003C617D">
        <w:t xml:space="preserve"> rats</w:t>
      </w:r>
      <w:r w:rsidR="00880B52">
        <w:t xml:space="preserve"> and </w:t>
      </w:r>
      <w:r w:rsidR="004D79E0">
        <w:t>slight</w:t>
      </w:r>
      <w:r w:rsidR="00D30747">
        <w:t xml:space="preserve"> increase</w:t>
      </w:r>
      <w:r w:rsidR="004D79E0">
        <w:t xml:space="preserve"> in </w:t>
      </w:r>
      <w:r w:rsidR="00880B52">
        <w:t>female rat</w:t>
      </w:r>
      <w:r w:rsidR="004D79E0">
        <w:t>s</w:t>
      </w:r>
      <w:r w:rsidR="00880B52">
        <w:t xml:space="preserve"> </w:t>
      </w:r>
      <w:r w:rsidR="00AA2807">
        <w:t>(ACGIH, 2018).</w:t>
      </w:r>
      <w:r w:rsidR="00E92108">
        <w:t xml:space="preserve"> Several </w:t>
      </w:r>
      <w:r>
        <w:t xml:space="preserve">sources </w:t>
      </w:r>
      <w:r w:rsidR="00E92108">
        <w:t>consider VCH carcinogenic b</w:t>
      </w:r>
      <w:r w:rsidR="00E92108">
        <w:rPr>
          <w:rStyle w:val="checkbox"/>
          <w:rFonts w:ascii="Arial" w:hAnsi="Arial" w:cs="Arial"/>
        </w:rPr>
        <w:t>ased on evidence in rats and mice</w:t>
      </w:r>
      <w:r w:rsidR="003C617D">
        <w:rPr>
          <w:rStyle w:val="checkbox"/>
          <w:rFonts w:ascii="Arial" w:hAnsi="Arial" w:cs="Arial"/>
        </w:rPr>
        <w:t>,</w:t>
      </w:r>
      <w:r w:rsidR="00E92108">
        <w:rPr>
          <w:rStyle w:val="checkbox"/>
          <w:rFonts w:ascii="Arial" w:hAnsi="Arial" w:cs="Arial"/>
        </w:rPr>
        <w:t xml:space="preserve"> with possible relevance to humans. </w:t>
      </w:r>
      <w:r w:rsidR="004D79E0">
        <w:rPr>
          <w:rStyle w:val="checkbox"/>
          <w:rFonts w:ascii="Arial" w:hAnsi="Arial" w:cs="Arial"/>
        </w:rPr>
        <w:t>There are</w:t>
      </w:r>
      <w:r w:rsidR="008454D6">
        <w:rPr>
          <w:rStyle w:val="checkbox"/>
          <w:rFonts w:ascii="Arial" w:hAnsi="Arial" w:cs="Arial"/>
        </w:rPr>
        <w:t xml:space="preserve"> no human cancer studies available and VCH has</w:t>
      </w:r>
      <w:r w:rsidR="004D79E0">
        <w:rPr>
          <w:rStyle w:val="checkbox"/>
          <w:rFonts w:ascii="Arial" w:hAnsi="Arial" w:cs="Arial"/>
        </w:rPr>
        <w:t xml:space="preserve"> </w:t>
      </w:r>
      <w:r w:rsidR="004D79E0">
        <w:t>n</w:t>
      </w:r>
      <w:r w:rsidR="00E92108">
        <w:t xml:space="preserve">egative results in </w:t>
      </w:r>
      <w:r w:rsidR="003C617D">
        <w:t xml:space="preserve">genotoxicity </w:t>
      </w:r>
      <w:r w:rsidR="007E5082">
        <w:t>studies.</w:t>
      </w:r>
      <w:r w:rsidR="003C617D">
        <w:t xml:space="preserve"> However,</w:t>
      </w:r>
      <w:r w:rsidR="00E92108">
        <w:t xml:space="preserve"> metabolites</w:t>
      </w:r>
      <w:r w:rsidR="00E34D9B">
        <w:t xml:space="preserve"> of</w:t>
      </w:r>
      <w:r w:rsidR="00E92108">
        <w:t xml:space="preserve"> </w:t>
      </w:r>
      <w:r w:rsidR="00E34D9B">
        <w:t xml:space="preserve">VCH </w:t>
      </w:r>
      <w:r w:rsidR="003C617D">
        <w:t>are</w:t>
      </w:r>
      <w:r w:rsidR="00E92108">
        <w:t xml:space="preserve"> genotoxic </w:t>
      </w:r>
      <w:r w:rsidR="00E92108">
        <w:rPr>
          <w:rStyle w:val="checkbox"/>
          <w:rFonts w:ascii="Arial" w:hAnsi="Arial" w:cs="Arial"/>
        </w:rPr>
        <w:t xml:space="preserve">(ACGIH, 2018; HCOTN, 2008; NICNAS, 2016). NICNAS (2016) propose a </w:t>
      </w:r>
      <w:r w:rsidR="00E92108">
        <w:rPr>
          <w:rFonts w:cs="Arial"/>
          <w:color w:val="262626"/>
        </w:rPr>
        <w:t>non-genotoxic mode of action for ovarian carcinogenicity in animals.</w:t>
      </w:r>
      <w:r w:rsidR="007E5082">
        <w:rPr>
          <w:rFonts w:cs="Arial"/>
          <w:color w:val="262626"/>
        </w:rPr>
        <w:t xml:space="preserve"> </w:t>
      </w:r>
      <w:r w:rsidR="008A4870">
        <w:t xml:space="preserve">There are inconsistent data and decisions about the carcinogenic and genotoxic potential </w:t>
      </w:r>
      <w:r w:rsidR="008A4870">
        <w:lastRenderedPageBreak/>
        <w:t xml:space="preserve">of </w:t>
      </w:r>
      <w:proofErr w:type="gramStart"/>
      <w:r w:rsidR="008A4870">
        <w:t>VCH</w:t>
      </w:r>
      <w:proofErr w:type="gramEnd"/>
      <w:r w:rsidR="008A4870">
        <w:t xml:space="preserve"> and it is unclear if a non-threshold mechanism for cancer is a critical effect in recommending a TWA. </w:t>
      </w:r>
    </w:p>
    <w:p w14:paraId="39E869B4" w14:textId="3F98E780" w:rsidR="00627FAF" w:rsidRDefault="009E08C1" w:rsidP="00880B52">
      <w:r w:rsidRPr="009E08C1">
        <w:t>Given the limited available</w:t>
      </w:r>
      <w:r>
        <w:t xml:space="preserve"> relevant toxicological</w:t>
      </w:r>
      <w:r w:rsidRPr="009E08C1">
        <w:t xml:space="preserve"> data</w:t>
      </w:r>
      <w:r>
        <w:t xml:space="preserve"> and its carcinogenic potential in animals</w:t>
      </w:r>
      <w:r w:rsidR="00627FAF">
        <w:t xml:space="preserve"> as well as the fact that no</w:t>
      </w:r>
      <w:r w:rsidR="00627FAF" w:rsidRPr="00627FAF">
        <w:rPr>
          <w:rFonts w:cs="Arial"/>
        </w:rPr>
        <w:t xml:space="preserve"> </w:t>
      </w:r>
      <w:r w:rsidR="00627FAF" w:rsidRPr="00BE289D">
        <w:rPr>
          <w:rFonts w:cs="Arial"/>
        </w:rPr>
        <w:t>specific Australian use, import or manufacturing information has been identified</w:t>
      </w:r>
      <w:r w:rsidR="003C617D">
        <w:t>,</w:t>
      </w:r>
      <w:r>
        <w:t xml:space="preserve"> a </w:t>
      </w:r>
      <w:r w:rsidRPr="009E08C1">
        <w:t xml:space="preserve">TWA </w:t>
      </w:r>
      <w:r w:rsidR="00627FAF">
        <w:t xml:space="preserve">is not recommended </w:t>
      </w:r>
      <w:r>
        <w:t>in the interim</w:t>
      </w:r>
      <w:r w:rsidR="00627FAF">
        <w:t>.</w:t>
      </w:r>
      <w:r w:rsidRPr="009E08C1">
        <w:t xml:space="preserve"> </w:t>
      </w:r>
    </w:p>
    <w:p w14:paraId="49E14A3D" w14:textId="74C80EB0" w:rsidR="00BE289D" w:rsidRPr="004C23F4" w:rsidRDefault="009E08C1" w:rsidP="00880B52">
      <w:r w:rsidRPr="009E08C1">
        <w:t>Given the limited data available from the primary sources, it is recommended that a review of additional sources be conducted at the next scheduled review</w:t>
      </w:r>
      <w:r>
        <w:t>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37698D61" w:rsidR="008E4F1F" w:rsidRPr="00994E17" w:rsidRDefault="00994E17" w:rsidP="008E4F1F">
      <w:pPr>
        <w:rPr>
          <w:rFonts w:cs="Arial"/>
        </w:rPr>
      </w:pPr>
      <w:r w:rsidRPr="00994E17">
        <w:rPr>
          <w:rFonts w:cs="Arial"/>
        </w:rPr>
        <w:t>C</w:t>
      </w:r>
      <w:r w:rsidR="008E4F1F" w:rsidRPr="00994E17">
        <w:rPr>
          <w:rFonts w:cs="Arial"/>
        </w:rPr>
        <w:t xml:space="preserve">lassified as a </w:t>
      </w:r>
      <w:r w:rsidR="004D79E0" w:rsidRPr="00994E17">
        <w:rPr>
          <w:rFonts w:cs="Arial"/>
        </w:rPr>
        <w:t>category 2</w:t>
      </w:r>
      <w:r w:rsidR="004D79E0">
        <w:rPr>
          <w:rFonts w:cs="Arial"/>
        </w:rPr>
        <w:t xml:space="preserve"> </w:t>
      </w:r>
      <w:r w:rsidR="008E4F1F" w:rsidRPr="00994E17">
        <w:rPr>
          <w:rFonts w:cs="Arial"/>
        </w:rPr>
        <w:t>carcinogen according to the Globally Harmonized System of</w:t>
      </w:r>
      <w:r w:rsidR="00155999" w:rsidRPr="00994E17">
        <w:rPr>
          <w:rFonts w:cs="Arial"/>
        </w:rPr>
        <w:t xml:space="preserve"> Classification and Labelling of</w:t>
      </w:r>
      <w:r w:rsidR="008E4F1F" w:rsidRPr="00994E17">
        <w:rPr>
          <w:rFonts w:cs="Arial"/>
        </w:rPr>
        <w:t xml:space="preserve"> Chemicals (GHS). </w:t>
      </w:r>
    </w:p>
    <w:p w14:paraId="03916CCC" w14:textId="77777777" w:rsidR="008E4F1F" w:rsidRPr="00994E17" w:rsidRDefault="008E4F1F" w:rsidP="008E4F1F">
      <w:pPr>
        <w:rPr>
          <w:rFonts w:cs="Arial"/>
        </w:rPr>
      </w:pPr>
      <w:r w:rsidRPr="00994E17">
        <w:rPr>
          <w:rFonts w:cs="Arial"/>
        </w:rPr>
        <w:t xml:space="preserve">Not classified as a skin </w:t>
      </w:r>
      <w:r w:rsidR="00155999" w:rsidRPr="00994E17">
        <w:rPr>
          <w:rFonts w:cs="Arial"/>
        </w:rPr>
        <w:t xml:space="preserve">sensitiser </w:t>
      </w:r>
      <w:r w:rsidRPr="00994E17">
        <w:rPr>
          <w:rFonts w:cs="Arial"/>
        </w:rPr>
        <w:t>or respiratory sensitiser according to the GHS.</w:t>
      </w:r>
    </w:p>
    <w:p w14:paraId="7D0772D2" w14:textId="24015279" w:rsidR="004529F0" w:rsidRPr="004C23F4" w:rsidRDefault="00861863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994E17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994E17">
        <w:rPr>
          <w:rFonts w:cs="Arial"/>
        </w:rPr>
        <w:t xml:space="preserve"> to recommend a skin notation.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4E34B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4E34B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7AF6460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F65B4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F65B4">
                  <w:t>NA</w:t>
                </w:r>
              </w:sdtContent>
            </w:sdt>
          </w:p>
        </w:tc>
      </w:tr>
      <w:tr w:rsidR="00C978F0" w:rsidRPr="00DA352E" w14:paraId="26087DDB" w14:textId="77777777" w:rsidTr="004E34BD">
        <w:trPr>
          <w:gridAfter w:val="1"/>
          <w:wAfter w:w="8" w:type="pct"/>
        </w:trPr>
        <w:tc>
          <w:tcPr>
            <w:tcW w:w="4992" w:type="pct"/>
          </w:tcPr>
          <w:p w14:paraId="1137D58F" w14:textId="3594EF9B" w:rsidR="00C978F0" w:rsidRPr="00DA352E" w:rsidRDefault="001F65B4" w:rsidP="003365A5">
            <w:pPr>
              <w:pStyle w:val="Tabletextprimarysource"/>
            </w:pPr>
            <w:r>
              <w:t>No report</w:t>
            </w:r>
          </w:p>
        </w:tc>
      </w:tr>
      <w:tr w:rsidR="00C978F0" w:rsidRPr="00DA352E" w14:paraId="24593221" w14:textId="77777777" w:rsidTr="004E34B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6C16DED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E758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E7587">
                  <w:t>TLV-TWA: 0.1 ppm (0.44 mg/m</w:t>
                </w:r>
                <w:r w:rsidR="009E7587" w:rsidRPr="009E7587">
                  <w:rPr>
                    <w:vertAlign w:val="superscript"/>
                  </w:rPr>
                  <w:t>3</w:t>
                </w:r>
                <w:r w:rsidR="009E7587">
                  <w:t>)</w:t>
                </w:r>
              </w:sdtContent>
            </w:sdt>
          </w:p>
        </w:tc>
      </w:tr>
      <w:tr w:rsidR="00C978F0" w:rsidRPr="00DA352E" w14:paraId="418D532D" w14:textId="77777777" w:rsidTr="004E34BD">
        <w:trPr>
          <w:gridAfter w:val="1"/>
          <w:wAfter w:w="8" w:type="pct"/>
        </w:trPr>
        <w:tc>
          <w:tcPr>
            <w:tcW w:w="4992" w:type="pct"/>
          </w:tcPr>
          <w:p w14:paraId="3F5AE4EB" w14:textId="665520FF" w:rsidR="00C978F0" w:rsidRDefault="00F97725" w:rsidP="003365A5">
            <w:pPr>
              <w:pStyle w:val="Tabletextprimarysource"/>
            </w:pPr>
            <w:r>
              <w:t>TLV-TWA recommended to minimise potential for reproductive effects including testicular degeneration and ovarian atrophy and generation of ovarian neoplasms and other cancers, as reported in rodents.</w:t>
            </w:r>
          </w:p>
          <w:p w14:paraId="7A21ADEF" w14:textId="2F42F07D" w:rsidR="00F97725" w:rsidRDefault="00F97725" w:rsidP="003365A5">
            <w:pPr>
              <w:pStyle w:val="Tabletextprimarysource"/>
            </w:pPr>
            <w:r>
              <w:t>Summary of data</w:t>
            </w:r>
            <w:r w:rsidR="0011645E">
              <w:t>:</w:t>
            </w:r>
          </w:p>
          <w:p w14:paraId="3AADB073" w14:textId="04634191" w:rsidR="00DA2F50" w:rsidRDefault="00213394" w:rsidP="00EE4FA0">
            <w:pPr>
              <w:pStyle w:val="ListBullet"/>
              <w:numPr>
                <w:ilvl w:val="0"/>
                <w:numId w:val="6"/>
              </w:numPr>
              <w:spacing w:before="60" w:after="60"/>
              <w:ind w:left="731"/>
              <w:contextualSpacing w:val="0"/>
            </w:pPr>
            <w:r>
              <w:t>ACGIH c</w:t>
            </w:r>
            <w:r w:rsidR="00DA2F50">
              <w:t xml:space="preserve">oncluded </w:t>
            </w:r>
            <w:r w:rsidR="00EE4FA0">
              <w:t xml:space="preserve">that it is </w:t>
            </w:r>
            <w:r w:rsidR="00DA2F50">
              <w:t>not a direct-acting carcinogen</w:t>
            </w:r>
            <w:r w:rsidR="00EE4FA0">
              <w:t xml:space="preserve"> because it </w:t>
            </w:r>
            <w:r w:rsidR="00DA2F50">
              <w:t>requires metabolic activation to elicit the carcinogenesis</w:t>
            </w:r>
          </w:p>
          <w:p w14:paraId="118B2FC3" w14:textId="34D4B1FA" w:rsidR="00052F75" w:rsidRDefault="00052F75" w:rsidP="003C61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TLV-TWA based on lack of mutagenicity in standard short-term tests, finding of VCH-induced cancer in mice and clear evidence for VCH-1,2-epoxide induced carcinogenesis in rats and mice; no quantitative derivation specifics provided</w:t>
            </w:r>
            <w:r w:rsidR="005D77E3">
              <w:t>.</w:t>
            </w:r>
          </w:p>
          <w:p w14:paraId="4A6734C1" w14:textId="3610AA0D" w:rsidR="00052F75" w:rsidRDefault="00052F75" w:rsidP="00052F75">
            <w:pPr>
              <w:pStyle w:val="Tabletextprimarysource"/>
            </w:pPr>
            <w:r>
              <w:t>Human data</w:t>
            </w:r>
            <w:r w:rsidR="0011645E">
              <w:t>:</w:t>
            </w:r>
          </w:p>
          <w:p w14:paraId="2D679CCF" w14:textId="12D4416D" w:rsidR="00052F75" w:rsidRDefault="002E67DE" w:rsidP="003C61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Russian rubber workers inhaling mean concentrations of 271</w:t>
            </w:r>
            <w:r w:rsidR="00544E92">
              <w:t>–</w:t>
            </w:r>
            <w:r>
              <w:t xml:space="preserve">542 ppm (with peak </w:t>
            </w:r>
            <w:r w:rsidR="007E5082">
              <w:t xml:space="preserve">concentrations to </w:t>
            </w:r>
            <w:r>
              <w:t>677</w:t>
            </w:r>
            <w:r w:rsidR="003C617D">
              <w:t> </w:t>
            </w:r>
            <w:r>
              <w:t>ppm) reported to suffer from keratitis, rhinitis, headache, hypotonia, leukopenia, neutrophilia, lymphocytosis, and "impairment of pigment and carbohydrate metabolism”</w:t>
            </w:r>
          </w:p>
          <w:p w14:paraId="017CC107" w14:textId="73DEBA3A" w:rsidR="002E67DE" w:rsidRDefault="002E67DE" w:rsidP="003C61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Reports the highest concentrations of occupational personal measurements from a range of industries was in polymer operators and supervisors in styrene/butadiene (5.1</w:t>
            </w:r>
            <w:r w:rsidR="00544E92">
              <w:t>–</w:t>
            </w:r>
            <w:r>
              <w:t xml:space="preserve">5.3 ppm) and in process and maintenance during </w:t>
            </w:r>
            <w:proofErr w:type="spellStart"/>
            <w:r>
              <w:t>vinylnorborene</w:t>
            </w:r>
            <w:proofErr w:type="spellEnd"/>
            <w:r>
              <w:t xml:space="preserve"> operations (4.9</w:t>
            </w:r>
            <w:r w:rsidR="00544E92">
              <w:t>–</w:t>
            </w:r>
            <w:r>
              <w:t>5.3 ppm)</w:t>
            </w:r>
          </w:p>
          <w:p w14:paraId="5671B7E3" w14:textId="633163A8" w:rsidR="002E67DE" w:rsidRDefault="005D77E3" w:rsidP="003C61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2E67DE">
              <w:t xml:space="preserve">ot clear whether exposure has any relationship to elevated cancer risk associated with rubber industry </w:t>
            </w:r>
            <w:r w:rsidR="00752236">
              <w:t>(</w:t>
            </w:r>
            <w:r w:rsidR="002E67DE">
              <w:t>no further details</w:t>
            </w:r>
            <w:r w:rsidR="00752236">
              <w:t>)</w:t>
            </w:r>
            <w:r>
              <w:t>.</w:t>
            </w:r>
          </w:p>
          <w:p w14:paraId="0E31663C" w14:textId="385888DE" w:rsidR="002E67DE" w:rsidRDefault="002E67DE" w:rsidP="002E67DE">
            <w:pPr>
              <w:pStyle w:val="Tabletextprimarysource"/>
            </w:pPr>
            <w:r>
              <w:t>Animal data</w:t>
            </w:r>
            <w:r w:rsidR="0011645E">
              <w:t>:</w:t>
            </w:r>
          </w:p>
          <w:p w14:paraId="04A7B20D" w14:textId="772C44CA" w:rsidR="002E67DE" w:rsidRDefault="002E67DE" w:rsidP="003C617D">
            <w:pPr>
              <w:pStyle w:val="ListBullet"/>
              <w:spacing w:before="60" w:after="60"/>
              <w:ind w:left="717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EE4FA0">
              <w:t xml:space="preserve"> of</w:t>
            </w:r>
            <w:r w:rsidR="008A3595">
              <w:t xml:space="preserve"> </w:t>
            </w:r>
            <w:r>
              <w:t>6</w:t>
            </w:r>
            <w:r w:rsidR="005D77E3">
              <w:t>,</w:t>
            </w:r>
            <w:r>
              <w:t xml:space="preserve">095 ppm </w:t>
            </w:r>
            <w:r w:rsidR="005D77E3">
              <w:t>(</w:t>
            </w:r>
            <w:r>
              <w:t>rats</w:t>
            </w:r>
            <w:r w:rsidR="005D77E3">
              <w:t>, inhalation)</w:t>
            </w:r>
          </w:p>
          <w:p w14:paraId="05EF65FA" w14:textId="51CAE939" w:rsidR="002E67DE" w:rsidRDefault="002E67DE" w:rsidP="003C617D">
            <w:pPr>
              <w:pStyle w:val="ListBullet"/>
              <w:spacing w:before="60" w:after="60"/>
              <w:ind w:left="717" w:hanging="357"/>
              <w:contextualSpacing w:val="0"/>
            </w:pPr>
            <w:r>
              <w:t>Skin irritation after application of undiluted VCH to shaved rabbit skin rated moderate</w:t>
            </w:r>
          </w:p>
          <w:p w14:paraId="29B173FC" w14:textId="378785D0" w:rsidR="00577225" w:rsidRDefault="002E67DE" w:rsidP="003C617D">
            <w:pPr>
              <w:pStyle w:val="ListBullet"/>
              <w:spacing w:before="60" w:after="60"/>
              <w:ind w:left="717" w:hanging="357"/>
              <w:contextualSpacing w:val="0"/>
            </w:pPr>
            <w:r>
              <w:t>Administration (stock solution 0.01% butylated hydroxytoluene) by gavage in corn oil at 0,</w:t>
            </w:r>
            <w:r w:rsidR="00EE4FA0">
              <w:t> </w:t>
            </w:r>
            <w:r>
              <w:t>300, 600, 1</w:t>
            </w:r>
            <w:r w:rsidR="005D77E3">
              <w:t>,</w:t>
            </w:r>
            <w:r>
              <w:t>250, 2</w:t>
            </w:r>
            <w:r w:rsidR="005D77E3">
              <w:t>,</w:t>
            </w:r>
            <w:r>
              <w:t>500, or 5</w:t>
            </w:r>
            <w:r w:rsidR="005D77E3">
              <w:t>,</w:t>
            </w:r>
            <w:r>
              <w:t>000 mg/kg/d for 14 d to groups of 5 male and 5 female rats and mice</w:t>
            </w:r>
            <w:r w:rsidR="0011645E">
              <w:t>:</w:t>
            </w:r>
          </w:p>
          <w:p w14:paraId="730004FF" w14:textId="47815604" w:rsidR="00577225" w:rsidRDefault="00D63C61" w:rsidP="00D63C61">
            <w:pPr>
              <w:pStyle w:val="ListBullet"/>
              <w:numPr>
                <w:ilvl w:val="0"/>
                <w:numId w:val="2"/>
              </w:numPr>
              <w:spacing w:before="60" w:after="60"/>
              <w:ind w:left="1080" w:hanging="357"/>
              <w:contextualSpacing w:val="0"/>
            </w:pPr>
            <w:r>
              <w:t xml:space="preserve">CNS depression, tremors and gastrointestinal distress </w:t>
            </w:r>
            <w:proofErr w:type="gramStart"/>
            <w:r>
              <w:t>reported</w:t>
            </w:r>
            <w:proofErr w:type="gramEnd"/>
            <w:r>
              <w:t xml:space="preserve"> and </w:t>
            </w:r>
            <w:r w:rsidR="002E67DE">
              <w:t xml:space="preserve">all </w:t>
            </w:r>
            <w:r>
              <w:t>animals died</w:t>
            </w:r>
            <w:r w:rsidR="002E67DE">
              <w:t xml:space="preserve"> </w:t>
            </w:r>
            <w:r>
              <w:t xml:space="preserve">at doses of </w:t>
            </w:r>
            <w:r w:rsidR="002E67DE">
              <w:t>1250 mg/kg</w:t>
            </w:r>
            <w:r w:rsidR="00577225">
              <w:t>/d</w:t>
            </w:r>
            <w:r w:rsidR="002E67DE">
              <w:t xml:space="preserve"> or more</w:t>
            </w:r>
            <w:r w:rsidR="00752236">
              <w:t xml:space="preserve"> </w:t>
            </w:r>
          </w:p>
          <w:p w14:paraId="1088457C" w14:textId="7472817D" w:rsidR="00577225" w:rsidRDefault="002E67DE" w:rsidP="003C617D">
            <w:pPr>
              <w:pStyle w:val="ListBullet"/>
              <w:numPr>
                <w:ilvl w:val="0"/>
                <w:numId w:val="2"/>
              </w:numPr>
              <w:spacing w:before="60" w:after="60"/>
              <w:ind w:left="1080" w:hanging="357"/>
              <w:contextualSpacing w:val="0"/>
            </w:pPr>
            <w:r>
              <w:t>all mice do</w:t>
            </w:r>
            <w:r w:rsidR="00577225">
              <w:t>sed with 2</w:t>
            </w:r>
            <w:r w:rsidR="005D77E3">
              <w:t>,</w:t>
            </w:r>
            <w:r w:rsidR="00577225">
              <w:t>500 or 5</w:t>
            </w:r>
            <w:r w:rsidR="005D77E3">
              <w:t>,</w:t>
            </w:r>
            <w:r w:rsidR="00577225">
              <w:t>000 mg/kg died</w:t>
            </w:r>
            <w:r w:rsidR="00752236">
              <w:t xml:space="preserve">. Tremors </w:t>
            </w:r>
            <w:r>
              <w:t>and inactivity observed in the mice that died</w:t>
            </w:r>
            <w:r w:rsidR="00577225">
              <w:t xml:space="preserve"> </w:t>
            </w:r>
          </w:p>
          <w:p w14:paraId="788233E4" w14:textId="5D2320B0" w:rsidR="002E67DE" w:rsidRDefault="00577225" w:rsidP="003C617D">
            <w:pPr>
              <w:pStyle w:val="ListBullet"/>
              <w:numPr>
                <w:ilvl w:val="0"/>
                <w:numId w:val="2"/>
              </w:numPr>
              <w:spacing w:before="60" w:after="60"/>
              <w:ind w:left="1080" w:hanging="357"/>
              <w:contextualSpacing w:val="0"/>
            </w:pPr>
            <w:r>
              <w:t>no compound-related gross or histologic changes observed</w:t>
            </w:r>
          </w:p>
          <w:p w14:paraId="077CC51B" w14:textId="65255C3E" w:rsidR="008A54FC" w:rsidRDefault="008A54FC" w:rsidP="003C617D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Groups of </w:t>
            </w:r>
            <w:r w:rsidR="008A3595">
              <w:t>B6C3F1/</w:t>
            </w:r>
            <w:proofErr w:type="spellStart"/>
            <w:r w:rsidR="008A3595">
              <w:t>CrIBR</w:t>
            </w:r>
            <w:proofErr w:type="spellEnd"/>
            <w:r w:rsidR="008A3595">
              <w:t xml:space="preserve"> </w:t>
            </w:r>
            <w:r>
              <w:t>male and female mice</w:t>
            </w:r>
            <w:r w:rsidR="008A3595">
              <w:t xml:space="preserve"> </w:t>
            </w:r>
            <w:r>
              <w:t xml:space="preserve">and </w:t>
            </w:r>
            <w:r w:rsidR="008A3595">
              <w:t xml:space="preserve">CDBR </w:t>
            </w:r>
            <w:r>
              <w:t>rats exposed 6 h/d at 0, 50, 250, or 1</w:t>
            </w:r>
            <w:r w:rsidR="005D77E3">
              <w:t>,</w:t>
            </w:r>
            <w:r>
              <w:t>000 ppm (mice) or 0, 250, 1</w:t>
            </w:r>
            <w:r w:rsidR="005D77E3">
              <w:t>,</w:t>
            </w:r>
            <w:r>
              <w:t>000, or 1</w:t>
            </w:r>
            <w:r w:rsidR="005D77E3">
              <w:t>,</w:t>
            </w:r>
            <w:r>
              <w:t>500 ppm (rats)</w:t>
            </w:r>
            <w:r w:rsidR="00880B52">
              <w:t xml:space="preserve"> by inhalation</w:t>
            </w:r>
            <w:r>
              <w:t xml:space="preserve"> for total 65 exposures over 13 </w:t>
            </w:r>
            <w:proofErr w:type="spellStart"/>
            <w:r>
              <w:t>wk</w:t>
            </w:r>
            <w:proofErr w:type="spellEnd"/>
            <w:r w:rsidR="0011645E">
              <w:t>:</w:t>
            </w:r>
          </w:p>
          <w:p w14:paraId="2BE73305" w14:textId="65740FBB" w:rsidR="008A54FC" w:rsidRDefault="008A54FC" w:rsidP="003C617D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although exact cause of death could not be identified, treatment-related tremors, followed by death of all male mice inhaling 1</w:t>
            </w:r>
            <w:r w:rsidR="005D77E3">
              <w:t>,</w:t>
            </w:r>
            <w:r>
              <w:t xml:space="preserve">000 ppm, occurred by day 12, and 50% of female mice </w:t>
            </w:r>
            <w:r w:rsidR="00F26A43">
              <w:t xml:space="preserve">also </w:t>
            </w:r>
            <w:r>
              <w:t>died at that time</w:t>
            </w:r>
          </w:p>
          <w:p w14:paraId="1BED0DE4" w14:textId="5FBFE5BB" w:rsidR="008A54FC" w:rsidRDefault="008A54FC" w:rsidP="003C617D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while inhaling, rats and mice appeared lethargic</w:t>
            </w:r>
            <w:r w:rsidR="003C617D">
              <w:t xml:space="preserve"> with</w:t>
            </w:r>
            <w:r w:rsidR="00F26A43">
              <w:t>, but</w:t>
            </w:r>
            <w:r w:rsidR="003C617D">
              <w:t xml:space="preserve"> no </w:t>
            </w:r>
            <w:r w:rsidR="00F26A43">
              <w:t xml:space="preserve">deaths </w:t>
            </w:r>
            <w:r w:rsidR="003C617D">
              <w:t>reported</w:t>
            </w:r>
          </w:p>
          <w:p w14:paraId="0078AA92" w14:textId="77652975" w:rsidR="008A54FC" w:rsidRDefault="008A54FC" w:rsidP="003C617D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 xml:space="preserve">male rats developed hyaline droplet renal </w:t>
            </w:r>
            <w:r w:rsidR="005D77E3">
              <w:t>degeneration</w:t>
            </w:r>
            <w:r w:rsidR="00F26A43">
              <w:t xml:space="preserve">. Increased </w:t>
            </w:r>
            <w:r>
              <w:t xml:space="preserve">liver weights </w:t>
            </w:r>
            <w:r w:rsidR="00F26A43">
              <w:t xml:space="preserve">reported </w:t>
            </w:r>
            <w:r>
              <w:t xml:space="preserve">in both sexes </w:t>
            </w:r>
          </w:p>
          <w:p w14:paraId="0F96748C" w14:textId="04BEB182" w:rsidR="008A54FC" w:rsidRDefault="008A54FC" w:rsidP="003C617D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lastRenderedPageBreak/>
              <w:t>ovarian atrophy and testicular degeneration occurred in mice</w:t>
            </w:r>
          </w:p>
          <w:p w14:paraId="58AA477F" w14:textId="03320448" w:rsidR="00577225" w:rsidRDefault="008A54FC" w:rsidP="003C617D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based on ovarian/testicular pathology associated with inhaled VCH, the lowest sub</w:t>
            </w:r>
            <w:r w:rsidR="00F26A43">
              <w:noBreakHyphen/>
            </w:r>
            <w:r>
              <w:t xml:space="preserve">chronic </w:t>
            </w:r>
            <w:r w:rsidR="00F26A43">
              <w:t xml:space="preserve">NOAEC </w:t>
            </w:r>
            <w:r>
              <w:t>was 250 ppm</w:t>
            </w:r>
            <w:r w:rsidR="00544E92">
              <w:t xml:space="preserve"> (species not provided)</w:t>
            </w:r>
          </w:p>
          <w:p w14:paraId="79B3559A" w14:textId="6550B500" w:rsidR="00B1740B" w:rsidRDefault="00B1740B" w:rsidP="003C617D">
            <w:pPr>
              <w:pStyle w:val="ListBullet"/>
              <w:spacing w:before="60" w:after="60"/>
              <w:ind w:left="717"/>
              <w:contextualSpacing w:val="0"/>
            </w:pPr>
            <w:r>
              <w:t>Application of 45 mg in 50% benzene to the shaved dorsal skin of 30 mice, 3 d/</w:t>
            </w:r>
            <w:proofErr w:type="spellStart"/>
            <w:r>
              <w:t>wk</w:t>
            </w:r>
            <w:proofErr w:type="spellEnd"/>
            <w:r>
              <w:t xml:space="preserve"> for 54</w:t>
            </w:r>
            <w:r w:rsidR="00666E83">
              <w:t> </w:t>
            </w:r>
            <w:proofErr w:type="spellStart"/>
            <w:r>
              <w:t>wk</w:t>
            </w:r>
            <w:proofErr w:type="spellEnd"/>
            <w:r>
              <w:t xml:space="preserve"> resulted in extensive skin damage</w:t>
            </w:r>
            <w:r w:rsidR="0011645E">
              <w:t>:</w:t>
            </w:r>
          </w:p>
          <w:p w14:paraId="5DDDA338" w14:textId="77777777" w:rsidR="00B1740B" w:rsidRDefault="00B1740B" w:rsidP="003C617D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t>produced one squamous cell carcinoma a result attributed by the authors to trace concentrations of VCH hydroperoxide, a known animal carcinogen</w:t>
            </w:r>
          </w:p>
          <w:p w14:paraId="1F4B5E3F" w14:textId="7C6A217F" w:rsidR="008A54FC" w:rsidRDefault="00B1740B" w:rsidP="003C617D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t xml:space="preserve">similar skin-painting bioassay or </w:t>
            </w:r>
            <w:r w:rsidR="003A6B3E">
              <w:t>IP</w:t>
            </w:r>
            <w:r>
              <w:t xml:space="preserve"> injection with VCH metabolite VCH-1,2- </w:t>
            </w:r>
            <w:proofErr w:type="spellStart"/>
            <w:r>
              <w:t>diepoxide</w:t>
            </w:r>
            <w:proofErr w:type="spellEnd"/>
            <w:r>
              <w:t xml:space="preserve"> produced squamous cell carcinomas and sarcomas or peritoneal sarcomas, respectively, confirming earlier dermal and parenteral VCH-1,2- </w:t>
            </w:r>
            <w:proofErr w:type="spellStart"/>
            <w:r>
              <w:t>diepoxide</w:t>
            </w:r>
            <w:proofErr w:type="spellEnd"/>
            <w:r>
              <w:t xml:space="preserve"> studies in rodents</w:t>
            </w:r>
          </w:p>
          <w:p w14:paraId="66117A16" w14:textId="30DAEF89" w:rsidR="004143B7" w:rsidRDefault="004143B7" w:rsidP="003C617D">
            <w:pPr>
              <w:pStyle w:val="ListBullet"/>
              <w:spacing w:before="60" w:after="60"/>
              <w:ind w:left="717"/>
              <w:contextualSpacing w:val="0"/>
            </w:pPr>
            <w:r>
              <w:t>VCH (</w:t>
            </w:r>
            <w:r w:rsidR="003A6B3E">
              <w:t>&gt;</w:t>
            </w:r>
            <w:r>
              <w:t xml:space="preserve"> 98% pure) administered by oral </w:t>
            </w:r>
            <w:r w:rsidR="00880B52">
              <w:t>gavage</w:t>
            </w:r>
            <w:r>
              <w:t xml:space="preserve"> in corn oil 5 d/</w:t>
            </w:r>
            <w:proofErr w:type="spellStart"/>
            <w:r>
              <w:t>wk</w:t>
            </w:r>
            <w:proofErr w:type="spellEnd"/>
            <w:r>
              <w:t xml:space="preserve"> for 2 yr at 0, 200, or 400 mg/kg/d to groups of 50 rats and mice of each sex</w:t>
            </w:r>
            <w:r w:rsidR="00F26A43">
              <w:t xml:space="preserve">. Following </w:t>
            </w:r>
            <w:r w:rsidR="008A3595">
              <w:t xml:space="preserve">was </w:t>
            </w:r>
            <w:r w:rsidR="00F26A43">
              <w:t>reported</w:t>
            </w:r>
            <w:r w:rsidR="0011645E">
              <w:t>:</w:t>
            </w:r>
          </w:p>
          <w:p w14:paraId="60C79A47" w14:textId="3E341120" w:rsidR="004143B7" w:rsidRDefault="008A3595" w:rsidP="003C617D">
            <w:pPr>
              <w:pStyle w:val="ListBullet"/>
              <w:numPr>
                <w:ilvl w:val="0"/>
                <w:numId w:val="5"/>
              </w:numPr>
              <w:spacing w:before="60" w:after="60"/>
              <w:ind w:left="1080"/>
              <w:contextualSpacing w:val="0"/>
            </w:pPr>
            <w:r>
              <w:t>h</w:t>
            </w:r>
            <w:r w:rsidR="00F26A43">
              <w:t xml:space="preserve">igh incidence of </w:t>
            </w:r>
            <w:r w:rsidR="004143B7">
              <w:t>mortality among rats compromised the study</w:t>
            </w:r>
          </w:p>
          <w:p w14:paraId="09662ACA" w14:textId="3F3780A6" w:rsidR="004143B7" w:rsidRDefault="004143B7" w:rsidP="003C617D">
            <w:pPr>
              <w:pStyle w:val="ListBullet"/>
              <w:numPr>
                <w:ilvl w:val="0"/>
                <w:numId w:val="5"/>
              </w:numPr>
              <w:spacing w:before="60" w:after="60"/>
              <w:ind w:left="1080"/>
              <w:contextualSpacing w:val="0"/>
            </w:pPr>
            <w:r>
              <w:t xml:space="preserve">marginally suggestive increases in squamous cell </w:t>
            </w:r>
            <w:proofErr w:type="spellStart"/>
            <w:r>
              <w:t>papillomas</w:t>
            </w:r>
            <w:proofErr w:type="spellEnd"/>
            <w:r>
              <w:t xml:space="preserve"> or carcinomas in male rat skin observed</w:t>
            </w:r>
          </w:p>
          <w:p w14:paraId="1A59C29A" w14:textId="58EEDCFF" w:rsidR="004143B7" w:rsidRDefault="004143B7" w:rsidP="003C617D">
            <w:pPr>
              <w:pStyle w:val="ListBullet"/>
              <w:numPr>
                <w:ilvl w:val="0"/>
                <w:numId w:val="5"/>
              </w:numPr>
              <w:spacing w:before="60" w:after="60"/>
              <w:ind w:left="1080"/>
              <w:contextualSpacing w:val="0"/>
            </w:pPr>
            <w:r>
              <w:t>among mice, acute inflammation and epithelial hyperplasia of forestomach with assorted histopathologic changes (lung congestion, splenic red pulp atrophy, adrenal gland congestion) not necessarily dose-dependent observed</w:t>
            </w:r>
          </w:p>
          <w:p w14:paraId="33328DEE" w14:textId="5EA0F6EE" w:rsidR="004143B7" w:rsidRDefault="004143B7" w:rsidP="003C617D">
            <w:pPr>
              <w:pStyle w:val="ListBullet"/>
              <w:numPr>
                <w:ilvl w:val="0"/>
                <w:numId w:val="5"/>
              </w:numPr>
              <w:spacing w:before="60" w:after="60"/>
              <w:ind w:left="1080"/>
              <w:contextualSpacing w:val="0"/>
            </w:pPr>
            <w:r>
              <w:t>mortality among high-dose male mice confounded interpretation of the scattered instances of lymphomas and cancers of the lung</w:t>
            </w:r>
          </w:p>
          <w:p w14:paraId="4745065F" w14:textId="791942FE" w:rsidR="004143B7" w:rsidRDefault="004143B7" w:rsidP="003C617D">
            <w:pPr>
              <w:pStyle w:val="ListBullet"/>
              <w:numPr>
                <w:ilvl w:val="0"/>
                <w:numId w:val="5"/>
              </w:numPr>
              <w:spacing w:before="60" w:after="60"/>
              <w:ind w:left="1080"/>
              <w:contextualSpacing w:val="0"/>
            </w:pPr>
            <w:r>
              <w:t>suggestion that increased numbers of adrenal gland adenomas (found only in high-dose female mice) may have been related to oral intubation</w:t>
            </w:r>
          </w:p>
          <w:p w14:paraId="07DF4CFD" w14:textId="061144BC" w:rsidR="00B1740B" w:rsidRDefault="004143B7" w:rsidP="003C617D">
            <w:pPr>
              <w:pStyle w:val="ListBullet"/>
              <w:numPr>
                <w:ilvl w:val="0"/>
                <w:numId w:val="5"/>
              </w:numPr>
              <w:spacing w:before="60" w:after="60"/>
              <w:ind w:left="1080"/>
              <w:contextualSpacing w:val="0"/>
            </w:pPr>
            <w:r>
              <w:t>numbers of uncommon ovarian neoplasms and ovarian pathologies increased significantly among VCH-treated mice</w:t>
            </w:r>
          </w:p>
          <w:p w14:paraId="1711E0A4" w14:textId="77777777" w:rsidR="004143B7" w:rsidRDefault="004143B7" w:rsidP="003C617D">
            <w:pPr>
              <w:pStyle w:val="ListBullet"/>
              <w:spacing w:before="60" w:after="60"/>
              <w:ind w:left="717"/>
              <w:contextualSpacing w:val="0"/>
            </w:pPr>
            <w:r w:rsidRPr="004143B7">
              <w:t xml:space="preserve">No inhalation studies in relation to </w:t>
            </w:r>
            <w:r>
              <w:t>carcinogenicity</w:t>
            </w:r>
          </w:p>
          <w:p w14:paraId="0B93FD71" w14:textId="607CBD94" w:rsidR="004143B7" w:rsidRPr="004143B7" w:rsidRDefault="004143B7" w:rsidP="003C617D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Reports that IARC found </w:t>
            </w:r>
            <w:r w:rsidRPr="004143B7">
              <w:t>dermal studies confounded by carcinogenic contaminants and a known carcinogen was utilis</w:t>
            </w:r>
            <w:r>
              <w:t>ed as the vehicle and</w:t>
            </w:r>
            <w:r w:rsidRPr="004143B7">
              <w:t xml:space="preserve"> oral gavage studies in rats and male mice judged inadequate</w:t>
            </w:r>
            <w:r>
              <w:t>; but concluded there was sufficient evidence for the carcinogenicity of VCH in animals</w:t>
            </w:r>
            <w:r w:rsidR="003A6B3E">
              <w:t>.</w:t>
            </w:r>
          </w:p>
          <w:p w14:paraId="5E67F446" w14:textId="43517DEC" w:rsidR="004143B7" w:rsidRDefault="009A5738" w:rsidP="009A5738">
            <w:pPr>
              <w:pStyle w:val="Tabletextprimarysource"/>
            </w:pPr>
            <w:r>
              <w:t>Genotoxicity</w:t>
            </w:r>
          </w:p>
          <w:p w14:paraId="004EBB3E" w14:textId="17EE0C96" w:rsidR="009A5738" w:rsidRDefault="009A5738" w:rsidP="003C617D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VCH not mutagenic in </w:t>
            </w:r>
            <w:r w:rsidR="005D77E3" w:rsidRPr="005D77E3">
              <w:rPr>
                <w:i/>
                <w:iCs/>
              </w:rPr>
              <w:t>S.</w:t>
            </w:r>
            <w:r w:rsidRPr="005D77E3">
              <w:rPr>
                <w:i/>
                <w:iCs/>
              </w:rPr>
              <w:t xml:space="preserve"> typhimurium</w:t>
            </w:r>
            <w:r>
              <w:t xml:space="preserve"> TA100, TA1535, TA1537, or TA98, either </w:t>
            </w:r>
            <w:r w:rsidR="008B6AA0">
              <w:t>in the presence or absence of a</w:t>
            </w:r>
            <w:r>
              <w:t xml:space="preserve"> metabolic activating system</w:t>
            </w:r>
          </w:p>
          <w:p w14:paraId="6C4678D8" w14:textId="3B6D98B2" w:rsidR="009A5738" w:rsidRDefault="009A5738" w:rsidP="003C617D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In one study </w:t>
            </w:r>
            <w:r w:rsidRPr="009A5738">
              <w:rPr>
                <w:i/>
              </w:rPr>
              <w:t>S. typhimurium</w:t>
            </w:r>
            <w:r>
              <w:t>, only VCH-</w:t>
            </w:r>
            <w:proofErr w:type="spellStart"/>
            <w:r>
              <w:t>diepoxide</w:t>
            </w:r>
            <w:proofErr w:type="spellEnd"/>
            <w:r>
              <w:t xml:space="preserve"> showed mutagenic response; expanded studies with </w:t>
            </w:r>
            <w:r w:rsidRPr="009A5738">
              <w:rPr>
                <w:i/>
              </w:rPr>
              <w:t>S. typhimurium</w:t>
            </w:r>
            <w:r>
              <w:t xml:space="preserve"> tester strains TA100, TA1535, TA98, or TA1537; a positive response observed only in TA100 or TA1535</w:t>
            </w:r>
          </w:p>
          <w:p w14:paraId="4ACD6C31" w14:textId="4F9038F3" w:rsidR="008B6AA0" w:rsidRDefault="008B6AA0" w:rsidP="003C617D">
            <w:pPr>
              <w:pStyle w:val="ListBullet"/>
              <w:spacing w:before="60" w:after="60"/>
              <w:ind w:left="717"/>
              <w:contextualSpacing w:val="0"/>
            </w:pPr>
            <w:r>
              <w:t>In point mutation studies with V79 cells, a significant increase in mutation frequency observed only with VCH-</w:t>
            </w:r>
            <w:proofErr w:type="spellStart"/>
            <w:r>
              <w:t>diepoxide</w:t>
            </w:r>
            <w:proofErr w:type="spellEnd"/>
            <w:r w:rsidR="003A6B3E">
              <w:t>.</w:t>
            </w:r>
          </w:p>
          <w:p w14:paraId="16516860" w14:textId="77777777" w:rsidR="003C617D" w:rsidRDefault="003C617D" w:rsidP="008B6AA0">
            <w:pPr>
              <w:pStyle w:val="Tabletextprimarysource"/>
            </w:pPr>
          </w:p>
          <w:p w14:paraId="321B8688" w14:textId="77777777" w:rsidR="008B6AA0" w:rsidRDefault="008B6AA0" w:rsidP="008B6AA0">
            <w:pPr>
              <w:pStyle w:val="Tabletextprimarysource"/>
            </w:pPr>
            <w:r>
              <w:t>Insufficient evidence to recommend a skin or sensitiser notation of TLV-STEL.</w:t>
            </w:r>
          </w:p>
          <w:p w14:paraId="0CE4D35D" w14:textId="4C1DE65E" w:rsidR="003C617D" w:rsidRPr="00DA352E" w:rsidRDefault="003C617D" w:rsidP="008B6AA0">
            <w:pPr>
              <w:pStyle w:val="Tabletextprimarysource"/>
            </w:pPr>
          </w:p>
        </w:tc>
      </w:tr>
      <w:tr w:rsidR="00C978F0" w:rsidRPr="00DA352E" w14:paraId="174F8B79" w14:textId="77777777" w:rsidTr="004E34B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A5EDA8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F3E99">
                  <w:t>1997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F3E99">
                  <w:t>Not assigned</w:t>
                </w:r>
              </w:sdtContent>
            </w:sdt>
          </w:p>
        </w:tc>
      </w:tr>
      <w:tr w:rsidR="00C978F0" w:rsidRPr="00DA352E" w14:paraId="4433014F" w14:textId="77777777" w:rsidTr="004E34BD">
        <w:trPr>
          <w:gridAfter w:val="1"/>
          <w:wAfter w:w="8" w:type="pct"/>
        </w:trPr>
        <w:tc>
          <w:tcPr>
            <w:tcW w:w="4992" w:type="pct"/>
          </w:tcPr>
          <w:p w14:paraId="697BCE97" w14:textId="77777777" w:rsidR="00C978F0" w:rsidRDefault="00DA4458" w:rsidP="003365A5">
            <w:pPr>
              <w:pStyle w:val="Tabletextprimarysource"/>
            </w:pPr>
            <w:r>
              <w:t>No MAK assigned due to potential carcinogenicity in animals</w:t>
            </w:r>
          </w:p>
          <w:p w14:paraId="1DE976DD" w14:textId="1B7F8A11" w:rsidR="00DA4458" w:rsidRDefault="00DA4458" w:rsidP="003365A5">
            <w:pPr>
              <w:pStyle w:val="Tabletextprimarysource"/>
            </w:pPr>
            <w:r>
              <w:t>Summary of additional data:</w:t>
            </w:r>
          </w:p>
          <w:p w14:paraId="6F683828" w14:textId="77777777" w:rsidR="00DA4458" w:rsidRDefault="00DA4458" w:rsidP="003C617D">
            <w:pPr>
              <w:pStyle w:val="ListBullet"/>
              <w:spacing w:before="60" w:after="60"/>
              <w:ind w:left="717"/>
              <w:contextualSpacing w:val="0"/>
            </w:pPr>
            <w:r>
              <w:t>No useful toxicological data in humans</w:t>
            </w:r>
          </w:p>
          <w:p w14:paraId="474C3831" w14:textId="0BA8CD86" w:rsidR="00DA4458" w:rsidRDefault="003A6B3E" w:rsidP="003C617D">
            <w:pPr>
              <w:pStyle w:val="ListBullet"/>
              <w:spacing w:before="60" w:after="60"/>
              <w:ind w:left="717"/>
              <w:contextualSpacing w:val="0"/>
            </w:pPr>
            <w:r>
              <w:lastRenderedPageBreak/>
              <w:t>C</w:t>
            </w:r>
            <w:r w:rsidR="00DA4458">
              <w:t>learly carcinogenic in the female mouse after chronic oral administration; in male mouse and the male and female rat the incidence of tumours at various locations was slightly, but significantly increased (Cited by ACGIH, 2018)</w:t>
            </w:r>
          </w:p>
          <w:p w14:paraId="4109716B" w14:textId="65E1578F" w:rsidR="00DA4458" w:rsidRDefault="00DA4458" w:rsidP="003C617D">
            <w:pPr>
              <w:pStyle w:val="ListBullet"/>
              <w:spacing w:before="60" w:after="60"/>
              <w:ind w:left="717"/>
              <w:contextualSpacing w:val="0"/>
            </w:pPr>
            <w:r>
              <w:t>Negative results in studies of genotoxic effects of VCH to date</w:t>
            </w:r>
          </w:p>
          <w:p w14:paraId="7900ABCC" w14:textId="6B50755E" w:rsidR="00DA4458" w:rsidRDefault="00DA4458">
            <w:pPr>
              <w:pStyle w:val="ListBullet"/>
              <w:spacing w:before="60" w:after="60"/>
              <w:ind w:left="717"/>
              <w:contextualSpacing w:val="0"/>
            </w:pPr>
            <w:r>
              <w:t>Metabolites (</w:t>
            </w:r>
            <w:proofErr w:type="spellStart"/>
            <w:r>
              <w:t>vinylcyclohexene</w:t>
            </w:r>
            <w:proofErr w:type="spellEnd"/>
            <w:r>
              <w:t xml:space="preserve"> monoepoxide and </w:t>
            </w:r>
            <w:proofErr w:type="spellStart"/>
            <w:r>
              <w:t>diepoxide</w:t>
            </w:r>
            <w:proofErr w:type="spellEnd"/>
            <w:r>
              <w:t>)</w:t>
            </w:r>
            <w:r w:rsidR="003A6B3E">
              <w:t xml:space="preserve"> </w:t>
            </w:r>
            <w:r>
              <w:t>found to be genotoxic; therefore</w:t>
            </w:r>
            <w:r w:rsidR="00F26A43">
              <w:t>,</w:t>
            </w:r>
            <w:r>
              <w:t xml:space="preserve"> genotoxic mechanism assumed </w:t>
            </w:r>
            <w:r w:rsidR="00F26A43">
              <w:t xml:space="preserve">by DFG </w:t>
            </w:r>
            <w:r>
              <w:t>for carcinogenic effects in animals</w:t>
            </w:r>
            <w:r w:rsidR="003A6B3E">
              <w:t>.</w:t>
            </w:r>
          </w:p>
          <w:p w14:paraId="61A64F09" w14:textId="4725321F" w:rsidR="003C617D" w:rsidRPr="00DA352E" w:rsidRDefault="003C617D" w:rsidP="003C617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4E34B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3BDDC3A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F3E9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F3E99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4E34BD">
        <w:trPr>
          <w:gridAfter w:val="1"/>
          <w:wAfter w:w="8" w:type="pct"/>
        </w:trPr>
        <w:tc>
          <w:tcPr>
            <w:tcW w:w="4992" w:type="pct"/>
          </w:tcPr>
          <w:p w14:paraId="153B53C1" w14:textId="0316E423" w:rsidR="00C978F0" w:rsidRPr="00DA352E" w:rsidRDefault="007F3E99" w:rsidP="003365A5">
            <w:pPr>
              <w:pStyle w:val="Tabletextprimarysource"/>
            </w:pPr>
            <w:r>
              <w:t>No report</w:t>
            </w:r>
            <w:r w:rsidR="003A6B3E">
              <w:t>.</w:t>
            </w:r>
          </w:p>
        </w:tc>
      </w:tr>
      <w:tr w:rsidR="00DA352E" w:rsidRPr="00DA352E" w14:paraId="12BAB90D" w14:textId="77777777" w:rsidTr="004E34B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6252346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F3E99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7F3E99" w:rsidRPr="007F3E99">
                  <w:t>TWA</w:t>
                </w:r>
                <w:r w:rsidR="007F3E99">
                  <w:t>: 1 ppm</w:t>
                </w:r>
              </w:sdtContent>
            </w:sdt>
          </w:p>
        </w:tc>
      </w:tr>
      <w:tr w:rsidR="00DA352E" w:rsidRPr="00DA352E" w14:paraId="33AAF4A6" w14:textId="77777777" w:rsidTr="004E34BD">
        <w:trPr>
          <w:gridAfter w:val="1"/>
          <w:wAfter w:w="8" w:type="pct"/>
        </w:trPr>
        <w:tc>
          <w:tcPr>
            <w:tcW w:w="4992" w:type="pct"/>
          </w:tcPr>
          <w:p w14:paraId="2059E4CB" w14:textId="203AB75B" w:rsidR="00DA352E" w:rsidRPr="00DA352E" w:rsidRDefault="00994E17" w:rsidP="003365A5">
            <w:pPr>
              <w:pStyle w:val="Tabletextprimarysource"/>
            </w:pPr>
            <w:r>
              <w:t>No report identified</w:t>
            </w:r>
            <w:r w:rsidR="003A6B3E">
              <w:t>.</w:t>
            </w:r>
          </w:p>
        </w:tc>
      </w:tr>
      <w:tr w:rsidR="00DA352E" w:rsidRPr="00DA352E" w14:paraId="605F758C" w14:textId="77777777" w:rsidTr="004E34B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6A809B8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F3E99" w:rsidRPr="007F3E99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F3E99">
                  <w:t xml:space="preserve"> Not assigned</w:t>
                </w:r>
              </w:sdtContent>
            </w:sdt>
          </w:p>
        </w:tc>
      </w:tr>
      <w:tr w:rsidR="00DA352E" w:rsidRPr="00DA352E" w14:paraId="7050CB3E" w14:textId="77777777" w:rsidTr="004E34BD">
        <w:trPr>
          <w:gridAfter w:val="1"/>
          <w:wAfter w:w="8" w:type="pct"/>
        </w:trPr>
        <w:tc>
          <w:tcPr>
            <w:tcW w:w="4992" w:type="pct"/>
          </w:tcPr>
          <w:p w14:paraId="56655107" w14:textId="06B23FA6" w:rsidR="00DA352E" w:rsidRDefault="002C75BB" w:rsidP="003365A5">
            <w:pPr>
              <w:pStyle w:val="Tabletextprimarysource"/>
            </w:pPr>
            <w:r>
              <w:t>Evaluation of data on carcinogenicity and genotoxicity for classification</w:t>
            </w:r>
            <w:r w:rsidR="003A6B3E">
              <w:t>.</w:t>
            </w:r>
          </w:p>
          <w:p w14:paraId="46C0C602" w14:textId="06E05E49" w:rsidR="002C75BB" w:rsidRDefault="002C75BB" w:rsidP="003365A5">
            <w:pPr>
              <w:pStyle w:val="Tabletextprimarysource"/>
            </w:pPr>
            <w:r>
              <w:t>Summary of additional data:</w:t>
            </w:r>
          </w:p>
          <w:p w14:paraId="1BD1CDE1" w14:textId="66D78B4D" w:rsidR="002C75BB" w:rsidRDefault="002C75BB" w:rsidP="003C61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data on genotoxicity and carcinogenicity of humans available</w:t>
            </w:r>
          </w:p>
          <w:p w14:paraId="0AA4C670" w14:textId="4A0D144C" w:rsidR="002C75BB" w:rsidRDefault="002C75BB" w:rsidP="003C61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carcinogenicity data available on inhalation exposure in animals</w:t>
            </w:r>
          </w:p>
          <w:p w14:paraId="72D0808C" w14:textId="3BA26411" w:rsidR="002B4BDF" w:rsidRDefault="002B4BDF" w:rsidP="003C61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Refers to oral study in rats and mice cited by ACGIH (2018) as carcinogenetic evidence</w:t>
            </w:r>
          </w:p>
          <w:p w14:paraId="669147FE" w14:textId="2CFCA79E" w:rsidR="002C75BB" w:rsidRDefault="002C75BB" w:rsidP="003C61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Metabolite 4-vinylcyclohexene </w:t>
            </w:r>
            <w:proofErr w:type="spellStart"/>
            <w:r>
              <w:t>diepoxide</w:t>
            </w:r>
            <w:proofErr w:type="spellEnd"/>
            <w:r>
              <w:t xml:space="preserve"> is genotoxic </w:t>
            </w:r>
            <w:r w:rsidR="003A6B3E">
              <w:t xml:space="preserve">and </w:t>
            </w:r>
            <w:r>
              <w:t>acts by a stochastic mechanism</w:t>
            </w:r>
            <w:r w:rsidR="003A6B3E">
              <w:t xml:space="preserve">; </w:t>
            </w:r>
            <w:r>
              <w:t xml:space="preserve">plausible that 4-vinylcyclohexene is genotoxic </w:t>
            </w:r>
          </w:p>
          <w:p w14:paraId="12BCE119" w14:textId="7906FF64" w:rsidR="002C75BB" w:rsidRDefault="003A6B3E" w:rsidP="003C61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</w:t>
            </w:r>
            <w:r w:rsidR="002C75BB">
              <w:t xml:space="preserve"> indication that observations in animals, and proposed carcinogenic mechanism would not occur in humans</w:t>
            </w:r>
          </w:p>
          <w:p w14:paraId="5D813276" w14:textId="7133720F" w:rsidR="002C75BB" w:rsidRDefault="00627FAF" w:rsidP="003C61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HCOTN r</w:t>
            </w:r>
            <w:r w:rsidR="002C75BB">
              <w:t xml:space="preserve">ecommends </w:t>
            </w:r>
            <w:r w:rsidR="003A6B3E">
              <w:t xml:space="preserve">VCH </w:t>
            </w:r>
            <w:r w:rsidR="002C75BB">
              <w:t>should be considered carcinogenic to humans and be considered a genotoxic agent that acts by a stochastic mechanism.</w:t>
            </w:r>
          </w:p>
          <w:p w14:paraId="492D7791" w14:textId="71EAF335" w:rsidR="003C617D" w:rsidRPr="00DA352E" w:rsidRDefault="003C617D" w:rsidP="003C617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3"/>
        <w:gridCol w:w="661"/>
        <w:gridCol w:w="6453"/>
      </w:tblGrid>
      <w:tr w:rsidR="004966BF" w:rsidRPr="00263255" w14:paraId="6AE89AB3" w14:textId="77777777" w:rsidTr="004E3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4E34BD">
        <w:trPr>
          <w:cantSplit/>
        </w:trPr>
        <w:tc>
          <w:tcPr>
            <w:tcW w:w="1489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37E2CDDE" w:rsidR="004966BF" w:rsidRPr="00CE617F" w:rsidRDefault="000A065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94E1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5F46ACE6" w:rsidR="004966BF" w:rsidRPr="004C23F4" w:rsidRDefault="00994E1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3" w:type="dxa"/>
          </w:tcPr>
          <w:p w14:paraId="135F2FDC" w14:textId="27C0A234" w:rsidR="00994E17" w:rsidRPr="00994E17" w:rsidRDefault="00994E17" w:rsidP="003C617D">
            <w:pPr>
              <w:pStyle w:val="ListBullet"/>
              <w:spacing w:before="60" w:after="60"/>
              <w:ind w:left="717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Based on evidence in rats and mice</w:t>
            </w:r>
            <w:r w:rsidR="003A6B3E">
              <w:rPr>
                <w:rStyle w:val="checkbox"/>
                <w:rFonts w:ascii="Arial" w:hAnsi="Arial" w:cs="Arial"/>
              </w:rPr>
              <w:t xml:space="preserve">, </w:t>
            </w:r>
            <w:r>
              <w:rPr>
                <w:rFonts w:cs="Arial"/>
                <w:color w:val="262626"/>
              </w:rPr>
              <w:t xml:space="preserve">considered carcinogenic, warranting hazard classification </w:t>
            </w:r>
          </w:p>
          <w:p w14:paraId="0076C2F1" w14:textId="71FC5468" w:rsidR="004966BF" w:rsidRPr="004C23F4" w:rsidRDefault="003A6B3E" w:rsidP="003C617D">
            <w:pPr>
              <w:pStyle w:val="ListBullet"/>
              <w:spacing w:before="60" w:after="60"/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>N</w:t>
            </w:r>
            <w:r w:rsidR="00994E17">
              <w:rPr>
                <w:rFonts w:cs="Arial"/>
                <w:color w:val="262626"/>
              </w:rPr>
              <w:t>on-genotoxic mode of action proposed for ovarian carcinogenicity and is considered relevant to human</w:t>
            </w:r>
            <w:r>
              <w:rPr>
                <w:rFonts w:cs="Arial"/>
                <w:color w:val="262626"/>
              </w:rPr>
              <w:t xml:space="preserve">s. </w:t>
            </w:r>
          </w:p>
        </w:tc>
      </w:tr>
      <w:tr w:rsidR="004966BF" w:rsidRPr="004C23F4" w14:paraId="04FEEADE" w14:textId="77777777" w:rsidTr="004E34BD">
        <w:trPr>
          <w:cantSplit/>
        </w:trPr>
        <w:tc>
          <w:tcPr>
            <w:tcW w:w="1489" w:type="dxa"/>
          </w:tcPr>
          <w:p w14:paraId="0AEF458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184BEF97" w14:textId="14246D95" w:rsidR="004966BF" w:rsidRPr="00CE617F" w:rsidRDefault="000A065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94E1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3344A1" w14:textId="2CFB41B8" w:rsidR="004966BF" w:rsidRPr="004C23F4" w:rsidRDefault="00994E1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3" w:type="dxa"/>
          </w:tcPr>
          <w:p w14:paraId="2DDCA6FC" w14:textId="5F99EDC1" w:rsidR="004966BF" w:rsidRPr="004C23F4" w:rsidRDefault="00994E17" w:rsidP="003C617D">
            <w:pPr>
              <w:pStyle w:val="ListBullet"/>
              <w:spacing w:before="60" w:after="60"/>
              <w:ind w:left="717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Fonts w:cs="Arial"/>
                <w:color w:val="262626"/>
              </w:rPr>
              <w:t>Possibly carcinogenic to humans (Group 2B), based on inadequate evidence for carcinogenicity in humans, but sufficient evidence for carcinogenicity in animals</w:t>
            </w:r>
            <w:r w:rsidR="003A6B3E">
              <w:rPr>
                <w:rFonts w:cs="Arial"/>
                <w:color w:val="262626"/>
              </w:rPr>
              <w:t>.</w:t>
            </w:r>
          </w:p>
        </w:tc>
      </w:tr>
    </w:tbl>
    <w:bookmarkEnd w:id="1"/>
    <w:p w14:paraId="04408E29" w14:textId="77777777" w:rsidR="007E2A4B" w:rsidRDefault="007E2A4B" w:rsidP="003C617D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994E17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3C617D">
            <w:pPr>
              <w:pStyle w:val="Tablefont"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31ED0507" w:rsidR="002E0D61" w:rsidRDefault="00994E17" w:rsidP="003C617D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994E17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3C617D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2C791554" w:rsidR="008A36CF" w:rsidRDefault="00994E17" w:rsidP="003C617D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3C617D" w14:paraId="4D6DDFA3" w14:textId="77777777" w:rsidTr="00CD7868">
        <w:trPr>
          <w:trHeight w:val="454"/>
        </w:trPr>
        <w:sdt>
          <w:sdtPr>
            <w:rPr>
              <w:b/>
            </w:rPr>
            <w:id w:val="1830936485"/>
            <w:placeholder>
              <w:docPart w:val="206974FE64014C0BADBA716D551EC8C9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59599085" w:rsidR="003C617D" w:rsidRDefault="003C617D" w:rsidP="003C617D">
                <w:pPr>
                  <w:pStyle w:val="Tablefont"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2"/>
    <w:p w14:paraId="3F27FA04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4E3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4E34BD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5C0484BA" w:rsidR="00687890" w:rsidRPr="00DD2F9B" w:rsidRDefault="004B5C28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A0C13EF" w14:textId="77777777" w:rsidTr="004E34BD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5A71494" w:rsidR="007925F0" w:rsidRPr="00DD2F9B" w:rsidRDefault="007F3E99" w:rsidP="00DD2F9B">
            <w:pPr>
              <w:pStyle w:val="Tablefont"/>
            </w:pPr>
            <w:r w:rsidRPr="007F3E99">
              <w:t>Carcinogenicity – category 2</w:t>
            </w:r>
          </w:p>
        </w:tc>
      </w:tr>
      <w:tr w:rsidR="00AF483F" w:rsidRPr="004C23F4" w14:paraId="4C1044B3" w14:textId="77777777" w:rsidTr="004E34BD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78E02786" w:rsidR="00AF483F" w:rsidRPr="00DD2F9B" w:rsidRDefault="007F3E9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4E34BD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2EFFEA5A" w:rsidR="00687890" w:rsidRPr="00DD2F9B" w:rsidRDefault="007F3E9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4E34BD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3CC7C58E" w:rsidR="00E41A26" w:rsidRPr="00DD2F9B" w:rsidRDefault="007F3E9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4E34BD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09A8BD0D" w:rsidR="002E0D61" w:rsidRPr="00DD2F9B" w:rsidRDefault="007F3E99" w:rsidP="00DD2F9B">
            <w:pPr>
              <w:pStyle w:val="Tablefont"/>
            </w:pPr>
            <w:r w:rsidRPr="007F3E99">
              <w:t>Carcinogenicity – A3</w:t>
            </w:r>
          </w:p>
        </w:tc>
      </w:tr>
      <w:tr w:rsidR="002E0D61" w:rsidRPr="004C23F4" w14:paraId="43FA3590" w14:textId="77777777" w:rsidTr="004E34BD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1FE10766" w:rsidR="002E0D61" w:rsidRPr="00DD2F9B" w:rsidRDefault="007F3E99" w:rsidP="00DD2F9B">
            <w:pPr>
              <w:pStyle w:val="Tablefont"/>
            </w:pPr>
            <w:r w:rsidRPr="007F3E99">
              <w:t>Carcinogenicity – 2</w:t>
            </w:r>
          </w:p>
        </w:tc>
      </w:tr>
      <w:tr w:rsidR="002E0D61" w:rsidRPr="004C23F4" w14:paraId="2AC7B866" w14:textId="77777777" w:rsidTr="004E34BD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47E90605" w:rsidR="002E0D61" w:rsidRPr="00DD2F9B" w:rsidRDefault="007F5CC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4E34BD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7E3CE55A" w:rsidR="002E0D61" w:rsidRPr="00DD2F9B" w:rsidRDefault="007F5CCD" w:rsidP="00DD2F9B">
            <w:pPr>
              <w:pStyle w:val="Tablefont"/>
            </w:pPr>
            <w:r w:rsidRPr="007F5CCD">
              <w:t>Carcinogenicity – category 2</w:t>
            </w:r>
          </w:p>
        </w:tc>
      </w:tr>
      <w:tr w:rsidR="00386093" w:rsidRPr="004C23F4" w14:paraId="5F6A6A8E" w14:textId="77777777" w:rsidTr="004E34BD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5C98E482" w:rsidR="00386093" w:rsidRPr="00DD2F9B" w:rsidRDefault="007F5CCD" w:rsidP="00DD2F9B">
            <w:pPr>
              <w:pStyle w:val="Tablefont"/>
            </w:pPr>
            <w:r w:rsidRPr="007F5CCD">
              <w:t>Carcinogenicity – Group 2B</w:t>
            </w:r>
          </w:p>
        </w:tc>
      </w:tr>
      <w:tr w:rsidR="00386093" w:rsidRPr="004C23F4" w14:paraId="7461DB0E" w14:textId="77777777" w:rsidTr="004E34BD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7530EC3C" w:rsidR="00386093" w:rsidRPr="00DD2F9B" w:rsidRDefault="007F5CC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4061A53E" w:rsidR="00932DCE" w:rsidRPr="00994E17" w:rsidRDefault="00994E17" w:rsidP="00994E17">
            <w:pPr>
              <w:rPr>
                <w:rFonts w:cs="Arial"/>
              </w:rPr>
            </w:pPr>
            <w:r w:rsidRPr="00994E17">
              <w:rPr>
                <w:rFonts w:cs="Arial"/>
              </w:rPr>
              <w:t>Insufficient evidence to recommend a skin notation.</w:t>
            </w:r>
          </w:p>
        </w:tc>
      </w:tr>
    </w:tbl>
    <w:bookmarkEnd w:id="4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439EA9D" w:rsidR="00EB3D1B" w:rsidRDefault="007F5CC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1D158241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7806D2BD" w:rsidR="001B79E5" w:rsidRDefault="007F5CCD" w:rsidP="001B79E5">
                <w:pPr>
                  <w:pStyle w:val="Tablefont"/>
                </w:pPr>
                <w:r w:rsidRPr="007F5CCD">
                  <w:t>108.18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46BFE7A6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F5CCD">
                  <w:t>4.42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r w:rsidR="007F5CCD">
              <w:t xml:space="preserve">0.23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0A065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1089CC5A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>. Reprinted with permission. See the on the ACGIH website.</w:t>
      </w:r>
    </w:p>
    <w:p w14:paraId="32246C00" w14:textId="49CBCC31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7F5CCD">
        <w:t>2</w:t>
      </w:r>
      <w:r w:rsidR="006479E9">
        <w:t>000</w:t>
      </w:r>
      <w:r>
        <w:t xml:space="preserve">) </w:t>
      </w:r>
      <w:sdt>
        <w:sdtPr>
          <w:id w:val="403345837"/>
          <w:placeholder>
            <w:docPart w:val="58AB8EB8E0694D709F78DDDDFF8053AF"/>
          </w:placeholder>
          <w:temporary/>
        </w:sdtPr>
        <w:sdtEndPr/>
        <w:sdtContent>
          <w:r w:rsidR="006479E9" w:rsidRPr="006479E9">
            <w:t>4-Vinylcyclohexene</w:t>
          </w:r>
        </w:sdtContent>
      </w:sdt>
      <w:r>
        <w:t xml:space="preserve"> – MAK value documentation.</w:t>
      </w:r>
    </w:p>
    <w:p w14:paraId="68182532" w14:textId="77777777" w:rsidR="00994E17" w:rsidRPr="00351FE0" w:rsidRDefault="00994E17" w:rsidP="00994E17">
      <w:r>
        <w:t xml:space="preserve">European Chemicals Agency (ECHA) (2019) </w:t>
      </w:r>
      <w:r w:rsidRPr="006479E9">
        <w:t>4-Vinyl Cyclohexene</w:t>
      </w:r>
      <w:r>
        <w:t xml:space="preserve"> – REACH assessment.</w:t>
      </w:r>
    </w:p>
    <w:p w14:paraId="28EAA9C1" w14:textId="7EE92B19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6479E9" w:rsidRPr="006479E9">
        <w:t>2008</w:t>
      </w:r>
      <w:r>
        <w:t xml:space="preserve">) </w:t>
      </w:r>
      <w:r w:rsidR="006479E9" w:rsidRPr="006479E9">
        <w:t>4-Vinylcyclohexene</w:t>
      </w:r>
      <w:r w:rsidRPr="005F7416">
        <w:t xml:space="preserve">. Health-based calculated occupational cancer risk values. The Hague: Health Council of the Netherlands; publication no. </w:t>
      </w:r>
      <w:r w:rsidR="006479E9" w:rsidRPr="006479E9">
        <w:t>2008/04OSH</w:t>
      </w:r>
      <w:r>
        <w:t>.</w:t>
      </w:r>
    </w:p>
    <w:p w14:paraId="4D7F094F" w14:textId="3C7A7194" w:rsidR="008E4F1F" w:rsidRDefault="008E4F1F" w:rsidP="008E4F1F">
      <w:r w:rsidRPr="002022B6">
        <w:t>International Agency for Research on Cancer</w:t>
      </w:r>
      <w:r>
        <w:t xml:space="preserve"> (IARC) (</w:t>
      </w:r>
      <w:r w:rsidR="006479E9" w:rsidRPr="006479E9">
        <w:t>1994</w:t>
      </w:r>
      <w:r>
        <w:t xml:space="preserve">) </w:t>
      </w:r>
      <w:r w:rsidR="006479E9" w:rsidRPr="006479E9">
        <w:t>4-Vinylcyclohexene</w:t>
      </w:r>
      <w:r>
        <w:t>. IARC Monographs on the evaluation of the carcinogenic risk to humans.</w:t>
      </w:r>
    </w:p>
    <w:p w14:paraId="40640F5C" w14:textId="7CF1367B" w:rsidR="00994E17" w:rsidRDefault="00994E17" w:rsidP="008E4F1F">
      <w:pPr>
        <w:rPr>
          <w:b/>
        </w:rPr>
      </w:pPr>
      <w:r>
        <w:t xml:space="preserve">NICNAS (2016) </w:t>
      </w:r>
      <w:r w:rsidRPr="00994E17">
        <w:t>Cyclohexene, 4-ethenyl-: Human health tier II assessment</w:t>
      </w:r>
      <w:r w:rsidR="003A6B3E">
        <w:t>.</w:t>
      </w:r>
    </w:p>
    <w:p w14:paraId="5B1E7FDE" w14:textId="77777777" w:rsidR="00994E17" w:rsidRPr="00351FE0" w:rsidRDefault="00994E17"/>
    <w:sectPr w:rsidR="00994E17" w:rsidRPr="00351FE0" w:rsidSect="00B87D4C">
      <w:headerReference w:type="default" r:id="rId13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A7BB2" w14:textId="77777777" w:rsidR="00873929" w:rsidRDefault="00873929" w:rsidP="00F43AD5">
      <w:pPr>
        <w:spacing w:after="0" w:line="240" w:lineRule="auto"/>
      </w:pPr>
      <w:r>
        <w:separator/>
      </w:r>
    </w:p>
  </w:endnote>
  <w:endnote w:type="continuationSeparator" w:id="0">
    <w:p w14:paraId="53F18CAB" w14:textId="77777777" w:rsidR="00873929" w:rsidRDefault="0087392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619E8436" w:rsidR="008A36CF" w:rsidRDefault="009E7587" w:rsidP="0034744C">
        <w:pPr>
          <w:pStyle w:val="Footer"/>
          <w:rPr>
            <w:sz w:val="18"/>
            <w:szCs w:val="18"/>
          </w:rPr>
        </w:pPr>
        <w:r w:rsidRPr="009E7587">
          <w:rPr>
            <w:b/>
            <w:sz w:val="18"/>
            <w:szCs w:val="18"/>
          </w:rPr>
          <w:t>4-Vinyl Cyclohexene</w:t>
        </w:r>
        <w:r w:rsidR="008A36CF">
          <w:rPr>
            <w:b/>
            <w:sz w:val="18"/>
            <w:szCs w:val="18"/>
          </w:rPr>
          <w:t xml:space="preserve"> (</w:t>
        </w:r>
        <w:r w:rsidRPr="009E7587">
          <w:rPr>
            <w:b/>
            <w:sz w:val="18"/>
            <w:szCs w:val="18"/>
          </w:rPr>
          <w:t>100-40-3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861863">
          <w:rPr>
            <w:sz w:val="18"/>
            <w:szCs w:val="18"/>
          </w:rPr>
          <w:t>20</w:t>
        </w:r>
      </w:p>
      <w:p w14:paraId="2D517F5E" w14:textId="5DD61C8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33AC4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9EDA4" w14:textId="77777777" w:rsidR="00873929" w:rsidRDefault="00873929" w:rsidP="00F43AD5">
      <w:pPr>
        <w:spacing w:after="0" w:line="240" w:lineRule="auto"/>
      </w:pPr>
      <w:r>
        <w:separator/>
      </w:r>
    </w:p>
  </w:footnote>
  <w:footnote w:type="continuationSeparator" w:id="0">
    <w:p w14:paraId="0A7800AD" w14:textId="77777777" w:rsidR="00873929" w:rsidRDefault="0087392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2059D" w14:textId="059CF5A2" w:rsidR="004E34BD" w:rsidRDefault="004E34BD" w:rsidP="004E34BD">
    <w:pPr>
      <w:pStyle w:val="Header"/>
      <w:jc w:val="right"/>
    </w:pPr>
    <w:r>
      <w:rPr>
        <w:noProof/>
        <w:lang w:eastAsia="en-AU"/>
      </w:rPr>
      <w:drawing>
        <wp:inline distT="0" distB="0" distL="0" distR="0" wp14:anchorId="5CCE7602" wp14:editId="42F52B1D">
          <wp:extent cx="2932430" cy="598805"/>
          <wp:effectExtent l="0" t="0" r="127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EE3E8A" w14:textId="77777777" w:rsidR="004E34BD" w:rsidRDefault="004E34BD" w:rsidP="004E34BD">
    <w:pPr>
      <w:pStyle w:val="Header"/>
    </w:pPr>
  </w:p>
  <w:p w14:paraId="4DAA8792" w14:textId="6436EC1F" w:rsidR="008A36CF" w:rsidRPr="004E34BD" w:rsidRDefault="008A36CF" w:rsidP="004E34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7C8F0" w14:textId="7613B729" w:rsidR="004E34BD" w:rsidRDefault="004E34BD" w:rsidP="004E34BD">
    <w:pPr>
      <w:pStyle w:val="Header"/>
      <w:jc w:val="right"/>
    </w:pPr>
    <w:r>
      <w:rPr>
        <w:noProof/>
        <w:lang w:eastAsia="en-AU"/>
      </w:rPr>
      <w:drawing>
        <wp:inline distT="0" distB="0" distL="0" distR="0" wp14:anchorId="3E8CEFC9" wp14:editId="6C9BEABF">
          <wp:extent cx="2932430" cy="598805"/>
          <wp:effectExtent l="0" t="0" r="127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446DA3" w14:textId="77777777" w:rsidR="004E34BD" w:rsidRDefault="004E34BD" w:rsidP="004E34BD">
    <w:pPr>
      <w:pStyle w:val="Header"/>
    </w:pPr>
  </w:p>
  <w:p w14:paraId="71F09FB4" w14:textId="1574ACB1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DCAA3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2281C54"/>
    <w:multiLevelType w:val="hybridMultilevel"/>
    <w:tmpl w:val="E3DE72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045C66"/>
    <w:multiLevelType w:val="hybridMultilevel"/>
    <w:tmpl w:val="0F0242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0C03C3"/>
    <w:multiLevelType w:val="hybridMultilevel"/>
    <w:tmpl w:val="E8E895BC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2CC00D8C"/>
    <w:multiLevelType w:val="hybridMultilevel"/>
    <w:tmpl w:val="CF8811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DAD3960"/>
    <w:multiLevelType w:val="hybridMultilevel"/>
    <w:tmpl w:val="4C1AD60E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E076F54"/>
    <w:multiLevelType w:val="hybridMultilevel"/>
    <w:tmpl w:val="6DCED6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9866089">
    <w:abstractNumId w:val="0"/>
  </w:num>
  <w:num w:numId="2" w16cid:durableId="2083407003">
    <w:abstractNumId w:val="6"/>
  </w:num>
  <w:num w:numId="3" w16cid:durableId="950862323">
    <w:abstractNumId w:val="1"/>
  </w:num>
  <w:num w:numId="4" w16cid:durableId="1643778007">
    <w:abstractNumId w:val="4"/>
  </w:num>
  <w:num w:numId="5" w16cid:durableId="508370285">
    <w:abstractNumId w:val="2"/>
  </w:num>
  <w:num w:numId="6" w16cid:durableId="1357341384">
    <w:abstractNumId w:val="5"/>
  </w:num>
  <w:num w:numId="7" w16cid:durableId="719979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2E2"/>
    <w:rsid w:val="00007B80"/>
    <w:rsid w:val="00013A22"/>
    <w:rsid w:val="00014C3F"/>
    <w:rsid w:val="00017C82"/>
    <w:rsid w:val="00032B88"/>
    <w:rsid w:val="00037E52"/>
    <w:rsid w:val="00041B25"/>
    <w:rsid w:val="00046DF5"/>
    <w:rsid w:val="00052060"/>
    <w:rsid w:val="00052F75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065E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1645E"/>
    <w:rsid w:val="001269A7"/>
    <w:rsid w:val="00130200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83A0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5B4"/>
    <w:rsid w:val="001F6ED0"/>
    <w:rsid w:val="001F72E6"/>
    <w:rsid w:val="001F73C5"/>
    <w:rsid w:val="001F7B10"/>
    <w:rsid w:val="002046A6"/>
    <w:rsid w:val="00204956"/>
    <w:rsid w:val="00213394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B4BDF"/>
    <w:rsid w:val="002C34F2"/>
    <w:rsid w:val="002C58FF"/>
    <w:rsid w:val="002C75BB"/>
    <w:rsid w:val="002C7AFE"/>
    <w:rsid w:val="002D05D2"/>
    <w:rsid w:val="002E0D61"/>
    <w:rsid w:val="002E4C7B"/>
    <w:rsid w:val="002E67DE"/>
    <w:rsid w:val="002E7AB7"/>
    <w:rsid w:val="0030642D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481B"/>
    <w:rsid w:val="003567A8"/>
    <w:rsid w:val="00362895"/>
    <w:rsid w:val="00370DBF"/>
    <w:rsid w:val="00386093"/>
    <w:rsid w:val="003904A4"/>
    <w:rsid w:val="00391841"/>
    <w:rsid w:val="00391B6D"/>
    <w:rsid w:val="00392393"/>
    <w:rsid w:val="00394922"/>
    <w:rsid w:val="003A0E32"/>
    <w:rsid w:val="003A2B94"/>
    <w:rsid w:val="003A6B3E"/>
    <w:rsid w:val="003B387D"/>
    <w:rsid w:val="003C0D58"/>
    <w:rsid w:val="003C617D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43B7"/>
    <w:rsid w:val="00417A56"/>
    <w:rsid w:val="00420957"/>
    <w:rsid w:val="00422A10"/>
    <w:rsid w:val="00430179"/>
    <w:rsid w:val="00437CD1"/>
    <w:rsid w:val="004414B5"/>
    <w:rsid w:val="00444482"/>
    <w:rsid w:val="00444B42"/>
    <w:rsid w:val="00445E44"/>
    <w:rsid w:val="004509E2"/>
    <w:rsid w:val="004515EE"/>
    <w:rsid w:val="004529F0"/>
    <w:rsid w:val="00455DCF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5C28"/>
    <w:rsid w:val="004C1E3F"/>
    <w:rsid w:val="004C23F4"/>
    <w:rsid w:val="004C3475"/>
    <w:rsid w:val="004C58B6"/>
    <w:rsid w:val="004C7C2D"/>
    <w:rsid w:val="004D16A3"/>
    <w:rsid w:val="004D4AA1"/>
    <w:rsid w:val="004D6D68"/>
    <w:rsid w:val="004D79E0"/>
    <w:rsid w:val="004E34BD"/>
    <w:rsid w:val="004E5EDD"/>
    <w:rsid w:val="004F448A"/>
    <w:rsid w:val="004F493D"/>
    <w:rsid w:val="004F65E8"/>
    <w:rsid w:val="0050005E"/>
    <w:rsid w:val="005016D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4E92"/>
    <w:rsid w:val="00551BD8"/>
    <w:rsid w:val="00577225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77E3"/>
    <w:rsid w:val="005E6979"/>
    <w:rsid w:val="005E75CB"/>
    <w:rsid w:val="006013C1"/>
    <w:rsid w:val="0060669E"/>
    <w:rsid w:val="00610F2E"/>
    <w:rsid w:val="00611399"/>
    <w:rsid w:val="00624C4E"/>
    <w:rsid w:val="00625200"/>
    <w:rsid w:val="00627FAF"/>
    <w:rsid w:val="006363A8"/>
    <w:rsid w:val="00636DB7"/>
    <w:rsid w:val="006479E9"/>
    <w:rsid w:val="00650905"/>
    <w:rsid w:val="006532ED"/>
    <w:rsid w:val="00654344"/>
    <w:rsid w:val="006549F2"/>
    <w:rsid w:val="006567B7"/>
    <w:rsid w:val="00657BFB"/>
    <w:rsid w:val="0066333C"/>
    <w:rsid w:val="006639B4"/>
    <w:rsid w:val="006650FE"/>
    <w:rsid w:val="00666E83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1610"/>
    <w:rsid w:val="00752236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4471"/>
    <w:rsid w:val="007B1B42"/>
    <w:rsid w:val="007C30EB"/>
    <w:rsid w:val="007E063C"/>
    <w:rsid w:val="007E2A4B"/>
    <w:rsid w:val="007E307D"/>
    <w:rsid w:val="007E5082"/>
    <w:rsid w:val="007E6A4E"/>
    <w:rsid w:val="007E6C94"/>
    <w:rsid w:val="007F1005"/>
    <w:rsid w:val="007F25E0"/>
    <w:rsid w:val="007F3E99"/>
    <w:rsid w:val="007F5328"/>
    <w:rsid w:val="007F5CCD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54D6"/>
    <w:rsid w:val="00857A8A"/>
    <w:rsid w:val="00861863"/>
    <w:rsid w:val="008630EE"/>
    <w:rsid w:val="00863C91"/>
    <w:rsid w:val="00864D13"/>
    <w:rsid w:val="00871CD5"/>
    <w:rsid w:val="00873929"/>
    <w:rsid w:val="008745A2"/>
    <w:rsid w:val="008768A8"/>
    <w:rsid w:val="00880B52"/>
    <w:rsid w:val="00880DDC"/>
    <w:rsid w:val="0088798F"/>
    <w:rsid w:val="00887E4B"/>
    <w:rsid w:val="008915C8"/>
    <w:rsid w:val="008A3595"/>
    <w:rsid w:val="008A36CF"/>
    <w:rsid w:val="008A3BC4"/>
    <w:rsid w:val="008A4870"/>
    <w:rsid w:val="008A54FC"/>
    <w:rsid w:val="008B403C"/>
    <w:rsid w:val="008B6AA0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8F660C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5928"/>
    <w:rsid w:val="00946044"/>
    <w:rsid w:val="0094660B"/>
    <w:rsid w:val="00946A33"/>
    <w:rsid w:val="0095260E"/>
    <w:rsid w:val="009578DD"/>
    <w:rsid w:val="00961124"/>
    <w:rsid w:val="00961EF6"/>
    <w:rsid w:val="009621B6"/>
    <w:rsid w:val="0096386B"/>
    <w:rsid w:val="00974F2D"/>
    <w:rsid w:val="00977524"/>
    <w:rsid w:val="00977E88"/>
    <w:rsid w:val="00984920"/>
    <w:rsid w:val="0099303A"/>
    <w:rsid w:val="00994E17"/>
    <w:rsid w:val="009971C2"/>
    <w:rsid w:val="009A1254"/>
    <w:rsid w:val="009A5738"/>
    <w:rsid w:val="009B2FF2"/>
    <w:rsid w:val="009B380C"/>
    <w:rsid w:val="009B4843"/>
    <w:rsid w:val="009B583A"/>
    <w:rsid w:val="009B6543"/>
    <w:rsid w:val="009C199D"/>
    <w:rsid w:val="009C278F"/>
    <w:rsid w:val="009C2B94"/>
    <w:rsid w:val="009C5874"/>
    <w:rsid w:val="009D3B5A"/>
    <w:rsid w:val="009E08C1"/>
    <w:rsid w:val="009E0C05"/>
    <w:rsid w:val="009E0D1C"/>
    <w:rsid w:val="009E2214"/>
    <w:rsid w:val="009E355A"/>
    <w:rsid w:val="009E63E2"/>
    <w:rsid w:val="009E7587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2807"/>
    <w:rsid w:val="00AB2672"/>
    <w:rsid w:val="00AB2817"/>
    <w:rsid w:val="00AB43C4"/>
    <w:rsid w:val="00AC32E7"/>
    <w:rsid w:val="00AC3A9F"/>
    <w:rsid w:val="00AC6D2F"/>
    <w:rsid w:val="00AE2745"/>
    <w:rsid w:val="00AE2F64"/>
    <w:rsid w:val="00AE55E3"/>
    <w:rsid w:val="00AF42CB"/>
    <w:rsid w:val="00AF483F"/>
    <w:rsid w:val="00AF5E07"/>
    <w:rsid w:val="00AF5F06"/>
    <w:rsid w:val="00B00A25"/>
    <w:rsid w:val="00B1271A"/>
    <w:rsid w:val="00B1422A"/>
    <w:rsid w:val="00B1740B"/>
    <w:rsid w:val="00B1765C"/>
    <w:rsid w:val="00B213C4"/>
    <w:rsid w:val="00B40C60"/>
    <w:rsid w:val="00B479A9"/>
    <w:rsid w:val="00B52EDF"/>
    <w:rsid w:val="00B71188"/>
    <w:rsid w:val="00B76A41"/>
    <w:rsid w:val="00B81B32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289D"/>
    <w:rsid w:val="00BF2406"/>
    <w:rsid w:val="00C06E43"/>
    <w:rsid w:val="00C16315"/>
    <w:rsid w:val="00C3091E"/>
    <w:rsid w:val="00C40FF1"/>
    <w:rsid w:val="00C419E2"/>
    <w:rsid w:val="00C45BD8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327B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0747"/>
    <w:rsid w:val="00D31357"/>
    <w:rsid w:val="00D33220"/>
    <w:rsid w:val="00D334D1"/>
    <w:rsid w:val="00D44C89"/>
    <w:rsid w:val="00D516CD"/>
    <w:rsid w:val="00D63C61"/>
    <w:rsid w:val="00D659DA"/>
    <w:rsid w:val="00D668E6"/>
    <w:rsid w:val="00D70670"/>
    <w:rsid w:val="00D74D80"/>
    <w:rsid w:val="00D76624"/>
    <w:rsid w:val="00D77CF7"/>
    <w:rsid w:val="00D87570"/>
    <w:rsid w:val="00D91CB9"/>
    <w:rsid w:val="00D97989"/>
    <w:rsid w:val="00D97D8D"/>
    <w:rsid w:val="00DA2F50"/>
    <w:rsid w:val="00DA352E"/>
    <w:rsid w:val="00DA3622"/>
    <w:rsid w:val="00DA4458"/>
    <w:rsid w:val="00DC7694"/>
    <w:rsid w:val="00DD0272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3AC4"/>
    <w:rsid w:val="00E34D9B"/>
    <w:rsid w:val="00E37CFD"/>
    <w:rsid w:val="00E41A26"/>
    <w:rsid w:val="00E46BCB"/>
    <w:rsid w:val="00E51CAF"/>
    <w:rsid w:val="00E55C3B"/>
    <w:rsid w:val="00E6030E"/>
    <w:rsid w:val="00E60F04"/>
    <w:rsid w:val="00E62AAC"/>
    <w:rsid w:val="00E67C2F"/>
    <w:rsid w:val="00E67EF5"/>
    <w:rsid w:val="00E804EA"/>
    <w:rsid w:val="00E80A71"/>
    <w:rsid w:val="00E82337"/>
    <w:rsid w:val="00E92108"/>
    <w:rsid w:val="00E92499"/>
    <w:rsid w:val="00E94402"/>
    <w:rsid w:val="00E949AF"/>
    <w:rsid w:val="00E96077"/>
    <w:rsid w:val="00EA0A06"/>
    <w:rsid w:val="00EA6243"/>
    <w:rsid w:val="00EA74AB"/>
    <w:rsid w:val="00EB3D1B"/>
    <w:rsid w:val="00EB6F70"/>
    <w:rsid w:val="00ED1D89"/>
    <w:rsid w:val="00ED57DA"/>
    <w:rsid w:val="00ED66BC"/>
    <w:rsid w:val="00EE4FA0"/>
    <w:rsid w:val="00EF233A"/>
    <w:rsid w:val="00EF303E"/>
    <w:rsid w:val="00EF3750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6A43"/>
    <w:rsid w:val="00F43AD5"/>
    <w:rsid w:val="00F4402E"/>
    <w:rsid w:val="00F54305"/>
    <w:rsid w:val="00F56DD0"/>
    <w:rsid w:val="00F61669"/>
    <w:rsid w:val="00F6491C"/>
    <w:rsid w:val="00F67BBB"/>
    <w:rsid w:val="00F87D92"/>
    <w:rsid w:val="00F90AA7"/>
    <w:rsid w:val="00F92498"/>
    <w:rsid w:val="00F9496B"/>
    <w:rsid w:val="00F970C9"/>
    <w:rsid w:val="00F97725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F9772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61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17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17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1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17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8AB8EB8E0694D709F78DDDDFF805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9EDB6-9C95-40C0-B601-3CF43F491A12}"/>
      </w:docPartPr>
      <w:docPartBody>
        <w:p w:rsidR="00CA72D3" w:rsidRDefault="00347D16" w:rsidP="00347D16">
          <w:pPr>
            <w:pStyle w:val="58AB8EB8E0694D709F78DDDDFF8053AF"/>
          </w:pPr>
          <w:r>
            <w:rPr>
              <w:color w:val="00B050"/>
            </w:rPr>
            <w:t>Benzaldehyde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206974FE64014C0BADBA716D551EC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BB850-35F5-4993-A1C6-1FEFF5EC9D4F}"/>
      </w:docPartPr>
      <w:docPartBody>
        <w:p w:rsidR="00F739F2" w:rsidRDefault="006D572B" w:rsidP="006D572B">
          <w:pPr>
            <w:pStyle w:val="206974FE64014C0BADBA716D551EC8C9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5016DE"/>
    <w:rsid w:val="006D572B"/>
    <w:rsid w:val="00755FBF"/>
    <w:rsid w:val="008A1E0D"/>
    <w:rsid w:val="008F660C"/>
    <w:rsid w:val="00CA72D3"/>
    <w:rsid w:val="00D21A9F"/>
    <w:rsid w:val="00E3022D"/>
    <w:rsid w:val="00EE0A90"/>
    <w:rsid w:val="00F7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572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2BF891C0AB704CDAB9BC6E80D556473F">
    <w:name w:val="2BF891C0AB704CDAB9BC6E80D556473F"/>
  </w:style>
  <w:style w:type="paragraph" w:customStyle="1" w:styleId="58AB8EB8E0694D709F78DDDDFF8053AF">
    <w:name w:val="58AB8EB8E0694D709F78DDDDFF8053AF"/>
    <w:rsid w:val="00347D16"/>
    <w:rPr>
      <w:lang w:val="en-US" w:eastAsia="en-US"/>
    </w:rPr>
  </w:style>
  <w:style w:type="paragraph" w:customStyle="1" w:styleId="DA2FFE9CEF2D415F9F59B567F352ED2C">
    <w:name w:val="DA2FFE9CEF2D415F9F59B567F352ED2C"/>
    <w:rsid w:val="00CA72D3"/>
  </w:style>
  <w:style w:type="paragraph" w:customStyle="1" w:styleId="206974FE64014C0BADBA716D551EC8C9">
    <w:name w:val="206974FE64014C0BADBA716D551EC8C9"/>
    <w:rsid w:val="006D57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7DA43-984B-4B1B-9227-C0C063A059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9B1615-99A6-409D-A0F1-E5250B929FB5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1c567317-0c4d-4a62-8516-c22afd1b5354"/>
    <ds:schemaRef ds:uri="a0509f21-ed56-4150-9955-96be669e5f2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6131B4B-2E4C-463D-8FC8-B47AB6A8B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2F9517-5D1D-41F3-8C3B-7E4942EFA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1835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2020-05-11T05:35:00Z</dcterms:created>
  <dcterms:modified xsi:type="dcterms:W3CDTF">2026-01-09T02:03:00Z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2026-01-07T01:09:32Z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bf2e4d8b-b35f-4457-aec5-a6560215b52e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