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28694" w14:textId="04341C64" w:rsidR="00BD499F" w:rsidRPr="004C23F4" w:rsidRDefault="00370E61" w:rsidP="00B40C60">
      <w:pPr>
        <w:pStyle w:val="Heading1"/>
        <w:jc w:val="center"/>
        <w:rPr>
          <w:rFonts w:ascii="Arial" w:hAnsi="Arial" w:cs="Arial"/>
        </w:rPr>
      </w:pPr>
      <w:sdt>
        <w:sdtPr>
          <w:rPr>
            <w:rFonts w:ascii="Arial" w:hAnsi="Arial" w:cs="Arial"/>
          </w:rPr>
          <w:alias w:val="NameofChemical"/>
          <w:tag w:val="NameofChemical"/>
          <w:id w:val="1425919599"/>
          <w:lock w:val="sdtLocked"/>
          <w:placeholder>
            <w:docPart w:val="CE1736E50B02464986D1BEC8B7ACDE96"/>
          </w:placeholder>
          <w:text/>
        </w:sdtPr>
        <w:sdtEndPr/>
        <w:sdtContent>
          <w:r w:rsidR="00561FFC">
            <w:rPr>
              <w:rFonts w:ascii="Arial" w:hAnsi="Arial" w:cs="Arial"/>
            </w:rPr>
            <w:t xml:space="preserve">Tin </w:t>
          </w:r>
          <w:r w:rsidR="00C14487">
            <w:rPr>
              <w:rFonts w:ascii="Arial" w:hAnsi="Arial" w:cs="Arial"/>
            </w:rPr>
            <w:t>(metal and</w:t>
          </w:r>
          <w:r w:rsidR="00561FFC">
            <w:rPr>
              <w:rFonts w:ascii="Arial" w:hAnsi="Arial" w:cs="Arial"/>
            </w:rPr>
            <w:t xml:space="preserve"> inorganic compounds</w:t>
          </w:r>
        </w:sdtContent>
      </w:sdt>
      <w:r w:rsidR="00C14487">
        <w:rPr>
          <w:rFonts w:ascii="Arial" w:hAnsi="Arial" w:cs="Arial"/>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0"/>
        <w:gridCol w:w="5036"/>
      </w:tblGrid>
      <w:tr w:rsidR="00F43AD5" w:rsidRPr="004C23F4" w14:paraId="5A458832" w14:textId="77777777" w:rsidTr="00E063DF">
        <w:trPr>
          <w:cantSplit/>
          <w:tblHeader/>
        </w:trPr>
        <w:tc>
          <w:tcPr>
            <w:tcW w:w="3990" w:type="dxa"/>
          </w:tcPr>
          <w:p w14:paraId="592197B5" w14:textId="77777777" w:rsidR="00F43AD5" w:rsidRPr="00921DE7" w:rsidRDefault="00CB1CB1" w:rsidP="00B76A41">
            <w:pPr>
              <w:pStyle w:val="Tablerowright"/>
            </w:pPr>
            <w:r w:rsidRPr="00921DE7">
              <w:t>CAS number:</w:t>
            </w:r>
          </w:p>
        </w:tc>
        <w:tc>
          <w:tcPr>
            <w:tcW w:w="5036" w:type="dxa"/>
          </w:tcPr>
          <w:p w14:paraId="78C5E094" w14:textId="77777777" w:rsidR="00F43AD5" w:rsidRPr="00717D45" w:rsidRDefault="00561FFC" w:rsidP="00B76A41">
            <w:pPr>
              <w:pStyle w:val="Tablefont"/>
            </w:pPr>
            <w:r w:rsidRPr="00561FFC">
              <w:t>7440-31-5</w:t>
            </w:r>
            <w:r w:rsidR="00592E42">
              <w:t xml:space="preserve"> (Tin)</w:t>
            </w:r>
          </w:p>
        </w:tc>
      </w:tr>
      <w:tr w:rsidR="00F43AD5" w:rsidRPr="004C23F4" w14:paraId="7273759C" w14:textId="77777777" w:rsidTr="00E063DF">
        <w:trPr>
          <w:cantSplit/>
        </w:trPr>
        <w:tc>
          <w:tcPr>
            <w:tcW w:w="3990" w:type="dxa"/>
          </w:tcPr>
          <w:p w14:paraId="3886DEE0" w14:textId="77777777" w:rsidR="00F43AD5" w:rsidRPr="00921DE7" w:rsidRDefault="00CB1CB1" w:rsidP="00B76A41">
            <w:pPr>
              <w:pStyle w:val="Tablerowright"/>
            </w:pPr>
            <w:r w:rsidRPr="00921DE7">
              <w:t>Synonyms:</w:t>
            </w:r>
          </w:p>
        </w:tc>
        <w:tc>
          <w:tcPr>
            <w:tcW w:w="5036" w:type="dxa"/>
          </w:tcPr>
          <w:p w14:paraId="292102C1" w14:textId="1C1A664A" w:rsidR="00F43AD5" w:rsidRPr="00717D45" w:rsidRDefault="00DE4E2C" w:rsidP="00B76A41">
            <w:pPr>
              <w:pStyle w:val="Tablefont"/>
            </w:pPr>
            <w:r>
              <w:t>Stannum</w:t>
            </w:r>
          </w:p>
        </w:tc>
      </w:tr>
      <w:tr w:rsidR="00F43AD5" w:rsidRPr="004C23F4" w14:paraId="6D5E1F62" w14:textId="77777777" w:rsidTr="00E063DF">
        <w:trPr>
          <w:cantSplit/>
        </w:trPr>
        <w:tc>
          <w:tcPr>
            <w:tcW w:w="3990" w:type="dxa"/>
          </w:tcPr>
          <w:p w14:paraId="5273D729" w14:textId="77777777" w:rsidR="00F43AD5" w:rsidRPr="00921DE7" w:rsidRDefault="00CB1CB1" w:rsidP="00B76A41">
            <w:pPr>
              <w:pStyle w:val="Tablerowright"/>
            </w:pPr>
            <w:r w:rsidRPr="00921DE7">
              <w:t>Chemical formula:</w:t>
            </w:r>
          </w:p>
        </w:tc>
        <w:tc>
          <w:tcPr>
            <w:tcW w:w="5036" w:type="dxa"/>
          </w:tcPr>
          <w:p w14:paraId="4112128A" w14:textId="77777777" w:rsidR="00F43AD5" w:rsidRPr="00717D45" w:rsidRDefault="009C7CD4" w:rsidP="00B76A41">
            <w:pPr>
              <w:pStyle w:val="Tablefont"/>
            </w:pPr>
            <w:r>
              <w:t>Sn</w:t>
            </w:r>
          </w:p>
        </w:tc>
      </w:tr>
    </w:tbl>
    <w:p w14:paraId="67B92AEC" w14:textId="18121B16"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E063DF">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7C0FA9F8" w14:textId="77777777" w:rsidTr="00037E52">
        <w:trPr>
          <w:cantSplit/>
          <w:tblHeader/>
        </w:trPr>
        <w:tc>
          <w:tcPr>
            <w:tcW w:w="4010" w:type="dxa"/>
            <w:vAlign w:val="center"/>
          </w:tcPr>
          <w:p w14:paraId="45B08CFB" w14:textId="77777777" w:rsidR="002C7AFE" w:rsidRPr="002C58FF" w:rsidRDefault="00921DE7" w:rsidP="00921DE7">
            <w:pPr>
              <w:pStyle w:val="Tablerowright"/>
            </w:pPr>
            <w:r>
              <w:t>TWA:</w:t>
            </w:r>
          </w:p>
        </w:tc>
        <w:tc>
          <w:tcPr>
            <w:tcW w:w="5016" w:type="dxa"/>
          </w:tcPr>
          <w:p w14:paraId="211D4C95" w14:textId="78971831" w:rsidR="002C7AFE" w:rsidRPr="00CD5AA4" w:rsidRDefault="00CD5AA4" w:rsidP="00017C82">
            <w:pPr>
              <w:pStyle w:val="Tablefont"/>
              <w:rPr>
                <w:b/>
                <w:vertAlign w:val="superscript"/>
              </w:rPr>
            </w:pPr>
            <w:r>
              <w:rPr>
                <w:b/>
              </w:rPr>
              <w:t>2 mg/m</w:t>
            </w:r>
            <w:r>
              <w:rPr>
                <w:b/>
                <w:vertAlign w:val="superscript"/>
              </w:rPr>
              <w:t>3</w:t>
            </w:r>
          </w:p>
        </w:tc>
      </w:tr>
      <w:tr w:rsidR="00037E52" w:rsidRPr="004C23F4" w14:paraId="2F6706CF" w14:textId="77777777" w:rsidTr="00037E52">
        <w:trPr>
          <w:cantSplit/>
        </w:trPr>
        <w:tc>
          <w:tcPr>
            <w:tcW w:w="4010" w:type="dxa"/>
            <w:vAlign w:val="center"/>
          </w:tcPr>
          <w:p w14:paraId="7FF897FC" w14:textId="77777777" w:rsidR="00037E52" w:rsidRPr="002C58FF" w:rsidRDefault="00037E52" w:rsidP="00037E52">
            <w:pPr>
              <w:pStyle w:val="Tablerowright"/>
            </w:pPr>
            <w:r w:rsidRPr="002C58FF">
              <w:t>STEL</w:t>
            </w:r>
            <w:r>
              <w:t>:</w:t>
            </w:r>
          </w:p>
        </w:tc>
        <w:tc>
          <w:tcPr>
            <w:tcW w:w="5016" w:type="dxa"/>
          </w:tcPr>
          <w:p w14:paraId="7EEB995A" w14:textId="77777777" w:rsidR="00037E52" w:rsidRPr="00EB3D1B" w:rsidRDefault="00037E52" w:rsidP="00037E52">
            <w:pPr>
              <w:pStyle w:val="Tablefont"/>
              <w:rPr>
                <w:b/>
              </w:rPr>
            </w:pPr>
            <w:r>
              <w:rPr>
                <w:b/>
              </w:rPr>
              <w:t>—</w:t>
            </w:r>
          </w:p>
        </w:tc>
      </w:tr>
      <w:tr w:rsidR="00037E52" w:rsidRPr="004C23F4" w14:paraId="57E650F9" w14:textId="77777777" w:rsidTr="00037E52">
        <w:trPr>
          <w:cantSplit/>
        </w:trPr>
        <w:tc>
          <w:tcPr>
            <w:tcW w:w="4010" w:type="dxa"/>
            <w:vAlign w:val="center"/>
          </w:tcPr>
          <w:p w14:paraId="1E7D0972" w14:textId="77777777" w:rsidR="00037E52" w:rsidRPr="002C58FF" w:rsidRDefault="00037E52" w:rsidP="00037E52">
            <w:pPr>
              <w:pStyle w:val="Tablerowright"/>
            </w:pPr>
            <w:r>
              <w:t>Peak limitation:</w:t>
            </w:r>
          </w:p>
        </w:tc>
        <w:tc>
          <w:tcPr>
            <w:tcW w:w="5016" w:type="dxa"/>
          </w:tcPr>
          <w:p w14:paraId="3DE01083" w14:textId="77777777" w:rsidR="00037E52" w:rsidRPr="00EB3D1B" w:rsidRDefault="00037E52" w:rsidP="00037E52">
            <w:pPr>
              <w:pStyle w:val="Tablefont"/>
              <w:rPr>
                <w:b/>
              </w:rPr>
            </w:pPr>
            <w:r>
              <w:rPr>
                <w:b/>
              </w:rPr>
              <w:t>—</w:t>
            </w:r>
          </w:p>
        </w:tc>
      </w:tr>
      <w:tr w:rsidR="00037E52" w:rsidRPr="004C23F4" w14:paraId="4053D3C1" w14:textId="77777777" w:rsidTr="00037E52">
        <w:trPr>
          <w:cantSplit/>
        </w:trPr>
        <w:tc>
          <w:tcPr>
            <w:tcW w:w="4010" w:type="dxa"/>
          </w:tcPr>
          <w:p w14:paraId="39BD4310"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2CC29827" w14:textId="77777777" w:rsidR="00037E52" w:rsidRPr="00EB3D1B" w:rsidRDefault="00037E52" w:rsidP="00037E52">
            <w:pPr>
              <w:pStyle w:val="Tablefont"/>
              <w:rPr>
                <w:b/>
              </w:rPr>
            </w:pPr>
            <w:r>
              <w:rPr>
                <w:b/>
              </w:rPr>
              <w:t>—</w:t>
            </w:r>
          </w:p>
        </w:tc>
      </w:tr>
      <w:tr w:rsidR="00037E52" w:rsidRPr="004C23F4" w14:paraId="4ABF516B" w14:textId="77777777" w:rsidTr="00037E52">
        <w:trPr>
          <w:cantSplit/>
        </w:trPr>
        <w:tc>
          <w:tcPr>
            <w:tcW w:w="4010" w:type="dxa"/>
            <w:vAlign w:val="center"/>
          </w:tcPr>
          <w:p w14:paraId="6AEF66CE" w14:textId="77777777" w:rsidR="00037E52" w:rsidRPr="002C58FF" w:rsidRDefault="00037E52" w:rsidP="00037E52">
            <w:pPr>
              <w:pStyle w:val="Tablerowright"/>
            </w:pPr>
            <w:r>
              <w:t>IDLH:</w:t>
            </w:r>
          </w:p>
        </w:tc>
        <w:tc>
          <w:tcPr>
            <w:tcW w:w="5016" w:type="dxa"/>
          </w:tcPr>
          <w:p w14:paraId="7D47E8EA" w14:textId="77777777" w:rsidR="00037E52" w:rsidRPr="00EB3D1B" w:rsidRDefault="00037E52" w:rsidP="00037E52">
            <w:pPr>
              <w:pStyle w:val="Tablefont"/>
              <w:rPr>
                <w:b/>
              </w:rPr>
            </w:pPr>
            <w:r>
              <w:rPr>
                <w:b/>
              </w:rPr>
              <w:t>—</w:t>
            </w:r>
          </w:p>
        </w:tc>
      </w:tr>
      <w:tr w:rsidR="00155999" w:rsidRPr="004C23F4" w14:paraId="1BA05184" w14:textId="77777777" w:rsidTr="004549A3">
        <w:trPr>
          <w:cantSplit/>
        </w:trPr>
        <w:tc>
          <w:tcPr>
            <w:tcW w:w="9026" w:type="dxa"/>
            <w:gridSpan w:val="2"/>
            <w:vAlign w:val="center"/>
          </w:tcPr>
          <w:p w14:paraId="28A34BD1" w14:textId="0B925DD9" w:rsidR="00155999" w:rsidRPr="00EB3D1B" w:rsidRDefault="00155999" w:rsidP="00037E52">
            <w:pPr>
              <w:pStyle w:val="Tablefont"/>
              <w:rPr>
                <w:b/>
              </w:rPr>
            </w:pPr>
            <w:r w:rsidRPr="00DE4E2C">
              <w:rPr>
                <w:b/>
                <w:bCs/>
              </w:rPr>
              <w:t>Sampling and analysis</w:t>
            </w:r>
            <w:r>
              <w:t>:</w:t>
            </w:r>
            <w:r w:rsidRPr="00EC521E">
              <w:rPr>
                <w:rStyle w:val="WESstatus"/>
                <w:color w:val="auto"/>
              </w:rPr>
              <w:t xml:space="preserve"> </w:t>
            </w:r>
            <w:sdt>
              <w:sdtPr>
                <w:rPr>
                  <w:rStyle w:val="WESstatus"/>
                  <w:bC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CE2C36" w:rsidRPr="00DE4E2C">
                  <w:rPr>
                    <w:rStyle w:val="WESstatus"/>
                    <w:bCs/>
                    <w:color w:val="auto"/>
                  </w:rPr>
                  <w:t xml:space="preserve">The recommended value is quantifiable through available sampling and analysis techniques. </w:t>
                </w:r>
              </w:sdtContent>
            </w:sdt>
          </w:p>
        </w:tc>
      </w:tr>
    </w:tbl>
    <w:p w14:paraId="7063FE75" w14:textId="77777777" w:rsidR="00CB1CB1" w:rsidRPr="003365A5" w:rsidRDefault="00F10C97" w:rsidP="003365A5">
      <w:pPr>
        <w:pStyle w:val="Heading2"/>
      </w:pPr>
      <w:r>
        <w:t>Recommendation and basis for workplace exposure standard</w:t>
      </w:r>
    </w:p>
    <w:p w14:paraId="4725AF9C" w14:textId="674529E1" w:rsidR="006639B4" w:rsidRDefault="00CD5AA4" w:rsidP="000C139A">
      <w:r>
        <w:rPr>
          <w:rFonts w:cs="Arial"/>
        </w:rPr>
        <w:t>The TWA of 2 mg/m</w:t>
      </w:r>
      <w:r>
        <w:rPr>
          <w:rFonts w:cs="Arial"/>
          <w:vertAlign w:val="superscript"/>
        </w:rPr>
        <w:t>3</w:t>
      </w:r>
      <w:r>
        <w:rPr>
          <w:rFonts w:cs="Arial"/>
        </w:rPr>
        <w:t xml:space="preserve"> is recommended to protect for </w:t>
      </w:r>
      <w:r>
        <w:t>stannosis, a mild form of pneumoconiosis, in exposed workers.</w:t>
      </w:r>
    </w:p>
    <w:p w14:paraId="778EB526" w14:textId="77777777" w:rsidR="00DE4E2C" w:rsidRPr="004C23F4" w:rsidRDefault="00DE4E2C" w:rsidP="00DE4E2C">
      <w:pPr>
        <w:rPr>
          <w:rFonts w:cs="Arial"/>
        </w:rPr>
      </w:pPr>
      <w:r w:rsidRPr="00046216">
        <w:rPr>
          <w:rFonts w:cs="Arial"/>
        </w:rPr>
        <w:t>A priority review of the data for the chemical in the next scheduled review of the workplace exposure standards is recommended.</w:t>
      </w:r>
    </w:p>
    <w:p w14:paraId="0BCEDD19" w14:textId="77777777" w:rsidR="00C7155E" w:rsidRPr="004C23F4" w:rsidRDefault="00F10C97" w:rsidP="003365A5">
      <w:pPr>
        <w:pStyle w:val="Heading2"/>
      </w:pPr>
      <w:r>
        <w:t>Discussion and conclusions</w:t>
      </w:r>
    </w:p>
    <w:p w14:paraId="078A408F" w14:textId="4D3A9D72" w:rsidR="002C5833" w:rsidRDefault="00CD5AA4" w:rsidP="006639B4">
      <w:r>
        <w:t>Metallic tin is processed to yield tin foil or solder and is used in the manufacture of numerous alloys such as bronze. Because of its resistance to corrosion, tin is used as a protective coating for other metals. Another important property of tin is its ability to form alloys with other metals. Thus, tin metal is commonly used in tin plating, manufacture of food cans and solder and alloy production. Dental amalgams contain varying proportions of tin</w:t>
      </w:r>
      <w:r w:rsidR="00334344">
        <w:t xml:space="preserve">. </w:t>
      </w:r>
    </w:p>
    <w:p w14:paraId="3454D164" w14:textId="77777777" w:rsidR="008D6916" w:rsidRDefault="00334344" w:rsidP="006639B4">
      <w:pPr>
        <w:rPr>
          <w:rFonts w:cs="Arial"/>
        </w:rPr>
      </w:pPr>
      <w:r>
        <w:t xml:space="preserve">The critical effect </w:t>
      </w:r>
      <w:r w:rsidR="00E063DF">
        <w:t>of</w:t>
      </w:r>
      <w:r>
        <w:t xml:space="preserve"> exposure is stannosis, a mild form of </w:t>
      </w:r>
      <w:r w:rsidR="00AE6298">
        <w:t>pneumoconiosis.</w:t>
      </w:r>
      <w:r w:rsidR="002C5833">
        <w:rPr>
          <w:rFonts w:cs="Arial"/>
        </w:rPr>
        <w:t xml:space="preserve"> </w:t>
      </w:r>
    </w:p>
    <w:p w14:paraId="1A04D15D" w14:textId="5DDC35CF" w:rsidR="006639B4" w:rsidRDefault="00AE6298" w:rsidP="006639B4">
      <w:r>
        <w:rPr>
          <w:rFonts w:cs="Arial"/>
        </w:rPr>
        <w:t>Limited toxicological data</w:t>
      </w:r>
      <w:r w:rsidR="005F66A8">
        <w:rPr>
          <w:rFonts w:cs="Arial"/>
        </w:rPr>
        <w:t xml:space="preserve"> are</w:t>
      </w:r>
      <w:r>
        <w:rPr>
          <w:rFonts w:cs="Arial"/>
        </w:rPr>
        <w:t xml:space="preserve"> </w:t>
      </w:r>
      <w:r w:rsidR="008D6916">
        <w:rPr>
          <w:rFonts w:cs="Arial"/>
        </w:rPr>
        <w:t>available in the sources</w:t>
      </w:r>
      <w:r>
        <w:rPr>
          <w:rFonts w:cs="Arial"/>
        </w:rPr>
        <w:t xml:space="preserve">. </w:t>
      </w:r>
      <w:r>
        <w:t>Long-term inhalat</w:t>
      </w:r>
      <w:r w:rsidR="00BF2C1C">
        <w:t>ion</w:t>
      </w:r>
      <w:r>
        <w:t xml:space="preserve"> exposure to </w:t>
      </w:r>
      <w:r w:rsidR="00BF2C1C">
        <w:t>stannic oxide</w:t>
      </w:r>
      <w:r>
        <w:t xml:space="preserve"> is associated with stannosis in workers. No </w:t>
      </w:r>
      <w:r w:rsidR="00E063DF">
        <w:t xml:space="preserve">further </w:t>
      </w:r>
      <w:r>
        <w:t xml:space="preserve">exposure data are available. </w:t>
      </w:r>
      <w:r w:rsidR="00E063DF">
        <w:t xml:space="preserve">Five cases of stannosis were reported in the United States </w:t>
      </w:r>
      <w:r w:rsidR="005F66A8">
        <w:t xml:space="preserve">in </w:t>
      </w:r>
      <w:r w:rsidR="00E063DF">
        <w:t xml:space="preserve">1954 (ACGIH, 2018; DFG, 2000). </w:t>
      </w:r>
      <w:r>
        <w:t>No data concerning the effects after inhalat</w:t>
      </w:r>
      <w:r w:rsidR="00BF2C1C">
        <w:t>ion</w:t>
      </w:r>
      <w:r>
        <w:t xml:space="preserve"> exposure in experimental animals </w:t>
      </w:r>
      <w:r w:rsidR="00E063DF">
        <w:t>a</w:t>
      </w:r>
      <w:r>
        <w:t xml:space="preserve">re available. </w:t>
      </w:r>
    </w:p>
    <w:p w14:paraId="15AC56A5" w14:textId="18EEDA5D" w:rsidR="008D6916" w:rsidRDefault="00AE6298" w:rsidP="006639B4">
      <w:pPr>
        <w:rPr>
          <w:rFonts w:cs="Arial"/>
        </w:rPr>
      </w:pPr>
      <w:r>
        <w:rPr>
          <w:rFonts w:cs="Arial"/>
        </w:rPr>
        <w:t xml:space="preserve">The TWA </w:t>
      </w:r>
      <w:r w:rsidR="005F66A8">
        <w:rPr>
          <w:rFonts w:cs="Arial"/>
        </w:rPr>
        <w:t xml:space="preserve">of </w:t>
      </w:r>
      <w:r>
        <w:rPr>
          <w:rFonts w:cs="Arial"/>
        </w:rPr>
        <w:t>2 mg/m</w:t>
      </w:r>
      <w:r>
        <w:rPr>
          <w:rFonts w:cs="Arial"/>
          <w:vertAlign w:val="superscript"/>
        </w:rPr>
        <w:t>3</w:t>
      </w:r>
      <w:r>
        <w:rPr>
          <w:rFonts w:cs="Arial"/>
        </w:rPr>
        <w:t xml:space="preserve"> is consistent across primary sources </w:t>
      </w:r>
      <w:r w:rsidR="008D6916">
        <w:rPr>
          <w:rFonts w:cs="Arial"/>
        </w:rPr>
        <w:t xml:space="preserve">ACGIH and HCOTN </w:t>
      </w:r>
      <w:r>
        <w:rPr>
          <w:rFonts w:cs="Arial"/>
        </w:rPr>
        <w:t xml:space="preserve">and is recommended to be retained. ACGIH (2018) </w:t>
      </w:r>
      <w:r w:rsidR="008D6916">
        <w:rPr>
          <w:rFonts w:cs="Arial"/>
        </w:rPr>
        <w:t xml:space="preserve">states </w:t>
      </w:r>
      <w:r>
        <w:rPr>
          <w:rFonts w:cs="Arial"/>
        </w:rPr>
        <w:t>that a TWA of 2</w:t>
      </w:r>
      <w:r w:rsidR="008D6916">
        <w:rPr>
          <w:rFonts w:cs="Arial"/>
        </w:rPr>
        <w:t xml:space="preserve"> </w:t>
      </w:r>
      <w:r>
        <w:rPr>
          <w:rFonts w:cs="Arial"/>
        </w:rPr>
        <w:t>mg/m</w:t>
      </w:r>
      <w:r w:rsidR="00A719BE">
        <w:rPr>
          <w:rFonts w:cs="Arial"/>
          <w:vertAlign w:val="superscript"/>
        </w:rPr>
        <w:t xml:space="preserve">3 </w:t>
      </w:r>
      <w:r w:rsidR="00A719BE">
        <w:rPr>
          <w:rFonts w:cs="Arial"/>
        </w:rPr>
        <w:t>is</w:t>
      </w:r>
      <w:r>
        <w:rPr>
          <w:rFonts w:cs="Arial"/>
        </w:rPr>
        <w:t xml:space="preserve"> protective o</w:t>
      </w:r>
      <w:r w:rsidR="00A719BE">
        <w:rPr>
          <w:rFonts w:cs="Arial"/>
        </w:rPr>
        <w:t>f stannosis in exposed workers</w:t>
      </w:r>
      <w:r w:rsidR="00E063DF">
        <w:rPr>
          <w:rFonts w:cs="Arial"/>
        </w:rPr>
        <w:t>.</w:t>
      </w:r>
      <w:r w:rsidR="00A719BE">
        <w:rPr>
          <w:rFonts w:cs="Arial"/>
        </w:rPr>
        <w:t xml:space="preserve"> </w:t>
      </w:r>
    </w:p>
    <w:p w14:paraId="6A436746" w14:textId="149DAB9E" w:rsidR="00AE6298" w:rsidRPr="004C23F4" w:rsidRDefault="008D6916" w:rsidP="006639B4">
      <w:pPr>
        <w:rPr>
          <w:rFonts w:cs="Arial"/>
        </w:rPr>
      </w:pPr>
      <w:r>
        <w:t>G</w:t>
      </w:r>
      <w:r w:rsidR="00A719BE" w:rsidRPr="00A719BE">
        <w:rPr>
          <w:rFonts w:cs="Arial"/>
        </w:rPr>
        <w:t>iven the limited data available from the primary sources, it is recommended that a review of additional sources be conducted at the next scheduled review</w:t>
      </w:r>
      <w:r w:rsidR="00A719BE">
        <w:rPr>
          <w:rFonts w:cs="Arial"/>
        </w:rPr>
        <w:t>.</w:t>
      </w:r>
    </w:p>
    <w:p w14:paraId="45E0A8FD" w14:textId="77777777" w:rsidR="004529F0" w:rsidRPr="004C23F4" w:rsidRDefault="004529F0" w:rsidP="005F66A8">
      <w:pPr>
        <w:pStyle w:val="Heading2"/>
        <w:pageBreakBefore/>
      </w:pPr>
      <w:r>
        <w:lastRenderedPageBreak/>
        <w:t>Recommendation for notations</w:t>
      </w:r>
    </w:p>
    <w:p w14:paraId="56BFC155" w14:textId="77777777" w:rsidR="008E4F1F" w:rsidRPr="00CD5AA4" w:rsidRDefault="008E4F1F" w:rsidP="008E4F1F">
      <w:pPr>
        <w:rPr>
          <w:rFonts w:cs="Arial"/>
        </w:rPr>
      </w:pPr>
      <w:r w:rsidRPr="00CD5AA4">
        <w:rPr>
          <w:rFonts w:cs="Arial"/>
        </w:rPr>
        <w:t>Not classified as a carcinogen according to the Globally Harmonized System of</w:t>
      </w:r>
      <w:r w:rsidR="00155999" w:rsidRPr="00CD5AA4">
        <w:rPr>
          <w:rFonts w:cs="Arial"/>
        </w:rPr>
        <w:t xml:space="preserve"> Classification and Labelling of</w:t>
      </w:r>
      <w:r w:rsidRPr="00CD5AA4">
        <w:rPr>
          <w:rFonts w:cs="Arial"/>
        </w:rPr>
        <w:t xml:space="preserve"> Chemicals (GHS). </w:t>
      </w:r>
    </w:p>
    <w:p w14:paraId="1568C867" w14:textId="77777777" w:rsidR="008E4F1F" w:rsidRPr="00CD5AA4" w:rsidRDefault="008E4F1F" w:rsidP="008E4F1F">
      <w:pPr>
        <w:rPr>
          <w:rFonts w:cs="Arial"/>
        </w:rPr>
      </w:pPr>
      <w:r w:rsidRPr="00CD5AA4">
        <w:rPr>
          <w:rFonts w:cs="Arial"/>
        </w:rPr>
        <w:t xml:space="preserve">Not classified as a skin </w:t>
      </w:r>
      <w:r w:rsidR="00155999" w:rsidRPr="00CD5AA4">
        <w:rPr>
          <w:rFonts w:cs="Arial"/>
        </w:rPr>
        <w:t xml:space="preserve">sensitiser </w:t>
      </w:r>
      <w:r w:rsidRPr="00CD5AA4">
        <w:rPr>
          <w:rFonts w:cs="Arial"/>
        </w:rPr>
        <w:t>or respiratory sensitiser according to the GHS.</w:t>
      </w:r>
    </w:p>
    <w:p w14:paraId="6FDCC7D2" w14:textId="58D657CB" w:rsidR="004529F0" w:rsidRPr="004C23F4" w:rsidRDefault="00CE2C36" w:rsidP="008E4F1F">
      <w:pPr>
        <w:rPr>
          <w:rFonts w:cs="Arial"/>
        </w:rPr>
      </w:pPr>
      <w:r>
        <w:rPr>
          <w:rFonts w:cs="Arial"/>
        </w:rPr>
        <w:t xml:space="preserve">There </w:t>
      </w:r>
      <w:r w:rsidR="00E063DF">
        <w:rPr>
          <w:rFonts w:cs="Arial"/>
        </w:rPr>
        <w:t>are</w:t>
      </w:r>
      <w:r>
        <w:rPr>
          <w:rFonts w:cs="Arial"/>
        </w:rPr>
        <w:t xml:space="preserve"> i</w:t>
      </w:r>
      <w:r w:rsidR="008E4F1F" w:rsidRPr="00CD5AA4">
        <w:rPr>
          <w:rFonts w:cs="Arial"/>
        </w:rPr>
        <w:t xml:space="preserve">nsufficient </w:t>
      </w:r>
      <w:r w:rsidR="00E063DF">
        <w:rPr>
          <w:rFonts w:cs="Arial"/>
        </w:rPr>
        <w:t>data</w:t>
      </w:r>
      <w:r w:rsidR="00E063DF" w:rsidRPr="00CD5AA4">
        <w:rPr>
          <w:rFonts w:cs="Arial"/>
        </w:rPr>
        <w:t xml:space="preserve"> </w:t>
      </w:r>
      <w:r w:rsidR="008E4F1F" w:rsidRPr="00CD5AA4">
        <w:rPr>
          <w:rFonts w:cs="Arial"/>
        </w:rPr>
        <w:t>to recommend a skin notation.</w:t>
      </w:r>
    </w:p>
    <w:p w14:paraId="03EAAA2B" w14:textId="77777777" w:rsidR="0025734A" w:rsidRPr="004C23F4" w:rsidRDefault="0025734A">
      <w:pPr>
        <w:rPr>
          <w:rFonts w:cs="Arial"/>
        </w:rPr>
      </w:pPr>
    </w:p>
    <w:p w14:paraId="5C8EF63B"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38921A1"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6EDC026A"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3286D998" w14:textId="77777777" w:rsidTr="004D6B4E">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09559020" w14:textId="77777777" w:rsidR="00C978F0" w:rsidRPr="00DA352E" w:rsidRDefault="00C978F0" w:rsidP="00C67FFB">
            <w:pPr>
              <w:pStyle w:val="Tableheader"/>
              <w:tabs>
                <w:tab w:val="left" w:pos="1418"/>
                <w:tab w:val="left" w:pos="2552"/>
                <w:tab w:val="right" w:pos="8489"/>
              </w:tabs>
            </w:pPr>
            <w:r w:rsidRPr="00DA352E">
              <w:lastRenderedPageBreak/>
              <w:t>Source</w:t>
            </w:r>
            <w:r w:rsidR="00DA352E">
              <w:tab/>
              <w:t>Year set</w:t>
            </w:r>
            <w:r w:rsidR="00DA352E">
              <w:tab/>
              <w:t>Standard</w:t>
            </w:r>
            <w:r w:rsidR="00974F2D">
              <w:tab/>
            </w:r>
          </w:p>
        </w:tc>
      </w:tr>
      <w:tr w:rsidR="00DE26E8" w:rsidRPr="003365A5" w14:paraId="5D7B42FB" w14:textId="77777777" w:rsidTr="004D6B4E">
        <w:trPr>
          <w:cantSplit/>
        </w:trPr>
        <w:tc>
          <w:tcPr>
            <w:tcW w:w="5000" w:type="pct"/>
            <w:gridSpan w:val="2"/>
            <w:shd w:val="clear" w:color="auto" w:fill="F2F2F2" w:themeFill="background1" w:themeFillShade="F2"/>
          </w:tcPr>
          <w:p w14:paraId="7A565802" w14:textId="77777777" w:rsidR="00DE26E8" w:rsidRPr="003365A5" w:rsidRDefault="00DE26E8" w:rsidP="0054613A">
            <w:pPr>
              <w:pStyle w:val="Tablerowheadingitalic"/>
              <w:tabs>
                <w:tab w:val="clear" w:pos="2268"/>
                <w:tab w:val="clear" w:pos="5670"/>
                <w:tab w:val="left" w:pos="1418"/>
                <w:tab w:val="left" w:pos="2552"/>
              </w:tabs>
              <w:ind w:left="2947" w:hanging="2947"/>
            </w:pPr>
            <w:r w:rsidRPr="003365A5">
              <w:t>SWA</w:t>
            </w:r>
            <w:r w:rsidRPr="003365A5">
              <w:tab/>
            </w:r>
            <w:sdt>
              <w:sdtPr>
                <w:id w:val="-2034099983"/>
                <w:placeholder>
                  <w:docPart w:val="0A35AF4547E94E219E26BC12DBC33282"/>
                </w:placeholder>
                <w:text/>
              </w:sdtPr>
              <w:sdtEndPr/>
              <w:sdtContent>
                <w:r w:rsidR="0054613A">
                  <w:t>1991</w:t>
                </w:r>
              </w:sdtContent>
            </w:sdt>
            <w:r w:rsidRPr="003365A5">
              <w:tab/>
            </w:r>
            <w:r>
              <w:tab/>
            </w:r>
            <w:sdt>
              <w:sdtPr>
                <w:alias w:val="SWA WES"/>
                <w:tag w:val="SWA WES"/>
                <w:id w:val="857077202"/>
                <w:placeholder>
                  <w:docPart w:val="81CFEC2FDBC5451289F394E66D92D1A0"/>
                </w:placeholder>
              </w:sdtPr>
              <w:sdtEndPr/>
              <w:sdtContent>
                <w:r w:rsidR="0054613A">
                  <w:t>TWA: 2 mg/m</w:t>
                </w:r>
                <w:r w:rsidR="0054613A" w:rsidRPr="0054613A">
                  <w:rPr>
                    <w:vertAlign w:val="superscript"/>
                  </w:rPr>
                  <w:t>3</w:t>
                </w:r>
                <w:r w:rsidR="0054613A">
                  <w:t xml:space="preserve"> (Metal)                                                                         TWA:</w:t>
                </w:r>
                <w:r w:rsidR="007C2D17">
                  <w:t xml:space="preserve"> 2 mg/m</w:t>
                </w:r>
                <w:r w:rsidR="007C2D17" w:rsidRPr="00B177DC">
                  <w:rPr>
                    <w:vertAlign w:val="superscript"/>
                  </w:rPr>
                  <w:t>3</w:t>
                </w:r>
                <w:r w:rsidR="007C2D17">
                  <w:t xml:space="preserve"> (Oxide &amp; inorganic compounds, except SnH</w:t>
                </w:r>
                <w:r w:rsidR="007C2D17" w:rsidRPr="007C2D17">
                  <w:rPr>
                    <w:vertAlign w:val="subscript"/>
                  </w:rPr>
                  <w:t>4</w:t>
                </w:r>
                <w:r w:rsidR="007C2D17">
                  <w:t>, as Sn)</w:t>
                </w:r>
              </w:sdtContent>
            </w:sdt>
          </w:p>
        </w:tc>
      </w:tr>
      <w:tr w:rsidR="00C978F0" w:rsidRPr="00DA352E" w14:paraId="1DEF8075" w14:textId="77777777" w:rsidTr="004D6B4E">
        <w:trPr>
          <w:gridAfter w:val="1"/>
          <w:wAfter w:w="8" w:type="pct"/>
          <w:cantSplit/>
        </w:trPr>
        <w:tc>
          <w:tcPr>
            <w:tcW w:w="4992" w:type="pct"/>
          </w:tcPr>
          <w:p w14:paraId="6FB7F84F" w14:textId="77777777" w:rsidR="00C978F0" w:rsidRDefault="00C978F0" w:rsidP="003365A5">
            <w:pPr>
              <w:pStyle w:val="Tabletextprimarysource"/>
            </w:pPr>
          </w:p>
          <w:p w14:paraId="0998FB00" w14:textId="77777777" w:rsidR="00370E61" w:rsidRPr="00370E61" w:rsidRDefault="00370E61" w:rsidP="00370E61"/>
          <w:p w14:paraId="0F4A448D" w14:textId="77777777" w:rsidR="00370E61" w:rsidRPr="00370E61" w:rsidRDefault="00370E61" w:rsidP="00370E61"/>
          <w:p w14:paraId="0BEBDE08" w14:textId="77777777" w:rsidR="00370E61" w:rsidRPr="00370E61" w:rsidRDefault="00370E61" w:rsidP="00370E61"/>
          <w:p w14:paraId="2296C3ED" w14:textId="77777777" w:rsidR="00370E61" w:rsidRPr="00370E61" w:rsidRDefault="00370E61" w:rsidP="00370E61"/>
          <w:p w14:paraId="1C8AB100" w14:textId="77777777" w:rsidR="00370E61" w:rsidRPr="00370E61" w:rsidRDefault="00370E61" w:rsidP="00370E61"/>
          <w:p w14:paraId="3052BDCD" w14:textId="77777777" w:rsidR="00370E61" w:rsidRPr="00370E61" w:rsidRDefault="00370E61" w:rsidP="00370E61"/>
          <w:p w14:paraId="789FDA2F" w14:textId="77777777" w:rsidR="00370E61" w:rsidRPr="00370E61" w:rsidRDefault="00370E61" w:rsidP="00370E61"/>
          <w:p w14:paraId="484DB75F" w14:textId="77777777" w:rsidR="00370E61" w:rsidRPr="00370E61" w:rsidRDefault="00370E61" w:rsidP="00370E61"/>
          <w:p w14:paraId="262728F3" w14:textId="77777777" w:rsidR="00370E61" w:rsidRPr="00370E61" w:rsidRDefault="00370E61" w:rsidP="00370E61"/>
          <w:p w14:paraId="7D1F7D10" w14:textId="77777777" w:rsidR="00370E61" w:rsidRPr="00370E61" w:rsidRDefault="00370E61" w:rsidP="00370E61"/>
          <w:p w14:paraId="7A5B2C4C" w14:textId="77777777" w:rsidR="00370E61" w:rsidRPr="00370E61" w:rsidRDefault="00370E61" w:rsidP="00370E61"/>
          <w:p w14:paraId="4375C6CB" w14:textId="77777777" w:rsidR="00370E61" w:rsidRPr="00370E61" w:rsidRDefault="00370E61" w:rsidP="00370E61"/>
          <w:p w14:paraId="0C38623A" w14:textId="77777777" w:rsidR="00370E61" w:rsidRPr="00370E61" w:rsidRDefault="00370E61" w:rsidP="00370E61"/>
          <w:p w14:paraId="74E27817" w14:textId="77777777" w:rsidR="00370E61" w:rsidRPr="00370E61" w:rsidRDefault="00370E61" w:rsidP="00370E61"/>
          <w:p w14:paraId="5F2E1BC4" w14:textId="77777777" w:rsidR="00370E61" w:rsidRPr="00370E61" w:rsidRDefault="00370E61" w:rsidP="00370E61"/>
          <w:p w14:paraId="27AA036C" w14:textId="77777777" w:rsidR="00370E61" w:rsidRPr="00370E61" w:rsidRDefault="00370E61" w:rsidP="00370E61"/>
          <w:p w14:paraId="247DE5F0" w14:textId="77777777" w:rsidR="00370E61" w:rsidRPr="00370E61" w:rsidRDefault="00370E61" w:rsidP="00370E61"/>
          <w:p w14:paraId="2AABE6E7" w14:textId="77777777" w:rsidR="00370E61" w:rsidRPr="00370E61" w:rsidRDefault="00370E61" w:rsidP="00370E61"/>
          <w:p w14:paraId="0981A48B" w14:textId="77777777" w:rsidR="00370E61" w:rsidRPr="00370E61" w:rsidRDefault="00370E61" w:rsidP="00370E61"/>
          <w:p w14:paraId="77F7A042" w14:textId="77777777" w:rsidR="00370E61" w:rsidRPr="00370E61" w:rsidRDefault="00370E61" w:rsidP="00370E61"/>
          <w:p w14:paraId="383CA7BE" w14:textId="77777777" w:rsidR="00370E61" w:rsidRPr="00370E61" w:rsidRDefault="00370E61" w:rsidP="00370E61"/>
          <w:p w14:paraId="1FAF0258" w14:textId="77777777" w:rsidR="00370E61" w:rsidRPr="00370E61" w:rsidRDefault="00370E61" w:rsidP="00370E61"/>
          <w:p w14:paraId="60309808" w14:textId="77777777" w:rsidR="00370E61" w:rsidRPr="00370E61" w:rsidRDefault="00370E61" w:rsidP="00370E61"/>
          <w:p w14:paraId="5376A48A" w14:textId="77777777" w:rsidR="00370E61" w:rsidRPr="00370E61" w:rsidRDefault="00370E61" w:rsidP="00370E61"/>
          <w:p w14:paraId="6EDB0C24" w14:textId="77777777" w:rsidR="00370E61" w:rsidRPr="00370E61" w:rsidRDefault="00370E61" w:rsidP="00370E61"/>
          <w:p w14:paraId="5D63E987" w14:textId="77777777" w:rsidR="00370E61" w:rsidRPr="00370E61" w:rsidRDefault="00370E61" w:rsidP="00370E61"/>
          <w:p w14:paraId="4FDADFA8" w14:textId="77777777" w:rsidR="00370E61" w:rsidRPr="00370E61" w:rsidRDefault="00370E61" w:rsidP="00370E61"/>
          <w:p w14:paraId="48475735" w14:textId="77777777" w:rsidR="00370E61" w:rsidRPr="00370E61" w:rsidRDefault="00370E61" w:rsidP="00370E61"/>
          <w:p w14:paraId="5DA50561" w14:textId="77777777" w:rsidR="00370E61" w:rsidRDefault="00370E61" w:rsidP="00370E61"/>
          <w:p w14:paraId="1C1BE7C0" w14:textId="77777777" w:rsidR="00370E61" w:rsidRPr="00370E61" w:rsidRDefault="00370E61" w:rsidP="00370E61"/>
          <w:p w14:paraId="5CC57392" w14:textId="30011B71" w:rsidR="00370E61" w:rsidRPr="00370E61" w:rsidRDefault="00370E61" w:rsidP="00370E61"/>
        </w:tc>
      </w:tr>
      <w:tr w:rsidR="00C978F0" w:rsidRPr="00DA352E" w14:paraId="4669C79C" w14:textId="77777777" w:rsidTr="004D6B4E">
        <w:trPr>
          <w:gridAfter w:val="1"/>
          <w:wAfter w:w="8" w:type="pct"/>
          <w:cantSplit/>
        </w:trPr>
        <w:tc>
          <w:tcPr>
            <w:tcW w:w="4992" w:type="pct"/>
            <w:shd w:val="clear" w:color="auto" w:fill="F2F2F2" w:themeFill="background1" w:themeFillShade="F2"/>
          </w:tcPr>
          <w:p w14:paraId="081FC8DF" w14:textId="77777777" w:rsidR="00C978F0" w:rsidRPr="00200BFD" w:rsidRDefault="00DA352E" w:rsidP="0051509C">
            <w:pPr>
              <w:pStyle w:val="Tablerowheadingitalic"/>
              <w:tabs>
                <w:tab w:val="clear" w:pos="2268"/>
                <w:tab w:val="clear" w:pos="5670"/>
                <w:tab w:val="left" w:pos="1418"/>
                <w:tab w:val="left" w:pos="2552"/>
              </w:tabs>
            </w:pPr>
            <w:r w:rsidRPr="00200BFD">
              <w:lastRenderedPageBreak/>
              <w:t>ACGIH</w:t>
            </w:r>
            <w:r w:rsidR="00916EC0" w:rsidRPr="00200BFD">
              <w:t xml:space="preserve"> </w:t>
            </w:r>
            <w:r w:rsidR="00916EC0" w:rsidRPr="00200BFD">
              <w:tab/>
            </w:r>
            <w:sdt>
              <w:sdtPr>
                <w:id w:val="444816450"/>
                <w:placeholder>
                  <w:docPart w:val="C8FBF9621EB94FE084F687C8955AF85F"/>
                </w:placeholder>
                <w:text/>
              </w:sdtPr>
              <w:sdtEndPr/>
              <w:sdtContent>
                <w:r w:rsidR="00684094" w:rsidRPr="00200BFD">
                  <w:t>2001</w:t>
                </w:r>
              </w:sdtContent>
            </w:sdt>
            <w:r w:rsidR="00916EC0" w:rsidRPr="00200BFD">
              <w:tab/>
            </w:r>
            <w:r w:rsidR="0051509C" w:rsidRPr="00200BFD">
              <w:tab/>
            </w:r>
            <w:sdt>
              <w:sdtPr>
                <w:alias w:val="ACGIH WES equivalent"/>
                <w:tag w:val="ACGIH WES equivalent"/>
                <w:id w:val="-1676410403"/>
                <w:placeholder>
                  <w:docPart w:val="522022AAE76B4622AC0DF750489702EB"/>
                </w:placeholder>
              </w:sdtPr>
              <w:sdtEndPr/>
              <w:sdtContent>
                <w:r w:rsidR="00684094" w:rsidRPr="00200BFD">
                  <w:t>TLV–TWA: 2 mg/m</w:t>
                </w:r>
                <w:r w:rsidR="00684094" w:rsidRPr="00200BFD">
                  <w:rPr>
                    <w:vertAlign w:val="superscript"/>
                  </w:rPr>
                  <w:t xml:space="preserve">3 </w:t>
                </w:r>
                <w:r w:rsidR="00684094" w:rsidRPr="00200BFD">
                  <w:t>(as Sn)</w:t>
                </w:r>
              </w:sdtContent>
            </w:sdt>
          </w:p>
        </w:tc>
      </w:tr>
      <w:tr w:rsidR="00C978F0" w:rsidRPr="00DA352E" w14:paraId="34CEE261" w14:textId="77777777" w:rsidTr="004D6B4E">
        <w:trPr>
          <w:gridAfter w:val="1"/>
          <w:wAfter w:w="8" w:type="pct"/>
          <w:cantSplit/>
        </w:trPr>
        <w:tc>
          <w:tcPr>
            <w:tcW w:w="4992" w:type="pct"/>
          </w:tcPr>
          <w:p w14:paraId="12B890C0" w14:textId="107384FE" w:rsidR="00C978F0" w:rsidRDefault="00495F7E" w:rsidP="003365A5">
            <w:pPr>
              <w:pStyle w:val="Tabletextprimarysource"/>
            </w:pPr>
            <w:r>
              <w:t xml:space="preserve">TLV-TWA intended to minimise the potential for stannosis, a mild form of pneumoconiosis. Recommended for occupational exposure to elemental </w:t>
            </w:r>
            <w:r w:rsidR="00E063DF">
              <w:t>Sn</w:t>
            </w:r>
            <w:r>
              <w:t>, tin oxides and inorganic compounds, except tin hydride</w:t>
            </w:r>
            <w:r w:rsidR="00BF2C1C">
              <w:t>.</w:t>
            </w:r>
          </w:p>
          <w:p w14:paraId="184886D3" w14:textId="27089E7C" w:rsidR="00495F7E" w:rsidRDefault="00495F7E" w:rsidP="003365A5">
            <w:pPr>
              <w:pStyle w:val="Tabletextprimarysource"/>
            </w:pPr>
            <w:r>
              <w:t>Summary of data:</w:t>
            </w:r>
          </w:p>
          <w:p w14:paraId="4DB7BE3B" w14:textId="7B4086E0" w:rsidR="00495F7E" w:rsidRDefault="0059691C" w:rsidP="00E063DF">
            <w:pPr>
              <w:pStyle w:val="ListBullet"/>
              <w:spacing w:before="60" w:after="60"/>
              <w:ind w:left="1077" w:hanging="357"/>
              <w:contextualSpacing w:val="0"/>
            </w:pPr>
            <w:r>
              <w:t>No derivation presented</w:t>
            </w:r>
            <w:r w:rsidR="00E063DF">
              <w:t>.</w:t>
            </w:r>
          </w:p>
          <w:p w14:paraId="51A44F0F" w14:textId="10B4BB7D" w:rsidR="0059691C" w:rsidRDefault="0059691C" w:rsidP="0059691C">
            <w:pPr>
              <w:pStyle w:val="Tabletextprimarysource"/>
            </w:pPr>
            <w:r>
              <w:t>Human data:</w:t>
            </w:r>
          </w:p>
          <w:p w14:paraId="1AA368E4" w14:textId="7389AE98" w:rsidR="00E063DF" w:rsidRDefault="00E063DF">
            <w:pPr>
              <w:pStyle w:val="ListBullet"/>
              <w:spacing w:before="60" w:after="60"/>
              <w:ind w:left="1080" w:hanging="357"/>
              <w:contextualSpacing w:val="0"/>
            </w:pPr>
            <w:r>
              <w:t>S</w:t>
            </w:r>
            <w:r w:rsidR="007B0775">
              <w:t>n salts considered highly toxic once in the blood stream</w:t>
            </w:r>
            <w:r w:rsidR="005F66A8">
              <w:t>:</w:t>
            </w:r>
            <w:r w:rsidR="007B0775">
              <w:t xml:space="preserve"> </w:t>
            </w:r>
          </w:p>
          <w:p w14:paraId="7E30B140" w14:textId="34B5F24B" w:rsidR="0059691C" w:rsidRDefault="007B0775" w:rsidP="00E063DF">
            <w:pPr>
              <w:pStyle w:val="ListBullet"/>
              <w:numPr>
                <w:ilvl w:val="0"/>
                <w:numId w:val="3"/>
              </w:numPr>
              <w:spacing w:before="60" w:after="60"/>
              <w:contextualSpacing w:val="0"/>
            </w:pPr>
            <w:r>
              <w:t xml:space="preserve">symptoms reported include </w:t>
            </w:r>
            <w:r w:rsidR="00AE6298">
              <w:t>hyperaemia</w:t>
            </w:r>
            <w:r>
              <w:t xml:space="preserve">, vascular changes and bleeding in the </w:t>
            </w:r>
            <w:r w:rsidR="00BF2C1C">
              <w:t>CNS</w:t>
            </w:r>
            <w:r>
              <w:t>, liver, heart and other organs</w:t>
            </w:r>
          </w:p>
          <w:p w14:paraId="1BFB74DD" w14:textId="4A10228D" w:rsidR="007B0775" w:rsidRDefault="007B0775" w:rsidP="00E063DF">
            <w:pPr>
              <w:pStyle w:val="ListBullet"/>
              <w:spacing w:before="60" w:after="60"/>
              <w:ind w:left="1080" w:hanging="357"/>
              <w:contextualSpacing w:val="0"/>
            </w:pPr>
            <w:r>
              <w:t xml:space="preserve">Exposure to dust and fume of </w:t>
            </w:r>
            <w:r w:rsidR="00E063DF">
              <w:t>S</w:t>
            </w:r>
            <w:r>
              <w:t>n (oxide) recogn</w:t>
            </w:r>
            <w:r w:rsidR="007E6F04">
              <w:t>is</w:t>
            </w:r>
            <w:r>
              <w:t xml:space="preserve">ed to result in stannosis, a mild pneumoconiosis, of which </w:t>
            </w:r>
            <w:r w:rsidR="00BF2C1C">
              <w:t>&gt;</w:t>
            </w:r>
            <w:r>
              <w:t>150 cases have been reported in world literature</w:t>
            </w:r>
          </w:p>
          <w:p w14:paraId="7AEDF4D4" w14:textId="680A69D1" w:rsidR="007B0775" w:rsidRDefault="007B0775" w:rsidP="00E063DF">
            <w:pPr>
              <w:pStyle w:val="ListBullet"/>
              <w:spacing w:before="60" w:after="60"/>
              <w:ind w:left="1080" w:hanging="357"/>
              <w:contextualSpacing w:val="0"/>
            </w:pPr>
            <w:r>
              <w:t xml:space="preserve">No reported cases of massive fibrosis from overexposure to </w:t>
            </w:r>
            <w:r w:rsidR="00E063DF">
              <w:t>S</w:t>
            </w:r>
            <w:r>
              <w:t>n</w:t>
            </w:r>
          </w:p>
          <w:p w14:paraId="65046278" w14:textId="7AB40366" w:rsidR="007B0775" w:rsidRDefault="007B0775" w:rsidP="00E063DF">
            <w:pPr>
              <w:pStyle w:val="ListBullet"/>
              <w:spacing w:before="60" w:after="60"/>
              <w:ind w:left="1080" w:hanging="357"/>
              <w:contextualSpacing w:val="0"/>
            </w:pPr>
            <w:r>
              <w:t xml:space="preserve">Five cases of stannosis reported in the United States </w:t>
            </w:r>
            <w:r w:rsidR="005F66A8">
              <w:t xml:space="preserve">in </w:t>
            </w:r>
            <w:r>
              <w:t>1954; one a retired smelter and bagger of SnO</w:t>
            </w:r>
            <w:r w:rsidRPr="007B0775">
              <w:rPr>
                <w:vertAlign w:val="subscript"/>
              </w:rPr>
              <w:t>2</w:t>
            </w:r>
            <w:r>
              <w:t xml:space="preserve"> for 22 years</w:t>
            </w:r>
            <w:r w:rsidR="005F66A8">
              <w:t>:</w:t>
            </w:r>
          </w:p>
          <w:p w14:paraId="6326C707" w14:textId="567E7126" w:rsidR="007B0775" w:rsidRDefault="00BF2C1C" w:rsidP="00E063DF">
            <w:pPr>
              <w:pStyle w:val="ListBullet"/>
              <w:numPr>
                <w:ilvl w:val="0"/>
                <w:numId w:val="2"/>
              </w:numPr>
              <w:spacing w:before="60" w:after="60"/>
              <w:ind w:hanging="357"/>
              <w:contextualSpacing w:val="0"/>
            </w:pPr>
            <w:r>
              <w:t>n</w:t>
            </w:r>
            <w:r w:rsidR="007B0775">
              <w:t xml:space="preserve">o chest symptoms developed until several years later when </w:t>
            </w:r>
            <w:r>
              <w:t>dyspnoea</w:t>
            </w:r>
            <w:r w:rsidR="007B0775">
              <w:t xml:space="preserve"> occurred; </w:t>
            </w:r>
          </w:p>
          <w:p w14:paraId="5C82D5B9" w14:textId="5E982D3A" w:rsidR="007B0775" w:rsidRDefault="007B0775" w:rsidP="00E063DF">
            <w:pPr>
              <w:pStyle w:val="ListBullet"/>
              <w:numPr>
                <w:ilvl w:val="0"/>
                <w:numId w:val="2"/>
              </w:numPr>
              <w:spacing w:before="60" w:after="60"/>
              <w:ind w:hanging="357"/>
              <w:contextualSpacing w:val="0"/>
            </w:pPr>
            <w:r>
              <w:t>vital capacity was 70% of normal and maximal breathing capacity was 61%</w:t>
            </w:r>
            <w:r w:rsidR="00BF2C1C">
              <w:t>.</w:t>
            </w:r>
          </w:p>
          <w:p w14:paraId="08EDFBA0" w14:textId="77777777" w:rsidR="007B0775" w:rsidRDefault="007E6F04" w:rsidP="007E6F04">
            <w:pPr>
              <w:pStyle w:val="Tabletextprimarysource"/>
            </w:pPr>
            <w:r>
              <w:t>Animal data:</w:t>
            </w:r>
          </w:p>
          <w:p w14:paraId="4F927501" w14:textId="26DDD567" w:rsidR="007E6F04" w:rsidRDefault="007E6F04" w:rsidP="00E063DF">
            <w:pPr>
              <w:pStyle w:val="ListBullet"/>
              <w:spacing w:before="60" w:after="60"/>
              <w:ind w:left="1077" w:hanging="357"/>
              <w:contextualSpacing w:val="0"/>
            </w:pPr>
            <w:r>
              <w:t xml:space="preserve">No data relating to inhalation exposure </w:t>
            </w:r>
            <w:r w:rsidR="00F55703">
              <w:t xml:space="preserve">have been </w:t>
            </w:r>
            <w:r>
              <w:t>presented</w:t>
            </w:r>
            <w:r w:rsidR="00BF2C1C">
              <w:t>.</w:t>
            </w:r>
          </w:p>
          <w:p w14:paraId="3E5E7EA9" w14:textId="77777777" w:rsidR="00E063DF" w:rsidRDefault="00E063DF" w:rsidP="002F4089">
            <w:pPr>
              <w:pStyle w:val="Tabletextprimarysource"/>
            </w:pPr>
          </w:p>
          <w:p w14:paraId="5DBCAEC8" w14:textId="77777777" w:rsidR="00F55703" w:rsidRDefault="002F4089" w:rsidP="002F4089">
            <w:pPr>
              <w:pStyle w:val="Tabletextprimarysource"/>
            </w:pPr>
            <w:r>
              <w:t>Insufficient data to recommend a skin, sensitiser, carcinogenicity notation or a TLV-STEL.</w:t>
            </w:r>
          </w:p>
          <w:p w14:paraId="60C60C2D" w14:textId="77777777" w:rsidR="00E063DF" w:rsidRDefault="00E063DF" w:rsidP="002F4089">
            <w:pPr>
              <w:pStyle w:val="Tabletextprimarysource"/>
            </w:pPr>
          </w:p>
          <w:p w14:paraId="16BCA6B4" w14:textId="77777777" w:rsidR="00370E61" w:rsidRPr="00370E61" w:rsidRDefault="00370E61" w:rsidP="00370E61"/>
          <w:p w14:paraId="5613F099" w14:textId="77777777" w:rsidR="00370E61" w:rsidRPr="00370E61" w:rsidRDefault="00370E61" w:rsidP="00370E61"/>
          <w:p w14:paraId="23B484F6" w14:textId="77777777" w:rsidR="00370E61" w:rsidRPr="00370E61" w:rsidRDefault="00370E61" w:rsidP="00370E61"/>
          <w:p w14:paraId="24A98285" w14:textId="77777777" w:rsidR="00370E61" w:rsidRPr="00370E61" w:rsidRDefault="00370E61" w:rsidP="00370E61"/>
          <w:p w14:paraId="3A53088A" w14:textId="77777777" w:rsidR="00370E61" w:rsidRPr="00370E61" w:rsidRDefault="00370E61" w:rsidP="00370E61"/>
          <w:p w14:paraId="7F2A84A5" w14:textId="77777777" w:rsidR="00370E61" w:rsidRPr="00370E61" w:rsidRDefault="00370E61" w:rsidP="00370E61"/>
          <w:p w14:paraId="48865B35" w14:textId="77777777" w:rsidR="00370E61" w:rsidRPr="00370E61" w:rsidRDefault="00370E61" w:rsidP="00370E61"/>
          <w:p w14:paraId="0E7287A5" w14:textId="77777777" w:rsidR="00370E61" w:rsidRPr="00370E61" w:rsidRDefault="00370E61" w:rsidP="00370E61"/>
          <w:p w14:paraId="2665FC6E" w14:textId="77777777" w:rsidR="00370E61" w:rsidRPr="00370E61" w:rsidRDefault="00370E61" w:rsidP="00370E61"/>
          <w:p w14:paraId="425FC05D" w14:textId="77777777" w:rsidR="00370E61" w:rsidRPr="00370E61" w:rsidRDefault="00370E61" w:rsidP="00370E61"/>
          <w:p w14:paraId="7B44B510" w14:textId="77777777" w:rsidR="00370E61" w:rsidRPr="00370E61" w:rsidRDefault="00370E61" w:rsidP="00370E61"/>
          <w:p w14:paraId="43B074FB" w14:textId="77777777" w:rsidR="00370E61" w:rsidRPr="00370E61" w:rsidRDefault="00370E61" w:rsidP="00370E61"/>
          <w:p w14:paraId="631B9924" w14:textId="4A2DE526" w:rsidR="00370E61" w:rsidRPr="00370E61" w:rsidRDefault="00370E61" w:rsidP="00370E61"/>
        </w:tc>
      </w:tr>
      <w:tr w:rsidR="00C978F0" w:rsidRPr="00DA352E" w14:paraId="55184448" w14:textId="77777777" w:rsidTr="004D6B4E">
        <w:trPr>
          <w:gridAfter w:val="1"/>
          <w:wAfter w:w="8" w:type="pct"/>
          <w:cantSplit/>
        </w:trPr>
        <w:tc>
          <w:tcPr>
            <w:tcW w:w="4992" w:type="pct"/>
            <w:shd w:val="clear" w:color="auto" w:fill="F2F2F2" w:themeFill="background1" w:themeFillShade="F2"/>
          </w:tcPr>
          <w:p w14:paraId="7FCF7714"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7559D6">
                  <w:t>2000</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7559D6">
                  <w:t>Not assigned</w:t>
                </w:r>
              </w:sdtContent>
            </w:sdt>
          </w:p>
        </w:tc>
      </w:tr>
      <w:tr w:rsidR="00C978F0" w:rsidRPr="00DA352E" w14:paraId="6E9AFC82" w14:textId="77777777" w:rsidTr="004D6B4E">
        <w:trPr>
          <w:gridAfter w:val="1"/>
          <w:wAfter w:w="8" w:type="pct"/>
          <w:cantSplit/>
        </w:trPr>
        <w:tc>
          <w:tcPr>
            <w:tcW w:w="4992" w:type="pct"/>
          </w:tcPr>
          <w:p w14:paraId="6C828353" w14:textId="65F13E4E" w:rsidR="00F55703" w:rsidRDefault="00F55703" w:rsidP="00F55703">
            <w:pPr>
              <w:pStyle w:val="Tabletextprimarysource"/>
            </w:pPr>
            <w:r>
              <w:t>MAK cannot be derived scientifically from the results of available studies</w:t>
            </w:r>
            <w:r w:rsidR="005F66A8">
              <w:t>.</w:t>
            </w:r>
          </w:p>
          <w:p w14:paraId="4CD60C50" w14:textId="34AF56A0" w:rsidR="005F66A8" w:rsidRDefault="005F66A8" w:rsidP="00F55703">
            <w:pPr>
              <w:pStyle w:val="Tabletextprimarysource"/>
            </w:pPr>
            <w:r>
              <w:t>Summary of additional data:</w:t>
            </w:r>
          </w:p>
          <w:p w14:paraId="6118A37E" w14:textId="5098F1C5" w:rsidR="00F55703" w:rsidRDefault="00F55703" w:rsidP="00E063DF">
            <w:pPr>
              <w:pStyle w:val="ListBullet"/>
              <w:spacing w:before="60" w:after="60"/>
              <w:ind w:left="1077" w:hanging="357"/>
              <w:contextualSpacing w:val="0"/>
            </w:pPr>
            <w:r>
              <w:t xml:space="preserve">No data for the threshold of effects or effect profile of repeatedly inhaled organic </w:t>
            </w:r>
            <w:r w:rsidR="00E063DF">
              <w:t>S</w:t>
            </w:r>
            <w:r>
              <w:t>n compounds</w:t>
            </w:r>
          </w:p>
          <w:p w14:paraId="0CDF81BF" w14:textId="167FED62" w:rsidR="00F55703" w:rsidRDefault="00F55703" w:rsidP="00E063DF">
            <w:pPr>
              <w:pStyle w:val="ListBullet"/>
              <w:spacing w:before="60" w:after="60"/>
              <w:ind w:left="1077" w:hanging="357"/>
              <w:contextualSpacing w:val="0"/>
            </w:pPr>
            <w:r>
              <w:t xml:space="preserve">In the only study with volunteers, </w:t>
            </w:r>
            <w:r w:rsidR="00E063DF">
              <w:t>S</w:t>
            </w:r>
            <w:r>
              <w:t>n doses of 0.7 mg/kg had no effects; no dose was determined</w:t>
            </w:r>
            <w:r w:rsidR="00BF2C1C">
              <w:t>.</w:t>
            </w:r>
          </w:p>
          <w:p w14:paraId="7438A39B" w14:textId="77777777" w:rsidR="00F55703" w:rsidRDefault="00F55703" w:rsidP="006E4F8D">
            <w:pPr>
              <w:pStyle w:val="Tabletextprimarysource"/>
            </w:pPr>
          </w:p>
          <w:p w14:paraId="04642F8C" w14:textId="77777777" w:rsidR="00370E61" w:rsidRPr="00370E61" w:rsidRDefault="00370E61" w:rsidP="00370E61"/>
          <w:p w14:paraId="700FF737" w14:textId="77777777" w:rsidR="00370E61" w:rsidRPr="00370E61" w:rsidRDefault="00370E61" w:rsidP="00370E61"/>
          <w:p w14:paraId="246559F8" w14:textId="77777777" w:rsidR="00370E61" w:rsidRPr="00370E61" w:rsidRDefault="00370E61" w:rsidP="00370E61"/>
          <w:p w14:paraId="329D6275" w14:textId="77777777" w:rsidR="00370E61" w:rsidRPr="00370E61" w:rsidRDefault="00370E61" w:rsidP="00370E61"/>
          <w:p w14:paraId="05A6E19E" w14:textId="77777777" w:rsidR="00370E61" w:rsidRPr="00370E61" w:rsidRDefault="00370E61" w:rsidP="00370E61"/>
          <w:p w14:paraId="1F006E7A" w14:textId="6958C08B" w:rsidR="00370E61" w:rsidRPr="00370E61" w:rsidRDefault="00370E61" w:rsidP="00370E61"/>
        </w:tc>
      </w:tr>
      <w:tr w:rsidR="00C978F0" w:rsidRPr="00DA352E" w14:paraId="0E89287D" w14:textId="77777777" w:rsidTr="004D6B4E">
        <w:trPr>
          <w:gridAfter w:val="1"/>
          <w:wAfter w:w="8" w:type="pct"/>
          <w:cantSplit/>
        </w:trPr>
        <w:tc>
          <w:tcPr>
            <w:tcW w:w="4992" w:type="pct"/>
            <w:shd w:val="clear" w:color="auto" w:fill="F2F2F2" w:themeFill="background1" w:themeFillShade="F2"/>
          </w:tcPr>
          <w:p w14:paraId="4AD5FE4A" w14:textId="77777777"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F23D7C">
                  <w:t>2003</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F23D7C">
                  <w:t>Not assigned</w:t>
                </w:r>
              </w:sdtContent>
            </w:sdt>
          </w:p>
        </w:tc>
      </w:tr>
      <w:tr w:rsidR="00C978F0" w:rsidRPr="00DA352E" w14:paraId="25BB81E7" w14:textId="77777777" w:rsidTr="004D6B4E">
        <w:trPr>
          <w:gridAfter w:val="1"/>
          <w:wAfter w:w="8" w:type="pct"/>
          <w:cantSplit/>
        </w:trPr>
        <w:tc>
          <w:tcPr>
            <w:tcW w:w="4992" w:type="pct"/>
          </w:tcPr>
          <w:p w14:paraId="4D6F5E3D" w14:textId="3A298572" w:rsidR="00C978F0" w:rsidRDefault="00BF2C1C" w:rsidP="003365A5">
            <w:pPr>
              <w:pStyle w:val="Tabletextprimarysource"/>
            </w:pPr>
            <w:r>
              <w:t>S</w:t>
            </w:r>
            <w:r w:rsidR="006E4F8D">
              <w:t>cientific data considered insufficient to derive a health-based OEL</w:t>
            </w:r>
            <w:r>
              <w:t xml:space="preserve"> </w:t>
            </w:r>
            <w:r w:rsidR="006E4F8D">
              <w:t>value</w:t>
            </w:r>
            <w:r w:rsidR="005F66A8">
              <w:t>.</w:t>
            </w:r>
          </w:p>
          <w:p w14:paraId="484E5D96" w14:textId="77777777" w:rsidR="005F66A8" w:rsidRDefault="005F66A8" w:rsidP="005F66A8">
            <w:pPr>
              <w:pStyle w:val="Tabletextprimarysource"/>
            </w:pPr>
            <w:r>
              <w:t>Summary of additional data:</w:t>
            </w:r>
          </w:p>
          <w:p w14:paraId="77CA854F" w14:textId="51A091FD" w:rsidR="002F4089" w:rsidRDefault="002F4089" w:rsidP="00E063DF">
            <w:pPr>
              <w:pStyle w:val="ListBullet"/>
              <w:spacing w:before="60" w:after="60"/>
              <w:ind w:left="1077" w:hanging="357"/>
              <w:contextualSpacing w:val="0"/>
            </w:pPr>
            <w:r>
              <w:t xml:space="preserve">Deposition of tin particles in the lungs of </w:t>
            </w:r>
            <w:r w:rsidR="00E063DF">
              <w:t>S</w:t>
            </w:r>
            <w:r>
              <w:t>n ore miners induces stannosis</w:t>
            </w:r>
          </w:p>
          <w:p w14:paraId="7A8A5407" w14:textId="77777777" w:rsidR="002F4089" w:rsidRDefault="002F4089">
            <w:pPr>
              <w:pStyle w:val="ListBullet"/>
              <w:spacing w:before="60" w:after="60"/>
              <w:ind w:left="1077" w:hanging="357"/>
              <w:contextualSpacing w:val="0"/>
            </w:pPr>
            <w:r>
              <w:t>The scientific literature consists of case reports in humans, with poor exposure assessment and old methods of examination</w:t>
            </w:r>
            <w:r w:rsidR="00BF2C1C">
              <w:t>.</w:t>
            </w:r>
          </w:p>
          <w:p w14:paraId="3EE30174" w14:textId="1CBC3001" w:rsidR="00E063DF" w:rsidRPr="00DA352E" w:rsidRDefault="00E063DF" w:rsidP="00E063DF">
            <w:pPr>
              <w:pStyle w:val="ListBullet"/>
              <w:numPr>
                <w:ilvl w:val="0"/>
                <w:numId w:val="0"/>
              </w:numPr>
              <w:spacing w:before="60" w:after="60"/>
              <w:ind w:left="360" w:hanging="360"/>
              <w:contextualSpacing w:val="0"/>
            </w:pPr>
          </w:p>
        </w:tc>
      </w:tr>
      <w:tr w:rsidR="00DA352E" w:rsidRPr="00DA352E" w14:paraId="539E929F" w14:textId="77777777" w:rsidTr="004D6B4E">
        <w:trPr>
          <w:gridAfter w:val="1"/>
          <w:wAfter w:w="8" w:type="pct"/>
          <w:cantSplit/>
        </w:trPr>
        <w:tc>
          <w:tcPr>
            <w:tcW w:w="4992" w:type="pct"/>
            <w:shd w:val="clear" w:color="auto" w:fill="F2F2F2" w:themeFill="background1" w:themeFillShade="F2"/>
          </w:tcPr>
          <w:p w14:paraId="25734EB1"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5E0287">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5E0287">
                  <w:t>NA</w:t>
                </w:r>
              </w:sdtContent>
            </w:sdt>
          </w:p>
        </w:tc>
      </w:tr>
      <w:tr w:rsidR="00DA352E" w:rsidRPr="00DA352E" w14:paraId="146612F8" w14:textId="77777777" w:rsidTr="004D6B4E">
        <w:trPr>
          <w:gridAfter w:val="1"/>
          <w:wAfter w:w="8" w:type="pct"/>
          <w:cantSplit/>
        </w:trPr>
        <w:tc>
          <w:tcPr>
            <w:tcW w:w="4992" w:type="pct"/>
          </w:tcPr>
          <w:p w14:paraId="056BD20E" w14:textId="50DFE7EA" w:rsidR="00DA352E" w:rsidRPr="00DA352E" w:rsidRDefault="005E0287" w:rsidP="003365A5">
            <w:pPr>
              <w:pStyle w:val="Tabletextprimarysource"/>
            </w:pPr>
            <w:r>
              <w:t>No report</w:t>
            </w:r>
            <w:r w:rsidR="00BF2C1C">
              <w:t>.</w:t>
            </w:r>
          </w:p>
        </w:tc>
      </w:tr>
      <w:tr w:rsidR="00DA352E" w:rsidRPr="00DA352E" w14:paraId="30E0B930" w14:textId="77777777" w:rsidTr="004D6B4E">
        <w:trPr>
          <w:gridAfter w:val="1"/>
          <w:wAfter w:w="8" w:type="pct"/>
          <w:cantSplit/>
        </w:trPr>
        <w:tc>
          <w:tcPr>
            <w:tcW w:w="4992" w:type="pct"/>
            <w:shd w:val="clear" w:color="auto" w:fill="F2F2F2" w:themeFill="background1" w:themeFillShade="F2"/>
          </w:tcPr>
          <w:p w14:paraId="2AF26A32" w14:textId="77615A20"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1B0617">
                  <w:t>2005</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5E0287">
                  <w:t>T</w:t>
                </w:r>
                <w:r w:rsidR="005E0287" w:rsidRPr="005E0287">
                  <w:t>WA:</w:t>
                </w:r>
                <w:r w:rsidR="005E0287">
                  <w:t xml:space="preserve"> 2 mg/m</w:t>
                </w:r>
                <w:r w:rsidR="005E0287" w:rsidRPr="005E0287">
                  <w:rPr>
                    <w:vertAlign w:val="superscript"/>
                  </w:rPr>
                  <w:t>3</w:t>
                </w:r>
              </w:sdtContent>
            </w:sdt>
          </w:p>
        </w:tc>
      </w:tr>
      <w:tr w:rsidR="00DA352E" w:rsidRPr="00DA352E" w14:paraId="3698488D" w14:textId="77777777" w:rsidTr="004D6B4E">
        <w:trPr>
          <w:gridAfter w:val="1"/>
          <w:wAfter w:w="8" w:type="pct"/>
          <w:cantSplit/>
        </w:trPr>
        <w:tc>
          <w:tcPr>
            <w:tcW w:w="4992" w:type="pct"/>
          </w:tcPr>
          <w:p w14:paraId="1BB93A38" w14:textId="72F01E1C" w:rsidR="002F4089" w:rsidRDefault="002F4089" w:rsidP="003365A5">
            <w:pPr>
              <w:pStyle w:val="Tabletextprimarysource"/>
            </w:pPr>
            <w:r>
              <w:t>Summary of additional data</w:t>
            </w:r>
            <w:r w:rsidR="005F66A8">
              <w:t>:</w:t>
            </w:r>
          </w:p>
          <w:p w14:paraId="6ED682E3" w14:textId="77777777" w:rsidR="00DA352E" w:rsidRDefault="002F4089" w:rsidP="00E063DF">
            <w:pPr>
              <w:pStyle w:val="ListBullet"/>
              <w:spacing w:before="60" w:after="60"/>
              <w:ind w:left="1077" w:hanging="357"/>
              <w:contextualSpacing w:val="0"/>
            </w:pPr>
            <w:r>
              <w:t>No derivation provided</w:t>
            </w:r>
          </w:p>
          <w:p w14:paraId="1812453E" w14:textId="1B53B42D" w:rsidR="002F4089" w:rsidRDefault="002F4089" w:rsidP="00E063DF">
            <w:pPr>
              <w:pStyle w:val="ListBullet"/>
              <w:spacing w:before="60" w:after="60"/>
              <w:ind w:left="1077" w:hanging="357"/>
              <w:contextualSpacing w:val="0"/>
            </w:pPr>
            <w:r>
              <w:t>Notes ACGIH TLV-TWA</w:t>
            </w:r>
          </w:p>
          <w:p w14:paraId="04BD82F7" w14:textId="77777777" w:rsidR="002F4089" w:rsidRDefault="002F4089">
            <w:pPr>
              <w:pStyle w:val="ListBullet"/>
              <w:spacing w:before="60" w:after="60"/>
              <w:ind w:left="1077" w:hanging="357"/>
              <w:contextualSpacing w:val="0"/>
            </w:pPr>
            <w:r>
              <w:t>No further information</w:t>
            </w:r>
            <w:r w:rsidR="00BF2C1C">
              <w:t>.</w:t>
            </w:r>
          </w:p>
          <w:p w14:paraId="382D22AE" w14:textId="27C67D31" w:rsidR="00E063DF" w:rsidRPr="00DA352E" w:rsidRDefault="00E063DF" w:rsidP="00E063DF">
            <w:pPr>
              <w:pStyle w:val="ListBullet"/>
              <w:numPr>
                <w:ilvl w:val="0"/>
                <w:numId w:val="0"/>
              </w:numPr>
              <w:spacing w:before="60" w:after="60"/>
              <w:ind w:left="360" w:hanging="360"/>
              <w:contextualSpacing w:val="0"/>
            </w:pPr>
          </w:p>
        </w:tc>
      </w:tr>
    </w:tbl>
    <w:p w14:paraId="0B240CD0"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p w14:paraId="48AAEDF5" w14:textId="754C78AA" w:rsidR="007E2A4B" w:rsidRDefault="002F4089">
      <w:r>
        <w:t>N</w:t>
      </w:r>
      <w:r w:rsidR="00BF2C1C">
        <w:t xml:space="preserve">IL. </w:t>
      </w:r>
    </w:p>
    <w:bookmarkEnd w:id="0"/>
    <w:p w14:paraId="60779EBF" w14:textId="77777777" w:rsidR="007E2A4B" w:rsidRDefault="007E2A4B" w:rsidP="007E2A4B">
      <w:pPr>
        <w:pStyle w:val="Heading3"/>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0526ACAD" w14:textId="77777777" w:rsidTr="002F4089">
        <w:trPr>
          <w:trHeight w:val="454"/>
          <w:tblHeader/>
        </w:trPr>
        <w:tc>
          <w:tcPr>
            <w:tcW w:w="6603" w:type="dxa"/>
            <w:vAlign w:val="center"/>
          </w:tcPr>
          <w:p w14:paraId="6811EECF"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13036AD8" w14:textId="297CC321" w:rsidR="002E0D61" w:rsidRDefault="002F4089" w:rsidP="00C3091E">
                <w:pPr>
                  <w:pStyle w:val="Tablefont"/>
                  <w:keepNext/>
                  <w:keepLines/>
                  <w:spacing w:before="40" w:after="40"/>
                </w:pPr>
                <w:r>
                  <w:t>No</w:t>
                </w:r>
              </w:p>
            </w:tc>
          </w:sdtContent>
        </w:sdt>
      </w:tr>
      <w:tr w:rsidR="008A36CF" w14:paraId="6245CDD9" w14:textId="77777777" w:rsidTr="002F4089">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0CEF150A" w14:textId="0D9A2034" w:rsidR="008A36CF" w:rsidRPr="006901A2" w:rsidRDefault="002F4089"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4B06E32B" w14:textId="77777777" w:rsidR="008A36CF" w:rsidRDefault="008A36CF" w:rsidP="008A36CF">
            <w:pPr>
              <w:pStyle w:val="Tablefont"/>
              <w:keepNext/>
              <w:keepLines/>
              <w:spacing w:before="40" w:after="40"/>
            </w:pPr>
          </w:p>
        </w:tc>
      </w:tr>
    </w:tbl>
    <w:bookmarkEnd w:id="1"/>
    <w:p w14:paraId="06A496E9"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1D0356E7" w14:textId="77777777" w:rsidTr="004D6B4E">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33E1E71"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3122BEED" w14:textId="77777777" w:rsidR="00687890" w:rsidRPr="004C23F4" w:rsidRDefault="00687890" w:rsidP="00F4402E">
            <w:pPr>
              <w:pStyle w:val="Tableheader"/>
              <w:tabs>
                <w:tab w:val="right" w:pos="5272"/>
              </w:tabs>
            </w:pPr>
            <w:r w:rsidRPr="004C23F4">
              <w:t>Notations</w:t>
            </w:r>
            <w:r w:rsidR="003A2B94">
              <w:tab/>
            </w:r>
          </w:p>
        </w:tc>
      </w:tr>
      <w:tr w:rsidR="00687890" w:rsidRPr="004C23F4" w14:paraId="6E432C01" w14:textId="77777777" w:rsidTr="004D6B4E">
        <w:trPr>
          <w:cantSplit/>
        </w:trPr>
        <w:tc>
          <w:tcPr>
            <w:tcW w:w="3227" w:type="dxa"/>
          </w:tcPr>
          <w:p w14:paraId="2429965D" w14:textId="77777777" w:rsidR="004079B4" w:rsidRPr="004C23F4" w:rsidRDefault="00084513" w:rsidP="00F4402E">
            <w:pPr>
              <w:pStyle w:val="Tablefont"/>
            </w:pPr>
            <w:r w:rsidRPr="004C23F4">
              <w:t>SWA</w:t>
            </w:r>
          </w:p>
        </w:tc>
        <w:tc>
          <w:tcPr>
            <w:tcW w:w="6015" w:type="dxa"/>
          </w:tcPr>
          <w:p w14:paraId="6A7A3B55" w14:textId="77777777" w:rsidR="00687890" w:rsidRPr="00DD2F9B" w:rsidRDefault="002122FC" w:rsidP="002122FC">
            <w:pPr>
              <w:pStyle w:val="Tablefont"/>
              <w:tabs>
                <w:tab w:val="left" w:pos="1302"/>
              </w:tabs>
            </w:pPr>
            <w:r>
              <w:t>NA</w:t>
            </w:r>
          </w:p>
        </w:tc>
      </w:tr>
      <w:tr w:rsidR="007925F0" w:rsidRPr="004C23F4" w14:paraId="45F30FAE" w14:textId="77777777" w:rsidTr="004D6B4E">
        <w:trPr>
          <w:cantSplit/>
        </w:trPr>
        <w:tc>
          <w:tcPr>
            <w:tcW w:w="3227" w:type="dxa"/>
          </w:tcPr>
          <w:p w14:paraId="21FC136F" w14:textId="77777777" w:rsidR="004079B4" w:rsidRPr="004C23F4" w:rsidRDefault="007925F0" w:rsidP="00F4402E">
            <w:pPr>
              <w:pStyle w:val="Tablefont"/>
            </w:pPr>
            <w:r>
              <w:t>HCIS</w:t>
            </w:r>
          </w:p>
        </w:tc>
        <w:tc>
          <w:tcPr>
            <w:tcW w:w="6015" w:type="dxa"/>
          </w:tcPr>
          <w:p w14:paraId="5E82408B" w14:textId="77777777" w:rsidR="007925F0" w:rsidRPr="00DD2F9B" w:rsidRDefault="002122FC" w:rsidP="00DD2F9B">
            <w:pPr>
              <w:pStyle w:val="Tablefont"/>
            </w:pPr>
            <w:r>
              <w:t>NA</w:t>
            </w:r>
          </w:p>
        </w:tc>
      </w:tr>
      <w:tr w:rsidR="00AF483F" w:rsidRPr="004C23F4" w14:paraId="32A87D83" w14:textId="77777777" w:rsidTr="004D6B4E">
        <w:trPr>
          <w:cantSplit/>
        </w:trPr>
        <w:tc>
          <w:tcPr>
            <w:tcW w:w="3227" w:type="dxa"/>
          </w:tcPr>
          <w:p w14:paraId="18AD515E" w14:textId="77777777" w:rsidR="00AF483F" w:rsidRPr="004C23F4" w:rsidRDefault="00AF483F" w:rsidP="00F4402E">
            <w:pPr>
              <w:pStyle w:val="Tablefont"/>
            </w:pPr>
            <w:r>
              <w:t>NICNAS</w:t>
            </w:r>
          </w:p>
        </w:tc>
        <w:tc>
          <w:tcPr>
            <w:tcW w:w="6015" w:type="dxa"/>
          </w:tcPr>
          <w:p w14:paraId="4C173DBE" w14:textId="77777777" w:rsidR="00AF483F" w:rsidRPr="00DD2F9B" w:rsidRDefault="00005C94" w:rsidP="00DD2F9B">
            <w:pPr>
              <w:pStyle w:val="Tablefont"/>
            </w:pPr>
            <w:r>
              <w:t>NA</w:t>
            </w:r>
          </w:p>
        </w:tc>
      </w:tr>
      <w:tr w:rsidR="00687890" w:rsidRPr="004C23F4" w14:paraId="2FF23361" w14:textId="77777777" w:rsidTr="004D6B4E">
        <w:trPr>
          <w:cantSplit/>
        </w:trPr>
        <w:tc>
          <w:tcPr>
            <w:tcW w:w="3227" w:type="dxa"/>
          </w:tcPr>
          <w:p w14:paraId="04E3DC1E" w14:textId="77777777" w:rsidR="004079B4" w:rsidRPr="004C23F4" w:rsidRDefault="00687890" w:rsidP="00F4402E">
            <w:pPr>
              <w:pStyle w:val="Tablefont"/>
            </w:pPr>
            <w:r w:rsidRPr="004C23F4">
              <w:t>EU Annex</w:t>
            </w:r>
          </w:p>
        </w:tc>
        <w:tc>
          <w:tcPr>
            <w:tcW w:w="6015" w:type="dxa"/>
          </w:tcPr>
          <w:p w14:paraId="34800FFD" w14:textId="77777777" w:rsidR="00687890" w:rsidRPr="00DD2F9B" w:rsidRDefault="00005C94" w:rsidP="00DD2F9B">
            <w:pPr>
              <w:pStyle w:val="Tablefont"/>
            </w:pPr>
            <w:r>
              <w:t>NA</w:t>
            </w:r>
          </w:p>
        </w:tc>
      </w:tr>
      <w:tr w:rsidR="00E41A26" w:rsidRPr="004C23F4" w14:paraId="0C84343B" w14:textId="77777777" w:rsidTr="004D6B4E">
        <w:trPr>
          <w:cantSplit/>
        </w:trPr>
        <w:tc>
          <w:tcPr>
            <w:tcW w:w="3227" w:type="dxa"/>
          </w:tcPr>
          <w:p w14:paraId="79A9DB3D" w14:textId="77777777" w:rsidR="00E41A26" w:rsidRDefault="00E41A26" w:rsidP="00F4402E">
            <w:pPr>
              <w:pStyle w:val="Tablefont"/>
            </w:pPr>
            <w:r>
              <w:t>ECHA</w:t>
            </w:r>
          </w:p>
        </w:tc>
        <w:tc>
          <w:tcPr>
            <w:tcW w:w="6015" w:type="dxa"/>
          </w:tcPr>
          <w:p w14:paraId="044CAC8C" w14:textId="77777777" w:rsidR="00E41A26" w:rsidRPr="00DD2F9B" w:rsidRDefault="00005C94" w:rsidP="00DD2F9B">
            <w:pPr>
              <w:pStyle w:val="Tablefont"/>
            </w:pPr>
            <w:r>
              <w:t>NA</w:t>
            </w:r>
          </w:p>
        </w:tc>
      </w:tr>
      <w:tr w:rsidR="002E0D61" w:rsidRPr="004C23F4" w14:paraId="76109A0B" w14:textId="77777777" w:rsidTr="004D6B4E">
        <w:trPr>
          <w:cantSplit/>
        </w:trPr>
        <w:tc>
          <w:tcPr>
            <w:tcW w:w="3227" w:type="dxa"/>
          </w:tcPr>
          <w:p w14:paraId="46D465D8" w14:textId="77777777" w:rsidR="004079B4" w:rsidRPr="004C23F4" w:rsidRDefault="002E0D61" w:rsidP="00F4402E">
            <w:pPr>
              <w:pStyle w:val="Tablefont"/>
            </w:pPr>
            <w:r>
              <w:t>ACGIH</w:t>
            </w:r>
          </w:p>
        </w:tc>
        <w:tc>
          <w:tcPr>
            <w:tcW w:w="6015" w:type="dxa"/>
          </w:tcPr>
          <w:p w14:paraId="5D53E1F7" w14:textId="77777777" w:rsidR="002E0D61" w:rsidRPr="00DD2F9B" w:rsidRDefault="007559D6" w:rsidP="00DD2F9B">
            <w:pPr>
              <w:pStyle w:val="Tablefont"/>
            </w:pPr>
            <w:r>
              <w:t>NA</w:t>
            </w:r>
          </w:p>
        </w:tc>
      </w:tr>
      <w:tr w:rsidR="002E0D61" w:rsidRPr="004C23F4" w14:paraId="4484FEFA" w14:textId="77777777" w:rsidTr="004D6B4E">
        <w:trPr>
          <w:cantSplit/>
        </w:trPr>
        <w:tc>
          <w:tcPr>
            <w:tcW w:w="3227" w:type="dxa"/>
          </w:tcPr>
          <w:p w14:paraId="75F2859D" w14:textId="77777777" w:rsidR="004079B4" w:rsidRPr="004C23F4" w:rsidRDefault="002E0D61" w:rsidP="00F4402E">
            <w:pPr>
              <w:pStyle w:val="Tablefont"/>
            </w:pPr>
            <w:r>
              <w:t>DFG</w:t>
            </w:r>
          </w:p>
        </w:tc>
        <w:tc>
          <w:tcPr>
            <w:tcW w:w="6015" w:type="dxa"/>
          </w:tcPr>
          <w:p w14:paraId="73FCCE58" w14:textId="77777777" w:rsidR="002E0D61" w:rsidRPr="00F90D00" w:rsidRDefault="007559D6" w:rsidP="00DD2F9B">
            <w:pPr>
              <w:pStyle w:val="Tablefont"/>
              <w:rPr>
                <w:highlight w:val="yellow"/>
              </w:rPr>
            </w:pPr>
            <w:r w:rsidRPr="006C3D4A">
              <w:t>NA</w:t>
            </w:r>
          </w:p>
        </w:tc>
      </w:tr>
      <w:tr w:rsidR="002E0D61" w:rsidRPr="004C23F4" w14:paraId="718510E2" w14:textId="77777777" w:rsidTr="004D6B4E">
        <w:trPr>
          <w:cantSplit/>
        </w:trPr>
        <w:tc>
          <w:tcPr>
            <w:tcW w:w="3227" w:type="dxa"/>
          </w:tcPr>
          <w:p w14:paraId="3D36A426" w14:textId="77777777" w:rsidR="004079B4" w:rsidRPr="004C23F4" w:rsidRDefault="002E0D61" w:rsidP="00F4402E">
            <w:pPr>
              <w:pStyle w:val="Tablefont"/>
            </w:pPr>
            <w:r>
              <w:t>SCOEL</w:t>
            </w:r>
          </w:p>
        </w:tc>
        <w:tc>
          <w:tcPr>
            <w:tcW w:w="6015" w:type="dxa"/>
          </w:tcPr>
          <w:p w14:paraId="74440BC9" w14:textId="77777777" w:rsidR="002E0D61" w:rsidRPr="00DD2F9B" w:rsidRDefault="00F23D7C" w:rsidP="00DD2F9B">
            <w:pPr>
              <w:pStyle w:val="Tablefont"/>
            </w:pPr>
            <w:r>
              <w:t>NA</w:t>
            </w:r>
          </w:p>
        </w:tc>
      </w:tr>
      <w:tr w:rsidR="002E0D61" w:rsidRPr="004C23F4" w14:paraId="4597E062" w14:textId="77777777" w:rsidTr="004D6B4E">
        <w:trPr>
          <w:cantSplit/>
        </w:trPr>
        <w:tc>
          <w:tcPr>
            <w:tcW w:w="3227" w:type="dxa"/>
          </w:tcPr>
          <w:p w14:paraId="18E5997A" w14:textId="77777777" w:rsidR="004079B4" w:rsidRDefault="002E0D61" w:rsidP="00F4402E">
            <w:pPr>
              <w:pStyle w:val="Tablefont"/>
            </w:pPr>
            <w:r>
              <w:t>HCOTN</w:t>
            </w:r>
          </w:p>
        </w:tc>
        <w:tc>
          <w:tcPr>
            <w:tcW w:w="6015" w:type="dxa"/>
          </w:tcPr>
          <w:p w14:paraId="3B3D9C09" w14:textId="77777777" w:rsidR="002E0D61" w:rsidRPr="00DD2F9B" w:rsidRDefault="001B0617" w:rsidP="00DD2F9B">
            <w:pPr>
              <w:pStyle w:val="Tablefont"/>
            </w:pPr>
            <w:r>
              <w:t>NA</w:t>
            </w:r>
          </w:p>
        </w:tc>
      </w:tr>
      <w:tr w:rsidR="00386093" w:rsidRPr="004C23F4" w14:paraId="4497CABE" w14:textId="77777777" w:rsidTr="004D6B4E">
        <w:trPr>
          <w:cantSplit/>
        </w:trPr>
        <w:tc>
          <w:tcPr>
            <w:tcW w:w="3227" w:type="dxa"/>
          </w:tcPr>
          <w:p w14:paraId="6E87E4A5" w14:textId="77777777" w:rsidR="004079B4" w:rsidRDefault="00386093" w:rsidP="00F4402E">
            <w:pPr>
              <w:pStyle w:val="Tablefont"/>
            </w:pPr>
            <w:r>
              <w:t>IARC</w:t>
            </w:r>
          </w:p>
        </w:tc>
        <w:tc>
          <w:tcPr>
            <w:tcW w:w="6015" w:type="dxa"/>
          </w:tcPr>
          <w:p w14:paraId="6E5B6DFF" w14:textId="77777777" w:rsidR="00386093" w:rsidRPr="00DD2F9B" w:rsidRDefault="00005C94" w:rsidP="00DD2F9B">
            <w:pPr>
              <w:pStyle w:val="Tablefont"/>
            </w:pPr>
            <w:r>
              <w:t>NA</w:t>
            </w:r>
          </w:p>
        </w:tc>
      </w:tr>
      <w:tr w:rsidR="00386093" w:rsidRPr="004C23F4" w14:paraId="37BA5EE7" w14:textId="77777777" w:rsidTr="004D6B4E">
        <w:trPr>
          <w:cantSplit/>
        </w:trPr>
        <w:tc>
          <w:tcPr>
            <w:tcW w:w="3227" w:type="dxa"/>
          </w:tcPr>
          <w:p w14:paraId="0E49C5A6" w14:textId="77777777" w:rsidR="004079B4" w:rsidRDefault="00386093" w:rsidP="00F4402E">
            <w:pPr>
              <w:pStyle w:val="Tablefont"/>
              <w:keepNext/>
            </w:pPr>
            <w:r>
              <w:t>US NIOSH</w:t>
            </w:r>
          </w:p>
        </w:tc>
        <w:tc>
          <w:tcPr>
            <w:tcW w:w="6015" w:type="dxa"/>
          </w:tcPr>
          <w:p w14:paraId="3F3036FD" w14:textId="77777777" w:rsidR="00386093" w:rsidRPr="00DD2F9B" w:rsidRDefault="00614D6A" w:rsidP="00D87570">
            <w:pPr>
              <w:pStyle w:val="Tablefont"/>
              <w:keepNext/>
            </w:pPr>
            <w:r>
              <w:t>NA</w:t>
            </w:r>
          </w:p>
        </w:tc>
      </w:tr>
    </w:tbl>
    <w:bookmarkEnd w:id="2"/>
    <w:p w14:paraId="03D79957"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012254C8" w14:textId="7B4E1C8E" w:rsidR="00474E33" w:rsidRDefault="00474E33" w:rsidP="00474E33">
      <w:pPr>
        <w:pStyle w:val="Heading3"/>
      </w:pPr>
      <w:r>
        <w:t>Skin notation assessment</w:t>
      </w:r>
    </w:p>
    <w:p w14:paraId="7EAA7B47" w14:textId="21AA60CE" w:rsidR="00BF2C1C" w:rsidRPr="00BF2C1C" w:rsidRDefault="00BF2C1C" w:rsidP="00BF2C1C">
      <w:pPr>
        <w:rPr>
          <w:lang w:eastAsia="en-AU"/>
        </w:rPr>
      </w:pPr>
      <w:r w:rsidRPr="00EA0DA8">
        <w:t>Insufficient data to assign a skin notation</w:t>
      </w:r>
      <w:r w:rsidR="00E063DF">
        <w:t>.</w:t>
      </w:r>
    </w:p>
    <w:p w14:paraId="0B47D55D"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01401ED0" w14:textId="77777777" w:rsidTr="00610F2E">
        <w:trPr>
          <w:trHeight w:val="454"/>
          <w:tblHeader/>
        </w:trPr>
        <w:tc>
          <w:tcPr>
            <w:tcW w:w="4361" w:type="dxa"/>
            <w:vAlign w:val="center"/>
          </w:tcPr>
          <w:p w14:paraId="5DD10409"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694B067" w14:textId="77777777" w:rsidR="00EB3D1B" w:rsidRDefault="00614D6A" w:rsidP="00EB3D1B">
                <w:pPr>
                  <w:pStyle w:val="Tablefont"/>
                </w:pPr>
                <w:r>
                  <w:t>No</w:t>
                </w:r>
              </w:p>
            </w:tc>
          </w:sdtContent>
        </w:sdt>
      </w:tr>
    </w:tbl>
    <w:p w14:paraId="13EAB84E"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53FCDE79" w14:textId="77777777" w:rsidTr="00EA6243">
        <w:trPr>
          <w:cantSplit/>
          <w:tblHeader/>
        </w:trPr>
        <w:tc>
          <w:tcPr>
            <w:tcW w:w="4077" w:type="dxa"/>
            <w:vAlign w:val="center"/>
          </w:tcPr>
          <w:p w14:paraId="2EAD384B"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6555DD0" w14:textId="77777777" w:rsidR="001B79E5" w:rsidRDefault="007559D6" w:rsidP="001B79E5">
                <w:pPr>
                  <w:pStyle w:val="Tablefont"/>
                </w:pPr>
                <w:r>
                  <w:t>118.7</w:t>
                </w:r>
              </w:p>
            </w:tc>
          </w:sdtContent>
        </w:sdt>
      </w:tr>
      <w:tr w:rsidR="00A31D99" w:rsidRPr="004C23F4" w14:paraId="3A90BA29" w14:textId="77777777" w:rsidTr="00EA6243">
        <w:trPr>
          <w:cantSplit/>
          <w:tblHeader/>
        </w:trPr>
        <w:tc>
          <w:tcPr>
            <w:tcW w:w="4077" w:type="dxa"/>
            <w:vAlign w:val="center"/>
          </w:tcPr>
          <w:p w14:paraId="26EFAB50"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538BF05B" w14:textId="6811B2AF" w:rsidR="00A31D99" w:rsidRDefault="00A0643F" w:rsidP="00A174CC">
            <w:pPr>
              <w:pStyle w:val="Tablefont"/>
            </w:pPr>
            <w:r>
              <w:t xml:space="preserve">1 ppm = </w:t>
            </w:r>
            <w:sdt>
              <w:sdtPr>
                <w:id w:val="-371151491"/>
                <w:placeholder>
                  <w:docPart w:val="A7231FB73EFF4B2B92EB3BD21C0CEA01"/>
                </w:placeholder>
              </w:sdtPr>
              <w:sdtEndPr/>
              <w:sdtContent>
                <w:r w:rsidR="005F66A8">
                  <w:t>0.21</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5F66A8" w:rsidRPr="005F66A8">
                  <w:t>4.85</w:t>
                </w:r>
              </w:sdtContent>
            </w:sdt>
            <w:r>
              <w:t xml:space="preserve"> ppm</w:t>
            </w:r>
          </w:p>
        </w:tc>
      </w:tr>
      <w:tr w:rsidR="00687890" w:rsidRPr="004C23F4" w14:paraId="1369BFFC" w14:textId="77777777" w:rsidTr="00EA6243">
        <w:trPr>
          <w:cantSplit/>
          <w:tblHeader/>
        </w:trPr>
        <w:tc>
          <w:tcPr>
            <w:tcW w:w="4077" w:type="dxa"/>
            <w:vAlign w:val="center"/>
          </w:tcPr>
          <w:p w14:paraId="5D428E56"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5D5B521B"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2545A60C" w14:textId="77777777" w:rsidTr="00EA6243">
        <w:trPr>
          <w:cantSplit/>
        </w:trPr>
        <w:tc>
          <w:tcPr>
            <w:tcW w:w="4077" w:type="dxa"/>
            <w:vAlign w:val="center"/>
          </w:tcPr>
          <w:p w14:paraId="5AF6E8C8"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D4D3060"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8C5B121" w14:textId="77777777" w:rsidTr="00EA6243">
        <w:trPr>
          <w:cantSplit/>
        </w:trPr>
        <w:tc>
          <w:tcPr>
            <w:tcW w:w="4077" w:type="dxa"/>
            <w:vAlign w:val="center"/>
          </w:tcPr>
          <w:p w14:paraId="7BFFE5A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231A734A"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30D1C85F" w14:textId="77777777" w:rsidTr="00EA6243">
        <w:trPr>
          <w:cantSplit/>
        </w:trPr>
        <w:tc>
          <w:tcPr>
            <w:tcW w:w="4077" w:type="dxa"/>
            <w:vAlign w:val="center"/>
          </w:tcPr>
          <w:p w14:paraId="63291142"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3987FBC0" w14:textId="77777777" w:rsidR="00E06F40" w:rsidRPr="00A006A0" w:rsidRDefault="00370E61"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7B00B342" w14:textId="77777777" w:rsidR="007F1005" w:rsidRPr="004C23F4" w:rsidRDefault="007F1005" w:rsidP="00EB3D1B">
      <w:pPr>
        <w:pStyle w:val="Heading2"/>
        <w:keepLines/>
      </w:pPr>
      <w:r w:rsidRPr="004C23F4">
        <w:lastRenderedPageBreak/>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05FCA518" w14:textId="77777777" w:rsidTr="00F053FA">
        <w:trPr>
          <w:tblHeader/>
        </w:trPr>
        <w:tc>
          <w:tcPr>
            <w:tcW w:w="4077" w:type="dxa"/>
            <w:shd w:val="clear" w:color="auto" w:fill="BFBFBF" w:themeFill="background1" w:themeFillShade="BF"/>
            <w:vAlign w:val="center"/>
          </w:tcPr>
          <w:p w14:paraId="64E9E781" w14:textId="77777777" w:rsidR="00224EE2" w:rsidRPr="004C23F4" w:rsidRDefault="00224EE2" w:rsidP="00EB3D1B">
            <w:pPr>
              <w:pStyle w:val="Tableheader"/>
              <w:keepNext/>
              <w:keepLines/>
            </w:pPr>
            <w:bookmarkStart w:id="3" w:name="History" w:colFirst="0" w:colLast="1"/>
            <w:r>
              <w:t>Year</w:t>
            </w:r>
          </w:p>
        </w:tc>
        <w:tc>
          <w:tcPr>
            <w:tcW w:w="5165" w:type="dxa"/>
            <w:shd w:val="clear" w:color="auto" w:fill="BFBFBF" w:themeFill="background1" w:themeFillShade="BF"/>
            <w:vAlign w:val="center"/>
          </w:tcPr>
          <w:p w14:paraId="7C633BDE" w14:textId="77777777" w:rsidR="00224EE2" w:rsidRPr="004C23F4" w:rsidRDefault="00224EE2" w:rsidP="00EB3D1B">
            <w:pPr>
              <w:pStyle w:val="Tableheader"/>
              <w:keepNext/>
              <w:keepLines/>
            </w:pPr>
            <w:r>
              <w:t>Standard</w:t>
            </w:r>
          </w:p>
        </w:tc>
      </w:tr>
      <w:tr w:rsidR="007F1005" w:rsidRPr="004C23F4" w14:paraId="28202AB2" w14:textId="77777777" w:rsidTr="00F053FA">
        <w:trPr>
          <w:tblHeader/>
        </w:trPr>
        <w:sdt>
          <w:sdtPr>
            <w:id w:val="-25557549"/>
            <w:placeholder>
              <w:docPart w:val="2BF891C0AB704CDAB9BC6E80D556473F"/>
            </w:placeholder>
            <w:showingPlcHdr/>
            <w:text/>
          </w:sdtPr>
          <w:sdtEndPr/>
          <w:sdtContent>
            <w:tc>
              <w:tcPr>
                <w:tcW w:w="4077" w:type="dxa"/>
                <w:vAlign w:val="center"/>
              </w:tcPr>
              <w:p w14:paraId="48563D7E"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F81F852" w14:textId="77777777" w:rsidR="007F1005" w:rsidRPr="004C23F4" w:rsidRDefault="007F1005" w:rsidP="00EB3D1B">
            <w:pPr>
              <w:pStyle w:val="Tablefont"/>
              <w:keepLines/>
            </w:pPr>
          </w:p>
        </w:tc>
      </w:tr>
    </w:tbl>
    <w:bookmarkEnd w:id="3"/>
    <w:p w14:paraId="7512BE63" w14:textId="77777777" w:rsidR="00F87D92" w:rsidRDefault="00F87D92" w:rsidP="00EF7F78">
      <w:pPr>
        <w:pStyle w:val="Heading2"/>
        <w:tabs>
          <w:tab w:val="right" w:pos="8505"/>
        </w:tabs>
      </w:pPr>
      <w:r>
        <w:t>References</w:t>
      </w:r>
      <w:r w:rsidR="00EF7F78">
        <w:tab/>
      </w:r>
    </w:p>
    <w:p w14:paraId="6B1EBFFE"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15B85FFF" w14:textId="77777777" w:rsidR="008E4F1F" w:rsidRDefault="008E4F1F" w:rsidP="00614D6A">
      <w:pPr>
        <w:rPr>
          <w:b/>
        </w:rPr>
      </w:pPr>
      <w:r w:rsidRPr="002022B6">
        <w:t>Deutsche Forschungsgemeinschaft (DFG)</w:t>
      </w:r>
      <w:r>
        <w:t xml:space="preserve"> (</w:t>
      </w:r>
      <w:r w:rsidR="00614D6A">
        <w:t>2000</w:t>
      </w:r>
      <w:r>
        <w:t xml:space="preserve">) </w:t>
      </w:r>
      <w:r w:rsidR="00614D6A">
        <w:t>Tin and its inorganic compounds (apart from SnH4)</w:t>
      </w:r>
      <w:r>
        <w:t xml:space="preserve"> – MAK value documentation.</w:t>
      </w:r>
    </w:p>
    <w:p w14:paraId="5D4782B1" w14:textId="77777777" w:rsidR="008E4F1F" w:rsidRDefault="008E4F1F" w:rsidP="008E4F1F">
      <w:pPr>
        <w:rPr>
          <w:b/>
        </w:rPr>
      </w:pPr>
      <w:r w:rsidRPr="002022B6">
        <w:t>EU Scientific Committee on Occupational Exposure Limits (SCOEL)</w:t>
      </w:r>
      <w:r>
        <w:t xml:space="preserve"> (</w:t>
      </w:r>
      <w:r w:rsidR="00614D6A">
        <w:t>2003</w:t>
      </w:r>
      <w:r>
        <w:t xml:space="preserve">) Recommendation from the Scientific Committee on Occupational Exposure Limits for </w:t>
      </w:r>
      <w:r w:rsidR="00DC72B4" w:rsidRPr="00DC72B4">
        <w:t>tin and inorganic tin compounds</w:t>
      </w:r>
      <w:r>
        <w:t xml:space="preserve">. </w:t>
      </w:r>
      <w:r w:rsidR="00614D6A" w:rsidRPr="00614D6A">
        <w:t>SCOEL/SUM/97</w:t>
      </w:r>
      <w:r>
        <w:t>.</w:t>
      </w:r>
    </w:p>
    <w:p w14:paraId="1B6D9DF7" w14:textId="77777777" w:rsidR="008E4F1F" w:rsidRDefault="008E4F1F" w:rsidP="008E4F1F">
      <w:pPr>
        <w:rPr>
          <w:b/>
        </w:rPr>
      </w:pPr>
      <w:r w:rsidRPr="002022B6">
        <w:t>Health Council of the Netherlands</w:t>
      </w:r>
      <w:r>
        <w:t xml:space="preserve"> (HCOTN) (</w:t>
      </w:r>
      <w:r w:rsidR="005242A2">
        <w:t>2005</w:t>
      </w:r>
      <w:r>
        <w:t xml:space="preserve">) </w:t>
      </w:r>
      <w:r w:rsidR="005242A2" w:rsidRPr="005242A2">
        <w:t>Tin and inorganic tin compounds</w:t>
      </w:r>
      <w:r w:rsidRPr="005F7416">
        <w:t xml:space="preserve">. </w:t>
      </w:r>
      <w:r w:rsidR="005242A2" w:rsidRPr="005242A2">
        <w:t>Health-based recommended occupational exposure limit</w:t>
      </w:r>
      <w:r w:rsidRPr="005F7416">
        <w:t xml:space="preserve">. The Hague: Health Council of the Netherlands; publication no. </w:t>
      </w:r>
      <w:r w:rsidR="005242A2" w:rsidRPr="005242A2">
        <w:t>2005/06OSH</w:t>
      </w:r>
      <w:r>
        <w:t>.</w:t>
      </w:r>
    </w:p>
    <w:p w14:paraId="5751C227"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AA5B" w14:textId="77777777" w:rsidR="001F25FE" w:rsidRDefault="001F25FE" w:rsidP="00F43AD5">
      <w:pPr>
        <w:spacing w:after="0" w:line="240" w:lineRule="auto"/>
      </w:pPr>
      <w:r>
        <w:separator/>
      </w:r>
    </w:p>
  </w:endnote>
  <w:endnote w:type="continuationSeparator" w:id="0">
    <w:p w14:paraId="4C88170C" w14:textId="77777777" w:rsidR="001F25FE" w:rsidRDefault="001F25FE"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9D0B5D7" w14:textId="3B4F8868" w:rsidR="008A36CF" w:rsidRDefault="00561FFC" w:rsidP="0034744C">
        <w:pPr>
          <w:pStyle w:val="Footer"/>
          <w:rPr>
            <w:sz w:val="18"/>
            <w:szCs w:val="18"/>
          </w:rPr>
        </w:pPr>
        <w:r>
          <w:rPr>
            <w:b/>
            <w:sz w:val="18"/>
            <w:szCs w:val="18"/>
          </w:rPr>
          <w:t xml:space="preserve">Tin </w:t>
        </w:r>
        <w:r w:rsidR="00C14487">
          <w:rPr>
            <w:b/>
            <w:sz w:val="18"/>
            <w:szCs w:val="18"/>
          </w:rPr>
          <w:t>(metal and</w:t>
        </w:r>
        <w:r>
          <w:rPr>
            <w:b/>
            <w:sz w:val="18"/>
            <w:szCs w:val="18"/>
          </w:rPr>
          <w:t xml:space="preserve"> inorganic compounds</w:t>
        </w:r>
        <w:r w:rsidR="00C14487">
          <w:rPr>
            <w:b/>
            <w:sz w:val="18"/>
            <w:szCs w:val="18"/>
          </w:rPr>
          <w:t>)</w:t>
        </w:r>
        <w:r w:rsidR="008A36CF">
          <w:rPr>
            <w:b/>
            <w:sz w:val="18"/>
            <w:szCs w:val="18"/>
          </w:rPr>
          <w:t xml:space="preserve"> (</w:t>
        </w:r>
        <w:r>
          <w:rPr>
            <w:b/>
            <w:sz w:val="18"/>
            <w:szCs w:val="18"/>
          </w:rPr>
          <w:t>7440-31-5</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w:t>
        </w:r>
        <w:r w:rsidR="00BF2C1C">
          <w:rPr>
            <w:sz w:val="18"/>
            <w:szCs w:val="18"/>
          </w:rPr>
          <w:t>20</w:t>
        </w:r>
      </w:p>
      <w:p w14:paraId="16DCCA55" w14:textId="53ADA057"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A719BE">
          <w:rPr>
            <w:noProof/>
            <w:sz w:val="18"/>
            <w:szCs w:val="18"/>
          </w:rPr>
          <w:t>3</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452CD" w14:textId="77777777" w:rsidR="001F25FE" w:rsidRDefault="001F25FE" w:rsidP="00F43AD5">
      <w:pPr>
        <w:spacing w:after="0" w:line="240" w:lineRule="auto"/>
      </w:pPr>
      <w:r>
        <w:separator/>
      </w:r>
    </w:p>
  </w:footnote>
  <w:footnote w:type="continuationSeparator" w:id="0">
    <w:p w14:paraId="26D5642D" w14:textId="77777777" w:rsidR="001F25FE" w:rsidRDefault="001F25FE"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87A20" w14:textId="1B8C8858" w:rsidR="004D6B4E" w:rsidRDefault="004D6B4E" w:rsidP="004D6B4E">
    <w:pPr>
      <w:pStyle w:val="Header"/>
      <w:jc w:val="right"/>
    </w:pPr>
    <w:r>
      <w:rPr>
        <w:noProof/>
        <w:lang w:eastAsia="en-AU"/>
      </w:rPr>
      <w:drawing>
        <wp:inline distT="0" distB="0" distL="0" distR="0" wp14:anchorId="5FCEC92C" wp14:editId="636131BF">
          <wp:extent cx="2957195" cy="60579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2750" cy="609600"/>
                  </a:xfrm>
                  <a:prstGeom prst="rect">
                    <a:avLst/>
                  </a:prstGeom>
                </pic:spPr>
              </pic:pic>
            </a:graphicData>
          </a:graphic>
        </wp:inline>
      </w:drawing>
    </w:r>
  </w:p>
  <w:p w14:paraId="2F41DFA3" w14:textId="77777777" w:rsidR="004D6B4E" w:rsidRDefault="004D6B4E" w:rsidP="004D6B4E">
    <w:pPr>
      <w:pStyle w:val="Header"/>
    </w:pPr>
  </w:p>
  <w:p w14:paraId="31972B39" w14:textId="00EF9739" w:rsidR="008A36CF" w:rsidRPr="004D6B4E" w:rsidRDefault="008A36CF" w:rsidP="004D6B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D1DDD" w14:textId="3E2E770D" w:rsidR="004D6B4E" w:rsidRDefault="004D6B4E" w:rsidP="004D6B4E">
    <w:pPr>
      <w:pStyle w:val="Header"/>
      <w:jc w:val="right"/>
    </w:pPr>
    <w:r>
      <w:rPr>
        <w:noProof/>
        <w:lang w:eastAsia="en-AU"/>
      </w:rPr>
      <w:drawing>
        <wp:inline distT="0" distB="0" distL="0" distR="0" wp14:anchorId="3E624566" wp14:editId="508882CC">
          <wp:extent cx="2957195" cy="60579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2750" cy="609600"/>
                  </a:xfrm>
                  <a:prstGeom prst="rect">
                    <a:avLst/>
                  </a:prstGeom>
                </pic:spPr>
              </pic:pic>
            </a:graphicData>
          </a:graphic>
        </wp:inline>
      </w:drawing>
    </w:r>
  </w:p>
  <w:p w14:paraId="213F8FE3" w14:textId="77777777" w:rsidR="004D6B4E" w:rsidRDefault="004D6B4E" w:rsidP="004D6B4E">
    <w:pPr>
      <w:pStyle w:val="Header"/>
    </w:pPr>
  </w:p>
  <w:p w14:paraId="63DF4574"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6BCAE2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435E2250"/>
    <w:multiLevelType w:val="hybridMultilevel"/>
    <w:tmpl w:val="131EE15E"/>
    <w:lvl w:ilvl="0" w:tplc="0C090003">
      <w:start w:val="1"/>
      <w:numFmt w:val="bullet"/>
      <w:lvlText w:val="o"/>
      <w:lvlJc w:val="left"/>
      <w:pPr>
        <w:ind w:left="1443" w:hanging="360"/>
      </w:pPr>
      <w:rPr>
        <w:rFonts w:ascii="Courier New" w:hAnsi="Courier New" w:cs="Courier New" w:hint="default"/>
      </w:rPr>
    </w:lvl>
    <w:lvl w:ilvl="1" w:tplc="0C090003" w:tentative="1">
      <w:start w:val="1"/>
      <w:numFmt w:val="bullet"/>
      <w:lvlText w:val="o"/>
      <w:lvlJc w:val="left"/>
      <w:pPr>
        <w:ind w:left="2163" w:hanging="360"/>
      </w:pPr>
      <w:rPr>
        <w:rFonts w:ascii="Courier New" w:hAnsi="Courier New" w:cs="Courier New" w:hint="default"/>
      </w:rPr>
    </w:lvl>
    <w:lvl w:ilvl="2" w:tplc="0C090005" w:tentative="1">
      <w:start w:val="1"/>
      <w:numFmt w:val="bullet"/>
      <w:lvlText w:val=""/>
      <w:lvlJc w:val="left"/>
      <w:pPr>
        <w:ind w:left="2883" w:hanging="360"/>
      </w:pPr>
      <w:rPr>
        <w:rFonts w:ascii="Wingdings" w:hAnsi="Wingdings" w:hint="default"/>
      </w:rPr>
    </w:lvl>
    <w:lvl w:ilvl="3" w:tplc="0C090001" w:tentative="1">
      <w:start w:val="1"/>
      <w:numFmt w:val="bullet"/>
      <w:lvlText w:val=""/>
      <w:lvlJc w:val="left"/>
      <w:pPr>
        <w:ind w:left="3603" w:hanging="360"/>
      </w:pPr>
      <w:rPr>
        <w:rFonts w:ascii="Symbol" w:hAnsi="Symbol" w:hint="default"/>
      </w:rPr>
    </w:lvl>
    <w:lvl w:ilvl="4" w:tplc="0C090003" w:tentative="1">
      <w:start w:val="1"/>
      <w:numFmt w:val="bullet"/>
      <w:lvlText w:val="o"/>
      <w:lvlJc w:val="left"/>
      <w:pPr>
        <w:ind w:left="4323" w:hanging="360"/>
      </w:pPr>
      <w:rPr>
        <w:rFonts w:ascii="Courier New" w:hAnsi="Courier New" w:cs="Courier New" w:hint="default"/>
      </w:rPr>
    </w:lvl>
    <w:lvl w:ilvl="5" w:tplc="0C090005" w:tentative="1">
      <w:start w:val="1"/>
      <w:numFmt w:val="bullet"/>
      <w:lvlText w:val=""/>
      <w:lvlJc w:val="left"/>
      <w:pPr>
        <w:ind w:left="5043" w:hanging="360"/>
      </w:pPr>
      <w:rPr>
        <w:rFonts w:ascii="Wingdings" w:hAnsi="Wingdings" w:hint="default"/>
      </w:rPr>
    </w:lvl>
    <w:lvl w:ilvl="6" w:tplc="0C090001" w:tentative="1">
      <w:start w:val="1"/>
      <w:numFmt w:val="bullet"/>
      <w:lvlText w:val=""/>
      <w:lvlJc w:val="left"/>
      <w:pPr>
        <w:ind w:left="5763" w:hanging="360"/>
      </w:pPr>
      <w:rPr>
        <w:rFonts w:ascii="Symbol" w:hAnsi="Symbol" w:hint="default"/>
      </w:rPr>
    </w:lvl>
    <w:lvl w:ilvl="7" w:tplc="0C090003" w:tentative="1">
      <w:start w:val="1"/>
      <w:numFmt w:val="bullet"/>
      <w:lvlText w:val="o"/>
      <w:lvlJc w:val="left"/>
      <w:pPr>
        <w:ind w:left="6483" w:hanging="360"/>
      </w:pPr>
      <w:rPr>
        <w:rFonts w:ascii="Courier New" w:hAnsi="Courier New" w:cs="Courier New" w:hint="default"/>
      </w:rPr>
    </w:lvl>
    <w:lvl w:ilvl="8" w:tplc="0C090005" w:tentative="1">
      <w:start w:val="1"/>
      <w:numFmt w:val="bullet"/>
      <w:lvlText w:val=""/>
      <w:lvlJc w:val="left"/>
      <w:pPr>
        <w:ind w:left="7203" w:hanging="360"/>
      </w:pPr>
      <w:rPr>
        <w:rFonts w:ascii="Wingdings" w:hAnsi="Wingdings" w:hint="default"/>
      </w:rPr>
    </w:lvl>
  </w:abstractNum>
  <w:abstractNum w:abstractNumId="2" w15:restartNumberingAfterBreak="0">
    <w:nsid w:val="53E837D1"/>
    <w:multiLevelType w:val="hybridMultilevel"/>
    <w:tmpl w:val="2F4A8AE8"/>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771310945">
    <w:abstractNumId w:val="0"/>
  </w:num>
  <w:num w:numId="2" w16cid:durableId="90709355">
    <w:abstractNumId w:val="2"/>
  </w:num>
  <w:num w:numId="3" w16cid:durableId="1993606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5C94"/>
    <w:rsid w:val="00007B80"/>
    <w:rsid w:val="00013A22"/>
    <w:rsid w:val="00014C3F"/>
    <w:rsid w:val="00017C82"/>
    <w:rsid w:val="00032B88"/>
    <w:rsid w:val="00037E52"/>
    <w:rsid w:val="00046DF5"/>
    <w:rsid w:val="00052060"/>
    <w:rsid w:val="000528D9"/>
    <w:rsid w:val="0005574A"/>
    <w:rsid w:val="00055FE1"/>
    <w:rsid w:val="00056EC2"/>
    <w:rsid w:val="00060B48"/>
    <w:rsid w:val="00067F32"/>
    <w:rsid w:val="00071807"/>
    <w:rsid w:val="000803E1"/>
    <w:rsid w:val="00084513"/>
    <w:rsid w:val="00084859"/>
    <w:rsid w:val="00092D94"/>
    <w:rsid w:val="000A7468"/>
    <w:rsid w:val="000B0868"/>
    <w:rsid w:val="000B3E12"/>
    <w:rsid w:val="000B3E78"/>
    <w:rsid w:val="000B7B48"/>
    <w:rsid w:val="000C096D"/>
    <w:rsid w:val="000C139A"/>
    <w:rsid w:val="000C2053"/>
    <w:rsid w:val="000C248C"/>
    <w:rsid w:val="000D291C"/>
    <w:rsid w:val="000E5A54"/>
    <w:rsid w:val="000E63D3"/>
    <w:rsid w:val="000E67CF"/>
    <w:rsid w:val="0010461E"/>
    <w:rsid w:val="00106FAA"/>
    <w:rsid w:val="00113443"/>
    <w:rsid w:val="001269A7"/>
    <w:rsid w:val="00131092"/>
    <w:rsid w:val="00140E6A"/>
    <w:rsid w:val="00146545"/>
    <w:rsid w:val="00146B75"/>
    <w:rsid w:val="0015266D"/>
    <w:rsid w:val="0015288A"/>
    <w:rsid w:val="00155999"/>
    <w:rsid w:val="00160F47"/>
    <w:rsid w:val="00177CA1"/>
    <w:rsid w:val="00183823"/>
    <w:rsid w:val="00183942"/>
    <w:rsid w:val="001915F6"/>
    <w:rsid w:val="001A009E"/>
    <w:rsid w:val="001A1287"/>
    <w:rsid w:val="001A3859"/>
    <w:rsid w:val="001A3C9D"/>
    <w:rsid w:val="001A43F8"/>
    <w:rsid w:val="001B0617"/>
    <w:rsid w:val="001B79E5"/>
    <w:rsid w:val="001D56F0"/>
    <w:rsid w:val="001D663B"/>
    <w:rsid w:val="001D701A"/>
    <w:rsid w:val="001D7B41"/>
    <w:rsid w:val="001E46DA"/>
    <w:rsid w:val="001E7D80"/>
    <w:rsid w:val="001F25FE"/>
    <w:rsid w:val="001F4B6C"/>
    <w:rsid w:val="001F62CB"/>
    <w:rsid w:val="001F6ED0"/>
    <w:rsid w:val="001F72E6"/>
    <w:rsid w:val="001F73C5"/>
    <w:rsid w:val="00200BFD"/>
    <w:rsid w:val="002046A6"/>
    <w:rsid w:val="00204956"/>
    <w:rsid w:val="002122FC"/>
    <w:rsid w:val="00213640"/>
    <w:rsid w:val="00221547"/>
    <w:rsid w:val="002216FC"/>
    <w:rsid w:val="00222533"/>
    <w:rsid w:val="00222F30"/>
    <w:rsid w:val="00224EE2"/>
    <w:rsid w:val="00227EC7"/>
    <w:rsid w:val="00244AD1"/>
    <w:rsid w:val="002463BC"/>
    <w:rsid w:val="002465CE"/>
    <w:rsid w:val="00254C2D"/>
    <w:rsid w:val="0025734A"/>
    <w:rsid w:val="00263255"/>
    <w:rsid w:val="00276494"/>
    <w:rsid w:val="00277B0C"/>
    <w:rsid w:val="002B1A2C"/>
    <w:rsid w:val="002C34F2"/>
    <w:rsid w:val="002C5833"/>
    <w:rsid w:val="002C58FF"/>
    <w:rsid w:val="002C7AFE"/>
    <w:rsid w:val="002D05D2"/>
    <w:rsid w:val="002E0D61"/>
    <w:rsid w:val="002E4C7B"/>
    <w:rsid w:val="002F4089"/>
    <w:rsid w:val="0030740C"/>
    <w:rsid w:val="00315833"/>
    <w:rsid w:val="003215EE"/>
    <w:rsid w:val="003224BF"/>
    <w:rsid w:val="003241A8"/>
    <w:rsid w:val="003253F0"/>
    <w:rsid w:val="003337DA"/>
    <w:rsid w:val="00334344"/>
    <w:rsid w:val="00334EFB"/>
    <w:rsid w:val="00335CDE"/>
    <w:rsid w:val="003365A5"/>
    <w:rsid w:val="00347192"/>
    <w:rsid w:val="0034744C"/>
    <w:rsid w:val="00351FE0"/>
    <w:rsid w:val="00352615"/>
    <w:rsid w:val="0035412B"/>
    <w:rsid w:val="003567A8"/>
    <w:rsid w:val="00360FE3"/>
    <w:rsid w:val="00362895"/>
    <w:rsid w:val="00370DBF"/>
    <w:rsid w:val="00370E61"/>
    <w:rsid w:val="00386093"/>
    <w:rsid w:val="003904A4"/>
    <w:rsid w:val="00391841"/>
    <w:rsid w:val="00391B6D"/>
    <w:rsid w:val="00394922"/>
    <w:rsid w:val="003A0E32"/>
    <w:rsid w:val="003A2B94"/>
    <w:rsid w:val="003B387D"/>
    <w:rsid w:val="003C0D58"/>
    <w:rsid w:val="003D4FA3"/>
    <w:rsid w:val="003E0807"/>
    <w:rsid w:val="003E51FB"/>
    <w:rsid w:val="003E6B39"/>
    <w:rsid w:val="003F07E1"/>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60A03"/>
    <w:rsid w:val="00472A11"/>
    <w:rsid w:val="00472AAD"/>
    <w:rsid w:val="00474E33"/>
    <w:rsid w:val="00476803"/>
    <w:rsid w:val="00485BFD"/>
    <w:rsid w:val="004867A2"/>
    <w:rsid w:val="004873F2"/>
    <w:rsid w:val="00490D4C"/>
    <w:rsid w:val="00493A35"/>
    <w:rsid w:val="0049527A"/>
    <w:rsid w:val="00495F7E"/>
    <w:rsid w:val="004966BF"/>
    <w:rsid w:val="00497984"/>
    <w:rsid w:val="004A5088"/>
    <w:rsid w:val="004C1E3F"/>
    <w:rsid w:val="004C23F4"/>
    <w:rsid w:val="004C3475"/>
    <w:rsid w:val="004C58B6"/>
    <w:rsid w:val="004D16A3"/>
    <w:rsid w:val="004D4AA1"/>
    <w:rsid w:val="004D6B4E"/>
    <w:rsid w:val="004D6D68"/>
    <w:rsid w:val="004E5EDD"/>
    <w:rsid w:val="004F448A"/>
    <w:rsid w:val="004F493D"/>
    <w:rsid w:val="004F65E8"/>
    <w:rsid w:val="0050005E"/>
    <w:rsid w:val="00502B88"/>
    <w:rsid w:val="0051172B"/>
    <w:rsid w:val="005142C4"/>
    <w:rsid w:val="0051509C"/>
    <w:rsid w:val="005242A2"/>
    <w:rsid w:val="005272E2"/>
    <w:rsid w:val="0053108F"/>
    <w:rsid w:val="00532B56"/>
    <w:rsid w:val="00534B10"/>
    <w:rsid w:val="005446A2"/>
    <w:rsid w:val="00544D2F"/>
    <w:rsid w:val="0054613A"/>
    <w:rsid w:val="00551BD8"/>
    <w:rsid w:val="00561FFC"/>
    <w:rsid w:val="00581055"/>
    <w:rsid w:val="00591E38"/>
    <w:rsid w:val="00592E42"/>
    <w:rsid w:val="0059691C"/>
    <w:rsid w:val="005A19C5"/>
    <w:rsid w:val="005A3034"/>
    <w:rsid w:val="005A462D"/>
    <w:rsid w:val="005B253B"/>
    <w:rsid w:val="005B771D"/>
    <w:rsid w:val="005C124E"/>
    <w:rsid w:val="005C5D16"/>
    <w:rsid w:val="005D3193"/>
    <w:rsid w:val="005D4A6E"/>
    <w:rsid w:val="005E0287"/>
    <w:rsid w:val="005E6979"/>
    <w:rsid w:val="005E75CB"/>
    <w:rsid w:val="005F66A8"/>
    <w:rsid w:val="006013C1"/>
    <w:rsid w:val="0060669E"/>
    <w:rsid w:val="006079AD"/>
    <w:rsid w:val="00610F2E"/>
    <w:rsid w:val="00611399"/>
    <w:rsid w:val="00614D6A"/>
    <w:rsid w:val="00624C4E"/>
    <w:rsid w:val="00625200"/>
    <w:rsid w:val="006363A8"/>
    <w:rsid w:val="00636DB7"/>
    <w:rsid w:val="00650905"/>
    <w:rsid w:val="006532ED"/>
    <w:rsid w:val="006549F2"/>
    <w:rsid w:val="006567B7"/>
    <w:rsid w:val="00657BFB"/>
    <w:rsid w:val="0066333C"/>
    <w:rsid w:val="006639B4"/>
    <w:rsid w:val="006650FE"/>
    <w:rsid w:val="0067305D"/>
    <w:rsid w:val="00677D9B"/>
    <w:rsid w:val="00684094"/>
    <w:rsid w:val="006867F3"/>
    <w:rsid w:val="00687890"/>
    <w:rsid w:val="006901A2"/>
    <w:rsid w:val="00690368"/>
    <w:rsid w:val="0069079C"/>
    <w:rsid w:val="00690B53"/>
    <w:rsid w:val="00691F25"/>
    <w:rsid w:val="00695B72"/>
    <w:rsid w:val="006B160A"/>
    <w:rsid w:val="006B4E6C"/>
    <w:rsid w:val="006B50B6"/>
    <w:rsid w:val="006C3D4A"/>
    <w:rsid w:val="006D79EA"/>
    <w:rsid w:val="006E4F8D"/>
    <w:rsid w:val="006E5D05"/>
    <w:rsid w:val="00701053"/>
    <w:rsid w:val="00701507"/>
    <w:rsid w:val="00704B10"/>
    <w:rsid w:val="00714021"/>
    <w:rsid w:val="00716A0F"/>
    <w:rsid w:val="00717D45"/>
    <w:rsid w:val="007208F7"/>
    <w:rsid w:val="007218AF"/>
    <w:rsid w:val="007365D1"/>
    <w:rsid w:val="00737E8B"/>
    <w:rsid w:val="00740E0E"/>
    <w:rsid w:val="00750212"/>
    <w:rsid w:val="00754779"/>
    <w:rsid w:val="007559D6"/>
    <w:rsid w:val="0075716D"/>
    <w:rsid w:val="00765F14"/>
    <w:rsid w:val="00770E31"/>
    <w:rsid w:val="007770F1"/>
    <w:rsid w:val="00783FB1"/>
    <w:rsid w:val="00785CDD"/>
    <w:rsid w:val="00791847"/>
    <w:rsid w:val="007925F0"/>
    <w:rsid w:val="007939B3"/>
    <w:rsid w:val="0079509C"/>
    <w:rsid w:val="00796708"/>
    <w:rsid w:val="007B0775"/>
    <w:rsid w:val="007B1B42"/>
    <w:rsid w:val="007C2D17"/>
    <w:rsid w:val="007C30EB"/>
    <w:rsid w:val="007E063C"/>
    <w:rsid w:val="007E2A4B"/>
    <w:rsid w:val="007E307D"/>
    <w:rsid w:val="007E6A4E"/>
    <w:rsid w:val="007E6C94"/>
    <w:rsid w:val="007E6F04"/>
    <w:rsid w:val="007F1005"/>
    <w:rsid w:val="007F25E0"/>
    <w:rsid w:val="007F5328"/>
    <w:rsid w:val="00804F5A"/>
    <w:rsid w:val="00810C6D"/>
    <w:rsid w:val="00812887"/>
    <w:rsid w:val="00826F21"/>
    <w:rsid w:val="00834CC8"/>
    <w:rsid w:val="00835E00"/>
    <w:rsid w:val="00837113"/>
    <w:rsid w:val="00840086"/>
    <w:rsid w:val="008414E4"/>
    <w:rsid w:val="00843E21"/>
    <w:rsid w:val="0084508E"/>
    <w:rsid w:val="00850800"/>
    <w:rsid w:val="00857A8A"/>
    <w:rsid w:val="008630EE"/>
    <w:rsid w:val="00864D13"/>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D6916"/>
    <w:rsid w:val="008D7ACA"/>
    <w:rsid w:val="008E4F1F"/>
    <w:rsid w:val="008E7B64"/>
    <w:rsid w:val="008F5DCD"/>
    <w:rsid w:val="00900951"/>
    <w:rsid w:val="009118A6"/>
    <w:rsid w:val="00911C2B"/>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C7CD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2614"/>
    <w:rsid w:val="00A633D4"/>
    <w:rsid w:val="00A6461A"/>
    <w:rsid w:val="00A719BE"/>
    <w:rsid w:val="00A84177"/>
    <w:rsid w:val="00A84504"/>
    <w:rsid w:val="00A8672F"/>
    <w:rsid w:val="00A93057"/>
    <w:rsid w:val="00A968B0"/>
    <w:rsid w:val="00AB1AA6"/>
    <w:rsid w:val="00AB2672"/>
    <w:rsid w:val="00AB2817"/>
    <w:rsid w:val="00AB43C4"/>
    <w:rsid w:val="00AC32E7"/>
    <w:rsid w:val="00AC3A9F"/>
    <w:rsid w:val="00AC6D2F"/>
    <w:rsid w:val="00AE2745"/>
    <w:rsid w:val="00AE2F64"/>
    <w:rsid w:val="00AE6298"/>
    <w:rsid w:val="00AF42CB"/>
    <w:rsid w:val="00AF483F"/>
    <w:rsid w:val="00AF5E07"/>
    <w:rsid w:val="00AF5F06"/>
    <w:rsid w:val="00B00A25"/>
    <w:rsid w:val="00B1422A"/>
    <w:rsid w:val="00B1765C"/>
    <w:rsid w:val="00B177DC"/>
    <w:rsid w:val="00B213C4"/>
    <w:rsid w:val="00B40C60"/>
    <w:rsid w:val="00B479A9"/>
    <w:rsid w:val="00B52559"/>
    <w:rsid w:val="00B52EDF"/>
    <w:rsid w:val="00B71188"/>
    <w:rsid w:val="00B76A41"/>
    <w:rsid w:val="00B810AB"/>
    <w:rsid w:val="00B87D4C"/>
    <w:rsid w:val="00B93646"/>
    <w:rsid w:val="00BA0B38"/>
    <w:rsid w:val="00BA1DBB"/>
    <w:rsid w:val="00BA4510"/>
    <w:rsid w:val="00BA529A"/>
    <w:rsid w:val="00BB612A"/>
    <w:rsid w:val="00BD499F"/>
    <w:rsid w:val="00BD56DE"/>
    <w:rsid w:val="00BF2406"/>
    <w:rsid w:val="00BF2C1C"/>
    <w:rsid w:val="00C02B6B"/>
    <w:rsid w:val="00C06E43"/>
    <w:rsid w:val="00C14487"/>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D2BFD"/>
    <w:rsid w:val="00CD5AA4"/>
    <w:rsid w:val="00CE2C36"/>
    <w:rsid w:val="00CE5AD6"/>
    <w:rsid w:val="00CE617F"/>
    <w:rsid w:val="00CE78EF"/>
    <w:rsid w:val="00D048F7"/>
    <w:rsid w:val="00D0517E"/>
    <w:rsid w:val="00D140FC"/>
    <w:rsid w:val="00D21D8C"/>
    <w:rsid w:val="00D31357"/>
    <w:rsid w:val="00D33220"/>
    <w:rsid w:val="00D334D1"/>
    <w:rsid w:val="00D44C89"/>
    <w:rsid w:val="00D516CD"/>
    <w:rsid w:val="00D52C33"/>
    <w:rsid w:val="00D668E6"/>
    <w:rsid w:val="00D70670"/>
    <w:rsid w:val="00D74D80"/>
    <w:rsid w:val="00D76624"/>
    <w:rsid w:val="00D87570"/>
    <w:rsid w:val="00D91CB9"/>
    <w:rsid w:val="00D97989"/>
    <w:rsid w:val="00D97D8D"/>
    <w:rsid w:val="00DA352E"/>
    <w:rsid w:val="00DC72B4"/>
    <w:rsid w:val="00DC7694"/>
    <w:rsid w:val="00DD1BF6"/>
    <w:rsid w:val="00DD2F9B"/>
    <w:rsid w:val="00DE2513"/>
    <w:rsid w:val="00DE26E8"/>
    <w:rsid w:val="00DE4E2C"/>
    <w:rsid w:val="00DF6F36"/>
    <w:rsid w:val="00E0084C"/>
    <w:rsid w:val="00E025AB"/>
    <w:rsid w:val="00E02B23"/>
    <w:rsid w:val="00E063DF"/>
    <w:rsid w:val="00E06F40"/>
    <w:rsid w:val="00E07CE8"/>
    <w:rsid w:val="00E23D1F"/>
    <w:rsid w:val="00E26A07"/>
    <w:rsid w:val="00E32595"/>
    <w:rsid w:val="00E37CFD"/>
    <w:rsid w:val="00E41A26"/>
    <w:rsid w:val="00E46BCB"/>
    <w:rsid w:val="00E51CAF"/>
    <w:rsid w:val="00E60F04"/>
    <w:rsid w:val="00E62AAC"/>
    <w:rsid w:val="00E67C2F"/>
    <w:rsid w:val="00E67EF5"/>
    <w:rsid w:val="00E804EA"/>
    <w:rsid w:val="00E80A71"/>
    <w:rsid w:val="00E8220C"/>
    <w:rsid w:val="00E82337"/>
    <w:rsid w:val="00E92499"/>
    <w:rsid w:val="00E949AF"/>
    <w:rsid w:val="00E96077"/>
    <w:rsid w:val="00EA0A06"/>
    <w:rsid w:val="00EA6243"/>
    <w:rsid w:val="00EA74AB"/>
    <w:rsid w:val="00EB3D1B"/>
    <w:rsid w:val="00ED1D89"/>
    <w:rsid w:val="00ED57DA"/>
    <w:rsid w:val="00ED66BC"/>
    <w:rsid w:val="00EF233A"/>
    <w:rsid w:val="00EF303E"/>
    <w:rsid w:val="00EF3A40"/>
    <w:rsid w:val="00EF7F78"/>
    <w:rsid w:val="00F01B08"/>
    <w:rsid w:val="00F01C4D"/>
    <w:rsid w:val="00F053FA"/>
    <w:rsid w:val="00F06573"/>
    <w:rsid w:val="00F10C97"/>
    <w:rsid w:val="00F11C71"/>
    <w:rsid w:val="00F16019"/>
    <w:rsid w:val="00F20E68"/>
    <w:rsid w:val="00F22093"/>
    <w:rsid w:val="00F236DF"/>
    <w:rsid w:val="00F23D7C"/>
    <w:rsid w:val="00F43AD5"/>
    <w:rsid w:val="00F4402E"/>
    <w:rsid w:val="00F55703"/>
    <w:rsid w:val="00F56DD0"/>
    <w:rsid w:val="00F6491C"/>
    <w:rsid w:val="00F67BBB"/>
    <w:rsid w:val="00F87D92"/>
    <w:rsid w:val="00F90AA7"/>
    <w:rsid w:val="00F90D00"/>
    <w:rsid w:val="00F92498"/>
    <w:rsid w:val="00F9496B"/>
    <w:rsid w:val="00F970C9"/>
    <w:rsid w:val="00FA06A8"/>
    <w:rsid w:val="00FA3DF5"/>
    <w:rsid w:val="00FA741F"/>
    <w:rsid w:val="00FB4E07"/>
    <w:rsid w:val="00FB755A"/>
    <w:rsid w:val="00FC60A2"/>
    <w:rsid w:val="00FD1871"/>
    <w:rsid w:val="00FD3110"/>
    <w:rsid w:val="00FE1DCC"/>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535423AF"/>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59691C"/>
    <w:pPr>
      <w:numPr>
        <w:numId w:val="1"/>
      </w:numPr>
      <w:contextualSpacing/>
    </w:pPr>
  </w:style>
  <w:style w:type="character" w:styleId="CommentReference">
    <w:name w:val="annotation reference"/>
    <w:basedOn w:val="DefaultParagraphFont"/>
    <w:uiPriority w:val="99"/>
    <w:semiHidden/>
    <w:unhideWhenUsed/>
    <w:rsid w:val="00E063DF"/>
    <w:rPr>
      <w:sz w:val="16"/>
      <w:szCs w:val="16"/>
    </w:rPr>
  </w:style>
  <w:style w:type="paragraph" w:styleId="CommentText">
    <w:name w:val="annotation text"/>
    <w:basedOn w:val="Normal"/>
    <w:link w:val="CommentTextChar"/>
    <w:uiPriority w:val="99"/>
    <w:semiHidden/>
    <w:unhideWhenUsed/>
    <w:rsid w:val="00E063DF"/>
    <w:pPr>
      <w:spacing w:line="240" w:lineRule="auto"/>
    </w:pPr>
    <w:rPr>
      <w:szCs w:val="20"/>
    </w:rPr>
  </w:style>
  <w:style w:type="character" w:customStyle="1" w:styleId="CommentTextChar">
    <w:name w:val="Comment Text Char"/>
    <w:basedOn w:val="DefaultParagraphFont"/>
    <w:link w:val="CommentText"/>
    <w:uiPriority w:val="99"/>
    <w:semiHidden/>
    <w:rsid w:val="00E063DF"/>
    <w:rPr>
      <w:szCs w:val="20"/>
    </w:rPr>
  </w:style>
  <w:style w:type="paragraph" w:styleId="CommentSubject">
    <w:name w:val="annotation subject"/>
    <w:basedOn w:val="CommentText"/>
    <w:next w:val="CommentText"/>
    <w:link w:val="CommentSubjectChar"/>
    <w:uiPriority w:val="99"/>
    <w:semiHidden/>
    <w:unhideWhenUsed/>
    <w:rsid w:val="00E063DF"/>
    <w:rPr>
      <w:b/>
      <w:bCs/>
    </w:rPr>
  </w:style>
  <w:style w:type="character" w:customStyle="1" w:styleId="CommentSubjectChar">
    <w:name w:val="Comment Subject Char"/>
    <w:basedOn w:val="CommentTextChar"/>
    <w:link w:val="CommentSubject"/>
    <w:uiPriority w:val="99"/>
    <w:semiHidden/>
    <w:rsid w:val="00E063DF"/>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047606">
      <w:bodyDiv w:val="1"/>
      <w:marLeft w:val="0"/>
      <w:marRight w:val="0"/>
      <w:marTop w:val="0"/>
      <w:marBottom w:val="0"/>
      <w:divBdr>
        <w:top w:val="none" w:sz="0" w:space="0" w:color="auto"/>
        <w:left w:val="none" w:sz="0" w:space="0" w:color="auto"/>
        <w:bottom w:val="none" w:sz="0" w:space="0" w:color="auto"/>
        <w:right w:val="none" w:sz="0" w:space="0" w:color="auto"/>
      </w:divBdr>
    </w:div>
    <w:div w:id="202736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0220C6" w:rsidRDefault="00CA72D3" w:rsidP="00CA72D3">
          <w:pPr>
            <w:pStyle w:val="DA2FFE9CEF2D415F9F59B567F352ED2C"/>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220C6"/>
    <w:rsid w:val="00347D16"/>
    <w:rsid w:val="003E0149"/>
    <w:rsid w:val="00704B10"/>
    <w:rsid w:val="00755FBF"/>
    <w:rsid w:val="00C02B6B"/>
    <w:rsid w:val="00CA72D3"/>
    <w:rsid w:val="00D21A9F"/>
    <w:rsid w:val="00E854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72D3"/>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2.xml><?xml version="1.0" encoding="utf-8"?>
<ds:datastoreItem xmlns:ds="http://schemas.openxmlformats.org/officeDocument/2006/customXml" ds:itemID="{B26FD3B4-E5FF-44D0-A85D-1656AEB7AF7B}">
  <ds:schemaRefs>
    <ds:schemaRef ds:uri="http://purl.org/dc/elements/1.1/"/>
    <ds:schemaRef ds:uri="1c567317-0c4d-4a62-8516-c22afd1b5354"/>
    <ds:schemaRef ds:uri="http://www.w3.org/XML/1998/namespace"/>
    <ds:schemaRef ds:uri="http://purl.org/dc/terms/"/>
    <ds:schemaRef ds:uri="a0509f21-ed56-4150-9955-96be669e5f2d"/>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BBB7D6E8-F4AF-4F6A-8454-7BD631B46D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C2A857-2F7F-4A02-8F26-ADB110DCD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8</Pages>
  <Words>960</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60</cp:revision>
  <cp:lastPrinted>2018-10-22T22:41:00Z</cp:lastPrinted>
  <dcterms:created xsi:type="dcterms:W3CDTF">2019-10-03T22:56:00Z</dcterms:created>
  <dcterms:modified xsi:type="dcterms:W3CDTF">2026-01-09T01:48:00Z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2026-01-07T01:47:32Z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a2eebc11-b304-4539-8404-71e255373b52</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