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66DCA373" w:rsidR="00BD499F" w:rsidRPr="004C23F4" w:rsidRDefault="00DB5010" w:rsidP="00B40C60">
          <w:pPr>
            <w:pStyle w:val="Heading1"/>
            <w:jc w:val="center"/>
            <w:rPr>
              <w:rFonts w:ascii="Arial" w:hAnsi="Arial" w:cs="Arial"/>
            </w:rPr>
          </w:pPr>
          <w:r w:rsidRPr="00DB5010">
            <w:rPr>
              <w:rFonts w:ascii="Arial" w:hAnsi="Arial" w:cs="Arial"/>
            </w:rPr>
            <w:t>Tetramethyl lead (as Pb)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189D6E38" w14:textId="77777777" w:rsidTr="006E6B9C">
        <w:trPr>
          <w:cantSplit/>
          <w:tblHeader/>
        </w:trPr>
        <w:tc>
          <w:tcPr>
            <w:tcW w:w="398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3EDBFD9E" w14:textId="17D0D51E" w:rsidR="00F43AD5" w:rsidRPr="00717D45" w:rsidRDefault="00605A80" w:rsidP="00B76A41">
            <w:pPr>
              <w:pStyle w:val="Tablefont"/>
            </w:pPr>
            <w:r w:rsidRPr="00605A80">
              <w:t>75-74-1</w:t>
            </w:r>
          </w:p>
        </w:tc>
      </w:tr>
      <w:tr w:rsidR="00F43AD5" w:rsidRPr="004C23F4" w14:paraId="562A9F51" w14:textId="77777777" w:rsidTr="006E6B9C">
        <w:trPr>
          <w:cantSplit/>
        </w:trPr>
        <w:tc>
          <w:tcPr>
            <w:tcW w:w="398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2648AB9" w14:textId="6842AA58" w:rsidR="00F43AD5" w:rsidRPr="00717D45" w:rsidRDefault="00605A80" w:rsidP="00B76A41">
            <w:pPr>
              <w:pStyle w:val="Tablefont"/>
            </w:pPr>
            <w:r>
              <w:t>Lead tetramethyl, TML</w:t>
            </w:r>
          </w:p>
        </w:tc>
      </w:tr>
      <w:tr w:rsidR="00F43AD5" w:rsidRPr="004C23F4" w14:paraId="6EE54A08" w14:textId="77777777" w:rsidTr="006E6B9C">
        <w:trPr>
          <w:cantSplit/>
        </w:trPr>
        <w:tc>
          <w:tcPr>
            <w:tcW w:w="398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69369B00" w14:textId="0966233D" w:rsidR="00F43AD5" w:rsidRPr="00717D45" w:rsidRDefault="00605A80" w:rsidP="00B76A41">
            <w:pPr>
              <w:pStyle w:val="Tablefont"/>
            </w:pPr>
            <w:r>
              <w:t>C</w:t>
            </w:r>
            <w:r w:rsidRPr="00605A80">
              <w:rPr>
                <w:vertAlign w:val="subscript"/>
              </w:rPr>
              <w:t>4</w:t>
            </w:r>
            <w:r>
              <w:t>H</w:t>
            </w:r>
            <w:r w:rsidRPr="00605A80">
              <w:rPr>
                <w:vertAlign w:val="subscript"/>
              </w:rPr>
              <w:t>12</w:t>
            </w:r>
            <w:r>
              <w:t>Pb</w:t>
            </w:r>
          </w:p>
        </w:tc>
      </w:tr>
    </w:tbl>
    <w:p w14:paraId="71D72173" w14:textId="03875A9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25F9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45EEB0EE" w:rsidR="002C7AFE" w:rsidRPr="00D25F95" w:rsidRDefault="001F6215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</w:t>
            </w:r>
            <w:r w:rsidR="00D25F95">
              <w:rPr>
                <w:b/>
              </w:rPr>
              <w:t>.</w:t>
            </w:r>
            <w:r>
              <w:rPr>
                <w:b/>
              </w:rPr>
              <w:t>1</w:t>
            </w:r>
            <w:r w:rsidR="00D25F95">
              <w:rPr>
                <w:b/>
              </w:rPr>
              <w:t>5 mg/m</w:t>
            </w:r>
            <w:r w:rsidR="00D25F95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1EB3C8C6" w:rsidR="00037E52" w:rsidRPr="00EB3D1B" w:rsidRDefault="00D25F95" w:rsidP="00037E52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2; 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362F0DAF" w:rsidR="00037E52" w:rsidRPr="00EB3D1B" w:rsidRDefault="00605A80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40 mg</w:t>
            </w:r>
            <w:r w:rsidRPr="00605A80">
              <w:rPr>
                <w:b/>
              </w:rPr>
              <w:t>/m</w:t>
            </w:r>
            <w:r w:rsidRPr="00FF0E93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1066B61" w:rsidR="00155999" w:rsidRPr="00EB3D1B" w:rsidRDefault="00155999" w:rsidP="00037E52">
            <w:pPr>
              <w:pStyle w:val="Tablefont"/>
              <w:rPr>
                <w:b/>
              </w:rPr>
            </w:pPr>
            <w:r w:rsidRPr="00873E0D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1F6215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1F250743" w:rsidR="006639B4" w:rsidRPr="00D25F95" w:rsidRDefault="00D25F95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1F6215">
        <w:rPr>
          <w:rFonts w:cs="Arial"/>
        </w:rPr>
        <w:t>0.1</w:t>
      </w:r>
      <w:r>
        <w:rPr>
          <w:rFonts w:cs="Arial"/>
        </w:rPr>
        <w:t>5 mg/m</w:t>
      </w:r>
      <w:r>
        <w:rPr>
          <w:rFonts w:cs="Arial"/>
          <w:vertAlign w:val="superscript"/>
        </w:rPr>
        <w:t xml:space="preserve">3 </w:t>
      </w:r>
      <w:r w:rsidRPr="00D25F95">
        <w:rPr>
          <w:rFonts w:cs="Arial"/>
        </w:rPr>
        <w:t>is recommended to protect for</w:t>
      </w:r>
      <w:r>
        <w:rPr>
          <w:rFonts w:cs="Arial"/>
          <w:vertAlign w:val="superscript"/>
        </w:rPr>
        <w:t xml:space="preserve"> </w:t>
      </w:r>
      <w:r w:rsidR="006E6B9C">
        <w:rPr>
          <w:rFonts w:cs="Arial"/>
        </w:rPr>
        <w:t xml:space="preserve">effects </w:t>
      </w:r>
      <w:r>
        <w:rPr>
          <w:rFonts w:cs="Arial"/>
          <w:color w:val="262626"/>
        </w:rPr>
        <w:t xml:space="preserve">on the </w:t>
      </w:r>
      <w:r>
        <w:t>central nervous system (CNS)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4CA4597" w14:textId="77777777" w:rsidR="006E6B9C" w:rsidRDefault="00F36935" w:rsidP="006639B4">
      <w:pPr>
        <w:rPr>
          <w:rFonts w:cs="Arial"/>
        </w:rPr>
      </w:pPr>
      <w:r w:rsidRPr="00873E0D">
        <w:rPr>
          <w:rFonts w:cs="Arial"/>
        </w:rPr>
        <w:t xml:space="preserve">Tetramethyl lead (TML) has </w:t>
      </w:r>
      <w:r w:rsidR="001F6215">
        <w:rPr>
          <w:rFonts w:cs="Arial"/>
        </w:rPr>
        <w:t>been</w:t>
      </w:r>
      <w:r w:rsidR="001F6215" w:rsidRPr="00873E0D">
        <w:rPr>
          <w:rFonts w:cs="Arial"/>
        </w:rPr>
        <w:t xml:space="preserve"> </w:t>
      </w:r>
      <w:r w:rsidRPr="00873E0D">
        <w:rPr>
          <w:rFonts w:cs="Arial"/>
        </w:rPr>
        <w:t>use</w:t>
      </w:r>
      <w:r w:rsidR="001F6215">
        <w:rPr>
          <w:rFonts w:cs="Arial"/>
        </w:rPr>
        <w:t>d</w:t>
      </w:r>
      <w:r w:rsidRPr="00873E0D">
        <w:rPr>
          <w:rFonts w:cs="Arial"/>
        </w:rPr>
        <w:t xml:space="preserve"> as a fuel additive and in the production of aviation fuel. </w:t>
      </w:r>
    </w:p>
    <w:p w14:paraId="4D10D8E8" w14:textId="6A77D574" w:rsidR="005811F8" w:rsidRDefault="00F36935" w:rsidP="002968DD">
      <w:r w:rsidRPr="00873E0D">
        <w:rPr>
          <w:rFonts w:cs="Arial"/>
        </w:rPr>
        <w:t xml:space="preserve">Critical effects </w:t>
      </w:r>
      <w:r w:rsidR="001F6215">
        <w:rPr>
          <w:rFonts w:cs="Arial"/>
        </w:rPr>
        <w:t>of</w:t>
      </w:r>
      <w:r w:rsidR="001F6215" w:rsidRPr="00873E0D">
        <w:rPr>
          <w:rFonts w:cs="Arial"/>
        </w:rPr>
        <w:t xml:space="preserve"> </w:t>
      </w:r>
      <w:r w:rsidRPr="00873E0D">
        <w:rPr>
          <w:rFonts w:cs="Arial"/>
        </w:rPr>
        <w:t xml:space="preserve">exposure are effects on the </w:t>
      </w:r>
      <w:r w:rsidR="001F6215">
        <w:rPr>
          <w:rFonts w:cs="Arial"/>
        </w:rPr>
        <w:t>central nervous system (</w:t>
      </w:r>
      <w:r w:rsidR="00D25F95" w:rsidRPr="001F6215">
        <w:t>CNS</w:t>
      </w:r>
      <w:r w:rsidR="001F6215">
        <w:t>)</w:t>
      </w:r>
      <w:r w:rsidRPr="001F6215">
        <w:t xml:space="preserve"> and potential developmental effects.</w:t>
      </w:r>
      <w:r w:rsidR="005811F8">
        <w:t xml:space="preserve"> </w:t>
      </w:r>
      <w:r w:rsidR="000F5928" w:rsidRPr="00042754">
        <w:t>The m</w:t>
      </w:r>
      <w:r w:rsidR="002968DD" w:rsidRPr="00873E0D">
        <w:t>ode of action of TML is analogous to that of tetraethyl lead (TEL) with e</w:t>
      </w:r>
      <w:r w:rsidRPr="00873E0D">
        <w:t>ffects associated with exposure reported as nervous irritability, tinnitus, insomnia, fatigue, muscle pain, disturbed vision, gastrointestinal distress and tremors</w:t>
      </w:r>
      <w:r w:rsidR="002968DD" w:rsidRPr="00873E0D">
        <w:t xml:space="preserve">. </w:t>
      </w:r>
    </w:p>
    <w:p w14:paraId="0FAA8877" w14:textId="1FBE1259" w:rsidR="002968DD" w:rsidRDefault="002968DD" w:rsidP="002968DD">
      <w:r w:rsidRPr="00873E0D">
        <w:t>Severe intoxication result</w:t>
      </w:r>
      <w:r w:rsidR="006E6B9C">
        <w:t>s</w:t>
      </w:r>
      <w:r w:rsidRPr="00873E0D">
        <w:t xml:space="preserve"> in mania, convulsions and brain damage (ACGIH, 2018; DFG, 1995). </w:t>
      </w:r>
      <w:r w:rsidR="005811F8" w:rsidRPr="00D861ED">
        <w:t>W</w:t>
      </w:r>
      <w:r w:rsidRPr="00D861ED">
        <w:t>orkers exposed at workplace air concentrations of 179 µg/m</w:t>
      </w:r>
      <w:r w:rsidRPr="00D861ED">
        <w:rPr>
          <w:vertAlign w:val="superscript"/>
        </w:rPr>
        <w:t>3</w:t>
      </w:r>
      <w:r w:rsidRPr="00D861ED">
        <w:t xml:space="preserve"> ha</w:t>
      </w:r>
      <w:r w:rsidR="006E6B9C" w:rsidRPr="00D861ED">
        <w:t>ve</w:t>
      </w:r>
      <w:r w:rsidRPr="00D861ED">
        <w:t xml:space="preserve"> urinary lead concentrations approximating</w:t>
      </w:r>
      <w:r w:rsidR="00D861ED" w:rsidRPr="00D861ED">
        <w:t xml:space="preserve"> to</w:t>
      </w:r>
      <w:r w:rsidRPr="00D861ED">
        <w:t xml:space="preserve"> those </w:t>
      </w:r>
      <w:r w:rsidR="005811F8" w:rsidRPr="00D861ED">
        <w:t>in controls</w:t>
      </w:r>
      <w:r w:rsidRPr="00873E0D">
        <w:t xml:space="preserve">. No symptoms of illness </w:t>
      </w:r>
      <w:r w:rsidR="006E6B9C">
        <w:t>a</w:t>
      </w:r>
      <w:r w:rsidRPr="00873E0D">
        <w:t>re observed</w:t>
      </w:r>
      <w:r w:rsidR="00886967" w:rsidRPr="00873E0D">
        <w:t>.</w:t>
      </w:r>
      <w:r w:rsidRPr="00873E0D">
        <w:t xml:space="preserve"> </w:t>
      </w:r>
      <w:r w:rsidR="00886967" w:rsidRPr="00873E0D">
        <w:t>In rats</w:t>
      </w:r>
      <w:r w:rsidR="006E6B9C">
        <w:t>,</w:t>
      </w:r>
      <w:r w:rsidR="00886967" w:rsidRPr="00873E0D">
        <w:t xml:space="preserve"> inhaled TML is approximately </w:t>
      </w:r>
      <w:r w:rsidR="00323821">
        <w:t>one tenth</w:t>
      </w:r>
      <w:r w:rsidR="00886967" w:rsidRPr="00873E0D">
        <w:t xml:space="preserve"> as toxic as inhaled TEL</w:t>
      </w:r>
      <w:r w:rsidRPr="00873E0D">
        <w:t xml:space="preserve"> </w:t>
      </w:r>
      <w:r w:rsidR="00886967" w:rsidRPr="00873E0D">
        <w:t xml:space="preserve">(ACGIH, 2018). </w:t>
      </w:r>
      <w:r w:rsidR="00886967">
        <w:t>DFG (1995)</w:t>
      </w:r>
      <w:r w:rsidR="00EF443C">
        <w:t xml:space="preserve"> base</w:t>
      </w:r>
      <w:r w:rsidR="00D861ED">
        <w:t>d</w:t>
      </w:r>
      <w:r w:rsidR="00EF443C">
        <w:t xml:space="preserve"> </w:t>
      </w:r>
      <w:r w:rsidR="00D861ED">
        <w:t xml:space="preserve">the MAK </w:t>
      </w:r>
      <w:r w:rsidR="00EF443C">
        <w:t>recommendation for TML by analogy to TEL. An oral study in rats indicate</w:t>
      </w:r>
      <w:r w:rsidR="006E6B9C">
        <w:t>s</w:t>
      </w:r>
      <w:r w:rsidR="00EF443C">
        <w:t xml:space="preserve"> potential </w:t>
      </w:r>
      <w:r w:rsidR="006E6B9C">
        <w:t xml:space="preserve">for </w:t>
      </w:r>
      <w:r w:rsidR="00EF443C">
        <w:t>developmental effects in the progeny of dams dosed during gestation (NICNAS, 2013).</w:t>
      </w:r>
    </w:p>
    <w:p w14:paraId="38518BC5" w14:textId="3AD3EA2D" w:rsidR="005811F8" w:rsidRDefault="00EF443C" w:rsidP="002968DD">
      <w:r>
        <w:t xml:space="preserve">Given the absence of </w:t>
      </w:r>
      <w:r w:rsidR="000F5928">
        <w:t xml:space="preserve">data </w:t>
      </w:r>
      <w:r w:rsidR="005430D2">
        <w:t xml:space="preserve">for </w:t>
      </w:r>
      <w:r w:rsidR="000F5928">
        <w:t>effects related to inhalation exposure</w:t>
      </w:r>
      <w:r w:rsidR="006E6B9C">
        <w:t>,</w:t>
      </w:r>
      <w:r w:rsidR="000F5928">
        <w:t xml:space="preserve"> the </w:t>
      </w:r>
      <w:r w:rsidR="005430D2">
        <w:t xml:space="preserve">SWA </w:t>
      </w:r>
      <w:r w:rsidR="000F5928">
        <w:t xml:space="preserve">TWA of </w:t>
      </w:r>
      <w:r w:rsidR="001F6215">
        <w:t>0.1</w:t>
      </w:r>
      <w:r w:rsidR="000F5928">
        <w:t>5 mg/m</w:t>
      </w:r>
      <w:r w:rsidR="000F5928">
        <w:rPr>
          <w:vertAlign w:val="superscript"/>
        </w:rPr>
        <w:t>3</w:t>
      </w:r>
      <w:r w:rsidR="000F5928">
        <w:t xml:space="preserve"> is recommended to be retained. </w:t>
      </w:r>
      <w:r w:rsidR="006B101A">
        <w:t xml:space="preserve">This TWA is cited as being protective of </w:t>
      </w:r>
      <w:r w:rsidR="00734129">
        <w:t xml:space="preserve">CNS effects. </w:t>
      </w:r>
    </w:p>
    <w:p w14:paraId="054A9BD9" w14:textId="750F91A3" w:rsidR="00EF443C" w:rsidRPr="000F5928" w:rsidRDefault="000F5928" w:rsidP="002968DD">
      <w:r>
        <w:t>Consideration should be given to</w:t>
      </w:r>
      <w:r w:rsidR="006B101A">
        <w:t xml:space="preserve"> the grouping of TML with TEL and other organ</w:t>
      </w:r>
      <w:r w:rsidR="00D861ED">
        <w:t xml:space="preserve">ic </w:t>
      </w:r>
      <w:r w:rsidR="006B101A">
        <w:t>lead compounds at the next scheduled review.</w:t>
      </w:r>
    </w:p>
    <w:p w14:paraId="273B44AD" w14:textId="77777777" w:rsidR="004529F0" w:rsidRPr="004C23F4" w:rsidRDefault="004529F0" w:rsidP="005830E9">
      <w:pPr>
        <w:pStyle w:val="Heading2"/>
      </w:pPr>
      <w:r>
        <w:lastRenderedPageBreak/>
        <w:t>Recommendation for notations</w:t>
      </w:r>
    </w:p>
    <w:p w14:paraId="27C6755E" w14:textId="5B743317" w:rsidR="008E4F1F" w:rsidRPr="0024193A" w:rsidRDefault="0024193A" w:rsidP="00873E0D">
      <w:pPr>
        <w:keepNext/>
        <w:rPr>
          <w:rFonts w:cs="Arial"/>
        </w:rPr>
      </w:pPr>
      <w:r w:rsidRPr="0024193A">
        <w:rPr>
          <w:rFonts w:cs="Arial"/>
        </w:rPr>
        <w:t>C</w:t>
      </w:r>
      <w:r w:rsidR="008E4F1F" w:rsidRPr="0024193A">
        <w:rPr>
          <w:rFonts w:cs="Arial"/>
        </w:rPr>
        <w:t xml:space="preserve">lassified as a </w:t>
      </w:r>
      <w:r w:rsidR="001F6215" w:rsidRPr="0024193A">
        <w:rPr>
          <w:rFonts w:cs="Arial"/>
        </w:rPr>
        <w:t>category 2</w:t>
      </w:r>
      <w:r w:rsidR="001F6215">
        <w:rPr>
          <w:rFonts w:cs="Arial"/>
        </w:rPr>
        <w:t xml:space="preserve"> </w:t>
      </w:r>
      <w:r w:rsidR="008E4F1F" w:rsidRPr="0024193A">
        <w:rPr>
          <w:rFonts w:cs="Arial"/>
        </w:rPr>
        <w:t>carcinogen according to the Globally Harmonized System of</w:t>
      </w:r>
      <w:r w:rsidR="00155999" w:rsidRPr="0024193A">
        <w:rPr>
          <w:rFonts w:cs="Arial"/>
        </w:rPr>
        <w:t xml:space="preserve"> Classification and Labelling of</w:t>
      </w:r>
      <w:r w:rsidR="008E4F1F" w:rsidRPr="0024193A">
        <w:rPr>
          <w:rFonts w:cs="Arial"/>
        </w:rPr>
        <w:t xml:space="preserve"> Chemicals (GHS). </w:t>
      </w:r>
    </w:p>
    <w:p w14:paraId="03916CCC" w14:textId="77777777" w:rsidR="008E4F1F" w:rsidRPr="0024193A" w:rsidRDefault="008E4F1F" w:rsidP="00873E0D">
      <w:pPr>
        <w:keepNext/>
        <w:rPr>
          <w:rFonts w:cs="Arial"/>
        </w:rPr>
      </w:pPr>
      <w:r w:rsidRPr="0024193A">
        <w:rPr>
          <w:rFonts w:cs="Arial"/>
        </w:rPr>
        <w:t xml:space="preserve">Not classified as a skin </w:t>
      </w:r>
      <w:r w:rsidR="00155999" w:rsidRPr="0024193A">
        <w:rPr>
          <w:rFonts w:cs="Arial"/>
        </w:rPr>
        <w:t xml:space="preserve">sensitiser </w:t>
      </w:r>
      <w:r w:rsidRPr="0024193A">
        <w:rPr>
          <w:rFonts w:cs="Arial"/>
        </w:rPr>
        <w:t>or respiratory sensitiser according to the GHS.</w:t>
      </w:r>
    </w:p>
    <w:p w14:paraId="21CCE2A5" w14:textId="6C2986EF" w:rsidR="0025734A" w:rsidRPr="004C23F4" w:rsidRDefault="0024193A">
      <w:pPr>
        <w:rPr>
          <w:rFonts w:cs="Arial"/>
        </w:rPr>
      </w:pPr>
      <w:r>
        <w:rPr>
          <w:rFonts w:cs="Arial"/>
        </w:rPr>
        <w:t>A skin notation is recommended based on reported systemic effects following dermal absorption.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5460B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5460BF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FA42CA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05A8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05A80">
                  <w:t>TWA: 0.15 mg/m</w:t>
                </w:r>
                <w:r w:rsidR="00605A80" w:rsidRPr="00605A8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5460BF">
        <w:trPr>
          <w:gridAfter w:val="1"/>
          <w:wAfter w:w="8" w:type="pct"/>
          <w:cantSplit/>
        </w:trPr>
        <w:tc>
          <w:tcPr>
            <w:tcW w:w="4992" w:type="pct"/>
          </w:tcPr>
          <w:p w14:paraId="63307873" w14:textId="77777777" w:rsidR="00C978F0" w:rsidRDefault="00C978F0" w:rsidP="003365A5">
            <w:pPr>
              <w:pStyle w:val="Tabletextprimarysource"/>
            </w:pPr>
          </w:p>
          <w:p w14:paraId="1EB96DDB" w14:textId="77777777" w:rsidR="009E65B9" w:rsidRPr="009E65B9" w:rsidRDefault="009E65B9" w:rsidP="009E65B9"/>
          <w:p w14:paraId="1747CFB5" w14:textId="77777777" w:rsidR="009E65B9" w:rsidRPr="009E65B9" w:rsidRDefault="009E65B9" w:rsidP="009E65B9"/>
          <w:p w14:paraId="20445DE4" w14:textId="77777777" w:rsidR="009E65B9" w:rsidRPr="009E65B9" w:rsidRDefault="009E65B9" w:rsidP="009E65B9"/>
          <w:p w14:paraId="21A58A4B" w14:textId="77777777" w:rsidR="009E65B9" w:rsidRPr="009E65B9" w:rsidRDefault="009E65B9" w:rsidP="009E65B9"/>
          <w:p w14:paraId="1C8EE441" w14:textId="77777777" w:rsidR="009E65B9" w:rsidRPr="009E65B9" w:rsidRDefault="009E65B9" w:rsidP="009E65B9"/>
          <w:p w14:paraId="50F1ED74" w14:textId="77777777" w:rsidR="009E65B9" w:rsidRPr="009E65B9" w:rsidRDefault="009E65B9" w:rsidP="009E65B9"/>
          <w:p w14:paraId="6F886B18" w14:textId="77777777" w:rsidR="009E65B9" w:rsidRPr="009E65B9" w:rsidRDefault="009E65B9" w:rsidP="009E65B9"/>
          <w:p w14:paraId="0247887D" w14:textId="77777777" w:rsidR="009E65B9" w:rsidRPr="009E65B9" w:rsidRDefault="009E65B9" w:rsidP="009E65B9"/>
          <w:p w14:paraId="3206AE10" w14:textId="77777777" w:rsidR="009E65B9" w:rsidRPr="009E65B9" w:rsidRDefault="009E65B9" w:rsidP="009E65B9"/>
          <w:p w14:paraId="38179BE3" w14:textId="77777777" w:rsidR="009E65B9" w:rsidRPr="009E65B9" w:rsidRDefault="009E65B9" w:rsidP="009E65B9"/>
          <w:p w14:paraId="0C55C329" w14:textId="77777777" w:rsidR="009E65B9" w:rsidRPr="009E65B9" w:rsidRDefault="009E65B9" w:rsidP="009E65B9"/>
          <w:p w14:paraId="38EC3139" w14:textId="77777777" w:rsidR="009E65B9" w:rsidRPr="009E65B9" w:rsidRDefault="009E65B9" w:rsidP="009E65B9"/>
          <w:p w14:paraId="3B650750" w14:textId="77777777" w:rsidR="009E65B9" w:rsidRPr="009E65B9" w:rsidRDefault="009E65B9" w:rsidP="009E65B9"/>
          <w:p w14:paraId="148DAB8F" w14:textId="77777777" w:rsidR="009E65B9" w:rsidRPr="009E65B9" w:rsidRDefault="009E65B9" w:rsidP="009E65B9"/>
          <w:p w14:paraId="57A11EBC" w14:textId="77777777" w:rsidR="009E65B9" w:rsidRPr="009E65B9" w:rsidRDefault="009E65B9" w:rsidP="009E65B9"/>
          <w:p w14:paraId="31EE531D" w14:textId="77777777" w:rsidR="009E65B9" w:rsidRPr="009E65B9" w:rsidRDefault="009E65B9" w:rsidP="009E65B9"/>
          <w:p w14:paraId="0FB9E5BE" w14:textId="77777777" w:rsidR="009E65B9" w:rsidRPr="009E65B9" w:rsidRDefault="009E65B9" w:rsidP="009E65B9"/>
          <w:p w14:paraId="09F8AE47" w14:textId="77777777" w:rsidR="009E65B9" w:rsidRPr="009E65B9" w:rsidRDefault="009E65B9" w:rsidP="009E65B9"/>
          <w:p w14:paraId="26273947" w14:textId="77777777" w:rsidR="009E65B9" w:rsidRPr="009E65B9" w:rsidRDefault="009E65B9" w:rsidP="009E65B9"/>
          <w:p w14:paraId="5D75E10B" w14:textId="77777777" w:rsidR="009E65B9" w:rsidRPr="009E65B9" w:rsidRDefault="009E65B9" w:rsidP="009E65B9"/>
          <w:p w14:paraId="5FE9D8E9" w14:textId="77777777" w:rsidR="009E65B9" w:rsidRPr="009E65B9" w:rsidRDefault="009E65B9" w:rsidP="009E65B9"/>
          <w:p w14:paraId="2F591F10" w14:textId="77777777" w:rsidR="009E65B9" w:rsidRPr="009E65B9" w:rsidRDefault="009E65B9" w:rsidP="009E65B9"/>
          <w:p w14:paraId="4AF1E8D8" w14:textId="77777777" w:rsidR="009E65B9" w:rsidRPr="009E65B9" w:rsidRDefault="009E65B9" w:rsidP="009E65B9"/>
          <w:p w14:paraId="3735BD95" w14:textId="77777777" w:rsidR="009E65B9" w:rsidRPr="009E65B9" w:rsidRDefault="009E65B9" w:rsidP="009E65B9"/>
          <w:p w14:paraId="361D13E4" w14:textId="77777777" w:rsidR="009E65B9" w:rsidRPr="009E65B9" w:rsidRDefault="009E65B9" w:rsidP="009E65B9"/>
          <w:p w14:paraId="14E1E57D" w14:textId="77777777" w:rsidR="009E65B9" w:rsidRPr="009E65B9" w:rsidRDefault="009E65B9" w:rsidP="009E65B9"/>
          <w:p w14:paraId="275E4D80" w14:textId="77777777" w:rsidR="009E65B9" w:rsidRPr="009E65B9" w:rsidRDefault="009E65B9" w:rsidP="009E65B9"/>
          <w:p w14:paraId="2DE7E549" w14:textId="77777777" w:rsidR="009E65B9" w:rsidRPr="009E65B9" w:rsidRDefault="009E65B9" w:rsidP="009E65B9"/>
          <w:p w14:paraId="114133BD" w14:textId="77777777" w:rsidR="009E65B9" w:rsidRDefault="009E65B9" w:rsidP="009E65B9"/>
          <w:p w14:paraId="4F08231B" w14:textId="77777777" w:rsidR="009E65B9" w:rsidRPr="009E65B9" w:rsidRDefault="009E65B9" w:rsidP="009E65B9"/>
          <w:p w14:paraId="1137D58F" w14:textId="77777777" w:rsidR="009E65B9" w:rsidRPr="009E65B9" w:rsidRDefault="009E65B9" w:rsidP="009E65B9"/>
        </w:tc>
      </w:tr>
      <w:tr w:rsidR="00C978F0" w:rsidRPr="00DA352E" w14:paraId="24593221" w14:textId="77777777" w:rsidTr="005460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2A8771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05A8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05A80">
                  <w:t>TLV-TWA: 0.15 mg/m</w:t>
                </w:r>
                <w:r w:rsidR="00605A80" w:rsidRPr="00605A8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5460BF">
        <w:trPr>
          <w:gridAfter w:val="1"/>
          <w:wAfter w:w="8" w:type="pct"/>
          <w:cantSplit/>
        </w:trPr>
        <w:tc>
          <w:tcPr>
            <w:tcW w:w="4992" w:type="pct"/>
          </w:tcPr>
          <w:p w14:paraId="4B7AC08B" w14:textId="76220F36" w:rsidR="00C978F0" w:rsidRDefault="008973DB" w:rsidP="003365A5">
            <w:pPr>
              <w:pStyle w:val="Tabletextprimarysource"/>
            </w:pPr>
            <w:r>
              <w:t xml:space="preserve">TLV-TWA recommended to minimise the potential </w:t>
            </w:r>
            <w:r w:rsidR="00886967">
              <w:t>risk of CNS</w:t>
            </w:r>
            <w:r>
              <w:t xml:space="preserve"> effects, provided skin contact is avoided.</w:t>
            </w:r>
          </w:p>
          <w:p w14:paraId="2F6FBC48" w14:textId="77777777" w:rsidR="008973DB" w:rsidRDefault="008973DB" w:rsidP="003365A5">
            <w:pPr>
              <w:pStyle w:val="Tabletextprimarysource"/>
            </w:pPr>
            <w:r>
              <w:t>Summary of data:</w:t>
            </w:r>
          </w:p>
          <w:p w14:paraId="4B86C6CB" w14:textId="29C6FEE3" w:rsidR="008973DB" w:rsidRDefault="008973DB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Effects associated with exposure reported as nervous irritability, tinnitus, insomnia, fatigue, muscle pain, disturbed vision, gastrointestinal distress and tremors</w:t>
            </w:r>
          </w:p>
          <w:p w14:paraId="58AF7050" w14:textId="522D1E4F" w:rsidR="008973DB" w:rsidRDefault="008973DB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 intoxication resulted in mania, convulsions and brain damage</w:t>
            </w:r>
          </w:p>
          <w:p w14:paraId="71918CD1" w14:textId="3822337A" w:rsidR="006E6B9C" w:rsidRDefault="002968DD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specific data or de</w:t>
            </w:r>
            <w:r w:rsidR="006B5DA8">
              <w:t>rivation of the TLV is provided</w:t>
            </w:r>
            <w:r w:rsidR="00F65F3F">
              <w:t>:</w:t>
            </w:r>
            <w:r>
              <w:t xml:space="preserve"> </w:t>
            </w:r>
          </w:p>
          <w:p w14:paraId="73C27EC4" w14:textId="601E04A3" w:rsidR="006E6B9C" w:rsidRDefault="002968DD" w:rsidP="006E6B9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 xml:space="preserve">it is reported that the </w:t>
            </w:r>
            <w:r w:rsidR="008973DB">
              <w:t xml:space="preserve">TLV </w:t>
            </w:r>
            <w:r>
              <w:t xml:space="preserve">is </w:t>
            </w:r>
            <w:r w:rsidR="008973DB">
              <w:t>based on evidence of workers exposed to TML at workplace air concentrations of 179 µg/m</w:t>
            </w:r>
            <w:r w:rsidR="008973DB" w:rsidRPr="008973DB">
              <w:rPr>
                <w:vertAlign w:val="superscript"/>
              </w:rPr>
              <w:t>3</w:t>
            </w:r>
            <w:r w:rsidR="008973DB">
              <w:t xml:space="preserve"> having urinary </w:t>
            </w:r>
            <w:r w:rsidR="006E6B9C">
              <w:t>Pb</w:t>
            </w:r>
            <w:r w:rsidR="008973DB">
              <w:t xml:space="preserve"> concentrations approximating </w:t>
            </w:r>
            <w:r w:rsidR="00D861ED">
              <w:t xml:space="preserve">to </w:t>
            </w:r>
            <w:r w:rsidR="008973DB">
              <w:t>not occupationally exposed</w:t>
            </w:r>
            <w:r w:rsidR="005811F8">
              <w:t xml:space="preserve"> people</w:t>
            </w:r>
            <w:r w:rsidR="008973DB">
              <w:t xml:space="preserve"> </w:t>
            </w:r>
          </w:p>
          <w:p w14:paraId="1DD9C3FE" w14:textId="543797AC" w:rsidR="008973DB" w:rsidRDefault="008973DB" w:rsidP="006E6B9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 xml:space="preserve">this indicates that the TLV should minimise risks of toxicity if skin contact is </w:t>
            </w:r>
            <w:proofErr w:type="gramStart"/>
            <w:r>
              <w:t>avoided</w:t>
            </w:r>
            <w:r w:rsidR="006B5DA8">
              <w:t>;</w:t>
            </w:r>
            <w:proofErr w:type="gramEnd"/>
            <w:r w:rsidR="006B5DA8">
              <w:t xml:space="preserve"> no further information</w:t>
            </w:r>
          </w:p>
          <w:p w14:paraId="4D8D103A" w14:textId="1C6B786B" w:rsidR="002968DD" w:rsidRDefault="002968DD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saturated vapour concentration of TML exceeds the TLV, thus, a significant fraction of TML can be expected to exist in the vapour phase</w:t>
            </w:r>
            <w:r w:rsidR="005830E9">
              <w:t>.</w:t>
            </w:r>
          </w:p>
          <w:p w14:paraId="7755F131" w14:textId="77777777" w:rsidR="008973DB" w:rsidRDefault="008973DB" w:rsidP="008973DB">
            <w:pPr>
              <w:pStyle w:val="Tabletextprimarysource"/>
            </w:pPr>
            <w:r>
              <w:t>Human data:</w:t>
            </w:r>
          </w:p>
          <w:p w14:paraId="47DD8497" w14:textId="3384A08D" w:rsidR="00673095" w:rsidRDefault="005811F8" w:rsidP="006E6B9C">
            <w:pPr>
              <w:pStyle w:val="ListBullet"/>
              <w:spacing w:before="60" w:after="60"/>
              <w:ind w:left="717" w:hanging="357"/>
              <w:contextualSpacing w:val="0"/>
            </w:pPr>
            <w:r>
              <w:t xml:space="preserve">The following are results from </w:t>
            </w:r>
            <w:r w:rsidR="00673095">
              <w:t xml:space="preserve">a study comparing relative degree of hazard in occupational exposure to airborne </w:t>
            </w:r>
            <w:r w:rsidR="00B74ED9">
              <w:t xml:space="preserve">TML </w:t>
            </w:r>
            <w:r w:rsidR="00673095">
              <w:t xml:space="preserve">and </w:t>
            </w:r>
            <w:r w:rsidR="00886967">
              <w:t>TEL</w:t>
            </w:r>
            <w:r w:rsidR="00FE002C">
              <w:t>:</w:t>
            </w:r>
            <w:r w:rsidR="00673095">
              <w:t xml:space="preserve"> </w:t>
            </w:r>
          </w:p>
          <w:p w14:paraId="36F67111" w14:textId="77777777" w:rsidR="00673095" w:rsidRDefault="00673095" w:rsidP="006E6B9C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</w:pPr>
            <w:r>
              <w:t xml:space="preserve">TML </w:t>
            </w:r>
            <w:r w:rsidR="00B74ED9">
              <w:t xml:space="preserve">is considerably more volatile than </w:t>
            </w:r>
            <w:r>
              <w:t>TEL</w:t>
            </w:r>
          </w:p>
          <w:p w14:paraId="435C5D98" w14:textId="30B16637" w:rsidR="00673095" w:rsidRDefault="00B74ED9" w:rsidP="006E6B9C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</w:pPr>
            <w:r>
              <w:t xml:space="preserve">industrial experience indicates atmospheric exposure is </w:t>
            </w:r>
            <w:r w:rsidR="00873E0D">
              <w:t>~</w:t>
            </w:r>
            <w:r>
              <w:t xml:space="preserve">3 x greater in TML operations </w:t>
            </w:r>
            <w:r w:rsidR="00673095">
              <w:t>than for TEL manufacture</w:t>
            </w:r>
          </w:p>
          <w:p w14:paraId="24AF6C8E" w14:textId="02100377" w:rsidR="0000189D" w:rsidRDefault="00B74ED9" w:rsidP="006E6B9C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</w:pPr>
            <w:r>
              <w:t xml:space="preserve">the concentration of </w:t>
            </w:r>
            <w:r w:rsidR="006E6B9C">
              <w:t>Pb</w:t>
            </w:r>
            <w:r>
              <w:t xml:space="preserve"> in the urine of workers exposed to TML and those exposed to TEL was not significantly diff</w:t>
            </w:r>
            <w:r w:rsidR="0000189D">
              <w:t>erent</w:t>
            </w:r>
          </w:p>
          <w:p w14:paraId="4E610B20" w14:textId="3B618F39" w:rsidR="0000189D" w:rsidRDefault="00B74ED9" w:rsidP="006E6B9C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</w:pPr>
            <w:r>
              <w:t xml:space="preserve">neither </w:t>
            </w:r>
            <w:r w:rsidR="00673095">
              <w:t xml:space="preserve">TEL or TML </w:t>
            </w:r>
            <w:r>
              <w:t xml:space="preserve">group had symptoms of illness and urine </w:t>
            </w:r>
            <w:r w:rsidR="006E6B9C">
              <w:t>Pb</w:t>
            </w:r>
            <w:r>
              <w:t xml:space="preserve"> concentrations averaged s</w:t>
            </w:r>
            <w:r w:rsidR="0000189D">
              <w:t>lightly above the normal range</w:t>
            </w:r>
          </w:p>
          <w:p w14:paraId="69B0EC1A" w14:textId="5C6D0DC9" w:rsidR="008973DB" w:rsidRDefault="00B74ED9" w:rsidP="006E6B9C">
            <w:pPr>
              <w:pStyle w:val="ListBullet"/>
              <w:numPr>
                <w:ilvl w:val="0"/>
                <w:numId w:val="2"/>
              </w:numPr>
              <w:spacing w:before="60" w:after="60"/>
              <w:ind w:left="1080" w:hanging="357"/>
              <w:contextualSpacing w:val="0"/>
            </w:pPr>
            <w:r>
              <w:t>no further information</w:t>
            </w:r>
          </w:p>
          <w:p w14:paraId="6A9D0B3E" w14:textId="77777777" w:rsidR="00B74ED9" w:rsidRDefault="00B74ED9" w:rsidP="006E6B9C">
            <w:pPr>
              <w:pStyle w:val="ListBullet"/>
              <w:ind w:left="717" w:hanging="357"/>
              <w:contextualSpacing w:val="0"/>
            </w:pPr>
            <w:r>
              <w:t>Total pulmonary absorption is estimated as 80% of the inhaled TML</w:t>
            </w:r>
          </w:p>
          <w:p w14:paraId="4F958968" w14:textId="6DC4E781" w:rsidR="00085EED" w:rsidRDefault="00B74ED9" w:rsidP="006E6B9C">
            <w:pPr>
              <w:pStyle w:val="ListBullet"/>
              <w:ind w:left="717" w:hanging="357"/>
              <w:contextualSpacing w:val="0"/>
            </w:pPr>
            <w:r>
              <w:t xml:space="preserve">An approximate linear relationship between lead concentrations in workplace air and urinary </w:t>
            </w:r>
            <w:r w:rsidR="006E6B9C">
              <w:t>Pb</w:t>
            </w:r>
            <w:r>
              <w:t xml:space="preserve"> excretion exists</w:t>
            </w:r>
          </w:p>
          <w:p w14:paraId="6E496CA7" w14:textId="6BE1042B" w:rsidR="00085EED" w:rsidRDefault="00085EED" w:rsidP="006E6B9C">
            <w:pPr>
              <w:pStyle w:val="ListBullet"/>
              <w:ind w:left="717" w:hanging="357"/>
              <w:contextualSpacing w:val="0"/>
            </w:pPr>
            <w:r>
              <w:t>Workers exposed to TML at workplace air concentrations of 179 µg/m</w:t>
            </w:r>
            <w:r w:rsidRPr="008973DB">
              <w:rPr>
                <w:vertAlign w:val="superscript"/>
              </w:rPr>
              <w:t>3</w:t>
            </w:r>
            <w:r>
              <w:t xml:space="preserve"> having urinary lead concentrations like those in people not occupationally exposed</w:t>
            </w:r>
            <w:r w:rsidR="005830E9">
              <w:t>.</w:t>
            </w:r>
          </w:p>
          <w:p w14:paraId="264B74E8" w14:textId="77777777" w:rsidR="009C1511" w:rsidRDefault="009C1511" w:rsidP="009C1511">
            <w:pPr>
              <w:pStyle w:val="Tabletextprimarysource"/>
            </w:pPr>
            <w:r>
              <w:t>Animal data:</w:t>
            </w:r>
          </w:p>
          <w:p w14:paraId="3B4175DB" w14:textId="24D69246" w:rsidR="009C1511" w:rsidRDefault="009C1511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Signs of acute TML intoxication in rats are </w:t>
            </w:r>
            <w:r w:rsidR="002B1513">
              <w:t>like</w:t>
            </w:r>
            <w:r>
              <w:t xml:space="preserve"> those seen after acute poisoning with </w:t>
            </w:r>
            <w:r w:rsidR="00F36935">
              <w:t>TEL</w:t>
            </w:r>
            <w:r w:rsidR="002B1513">
              <w:t xml:space="preserve">. No </w:t>
            </w:r>
            <w:r w:rsidR="00F36935">
              <w:t>further information (</w:t>
            </w:r>
            <w:r w:rsidR="00873E0D">
              <w:t>refer to</w:t>
            </w:r>
            <w:r w:rsidR="00F36935">
              <w:t xml:space="preserve"> TEL evaluation report)</w:t>
            </w:r>
          </w:p>
          <w:p w14:paraId="4B6F0D24" w14:textId="0893DF24" w:rsidR="009C1511" w:rsidRDefault="009C1511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Inhaled TML is </w:t>
            </w:r>
            <w:r w:rsidR="00873E0D">
              <w:t>~</w:t>
            </w:r>
            <w:r>
              <w:t xml:space="preserve">0.1 as toxic in rats as inhaled </w:t>
            </w:r>
            <w:r w:rsidR="00886967">
              <w:t>TEL</w:t>
            </w:r>
            <w:r w:rsidR="00570D4C">
              <w:t xml:space="preserve"> (TLV-TWA 0.1 mg/m</w:t>
            </w:r>
            <w:r w:rsidR="00570D4C">
              <w:rPr>
                <w:vertAlign w:val="superscript"/>
              </w:rPr>
              <w:t>3</w:t>
            </w:r>
            <w:r w:rsidR="00570D4C">
              <w:t>)</w:t>
            </w:r>
          </w:p>
          <w:p w14:paraId="4953B114" w14:textId="085E161C" w:rsidR="009C1511" w:rsidRDefault="009C1511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intubation of TML at 6 µg/kg/d to adult rhesus monkeys for 6 </w:t>
            </w:r>
            <w:proofErr w:type="spellStart"/>
            <w:r>
              <w:t>mo</w:t>
            </w:r>
            <w:proofErr w:type="spellEnd"/>
            <w:r>
              <w:t xml:space="preserve"> failed to elicit signs of intoxication</w:t>
            </w:r>
          </w:p>
          <w:p w14:paraId="1C82D3D7" w14:textId="7D7155A9" w:rsidR="0007767B" w:rsidRDefault="0007767B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TML absorbed through intact skin, at a rate slower than that of </w:t>
            </w:r>
            <w:r w:rsidR="00873E0D">
              <w:t>TEL</w:t>
            </w:r>
            <w:r>
              <w:t>; no further information</w:t>
            </w:r>
            <w:r w:rsidR="00EF76D4">
              <w:t>.</w:t>
            </w:r>
          </w:p>
          <w:p w14:paraId="0BF9A72A" w14:textId="77777777" w:rsidR="006E6B9C" w:rsidRDefault="006E6B9C" w:rsidP="00570D4C">
            <w:pPr>
              <w:pStyle w:val="Tabletextprimarysource"/>
            </w:pPr>
          </w:p>
          <w:p w14:paraId="0CE4D35D" w14:textId="649D9212" w:rsidR="00570D4C" w:rsidRPr="00DA352E" w:rsidRDefault="00570D4C" w:rsidP="00570D4C">
            <w:pPr>
              <w:pStyle w:val="Tabletextprimarysource"/>
            </w:pPr>
            <w:r>
              <w:t xml:space="preserve">Insufficient data </w:t>
            </w:r>
            <w:r w:rsidR="0007767B">
              <w:t>a</w:t>
            </w:r>
            <w:r>
              <w:t>re available to recommend a sensitiser or carcinogen notation or TLV-STEL.</w:t>
            </w:r>
          </w:p>
        </w:tc>
      </w:tr>
      <w:tr w:rsidR="00C978F0" w:rsidRPr="00DA352E" w14:paraId="174F8B79" w14:textId="77777777" w:rsidTr="005460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D83835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05A80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05A80">
                  <w:t xml:space="preserve">MAK: </w:t>
                </w:r>
                <w:r w:rsidR="0081774B">
                  <w:t>0.05 mg/m</w:t>
                </w:r>
                <w:r w:rsidR="0081774B" w:rsidRPr="0081774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433014F" w14:textId="77777777" w:rsidTr="005460BF">
        <w:trPr>
          <w:gridAfter w:val="1"/>
          <w:wAfter w:w="8" w:type="pct"/>
          <w:cantSplit/>
        </w:trPr>
        <w:tc>
          <w:tcPr>
            <w:tcW w:w="4992" w:type="pct"/>
          </w:tcPr>
          <w:p w14:paraId="08CB66AB" w14:textId="2351D7F8" w:rsidR="0000189D" w:rsidRPr="0000189D" w:rsidRDefault="0000189D" w:rsidP="003365A5">
            <w:pPr>
              <w:pStyle w:val="Tabletextprimarysource"/>
            </w:pPr>
            <w:r>
              <w:t>MAK value based on analogy to TEL (0.05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EF76D4">
              <w:t>.</w:t>
            </w:r>
          </w:p>
          <w:p w14:paraId="13618331" w14:textId="026571CD" w:rsidR="0000189D" w:rsidRDefault="0000189D" w:rsidP="003365A5">
            <w:pPr>
              <w:pStyle w:val="Tabletextprimarysource"/>
            </w:pPr>
            <w:r>
              <w:t>Summary of additional data:</w:t>
            </w:r>
          </w:p>
          <w:p w14:paraId="65A750B4" w14:textId="34B390C9" w:rsidR="0000189D" w:rsidRDefault="0000189D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For the effects of TML in experimental animals and humans, there</w:t>
            </w:r>
            <w:r w:rsidR="005811F8">
              <w:t xml:space="preserve"> are </w:t>
            </w:r>
            <w:r>
              <w:t xml:space="preserve">much </w:t>
            </w:r>
            <w:r w:rsidR="005811F8">
              <w:t xml:space="preserve">fewer </w:t>
            </w:r>
            <w:r>
              <w:t>data available than for TEL</w:t>
            </w:r>
          </w:p>
          <w:p w14:paraId="391BC4D2" w14:textId="36B11BD9" w:rsidR="00C978F0" w:rsidRDefault="0000189D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Mode of action of TML is analogous to TEL </w:t>
            </w:r>
          </w:p>
          <w:p w14:paraId="05E58E6F" w14:textId="438636D0" w:rsidR="0000189D" w:rsidRDefault="0000189D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TEL MAK reduced to 0.05 mg/m</w:t>
            </w:r>
            <w:r>
              <w:rPr>
                <w:vertAlign w:val="superscript"/>
              </w:rPr>
              <w:t>3</w:t>
            </w:r>
            <w:r>
              <w:t xml:space="preserve"> in 1994; TML reduced to 0.05 mg/m</w:t>
            </w:r>
            <w:r>
              <w:rPr>
                <w:vertAlign w:val="superscript"/>
              </w:rPr>
              <w:t>3</w:t>
            </w:r>
            <w:r>
              <w:t xml:space="preserve"> in 1995</w:t>
            </w:r>
          </w:p>
          <w:p w14:paraId="4C4C43B7" w14:textId="3A596EF4" w:rsidR="006E6B9C" w:rsidRDefault="0000189D" w:rsidP="006E6B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Some indication the absorbed TML may be demethylated to yield inorganic </w:t>
            </w:r>
            <w:r w:rsidR="006E6B9C">
              <w:t>Pb</w:t>
            </w:r>
            <w:r>
              <w:t xml:space="preserve"> and prenatal toxic effects of inorganic </w:t>
            </w:r>
            <w:r w:rsidR="006E6B9C">
              <w:t>Pb</w:t>
            </w:r>
            <w:r>
              <w:t xml:space="preserve"> might be expected foll</w:t>
            </w:r>
            <w:r w:rsidR="00C825F8">
              <w:t xml:space="preserve">owing </w:t>
            </w:r>
            <w:r w:rsidR="005811F8">
              <w:t>long-</w:t>
            </w:r>
            <w:r w:rsidR="00C825F8">
              <w:t>term exposure to TML</w:t>
            </w:r>
            <w:r w:rsidR="00266071">
              <w:t>:</w:t>
            </w:r>
            <w:r w:rsidR="00C825F8">
              <w:t xml:space="preserve"> </w:t>
            </w:r>
          </w:p>
          <w:p w14:paraId="5EA1ED71" w14:textId="77777777" w:rsidR="0000189D" w:rsidRDefault="00C825F8" w:rsidP="006E6B9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no pregnancy notation due to inadequate database; no further information</w:t>
            </w:r>
            <w:r w:rsidR="00EF76D4">
              <w:t>.</w:t>
            </w:r>
          </w:p>
          <w:p w14:paraId="61A64F09" w14:textId="3BEBC2EE" w:rsidR="006E6B9C" w:rsidRPr="00DA352E" w:rsidRDefault="006E6B9C" w:rsidP="006E6B9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5460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993DD2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177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1774B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5460BF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6242704" w:rsidR="00C978F0" w:rsidRPr="00DA352E" w:rsidRDefault="0081774B" w:rsidP="003365A5">
            <w:pPr>
              <w:pStyle w:val="Tabletextprimarysource"/>
            </w:pPr>
            <w:r>
              <w:t>No report</w:t>
            </w:r>
            <w:r w:rsidR="00EF76D4">
              <w:t>.</w:t>
            </w:r>
          </w:p>
        </w:tc>
      </w:tr>
      <w:tr w:rsidR="00DA352E" w:rsidRPr="00DA352E" w14:paraId="12BAB90D" w14:textId="77777777" w:rsidTr="005460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78AC8D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177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1774B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5460BF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63F9AB54" w:rsidR="00DA352E" w:rsidRPr="00DA352E" w:rsidRDefault="0081774B" w:rsidP="003365A5">
            <w:pPr>
              <w:pStyle w:val="Tabletextprimarysource"/>
            </w:pPr>
            <w:r>
              <w:t>No report</w:t>
            </w:r>
            <w:r w:rsidR="00EF76D4">
              <w:t>.</w:t>
            </w:r>
          </w:p>
        </w:tc>
      </w:tr>
      <w:tr w:rsidR="00DA352E" w:rsidRPr="00DA352E" w14:paraId="605F758C" w14:textId="77777777" w:rsidTr="005460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424C8E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177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1774B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5460BF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7C2E9E7D" w:rsidR="00DA352E" w:rsidRPr="00DA352E" w:rsidRDefault="0081774B" w:rsidP="003365A5">
            <w:pPr>
              <w:pStyle w:val="Tabletextprimarysource"/>
            </w:pPr>
            <w:r>
              <w:t>No report</w:t>
            </w:r>
            <w:r w:rsidR="00EF76D4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5"/>
        <w:gridCol w:w="423"/>
        <w:gridCol w:w="661"/>
        <w:gridCol w:w="6457"/>
      </w:tblGrid>
      <w:tr w:rsidR="004966BF" w:rsidRPr="00263255" w14:paraId="6AE89AB3" w14:textId="77777777" w:rsidTr="005460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6E6B9C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5460BF">
        <w:tc>
          <w:tcPr>
            <w:tcW w:w="1485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6ECBF044" w:rsidR="004966BF" w:rsidRPr="00CE617F" w:rsidRDefault="009E65B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825F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6DCBF17A" w:rsidR="004966BF" w:rsidRPr="004C23F4" w:rsidRDefault="00C825F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7" w:type="dxa"/>
          </w:tcPr>
          <w:p w14:paraId="060E751E" w14:textId="64958BC9" w:rsidR="006E6B9C" w:rsidRPr="006E6B9C" w:rsidRDefault="00C825F8" w:rsidP="006E6B9C">
            <w:pPr>
              <w:pStyle w:val="ListBullet"/>
              <w:spacing w:before="60" w:after="60"/>
              <w:ind w:left="71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Assessed as part of a group of 6</w:t>
            </w:r>
            <w:r w:rsidR="00AB1C87">
              <w:rPr>
                <w:rStyle w:val="checkbox"/>
                <w:rFonts w:ascii="Arial" w:hAnsi="Arial" w:cs="Arial"/>
              </w:rPr>
              <w:t xml:space="preserve"> </w:t>
            </w:r>
            <w:r w:rsidR="00AB1C87">
              <w:rPr>
                <w:rFonts w:cs="Arial"/>
                <w:color w:val="262626"/>
              </w:rPr>
              <w:t>organ</w:t>
            </w:r>
            <w:r w:rsidR="00D861ED">
              <w:rPr>
                <w:rFonts w:cs="Arial"/>
                <w:color w:val="262626"/>
              </w:rPr>
              <w:t xml:space="preserve">ic </w:t>
            </w:r>
            <w:r w:rsidR="006E6B9C">
              <w:rPr>
                <w:rFonts w:cs="Arial"/>
                <w:color w:val="262626"/>
              </w:rPr>
              <w:t>Pb</w:t>
            </w:r>
            <w:r w:rsidR="00AB1C87">
              <w:rPr>
                <w:rFonts w:cs="Arial"/>
                <w:color w:val="262626"/>
              </w:rPr>
              <w:t xml:space="preserve"> chemicals including TEL</w:t>
            </w:r>
            <w:r w:rsidR="00266071">
              <w:rPr>
                <w:rFonts w:cs="Arial"/>
                <w:color w:val="262626"/>
              </w:rPr>
              <w:t>:</w:t>
            </w:r>
            <w:r w:rsidR="00AB1C87">
              <w:rPr>
                <w:rFonts w:cs="Arial"/>
                <w:color w:val="262626"/>
              </w:rPr>
              <w:t xml:space="preserve"> </w:t>
            </w:r>
          </w:p>
          <w:p w14:paraId="0CD588AE" w14:textId="5A15814E" w:rsidR="004966BF" w:rsidRPr="00AB1C87" w:rsidRDefault="00AB1C87" w:rsidP="006E6B9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exclusively used as additives in fuels</w:t>
            </w:r>
          </w:p>
          <w:p w14:paraId="76ACFDA9" w14:textId="76083B07" w:rsidR="00AB1C87" w:rsidRPr="00AB1C87" w:rsidRDefault="00AB1C87" w:rsidP="006E6B9C">
            <w:pPr>
              <w:pStyle w:val="ListBullet"/>
              <w:spacing w:before="60" w:after="60"/>
              <w:ind w:left="71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Classified as hazardous with the risk phrase 'Very toxic in contact with skin'; no specific animal or human studies are available; data available from the Hazardous Substances Data Bank indicate TEL and TML reported to penetrate the skin at lethal concentrations and dermal contact can result in dermatitis and burns</w:t>
            </w:r>
          </w:p>
          <w:p w14:paraId="56552192" w14:textId="77777777" w:rsidR="00AB1C87" w:rsidRPr="00AB1C87" w:rsidRDefault="00AB1C87" w:rsidP="006E6B9C">
            <w:pPr>
              <w:pStyle w:val="ListBullet"/>
              <w:spacing w:before="60" w:after="60"/>
              <w:ind w:left="71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 xml:space="preserve">Specific studies for TML indicate that it is not genotoxic when assessed in standard </w:t>
            </w:r>
            <w:r w:rsidRPr="00AB1C87">
              <w:rPr>
                <w:rFonts w:cs="Arial"/>
                <w:i/>
                <w:color w:val="262626"/>
              </w:rPr>
              <w:t>in vitro</w:t>
            </w:r>
            <w:r>
              <w:rPr>
                <w:rFonts w:cs="Arial"/>
                <w:color w:val="262626"/>
              </w:rPr>
              <w:t xml:space="preserve"> (</w:t>
            </w:r>
            <w:proofErr w:type="gramStart"/>
            <w:r>
              <w:rPr>
                <w:rFonts w:cs="Arial"/>
                <w:color w:val="262626"/>
              </w:rPr>
              <w:t>Ames</w:t>
            </w:r>
            <w:proofErr w:type="gramEnd"/>
            <w:r>
              <w:rPr>
                <w:rFonts w:cs="Arial"/>
                <w:color w:val="262626"/>
              </w:rPr>
              <w:t xml:space="preserve"> test) and </w:t>
            </w:r>
            <w:r w:rsidRPr="00AB1C87">
              <w:rPr>
                <w:rFonts w:cs="Arial"/>
                <w:i/>
                <w:color w:val="262626"/>
              </w:rPr>
              <w:t>in vivo tests</w:t>
            </w:r>
            <w:r>
              <w:rPr>
                <w:rFonts w:cs="Arial"/>
                <w:color w:val="262626"/>
              </w:rPr>
              <w:t xml:space="preserve"> (in vivo chromosome aberration assay); no further information</w:t>
            </w:r>
          </w:p>
          <w:p w14:paraId="3CFF5BB3" w14:textId="3C49A4EA" w:rsidR="00AB1C87" w:rsidRPr="00AB1C87" w:rsidRDefault="00AB1C87" w:rsidP="006E6B9C">
            <w:pPr>
              <w:pStyle w:val="ListBullet"/>
              <w:spacing w:before="60" w:after="60"/>
              <w:ind w:left="71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 xml:space="preserve">Rats orally administered TML on </w:t>
            </w:r>
            <w:r w:rsidR="00873E0D">
              <w:rPr>
                <w:rFonts w:cs="Arial"/>
                <w:color w:val="262626"/>
              </w:rPr>
              <w:t xml:space="preserve">GD </w:t>
            </w:r>
            <w:r>
              <w:rPr>
                <w:rFonts w:cs="Arial"/>
                <w:color w:val="262626"/>
              </w:rPr>
              <w:t xml:space="preserve">9–11 or 12–14 at total doses of 40, 80, 112 and 160 mg/kg </w:t>
            </w:r>
            <w:r w:rsidR="002B1513">
              <w:rPr>
                <w:rFonts w:cs="Arial"/>
                <w:color w:val="262626"/>
              </w:rPr>
              <w:t>body weight</w:t>
            </w:r>
            <w:r w:rsidR="00266071">
              <w:rPr>
                <w:rFonts w:cs="Arial"/>
                <w:color w:val="262626"/>
              </w:rPr>
              <w:t>:</w:t>
            </w:r>
          </w:p>
          <w:p w14:paraId="540FCE70" w14:textId="5E67A818" w:rsidR="00AB1C87" w:rsidRPr="00AB1C87" w:rsidRDefault="00AB1C87" w:rsidP="006E6B9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 xml:space="preserve">the low, medium and medium high doses were toxic to the </w:t>
            </w:r>
            <w:proofErr w:type="gramStart"/>
            <w:r>
              <w:rPr>
                <w:rFonts w:cs="Arial"/>
                <w:color w:val="262626"/>
              </w:rPr>
              <w:t>dams</w:t>
            </w:r>
            <w:proofErr w:type="gramEnd"/>
            <w:r>
              <w:rPr>
                <w:rFonts w:cs="Arial"/>
                <w:color w:val="262626"/>
              </w:rPr>
              <w:t xml:space="preserve"> and the high dose was lethal </w:t>
            </w:r>
          </w:p>
          <w:p w14:paraId="2DC76E8C" w14:textId="1236EE1B" w:rsidR="00AB1C87" w:rsidRPr="00AB1C87" w:rsidRDefault="00AB1C87" w:rsidP="006E6B9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dams in all dose groups exhibited hyperexcitability, reduced b</w:t>
            </w:r>
            <w:r w:rsidR="00266071">
              <w:rPr>
                <w:rFonts w:cs="Arial"/>
                <w:color w:val="262626"/>
              </w:rPr>
              <w:t xml:space="preserve">ody </w:t>
            </w:r>
            <w:r w:rsidR="006E6B9C">
              <w:rPr>
                <w:rFonts w:cs="Arial"/>
                <w:color w:val="262626"/>
              </w:rPr>
              <w:t>w</w:t>
            </w:r>
            <w:r w:rsidR="00266071">
              <w:rPr>
                <w:rFonts w:cs="Arial"/>
                <w:color w:val="262626"/>
              </w:rPr>
              <w:t>eight</w:t>
            </w:r>
            <w:r>
              <w:rPr>
                <w:rFonts w:cs="Arial"/>
                <w:color w:val="262626"/>
              </w:rPr>
              <w:t>, tremor and paresis</w:t>
            </w:r>
          </w:p>
          <w:p w14:paraId="24B9489F" w14:textId="49A87A08" w:rsidR="00AB1C87" w:rsidRPr="00AB1C87" w:rsidRDefault="00AB1C87" w:rsidP="006E6B9C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progeny showed dose related effects with respect to the degree of malformations - ranging from decreased ossification to an increase in skeletal defects: diminished head-to-hindquarters length and/or malformations of the internal organs or skeleton</w:t>
            </w:r>
          </w:p>
          <w:p w14:paraId="0076C2F1" w14:textId="28C9B5E9" w:rsidR="00AB1C87" w:rsidRPr="004C23F4" w:rsidRDefault="00EC71EC" w:rsidP="006E6B9C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lastRenderedPageBreak/>
              <w:t>The critical health effects include systemic long-term effects</w:t>
            </w:r>
            <w:r w:rsidR="002B1513">
              <w:rPr>
                <w:rFonts w:cs="Arial"/>
                <w:color w:val="262626"/>
              </w:rPr>
              <w:t>,</w:t>
            </w:r>
            <w:r>
              <w:rPr>
                <w:rFonts w:cs="Arial"/>
                <w:color w:val="262626"/>
              </w:rPr>
              <w:t xml:space="preserve"> reproductive toxi</w:t>
            </w:r>
            <w:r w:rsidR="00F36935">
              <w:rPr>
                <w:rFonts w:cs="Arial"/>
                <w:color w:val="262626"/>
              </w:rPr>
              <w:t>city and developmental toxicity</w:t>
            </w:r>
            <w:r>
              <w:rPr>
                <w:rFonts w:cs="Arial"/>
                <w:color w:val="262626"/>
              </w:rPr>
              <w:t xml:space="preserve"> and systemic acute effects (acute toxicity by oral, dermal and inhalation exposure)</w:t>
            </w:r>
            <w:r w:rsidR="00EF76D4">
              <w:rPr>
                <w:rFonts w:cs="Arial"/>
                <w:color w:val="262626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EC71EC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13B8F64C" w:rsidR="002E0D61" w:rsidRDefault="00EC71E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EC71E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72133E7B" w:rsidR="008A36CF" w:rsidRPr="006901A2" w:rsidRDefault="00EC71E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5460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5460BF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8D04658" w:rsidR="00687890" w:rsidRPr="00DD2F9B" w:rsidRDefault="0081774B" w:rsidP="00DD2F9B">
            <w:pPr>
              <w:pStyle w:val="Tablefont"/>
            </w:pPr>
            <w:r w:rsidRPr="0081774B">
              <w:t>Skin</w:t>
            </w:r>
          </w:p>
        </w:tc>
      </w:tr>
      <w:tr w:rsidR="007925F0" w:rsidRPr="004C23F4" w14:paraId="2A0C13EF" w14:textId="77777777" w:rsidTr="005460BF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0595062C" w:rsidR="007925F0" w:rsidRPr="00DD2F9B" w:rsidRDefault="0081774B" w:rsidP="00DD2F9B">
            <w:pPr>
              <w:pStyle w:val="Tablefont"/>
            </w:pPr>
            <w:r w:rsidRPr="0081774B">
              <w:t>Carcinogenicity – category 2</w:t>
            </w:r>
          </w:p>
        </w:tc>
      </w:tr>
      <w:tr w:rsidR="00AF483F" w:rsidRPr="004C23F4" w14:paraId="4C1044B3" w14:textId="77777777" w:rsidTr="005460BF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3D0149F" w:rsidR="00AF483F" w:rsidRPr="00DD2F9B" w:rsidRDefault="0081774B" w:rsidP="00DD2F9B">
            <w:pPr>
              <w:pStyle w:val="Tablefont"/>
            </w:pPr>
            <w:proofErr w:type="spellStart"/>
            <w:r w:rsidRPr="0081774B">
              <w:t>Carc</w:t>
            </w:r>
            <w:proofErr w:type="spellEnd"/>
            <w:r w:rsidRPr="0081774B">
              <w:t>. Cat 3</w:t>
            </w:r>
            <w:r>
              <w:t>, Skin</w:t>
            </w:r>
          </w:p>
        </w:tc>
      </w:tr>
      <w:tr w:rsidR="00687890" w:rsidRPr="004C23F4" w14:paraId="7812F0EC" w14:textId="77777777" w:rsidTr="005460BF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2AFE0026" w:rsidR="00687890" w:rsidRPr="00DD2F9B" w:rsidRDefault="0081774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5460BF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6509DE16" w:rsidR="00E41A26" w:rsidRPr="00DD2F9B" w:rsidRDefault="0081774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5460BF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373BEB6" w:rsidR="002E0D61" w:rsidRPr="00DD2F9B" w:rsidRDefault="0081774B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3FA3590" w14:textId="77777777" w:rsidTr="005460BF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B04DB0C" w:rsidR="002E0D61" w:rsidRPr="00DD2F9B" w:rsidRDefault="0081774B" w:rsidP="00DD2F9B">
            <w:pPr>
              <w:pStyle w:val="Tablefont"/>
            </w:pPr>
            <w:r>
              <w:t>H(skin)</w:t>
            </w:r>
          </w:p>
        </w:tc>
      </w:tr>
      <w:tr w:rsidR="002E0D61" w:rsidRPr="004C23F4" w14:paraId="2AC7B866" w14:textId="77777777" w:rsidTr="005460BF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12744599" w:rsidR="002E0D61" w:rsidRPr="00DD2F9B" w:rsidRDefault="0081774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5460BF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86D5A11" w:rsidR="002E0D61" w:rsidRPr="00DD2F9B" w:rsidRDefault="0081774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5460BF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641A50FB" w:rsidR="00386093" w:rsidRPr="00DD2F9B" w:rsidRDefault="0081774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5460BF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E89A94C" w:rsidR="00386093" w:rsidRPr="00DD2F9B" w:rsidRDefault="0081774B" w:rsidP="00D87570">
            <w:pPr>
              <w:pStyle w:val="Tablefont"/>
              <w:keepNext/>
            </w:pPr>
            <w:r w:rsidRPr="0081774B">
              <w:t>SK:SYS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408AA916" w:rsidR="00932DCE" w:rsidRPr="004C23F4" w:rsidRDefault="00EC71EC" w:rsidP="00F9496B">
            <w:pPr>
              <w:pStyle w:val="Tablefont"/>
            </w:pPr>
            <w:r>
              <w:rPr>
                <w:rFonts w:cs="Arial"/>
                <w:color w:val="262626"/>
              </w:rPr>
              <w:t>Reported to penetrate the skin at lethal concentrations</w:t>
            </w:r>
            <w:r w:rsidR="006E6B9C">
              <w:rPr>
                <w:rFonts w:cs="Arial"/>
                <w:color w:val="262626"/>
              </w:rPr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06EB876B" w:rsidR="00EB3D1B" w:rsidRDefault="0081774B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6E6B9C">
        <w:trPr>
          <w:cantSplit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5C15A758" w:rsidR="001B79E5" w:rsidRDefault="0081774B" w:rsidP="001B79E5">
                <w:pPr>
                  <w:pStyle w:val="Tablefont"/>
                </w:pPr>
                <w:r w:rsidRPr="0081774B">
                  <w:t>267</w:t>
                </w:r>
              </w:p>
            </w:tc>
          </w:sdtContent>
        </w:sdt>
      </w:tr>
      <w:tr w:rsidR="00A31D99" w:rsidRPr="004C23F4" w14:paraId="4D7C99C9" w14:textId="77777777" w:rsidTr="006E6B9C">
        <w:trPr>
          <w:cantSplit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9E86CD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F0202">
                  <w:t>10.93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F0202">
                  <w:t>0.091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6E6B9C">
        <w:trPr>
          <w:cantSplit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6E6B9C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6E6B9C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6E6B9C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488E261F" w:rsidR="00E06F40" w:rsidRPr="00A006A0" w:rsidRDefault="009E65B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5430F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76E84176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8F0202">
        <w:t>2001</w:t>
      </w:r>
      <w:r>
        <w:t xml:space="preserve">) </w:t>
      </w:r>
      <w:proofErr w:type="spellStart"/>
      <w:r w:rsidR="008F0202" w:rsidRPr="008F0202">
        <w:t>Tetramethyllead</w:t>
      </w:r>
      <w:proofErr w:type="spellEnd"/>
      <w:r>
        <w:t xml:space="preserve"> – MAK value documentation.</w:t>
      </w:r>
    </w:p>
    <w:p w14:paraId="1D94FE62" w14:textId="3D877F37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8F0202" w:rsidRPr="008F0202">
        <w:t>2013</w:t>
      </w:r>
      <w:r>
        <w:t xml:space="preserve">) </w:t>
      </w:r>
      <w:r w:rsidR="008F0202" w:rsidRPr="008F0202">
        <w:t>Lead alkyls</w:t>
      </w:r>
      <w:r w:rsidRPr="0071660C">
        <w:t xml:space="preserve">: Human health </w:t>
      </w:r>
      <w:r w:rsidR="008F0202" w:rsidRPr="008F0202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7EFB18B" w14:textId="2ECAC8E8" w:rsidR="008E4F1F" w:rsidRDefault="008E4F1F" w:rsidP="008E4F1F">
      <w:r w:rsidRPr="00D86E03">
        <w:t>US National Institute for Occupational Safety and Health (NIOSH)</w:t>
      </w:r>
      <w:r>
        <w:t xml:space="preserve"> (</w:t>
      </w:r>
      <w:r w:rsidR="008F0202" w:rsidRPr="008F0202">
        <w:t>1994</w:t>
      </w:r>
      <w:r>
        <w:t xml:space="preserve">) Immediately dangerous to life or health concentrations – </w:t>
      </w:r>
      <w:r w:rsidR="008F0202" w:rsidRPr="008F0202">
        <w:t>Tetramethyl lead (as Pb)</w:t>
      </w:r>
      <w:r>
        <w:t>.</w:t>
      </w:r>
    </w:p>
    <w:p w14:paraId="61CD1AF5" w14:textId="72D40E49" w:rsidR="008F0202" w:rsidRDefault="008F0202" w:rsidP="008E4F1F">
      <w:pPr>
        <w:rPr>
          <w:b/>
        </w:rPr>
      </w:pPr>
      <w:r>
        <w:t>US National Institute for Occupational Safety and Health (NIOSH) (</w:t>
      </w:r>
      <w:r w:rsidRPr="008F0202">
        <w:t>2017</w:t>
      </w:r>
      <w:r>
        <w:t xml:space="preserve">) NIOSH Skin Notation Profiles: </w:t>
      </w:r>
      <w:r w:rsidRPr="008F0202">
        <w:t>Tetramethyl Lead (TML)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CB6A5" w14:textId="77777777" w:rsidR="00CC64AE" w:rsidRDefault="00CC64AE" w:rsidP="00F43AD5">
      <w:pPr>
        <w:spacing w:after="0" w:line="240" w:lineRule="auto"/>
      </w:pPr>
      <w:r>
        <w:separator/>
      </w:r>
    </w:p>
  </w:endnote>
  <w:endnote w:type="continuationSeparator" w:id="0">
    <w:p w14:paraId="2ED1F82E" w14:textId="77777777" w:rsidR="00CC64AE" w:rsidRDefault="00CC64A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D54EBD8" w:rsidR="008A36CF" w:rsidRDefault="00605A80" w:rsidP="0034744C">
        <w:pPr>
          <w:pStyle w:val="Footer"/>
          <w:rPr>
            <w:sz w:val="18"/>
            <w:szCs w:val="18"/>
          </w:rPr>
        </w:pPr>
        <w:r w:rsidRPr="00605A80">
          <w:rPr>
            <w:b/>
            <w:sz w:val="18"/>
            <w:szCs w:val="18"/>
          </w:rPr>
          <w:t>Tetramethyl lead (as Pb)</w:t>
        </w:r>
        <w:r w:rsidR="008A36CF">
          <w:rPr>
            <w:b/>
            <w:sz w:val="18"/>
            <w:szCs w:val="18"/>
          </w:rPr>
          <w:t xml:space="preserve"> (</w:t>
        </w:r>
        <w:r w:rsidRPr="00605A80">
          <w:rPr>
            <w:b/>
            <w:sz w:val="18"/>
            <w:szCs w:val="18"/>
          </w:rPr>
          <w:t>75-74-1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1F6215" w:rsidRPr="00F43AD5">
          <w:rPr>
            <w:sz w:val="18"/>
            <w:szCs w:val="18"/>
          </w:rPr>
          <w:t>20</w:t>
        </w:r>
        <w:r w:rsidR="001F6215">
          <w:rPr>
            <w:sz w:val="18"/>
            <w:szCs w:val="18"/>
          </w:rPr>
          <w:t>20</w:t>
        </w:r>
      </w:p>
      <w:p w14:paraId="2D517F5E" w14:textId="0BC9AE1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25F95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284E1" w14:textId="77777777" w:rsidR="00CC64AE" w:rsidRDefault="00CC64AE" w:rsidP="00F43AD5">
      <w:pPr>
        <w:spacing w:after="0" w:line="240" w:lineRule="auto"/>
      </w:pPr>
      <w:r>
        <w:separator/>
      </w:r>
    </w:p>
  </w:footnote>
  <w:footnote w:type="continuationSeparator" w:id="0">
    <w:p w14:paraId="3E3FA564" w14:textId="77777777" w:rsidR="00CC64AE" w:rsidRDefault="00CC64A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188A9" w14:textId="7C6796BA" w:rsidR="005460BF" w:rsidRDefault="005460BF" w:rsidP="005460BF">
    <w:pPr>
      <w:pStyle w:val="Header"/>
      <w:jc w:val="right"/>
    </w:pPr>
    <w:r>
      <w:rPr>
        <w:noProof/>
        <w:lang w:eastAsia="en-AU"/>
      </w:rPr>
      <w:drawing>
        <wp:inline distT="0" distB="0" distL="0" distR="0" wp14:anchorId="3F26798A" wp14:editId="34440EBA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B499F4" w14:textId="77777777" w:rsidR="005460BF" w:rsidRDefault="005460BF" w:rsidP="005460BF">
    <w:pPr>
      <w:pStyle w:val="Header"/>
    </w:pPr>
  </w:p>
  <w:p w14:paraId="4DAA8792" w14:textId="1E1A6EFE" w:rsidR="008A36CF" w:rsidRPr="005460BF" w:rsidRDefault="008A36CF" w:rsidP="00546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7AF8B" w14:textId="37DEE56B" w:rsidR="005460BF" w:rsidRDefault="005460BF" w:rsidP="005460BF">
    <w:pPr>
      <w:pStyle w:val="Header"/>
      <w:jc w:val="right"/>
    </w:pPr>
    <w:r>
      <w:rPr>
        <w:noProof/>
        <w:lang w:eastAsia="en-AU"/>
      </w:rPr>
      <w:drawing>
        <wp:inline distT="0" distB="0" distL="0" distR="0" wp14:anchorId="73BE15D0" wp14:editId="1687C5A2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F63F63" w14:textId="77777777" w:rsidR="005460BF" w:rsidRDefault="005460BF" w:rsidP="005460BF">
    <w:pPr>
      <w:pStyle w:val="Header"/>
    </w:pPr>
  </w:p>
  <w:p w14:paraId="71F09FB4" w14:textId="07813091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D36FE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F1D7A"/>
    <w:multiLevelType w:val="hybridMultilevel"/>
    <w:tmpl w:val="4CF2636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2AA1757"/>
    <w:multiLevelType w:val="hybridMultilevel"/>
    <w:tmpl w:val="28EEA20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2663384"/>
    <w:multiLevelType w:val="hybridMultilevel"/>
    <w:tmpl w:val="23864BF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AF62731"/>
    <w:multiLevelType w:val="hybridMultilevel"/>
    <w:tmpl w:val="66EA9AC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1927035">
    <w:abstractNumId w:val="0"/>
  </w:num>
  <w:num w:numId="2" w16cid:durableId="63382238">
    <w:abstractNumId w:val="3"/>
  </w:num>
  <w:num w:numId="3" w16cid:durableId="211117956">
    <w:abstractNumId w:val="4"/>
  </w:num>
  <w:num w:numId="4" w16cid:durableId="434904525">
    <w:abstractNumId w:val="2"/>
  </w:num>
  <w:num w:numId="5" w16cid:durableId="62417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89D"/>
    <w:rsid w:val="00007B80"/>
    <w:rsid w:val="00013A22"/>
    <w:rsid w:val="00014C3F"/>
    <w:rsid w:val="00017C82"/>
    <w:rsid w:val="00032B88"/>
    <w:rsid w:val="00037E52"/>
    <w:rsid w:val="00042754"/>
    <w:rsid w:val="00046DF5"/>
    <w:rsid w:val="00052060"/>
    <w:rsid w:val="0005574A"/>
    <w:rsid w:val="00055FE1"/>
    <w:rsid w:val="00056EC2"/>
    <w:rsid w:val="00060B48"/>
    <w:rsid w:val="00067F32"/>
    <w:rsid w:val="00071807"/>
    <w:rsid w:val="0007767B"/>
    <w:rsid w:val="000803E1"/>
    <w:rsid w:val="00084513"/>
    <w:rsid w:val="00084859"/>
    <w:rsid w:val="00085EED"/>
    <w:rsid w:val="00091952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5928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15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193A"/>
    <w:rsid w:val="00244AD1"/>
    <w:rsid w:val="002463BC"/>
    <w:rsid w:val="002465CE"/>
    <w:rsid w:val="0025734A"/>
    <w:rsid w:val="00263255"/>
    <w:rsid w:val="00266071"/>
    <w:rsid w:val="00276494"/>
    <w:rsid w:val="00277B0C"/>
    <w:rsid w:val="002968DD"/>
    <w:rsid w:val="002A3E3F"/>
    <w:rsid w:val="002B1513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3821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47ED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30D2"/>
    <w:rsid w:val="005446A2"/>
    <w:rsid w:val="00544D2F"/>
    <w:rsid w:val="005460BF"/>
    <w:rsid w:val="00551BD8"/>
    <w:rsid w:val="00570D4C"/>
    <w:rsid w:val="00581055"/>
    <w:rsid w:val="005811F8"/>
    <w:rsid w:val="005830E9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5A80"/>
    <w:rsid w:val="0060669E"/>
    <w:rsid w:val="00607133"/>
    <w:rsid w:val="00610F2E"/>
    <w:rsid w:val="00611399"/>
    <w:rsid w:val="00624C4E"/>
    <w:rsid w:val="00625200"/>
    <w:rsid w:val="006363A8"/>
    <w:rsid w:val="00636DB7"/>
    <w:rsid w:val="00650905"/>
    <w:rsid w:val="006532ED"/>
    <w:rsid w:val="0065430F"/>
    <w:rsid w:val="006549F2"/>
    <w:rsid w:val="006567B7"/>
    <w:rsid w:val="00657BFB"/>
    <w:rsid w:val="0066333C"/>
    <w:rsid w:val="006639B4"/>
    <w:rsid w:val="006650FE"/>
    <w:rsid w:val="0067305D"/>
    <w:rsid w:val="00673095"/>
    <w:rsid w:val="00677D9B"/>
    <w:rsid w:val="006867F3"/>
    <w:rsid w:val="00687890"/>
    <w:rsid w:val="006901A2"/>
    <w:rsid w:val="00690368"/>
    <w:rsid w:val="0069079C"/>
    <w:rsid w:val="00690B53"/>
    <w:rsid w:val="0069227C"/>
    <w:rsid w:val="00695B72"/>
    <w:rsid w:val="006B101A"/>
    <w:rsid w:val="006B160A"/>
    <w:rsid w:val="006B4E6C"/>
    <w:rsid w:val="006B50B6"/>
    <w:rsid w:val="006B5DA8"/>
    <w:rsid w:val="006D79EA"/>
    <w:rsid w:val="006E5D05"/>
    <w:rsid w:val="006E6B9C"/>
    <w:rsid w:val="00701053"/>
    <w:rsid w:val="00701507"/>
    <w:rsid w:val="00714021"/>
    <w:rsid w:val="00716A0F"/>
    <w:rsid w:val="00717D45"/>
    <w:rsid w:val="007208F7"/>
    <w:rsid w:val="007218AF"/>
    <w:rsid w:val="00734129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774B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3E0D"/>
    <w:rsid w:val="008745A2"/>
    <w:rsid w:val="008768A8"/>
    <w:rsid w:val="00886967"/>
    <w:rsid w:val="0088798F"/>
    <w:rsid w:val="00887E4B"/>
    <w:rsid w:val="008915C8"/>
    <w:rsid w:val="008973DB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0202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511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65B9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1C87"/>
    <w:rsid w:val="00AB2672"/>
    <w:rsid w:val="00AB2817"/>
    <w:rsid w:val="00AB43C4"/>
    <w:rsid w:val="00AC32E7"/>
    <w:rsid w:val="00AC3A9F"/>
    <w:rsid w:val="00AC52D5"/>
    <w:rsid w:val="00AC6D2F"/>
    <w:rsid w:val="00AE2745"/>
    <w:rsid w:val="00AE2F64"/>
    <w:rsid w:val="00AF42CB"/>
    <w:rsid w:val="00AF483F"/>
    <w:rsid w:val="00AF5E07"/>
    <w:rsid w:val="00AF5F06"/>
    <w:rsid w:val="00B00A25"/>
    <w:rsid w:val="00B02DAB"/>
    <w:rsid w:val="00B1422A"/>
    <w:rsid w:val="00B1765C"/>
    <w:rsid w:val="00B213C4"/>
    <w:rsid w:val="00B40C60"/>
    <w:rsid w:val="00B479A9"/>
    <w:rsid w:val="00B52EDF"/>
    <w:rsid w:val="00B71188"/>
    <w:rsid w:val="00B74ED9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7297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5F8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64AE"/>
    <w:rsid w:val="00CD2BFD"/>
    <w:rsid w:val="00CE5AD6"/>
    <w:rsid w:val="00CE617F"/>
    <w:rsid w:val="00CE78EF"/>
    <w:rsid w:val="00D048F7"/>
    <w:rsid w:val="00D0517E"/>
    <w:rsid w:val="00D140FC"/>
    <w:rsid w:val="00D21D8C"/>
    <w:rsid w:val="00D25F95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61ED"/>
    <w:rsid w:val="00D87570"/>
    <w:rsid w:val="00D91CB9"/>
    <w:rsid w:val="00D97989"/>
    <w:rsid w:val="00D97D8D"/>
    <w:rsid w:val="00DA352E"/>
    <w:rsid w:val="00DB501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3777"/>
    <w:rsid w:val="00E92499"/>
    <w:rsid w:val="00E949AF"/>
    <w:rsid w:val="00E9589D"/>
    <w:rsid w:val="00E96077"/>
    <w:rsid w:val="00EA0A06"/>
    <w:rsid w:val="00EA6243"/>
    <w:rsid w:val="00EA74AB"/>
    <w:rsid w:val="00EB3D1B"/>
    <w:rsid w:val="00EC71EC"/>
    <w:rsid w:val="00ED1D89"/>
    <w:rsid w:val="00ED57DA"/>
    <w:rsid w:val="00ED66BC"/>
    <w:rsid w:val="00EF233A"/>
    <w:rsid w:val="00EF303E"/>
    <w:rsid w:val="00EF3A40"/>
    <w:rsid w:val="00EF443C"/>
    <w:rsid w:val="00EF76D4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1B58"/>
    <w:rsid w:val="00F36935"/>
    <w:rsid w:val="00F43AD5"/>
    <w:rsid w:val="00F4402E"/>
    <w:rsid w:val="00F56DD0"/>
    <w:rsid w:val="00F6491C"/>
    <w:rsid w:val="00F65F3F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002C"/>
    <w:rsid w:val="00FF0E9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973DB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873E0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071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13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13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1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13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2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A2A48"/>
    <w:rsid w:val="00347D16"/>
    <w:rsid w:val="003A1E62"/>
    <w:rsid w:val="003E0149"/>
    <w:rsid w:val="00755FBF"/>
    <w:rsid w:val="00B02DAB"/>
    <w:rsid w:val="00CA72D3"/>
    <w:rsid w:val="00D21A9F"/>
    <w:rsid w:val="00F3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FEDE03-1009-4FB6-9D10-CE42E1899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1c567317-0c4d-4a62-8516-c22afd1b5354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DC31FD-3405-4BC0-99FF-DF2E3F90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8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25</cp:revision>
  <cp:lastPrinted>2018-10-22T22:41:00Z</cp:lastPrinted>
  <dcterms:created xsi:type="dcterms:W3CDTF">2019-10-16T01:46:00Z</dcterms:created>
  <dcterms:modified xsi:type="dcterms:W3CDTF">2026-01-09T01:44:00Z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2026-01-07T01:44:45Z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1b52828d-a9b7-4fb9-ab17-687dac296ba2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