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5CE565A5" w:rsidR="00BD499F" w:rsidRPr="004C23F4" w:rsidRDefault="009D6620" w:rsidP="00B40C60">
          <w:pPr>
            <w:pStyle w:val="Heading1"/>
            <w:jc w:val="center"/>
            <w:rPr>
              <w:rFonts w:ascii="Arial" w:hAnsi="Arial" w:cs="Arial"/>
            </w:rPr>
          </w:pPr>
          <w:r w:rsidRPr="009D6620">
            <w:rPr>
              <w:rFonts w:ascii="Arial" w:hAnsi="Arial" w:cs="Arial"/>
            </w:rPr>
            <w:t>Temephos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9"/>
        <w:gridCol w:w="5047"/>
      </w:tblGrid>
      <w:tr w:rsidR="00F43AD5" w:rsidRPr="004C23F4" w14:paraId="189D6E38" w14:textId="77777777" w:rsidTr="008C6140">
        <w:trPr>
          <w:cantSplit/>
          <w:tblHeader/>
        </w:trPr>
        <w:tc>
          <w:tcPr>
            <w:tcW w:w="3979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7" w:type="dxa"/>
          </w:tcPr>
          <w:p w14:paraId="3EDBFD9E" w14:textId="30B52174" w:rsidR="00F43AD5" w:rsidRPr="00717D45" w:rsidRDefault="009D6620" w:rsidP="00B76A41">
            <w:pPr>
              <w:pStyle w:val="Tablefont"/>
            </w:pPr>
            <w:r w:rsidRPr="009D6620">
              <w:t>3383-96-8</w:t>
            </w:r>
          </w:p>
        </w:tc>
      </w:tr>
      <w:tr w:rsidR="00F43AD5" w:rsidRPr="004C23F4" w14:paraId="562A9F51" w14:textId="77777777" w:rsidTr="008C6140">
        <w:trPr>
          <w:cantSplit/>
        </w:trPr>
        <w:tc>
          <w:tcPr>
            <w:tcW w:w="3979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7" w:type="dxa"/>
          </w:tcPr>
          <w:p w14:paraId="32648AB9" w14:textId="6533577F" w:rsidR="00F43AD5" w:rsidRPr="00717D45" w:rsidRDefault="009D6620" w:rsidP="00B76A41">
            <w:pPr>
              <w:pStyle w:val="Tablefont"/>
            </w:pPr>
            <w:proofErr w:type="gramStart"/>
            <w:r>
              <w:t>O,O</w:t>
            </w:r>
            <w:proofErr w:type="gramEnd"/>
            <w:r>
              <w:t>,O</w:t>
            </w:r>
            <w:proofErr w:type="gramStart"/>
            <w:r>
              <w:t>’,O</w:t>
            </w:r>
            <w:proofErr w:type="gramEnd"/>
            <w:r>
              <w:t xml:space="preserve">’-Tetramethyl </w:t>
            </w:r>
            <w:proofErr w:type="gramStart"/>
            <w:r>
              <w:t>O,O</w:t>
            </w:r>
            <w:proofErr w:type="gramEnd"/>
            <w:r>
              <w:t>’-</w:t>
            </w:r>
            <w:proofErr w:type="spellStart"/>
            <w:r>
              <w:t>thiodi</w:t>
            </w:r>
            <w:proofErr w:type="spellEnd"/>
            <w:r>
              <w:t>-p-phenylene phosphorothioate, Abat</w:t>
            </w:r>
            <w:r w:rsidRPr="009D6620">
              <w:rPr>
                <w:vertAlign w:val="superscript"/>
              </w:rPr>
              <w:t>®</w:t>
            </w:r>
            <w:r>
              <w:t>, Abate</w:t>
            </w:r>
            <w:r w:rsidRPr="009D6620">
              <w:rPr>
                <w:vertAlign w:val="superscript"/>
              </w:rPr>
              <w:t>®</w:t>
            </w:r>
            <w:r>
              <w:t xml:space="preserve">, </w:t>
            </w:r>
            <w:proofErr w:type="spellStart"/>
            <w:r>
              <w:t>Abathion</w:t>
            </w:r>
            <w:proofErr w:type="spellEnd"/>
            <w:r w:rsidRPr="009D6620">
              <w:rPr>
                <w:vertAlign w:val="superscript"/>
              </w:rPr>
              <w:t>®</w:t>
            </w:r>
            <w:r>
              <w:t xml:space="preserve">, </w:t>
            </w:r>
            <w:proofErr w:type="spellStart"/>
            <w:r>
              <w:t>Biothion</w:t>
            </w:r>
            <w:proofErr w:type="spellEnd"/>
            <w:r w:rsidRPr="009D6620">
              <w:rPr>
                <w:vertAlign w:val="superscript"/>
              </w:rPr>
              <w:t>®</w:t>
            </w:r>
            <w:r>
              <w:t xml:space="preserve">, </w:t>
            </w:r>
            <w:proofErr w:type="spellStart"/>
            <w:r>
              <w:t>Nimitex</w:t>
            </w:r>
            <w:proofErr w:type="spellEnd"/>
            <w:r w:rsidRPr="009D6620">
              <w:rPr>
                <w:vertAlign w:val="superscript"/>
              </w:rPr>
              <w:t>®</w:t>
            </w:r>
            <w:r>
              <w:t xml:space="preserve">, </w:t>
            </w:r>
            <w:proofErr w:type="spellStart"/>
            <w:r>
              <w:t>Swebate</w:t>
            </w:r>
            <w:proofErr w:type="spellEnd"/>
            <w:r w:rsidRPr="009D6620">
              <w:rPr>
                <w:vertAlign w:val="superscript"/>
              </w:rPr>
              <w:t>®</w:t>
            </w:r>
          </w:p>
        </w:tc>
      </w:tr>
      <w:tr w:rsidR="00F43AD5" w:rsidRPr="004C23F4" w14:paraId="6EE54A08" w14:textId="77777777" w:rsidTr="008C6140">
        <w:trPr>
          <w:cantSplit/>
        </w:trPr>
        <w:tc>
          <w:tcPr>
            <w:tcW w:w="3979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7" w:type="dxa"/>
          </w:tcPr>
          <w:p w14:paraId="69369B00" w14:textId="4C6FA5D5" w:rsidR="00F43AD5" w:rsidRPr="00717D45" w:rsidRDefault="009D6620" w:rsidP="00B76A41">
            <w:pPr>
              <w:pStyle w:val="Tablefont"/>
            </w:pPr>
            <w:r>
              <w:t>C</w:t>
            </w:r>
            <w:r w:rsidRPr="009D6620">
              <w:rPr>
                <w:vertAlign w:val="subscript"/>
              </w:rPr>
              <w:t>16</w:t>
            </w:r>
            <w:r>
              <w:t>H</w:t>
            </w:r>
            <w:r w:rsidRPr="009D6620">
              <w:rPr>
                <w:vertAlign w:val="subscript"/>
              </w:rPr>
              <w:t>20</w:t>
            </w:r>
            <w:r>
              <w:t>O</w:t>
            </w:r>
            <w:r w:rsidRPr="009D6620">
              <w:rPr>
                <w:vertAlign w:val="subscript"/>
              </w:rPr>
              <w:t>6</w:t>
            </w:r>
            <w:r>
              <w:t>P</w:t>
            </w:r>
            <w:r w:rsidRPr="009D6620">
              <w:rPr>
                <w:vertAlign w:val="subscript"/>
              </w:rPr>
              <w:t>2</w:t>
            </w:r>
            <w:r>
              <w:t>S</w:t>
            </w:r>
            <w:r w:rsidRPr="009D6620">
              <w:rPr>
                <w:vertAlign w:val="subscript"/>
              </w:rPr>
              <w:t>3</w:t>
            </w:r>
          </w:p>
        </w:tc>
      </w:tr>
    </w:tbl>
    <w:p w14:paraId="71D72173" w14:textId="26F978CF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765C41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6BF6DD53" w:rsidR="002C7AFE" w:rsidRPr="00765C41" w:rsidRDefault="00765C4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0.1 ppm (2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355D3C2D" w:rsidR="00037E52" w:rsidRPr="00EB3D1B" w:rsidRDefault="00F1786E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0BDD3148" w:rsidR="00155999" w:rsidRPr="00EB3D1B" w:rsidRDefault="00155999" w:rsidP="00037E52">
            <w:pPr>
              <w:pStyle w:val="Tablefont"/>
              <w:rPr>
                <w:b/>
              </w:rPr>
            </w:pPr>
            <w:r w:rsidRPr="007B4D45">
              <w:rPr>
                <w:b/>
                <w:bCs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bCs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765C41" w:rsidRPr="007B4D45">
                  <w:rPr>
                    <w:rStyle w:val="WESstatus"/>
                    <w:bCs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D7D7AF" w14:textId="45125FBD" w:rsidR="006639B4" w:rsidRPr="004C23F4" w:rsidRDefault="00765C41" w:rsidP="000C139A">
      <w:pPr>
        <w:rPr>
          <w:rFonts w:cs="Arial"/>
        </w:rPr>
      </w:pPr>
      <w:r w:rsidRPr="00765C41">
        <w:rPr>
          <w:rFonts w:cs="Arial"/>
        </w:rPr>
        <w:t xml:space="preserve">A TWA of </w:t>
      </w:r>
      <w:r>
        <w:rPr>
          <w:rFonts w:cs="Arial"/>
        </w:rPr>
        <w:t>0.1 ppm (2</w:t>
      </w:r>
      <w:r w:rsidRPr="00765C41">
        <w:rPr>
          <w:rFonts w:cs="Arial"/>
        </w:rPr>
        <w:t xml:space="preserve"> mg/m</w:t>
      </w:r>
      <w:r w:rsidRPr="00765C41">
        <w:rPr>
          <w:rFonts w:cs="Arial"/>
          <w:vertAlign w:val="superscript"/>
        </w:rPr>
        <w:t>3</w:t>
      </w:r>
      <w:r>
        <w:rPr>
          <w:rFonts w:cs="Arial"/>
        </w:rPr>
        <w:t xml:space="preserve">) </w:t>
      </w:r>
      <w:r w:rsidRPr="00765C41">
        <w:rPr>
          <w:rFonts w:cs="Arial"/>
        </w:rPr>
        <w:t xml:space="preserve">is </w:t>
      </w:r>
      <w:r>
        <w:rPr>
          <w:rFonts w:cs="Arial"/>
        </w:rPr>
        <w:t>recommended</w:t>
      </w:r>
      <w:r w:rsidRPr="00765C41">
        <w:rPr>
          <w:rFonts w:cs="Arial"/>
        </w:rPr>
        <w:t xml:space="preserve"> to protect </w:t>
      </w:r>
      <w:r>
        <w:rPr>
          <w:rFonts w:cs="Arial"/>
        </w:rPr>
        <w:t>for cholinergic effects</w:t>
      </w:r>
      <w:r w:rsidRPr="00765C41">
        <w:rPr>
          <w:rFonts w:cs="Arial"/>
        </w:rPr>
        <w:t xml:space="preserve"> in exposed workers</w:t>
      </w:r>
      <w:r>
        <w:rPr>
          <w:rFonts w:cs="Arial"/>
        </w:rPr>
        <w:t>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711A3E4" w14:textId="7ED1E54B" w:rsidR="00CB6C80" w:rsidRDefault="00245570" w:rsidP="006639B4">
      <w:pPr>
        <w:rPr>
          <w:rFonts w:cs="Arial"/>
        </w:rPr>
      </w:pPr>
      <w:proofErr w:type="spellStart"/>
      <w:r>
        <w:rPr>
          <w:rFonts w:cs="Arial"/>
        </w:rPr>
        <w:t>Temephos</w:t>
      </w:r>
      <w:proofErr w:type="spellEnd"/>
      <w:r>
        <w:rPr>
          <w:rFonts w:cs="Arial"/>
        </w:rPr>
        <w:t xml:space="preserve"> is an organophosphate pesticide</w:t>
      </w:r>
      <w:r w:rsidR="007B3AAF">
        <w:rPr>
          <w:rFonts w:cs="Arial"/>
        </w:rPr>
        <w:t xml:space="preserve"> (larvicide)</w:t>
      </w:r>
      <w:r>
        <w:rPr>
          <w:rFonts w:cs="Arial"/>
        </w:rPr>
        <w:t>.</w:t>
      </w:r>
      <w:r w:rsidR="00F1786E">
        <w:rPr>
          <w:rFonts w:cs="Arial"/>
        </w:rPr>
        <w:t xml:space="preserve"> </w:t>
      </w:r>
    </w:p>
    <w:p w14:paraId="7C93A08C" w14:textId="671EE3AF" w:rsidR="00F1786E" w:rsidRDefault="00245570" w:rsidP="006639B4">
      <w:pPr>
        <w:rPr>
          <w:rFonts w:cs="Arial"/>
        </w:rPr>
      </w:pPr>
      <w:r>
        <w:rPr>
          <w:rFonts w:cs="Arial"/>
        </w:rPr>
        <w:t xml:space="preserve">The critical effect of exposure is cholinesterase (ChE) inhibition, which may lead to cholinergic effects. </w:t>
      </w:r>
    </w:p>
    <w:p w14:paraId="0CE478F1" w14:textId="6FD414D8" w:rsidR="00245570" w:rsidRDefault="00245570" w:rsidP="006639B4">
      <w:pPr>
        <w:rPr>
          <w:rFonts w:cs="Arial"/>
        </w:rPr>
      </w:pPr>
      <w:r>
        <w:rPr>
          <w:rFonts w:cs="Arial"/>
        </w:rPr>
        <w:t xml:space="preserve">Human and animal inhalational data are limited. Significant dermal absorption is reported in occupationally exposed </w:t>
      </w:r>
      <w:r w:rsidR="002A6DDF">
        <w:rPr>
          <w:rFonts w:cs="Arial"/>
        </w:rPr>
        <w:t xml:space="preserve">pesticide </w:t>
      </w:r>
      <w:r>
        <w:rPr>
          <w:rFonts w:cs="Arial"/>
        </w:rPr>
        <w:t xml:space="preserve">sprayers, but consequent adverse effects are not discussed in the available source material (ACGIH, 2018; HCOTN, 2003). Red blood cell (RBC) ChE inhibition in humans </w:t>
      </w:r>
      <w:r w:rsidR="00CB6C80">
        <w:rPr>
          <w:rFonts w:cs="Arial"/>
        </w:rPr>
        <w:t>i</w:t>
      </w:r>
      <w:r>
        <w:rPr>
          <w:rFonts w:cs="Arial"/>
        </w:rPr>
        <w:t xml:space="preserve">s not observed in repeat oral doses </w:t>
      </w:r>
      <w:r w:rsidR="004E59A3">
        <w:rPr>
          <w:rFonts w:cs="Arial"/>
        </w:rPr>
        <w:t>between 0.91 and</w:t>
      </w:r>
      <w:r>
        <w:rPr>
          <w:rFonts w:cs="Arial"/>
        </w:rPr>
        <w:t xml:space="preserve"> 3.7 mg/kg/day (ACGIH, 2018). NOAEL of 0.3 to 0.46 mg/kg/day for ChE inhibition are reported in chronic and sub</w:t>
      </w:r>
      <w:r w:rsidR="007B3AAF">
        <w:rPr>
          <w:rFonts w:cs="Arial"/>
        </w:rPr>
        <w:t>-</w:t>
      </w:r>
      <w:r>
        <w:rPr>
          <w:rFonts w:cs="Arial"/>
        </w:rPr>
        <w:t>chronic feeding studies with animals (ACGIH, 2018).</w:t>
      </w:r>
    </w:p>
    <w:p w14:paraId="0CE9C1F0" w14:textId="0217BC08" w:rsidR="002570A8" w:rsidRDefault="004E59A3" w:rsidP="006639B4">
      <w:pPr>
        <w:rPr>
          <w:rFonts w:cs="Arial"/>
        </w:rPr>
      </w:pPr>
      <w:r>
        <w:rPr>
          <w:rFonts w:cs="Arial"/>
        </w:rPr>
        <w:t>Both t</w:t>
      </w:r>
      <w:r w:rsidR="00245570">
        <w:rPr>
          <w:rFonts w:cs="Arial"/>
        </w:rPr>
        <w:t xml:space="preserve">he recommendation of ACGIH (2018) and proposed health-based </w:t>
      </w:r>
      <w:r>
        <w:rPr>
          <w:rFonts w:cs="Arial"/>
        </w:rPr>
        <w:t xml:space="preserve">recommended </w:t>
      </w:r>
      <w:r w:rsidR="00245570">
        <w:rPr>
          <w:rFonts w:cs="Arial"/>
        </w:rPr>
        <w:t xml:space="preserve">OEL </w:t>
      </w:r>
      <w:r>
        <w:rPr>
          <w:rFonts w:cs="Arial"/>
        </w:rPr>
        <w:t xml:space="preserve">(HBROEL) </w:t>
      </w:r>
      <w:r w:rsidR="00245570">
        <w:rPr>
          <w:rFonts w:cs="Arial"/>
        </w:rPr>
        <w:t xml:space="preserve">of HCOTN (2003) </w:t>
      </w:r>
      <w:r>
        <w:rPr>
          <w:rFonts w:cs="Arial"/>
        </w:rPr>
        <w:t xml:space="preserve">rely on conversion of reported oral dose NOAEL to inhalational equivalents and </w:t>
      </w:r>
      <w:r w:rsidR="00A61FB8">
        <w:rPr>
          <w:rFonts w:cs="Arial"/>
        </w:rPr>
        <w:t xml:space="preserve">derive </w:t>
      </w:r>
      <w:r>
        <w:rPr>
          <w:rFonts w:cs="Arial"/>
        </w:rPr>
        <w:t>a TWA recommendation between 1 to 2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. </w:t>
      </w:r>
      <w:r w:rsidR="000E0D04">
        <w:rPr>
          <w:rFonts w:cs="Arial"/>
        </w:rPr>
        <w:t>T</w:t>
      </w:r>
      <w:r w:rsidR="00765C41">
        <w:rPr>
          <w:rFonts w:cs="Arial"/>
        </w:rPr>
        <w:t xml:space="preserve">he proposed </w:t>
      </w:r>
      <w:r w:rsidR="002A6DDF">
        <w:rPr>
          <w:rFonts w:cs="Arial"/>
        </w:rPr>
        <w:t>health-based occupational limit (</w:t>
      </w:r>
      <w:r w:rsidR="00765C41">
        <w:rPr>
          <w:rFonts w:cs="Arial"/>
        </w:rPr>
        <w:t>HBROEL</w:t>
      </w:r>
      <w:r w:rsidR="002A6DDF">
        <w:rPr>
          <w:rFonts w:cs="Arial"/>
        </w:rPr>
        <w:t>)</w:t>
      </w:r>
      <w:r w:rsidR="00765C41">
        <w:rPr>
          <w:rFonts w:cs="Arial"/>
        </w:rPr>
        <w:t xml:space="preserve"> </w:t>
      </w:r>
      <w:r w:rsidR="000E0D04">
        <w:rPr>
          <w:rFonts w:cs="Arial"/>
        </w:rPr>
        <w:t>TWA of 2 mg/m</w:t>
      </w:r>
      <w:r w:rsidR="000E0D04">
        <w:rPr>
          <w:rFonts w:cs="Arial"/>
          <w:vertAlign w:val="superscript"/>
        </w:rPr>
        <w:t>3</w:t>
      </w:r>
      <w:r w:rsidR="000E0D04">
        <w:rPr>
          <w:rFonts w:cs="Arial"/>
        </w:rPr>
        <w:t xml:space="preserve"> by </w:t>
      </w:r>
      <w:r w:rsidR="00765C41">
        <w:rPr>
          <w:rFonts w:cs="Arial"/>
        </w:rPr>
        <w:t xml:space="preserve">HCOTN </w:t>
      </w:r>
      <w:r w:rsidR="000E0D04">
        <w:rPr>
          <w:rFonts w:cs="Arial"/>
        </w:rPr>
        <w:t>(</w:t>
      </w:r>
      <w:r w:rsidR="00765C41">
        <w:rPr>
          <w:rFonts w:cs="Arial"/>
        </w:rPr>
        <w:t>2003)</w:t>
      </w:r>
      <w:r>
        <w:rPr>
          <w:rFonts w:cs="Arial"/>
        </w:rPr>
        <w:t xml:space="preserve"> </w:t>
      </w:r>
      <w:r w:rsidR="00765C41">
        <w:rPr>
          <w:rFonts w:cs="Arial"/>
        </w:rPr>
        <w:t xml:space="preserve">is based on </w:t>
      </w:r>
      <w:r>
        <w:rPr>
          <w:rFonts w:cs="Arial"/>
        </w:rPr>
        <w:t>the oral NOAEL of 0.91</w:t>
      </w:r>
      <w:r w:rsidR="000E0D04">
        <w:rPr>
          <w:rFonts w:cs="Arial"/>
        </w:rPr>
        <w:t> </w:t>
      </w:r>
      <w:r>
        <w:rPr>
          <w:rFonts w:cs="Arial"/>
        </w:rPr>
        <w:t>mg/kg</w:t>
      </w:r>
      <w:r w:rsidR="000E0D04">
        <w:rPr>
          <w:rFonts w:cs="Arial"/>
        </w:rPr>
        <w:t>/day</w:t>
      </w:r>
      <w:r>
        <w:rPr>
          <w:rFonts w:cs="Arial"/>
        </w:rPr>
        <w:t xml:space="preserve"> for RBC ChE inhibition in volunteers</w:t>
      </w:r>
      <w:r w:rsidR="005876BD">
        <w:rPr>
          <w:rFonts w:cs="Arial"/>
        </w:rPr>
        <w:t xml:space="preserve"> and</w:t>
      </w:r>
      <w:r w:rsidR="002A6DDF">
        <w:rPr>
          <w:rFonts w:cs="Arial"/>
        </w:rPr>
        <w:t xml:space="preserve"> </w:t>
      </w:r>
      <w:r w:rsidR="000E0D04">
        <w:rPr>
          <w:rFonts w:cs="Arial"/>
        </w:rPr>
        <w:t>is recommended be adopted.</w:t>
      </w:r>
    </w:p>
    <w:p w14:paraId="745DF0F2" w14:textId="41FB5F89" w:rsidR="00245570" w:rsidRDefault="00765C41" w:rsidP="006639B4">
      <w:pPr>
        <w:rPr>
          <w:rFonts w:cs="Arial"/>
        </w:rPr>
      </w:pPr>
      <w:r>
        <w:rPr>
          <w:rFonts w:cs="Arial"/>
        </w:rPr>
        <w:t>Volatile losses may be expected during sampling</w:t>
      </w:r>
      <w:r w:rsidR="002A6DDF">
        <w:rPr>
          <w:rFonts w:cs="Arial"/>
        </w:rPr>
        <w:t>. Therefore,</w:t>
      </w:r>
      <w:r>
        <w:rPr>
          <w:rFonts w:cs="Arial"/>
        </w:rPr>
        <w:t xml:space="preserve"> combined inhalable fraction and vapour phase should be considered during measurement.</w:t>
      </w:r>
    </w:p>
    <w:p w14:paraId="273B44AD" w14:textId="77777777" w:rsidR="004529F0" w:rsidRPr="004C23F4" w:rsidRDefault="004529F0" w:rsidP="002570A8">
      <w:pPr>
        <w:pStyle w:val="Heading2"/>
        <w:pageBreakBefore/>
      </w:pPr>
      <w:r>
        <w:lastRenderedPageBreak/>
        <w:t>Recommendation for notations</w:t>
      </w:r>
    </w:p>
    <w:p w14:paraId="27C6755E" w14:textId="77777777" w:rsidR="008E4F1F" w:rsidRPr="00765C41" w:rsidRDefault="008E4F1F" w:rsidP="008E4F1F">
      <w:pPr>
        <w:rPr>
          <w:rFonts w:cs="Arial"/>
        </w:rPr>
      </w:pPr>
      <w:r w:rsidRPr="00765C41">
        <w:rPr>
          <w:rFonts w:cs="Arial"/>
        </w:rPr>
        <w:t>Not classified as a carcinogen according to the Globally Harmonized System of</w:t>
      </w:r>
      <w:r w:rsidR="00155999" w:rsidRPr="00765C41">
        <w:rPr>
          <w:rFonts w:cs="Arial"/>
        </w:rPr>
        <w:t xml:space="preserve"> Classification and Labelling of</w:t>
      </w:r>
      <w:r w:rsidRPr="00765C41">
        <w:rPr>
          <w:rFonts w:cs="Arial"/>
        </w:rPr>
        <w:t xml:space="preserve"> Chemicals (GHS). </w:t>
      </w:r>
    </w:p>
    <w:p w14:paraId="03916CCC" w14:textId="77777777" w:rsidR="008E4F1F" w:rsidRPr="00765C41" w:rsidRDefault="008E4F1F" w:rsidP="008E4F1F">
      <w:pPr>
        <w:rPr>
          <w:rFonts w:cs="Arial"/>
        </w:rPr>
      </w:pPr>
      <w:r w:rsidRPr="00765C41">
        <w:rPr>
          <w:rFonts w:cs="Arial"/>
        </w:rPr>
        <w:t xml:space="preserve">Not classified as a skin </w:t>
      </w:r>
      <w:r w:rsidR="00155999" w:rsidRPr="00765C41">
        <w:rPr>
          <w:rFonts w:cs="Arial"/>
        </w:rPr>
        <w:t xml:space="preserve">sensitiser </w:t>
      </w:r>
      <w:r w:rsidRPr="00765C41">
        <w:rPr>
          <w:rFonts w:cs="Arial"/>
        </w:rPr>
        <w:t>or respiratory sensitiser according to the GHS.</w:t>
      </w:r>
    </w:p>
    <w:p w14:paraId="7D0772D2" w14:textId="33077812" w:rsidR="004529F0" w:rsidRPr="00765C41" w:rsidRDefault="00765C41" w:rsidP="008E4F1F">
      <w:pPr>
        <w:rPr>
          <w:rFonts w:cs="Arial"/>
        </w:rPr>
      </w:pPr>
      <w:r w:rsidRPr="00765C41">
        <w:rPr>
          <w:rFonts w:cs="Arial"/>
        </w:rPr>
        <w:t xml:space="preserve">A skin notation is recommended due to evidence of appreciable dermal absorption </w:t>
      </w:r>
      <w:r>
        <w:rPr>
          <w:rFonts w:cs="Arial"/>
        </w:rPr>
        <w:t xml:space="preserve">in exposed workers and adverse </w:t>
      </w:r>
      <w:r w:rsidR="0055390E">
        <w:rPr>
          <w:rFonts w:cs="Arial"/>
        </w:rPr>
        <w:t>effects in animals</w:t>
      </w:r>
      <w:r>
        <w:rPr>
          <w:rFonts w:cs="Arial"/>
        </w:rPr>
        <w:t>.</w:t>
      </w:r>
    </w:p>
    <w:p w14:paraId="21CCE2A5" w14:textId="77777777" w:rsidR="0025734A" w:rsidRPr="004C23F4" w:rsidRDefault="0025734A">
      <w:pPr>
        <w:rPr>
          <w:rFonts w:cs="Arial"/>
        </w:rPr>
      </w:pP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962AB0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962AB0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647A0CD8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9D6620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9D6620">
                  <w:t>TWA: 10 mg/m</w:t>
                </w:r>
                <w:r w:rsidR="009D6620" w:rsidRPr="009D6620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6087DDB" w14:textId="77777777" w:rsidTr="00962AB0">
        <w:trPr>
          <w:gridAfter w:val="1"/>
          <w:wAfter w:w="8" w:type="pct"/>
          <w:cantSplit/>
        </w:trPr>
        <w:tc>
          <w:tcPr>
            <w:tcW w:w="4992" w:type="pct"/>
          </w:tcPr>
          <w:p w14:paraId="1137D58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4593221" w14:textId="77777777" w:rsidTr="00962AB0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32D8F38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9D6620">
                  <w:t>2005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9D6620">
                  <w:t>TLV-TWA: 50 ppb (1 mg/m</w:t>
                </w:r>
                <w:r w:rsidR="009D6620" w:rsidRPr="009D6620">
                  <w:rPr>
                    <w:vertAlign w:val="superscript"/>
                  </w:rPr>
                  <w:t>3</w:t>
                </w:r>
                <w:r w:rsidR="009D6620">
                  <w:t>)</w:t>
                </w:r>
              </w:sdtContent>
            </w:sdt>
          </w:p>
        </w:tc>
      </w:tr>
      <w:tr w:rsidR="00C978F0" w:rsidRPr="00DA352E" w14:paraId="418D532D" w14:textId="77777777" w:rsidTr="00962AB0">
        <w:trPr>
          <w:gridAfter w:val="1"/>
          <w:wAfter w:w="8" w:type="pct"/>
        </w:trPr>
        <w:tc>
          <w:tcPr>
            <w:tcW w:w="4992" w:type="pct"/>
          </w:tcPr>
          <w:p w14:paraId="32C85958" w14:textId="77777777" w:rsidR="00CB6C80" w:rsidRDefault="00FB378D" w:rsidP="003365A5">
            <w:pPr>
              <w:pStyle w:val="Tabletextprimarysource"/>
            </w:pPr>
            <w:r>
              <w:t xml:space="preserve">TLV-TWA intended </w:t>
            </w:r>
            <w:r w:rsidR="00592859">
              <w:t xml:space="preserve">to protect for cholinergic effects. </w:t>
            </w:r>
          </w:p>
          <w:p w14:paraId="7CF20B4C" w14:textId="77777777" w:rsidR="00CB6C80" w:rsidRDefault="00592859" w:rsidP="003365A5">
            <w:pPr>
              <w:pStyle w:val="Tabletextprimarysource"/>
            </w:pPr>
            <w:r>
              <w:t xml:space="preserve">Skin notation recommended due to reports of adverse effects following dermal absorption in humans and animals. </w:t>
            </w:r>
          </w:p>
          <w:p w14:paraId="5B47B529" w14:textId="4B1843E8" w:rsidR="00592859" w:rsidRDefault="00592859" w:rsidP="003365A5">
            <w:pPr>
              <w:pStyle w:val="Tabletextprimarysource"/>
            </w:pPr>
            <w:r>
              <w:t>Not classifiable as a carcinogen in humans based on absence of carcinogenicity in chronic feeding studies with animals.</w:t>
            </w:r>
          </w:p>
          <w:p w14:paraId="16D71FF0" w14:textId="43B52D22" w:rsidR="00592859" w:rsidRDefault="00592859" w:rsidP="003365A5">
            <w:pPr>
              <w:pStyle w:val="Tabletextprimarysource"/>
            </w:pPr>
            <w:r>
              <w:t>Summary of information:</w:t>
            </w:r>
          </w:p>
          <w:p w14:paraId="644454EE" w14:textId="68077A22" w:rsidR="00CB6C80" w:rsidRDefault="00592859" w:rsidP="003365A5">
            <w:pPr>
              <w:pStyle w:val="Tabletextprimarysource"/>
              <w:rPr>
                <w:rFonts w:cs="Arial"/>
              </w:rPr>
            </w:pPr>
            <w:r>
              <w:t xml:space="preserve">TLV-TWA based on NOAEL reported for RBC ChE inhibition in repeat oral dose studies </w:t>
            </w:r>
            <w:r w:rsidR="00CB6C80">
              <w:t>in</w:t>
            </w:r>
            <w:r>
              <w:t xml:space="preserve"> humans, and </w:t>
            </w:r>
            <w:r w:rsidR="00CB4D46">
              <w:t>sub</w:t>
            </w:r>
            <w:r w:rsidR="00F32C28">
              <w:t>-</w:t>
            </w:r>
            <w:r w:rsidR="00CB4D46">
              <w:t xml:space="preserve">chronic and </w:t>
            </w:r>
            <w:r>
              <w:t xml:space="preserve">chronic feeding studies </w:t>
            </w:r>
            <w:r w:rsidR="00CB6C80">
              <w:t>in</w:t>
            </w:r>
            <w:r>
              <w:t xml:space="preserve"> animals. Oral NOAEL converted to inhalational equivalents assuming a respiratory volume of 10 m</w:t>
            </w:r>
            <w:r>
              <w:rPr>
                <w:vertAlign w:val="superscript"/>
              </w:rPr>
              <w:t>3</w:t>
            </w:r>
            <w:r>
              <w:t xml:space="preserve"> in a 70</w:t>
            </w:r>
            <w:r w:rsidR="006A7F86">
              <w:t xml:space="preserve"> </w:t>
            </w:r>
            <w:r>
              <w:t>kg individual du</w:t>
            </w:r>
            <w:r w:rsidR="00C639E4">
              <w:t>ring an 8</w:t>
            </w:r>
            <w:r w:rsidR="006A7F86">
              <w:t> </w:t>
            </w:r>
            <w:r w:rsidR="00C639E4">
              <w:t>h shift. Accordingly, a NOAEL of 3.7 mg/kg</w:t>
            </w:r>
            <w:r w:rsidR="000E0D04">
              <w:t>/d</w:t>
            </w:r>
            <w:r w:rsidR="00C639E4">
              <w:t xml:space="preserve"> </w:t>
            </w:r>
            <w:r w:rsidR="00C639E4">
              <w:rPr>
                <w:rFonts w:cs="Arial"/>
              </w:rPr>
              <w:t>≡</w:t>
            </w:r>
            <w:r w:rsidR="00C639E4">
              <w:t>26 mg/m</w:t>
            </w:r>
            <w:r w:rsidR="00C639E4">
              <w:rPr>
                <w:vertAlign w:val="superscript"/>
              </w:rPr>
              <w:t>3</w:t>
            </w:r>
            <w:r w:rsidR="00C639E4">
              <w:t xml:space="preserve"> in humans and NOAEL of 0.</w:t>
            </w:r>
            <w:r w:rsidR="00CA0614">
              <w:t>46</w:t>
            </w:r>
            <w:r w:rsidR="00C639E4">
              <w:t xml:space="preserve"> and 0.3 mg/kg/d </w:t>
            </w:r>
            <w:r w:rsidR="00C639E4">
              <w:rPr>
                <w:rFonts w:cs="Arial"/>
              </w:rPr>
              <w:t>≡3.5 and 2.1 mg/m</w:t>
            </w:r>
            <w:r w:rsidR="00C639E4">
              <w:rPr>
                <w:rFonts w:cs="Arial"/>
                <w:vertAlign w:val="superscript"/>
              </w:rPr>
              <w:t>3</w:t>
            </w:r>
            <w:r w:rsidR="00C639E4">
              <w:rPr>
                <w:rFonts w:cs="Arial"/>
              </w:rPr>
              <w:t xml:space="preserve"> in dogs and rats, respectively. </w:t>
            </w:r>
          </w:p>
          <w:p w14:paraId="0BC88C4C" w14:textId="77777777" w:rsidR="00CB6C80" w:rsidRDefault="00C639E4" w:rsidP="003365A5">
            <w:pPr>
              <w:pStyle w:val="Tabletextprimarysource"/>
              <w:rPr>
                <w:rFonts w:cs="Arial"/>
              </w:rPr>
            </w:pPr>
            <w:r>
              <w:rPr>
                <w:rFonts w:cs="Arial"/>
              </w:rPr>
              <w:t xml:space="preserve">TLV-TWA </w:t>
            </w:r>
            <w:r w:rsidR="00765C41">
              <w:rPr>
                <w:rFonts w:cs="Arial"/>
              </w:rPr>
              <w:t>intended to be measured as combined inhalable fraction and vapour phase to account for volatile losses during sampling</w:t>
            </w:r>
            <w:r>
              <w:rPr>
                <w:rFonts w:cs="Arial"/>
              </w:rPr>
              <w:t>.</w:t>
            </w:r>
            <w:r w:rsidR="00245570">
              <w:rPr>
                <w:rFonts w:cs="Arial"/>
              </w:rPr>
              <w:t xml:space="preserve"> </w:t>
            </w:r>
          </w:p>
          <w:p w14:paraId="18914101" w14:textId="2C7B285F" w:rsidR="00592859" w:rsidRPr="00B66B65" w:rsidRDefault="00245570" w:rsidP="003365A5">
            <w:pPr>
              <w:pStyle w:val="Tabletextprimarysource"/>
            </w:pPr>
            <w:r>
              <w:rPr>
                <w:rFonts w:cs="Arial"/>
              </w:rPr>
              <w:t>A BEI for ChE inhibiting organophosphates is available.</w:t>
            </w:r>
          </w:p>
          <w:p w14:paraId="3FA2B5DE" w14:textId="5464F8B4" w:rsidR="00592859" w:rsidRDefault="00592859" w:rsidP="003365A5">
            <w:pPr>
              <w:pStyle w:val="Tabletextprimarysource"/>
            </w:pPr>
            <w:r>
              <w:t>Human data:</w:t>
            </w:r>
          </w:p>
          <w:p w14:paraId="40A5E9A8" w14:textId="7859F6A9" w:rsidR="00592859" w:rsidRDefault="00C639E4" w:rsidP="00B66B65">
            <w:pPr>
              <w:pStyle w:val="Tabletextprimarysource"/>
              <w:numPr>
                <w:ilvl w:val="0"/>
                <w:numId w:val="1"/>
              </w:numPr>
            </w:pPr>
            <w:r>
              <w:t>No adverse effects in individuals exposed to drinking water and walls of residences treated with substance</w:t>
            </w:r>
          </w:p>
          <w:p w14:paraId="2E589F64" w14:textId="15707670" w:rsidR="00C639E4" w:rsidRDefault="00C639E4" w:rsidP="00B66B65">
            <w:pPr>
              <w:pStyle w:val="Tabletextprimarysource"/>
              <w:numPr>
                <w:ilvl w:val="0"/>
                <w:numId w:val="1"/>
              </w:numPr>
            </w:pPr>
            <w:r>
              <w:t>Topical treatment for lice with 486–814 mg/kg doses with a 2% powder considered safe and effective in cited article</w:t>
            </w:r>
          </w:p>
          <w:p w14:paraId="3C1D24AA" w14:textId="7F087437" w:rsidR="00C639E4" w:rsidRDefault="00C639E4" w:rsidP="00B66B65">
            <w:pPr>
              <w:pStyle w:val="Tabletextprimarysource"/>
              <w:numPr>
                <w:ilvl w:val="0"/>
                <w:numId w:val="1"/>
              </w:numPr>
            </w:pPr>
            <w:r>
              <w:t>No changes to RBC or plasma ChE activity at 1 mg/kg in volunteer repeat oral dose study</w:t>
            </w:r>
          </w:p>
          <w:p w14:paraId="4A1DA3E3" w14:textId="5DD2765E" w:rsidR="00CB6C80" w:rsidRDefault="00C639E4" w:rsidP="00B66B65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 changes in RBC or plasma ChE activity or other adverse effects noted at </w:t>
            </w:r>
            <w:r w:rsidR="0085413F">
              <w:br/>
            </w:r>
            <w:r>
              <w:t xml:space="preserve">0.03–3.7 mg/kg in repeat dose study where doses were incrementally doubled during the study period (n=28, 4 </w:t>
            </w:r>
            <w:proofErr w:type="spellStart"/>
            <w:r>
              <w:t>wk</w:t>
            </w:r>
            <w:proofErr w:type="spellEnd"/>
            <w:r>
              <w:t>)</w:t>
            </w:r>
            <w:r w:rsidR="00F32C28">
              <w:t>:</w:t>
            </w:r>
            <w:r w:rsidR="00CA0614">
              <w:t xml:space="preserve"> </w:t>
            </w:r>
          </w:p>
          <w:p w14:paraId="025F6C4D" w14:textId="27BAF389" w:rsidR="00C639E4" w:rsidRDefault="00CA0614" w:rsidP="00CB6C80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substance detectable in urine for up to 3 </w:t>
            </w:r>
            <w:proofErr w:type="spellStart"/>
            <w:r>
              <w:t>wk</w:t>
            </w:r>
            <w:proofErr w:type="spellEnd"/>
            <w:r>
              <w:t xml:space="preserve"> post-exposure</w:t>
            </w:r>
            <w:r w:rsidR="006A7F86">
              <w:t>.</w:t>
            </w:r>
            <w:r w:rsidR="00C639E4">
              <w:t xml:space="preserve"> </w:t>
            </w:r>
          </w:p>
          <w:p w14:paraId="199F9FF6" w14:textId="0CEEA595" w:rsidR="00592859" w:rsidRDefault="00592859" w:rsidP="003365A5">
            <w:pPr>
              <w:pStyle w:val="Tabletextprimarysource"/>
            </w:pPr>
            <w:r>
              <w:t>Animal data:</w:t>
            </w:r>
          </w:p>
          <w:p w14:paraId="632655BF" w14:textId="1E481FD5" w:rsidR="00CA0614" w:rsidRDefault="00CA0614" w:rsidP="00B66B65">
            <w:pPr>
              <w:pStyle w:val="Tabletextprimarysource"/>
              <w:numPr>
                <w:ilvl w:val="0"/>
                <w:numId w:val="1"/>
              </w:numPr>
            </w:pPr>
            <w:r>
              <w:t>Oral LD</w:t>
            </w:r>
            <w:r>
              <w:rPr>
                <w:vertAlign w:val="subscript"/>
              </w:rPr>
              <w:t>50</w:t>
            </w:r>
            <w:r>
              <w:t>: 8,000–13,000 mg/kg (rats); 4,700 mg/kg (mice); cholinergic symptoms observed</w:t>
            </w:r>
          </w:p>
          <w:p w14:paraId="76118961" w14:textId="3AA846EC" w:rsidR="00CA0614" w:rsidRDefault="00CA0614" w:rsidP="00B66B65">
            <w:pPr>
              <w:pStyle w:val="Tabletextprimarysource"/>
              <w:numPr>
                <w:ilvl w:val="0"/>
                <w:numId w:val="1"/>
              </w:numPr>
            </w:pPr>
            <w:r>
              <w:t>Dermal LD</w:t>
            </w:r>
            <w:r>
              <w:rPr>
                <w:vertAlign w:val="subscript"/>
              </w:rPr>
              <w:t>50</w:t>
            </w:r>
            <w:r w:rsidR="0085413F">
              <w:t>:</w:t>
            </w:r>
            <w:r>
              <w:t xml:space="preserve"> &gt;4,000 mg/kg (rats); 970–1,850 mg/kg (rabbits)</w:t>
            </w:r>
            <w:r w:rsidR="0085413F">
              <w:t>:</w:t>
            </w:r>
            <w:r>
              <w:t xml:space="preserve"> </w:t>
            </w:r>
          </w:p>
          <w:p w14:paraId="4FF9DE08" w14:textId="167C7571" w:rsidR="00CA0614" w:rsidRDefault="00CA0614" w:rsidP="00CB6C80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 xml:space="preserve">ChE inhibition at </w:t>
            </w:r>
            <w:r w:rsidR="00170496">
              <w:t xml:space="preserve">dermal dose of </w:t>
            </w:r>
            <w:r>
              <w:t>1,200 mg/kg (rats)</w:t>
            </w:r>
          </w:p>
          <w:p w14:paraId="00735B08" w14:textId="66D2A8AD" w:rsidR="00592859" w:rsidRDefault="00CA0614" w:rsidP="00B66B65">
            <w:pPr>
              <w:pStyle w:val="Tabletextprimarysource"/>
              <w:numPr>
                <w:ilvl w:val="0"/>
                <w:numId w:val="1"/>
              </w:numPr>
            </w:pPr>
            <w:r>
              <w:t>LC</w:t>
            </w:r>
            <w:r>
              <w:rPr>
                <w:vertAlign w:val="subscript"/>
              </w:rPr>
              <w:t>50</w:t>
            </w:r>
            <w:r w:rsidR="0085413F">
              <w:t>:</w:t>
            </w:r>
            <w:r>
              <w:t xml:space="preserve"> &gt;1,300 mg/m</w:t>
            </w:r>
            <w:r>
              <w:rPr>
                <w:vertAlign w:val="superscript"/>
              </w:rPr>
              <w:t>3</w:t>
            </w:r>
            <w:r>
              <w:t xml:space="preserve"> (rats, 4 h)</w:t>
            </w:r>
          </w:p>
          <w:p w14:paraId="435A35AD" w14:textId="21ADE06B" w:rsidR="00CA0614" w:rsidRDefault="00CA0614" w:rsidP="00B66B65">
            <w:pPr>
              <w:pStyle w:val="Tabletextprimarysource"/>
              <w:numPr>
                <w:ilvl w:val="0"/>
                <w:numId w:val="1"/>
              </w:numPr>
            </w:pPr>
            <w:r>
              <w:t>Significant RBC ChE inhibition at 0.9 and 17.5 mg/kg/d in repeat feeding study (rats, 90 d)</w:t>
            </w:r>
            <w:r w:rsidR="0085413F">
              <w:t>:</w:t>
            </w:r>
          </w:p>
          <w:p w14:paraId="5031786B" w14:textId="61E15927" w:rsidR="00CA0614" w:rsidRDefault="00F1786E" w:rsidP="00CB6C80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d</w:t>
            </w:r>
            <w:r w:rsidR="00CA0614">
              <w:t xml:space="preserve">ecreased </w:t>
            </w:r>
            <w:r w:rsidR="00965ED3">
              <w:t>body weight</w:t>
            </w:r>
            <w:r w:rsidR="00CA0614">
              <w:t xml:space="preserve"> (females) and liver weight (males) at 17.5 mg/kg/d</w:t>
            </w:r>
          </w:p>
          <w:p w14:paraId="3AE08E89" w14:textId="4C68E25F" w:rsidR="00CA0614" w:rsidRPr="00965ED3" w:rsidRDefault="00CA0614" w:rsidP="00CB6C80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 w:rsidRPr="00965ED3">
              <w:t>NOAEL: 0.3 mg/kg/d</w:t>
            </w:r>
            <w:r w:rsidR="00965ED3" w:rsidRPr="00965ED3">
              <w:t xml:space="preserve"> (lowe</w:t>
            </w:r>
            <w:r w:rsidR="00965ED3">
              <w:t>st dose)</w:t>
            </w:r>
          </w:p>
          <w:p w14:paraId="1398B8E4" w14:textId="0546146A" w:rsidR="00CA0614" w:rsidRDefault="00CB4D46" w:rsidP="00B66B65">
            <w:pPr>
              <w:pStyle w:val="Tabletextprimarysource"/>
              <w:numPr>
                <w:ilvl w:val="0"/>
                <w:numId w:val="1"/>
              </w:numPr>
            </w:pPr>
            <w:r>
              <w:t>No evidence of carcinogenicity or clinical toxicity (ChE activity not measured) at 0.5, 5 and 15 mg/kg</w:t>
            </w:r>
            <w:r w:rsidR="00965ED3">
              <w:t>/d</w:t>
            </w:r>
            <w:r>
              <w:t xml:space="preserve"> in chronic feeding study (rats, 2 yr)</w:t>
            </w:r>
          </w:p>
          <w:p w14:paraId="50EA9790" w14:textId="2029674C" w:rsidR="00CB4D46" w:rsidRDefault="00CB4D46" w:rsidP="00B66B65">
            <w:pPr>
              <w:pStyle w:val="Tabletextprimarysource"/>
              <w:numPr>
                <w:ilvl w:val="0"/>
                <w:numId w:val="1"/>
              </w:numPr>
            </w:pPr>
            <w:r>
              <w:t>Significant RBC and plasma ChE inhibition at 12.5 mg/kg/d in chronic feeding study (dogs, 2 yr)</w:t>
            </w:r>
            <w:r w:rsidR="0085413F">
              <w:t>:</w:t>
            </w:r>
          </w:p>
          <w:p w14:paraId="1536CEDF" w14:textId="7556925C" w:rsidR="00CB4D46" w:rsidRDefault="00CB4D46" w:rsidP="00CB6C80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NOAEL: 0.46 mg/kg/d</w:t>
            </w:r>
          </w:p>
          <w:p w14:paraId="22E8B744" w14:textId="79C72240" w:rsidR="00CB4D46" w:rsidRDefault="00CB4D46" w:rsidP="00B66B65">
            <w:pPr>
              <w:pStyle w:val="Tabletextprimarysource"/>
              <w:numPr>
                <w:ilvl w:val="0"/>
                <w:numId w:val="1"/>
              </w:numPr>
            </w:pPr>
            <w:r>
              <w:lastRenderedPageBreak/>
              <w:t xml:space="preserve">Non-genotoxic in several </w:t>
            </w:r>
            <w:r>
              <w:rPr>
                <w:i/>
              </w:rPr>
              <w:t>in vitro</w:t>
            </w:r>
            <w:r>
              <w:t xml:space="preserve"> assays with bacteria, or </w:t>
            </w:r>
            <w:r>
              <w:rPr>
                <w:i/>
              </w:rPr>
              <w:t>in vivo</w:t>
            </w:r>
            <w:r>
              <w:t xml:space="preserve"> with rabbits (no further details provided)</w:t>
            </w:r>
          </w:p>
          <w:p w14:paraId="6779E6F6" w14:textId="11994E19" w:rsidR="00CB4D46" w:rsidRDefault="00CB4D46" w:rsidP="00B66B65">
            <w:pPr>
              <w:pStyle w:val="Tabletextprimarysource"/>
              <w:numPr>
                <w:ilvl w:val="0"/>
                <w:numId w:val="1"/>
              </w:numPr>
            </w:pPr>
            <w:r>
              <w:t>No effects on reproduction or development at 0–6.2 mg/kg/d in 3-gen</w:t>
            </w:r>
            <w:r w:rsidR="00F32C28">
              <w:t>eration</w:t>
            </w:r>
            <w:r>
              <w:t xml:space="preserve"> feeding study (rats)</w:t>
            </w:r>
          </w:p>
          <w:p w14:paraId="39E3DD19" w14:textId="1329E58E" w:rsidR="00CB6C80" w:rsidRDefault="00CB4D46" w:rsidP="00B66B65">
            <w:pPr>
              <w:pStyle w:val="Tabletextprimarysource"/>
              <w:numPr>
                <w:ilvl w:val="0"/>
                <w:numId w:val="1"/>
              </w:numPr>
            </w:pPr>
            <w:r>
              <w:t>No foetal or maternal toxicity at 0–30 mg/kg/d (oral dose) or 0–35 mg/kg/d (dermal dose) in 2</w:t>
            </w:r>
            <w:r w:rsidR="007B4D45">
              <w:t xml:space="preserve"> </w:t>
            </w:r>
            <w:r>
              <w:t>developmental studies (rabbits, GD 6–18)</w:t>
            </w:r>
            <w:r w:rsidR="00F32C28">
              <w:t>:</w:t>
            </w:r>
            <w:r>
              <w:t xml:space="preserve"> </w:t>
            </w:r>
          </w:p>
          <w:p w14:paraId="1D9CF9AE" w14:textId="3984E221" w:rsidR="00CB4D46" w:rsidRDefault="00CB4D46" w:rsidP="00CB6C80">
            <w:pPr>
              <w:pStyle w:val="Tabletextprimarysource"/>
              <w:numPr>
                <w:ilvl w:val="0"/>
                <w:numId w:val="3"/>
              </w:numPr>
            </w:pPr>
            <w:r>
              <w:t>reduced maternal weight gain at dermal dose of 50 mg/kg/d</w:t>
            </w:r>
            <w:r w:rsidR="006A7F86">
              <w:t>.</w:t>
            </w:r>
          </w:p>
          <w:p w14:paraId="7E175E94" w14:textId="77777777" w:rsidR="0085413F" w:rsidRDefault="0085413F" w:rsidP="003365A5">
            <w:pPr>
              <w:pStyle w:val="Tabletextprimarysource"/>
            </w:pPr>
          </w:p>
          <w:p w14:paraId="114F4F77" w14:textId="77777777" w:rsidR="00592859" w:rsidRDefault="00592859" w:rsidP="003365A5">
            <w:pPr>
              <w:pStyle w:val="Tabletextprimarysource"/>
            </w:pPr>
            <w:r>
              <w:t>Insufficient data to recommend a TLV-STEL or sensitiser notation.</w:t>
            </w:r>
          </w:p>
          <w:p w14:paraId="0CE4D35D" w14:textId="61944CB3" w:rsidR="0085413F" w:rsidRPr="00DA352E" w:rsidRDefault="0085413F" w:rsidP="003365A5">
            <w:pPr>
              <w:pStyle w:val="Tabletextprimarysource"/>
            </w:pPr>
          </w:p>
        </w:tc>
      </w:tr>
      <w:tr w:rsidR="00C978F0" w:rsidRPr="00DA352E" w14:paraId="174F8B79" w14:textId="77777777" w:rsidTr="00962AB0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4BF702B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9D662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9D6620">
                  <w:t>NA</w:t>
                </w:r>
                <w:proofErr w:type="spellEnd"/>
              </w:sdtContent>
            </w:sdt>
          </w:p>
        </w:tc>
      </w:tr>
      <w:tr w:rsidR="00C978F0" w:rsidRPr="00DA352E" w14:paraId="4433014F" w14:textId="77777777" w:rsidTr="00962AB0">
        <w:trPr>
          <w:gridAfter w:val="1"/>
          <w:wAfter w:w="8" w:type="pct"/>
          <w:cantSplit/>
        </w:trPr>
        <w:tc>
          <w:tcPr>
            <w:tcW w:w="4992" w:type="pct"/>
          </w:tcPr>
          <w:p w14:paraId="61A64F09" w14:textId="6FCAC23F" w:rsidR="00C978F0" w:rsidRPr="00DA352E" w:rsidRDefault="009D6620" w:rsidP="003365A5">
            <w:pPr>
              <w:pStyle w:val="Tabletextprimarysource"/>
            </w:pPr>
            <w:r>
              <w:t>No report</w:t>
            </w:r>
            <w:r w:rsidR="006A7F86">
              <w:t>.</w:t>
            </w:r>
          </w:p>
        </w:tc>
      </w:tr>
      <w:tr w:rsidR="00C978F0" w:rsidRPr="00DA352E" w14:paraId="0E6A0B2C" w14:textId="77777777" w:rsidTr="00962AB0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1347896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9D662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9D6620">
                  <w:t>NA</w:t>
                </w:r>
                <w:proofErr w:type="spellEnd"/>
              </w:sdtContent>
            </w:sdt>
          </w:p>
        </w:tc>
      </w:tr>
      <w:tr w:rsidR="00C978F0" w:rsidRPr="00DA352E" w14:paraId="2008D281" w14:textId="77777777" w:rsidTr="00962AB0">
        <w:trPr>
          <w:gridAfter w:val="1"/>
          <w:wAfter w:w="8" w:type="pct"/>
          <w:cantSplit/>
        </w:trPr>
        <w:tc>
          <w:tcPr>
            <w:tcW w:w="4992" w:type="pct"/>
          </w:tcPr>
          <w:p w14:paraId="153B53C1" w14:textId="508ADD27" w:rsidR="00C978F0" w:rsidRPr="00DA352E" w:rsidRDefault="009D6620" w:rsidP="003365A5">
            <w:pPr>
              <w:pStyle w:val="Tabletextprimarysource"/>
            </w:pPr>
            <w:r>
              <w:t>No report</w:t>
            </w:r>
            <w:r w:rsidR="006A7F86">
              <w:t>.</w:t>
            </w:r>
          </w:p>
        </w:tc>
      </w:tr>
      <w:tr w:rsidR="00DA352E" w:rsidRPr="00DA352E" w14:paraId="12BAB90D" w14:textId="77777777" w:rsidTr="00962AB0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7C6B0E33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9D662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9D6620">
                  <w:t>NA</w:t>
                </w:r>
                <w:proofErr w:type="spellEnd"/>
              </w:sdtContent>
            </w:sdt>
          </w:p>
        </w:tc>
      </w:tr>
      <w:tr w:rsidR="00DA352E" w:rsidRPr="00DA352E" w14:paraId="33AAF4A6" w14:textId="77777777" w:rsidTr="00962AB0">
        <w:trPr>
          <w:gridAfter w:val="1"/>
          <w:wAfter w:w="8" w:type="pct"/>
          <w:cantSplit/>
        </w:trPr>
        <w:tc>
          <w:tcPr>
            <w:tcW w:w="4992" w:type="pct"/>
          </w:tcPr>
          <w:p w14:paraId="2059E4CB" w14:textId="7A52FB27" w:rsidR="00DA352E" w:rsidRPr="00DA352E" w:rsidRDefault="009D6620" w:rsidP="003365A5">
            <w:pPr>
              <w:pStyle w:val="Tabletextprimarysource"/>
            </w:pPr>
            <w:r>
              <w:t>No report</w:t>
            </w:r>
            <w:r w:rsidR="006A7F86">
              <w:t>.</w:t>
            </w:r>
          </w:p>
        </w:tc>
      </w:tr>
      <w:tr w:rsidR="00DA352E" w:rsidRPr="00DA352E" w14:paraId="605F758C" w14:textId="77777777" w:rsidTr="00962AB0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2018E702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9D6620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9D6620">
                  <w:t>TWA: 10 mg/m</w:t>
                </w:r>
                <w:r w:rsidR="009D6620" w:rsidRPr="009D6620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7050CB3E" w14:textId="77777777" w:rsidTr="00962AB0">
        <w:trPr>
          <w:gridAfter w:val="1"/>
          <w:wAfter w:w="8" w:type="pct"/>
          <w:cantSplit/>
        </w:trPr>
        <w:tc>
          <w:tcPr>
            <w:tcW w:w="4992" w:type="pct"/>
          </w:tcPr>
          <w:p w14:paraId="12243183" w14:textId="77777777" w:rsidR="00DA352E" w:rsidRDefault="00F87D63" w:rsidP="003365A5">
            <w:pPr>
              <w:pStyle w:val="Tabletextprimarysource"/>
            </w:pPr>
            <w:r>
              <w:t>Summary of additional information:</w:t>
            </w:r>
          </w:p>
          <w:p w14:paraId="26B464ED" w14:textId="49583667" w:rsidR="00F87D63" w:rsidRDefault="00501121" w:rsidP="003365A5">
            <w:pPr>
              <w:pStyle w:val="Tabletextprimarysource"/>
            </w:pPr>
            <w:r>
              <w:t>Existing administrative OEL considered too high; HBROEL derived from NOAEL of 0.91 mg/kg</w:t>
            </w:r>
            <w:r w:rsidR="00965ED3">
              <w:t>/d</w:t>
            </w:r>
            <w:r>
              <w:t xml:space="preserve"> reported in volunteer 4</w:t>
            </w:r>
            <w:r w:rsidR="008D32DC">
              <w:t xml:space="preserve"> </w:t>
            </w:r>
            <w:proofErr w:type="spellStart"/>
            <w:r>
              <w:t>wk</w:t>
            </w:r>
            <w:proofErr w:type="spellEnd"/>
            <w:r>
              <w:t xml:space="preserve"> oral dose study (also cited by ACGIH, 2018). A </w:t>
            </w:r>
            <w:r w:rsidR="007B4D45">
              <w:t xml:space="preserve">UF </w:t>
            </w:r>
            <w:r>
              <w:t>of 3 is applied to account for intraindividual variation and the oral dose is converted to an inhalational equivalent assuming a respiratory volume of 10 m</w:t>
            </w:r>
            <w:r>
              <w:rPr>
                <w:vertAlign w:val="superscript"/>
              </w:rPr>
              <w:t>3</w:t>
            </w:r>
            <w:r>
              <w:t xml:space="preserve"> in a 70</w:t>
            </w:r>
            <w:r w:rsidR="008D32DC">
              <w:t xml:space="preserve"> </w:t>
            </w:r>
            <w:r>
              <w:t>kg individual during an 8</w:t>
            </w:r>
            <w:r w:rsidR="008D32DC">
              <w:t xml:space="preserve"> </w:t>
            </w:r>
            <w:r>
              <w:t xml:space="preserve">h shift to </w:t>
            </w:r>
            <w:r w:rsidR="00965ED3">
              <w:t xml:space="preserve">derive </w:t>
            </w:r>
            <w:r>
              <w:t>the proposed HBROEL of 2 mg/m</w:t>
            </w:r>
            <w:r>
              <w:rPr>
                <w:vertAlign w:val="superscript"/>
              </w:rPr>
              <w:t>3</w:t>
            </w:r>
            <w:r>
              <w:t>.</w:t>
            </w:r>
          </w:p>
          <w:p w14:paraId="7CEEEA44" w14:textId="3C7B748A" w:rsidR="00170496" w:rsidRDefault="00170496" w:rsidP="003365A5">
            <w:pPr>
              <w:pStyle w:val="Tabletextprimarysource"/>
            </w:pPr>
            <w:r>
              <w:t>Skin notation not</w:t>
            </w:r>
            <w:r w:rsidR="003A395C">
              <w:t xml:space="preserve"> recommended or proposed</w:t>
            </w:r>
            <w:r>
              <w:t xml:space="preserve"> based on low estimated skin absorption in humans and low acute lethal dermal toxicity in animals.</w:t>
            </w:r>
          </w:p>
          <w:p w14:paraId="03AB7ADF" w14:textId="77777777" w:rsidR="00501121" w:rsidRDefault="00501121" w:rsidP="003365A5">
            <w:pPr>
              <w:pStyle w:val="Tabletextprimarysource"/>
            </w:pPr>
            <w:r>
              <w:t>Human data:</w:t>
            </w:r>
          </w:p>
          <w:p w14:paraId="5BFC7E80" w14:textId="15D62B31" w:rsidR="00010F07" w:rsidRDefault="00010F07" w:rsidP="00010F07">
            <w:pPr>
              <w:pStyle w:val="Tabletextprimarysource"/>
              <w:numPr>
                <w:ilvl w:val="0"/>
                <w:numId w:val="1"/>
              </w:numPr>
            </w:pPr>
            <w:r>
              <w:t>Agency concludes NOAEL of 0.91 mg/kg from 2 volunteer oral dose studies (also cited by ACGIH, 2018)</w:t>
            </w:r>
            <w:r w:rsidR="008D32DC">
              <w:t>.</w:t>
            </w:r>
          </w:p>
          <w:p w14:paraId="5AEEA719" w14:textId="77777777" w:rsidR="003A395C" w:rsidRDefault="003A395C" w:rsidP="003A395C">
            <w:pPr>
              <w:pStyle w:val="Tabletextprimarysource"/>
            </w:pPr>
            <w:r>
              <w:t>Animal data:</w:t>
            </w:r>
          </w:p>
          <w:p w14:paraId="263FB97C" w14:textId="0CEA9787" w:rsidR="003A395C" w:rsidRDefault="003A395C" w:rsidP="003A395C">
            <w:pPr>
              <w:pStyle w:val="Tabletextprimarysource"/>
              <w:numPr>
                <w:ilvl w:val="0"/>
                <w:numId w:val="1"/>
              </w:numPr>
            </w:pPr>
            <w:r>
              <w:t>Diarrh</w:t>
            </w:r>
            <w:r w:rsidR="007B4D45">
              <w:t>o</w:t>
            </w:r>
            <w:r>
              <w:t>ea and reduced ChE activity at 178 mg/kg/d in repeat dermal dose study (rabbits, 5 d, no further details provided)</w:t>
            </w:r>
          </w:p>
          <w:p w14:paraId="5CE88D49" w14:textId="77777777" w:rsidR="003A395C" w:rsidRDefault="003A395C" w:rsidP="003A395C">
            <w:pPr>
              <w:pStyle w:val="Tabletextprimarysource"/>
              <w:numPr>
                <w:ilvl w:val="0"/>
                <w:numId w:val="1"/>
              </w:numPr>
            </w:pPr>
            <w:r>
              <w:t>No data on</w:t>
            </w:r>
            <w:r w:rsidR="003149CB">
              <w:t xml:space="preserve"> mutagenic or genotoxic potential available.</w:t>
            </w:r>
          </w:p>
          <w:p w14:paraId="492D7791" w14:textId="39AA7F75" w:rsidR="0085413F" w:rsidRPr="00B66B65" w:rsidRDefault="0085413F" w:rsidP="008C6140">
            <w:pPr>
              <w:pStyle w:val="Tabletextprimarysource"/>
            </w:pP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21C7ACE5" w14:textId="4FB67EF5" w:rsidR="007E2A4B" w:rsidRDefault="007B4D45">
      <w:r>
        <w:t>NIL.</w:t>
      </w:r>
    </w:p>
    <w:bookmarkEnd w:id="0"/>
    <w:p w14:paraId="04408E29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28EBB70" w14:textId="77777777" w:rsidTr="00B66B65">
        <w:trPr>
          <w:trHeight w:val="454"/>
          <w:tblHeader/>
        </w:trPr>
        <w:tc>
          <w:tcPr>
            <w:tcW w:w="6603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B8F4675" w14:textId="1FB4788D" w:rsidR="002E0D61" w:rsidRDefault="00B66B65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D6DDFA3" w14:textId="77777777" w:rsidTr="00B66B65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1A7516AB" w14:textId="5A847ACA" w:rsidR="008A36CF" w:rsidRPr="006901A2" w:rsidRDefault="00B66B65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8F36B7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962A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962AB0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21716915" w:rsidR="00687890" w:rsidRPr="00DD2F9B" w:rsidRDefault="009D6620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2A0C13EF" w14:textId="77777777" w:rsidTr="00962AB0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75E2B6F1" w:rsidR="007925F0" w:rsidRPr="00DD2F9B" w:rsidRDefault="009D6620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C1044B3" w14:textId="77777777" w:rsidTr="00962AB0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789DE4D2" w:rsidR="00AF483F" w:rsidRPr="00DD2F9B" w:rsidRDefault="009D6620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812F0EC" w14:textId="77777777" w:rsidTr="00962AB0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51052D0C" w:rsidR="00687890" w:rsidRPr="00DD2F9B" w:rsidRDefault="009D6620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962AB0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0725F191" w:rsidR="00E41A26" w:rsidRPr="00DD2F9B" w:rsidRDefault="009D6620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7A490EF" w14:textId="77777777" w:rsidTr="00962AB0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4F7A7221" w:rsidR="002E0D61" w:rsidRPr="00DD2F9B" w:rsidRDefault="00396C95" w:rsidP="00DD2F9B">
            <w:pPr>
              <w:pStyle w:val="Tablefont"/>
            </w:pPr>
            <w:r w:rsidRPr="00396C95">
              <w:t>Carcinogenicity – A4</w:t>
            </w:r>
            <w:r>
              <w:t>, Skin</w:t>
            </w:r>
          </w:p>
        </w:tc>
      </w:tr>
      <w:tr w:rsidR="002E0D61" w:rsidRPr="004C23F4" w14:paraId="43FA3590" w14:textId="77777777" w:rsidTr="00962AB0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0AD679B7" w:rsidR="002E0D61" w:rsidRPr="00DD2F9B" w:rsidRDefault="00396C9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AC7B866" w14:textId="77777777" w:rsidTr="00962AB0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75FCB728" w:rsidR="002E0D61" w:rsidRPr="00DD2F9B" w:rsidRDefault="00396C9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962AB0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18B373A3" w:rsidR="002E0D61" w:rsidRPr="00DD2F9B" w:rsidRDefault="00396C95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5F6A6A8E" w14:textId="77777777" w:rsidTr="00962AB0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4CFD4592" w:rsidR="00386093" w:rsidRPr="00DD2F9B" w:rsidRDefault="00396C9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461DB0E" w14:textId="77777777" w:rsidTr="00962AB0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302389CA" w:rsidR="00386093" w:rsidRPr="00DD2F9B" w:rsidRDefault="00396C95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4802B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09CFAA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988" w:type="dxa"/>
              <w:tblLook w:val="04A0" w:firstRow="1" w:lastRow="0" w:firstColumn="1" w:lastColumn="0" w:noHBand="0" w:noVBand="1"/>
            </w:tblPr>
            <w:tblGrid>
              <w:gridCol w:w="3797"/>
              <w:gridCol w:w="1122"/>
              <w:gridCol w:w="1186"/>
              <w:gridCol w:w="2705"/>
            </w:tblGrid>
            <w:tr w:rsidR="00170496" w:rsidRPr="00170496" w14:paraId="0BF018C5" w14:textId="77777777" w:rsidTr="00170496">
              <w:trPr>
                <w:trHeight w:val="271"/>
              </w:trPr>
              <w:tc>
                <w:tcPr>
                  <w:tcW w:w="38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4E357B" w14:textId="77777777" w:rsidR="00170496" w:rsidRPr="00170496" w:rsidRDefault="00170496" w:rsidP="0017049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7049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076682B5" w14:textId="77777777" w:rsidR="00170496" w:rsidRPr="00170496" w:rsidRDefault="00170496" w:rsidP="0017049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170496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B11720" w14:textId="77777777" w:rsidR="00170496" w:rsidRPr="00170496" w:rsidRDefault="00170496" w:rsidP="0017049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7049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27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D0D108" w14:textId="77777777" w:rsidR="00170496" w:rsidRPr="00170496" w:rsidRDefault="00170496" w:rsidP="0017049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7049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70496" w:rsidRPr="00170496" w14:paraId="6D02E860" w14:textId="77777777" w:rsidTr="00170496">
              <w:trPr>
                <w:trHeight w:val="271"/>
              </w:trPr>
              <w:tc>
                <w:tcPr>
                  <w:tcW w:w="38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F30786" w14:textId="77777777" w:rsidR="00170496" w:rsidRPr="00170496" w:rsidRDefault="00170496" w:rsidP="0017049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7049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17049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17049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4A745DDF" w14:textId="77777777" w:rsidR="00170496" w:rsidRPr="00170496" w:rsidRDefault="00170496" w:rsidP="0017049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170496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4204B5" w14:textId="77777777" w:rsidR="00170496" w:rsidRPr="00170496" w:rsidRDefault="00170496" w:rsidP="0017049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7049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27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BB85A6" w14:textId="77777777" w:rsidR="00170496" w:rsidRPr="00170496" w:rsidRDefault="00170496" w:rsidP="0017049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7049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70496" w:rsidRPr="00170496" w14:paraId="4AC1CE13" w14:textId="77777777" w:rsidTr="00170496">
              <w:trPr>
                <w:trHeight w:val="271"/>
              </w:trPr>
              <w:tc>
                <w:tcPr>
                  <w:tcW w:w="38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99981F" w14:textId="77777777" w:rsidR="00170496" w:rsidRPr="00170496" w:rsidRDefault="00170496" w:rsidP="0017049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7049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6DB0CE" w14:textId="77777777" w:rsidR="00170496" w:rsidRPr="00170496" w:rsidRDefault="00170496" w:rsidP="0017049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7049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24BCFB" w14:textId="77777777" w:rsidR="00170496" w:rsidRPr="00170496" w:rsidRDefault="00170496" w:rsidP="0017049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7049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72C379" w14:textId="77777777" w:rsidR="00170496" w:rsidRPr="00170496" w:rsidRDefault="00170496" w:rsidP="0017049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7049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70496" w:rsidRPr="00170496" w14:paraId="2B1774C3" w14:textId="77777777" w:rsidTr="00170496">
              <w:trPr>
                <w:trHeight w:val="271"/>
              </w:trPr>
              <w:tc>
                <w:tcPr>
                  <w:tcW w:w="38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0B95EF" w14:textId="77777777" w:rsidR="00170496" w:rsidRPr="00170496" w:rsidRDefault="00170496" w:rsidP="0017049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7049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17049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17049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17049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17049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3F839BEF" w14:textId="77777777" w:rsidR="00170496" w:rsidRPr="00170496" w:rsidRDefault="00170496" w:rsidP="0017049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170496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01FCD0" w14:textId="77777777" w:rsidR="00170496" w:rsidRPr="00170496" w:rsidRDefault="00170496" w:rsidP="0017049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7049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27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4C7AFF" w14:textId="77777777" w:rsidR="00170496" w:rsidRPr="00170496" w:rsidRDefault="00170496" w:rsidP="0017049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7049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70496" w:rsidRPr="00170496" w14:paraId="58B77D32" w14:textId="77777777" w:rsidTr="00170496">
              <w:trPr>
                <w:trHeight w:val="271"/>
              </w:trPr>
              <w:tc>
                <w:tcPr>
                  <w:tcW w:w="38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E71470" w14:textId="77777777" w:rsidR="00170496" w:rsidRPr="00170496" w:rsidRDefault="00170496" w:rsidP="0017049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170496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17049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07DDFC" w14:textId="77777777" w:rsidR="00170496" w:rsidRPr="00170496" w:rsidRDefault="00170496" w:rsidP="0017049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7049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DBE974" w14:textId="77777777" w:rsidR="00170496" w:rsidRPr="00170496" w:rsidRDefault="00170496" w:rsidP="0017049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7049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981057" w14:textId="77777777" w:rsidR="00170496" w:rsidRPr="00170496" w:rsidRDefault="00170496" w:rsidP="0017049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7049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70496" w:rsidRPr="00170496" w14:paraId="0F7B9549" w14:textId="77777777" w:rsidTr="00170496">
              <w:trPr>
                <w:trHeight w:val="271"/>
              </w:trPr>
              <w:tc>
                <w:tcPr>
                  <w:tcW w:w="38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4ACBB9" w14:textId="77777777" w:rsidR="00170496" w:rsidRPr="00170496" w:rsidRDefault="00170496" w:rsidP="0017049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7049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76228A" w14:textId="77777777" w:rsidR="00170496" w:rsidRPr="00170496" w:rsidRDefault="00170496" w:rsidP="0017049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7049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17FA07" w14:textId="77777777" w:rsidR="00170496" w:rsidRPr="00170496" w:rsidRDefault="00170496" w:rsidP="0017049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7049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-2.00</w:t>
                  </w:r>
                </w:p>
              </w:tc>
              <w:tc>
                <w:tcPr>
                  <w:tcW w:w="27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DF959E" w14:textId="77777777" w:rsidR="00170496" w:rsidRPr="00170496" w:rsidRDefault="00170496" w:rsidP="0017049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7049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70496" w:rsidRPr="00170496" w14:paraId="453A854A" w14:textId="77777777" w:rsidTr="00170496">
              <w:trPr>
                <w:trHeight w:val="271"/>
              </w:trPr>
              <w:tc>
                <w:tcPr>
                  <w:tcW w:w="38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1ACA0E" w14:textId="77777777" w:rsidR="00170496" w:rsidRPr="00170496" w:rsidRDefault="00170496" w:rsidP="0017049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7049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C64395" w14:textId="77777777" w:rsidR="00170496" w:rsidRPr="00170496" w:rsidRDefault="00170496" w:rsidP="0017049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7049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1B67B6" w14:textId="77777777" w:rsidR="00170496" w:rsidRPr="00170496" w:rsidRDefault="00170496" w:rsidP="0017049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7049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1.3333333</w:t>
                  </w:r>
                </w:p>
              </w:tc>
              <w:tc>
                <w:tcPr>
                  <w:tcW w:w="27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667245" w14:textId="77777777" w:rsidR="00170496" w:rsidRPr="00170496" w:rsidRDefault="00170496" w:rsidP="00170496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170496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329D664C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46CAF9FB" w:rsidR="00EB3D1B" w:rsidRDefault="00396C95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7FDA38A6" w:rsidR="001B79E5" w:rsidRDefault="00396C95" w:rsidP="001B79E5">
                <w:pPr>
                  <w:pStyle w:val="Tablefont"/>
                </w:pPr>
                <w:r w:rsidRPr="00396C95">
                  <w:t>466.5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192B5902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396C95">
                  <w:t>19.0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396C95">
                  <w:t>0.05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25CFB787" w:rsidR="00687890" w:rsidRPr="004C23F4" w:rsidRDefault="00B66B65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0441BB7E" w:rsidR="00E06F40" w:rsidRPr="00A006A0" w:rsidRDefault="002604E9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E6264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28EAA9C1" w14:textId="12EB5D71" w:rsidR="008E4F1F" w:rsidRDefault="008E4F1F" w:rsidP="008E4F1F">
      <w:pPr>
        <w:rPr>
          <w:b/>
        </w:rPr>
      </w:pPr>
      <w:r w:rsidRPr="002022B6">
        <w:t>Health Council of the Netherlands</w:t>
      </w:r>
      <w:r>
        <w:t xml:space="preserve"> (HCOTN) (</w:t>
      </w:r>
      <w:r w:rsidR="00396C95" w:rsidRPr="00396C95">
        <w:t>2003</w:t>
      </w:r>
      <w:r>
        <w:t xml:space="preserve">) </w:t>
      </w:r>
      <w:proofErr w:type="spellStart"/>
      <w:r w:rsidR="00396C95" w:rsidRPr="00396C95">
        <w:t>Temephos</w:t>
      </w:r>
      <w:proofErr w:type="spellEnd"/>
      <w:r w:rsidRPr="005F7416">
        <w:t xml:space="preserve">. Health-based calculated occupational cancer risk values. The Hague: Health Council of the Netherlands; publication no. </w:t>
      </w:r>
      <w:r w:rsidR="00396C95" w:rsidRPr="00396C95">
        <w:t>2000/15OSH/076</w:t>
      </w:r>
      <w:r>
        <w:t>.</w:t>
      </w:r>
    </w:p>
    <w:p w14:paraId="417B0753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9083F9" w14:textId="77777777" w:rsidR="00E537A7" w:rsidRDefault="00E537A7" w:rsidP="00F43AD5">
      <w:pPr>
        <w:spacing w:after="0" w:line="240" w:lineRule="auto"/>
      </w:pPr>
      <w:r>
        <w:separator/>
      </w:r>
    </w:p>
  </w:endnote>
  <w:endnote w:type="continuationSeparator" w:id="0">
    <w:p w14:paraId="65D5059B" w14:textId="77777777" w:rsidR="00E537A7" w:rsidRDefault="00E537A7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4DE122C4" w:rsidR="008A36CF" w:rsidRDefault="009D6620" w:rsidP="0034744C">
        <w:pPr>
          <w:pStyle w:val="Footer"/>
          <w:rPr>
            <w:sz w:val="18"/>
            <w:szCs w:val="18"/>
          </w:rPr>
        </w:pPr>
        <w:proofErr w:type="spellStart"/>
        <w:r w:rsidRPr="009D6620">
          <w:rPr>
            <w:b/>
            <w:sz w:val="18"/>
            <w:szCs w:val="18"/>
          </w:rPr>
          <w:t>Temephos</w:t>
        </w:r>
        <w:proofErr w:type="spellEnd"/>
        <w:r w:rsidRPr="009D6620">
          <w:rPr>
            <w:b/>
            <w:sz w:val="18"/>
            <w:szCs w:val="18"/>
          </w:rPr>
          <w:t xml:space="preserve"> </w:t>
        </w:r>
        <w:r w:rsidR="008A36CF">
          <w:rPr>
            <w:b/>
            <w:sz w:val="18"/>
            <w:szCs w:val="18"/>
          </w:rPr>
          <w:t>(</w:t>
        </w:r>
        <w:r w:rsidRPr="009D6620">
          <w:rPr>
            <w:b/>
            <w:sz w:val="18"/>
            <w:szCs w:val="18"/>
          </w:rPr>
          <w:t>3383-96-8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</w:t>
        </w:r>
        <w:r w:rsidR="00F1786E" w:rsidRPr="00F43AD5">
          <w:rPr>
            <w:sz w:val="18"/>
            <w:szCs w:val="18"/>
          </w:rPr>
          <w:t>20</w:t>
        </w:r>
        <w:r w:rsidR="00F1786E">
          <w:rPr>
            <w:sz w:val="18"/>
            <w:szCs w:val="18"/>
          </w:rPr>
          <w:t>20</w:t>
        </w:r>
      </w:p>
      <w:p w14:paraId="2D517F5E" w14:textId="307616C1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913518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7B92DA" w14:textId="77777777" w:rsidR="00E537A7" w:rsidRDefault="00E537A7" w:rsidP="00F43AD5">
      <w:pPr>
        <w:spacing w:after="0" w:line="240" w:lineRule="auto"/>
      </w:pPr>
      <w:r>
        <w:separator/>
      </w:r>
    </w:p>
  </w:footnote>
  <w:footnote w:type="continuationSeparator" w:id="0">
    <w:p w14:paraId="038FA4AC" w14:textId="77777777" w:rsidR="00E537A7" w:rsidRDefault="00E537A7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C7496" w14:textId="33954914" w:rsidR="00E47D06" w:rsidRDefault="00E47D06" w:rsidP="00E47D06">
    <w:pPr>
      <w:pStyle w:val="Header"/>
      <w:jc w:val="right"/>
    </w:pPr>
    <w:r>
      <w:rPr>
        <w:noProof/>
        <w:lang w:eastAsia="en-AU"/>
      </w:rPr>
      <w:drawing>
        <wp:inline distT="0" distB="0" distL="0" distR="0" wp14:anchorId="59BDDBF7" wp14:editId="47236A28">
          <wp:extent cx="2952750" cy="609600"/>
          <wp:effectExtent l="0" t="0" r="0" b="0"/>
          <wp:docPr id="2" name="Picture 2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2750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0180DF" w14:textId="77777777" w:rsidR="00E47D06" w:rsidRDefault="00E47D06" w:rsidP="00E47D06">
    <w:pPr>
      <w:pStyle w:val="Header"/>
    </w:pPr>
  </w:p>
  <w:p w14:paraId="4DAA8792" w14:textId="612551B3" w:rsidR="008A36CF" w:rsidRPr="00E47D06" w:rsidRDefault="008A36CF" w:rsidP="00E47D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AB9CA" w14:textId="6BD39A6B" w:rsidR="00962AB0" w:rsidRDefault="00962AB0" w:rsidP="00962AB0">
    <w:pPr>
      <w:pStyle w:val="Header"/>
      <w:jc w:val="right"/>
    </w:pPr>
    <w:r>
      <w:rPr>
        <w:noProof/>
        <w:lang w:eastAsia="en-AU"/>
      </w:rPr>
      <w:drawing>
        <wp:inline distT="0" distB="0" distL="0" distR="0" wp14:anchorId="5B093D1F" wp14:editId="1105B73D">
          <wp:extent cx="2952750" cy="60960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600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F09FB4" w14:textId="0B326061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86F91"/>
    <w:multiLevelType w:val="hybridMultilevel"/>
    <w:tmpl w:val="BEAA028E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1B932B6"/>
    <w:multiLevelType w:val="hybridMultilevel"/>
    <w:tmpl w:val="2A24F6DC"/>
    <w:lvl w:ilvl="0" w:tplc="EC262028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193158"/>
    <w:multiLevelType w:val="hybridMultilevel"/>
    <w:tmpl w:val="856AC15C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28664782">
    <w:abstractNumId w:val="1"/>
  </w:num>
  <w:num w:numId="2" w16cid:durableId="1375302232">
    <w:abstractNumId w:val="0"/>
  </w:num>
  <w:num w:numId="3" w16cid:durableId="5251703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0F07"/>
    <w:rsid w:val="00013A22"/>
    <w:rsid w:val="00014C3F"/>
    <w:rsid w:val="00017C82"/>
    <w:rsid w:val="00032B88"/>
    <w:rsid w:val="00037E52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0643"/>
    <w:rsid w:val="000D291C"/>
    <w:rsid w:val="000E0D04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55999"/>
    <w:rsid w:val="00160F47"/>
    <w:rsid w:val="00170496"/>
    <w:rsid w:val="00177CA1"/>
    <w:rsid w:val="00183823"/>
    <w:rsid w:val="00183942"/>
    <w:rsid w:val="001915F6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5570"/>
    <w:rsid w:val="002463BC"/>
    <w:rsid w:val="002465CE"/>
    <w:rsid w:val="00246CB5"/>
    <w:rsid w:val="002570A8"/>
    <w:rsid w:val="0025734A"/>
    <w:rsid w:val="002604E9"/>
    <w:rsid w:val="00263255"/>
    <w:rsid w:val="00276494"/>
    <w:rsid w:val="00277B0C"/>
    <w:rsid w:val="002A6DDF"/>
    <w:rsid w:val="002B1A2C"/>
    <w:rsid w:val="002C34F2"/>
    <w:rsid w:val="002C58FF"/>
    <w:rsid w:val="002C7AFE"/>
    <w:rsid w:val="002D05D2"/>
    <w:rsid w:val="002E0D61"/>
    <w:rsid w:val="002E4C7B"/>
    <w:rsid w:val="0030740C"/>
    <w:rsid w:val="003149CB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45AB"/>
    <w:rsid w:val="00386093"/>
    <w:rsid w:val="003904A4"/>
    <w:rsid w:val="00391841"/>
    <w:rsid w:val="00391B6D"/>
    <w:rsid w:val="00394922"/>
    <w:rsid w:val="00396C95"/>
    <w:rsid w:val="003A0E32"/>
    <w:rsid w:val="003A2B94"/>
    <w:rsid w:val="003A395C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9A3"/>
    <w:rsid w:val="004E5EDD"/>
    <w:rsid w:val="004E6264"/>
    <w:rsid w:val="004F448A"/>
    <w:rsid w:val="004F493D"/>
    <w:rsid w:val="004F65E8"/>
    <w:rsid w:val="0050005E"/>
    <w:rsid w:val="00501121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5390E"/>
    <w:rsid w:val="005601C3"/>
    <w:rsid w:val="00581055"/>
    <w:rsid w:val="005876BD"/>
    <w:rsid w:val="00591E38"/>
    <w:rsid w:val="00592859"/>
    <w:rsid w:val="005A19C5"/>
    <w:rsid w:val="005A3034"/>
    <w:rsid w:val="005A462D"/>
    <w:rsid w:val="005B253B"/>
    <w:rsid w:val="005B771D"/>
    <w:rsid w:val="005C5D16"/>
    <w:rsid w:val="005D3193"/>
    <w:rsid w:val="005D4A6E"/>
    <w:rsid w:val="005D53C3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7F86"/>
    <w:rsid w:val="006B160A"/>
    <w:rsid w:val="006B4E6C"/>
    <w:rsid w:val="006B50B6"/>
    <w:rsid w:val="006C370F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0347"/>
    <w:rsid w:val="00765C41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B3AAF"/>
    <w:rsid w:val="007B4D45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38EA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413F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C6140"/>
    <w:rsid w:val="008D026D"/>
    <w:rsid w:val="008D23AB"/>
    <w:rsid w:val="008D32DC"/>
    <w:rsid w:val="008D4B8B"/>
    <w:rsid w:val="008D5A78"/>
    <w:rsid w:val="008E4F1F"/>
    <w:rsid w:val="008E7B64"/>
    <w:rsid w:val="008F5DCD"/>
    <w:rsid w:val="00900951"/>
    <w:rsid w:val="009118A6"/>
    <w:rsid w:val="00913518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62AB0"/>
    <w:rsid w:val="00965ED3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D6620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1FB8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012F"/>
    <w:rsid w:val="00B1422A"/>
    <w:rsid w:val="00B1765C"/>
    <w:rsid w:val="00B213C4"/>
    <w:rsid w:val="00B40C60"/>
    <w:rsid w:val="00B479A9"/>
    <w:rsid w:val="00B52EDF"/>
    <w:rsid w:val="00B66B65"/>
    <w:rsid w:val="00B71188"/>
    <w:rsid w:val="00B72F5E"/>
    <w:rsid w:val="00B76A41"/>
    <w:rsid w:val="00B87D4C"/>
    <w:rsid w:val="00B93646"/>
    <w:rsid w:val="00B93F67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2685C"/>
    <w:rsid w:val="00C3091E"/>
    <w:rsid w:val="00C40FF1"/>
    <w:rsid w:val="00C419E2"/>
    <w:rsid w:val="00C5020E"/>
    <w:rsid w:val="00C57452"/>
    <w:rsid w:val="00C61EDF"/>
    <w:rsid w:val="00C6239D"/>
    <w:rsid w:val="00C639E4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0614"/>
    <w:rsid w:val="00CA58FE"/>
    <w:rsid w:val="00CB1CB1"/>
    <w:rsid w:val="00CB3012"/>
    <w:rsid w:val="00CB4D46"/>
    <w:rsid w:val="00CB6BC1"/>
    <w:rsid w:val="00CB6C80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47D06"/>
    <w:rsid w:val="00E51CAF"/>
    <w:rsid w:val="00E537A7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57DA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1786E"/>
    <w:rsid w:val="00F20E68"/>
    <w:rsid w:val="00F22093"/>
    <w:rsid w:val="00F236DF"/>
    <w:rsid w:val="00F32C28"/>
    <w:rsid w:val="00F43AD5"/>
    <w:rsid w:val="00F4402E"/>
    <w:rsid w:val="00F56DD0"/>
    <w:rsid w:val="00F6491C"/>
    <w:rsid w:val="00F67BBB"/>
    <w:rsid w:val="00F87D63"/>
    <w:rsid w:val="00F87D92"/>
    <w:rsid w:val="00F90AA7"/>
    <w:rsid w:val="00F92498"/>
    <w:rsid w:val="00F9496B"/>
    <w:rsid w:val="00F970C9"/>
    <w:rsid w:val="00FA06A8"/>
    <w:rsid w:val="00FA3DF5"/>
    <w:rsid w:val="00FA741F"/>
    <w:rsid w:val="00FB378D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1D603410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765C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5C4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5C41"/>
    <w:rPr>
      <w:szCs w:val="20"/>
    </w:rPr>
  </w:style>
  <w:style w:type="paragraph" w:styleId="Revision">
    <w:name w:val="Revision"/>
    <w:hidden/>
    <w:uiPriority w:val="99"/>
    <w:semiHidden/>
    <w:rsid w:val="007B4D45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45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45AB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2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0D93"/>
    <w:rsid w:val="00347D16"/>
    <w:rsid w:val="003E0149"/>
    <w:rsid w:val="005601C3"/>
    <w:rsid w:val="00617F31"/>
    <w:rsid w:val="00755FBF"/>
    <w:rsid w:val="008C1A91"/>
    <w:rsid w:val="00B93F67"/>
    <w:rsid w:val="00BD3F5C"/>
    <w:rsid w:val="00CA72D3"/>
    <w:rsid w:val="00D21A9F"/>
    <w:rsid w:val="00DB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B50D6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CEDEB-C449-4F6F-A9CF-69EDC43E7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http://schemas.microsoft.com/office/infopath/2007/PartnerControls"/>
    <ds:schemaRef ds:uri="a0509f21-ed56-4150-9955-96be669e5f2d"/>
    <ds:schemaRef ds:uri="http://schemas.openxmlformats.org/package/2006/metadata/core-properties"/>
    <ds:schemaRef ds:uri="http://www.w3.org/XML/1998/namespace"/>
    <ds:schemaRef ds:uri="1c567317-0c4d-4a62-8516-c22afd1b5354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09AD19-F72F-4906-B11E-A4048AB4C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1194</Words>
  <Characters>6809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7988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8</cp:revision>
  <cp:lastPrinted>2018-10-22T22:41:00Z</cp:lastPrinted>
  <dcterms:created xsi:type="dcterms:W3CDTF">2020-03-26T04:05:00Z</dcterms:created>
  <dcterms:modified xsi:type="dcterms:W3CDTF">2026-01-09T01:40:00Z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2026-01-07T01:42:27Z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67a0e44d-2c9d-4ab1-8f6c-4c78926bee7b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