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C7850C5" w:rsidR="00BD499F" w:rsidRPr="004C23F4" w:rsidRDefault="006B6DA8" w:rsidP="006B6DA8">
          <w:pPr>
            <w:pStyle w:val="Heading1"/>
            <w:jc w:val="center"/>
            <w:rPr>
              <w:rFonts w:ascii="Arial" w:hAnsi="Arial" w:cs="Arial"/>
            </w:rPr>
          </w:pPr>
          <w:r w:rsidRPr="006B6DA8">
            <w:rPr>
              <w:rFonts w:ascii="Arial" w:hAnsi="Arial" w:cs="Arial"/>
            </w:rPr>
            <w:t>Tellurium &amp; compounds (as Te)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189D6E38" w14:textId="77777777" w:rsidTr="001052ED">
        <w:trPr>
          <w:cantSplit/>
          <w:tblHeader/>
        </w:trPr>
        <w:tc>
          <w:tcPr>
            <w:tcW w:w="3992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4" w:type="dxa"/>
          </w:tcPr>
          <w:p w14:paraId="3EDBFD9E" w14:textId="170D67B5" w:rsidR="00F43AD5" w:rsidRPr="00717D45" w:rsidRDefault="006B6DA8" w:rsidP="00B76A41">
            <w:pPr>
              <w:pStyle w:val="Tablefont"/>
            </w:pPr>
            <w:r w:rsidRPr="006B6DA8">
              <w:t>13494</w:t>
            </w:r>
            <w:r w:rsidRPr="006B6DA8">
              <w:rPr>
                <w:rFonts w:ascii="Cambria Math" w:hAnsi="Cambria Math" w:cs="Cambria Math"/>
              </w:rPr>
              <w:t>‐</w:t>
            </w:r>
            <w:r w:rsidRPr="006B6DA8">
              <w:t>80</w:t>
            </w:r>
            <w:r w:rsidRPr="006B6DA8">
              <w:rPr>
                <w:rFonts w:ascii="Cambria Math" w:hAnsi="Cambria Math" w:cs="Cambria Math"/>
              </w:rPr>
              <w:t>‐</w:t>
            </w:r>
            <w:r w:rsidRPr="006B6DA8">
              <w:t>9</w:t>
            </w:r>
          </w:p>
        </w:tc>
      </w:tr>
      <w:tr w:rsidR="00F43AD5" w:rsidRPr="004C23F4" w14:paraId="562A9F51" w14:textId="77777777" w:rsidTr="001052ED">
        <w:trPr>
          <w:cantSplit/>
        </w:trPr>
        <w:tc>
          <w:tcPr>
            <w:tcW w:w="3992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4" w:type="dxa"/>
          </w:tcPr>
          <w:p w14:paraId="32648AB9" w14:textId="73DE68C9" w:rsidR="00F43AD5" w:rsidRPr="00717D45" w:rsidRDefault="006B6DA8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1052ED">
        <w:trPr>
          <w:cantSplit/>
        </w:trPr>
        <w:tc>
          <w:tcPr>
            <w:tcW w:w="3992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4" w:type="dxa"/>
          </w:tcPr>
          <w:p w14:paraId="69369B00" w14:textId="6B0A4D4A" w:rsidR="00F43AD5" w:rsidRPr="00717D45" w:rsidRDefault="006B6DA8" w:rsidP="00B76A41">
            <w:pPr>
              <w:pStyle w:val="Tablefont"/>
            </w:pPr>
            <w:r>
              <w:t>Te</w:t>
            </w:r>
          </w:p>
        </w:tc>
      </w:tr>
    </w:tbl>
    <w:p w14:paraId="71D72173" w14:textId="76355A2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75B9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BB59B3F" w:rsidR="002C7AFE" w:rsidRPr="00875B90" w:rsidRDefault="00875B90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68022C1" w:rsidR="00037E52" w:rsidRPr="00EB3D1B" w:rsidRDefault="0075005A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25 mg</w:t>
            </w:r>
            <w:r w:rsidRPr="0075005A">
              <w:rPr>
                <w:b/>
              </w:rPr>
              <w:t>/m</w:t>
            </w:r>
            <w:r w:rsidRPr="0075005A">
              <w:rPr>
                <w:b/>
                <w:vertAlign w:val="superscript"/>
              </w:rPr>
              <w:t>3</w:t>
            </w:r>
            <w:r w:rsidRPr="0075005A">
              <w:rPr>
                <w:b/>
              </w:rPr>
              <w:tab/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1F591FCB" w:rsidR="00155999" w:rsidRPr="00EB3D1B" w:rsidRDefault="00155999" w:rsidP="00037E52">
            <w:pPr>
              <w:pStyle w:val="Tablefont"/>
              <w:rPr>
                <w:b/>
              </w:rPr>
            </w:pPr>
            <w:r w:rsidRPr="00AE7531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9650A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98128DB" w:rsidR="006639B4" w:rsidRPr="004C23F4" w:rsidRDefault="00875B90" w:rsidP="000C139A">
      <w:pPr>
        <w:rPr>
          <w:rFonts w:cs="Arial"/>
        </w:rPr>
      </w:pPr>
      <w:r>
        <w:rPr>
          <w:rFonts w:cs="Arial"/>
        </w:rPr>
        <w:t xml:space="preserve">A </w:t>
      </w:r>
      <w:r>
        <w:t>TWA of 0.1 mg/m</w:t>
      </w:r>
      <w:r>
        <w:rPr>
          <w:vertAlign w:val="superscript"/>
        </w:rPr>
        <w:t>3</w:t>
      </w:r>
      <w:r w:rsidRPr="001052ED">
        <w:t xml:space="preserve"> </w:t>
      </w:r>
      <w:r w:rsidR="00D13D86">
        <w:t xml:space="preserve">for </w:t>
      </w:r>
      <w:r>
        <w:t>tellurium</w:t>
      </w:r>
      <w:r w:rsidR="00443A73">
        <w:t xml:space="preserve"> and its compounds</w:t>
      </w:r>
      <w:r>
        <w:t xml:space="preserve"> is recommend to protect for central nervous system (CNS) </w:t>
      </w:r>
      <w:r w:rsidR="00443A73">
        <w:t xml:space="preserve">effects </w:t>
      </w:r>
      <w:r>
        <w:t xml:space="preserve">and </w:t>
      </w:r>
      <w:r w:rsidR="00D13D86">
        <w:t xml:space="preserve">body </w:t>
      </w:r>
      <w:r>
        <w:t>odour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9FA28BA" w14:textId="5E50490F" w:rsidR="00AB5139" w:rsidRDefault="00A558C1" w:rsidP="006639B4">
      <w:r>
        <w:t>Elemental tellurium</w:t>
      </w:r>
      <w:r w:rsidR="0039650A">
        <w:t xml:space="preserve"> (Te)</w:t>
      </w:r>
      <w:r>
        <w:t xml:space="preserve"> is used as an additive to copper, iron and stee</w:t>
      </w:r>
      <w:r w:rsidR="00C46394">
        <w:t>l</w:t>
      </w:r>
      <w:r>
        <w:t xml:space="preserve"> </w:t>
      </w:r>
      <w:r w:rsidR="00C46394">
        <w:t xml:space="preserve">and </w:t>
      </w:r>
      <w:r>
        <w:t>in vulcani</w:t>
      </w:r>
      <w:r w:rsidR="0039650A">
        <w:t>s</w:t>
      </w:r>
      <w:r>
        <w:t>ing rubber</w:t>
      </w:r>
      <w:r w:rsidR="00972AB4">
        <w:t>. It is also used</w:t>
      </w:r>
      <w:r>
        <w:t xml:space="preserve"> as a colouring agent in glass and ceramics</w:t>
      </w:r>
      <w:r w:rsidR="001052ED">
        <w:t>,</w:t>
      </w:r>
      <w:r>
        <w:t xml:space="preserve"> in thermoelectric devices and in storage batteries. Certain telluride alloys are employed in the semiconductor industry</w:t>
      </w:r>
      <w:r w:rsidR="00B21FF9">
        <w:t xml:space="preserve">. </w:t>
      </w:r>
    </w:p>
    <w:p w14:paraId="1BC090DF" w14:textId="49E0A3D6" w:rsidR="001052ED" w:rsidRDefault="001052ED" w:rsidP="006639B4">
      <w:r>
        <w:t>Note this assessment excludes hydrogen telluride and tellurium hexafluoride.</w:t>
      </w:r>
    </w:p>
    <w:p w14:paraId="3AF6C047" w14:textId="424792D2" w:rsidR="006639B4" w:rsidRPr="00443A73" w:rsidRDefault="00B21FF9" w:rsidP="006639B4">
      <w:pPr>
        <w:rPr>
          <w:rFonts w:cs="Arial"/>
        </w:rPr>
      </w:pPr>
      <w:r>
        <w:t xml:space="preserve">Critical effects of exposure </w:t>
      </w:r>
      <w:r w:rsidR="007B5A65">
        <w:t>are</w:t>
      </w:r>
      <w:r w:rsidR="00FF5D1D">
        <w:t xml:space="preserve"> on the</w:t>
      </w:r>
      <w:r w:rsidR="007B5A65">
        <w:t xml:space="preserve"> </w:t>
      </w:r>
      <w:r w:rsidR="00875B90">
        <w:t>CNS</w:t>
      </w:r>
      <w:r w:rsidR="001052ED">
        <w:t>,</w:t>
      </w:r>
      <w:r w:rsidR="007B5A65">
        <w:t xml:space="preserve"> manifesting as somnolence, anorexia and nausea. Exposure is also associated with the development of an objectionable garlic-like breath </w:t>
      </w:r>
      <w:r w:rsidR="00BA0475">
        <w:t xml:space="preserve">(halitosis) </w:t>
      </w:r>
      <w:r w:rsidR="007B5A65">
        <w:t xml:space="preserve">and body odour. </w:t>
      </w:r>
    </w:p>
    <w:p w14:paraId="10FBF2AC" w14:textId="052EDE3D" w:rsidR="00660BA1" w:rsidRDefault="00AB5139" w:rsidP="00660BA1">
      <w:r>
        <w:t xml:space="preserve">No adverse effects were reported in 97% </w:t>
      </w:r>
      <w:r w:rsidR="00C46394">
        <w:t xml:space="preserve">workers </w:t>
      </w:r>
      <w:r>
        <w:t xml:space="preserve">of an </w:t>
      </w:r>
      <w:r w:rsidR="00660BA1">
        <w:t xml:space="preserve">iron foundry </w:t>
      </w:r>
      <w:r w:rsidR="00C46394">
        <w:t>where</w:t>
      </w:r>
      <w:r>
        <w:t xml:space="preserve"> 62 workers </w:t>
      </w:r>
      <w:r w:rsidR="00C46394">
        <w:t xml:space="preserve">were </w:t>
      </w:r>
      <w:r w:rsidR="00660BA1">
        <w:t>exposed for 22</w:t>
      </w:r>
      <w:r>
        <w:t> </w:t>
      </w:r>
      <w:r w:rsidR="00660BA1">
        <w:t>mo</w:t>
      </w:r>
      <w:r w:rsidR="00443A73">
        <w:t>nths</w:t>
      </w:r>
      <w:r w:rsidR="00660BA1">
        <w:t xml:space="preserve"> to </w:t>
      </w:r>
      <w:r w:rsidR="001052ED">
        <w:t>tellurium</w:t>
      </w:r>
      <w:r w:rsidR="0039650A">
        <w:t xml:space="preserve"> </w:t>
      </w:r>
      <w:r w:rsidR="00660BA1">
        <w:t xml:space="preserve">fume </w:t>
      </w:r>
      <w:r w:rsidR="00C46394">
        <w:t xml:space="preserve">concentrations </w:t>
      </w:r>
      <w:r w:rsidR="00660BA1">
        <w:t>between 0.01</w:t>
      </w:r>
      <w:r>
        <w:t> </w:t>
      </w:r>
      <w:r w:rsidR="00660BA1">
        <w:t>and 0.1 mg/m</w:t>
      </w:r>
      <w:r w:rsidR="00660BA1" w:rsidRPr="00E31027">
        <w:rPr>
          <w:vertAlign w:val="superscript"/>
        </w:rPr>
        <w:t>3</w:t>
      </w:r>
      <w:r w:rsidR="00660BA1">
        <w:t xml:space="preserve"> with a peak value of 0.74</w:t>
      </w:r>
      <w:r w:rsidR="00C46394">
        <w:t> </w:t>
      </w:r>
      <w:r w:rsidR="00660BA1">
        <w:t>mg/m</w:t>
      </w:r>
      <w:r w:rsidR="00660BA1" w:rsidRPr="00E31027">
        <w:rPr>
          <w:vertAlign w:val="superscript"/>
        </w:rPr>
        <w:t>3</w:t>
      </w:r>
      <w:r w:rsidR="00660BA1">
        <w:t>.</w:t>
      </w:r>
      <w:r w:rsidR="005E3862">
        <w:t xml:space="preserve"> </w:t>
      </w:r>
      <w:r>
        <w:t>Two of the 62 workers examined working</w:t>
      </w:r>
      <w:r w:rsidR="005E3862">
        <w:t xml:space="preserve"> close to the source of the fume</w:t>
      </w:r>
      <w:r w:rsidR="005E3862" w:rsidRPr="005E3862">
        <w:t xml:space="preserve"> </w:t>
      </w:r>
      <w:r w:rsidR="005E3862">
        <w:t xml:space="preserve">experienced transient nausea. Other symptoms </w:t>
      </w:r>
      <w:r w:rsidR="00C46394">
        <w:t xml:space="preserve">include </w:t>
      </w:r>
      <w:r w:rsidR="005E3862">
        <w:t>garlic-like odour of the breath and sweat, dryness of the mouth, metallic taste and somnolence. Acute oral or parenteral intoxication in animals result</w:t>
      </w:r>
      <w:r w:rsidR="001052ED">
        <w:t>s</w:t>
      </w:r>
      <w:r w:rsidR="005E3862">
        <w:t xml:space="preserve"> in restlessness, tremor, diminished reflexes, paralysis, convulsions, somnolence, coma and death (ACGIH, 2018). </w:t>
      </w:r>
    </w:p>
    <w:p w14:paraId="050C5B27" w14:textId="15A47234" w:rsidR="00660BA1" w:rsidRDefault="00AB5139" w:rsidP="006639B4">
      <w:r>
        <w:rPr>
          <w:rFonts w:cs="Arial"/>
        </w:rPr>
        <w:t>Notwithstanding</w:t>
      </w:r>
      <w:r w:rsidR="00C46394">
        <w:rPr>
          <w:rFonts w:cs="Arial"/>
        </w:rPr>
        <w:t xml:space="preserve"> the limited toxicological data</w:t>
      </w:r>
      <w:r>
        <w:rPr>
          <w:rFonts w:cs="Arial"/>
        </w:rPr>
        <w:t>,</w:t>
      </w:r>
      <w:r w:rsidR="00875B90">
        <w:t xml:space="preserve"> the TWA of 0.1 mg/m</w:t>
      </w:r>
      <w:r w:rsidR="00875B90">
        <w:rPr>
          <w:vertAlign w:val="superscript"/>
        </w:rPr>
        <w:t xml:space="preserve">3 </w:t>
      </w:r>
      <w:r w:rsidR="00443A73">
        <w:t>(</w:t>
      </w:r>
      <w:r w:rsidR="00875B90">
        <w:t xml:space="preserve">as </w:t>
      </w:r>
      <w:r w:rsidR="00443A73">
        <w:t xml:space="preserve">Te) </w:t>
      </w:r>
      <w:r>
        <w:t xml:space="preserve">by SWA and </w:t>
      </w:r>
      <w:r w:rsidR="005B7913">
        <w:t xml:space="preserve">ACGIH (2018) </w:t>
      </w:r>
      <w:r w:rsidR="00875B90">
        <w:t>is recommend</w:t>
      </w:r>
      <w:r>
        <w:t xml:space="preserve"> be retained</w:t>
      </w:r>
      <w:r w:rsidR="00875B90">
        <w:t xml:space="preserve">. This </w:t>
      </w:r>
      <w:r w:rsidR="005B7913">
        <w:t>TWA will lim</w:t>
      </w:r>
      <w:r w:rsidR="00C46394">
        <w:t>i</w:t>
      </w:r>
      <w:r w:rsidR="005B7913">
        <w:t>t</w:t>
      </w:r>
      <w:r w:rsidR="00875B90">
        <w:t xml:space="preserve"> the likelihood of developing </w:t>
      </w:r>
      <w:r w:rsidR="00BA0475">
        <w:t>halitosis</w:t>
      </w:r>
      <w:r w:rsidR="001052ED">
        <w:t xml:space="preserve"> and provides a wide margin of protection against potential CNS effects, cyanosis and liver damage</w:t>
      </w:r>
      <w:r w:rsidR="00875B90">
        <w:t>.</w:t>
      </w:r>
    </w:p>
    <w:p w14:paraId="273B44AD" w14:textId="77777777" w:rsidR="004529F0" w:rsidRPr="004C23F4" w:rsidRDefault="004529F0" w:rsidP="005142E7">
      <w:pPr>
        <w:pStyle w:val="Heading2"/>
      </w:pPr>
      <w:r>
        <w:lastRenderedPageBreak/>
        <w:t>Recommendation for notations</w:t>
      </w:r>
    </w:p>
    <w:p w14:paraId="27C6755E" w14:textId="77777777" w:rsidR="008E4F1F" w:rsidRPr="00B21FF9" w:rsidRDefault="008E4F1F" w:rsidP="00AE7531">
      <w:pPr>
        <w:keepNext/>
        <w:rPr>
          <w:rFonts w:cs="Arial"/>
        </w:rPr>
      </w:pPr>
      <w:r w:rsidRPr="00B21FF9">
        <w:rPr>
          <w:rFonts w:cs="Arial"/>
        </w:rPr>
        <w:t>Not classified as a carcinogen according to the Globally Harmonized System of</w:t>
      </w:r>
      <w:r w:rsidR="00155999" w:rsidRPr="00B21FF9">
        <w:rPr>
          <w:rFonts w:cs="Arial"/>
        </w:rPr>
        <w:t xml:space="preserve"> Classification and Labelling of</w:t>
      </w:r>
      <w:r w:rsidRPr="00B21FF9">
        <w:rPr>
          <w:rFonts w:cs="Arial"/>
        </w:rPr>
        <w:t xml:space="preserve"> Chemicals (GHS). </w:t>
      </w:r>
    </w:p>
    <w:p w14:paraId="03916CCC" w14:textId="77777777" w:rsidR="008E4F1F" w:rsidRPr="00B21FF9" w:rsidRDefault="008E4F1F" w:rsidP="00AE7531">
      <w:pPr>
        <w:keepNext/>
        <w:rPr>
          <w:rFonts w:cs="Arial"/>
        </w:rPr>
      </w:pPr>
      <w:r w:rsidRPr="00B21FF9">
        <w:rPr>
          <w:rFonts w:cs="Arial"/>
        </w:rPr>
        <w:t xml:space="preserve">Not classified as a skin </w:t>
      </w:r>
      <w:r w:rsidR="00155999" w:rsidRPr="00B21FF9">
        <w:rPr>
          <w:rFonts w:cs="Arial"/>
        </w:rPr>
        <w:t xml:space="preserve">sensitiser </w:t>
      </w:r>
      <w:r w:rsidRPr="00B21FF9">
        <w:rPr>
          <w:rFonts w:cs="Arial"/>
        </w:rPr>
        <w:t>or respiratory sensitiser according to the GHS.</w:t>
      </w:r>
    </w:p>
    <w:p w14:paraId="21CCE2A5" w14:textId="2875090B" w:rsidR="0025734A" w:rsidRPr="004C23F4" w:rsidRDefault="00443A73">
      <w:pPr>
        <w:rPr>
          <w:rFonts w:cs="Arial"/>
        </w:rPr>
      </w:pPr>
      <w:r>
        <w:rPr>
          <w:rFonts w:cs="Arial"/>
        </w:rPr>
        <w:t>There are i</w:t>
      </w:r>
      <w:r w:rsidR="008E4F1F" w:rsidRPr="00B21FF9">
        <w:rPr>
          <w:rFonts w:cs="Arial"/>
        </w:rPr>
        <w:t xml:space="preserve">nsufficient </w:t>
      </w:r>
      <w:r>
        <w:rPr>
          <w:rFonts w:cs="Arial"/>
        </w:rPr>
        <w:t>data</w:t>
      </w:r>
      <w:r w:rsidRPr="00B21FF9">
        <w:rPr>
          <w:rFonts w:cs="Arial"/>
        </w:rPr>
        <w:t xml:space="preserve"> </w:t>
      </w:r>
      <w:r w:rsidR="008E4F1F" w:rsidRPr="00B21FF9">
        <w:rPr>
          <w:rFonts w:cs="Arial"/>
        </w:rPr>
        <w:t>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E33E1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E33E15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5761CF6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B6DA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B6DA8">
                  <w:t>TWA: 0.1 mg/m</w:t>
                </w:r>
                <w:r w:rsidR="006B6DA8" w:rsidRPr="006B6DA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E33E15">
        <w:trPr>
          <w:gridAfter w:val="1"/>
          <w:wAfter w:w="8" w:type="pct"/>
          <w:cantSplit/>
        </w:trPr>
        <w:tc>
          <w:tcPr>
            <w:tcW w:w="4992" w:type="pct"/>
          </w:tcPr>
          <w:p w14:paraId="63767E0B" w14:textId="77777777" w:rsidR="00C978F0" w:rsidRDefault="00C978F0" w:rsidP="003365A5">
            <w:pPr>
              <w:pStyle w:val="Tabletextprimarysource"/>
            </w:pPr>
          </w:p>
          <w:p w14:paraId="4ECDA1C1" w14:textId="77777777" w:rsidR="002D7812" w:rsidRPr="002D7812" w:rsidRDefault="002D7812" w:rsidP="002D7812"/>
          <w:p w14:paraId="7CB567BF" w14:textId="77777777" w:rsidR="002D7812" w:rsidRPr="002D7812" w:rsidRDefault="002D7812" w:rsidP="002D7812"/>
          <w:p w14:paraId="56CDFA9B" w14:textId="77777777" w:rsidR="002D7812" w:rsidRPr="002D7812" w:rsidRDefault="002D7812" w:rsidP="002D7812"/>
          <w:p w14:paraId="11A7AF06" w14:textId="77777777" w:rsidR="002D7812" w:rsidRPr="002D7812" w:rsidRDefault="002D7812" w:rsidP="002D7812"/>
          <w:p w14:paraId="2D5A5E32" w14:textId="77777777" w:rsidR="002D7812" w:rsidRPr="002D7812" w:rsidRDefault="002D7812" w:rsidP="002D7812"/>
          <w:p w14:paraId="6B36E568" w14:textId="77777777" w:rsidR="002D7812" w:rsidRPr="002D7812" w:rsidRDefault="002D7812" w:rsidP="002D7812"/>
          <w:p w14:paraId="3DC47E02" w14:textId="77777777" w:rsidR="002D7812" w:rsidRPr="002D7812" w:rsidRDefault="002D7812" w:rsidP="002D7812"/>
          <w:p w14:paraId="74812C5B" w14:textId="77777777" w:rsidR="002D7812" w:rsidRPr="002D7812" w:rsidRDefault="002D7812" w:rsidP="002D7812"/>
          <w:p w14:paraId="0EF26C4D" w14:textId="77777777" w:rsidR="002D7812" w:rsidRPr="002D7812" w:rsidRDefault="002D7812" w:rsidP="002D7812"/>
          <w:p w14:paraId="55242CEC" w14:textId="77777777" w:rsidR="002D7812" w:rsidRPr="002D7812" w:rsidRDefault="002D7812" w:rsidP="002D7812"/>
          <w:p w14:paraId="09AA126D" w14:textId="77777777" w:rsidR="002D7812" w:rsidRPr="002D7812" w:rsidRDefault="002D7812" w:rsidP="002D7812"/>
          <w:p w14:paraId="5828AD0C" w14:textId="77777777" w:rsidR="002D7812" w:rsidRPr="002D7812" w:rsidRDefault="002D7812" w:rsidP="002D7812"/>
          <w:p w14:paraId="7003EA11" w14:textId="77777777" w:rsidR="002D7812" w:rsidRPr="002D7812" w:rsidRDefault="002D7812" w:rsidP="002D7812"/>
          <w:p w14:paraId="28083779" w14:textId="77777777" w:rsidR="002D7812" w:rsidRPr="002D7812" w:rsidRDefault="002D7812" w:rsidP="002D7812"/>
          <w:p w14:paraId="1275930F" w14:textId="77777777" w:rsidR="002D7812" w:rsidRPr="002D7812" w:rsidRDefault="002D7812" w:rsidP="002D7812"/>
          <w:p w14:paraId="1FE61055" w14:textId="77777777" w:rsidR="002D7812" w:rsidRPr="002D7812" w:rsidRDefault="002D7812" w:rsidP="002D7812"/>
          <w:p w14:paraId="12E8AC83" w14:textId="77777777" w:rsidR="002D7812" w:rsidRPr="002D7812" w:rsidRDefault="002D7812" w:rsidP="002D7812"/>
          <w:p w14:paraId="396D0470" w14:textId="77777777" w:rsidR="002D7812" w:rsidRPr="002D7812" w:rsidRDefault="002D7812" w:rsidP="002D7812"/>
          <w:p w14:paraId="69F8BC28" w14:textId="77777777" w:rsidR="002D7812" w:rsidRPr="002D7812" w:rsidRDefault="002D7812" w:rsidP="002D7812"/>
          <w:p w14:paraId="58DE9963" w14:textId="77777777" w:rsidR="002D7812" w:rsidRPr="002D7812" w:rsidRDefault="002D7812" w:rsidP="002D7812"/>
          <w:p w14:paraId="58DD773E" w14:textId="77777777" w:rsidR="002D7812" w:rsidRPr="002D7812" w:rsidRDefault="002D7812" w:rsidP="002D7812"/>
          <w:p w14:paraId="4D7A2A97" w14:textId="77777777" w:rsidR="002D7812" w:rsidRPr="002D7812" w:rsidRDefault="002D7812" w:rsidP="002D7812"/>
          <w:p w14:paraId="19F968F9" w14:textId="77777777" w:rsidR="002D7812" w:rsidRPr="002D7812" w:rsidRDefault="002D7812" w:rsidP="002D7812"/>
          <w:p w14:paraId="08FACF65" w14:textId="77777777" w:rsidR="002D7812" w:rsidRPr="002D7812" w:rsidRDefault="002D7812" w:rsidP="002D7812"/>
          <w:p w14:paraId="3E68CBA8" w14:textId="77777777" w:rsidR="002D7812" w:rsidRPr="002D7812" w:rsidRDefault="002D7812" w:rsidP="002D7812"/>
          <w:p w14:paraId="6EC6DC2A" w14:textId="77777777" w:rsidR="002D7812" w:rsidRPr="002D7812" w:rsidRDefault="002D7812" w:rsidP="002D7812"/>
          <w:p w14:paraId="3CEE3A52" w14:textId="77777777" w:rsidR="002D7812" w:rsidRPr="002D7812" w:rsidRDefault="002D7812" w:rsidP="002D7812"/>
          <w:p w14:paraId="2CE30CD3" w14:textId="77777777" w:rsidR="002D7812" w:rsidRPr="002D7812" w:rsidRDefault="002D7812" w:rsidP="002D7812"/>
          <w:p w14:paraId="64A269AE" w14:textId="77777777" w:rsidR="002D7812" w:rsidRPr="002D7812" w:rsidRDefault="002D7812" w:rsidP="002D7812"/>
          <w:p w14:paraId="0230A57A" w14:textId="77777777" w:rsidR="002D7812" w:rsidRPr="002D7812" w:rsidRDefault="002D7812" w:rsidP="002D7812"/>
          <w:p w14:paraId="49415BD9" w14:textId="77777777" w:rsidR="002D7812" w:rsidRPr="002D7812" w:rsidRDefault="002D7812" w:rsidP="002D7812"/>
          <w:p w14:paraId="1137D58F" w14:textId="77777777" w:rsidR="002D7812" w:rsidRPr="002D7812" w:rsidRDefault="002D7812" w:rsidP="002D7812"/>
        </w:tc>
      </w:tr>
      <w:tr w:rsidR="00C978F0" w:rsidRPr="00DA352E" w14:paraId="24593221" w14:textId="77777777" w:rsidTr="00E33E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41536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B6DA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B6DA8">
                  <w:t>TLV-TWA: 0.1 mg/m</w:t>
                </w:r>
                <w:r w:rsidR="006B6DA8" w:rsidRPr="006B6DA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E33E15">
        <w:trPr>
          <w:gridAfter w:val="1"/>
          <w:wAfter w:w="8" w:type="pct"/>
          <w:cantSplit/>
        </w:trPr>
        <w:tc>
          <w:tcPr>
            <w:tcW w:w="4992" w:type="pct"/>
          </w:tcPr>
          <w:p w14:paraId="0440CF3E" w14:textId="271EA58B" w:rsidR="00C978F0" w:rsidRDefault="00A558C1" w:rsidP="003365A5">
            <w:pPr>
              <w:pStyle w:val="Tabletextprimarysource"/>
            </w:pPr>
            <w:r>
              <w:t xml:space="preserve">The TLV-TWA is recommended for </w:t>
            </w:r>
            <w:r w:rsidR="00443A73">
              <w:t xml:space="preserve">Te </w:t>
            </w:r>
            <w:r>
              <w:t xml:space="preserve">and its compounds </w:t>
            </w:r>
            <w:r w:rsidR="001052ED">
              <w:t>(</w:t>
            </w:r>
            <w:r>
              <w:t xml:space="preserve">excluding </w:t>
            </w:r>
            <w:r w:rsidR="009D65E3">
              <w:t>hydrogen telluride</w:t>
            </w:r>
            <w:r>
              <w:t xml:space="preserve">) and is intended to reduce the likelihood of developing objectionable garlic-like breath </w:t>
            </w:r>
            <w:r w:rsidR="00B21FF9">
              <w:t>odour</w:t>
            </w:r>
            <w:r>
              <w:t xml:space="preserve"> and to provide a wide margin of protection against p</w:t>
            </w:r>
            <w:r w:rsidR="007B5A65">
              <w:t xml:space="preserve">otential CNS </w:t>
            </w:r>
            <w:r>
              <w:t>effects, cyanosis and liver damage.</w:t>
            </w:r>
          </w:p>
          <w:p w14:paraId="01F060CD" w14:textId="7DD34768" w:rsidR="00A558C1" w:rsidRDefault="00A558C1" w:rsidP="003365A5">
            <w:pPr>
              <w:pStyle w:val="Tabletextprimarysource"/>
            </w:pPr>
            <w:r>
              <w:t>Summary of data:</w:t>
            </w:r>
          </w:p>
          <w:p w14:paraId="2D67610F" w14:textId="11BB1DFB" w:rsidR="00F168FD" w:rsidRDefault="00F168FD" w:rsidP="001052E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TLV-TWA based on results of examination of workers exposed </w:t>
            </w:r>
            <w:r w:rsidR="00FF5D1D">
              <w:t>at</w:t>
            </w:r>
            <w:r>
              <w:t xml:space="preserve"> 0.01</w:t>
            </w:r>
            <w:r w:rsidR="00FF5D1D">
              <w:t>–</w:t>
            </w:r>
            <w:r>
              <w:t>0.1 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B21FF9">
              <w:t>fume</w:t>
            </w:r>
          </w:p>
          <w:p w14:paraId="40B25DD9" w14:textId="32FBE70C" w:rsidR="00B21FF9" w:rsidRDefault="00096195" w:rsidP="001052E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Hydrogen telluride</w:t>
            </w:r>
            <w:r w:rsidR="00B21FF9">
              <w:t xml:space="preserve"> excluded because of greater toxicity relative to other compounds</w:t>
            </w:r>
            <w:r w:rsidR="005142E7">
              <w:t>.</w:t>
            </w:r>
          </w:p>
          <w:p w14:paraId="0FE84168" w14:textId="77777777" w:rsidR="00A558C1" w:rsidRDefault="00290EB3" w:rsidP="00290EB3">
            <w:pPr>
              <w:pStyle w:val="Tabletextprimarysource"/>
            </w:pPr>
            <w:r>
              <w:t>Human data:</w:t>
            </w:r>
          </w:p>
          <w:p w14:paraId="67AE6375" w14:textId="4FC95EFF" w:rsidR="001052ED" w:rsidRDefault="007F261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Ordinary industrial experience with </w:t>
            </w:r>
            <w:r w:rsidR="00AE7531">
              <w:t xml:space="preserve">Te </w:t>
            </w:r>
            <w:r>
              <w:t>not associated with a high degree of toxicity</w:t>
            </w:r>
            <w:r w:rsidR="00096195">
              <w:t>:</w:t>
            </w:r>
            <w:r>
              <w:t xml:space="preserve"> </w:t>
            </w:r>
          </w:p>
          <w:p w14:paraId="068F0B8A" w14:textId="3B9BEBB5" w:rsidR="00290EB3" w:rsidRDefault="007F2610" w:rsidP="001052E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no </w:t>
            </w:r>
            <w:r w:rsidR="00290EB3">
              <w:t>reports of serious illness or death in workers exposed in industry</w:t>
            </w:r>
          </w:p>
          <w:p w14:paraId="0065902C" w14:textId="7B4E3CB1" w:rsidR="001052ED" w:rsidRDefault="00290EB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Physical complaints and findings include somnolence, anorexia, nausea, a metallic taste and garlic-like odour to the breath and perspiration</w:t>
            </w:r>
            <w:r w:rsidR="00096195">
              <w:t>:</w:t>
            </w:r>
            <w:r w:rsidR="00E31027">
              <w:t xml:space="preserve"> </w:t>
            </w:r>
          </w:p>
          <w:p w14:paraId="514C3F72" w14:textId="7FA59F02" w:rsidR="001052ED" w:rsidRDefault="00E31027" w:rsidP="001052E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garlic-like odour is often the only sign </w:t>
            </w:r>
            <w:r w:rsidR="00096195">
              <w:t xml:space="preserve">that </w:t>
            </w:r>
            <w:r w:rsidR="00AE7531">
              <w:t>Te</w:t>
            </w:r>
            <w:r>
              <w:t xml:space="preserve"> has been absorbed into the body </w:t>
            </w:r>
          </w:p>
          <w:p w14:paraId="34DC6A37" w14:textId="38F2AFBA" w:rsidR="00E31027" w:rsidRDefault="00E31027" w:rsidP="001052ED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does not indicate other symptoms or illness are imminent; the odour is socially restrictive</w:t>
            </w:r>
          </w:p>
          <w:p w14:paraId="08E7813C" w14:textId="40FB22B3" w:rsidR="001052ED" w:rsidRDefault="00E31027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Iron foundry workers exposed for 22 mo </w:t>
            </w:r>
            <w:r w:rsidR="00AE7531">
              <w:t>(</w:t>
            </w:r>
            <w:r>
              <w:t>fume</w:t>
            </w:r>
            <w:r w:rsidR="00AE7531">
              <w:t>)</w:t>
            </w:r>
            <w:r>
              <w:t xml:space="preserve"> at between 0.01</w:t>
            </w:r>
            <w:r w:rsidR="00FF5D1D">
              <w:t>–</w:t>
            </w:r>
            <w:r>
              <w:t>0.1 mg/m</w:t>
            </w:r>
            <w:r w:rsidRPr="00E31027">
              <w:rPr>
                <w:vertAlign w:val="superscript"/>
              </w:rPr>
              <w:t>3</w:t>
            </w:r>
            <w:r>
              <w:t xml:space="preserve"> with a peak value of 0.74 mg/m</w:t>
            </w:r>
            <w:r w:rsidRPr="00E31027">
              <w:rPr>
                <w:vertAlign w:val="superscript"/>
              </w:rPr>
              <w:t>3</w:t>
            </w:r>
            <w:r>
              <w:t xml:space="preserve">; symptoms </w:t>
            </w:r>
            <w:r w:rsidR="00F168FD">
              <w:t xml:space="preserve">reported as </w:t>
            </w:r>
            <w:r>
              <w:t xml:space="preserve">garlic-like </w:t>
            </w:r>
            <w:r w:rsidR="00AE7531">
              <w:t xml:space="preserve">breath </w:t>
            </w:r>
            <w:r>
              <w:t>odour and sweat, dryness of the mouth, metallic taste and somnolence</w:t>
            </w:r>
            <w:r w:rsidR="00096195">
              <w:t>:</w:t>
            </w:r>
            <w:r>
              <w:t xml:space="preserve"> </w:t>
            </w:r>
          </w:p>
          <w:p w14:paraId="28E846D3" w14:textId="7D6F04C4" w:rsidR="001052ED" w:rsidRDefault="00E31027" w:rsidP="001052E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transient nausea cited by 2</w:t>
            </w:r>
            <w:r w:rsidR="00FF5D1D">
              <w:t>/</w:t>
            </w:r>
            <w:r>
              <w:t xml:space="preserve">62 workers examined </w:t>
            </w:r>
          </w:p>
          <w:p w14:paraId="679A47A7" w14:textId="2716C7F1" w:rsidR="001052ED" w:rsidRDefault="00E31027" w:rsidP="001052E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the </w:t>
            </w:r>
            <w:r w:rsidR="005142E7">
              <w:t>2</w:t>
            </w:r>
            <w:r>
              <w:t xml:space="preserve"> workers were likely to be undertaking duties close to the source</w:t>
            </w:r>
            <w:r w:rsidR="00F168FD">
              <w:t xml:space="preserve"> </w:t>
            </w:r>
          </w:p>
          <w:p w14:paraId="474FC7DA" w14:textId="71F1E2E4" w:rsidR="00E31027" w:rsidRDefault="00F168FD" w:rsidP="001052ED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no adverse effects on employee health found in 97% of the workers</w:t>
            </w:r>
            <w:r w:rsidR="00AE7531">
              <w:t xml:space="preserve">; </w:t>
            </w:r>
            <w:r w:rsidR="00E31027">
              <w:t>no further information</w:t>
            </w:r>
          </w:p>
          <w:p w14:paraId="2743CF33" w14:textId="760BBA95" w:rsidR="00F168FD" w:rsidRDefault="00AE7531" w:rsidP="001052E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</w:t>
            </w:r>
            <w:r w:rsidR="00F168FD">
              <w:t>lowly metabolised and eliminated as methyl telluride in urine, sweat and expired air</w:t>
            </w:r>
          </w:p>
          <w:p w14:paraId="0E2587BA" w14:textId="3B01CE6E" w:rsidR="00F168FD" w:rsidRDefault="00AE7531" w:rsidP="001052E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Te </w:t>
            </w:r>
            <w:r w:rsidR="00F168FD">
              <w:t>concentrated in the liver, spleen and kidney based on a report of 3 accidental poisonings of sodium tellurite</w:t>
            </w:r>
            <w:r w:rsidR="005142E7">
              <w:t>.</w:t>
            </w:r>
          </w:p>
          <w:p w14:paraId="66C36721" w14:textId="77777777" w:rsidR="00E31027" w:rsidRDefault="007F2610" w:rsidP="007F2610">
            <w:pPr>
              <w:pStyle w:val="Tabletextprimarysource"/>
            </w:pPr>
            <w:r>
              <w:t>Animal data:</w:t>
            </w:r>
          </w:p>
          <w:p w14:paraId="7797278E" w14:textId="4F5925CE" w:rsidR="007F2610" w:rsidRDefault="007F2610" w:rsidP="001052E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No controlled inhalation studies of either elemental </w:t>
            </w:r>
            <w:r w:rsidR="00AE7531">
              <w:t>Te</w:t>
            </w:r>
            <w:r>
              <w:t>, its salts or other derivatives are identified; no bioavailability data available</w:t>
            </w:r>
          </w:p>
          <w:p w14:paraId="2AB9E4DA" w14:textId="2A0C337E" w:rsidR="007F2610" w:rsidRDefault="00F168FD" w:rsidP="001052E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Acute oral or parenteral intoxication in animals resulted in restlessness, tremor, diminished reflexes, paralysis, convulsions, somnolence, coma and death; no further information</w:t>
            </w:r>
            <w:r w:rsidR="005142E7">
              <w:t>.</w:t>
            </w:r>
          </w:p>
          <w:p w14:paraId="4F89E212" w14:textId="77777777" w:rsidR="001052ED" w:rsidRDefault="001052ED" w:rsidP="00B21FF9">
            <w:pPr>
              <w:pStyle w:val="Tabletextprimarysource"/>
            </w:pPr>
          </w:p>
          <w:p w14:paraId="1AA2F48D" w14:textId="3B5CC800" w:rsidR="00F168FD" w:rsidRDefault="00B21FF9" w:rsidP="00B21FF9">
            <w:pPr>
              <w:pStyle w:val="Tabletextprimarysource"/>
            </w:pPr>
            <w:r>
              <w:t>Insufficient evidence to recommend a skin, sensitisation or carcinogenicity notation or a TLV-STEL.</w:t>
            </w:r>
          </w:p>
          <w:p w14:paraId="63D77E04" w14:textId="77777777" w:rsidR="001052ED" w:rsidRDefault="001052ED" w:rsidP="00B21FF9">
            <w:pPr>
              <w:pStyle w:val="Tabletextprimarysource"/>
            </w:pPr>
          </w:p>
          <w:p w14:paraId="552B6938" w14:textId="77777777" w:rsidR="002D7812" w:rsidRPr="002D7812" w:rsidRDefault="002D7812" w:rsidP="002D7812"/>
          <w:p w14:paraId="5E293642" w14:textId="77777777" w:rsidR="002D7812" w:rsidRPr="002D7812" w:rsidRDefault="002D7812" w:rsidP="002D7812"/>
          <w:p w14:paraId="7A96117D" w14:textId="77777777" w:rsidR="002D7812" w:rsidRPr="002D7812" w:rsidRDefault="002D7812" w:rsidP="002D7812"/>
          <w:p w14:paraId="61E24268" w14:textId="77777777" w:rsidR="002D7812" w:rsidRPr="002D7812" w:rsidRDefault="002D7812" w:rsidP="002D7812"/>
          <w:p w14:paraId="50E563D6" w14:textId="77777777" w:rsidR="002D7812" w:rsidRPr="002D7812" w:rsidRDefault="002D7812" w:rsidP="002D7812"/>
          <w:p w14:paraId="0CE4D35D" w14:textId="77B29FA2" w:rsidR="002D7812" w:rsidRPr="002D7812" w:rsidRDefault="002D7812" w:rsidP="002D7812"/>
        </w:tc>
      </w:tr>
      <w:tr w:rsidR="00C978F0" w:rsidRPr="00DA352E" w14:paraId="174F8B79" w14:textId="77777777" w:rsidTr="00E33E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71CDAFF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B6DA8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B6DA8">
                  <w:t>Not assigned</w:t>
                </w:r>
              </w:sdtContent>
            </w:sdt>
          </w:p>
        </w:tc>
      </w:tr>
      <w:tr w:rsidR="00C978F0" w:rsidRPr="00DA352E" w14:paraId="4433014F" w14:textId="77777777" w:rsidTr="00E33E15">
        <w:trPr>
          <w:gridAfter w:val="1"/>
          <w:wAfter w:w="8" w:type="pct"/>
          <w:cantSplit/>
        </w:trPr>
        <w:tc>
          <w:tcPr>
            <w:tcW w:w="4992" w:type="pct"/>
          </w:tcPr>
          <w:p w14:paraId="1ECB2484" w14:textId="756F534D" w:rsidR="00C978F0" w:rsidRDefault="00B21FF9" w:rsidP="003365A5">
            <w:pPr>
              <w:pStyle w:val="Tabletextprimarysource"/>
            </w:pPr>
            <w:r>
              <w:t>No data suitable for establishing a MAK from studies with humans or animals.</w:t>
            </w:r>
          </w:p>
          <w:p w14:paraId="43C5113F" w14:textId="77777777" w:rsidR="00B21FF9" w:rsidRDefault="00B21FF9" w:rsidP="003365A5">
            <w:pPr>
              <w:pStyle w:val="Tabletextprimarysource"/>
            </w:pPr>
            <w:r>
              <w:t>No additional information.</w:t>
            </w:r>
          </w:p>
          <w:p w14:paraId="72370B7E" w14:textId="77777777" w:rsidR="001052ED" w:rsidRDefault="001052ED" w:rsidP="003365A5">
            <w:pPr>
              <w:pStyle w:val="Tabletextprimarysource"/>
            </w:pPr>
          </w:p>
          <w:p w14:paraId="335ECCC8" w14:textId="77777777" w:rsidR="002D7812" w:rsidRPr="002D7812" w:rsidRDefault="002D7812" w:rsidP="002D7812"/>
          <w:p w14:paraId="5691A199" w14:textId="77777777" w:rsidR="002D7812" w:rsidRPr="002D7812" w:rsidRDefault="002D7812" w:rsidP="002D7812"/>
          <w:p w14:paraId="61A64F09" w14:textId="788C91DF" w:rsidR="002D7812" w:rsidRPr="002D7812" w:rsidRDefault="002D7812" w:rsidP="002D7812"/>
        </w:tc>
      </w:tr>
      <w:tr w:rsidR="00C978F0" w:rsidRPr="00DA352E" w14:paraId="0E6A0B2C" w14:textId="77777777" w:rsidTr="00E33E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A50224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B6DA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B6DA8">
                  <w:t>NA</w:t>
                </w:r>
              </w:sdtContent>
            </w:sdt>
          </w:p>
        </w:tc>
      </w:tr>
      <w:tr w:rsidR="00C978F0" w:rsidRPr="00DA352E" w14:paraId="2008D281" w14:textId="77777777" w:rsidTr="00E33E15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05EA97C" w:rsidR="00C978F0" w:rsidRPr="00DA352E" w:rsidRDefault="006B6DA8" w:rsidP="003365A5">
            <w:pPr>
              <w:pStyle w:val="Tabletextprimarysource"/>
            </w:pPr>
            <w:r>
              <w:t>No report</w:t>
            </w:r>
            <w:r w:rsidR="005142E7">
              <w:t>.</w:t>
            </w:r>
          </w:p>
        </w:tc>
      </w:tr>
      <w:tr w:rsidR="00DA352E" w:rsidRPr="00DA352E" w14:paraId="12BAB90D" w14:textId="77777777" w:rsidTr="00E33E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306E83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B6DA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6B6DA8">
                  <w:t>NA</w:t>
                </w:r>
              </w:sdtContent>
            </w:sdt>
          </w:p>
        </w:tc>
      </w:tr>
      <w:tr w:rsidR="00DA352E" w:rsidRPr="00DA352E" w14:paraId="33AAF4A6" w14:textId="77777777" w:rsidTr="00E33E15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1A98AA27" w:rsidR="00DA352E" w:rsidRPr="00DA352E" w:rsidRDefault="006B6DA8" w:rsidP="003365A5">
            <w:pPr>
              <w:pStyle w:val="Tabletextprimarysource"/>
            </w:pPr>
            <w:r>
              <w:t>No report</w:t>
            </w:r>
            <w:r w:rsidR="005142E7">
              <w:t>.</w:t>
            </w:r>
          </w:p>
        </w:tc>
      </w:tr>
      <w:tr w:rsidR="00DA352E" w:rsidRPr="00DA352E" w14:paraId="605F758C" w14:textId="77777777" w:rsidTr="00E33E15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2A16D4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B6DA8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B6DA8">
                  <w:t>TWA: 0.1 mg/m</w:t>
                </w:r>
                <w:r w:rsidR="006B6DA8" w:rsidRPr="006B6DA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E33E15">
        <w:trPr>
          <w:gridAfter w:val="1"/>
          <w:wAfter w:w="8" w:type="pct"/>
          <w:cantSplit/>
        </w:trPr>
        <w:tc>
          <w:tcPr>
            <w:tcW w:w="4992" w:type="pct"/>
          </w:tcPr>
          <w:p w14:paraId="298B576F" w14:textId="212ED58F" w:rsidR="00B21FF9" w:rsidRDefault="00B21FF9" w:rsidP="00B21FF9">
            <w:pPr>
              <w:pStyle w:val="Tabletextprimarysource"/>
            </w:pPr>
            <w:r>
              <w:t xml:space="preserve">Administrative OEL; toxicological database on </w:t>
            </w:r>
            <w:r w:rsidR="00AE7531">
              <w:t xml:space="preserve">Te and </w:t>
            </w:r>
            <w:r>
              <w:t>compounds too poor to justify re</w:t>
            </w:r>
            <w:r w:rsidR="0073127C">
              <w:t xml:space="preserve">commendation of a </w:t>
            </w:r>
            <w:r w:rsidR="00443A73">
              <w:t>HBR</w:t>
            </w:r>
            <w:r w:rsidR="0073127C">
              <w:t>O</w:t>
            </w:r>
            <w:r>
              <w:t>EL</w:t>
            </w:r>
            <w:r w:rsidR="005142E7">
              <w:t>.</w:t>
            </w:r>
          </w:p>
          <w:p w14:paraId="492D7791" w14:textId="571A5DBF" w:rsidR="001052ED" w:rsidRPr="00DA352E" w:rsidRDefault="001052ED" w:rsidP="00B21FF9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3AF009FC" w:rsidR="007E2A4B" w:rsidRDefault="005142E7">
      <w:r>
        <w:t>NIL</w:t>
      </w:r>
      <w:r w:rsidR="00443A73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B21FF9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37291C00" w:rsidR="002E0D61" w:rsidRDefault="00B21FF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B21FF9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35D113F0" w:rsidR="008A36CF" w:rsidRDefault="00B21FF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21FF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17282F47" w:rsidR="008A36CF" w:rsidRPr="006901A2" w:rsidRDefault="00B21FF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E33E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E33E15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8932AC5" w:rsidR="00687890" w:rsidRPr="00DD2F9B" w:rsidRDefault="006B6DA8" w:rsidP="00DD2F9B">
            <w:pPr>
              <w:pStyle w:val="Tablefont"/>
            </w:pPr>
            <w:r w:rsidRPr="006B6DA8">
              <w:t>—</w:t>
            </w:r>
          </w:p>
        </w:tc>
      </w:tr>
      <w:tr w:rsidR="007925F0" w:rsidRPr="004C23F4" w14:paraId="2A0C13EF" w14:textId="77777777" w:rsidTr="00E33E15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9F2D2EC" w:rsidR="007925F0" w:rsidRPr="00DD2F9B" w:rsidRDefault="006B6DA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E33E15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D5F29B6" w:rsidR="00AF483F" w:rsidRPr="00DD2F9B" w:rsidRDefault="006B6DA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E33E15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0C9FB5C5" w:rsidR="00687890" w:rsidRPr="00DD2F9B" w:rsidRDefault="006B6DA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E33E15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1701AE0" w:rsidR="00E41A26" w:rsidRPr="00DD2F9B" w:rsidRDefault="006B6DA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E33E15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FC6C1B5" w:rsidR="002E0D61" w:rsidRPr="00DD2F9B" w:rsidRDefault="006B6DA8" w:rsidP="00DD2F9B">
            <w:pPr>
              <w:pStyle w:val="Tablefont"/>
            </w:pPr>
            <w:r w:rsidRPr="006B6DA8">
              <w:t>—</w:t>
            </w:r>
          </w:p>
        </w:tc>
      </w:tr>
      <w:tr w:rsidR="002E0D61" w:rsidRPr="004C23F4" w14:paraId="43FA3590" w14:textId="77777777" w:rsidTr="00E33E15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DF39CDB" w:rsidR="002E0D61" w:rsidRPr="00DD2F9B" w:rsidRDefault="006B6DA8" w:rsidP="00DD2F9B">
            <w:pPr>
              <w:pStyle w:val="Tablefont"/>
            </w:pPr>
            <w:r w:rsidRPr="006B6DA8">
              <w:t>—</w:t>
            </w:r>
          </w:p>
        </w:tc>
      </w:tr>
      <w:tr w:rsidR="002E0D61" w:rsidRPr="004C23F4" w14:paraId="2AC7B866" w14:textId="77777777" w:rsidTr="00E33E15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1CCFA04" w:rsidR="002E0D61" w:rsidRPr="00DD2F9B" w:rsidRDefault="006B6DA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E33E15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615A9DE7" w:rsidR="002E0D61" w:rsidRPr="00DD2F9B" w:rsidRDefault="006B6DA8" w:rsidP="00DD2F9B">
            <w:pPr>
              <w:pStyle w:val="Tablefont"/>
            </w:pPr>
            <w:r w:rsidRPr="006B6DA8">
              <w:t>—</w:t>
            </w:r>
          </w:p>
        </w:tc>
      </w:tr>
      <w:tr w:rsidR="00386093" w:rsidRPr="004C23F4" w14:paraId="5F6A6A8E" w14:textId="77777777" w:rsidTr="00E33E15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741186B9" w14:textId="729DDCE6" w:rsidR="00386093" w:rsidRPr="00DD2F9B" w:rsidRDefault="006B6DA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E33E15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D217C5C" w:rsidR="00386093" w:rsidRPr="00DD2F9B" w:rsidRDefault="006B6DA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0D120A6E" w:rsidR="00932DCE" w:rsidRPr="004C23F4" w:rsidRDefault="00B21FF9" w:rsidP="00F9496B">
            <w:pPr>
              <w:pStyle w:val="Tablefont"/>
            </w:pPr>
            <w:r w:rsidRPr="00B21FF9">
              <w:rPr>
                <w:rFonts w:cs="Arial"/>
              </w:rPr>
              <w:t xml:space="preserve">Insufficient </w:t>
            </w:r>
            <w:r w:rsidR="005142E7">
              <w:rPr>
                <w:rFonts w:cs="Arial"/>
              </w:rPr>
              <w:t>data to assign</w:t>
            </w:r>
            <w:r w:rsidRPr="00B21FF9">
              <w:rPr>
                <w:rFonts w:cs="Arial"/>
              </w:rPr>
              <w:t xml:space="preserve"> a skin notation</w:t>
            </w:r>
            <w:r>
              <w:rPr>
                <w:rFonts w:cs="Arial"/>
              </w:rPr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BB57E0F" w:rsidR="00EB3D1B" w:rsidRDefault="0075005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0E3E1C0" w:rsidR="001B79E5" w:rsidRDefault="006B6DA8" w:rsidP="001B79E5">
                <w:pPr>
                  <w:pStyle w:val="Tablefont"/>
                </w:pPr>
                <w:r w:rsidRPr="006B6DA8">
                  <w:t>127.6 u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2D781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1D9D92CA" w:rsidR="008E4F1F" w:rsidRDefault="008E4F1F" w:rsidP="006B6DA8">
      <w:pPr>
        <w:rPr>
          <w:b/>
        </w:rPr>
      </w:pPr>
      <w:r w:rsidRPr="002022B6">
        <w:t>Deutsche Forschungsgemeinschaft (DFG)</w:t>
      </w:r>
      <w:r>
        <w:t xml:space="preserve"> (</w:t>
      </w:r>
      <w:r w:rsidR="006B6DA8">
        <w:t>2006</w:t>
      </w:r>
      <w:r>
        <w:t xml:space="preserve">) </w:t>
      </w:r>
      <w:r w:rsidR="006B6DA8">
        <w:t>Tellurium and its inorganic</w:t>
      </w:r>
      <w:r w:rsidR="00DB7D76">
        <w:t xml:space="preserve"> </w:t>
      </w:r>
      <w:r w:rsidR="006B6DA8">
        <w:t>compounds</w:t>
      </w:r>
      <w:r>
        <w:t xml:space="preserve"> – MAK value documentation.</w:t>
      </w:r>
    </w:p>
    <w:p w14:paraId="28EAA9C1" w14:textId="2FDCF7C8" w:rsidR="008E4F1F" w:rsidRDefault="008E4F1F" w:rsidP="008E4F1F">
      <w:r w:rsidRPr="002022B6">
        <w:t>Health Council of the Netherlands</w:t>
      </w:r>
      <w:r>
        <w:t xml:space="preserve"> (HCOTN) (</w:t>
      </w:r>
      <w:r w:rsidR="006B6DA8" w:rsidRPr="006B6DA8">
        <w:t>2002</w:t>
      </w:r>
      <w:r>
        <w:t xml:space="preserve">) </w:t>
      </w:r>
      <w:r w:rsidR="006B6DA8" w:rsidRPr="006B6DA8">
        <w:t>Tellurium and tellurium compounds</w:t>
      </w:r>
      <w:r w:rsidRPr="005F7416">
        <w:t xml:space="preserve">. Health-based calculated occupational cancer risk values. The Hague: Health Council of the Netherlands; publication no. </w:t>
      </w:r>
      <w:r w:rsidR="006B6DA8" w:rsidRPr="006B6DA8">
        <w:t>2000/15OSH/055</w:t>
      </w:r>
      <w:r>
        <w:t>.</w:t>
      </w:r>
    </w:p>
    <w:p w14:paraId="4B1A7777" w14:textId="49B8523F" w:rsidR="0075005A" w:rsidRDefault="0075005A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Pr="0075005A">
        <w:t>1994</w:t>
      </w:r>
      <w:r>
        <w:t xml:space="preserve">) Immediately dangerous to life or health concentrations – </w:t>
      </w:r>
      <w:r w:rsidRPr="0075005A">
        <w:t>Tellurium compounds (as Te)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1EAD9" w14:textId="77777777" w:rsidR="00BF2682" w:rsidRDefault="00BF2682" w:rsidP="00F43AD5">
      <w:pPr>
        <w:spacing w:after="0" w:line="240" w:lineRule="auto"/>
      </w:pPr>
      <w:r>
        <w:separator/>
      </w:r>
    </w:p>
  </w:endnote>
  <w:endnote w:type="continuationSeparator" w:id="0">
    <w:p w14:paraId="1D96F89F" w14:textId="77777777" w:rsidR="00BF2682" w:rsidRDefault="00BF268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3B757ED" w14:textId="77777777" w:rsidR="006B6DA8" w:rsidRPr="006B6DA8" w:rsidRDefault="006B6DA8" w:rsidP="006B6DA8">
        <w:pPr>
          <w:pStyle w:val="Footer"/>
          <w:rPr>
            <w:b/>
            <w:sz w:val="18"/>
            <w:szCs w:val="18"/>
          </w:rPr>
        </w:pPr>
      </w:p>
      <w:p w14:paraId="39026E62" w14:textId="4D31D9E7" w:rsidR="008A36CF" w:rsidRDefault="006B6DA8" w:rsidP="006B6DA8">
        <w:pPr>
          <w:pStyle w:val="Footer"/>
          <w:rPr>
            <w:sz w:val="18"/>
            <w:szCs w:val="18"/>
          </w:rPr>
        </w:pPr>
        <w:r w:rsidRPr="006B6DA8">
          <w:rPr>
            <w:b/>
            <w:sz w:val="18"/>
            <w:szCs w:val="18"/>
          </w:rPr>
          <w:t>Tellurium &amp; compounds (as Te)</w:t>
        </w:r>
        <w:r w:rsidR="008A36CF">
          <w:rPr>
            <w:b/>
            <w:sz w:val="18"/>
            <w:szCs w:val="18"/>
          </w:rPr>
          <w:t xml:space="preserve"> (</w:t>
        </w:r>
        <w:r w:rsidRPr="006B6DA8">
          <w:t>13494</w:t>
        </w:r>
        <w:r w:rsidRPr="006B6DA8">
          <w:rPr>
            <w:rFonts w:ascii="Cambria Math" w:hAnsi="Cambria Math" w:cs="Cambria Math"/>
          </w:rPr>
          <w:t>‐</w:t>
        </w:r>
        <w:r w:rsidRPr="006B6DA8">
          <w:t>80</w:t>
        </w:r>
        <w:r w:rsidRPr="006B6DA8">
          <w:rPr>
            <w:rFonts w:ascii="Cambria Math" w:hAnsi="Cambria Math" w:cs="Cambria Math"/>
          </w:rPr>
          <w:t>‐</w:t>
        </w:r>
        <w:r w:rsidRPr="006B6DA8">
          <w:t>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443A73" w:rsidRPr="00F43AD5">
          <w:rPr>
            <w:sz w:val="18"/>
            <w:szCs w:val="18"/>
          </w:rPr>
          <w:t>20</w:t>
        </w:r>
        <w:r w:rsidR="00443A73">
          <w:rPr>
            <w:sz w:val="18"/>
            <w:szCs w:val="18"/>
          </w:rPr>
          <w:t>20</w:t>
        </w:r>
      </w:p>
      <w:p w14:paraId="2D517F5E" w14:textId="56B413D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05233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F99F0" w14:textId="77777777" w:rsidR="00BF2682" w:rsidRDefault="00BF2682" w:rsidP="00F43AD5">
      <w:pPr>
        <w:spacing w:after="0" w:line="240" w:lineRule="auto"/>
      </w:pPr>
      <w:r>
        <w:separator/>
      </w:r>
    </w:p>
  </w:footnote>
  <w:footnote w:type="continuationSeparator" w:id="0">
    <w:p w14:paraId="4A97EA5A" w14:textId="77777777" w:rsidR="00BF2682" w:rsidRDefault="00BF268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8A86D" w14:textId="0C34F1FB" w:rsidR="00E33E15" w:rsidRDefault="00E33E15" w:rsidP="00E33E1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E9AB2D" wp14:editId="5E4C0D81">
          <wp:extent cx="2947670" cy="600710"/>
          <wp:effectExtent l="0" t="0" r="5080" b="889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506718FF" w:rsidR="008A36CF" w:rsidRPr="00E33E15" w:rsidRDefault="008A36CF" w:rsidP="00E33E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279DF" w14:textId="6B6D69C6" w:rsidR="00E33E15" w:rsidRDefault="00E33E15" w:rsidP="00E33E1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294FF4A" wp14:editId="32CFD01A">
          <wp:extent cx="2947670" cy="600710"/>
          <wp:effectExtent l="0" t="0" r="5080" b="889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600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09018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9AD7F4E"/>
    <w:multiLevelType w:val="hybridMultilevel"/>
    <w:tmpl w:val="5448A948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524D63"/>
    <w:multiLevelType w:val="hybridMultilevel"/>
    <w:tmpl w:val="D504A34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2108984">
    <w:abstractNumId w:val="0"/>
  </w:num>
  <w:num w:numId="2" w16cid:durableId="1383601877">
    <w:abstractNumId w:val="2"/>
  </w:num>
  <w:num w:numId="3" w16cid:durableId="711460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6195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52ED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0EB3"/>
    <w:rsid w:val="002B1A2C"/>
    <w:rsid w:val="002C34F2"/>
    <w:rsid w:val="002C58FF"/>
    <w:rsid w:val="002C7AFE"/>
    <w:rsid w:val="002D05D2"/>
    <w:rsid w:val="002D781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50A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3A73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42E7"/>
    <w:rsid w:val="0051509C"/>
    <w:rsid w:val="005272E2"/>
    <w:rsid w:val="0053108F"/>
    <w:rsid w:val="00532B56"/>
    <w:rsid w:val="00534B10"/>
    <w:rsid w:val="005446A2"/>
    <w:rsid w:val="00544D2F"/>
    <w:rsid w:val="00546D2B"/>
    <w:rsid w:val="00551BD8"/>
    <w:rsid w:val="0058002D"/>
    <w:rsid w:val="00581055"/>
    <w:rsid w:val="00591E38"/>
    <w:rsid w:val="005A19C5"/>
    <w:rsid w:val="005A3034"/>
    <w:rsid w:val="005A462D"/>
    <w:rsid w:val="005B253B"/>
    <w:rsid w:val="005B771D"/>
    <w:rsid w:val="005B7913"/>
    <w:rsid w:val="005C5D16"/>
    <w:rsid w:val="005D3193"/>
    <w:rsid w:val="005D4A6E"/>
    <w:rsid w:val="005E3862"/>
    <w:rsid w:val="005E6979"/>
    <w:rsid w:val="005E75CB"/>
    <w:rsid w:val="005E7CF7"/>
    <w:rsid w:val="006013C1"/>
    <w:rsid w:val="00605233"/>
    <w:rsid w:val="0060669E"/>
    <w:rsid w:val="00610F2E"/>
    <w:rsid w:val="00611399"/>
    <w:rsid w:val="00624C4E"/>
    <w:rsid w:val="00625200"/>
    <w:rsid w:val="00626C28"/>
    <w:rsid w:val="006363A8"/>
    <w:rsid w:val="00636DB7"/>
    <w:rsid w:val="00650905"/>
    <w:rsid w:val="006532ED"/>
    <w:rsid w:val="006549F2"/>
    <w:rsid w:val="006567B7"/>
    <w:rsid w:val="00657BFB"/>
    <w:rsid w:val="00660BA1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DA8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127C"/>
    <w:rsid w:val="007365D1"/>
    <w:rsid w:val="00740E0E"/>
    <w:rsid w:val="0075005A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5A65"/>
    <w:rsid w:val="007C30EB"/>
    <w:rsid w:val="007E063C"/>
    <w:rsid w:val="007E2A4B"/>
    <w:rsid w:val="007E307D"/>
    <w:rsid w:val="007E6A4E"/>
    <w:rsid w:val="007E6C94"/>
    <w:rsid w:val="007F1005"/>
    <w:rsid w:val="007F25E0"/>
    <w:rsid w:val="007F261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5B90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AB4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65E3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58C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5139"/>
    <w:rsid w:val="00AC32E7"/>
    <w:rsid w:val="00AC3A9F"/>
    <w:rsid w:val="00AC6D2F"/>
    <w:rsid w:val="00AE2745"/>
    <w:rsid w:val="00AE2F64"/>
    <w:rsid w:val="00AE7531"/>
    <w:rsid w:val="00AF42CB"/>
    <w:rsid w:val="00AF483F"/>
    <w:rsid w:val="00AF5E07"/>
    <w:rsid w:val="00AF5F06"/>
    <w:rsid w:val="00B00A25"/>
    <w:rsid w:val="00B1422A"/>
    <w:rsid w:val="00B1765C"/>
    <w:rsid w:val="00B213C4"/>
    <w:rsid w:val="00B21FF9"/>
    <w:rsid w:val="00B40C60"/>
    <w:rsid w:val="00B479A9"/>
    <w:rsid w:val="00B52EDF"/>
    <w:rsid w:val="00B71188"/>
    <w:rsid w:val="00B76A41"/>
    <w:rsid w:val="00B87D4C"/>
    <w:rsid w:val="00B93646"/>
    <w:rsid w:val="00BA0475"/>
    <w:rsid w:val="00BA0B38"/>
    <w:rsid w:val="00BA1DBB"/>
    <w:rsid w:val="00BA4510"/>
    <w:rsid w:val="00BA529A"/>
    <w:rsid w:val="00BB612A"/>
    <w:rsid w:val="00BD499F"/>
    <w:rsid w:val="00BD56DE"/>
    <w:rsid w:val="00BF2406"/>
    <w:rsid w:val="00BF2682"/>
    <w:rsid w:val="00C06E43"/>
    <w:rsid w:val="00C16315"/>
    <w:rsid w:val="00C3091E"/>
    <w:rsid w:val="00C40FF1"/>
    <w:rsid w:val="00C419E2"/>
    <w:rsid w:val="00C46394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3D86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87712"/>
    <w:rsid w:val="00D91CB9"/>
    <w:rsid w:val="00D97989"/>
    <w:rsid w:val="00D97D8D"/>
    <w:rsid w:val="00DA352E"/>
    <w:rsid w:val="00DB7D76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1027"/>
    <w:rsid w:val="00E32595"/>
    <w:rsid w:val="00E33E1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E44C3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68FD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00FF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A558C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5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13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13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13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6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58002D"/>
    <w:rsid w:val="00755FBF"/>
    <w:rsid w:val="009B78BC"/>
    <w:rsid w:val="00BD5DAF"/>
    <w:rsid w:val="00CA72D3"/>
    <w:rsid w:val="00D21A9F"/>
    <w:rsid w:val="00E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32923-7712-4BA6-8710-CA690CB889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a0509f21-ed56-4150-9955-96be669e5f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F9226B-CA2E-474E-8648-AC8A9FB82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8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21</cp:revision>
  <cp:lastPrinted>2018-10-22T22:41:00Z</cp:lastPrinted>
  <dcterms:created xsi:type="dcterms:W3CDTF">2019-10-15T00:20:00Z</dcterms:created>
  <dcterms:modified xsi:type="dcterms:W3CDTF">2026-01-09T01:39:00Z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2026-01-07T01:41:55Z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5d626292-c505-4239-b2bf-ea213d7b321d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