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3CAE32FD" w:rsidR="00BD499F" w:rsidRPr="004C23F4" w:rsidRDefault="00041519" w:rsidP="00041519">
          <w:pPr>
            <w:pStyle w:val="Heading1"/>
            <w:jc w:val="center"/>
            <w:rPr>
              <w:rFonts w:ascii="Arial" w:hAnsi="Arial" w:cs="Arial"/>
            </w:rPr>
          </w:pPr>
          <w:r w:rsidRPr="00041519">
            <w:rPr>
              <w:rFonts w:ascii="Arial" w:hAnsi="Arial" w:cs="Arial"/>
            </w:rPr>
            <w:t>1,1,2,2-Tetrachloroethane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189D6E38" w14:textId="77777777" w:rsidTr="00426336">
        <w:trPr>
          <w:cantSplit/>
          <w:tblHeader/>
        </w:trPr>
        <w:tc>
          <w:tcPr>
            <w:tcW w:w="3979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7" w:type="dxa"/>
          </w:tcPr>
          <w:p w14:paraId="3EDBFD9E" w14:textId="3B7CE474" w:rsidR="00F43AD5" w:rsidRPr="00717D45" w:rsidRDefault="00041519" w:rsidP="00B76A41">
            <w:pPr>
              <w:pStyle w:val="Tablefont"/>
            </w:pPr>
            <w:r w:rsidRPr="00041519">
              <w:t>79-34-5</w:t>
            </w:r>
          </w:p>
        </w:tc>
      </w:tr>
      <w:tr w:rsidR="00F43AD5" w:rsidRPr="004C23F4" w14:paraId="562A9F51" w14:textId="77777777" w:rsidTr="00426336">
        <w:trPr>
          <w:cantSplit/>
        </w:trPr>
        <w:tc>
          <w:tcPr>
            <w:tcW w:w="3979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7" w:type="dxa"/>
          </w:tcPr>
          <w:p w14:paraId="32648AB9" w14:textId="240200D2" w:rsidR="00F43AD5" w:rsidRPr="00717D45" w:rsidRDefault="00041519" w:rsidP="00B76A41">
            <w:pPr>
              <w:pStyle w:val="Tablefont"/>
            </w:pPr>
            <w:r>
              <w:t xml:space="preserve">Acetylene tetrachloride, </w:t>
            </w:r>
            <w:r w:rsidR="00E416B2">
              <w:br/>
            </w:r>
            <w:r>
              <w:t xml:space="preserve">1,1-dichloro-2,2-dichloroethane, </w:t>
            </w:r>
            <w:r w:rsidR="00E416B2">
              <w:br/>
            </w:r>
            <w:r>
              <w:t xml:space="preserve">1,1,2,2-TCA, tetrachloroethane, s-tetrachloroethane, </w:t>
            </w:r>
            <w:proofErr w:type="spellStart"/>
            <w:r>
              <w:t>sym-tetrachlorethane</w:t>
            </w:r>
            <w:proofErr w:type="spellEnd"/>
          </w:p>
        </w:tc>
      </w:tr>
      <w:tr w:rsidR="00F43AD5" w:rsidRPr="004C23F4" w14:paraId="6EE54A08" w14:textId="77777777" w:rsidTr="00426336">
        <w:trPr>
          <w:cantSplit/>
        </w:trPr>
        <w:tc>
          <w:tcPr>
            <w:tcW w:w="3979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7" w:type="dxa"/>
          </w:tcPr>
          <w:p w14:paraId="69369B00" w14:textId="27238A44" w:rsidR="00F43AD5" w:rsidRPr="00717D45" w:rsidRDefault="00041519" w:rsidP="00B76A41">
            <w:pPr>
              <w:pStyle w:val="Tablefont"/>
            </w:pPr>
            <w:r>
              <w:t>C</w:t>
            </w:r>
            <w:r w:rsidRPr="00041519">
              <w:rPr>
                <w:vertAlign w:val="subscript"/>
              </w:rPr>
              <w:t>2</w:t>
            </w:r>
            <w:r>
              <w:t>H</w:t>
            </w:r>
            <w:r w:rsidRPr="00041519">
              <w:rPr>
                <w:vertAlign w:val="subscript"/>
              </w:rPr>
              <w:t>2</w:t>
            </w:r>
            <w:r>
              <w:t>Cl</w:t>
            </w:r>
            <w:r w:rsidRPr="00041519">
              <w:rPr>
                <w:vertAlign w:val="subscript"/>
              </w:rPr>
              <w:t>4</w:t>
            </w:r>
          </w:p>
        </w:tc>
      </w:tr>
    </w:tbl>
    <w:p w14:paraId="71D72173" w14:textId="446EEFE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24378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5E9EAFEF" w:rsidR="002C7AFE" w:rsidRPr="00EB3D1B" w:rsidRDefault="00C2437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(7 mg/m</w:t>
            </w:r>
            <w:r w:rsidRPr="00C24378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0DF10C9A" w:rsidR="00037E52" w:rsidRPr="00EB3D1B" w:rsidRDefault="00DC549A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4FECD3A1" w:rsidR="00037E52" w:rsidRPr="00EB3D1B" w:rsidRDefault="00041519" w:rsidP="00037E52">
            <w:pPr>
              <w:pStyle w:val="Tablefont"/>
              <w:rPr>
                <w:b/>
              </w:rPr>
            </w:pPr>
            <w:r w:rsidRPr="00041519">
              <w:rPr>
                <w:b/>
              </w:rPr>
              <w:t>100 ppm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6B14FD10" w:rsidR="00155999" w:rsidRPr="00EB3D1B" w:rsidRDefault="00155999" w:rsidP="00037E52">
            <w:pPr>
              <w:pStyle w:val="Tablefont"/>
              <w:rPr>
                <w:b/>
              </w:rPr>
            </w:pPr>
            <w:r w:rsidRPr="00FA5FE9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8A23E3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1617ACB3" w:rsidR="006639B4" w:rsidRPr="004C23F4" w:rsidRDefault="00C24378" w:rsidP="000C139A">
      <w:pPr>
        <w:rPr>
          <w:rFonts w:cs="Arial"/>
        </w:rPr>
      </w:pPr>
      <w:r>
        <w:rPr>
          <w:rFonts w:cs="Arial"/>
        </w:rPr>
        <w:t>A TWA of 1 ppm (7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 w:rsidR="00D24CEC">
        <w:rPr>
          <w:rFonts w:cs="Arial"/>
        </w:rPr>
        <w:t xml:space="preserve">effects on </w:t>
      </w:r>
      <w:r>
        <w:rPr>
          <w:rFonts w:cs="Arial"/>
        </w:rPr>
        <w:t xml:space="preserve">liver </w:t>
      </w:r>
      <w:r w:rsidR="00426336">
        <w:rPr>
          <w:rFonts w:cs="Arial"/>
        </w:rPr>
        <w:t xml:space="preserve">and gastrointestinal </w:t>
      </w:r>
      <w:r w:rsidR="00D24CEC">
        <w:rPr>
          <w:rFonts w:cs="Arial"/>
        </w:rPr>
        <w:t xml:space="preserve">tract </w:t>
      </w:r>
      <w:r>
        <w:rPr>
          <w:rFonts w:cs="Arial"/>
        </w:rPr>
        <w:t>and potential narcosis in exposed workers.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A2698FC" w14:textId="7DFB7B1E" w:rsidR="00E416B2" w:rsidRDefault="00AD1317" w:rsidP="006639B4">
      <w:pPr>
        <w:rPr>
          <w:rFonts w:cs="Arial"/>
        </w:rPr>
      </w:pPr>
      <w:r>
        <w:rPr>
          <w:rFonts w:cs="Arial"/>
        </w:rPr>
        <w:t xml:space="preserve">1,1,2,2-Tetrachloroethane (1,1,2,2-TCA) was widely </w:t>
      </w:r>
      <w:r w:rsidR="008A23E3">
        <w:rPr>
          <w:rFonts w:cs="Arial"/>
        </w:rPr>
        <w:t xml:space="preserve">used </w:t>
      </w:r>
      <w:r>
        <w:rPr>
          <w:rFonts w:cs="Arial"/>
        </w:rPr>
        <w:t xml:space="preserve">as a solvent </w:t>
      </w:r>
      <w:r w:rsidR="008A23E3">
        <w:rPr>
          <w:rFonts w:cs="Arial"/>
        </w:rPr>
        <w:t xml:space="preserve">and </w:t>
      </w:r>
      <w:r>
        <w:rPr>
          <w:rFonts w:cs="Arial"/>
        </w:rPr>
        <w:t>chemical intermediate</w:t>
      </w:r>
      <w:r w:rsidR="008A23E3">
        <w:rPr>
          <w:rFonts w:cs="Arial"/>
        </w:rPr>
        <w:t xml:space="preserve"> </w:t>
      </w:r>
      <w:r>
        <w:rPr>
          <w:rFonts w:cs="Arial"/>
        </w:rPr>
        <w:t xml:space="preserve">in the manufacture of trichloroethene and tetrachloroethene. </w:t>
      </w:r>
    </w:p>
    <w:p w14:paraId="5385E0A0" w14:textId="77777777" w:rsidR="001613CC" w:rsidRDefault="00AD1317" w:rsidP="006639B4">
      <w:pPr>
        <w:rPr>
          <w:rFonts w:cs="Arial"/>
        </w:rPr>
      </w:pPr>
      <w:r>
        <w:rPr>
          <w:rFonts w:cs="Arial"/>
        </w:rPr>
        <w:t xml:space="preserve">The critical effects of exposure include </w:t>
      </w:r>
      <w:r w:rsidR="00216612">
        <w:rPr>
          <w:rFonts w:cs="Arial"/>
        </w:rPr>
        <w:t>effects on liver</w:t>
      </w:r>
      <w:r w:rsidR="00426336">
        <w:rPr>
          <w:rFonts w:cs="Arial"/>
        </w:rPr>
        <w:t xml:space="preserve"> and gastrointestinal tract (GIT) and</w:t>
      </w:r>
      <w:r w:rsidR="00216612">
        <w:rPr>
          <w:rFonts w:cs="Arial"/>
        </w:rPr>
        <w:t xml:space="preserve"> </w:t>
      </w:r>
      <w:r>
        <w:rPr>
          <w:rFonts w:cs="Arial"/>
        </w:rPr>
        <w:t>narcosis.</w:t>
      </w:r>
    </w:p>
    <w:p w14:paraId="0FC54B26" w14:textId="7FA60919" w:rsidR="00B343B8" w:rsidRDefault="00C24378" w:rsidP="006639B4">
      <w:pPr>
        <w:rPr>
          <w:rFonts w:cs="Arial"/>
        </w:rPr>
      </w:pPr>
      <w:r>
        <w:rPr>
          <w:rFonts w:cs="Arial"/>
        </w:rPr>
        <w:t xml:space="preserve">Very limited </w:t>
      </w:r>
      <w:r w:rsidR="00603EC1">
        <w:rPr>
          <w:rFonts w:cs="Arial"/>
        </w:rPr>
        <w:t xml:space="preserve">data from </w:t>
      </w:r>
      <w:r>
        <w:rPr>
          <w:rFonts w:cs="Arial"/>
        </w:rPr>
        <w:t>human studies</w:t>
      </w:r>
      <w:r w:rsidR="008A23E3">
        <w:rPr>
          <w:rFonts w:cs="Arial"/>
        </w:rPr>
        <w:t xml:space="preserve"> are</w:t>
      </w:r>
      <w:r>
        <w:rPr>
          <w:rFonts w:cs="Arial"/>
        </w:rPr>
        <w:t xml:space="preserve"> </w:t>
      </w:r>
      <w:r w:rsidR="00603EC1">
        <w:rPr>
          <w:rFonts w:cs="Arial"/>
        </w:rPr>
        <w:t>available</w:t>
      </w:r>
      <w:r>
        <w:rPr>
          <w:rFonts w:cs="Arial"/>
        </w:rPr>
        <w:t xml:space="preserve"> </w:t>
      </w:r>
      <w:r w:rsidR="008A23E3">
        <w:rPr>
          <w:rFonts w:cs="Arial"/>
        </w:rPr>
        <w:t xml:space="preserve">with </w:t>
      </w:r>
      <w:r w:rsidR="00253D6E">
        <w:rPr>
          <w:rFonts w:cs="Arial"/>
        </w:rPr>
        <w:t xml:space="preserve">most data </w:t>
      </w:r>
      <w:r>
        <w:rPr>
          <w:rFonts w:cs="Arial"/>
        </w:rPr>
        <w:t>relat</w:t>
      </w:r>
      <w:r w:rsidR="008A23E3">
        <w:rPr>
          <w:rFonts w:cs="Arial"/>
        </w:rPr>
        <w:t>ing</w:t>
      </w:r>
      <w:r>
        <w:rPr>
          <w:rFonts w:cs="Arial"/>
        </w:rPr>
        <w:t xml:space="preserve"> to accidental</w:t>
      </w:r>
      <w:r w:rsidRPr="00C24378">
        <w:rPr>
          <w:rFonts w:cs="Arial"/>
        </w:rPr>
        <w:t xml:space="preserve"> </w:t>
      </w:r>
      <w:r>
        <w:rPr>
          <w:rFonts w:cs="Arial"/>
        </w:rPr>
        <w:t>exposures</w:t>
      </w:r>
      <w:r w:rsidR="00603EC1">
        <w:rPr>
          <w:rFonts w:cs="Arial"/>
        </w:rPr>
        <w:t xml:space="preserve">. </w:t>
      </w:r>
      <w:r w:rsidR="00603EC1">
        <w:rPr>
          <w:iCs/>
        </w:rPr>
        <w:t xml:space="preserve">Short term inhalational exposure at </w:t>
      </w:r>
      <w:r w:rsidR="00603EC1">
        <w:t xml:space="preserve">13 ppm for </w:t>
      </w:r>
      <w:r w:rsidR="00426336">
        <w:t>10</w:t>
      </w:r>
      <w:r w:rsidR="00603EC1">
        <w:t xml:space="preserve"> minutes </w:t>
      </w:r>
      <w:r w:rsidR="00E416B2">
        <w:t xml:space="preserve">is </w:t>
      </w:r>
      <w:r w:rsidR="00603EC1">
        <w:t xml:space="preserve">tolerated without </w:t>
      </w:r>
      <w:r w:rsidR="001613CC">
        <w:t xml:space="preserve">adverse </w:t>
      </w:r>
      <w:r w:rsidR="00603EC1">
        <w:t>effect</w:t>
      </w:r>
      <w:r w:rsidR="00CF6097">
        <w:t xml:space="preserve"> in volunteers</w:t>
      </w:r>
      <w:r w:rsidR="00E416B2">
        <w:t>.</w:t>
      </w:r>
      <w:r w:rsidR="00603EC1">
        <w:t xml:space="preserve"> </w:t>
      </w:r>
      <w:r w:rsidR="00E416B2">
        <w:t>H</w:t>
      </w:r>
      <w:r w:rsidR="00603EC1">
        <w:t>owever</w:t>
      </w:r>
      <w:r w:rsidR="00E416B2">
        <w:t>,</w:t>
      </w:r>
      <w:r w:rsidR="00603EC1">
        <w:t xml:space="preserve"> </w:t>
      </w:r>
      <w:r w:rsidR="001613CC">
        <w:t>mucous membrane irritation, pressure in the head, vertigo and fatigue reported at</w:t>
      </w:r>
      <w:r w:rsidR="00603EC1">
        <w:t xml:space="preserve"> 145 ppm for 30 minutes or 334 ppm for </w:t>
      </w:r>
      <w:r w:rsidR="00426336">
        <w:t>10</w:t>
      </w:r>
      <w:r w:rsidR="00603EC1">
        <w:t xml:space="preserve"> minutes </w:t>
      </w:r>
      <w:r w:rsidR="00216612">
        <w:rPr>
          <w:rFonts w:cs="Arial"/>
        </w:rPr>
        <w:t>(ACGIH, 20</w:t>
      </w:r>
      <w:r w:rsidR="008A23E3">
        <w:rPr>
          <w:rFonts w:cs="Arial"/>
        </w:rPr>
        <w:t>18</w:t>
      </w:r>
      <w:r w:rsidR="00216612">
        <w:rPr>
          <w:rFonts w:cs="Arial"/>
        </w:rPr>
        <w:t>)</w:t>
      </w:r>
      <w:r w:rsidR="00603EC1">
        <w:rPr>
          <w:rFonts w:cs="Arial"/>
        </w:rPr>
        <w:t xml:space="preserve">. </w:t>
      </w:r>
      <w:r w:rsidR="00216612">
        <w:t>Epidemiological surveys of workers found adverse effect</w:t>
      </w:r>
      <w:r w:rsidR="008A23E3">
        <w:t>s</w:t>
      </w:r>
      <w:r w:rsidR="00216612">
        <w:t xml:space="preserve"> on</w:t>
      </w:r>
      <w:r w:rsidR="008A23E3">
        <w:t xml:space="preserve"> the</w:t>
      </w:r>
      <w:r w:rsidR="00216612">
        <w:t xml:space="preserve"> central nervous system (CNS) and </w:t>
      </w:r>
      <w:r w:rsidR="00426336">
        <w:t>GIT</w:t>
      </w:r>
      <w:r w:rsidR="00216612">
        <w:t xml:space="preserve"> </w:t>
      </w:r>
      <w:r w:rsidR="00426336">
        <w:t xml:space="preserve">at </w:t>
      </w:r>
      <w:r w:rsidR="008A23E3">
        <w:t xml:space="preserve">greater than </w:t>
      </w:r>
      <w:r w:rsidR="00216612">
        <w:t>10 ppm (70 mg/m</w:t>
      </w:r>
      <w:r w:rsidR="00216612" w:rsidRPr="00216612">
        <w:rPr>
          <w:vertAlign w:val="superscript"/>
        </w:rPr>
        <w:t>3</w:t>
      </w:r>
      <w:r w:rsidR="00216612">
        <w:t>) (ACGIH, 20</w:t>
      </w:r>
      <w:r w:rsidR="008A23E3">
        <w:t>18</w:t>
      </w:r>
      <w:r w:rsidR="00216612">
        <w:t xml:space="preserve">; DFG, 1958; HCOTN, 2002). </w:t>
      </w:r>
      <w:r w:rsidR="001613CC">
        <w:t xml:space="preserve">No </w:t>
      </w:r>
      <w:r w:rsidR="001613CC">
        <w:rPr>
          <w:rFonts w:cs="Arial"/>
        </w:rPr>
        <w:t>adverse effects reported in an 11</w:t>
      </w:r>
      <w:r w:rsidR="001613CC">
        <w:rPr>
          <w:rFonts w:cs="Arial"/>
        </w:rPr>
        <w:noBreakHyphen/>
      </w:r>
      <w:r w:rsidR="00B343B8">
        <w:rPr>
          <w:rFonts w:cs="Arial"/>
        </w:rPr>
        <w:t>month inhalation study in rats and rabbits at 0.3 or 1.</w:t>
      </w:r>
      <w:r w:rsidR="00E416B2">
        <w:rPr>
          <w:rFonts w:cs="Arial"/>
        </w:rPr>
        <w:t>46 </w:t>
      </w:r>
      <w:r w:rsidR="00B343B8">
        <w:rPr>
          <w:rFonts w:cs="Arial"/>
        </w:rPr>
        <w:t>ppm, but liver damage</w:t>
      </w:r>
      <w:r w:rsidR="00E416B2">
        <w:rPr>
          <w:rFonts w:cs="Arial"/>
        </w:rPr>
        <w:t xml:space="preserve"> is reported</w:t>
      </w:r>
      <w:r w:rsidR="00B343B8">
        <w:rPr>
          <w:rFonts w:cs="Arial"/>
        </w:rPr>
        <w:t xml:space="preserve"> in both species following inhalation </w:t>
      </w:r>
      <w:r w:rsidR="00E416B2">
        <w:rPr>
          <w:rFonts w:cs="Arial"/>
        </w:rPr>
        <w:t>at</w:t>
      </w:r>
      <w:r w:rsidR="00B343B8">
        <w:rPr>
          <w:rFonts w:cs="Arial"/>
        </w:rPr>
        <w:t xml:space="preserve"> 14.6 ppm</w:t>
      </w:r>
      <w:r w:rsidR="004D367D">
        <w:rPr>
          <w:rFonts w:cs="Arial"/>
        </w:rPr>
        <w:t>. Another study found</w:t>
      </w:r>
      <w:r w:rsidR="00BA3284">
        <w:rPr>
          <w:rFonts w:cs="Arial"/>
        </w:rPr>
        <w:t xml:space="preserve"> </w:t>
      </w:r>
      <w:r w:rsidR="00426336">
        <w:t>very slight increase in liver lipid content</w:t>
      </w:r>
      <w:r w:rsidR="00426336" w:rsidRPr="00BA3284">
        <w:t xml:space="preserve"> </w:t>
      </w:r>
      <w:r w:rsidR="00853540">
        <w:t>in rats inhaling 2 ppm for 265 exposures</w:t>
      </w:r>
      <w:r w:rsidR="00853540">
        <w:rPr>
          <w:rFonts w:cs="Arial"/>
        </w:rPr>
        <w:t xml:space="preserve"> </w:t>
      </w:r>
      <w:r w:rsidR="0070141C">
        <w:rPr>
          <w:rFonts w:cs="Arial"/>
        </w:rPr>
        <w:t xml:space="preserve">of 4 hours/day </w:t>
      </w:r>
      <w:r w:rsidR="008A0D24">
        <w:rPr>
          <w:rFonts w:cs="Arial"/>
        </w:rPr>
        <w:t>(ACGIH, 20</w:t>
      </w:r>
      <w:r w:rsidR="008A23E3">
        <w:rPr>
          <w:rFonts w:cs="Arial"/>
        </w:rPr>
        <w:t>18</w:t>
      </w:r>
      <w:r w:rsidR="008A0D24">
        <w:rPr>
          <w:rFonts w:cs="Arial"/>
        </w:rPr>
        <w:t>).</w:t>
      </w:r>
      <w:r w:rsidR="00101436" w:rsidRPr="00101436">
        <w:t xml:space="preserve"> </w:t>
      </w:r>
      <w:r w:rsidR="00101436">
        <w:t>In a 14</w:t>
      </w:r>
      <w:r w:rsidR="001613CC">
        <w:noBreakHyphen/>
      </w:r>
      <w:r w:rsidR="00101436">
        <w:t>week dietary study in rats, 20</w:t>
      </w:r>
      <w:r w:rsidR="001613CC">
        <w:t> </w:t>
      </w:r>
      <w:r w:rsidR="00101436">
        <w:t>mg/kg</w:t>
      </w:r>
      <w:r w:rsidR="001613CC">
        <w:t>/day</w:t>
      </w:r>
      <w:r w:rsidR="00101436">
        <w:t xml:space="preserve"> </w:t>
      </w:r>
      <w:r w:rsidR="00426336">
        <w:t>i</w:t>
      </w:r>
      <w:r w:rsidR="00101436">
        <w:t>s considered the LOAE</w:t>
      </w:r>
      <w:r w:rsidR="00426336">
        <w:t>L</w:t>
      </w:r>
      <w:r w:rsidR="00101436" w:rsidRPr="00101436">
        <w:t xml:space="preserve"> </w:t>
      </w:r>
      <w:r w:rsidR="00101436">
        <w:t>based on vacuolisation of hepatocytes (HCOTN, 2002).</w:t>
      </w:r>
    </w:p>
    <w:p w14:paraId="3AF6C047" w14:textId="28BB5D27" w:rsidR="006639B4" w:rsidRPr="004C23F4" w:rsidRDefault="00603EC1" w:rsidP="006639B4">
      <w:pPr>
        <w:rPr>
          <w:rFonts w:cs="Arial"/>
        </w:rPr>
      </w:pPr>
      <w:r>
        <w:rPr>
          <w:rFonts w:cs="Arial"/>
        </w:rPr>
        <w:t xml:space="preserve">Available </w:t>
      </w:r>
      <w:r w:rsidR="00320E51">
        <w:rPr>
          <w:rFonts w:cs="Arial"/>
        </w:rPr>
        <w:t>human and animal data</w:t>
      </w:r>
      <w:r>
        <w:rPr>
          <w:rFonts w:cs="Arial"/>
        </w:rPr>
        <w:t xml:space="preserve"> d</w:t>
      </w:r>
      <w:r w:rsidR="00E416B2">
        <w:rPr>
          <w:rFonts w:cs="Arial"/>
        </w:rPr>
        <w:t>o</w:t>
      </w:r>
      <w:r>
        <w:rPr>
          <w:rFonts w:cs="Arial"/>
        </w:rPr>
        <w:t xml:space="preserve"> not </w:t>
      </w:r>
      <w:r w:rsidR="00CF6097">
        <w:rPr>
          <w:rFonts w:cs="Arial"/>
        </w:rPr>
        <w:t xml:space="preserve">confidently </w:t>
      </w:r>
      <w:r>
        <w:rPr>
          <w:rFonts w:cs="Arial"/>
        </w:rPr>
        <w:t xml:space="preserve">identify a </w:t>
      </w:r>
      <w:proofErr w:type="gramStart"/>
      <w:r>
        <w:rPr>
          <w:rFonts w:cs="Arial"/>
        </w:rPr>
        <w:t>NOAEC</w:t>
      </w:r>
      <w:proofErr w:type="gramEnd"/>
      <w:r w:rsidR="00320E51">
        <w:rPr>
          <w:rFonts w:cs="Arial"/>
        </w:rPr>
        <w:t xml:space="preserve"> but </w:t>
      </w:r>
      <w:r w:rsidR="00101436">
        <w:rPr>
          <w:rFonts w:cs="Arial"/>
        </w:rPr>
        <w:t>a LOAE</w:t>
      </w:r>
      <w:r w:rsidR="00426336">
        <w:rPr>
          <w:rFonts w:cs="Arial"/>
        </w:rPr>
        <w:t>L</w:t>
      </w:r>
      <w:r w:rsidR="00101436">
        <w:rPr>
          <w:rFonts w:cs="Arial"/>
        </w:rPr>
        <w:t xml:space="preserve"> of 20 mg/kg</w:t>
      </w:r>
      <w:r w:rsidR="001613CC">
        <w:rPr>
          <w:rFonts w:cs="Arial"/>
        </w:rPr>
        <w:t>/</w:t>
      </w:r>
      <w:r w:rsidR="00426336">
        <w:rPr>
          <w:rFonts w:cs="Arial"/>
        </w:rPr>
        <w:t>day</w:t>
      </w:r>
      <w:r w:rsidR="00101436">
        <w:rPr>
          <w:rFonts w:cs="Arial"/>
        </w:rPr>
        <w:t xml:space="preserve"> was </w:t>
      </w:r>
      <w:r w:rsidR="001613CC">
        <w:rPr>
          <w:rFonts w:cs="Arial"/>
        </w:rPr>
        <w:t xml:space="preserve">reported </w:t>
      </w:r>
      <w:r w:rsidR="00101436">
        <w:rPr>
          <w:rFonts w:cs="Arial"/>
        </w:rPr>
        <w:t xml:space="preserve">in rats. </w:t>
      </w:r>
      <w:r w:rsidR="003D55C2">
        <w:t>The</w:t>
      </w:r>
      <w:r w:rsidR="00B16DA1">
        <w:t xml:space="preserve"> TWA of 1 ppm (7 mg/m</w:t>
      </w:r>
      <w:r w:rsidR="00B16DA1" w:rsidRPr="00B16DA1">
        <w:rPr>
          <w:vertAlign w:val="superscript"/>
        </w:rPr>
        <w:t>3</w:t>
      </w:r>
      <w:r w:rsidR="00B16DA1">
        <w:t xml:space="preserve">) </w:t>
      </w:r>
      <w:r w:rsidR="003D55C2">
        <w:t>is</w:t>
      </w:r>
      <w:r w:rsidR="00864078">
        <w:t xml:space="preserve"> recommended to be retained. It is </w:t>
      </w:r>
      <w:r w:rsidR="003D55C2">
        <w:t>consistent across</w:t>
      </w:r>
      <w:r w:rsidR="00B16DA1">
        <w:t xml:space="preserve"> primary sources </w:t>
      </w:r>
      <w:r w:rsidR="003D55C2">
        <w:rPr>
          <w:rFonts w:cs="Arial"/>
        </w:rPr>
        <w:t xml:space="preserve">and on the weight of evidence presented is expected to be protective of effects </w:t>
      </w:r>
      <w:r w:rsidR="00216612">
        <w:rPr>
          <w:rFonts w:cs="Arial"/>
        </w:rPr>
        <w:t>o</w:t>
      </w:r>
      <w:r w:rsidR="003D55C2">
        <w:rPr>
          <w:rFonts w:cs="Arial"/>
        </w:rPr>
        <w:t>n the liver</w:t>
      </w:r>
      <w:r w:rsidR="00216612">
        <w:rPr>
          <w:rFonts w:cs="Arial"/>
        </w:rPr>
        <w:t xml:space="preserve">, CNS and </w:t>
      </w:r>
      <w:r w:rsidR="00426336">
        <w:rPr>
          <w:rFonts w:cs="Arial"/>
        </w:rPr>
        <w:t>GIT</w:t>
      </w:r>
      <w:r w:rsidR="00216612">
        <w:rPr>
          <w:rFonts w:cs="Arial"/>
        </w:rPr>
        <w:t>.</w:t>
      </w:r>
    </w:p>
    <w:p w14:paraId="273B44AD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7C6755E" w14:textId="77777777" w:rsidR="008E4F1F" w:rsidRPr="00C24378" w:rsidRDefault="008E4F1F" w:rsidP="008E4F1F">
      <w:pPr>
        <w:rPr>
          <w:rFonts w:cs="Arial"/>
        </w:rPr>
      </w:pPr>
      <w:r w:rsidRPr="00C24378">
        <w:rPr>
          <w:rFonts w:cs="Arial"/>
        </w:rPr>
        <w:t>Not classified as a carcinogen according to the Globally Harmonized System of</w:t>
      </w:r>
      <w:r w:rsidR="00155999" w:rsidRPr="00C24378">
        <w:rPr>
          <w:rFonts w:cs="Arial"/>
        </w:rPr>
        <w:t xml:space="preserve"> Classification and Labelling of</w:t>
      </w:r>
      <w:r w:rsidRPr="00C24378">
        <w:rPr>
          <w:rFonts w:cs="Arial"/>
        </w:rPr>
        <w:t xml:space="preserve"> Chemicals (GHS). </w:t>
      </w:r>
    </w:p>
    <w:p w14:paraId="03916CCC" w14:textId="77777777" w:rsidR="008E4F1F" w:rsidRPr="007F7633" w:rsidRDefault="008E4F1F" w:rsidP="008E4F1F">
      <w:pPr>
        <w:rPr>
          <w:rFonts w:cs="Arial"/>
        </w:rPr>
      </w:pPr>
      <w:r w:rsidRPr="007F7633">
        <w:rPr>
          <w:rFonts w:cs="Arial"/>
        </w:rPr>
        <w:t xml:space="preserve">Not classified as a skin </w:t>
      </w:r>
      <w:r w:rsidR="00155999" w:rsidRPr="007F7633">
        <w:rPr>
          <w:rFonts w:cs="Arial"/>
        </w:rPr>
        <w:t xml:space="preserve">sensitiser </w:t>
      </w:r>
      <w:r w:rsidRPr="007F7633">
        <w:rPr>
          <w:rFonts w:cs="Arial"/>
        </w:rPr>
        <w:t>or respiratory sensitiser according to the GHS.</w:t>
      </w:r>
    </w:p>
    <w:p w14:paraId="7D0772D2" w14:textId="070988A6" w:rsidR="004529F0" w:rsidRPr="004C23F4" w:rsidRDefault="007F7633" w:rsidP="008E4F1F">
      <w:pPr>
        <w:rPr>
          <w:rFonts w:cs="Arial"/>
        </w:rPr>
      </w:pPr>
      <w:r w:rsidRPr="007F7633">
        <w:rPr>
          <w:rFonts w:cs="Arial"/>
        </w:rPr>
        <w:t xml:space="preserve">A skin notation </w:t>
      </w:r>
      <w:r>
        <w:rPr>
          <w:rFonts w:cs="Arial"/>
        </w:rPr>
        <w:t xml:space="preserve">is </w:t>
      </w:r>
      <w:r w:rsidR="00E416B2">
        <w:rPr>
          <w:rFonts w:cs="Arial"/>
        </w:rPr>
        <w:t>recommend</w:t>
      </w:r>
      <w:r>
        <w:rPr>
          <w:rFonts w:cs="Arial"/>
        </w:rPr>
        <w:t>ed as</w:t>
      </w:r>
      <w:r w:rsidRPr="007F7633">
        <w:rPr>
          <w:rFonts w:cs="Arial"/>
        </w:rPr>
        <w:t xml:space="preserve"> evidence suggest</w:t>
      </w:r>
      <w:r>
        <w:rPr>
          <w:rFonts w:cs="Arial"/>
        </w:rPr>
        <w:t>s</w:t>
      </w:r>
      <w:r w:rsidRPr="007F7633">
        <w:rPr>
          <w:rFonts w:cs="Arial"/>
        </w:rPr>
        <w:t xml:space="preserve"> potential dermal absorption and adverse systemic effects</w:t>
      </w:r>
      <w:r w:rsidR="008E4F1F" w:rsidRPr="007F7633">
        <w:rPr>
          <w:rFonts w:cs="Arial"/>
        </w:rPr>
        <w:t>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1729EC4D" w:rsidR="005E6979" w:rsidRPr="004C23F4" w:rsidRDefault="001C4256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 xml:space="preserve"> </w:t>
      </w: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BA2FF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BA2FF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0D26AC0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4151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41519">
                  <w:t>TWA: 1 ppm (6.9 mg/m</w:t>
                </w:r>
                <w:r w:rsidR="00041519" w:rsidRPr="00041519">
                  <w:rPr>
                    <w:vertAlign w:val="superscript"/>
                  </w:rPr>
                  <w:t>3</w:t>
                </w:r>
                <w:r w:rsidR="00041519">
                  <w:t>)</w:t>
                </w:r>
              </w:sdtContent>
            </w:sdt>
          </w:p>
        </w:tc>
      </w:tr>
      <w:tr w:rsidR="00C978F0" w:rsidRPr="00DA352E" w14:paraId="26087DDB" w14:textId="77777777" w:rsidTr="00BA2FF1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BA2FF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6288E0E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4151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41519">
                  <w:t>TLV-TWA: 1 ppm (6.9 mg/m</w:t>
                </w:r>
                <w:r w:rsidR="00041519" w:rsidRPr="00041519">
                  <w:rPr>
                    <w:vertAlign w:val="superscript"/>
                  </w:rPr>
                  <w:t>3</w:t>
                </w:r>
                <w:r w:rsidR="00041519">
                  <w:t>)</w:t>
                </w:r>
              </w:sdtContent>
            </w:sdt>
          </w:p>
        </w:tc>
      </w:tr>
      <w:tr w:rsidR="00C978F0" w:rsidRPr="00DA352E" w14:paraId="418D532D" w14:textId="77777777" w:rsidTr="00BA2FF1">
        <w:trPr>
          <w:gridAfter w:val="1"/>
          <w:wAfter w:w="8" w:type="pct"/>
        </w:trPr>
        <w:tc>
          <w:tcPr>
            <w:tcW w:w="4992" w:type="pct"/>
          </w:tcPr>
          <w:p w14:paraId="7082C996" w14:textId="0F4F611A" w:rsidR="00D36F72" w:rsidRDefault="00AD1317" w:rsidP="003365A5">
            <w:pPr>
              <w:pStyle w:val="Tabletextprimarysource"/>
            </w:pPr>
            <w:r>
              <w:t xml:space="preserve">TLV-TWA recommended to minimise </w:t>
            </w:r>
            <w:r w:rsidR="00D36F72">
              <w:t>nervous system</w:t>
            </w:r>
            <w:r>
              <w:t>, GI</w:t>
            </w:r>
            <w:r w:rsidR="00426336">
              <w:t>T</w:t>
            </w:r>
            <w:r>
              <w:t xml:space="preserve"> and hepatic </w:t>
            </w:r>
            <w:r w:rsidR="00D36F72">
              <w:t>effects. Toxic effects in animals and humans observed around 10 ppm, forming the basis for the TWA.</w:t>
            </w:r>
          </w:p>
          <w:p w14:paraId="002AD4A2" w14:textId="77777777" w:rsidR="00D36F72" w:rsidRDefault="00D36F72" w:rsidP="003365A5">
            <w:pPr>
              <w:pStyle w:val="Tabletextprimarysource"/>
            </w:pPr>
            <w:r>
              <w:t>Summary of data:</w:t>
            </w:r>
          </w:p>
          <w:p w14:paraId="341CFB56" w14:textId="77777777" w:rsidR="00D36F72" w:rsidRDefault="00D36F72" w:rsidP="003365A5">
            <w:pPr>
              <w:pStyle w:val="Tabletextprimarysource"/>
            </w:pPr>
            <w:r>
              <w:t>Human data:</w:t>
            </w:r>
          </w:p>
          <w:p w14:paraId="3D28F03C" w14:textId="24F3AB0B" w:rsidR="00E416B2" w:rsidRDefault="001613CC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</w:t>
            </w:r>
            <w:r w:rsidR="00D36F72">
              <w:t xml:space="preserve">oisonings of aircraft industry workers at start of </w:t>
            </w:r>
            <w:r w:rsidR="008A23E3">
              <w:t>WW</w:t>
            </w:r>
            <w:r w:rsidR="00D36F72">
              <w:t>I</w:t>
            </w:r>
            <w:r w:rsidR="00374495">
              <w:t>:</w:t>
            </w:r>
            <w:r w:rsidR="00D36F72">
              <w:t xml:space="preserve"> </w:t>
            </w:r>
          </w:p>
          <w:p w14:paraId="1044A546" w14:textId="2143CE98" w:rsidR="00E416B2" w:rsidRDefault="00D36F72" w:rsidP="00E416B2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deaths reported characterised by GI</w:t>
            </w:r>
            <w:r w:rsidR="00426336">
              <w:t>T</w:t>
            </w:r>
            <w:r>
              <w:t xml:space="preserve">, hepatic and nervous system effects </w:t>
            </w:r>
          </w:p>
          <w:p w14:paraId="75E45837" w14:textId="40205DDD" w:rsidR="00D36F72" w:rsidRDefault="00D36F72" w:rsidP="00E416B2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 xml:space="preserve">no quantitative exposure data </w:t>
            </w:r>
            <w:r w:rsidR="0070141C">
              <w:t>but indicate effects on liver</w:t>
            </w:r>
          </w:p>
          <w:p w14:paraId="34BDC0D3" w14:textId="01FBA875" w:rsidR="0070141C" w:rsidRDefault="0070141C" w:rsidP="00E416B2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symptoms of lesser exposures included headaches, drowsiness and nausea</w:t>
            </w:r>
          </w:p>
          <w:p w14:paraId="3DA4B90B" w14:textId="712F4F59" w:rsidR="00D2215A" w:rsidRDefault="0070141C" w:rsidP="001406A3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from suicide cases with similar clinical findings reported estimates human fatal doses ranging from 265–6,000 mg/kg and estimated LOAEL of 100 mg/kg</w:t>
            </w:r>
          </w:p>
          <w:p w14:paraId="461D55C0" w14:textId="38291FED" w:rsidR="00D2215A" w:rsidRDefault="00FA34C7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greater occurrence </w:t>
            </w:r>
            <w:r w:rsidR="001406A3">
              <w:t>(</w:t>
            </w:r>
            <w:r w:rsidR="00DE2BB4">
              <w:t>in comparison to</w:t>
            </w:r>
            <w:r w:rsidR="001406A3">
              <w:t xml:space="preserve"> general population) </w:t>
            </w:r>
            <w:r>
              <w:t>of cardiovascular lesions</w:t>
            </w:r>
            <w:r w:rsidR="001406A3">
              <w:t xml:space="preserve"> </w:t>
            </w:r>
            <w:r>
              <w:t>in 75 workers from plant producing and using the chemical; exposure range 0.37</w:t>
            </w:r>
            <w:r w:rsidR="00266880">
              <w:t>–</w:t>
            </w:r>
            <w:r>
              <w:t>3.2 ppm, occasional peaks at 40 ppm</w:t>
            </w:r>
          </w:p>
          <w:p w14:paraId="7791D1F1" w14:textId="25490162" w:rsidR="00426336" w:rsidRDefault="00FA34C7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Study of 380 workers (192 in direct contact and 188 occasionally exposed)</w:t>
            </w:r>
            <w:r w:rsidR="00D24CEC">
              <w:t>:</w:t>
            </w:r>
            <w:r>
              <w:t xml:space="preserve"> </w:t>
            </w:r>
          </w:p>
          <w:p w14:paraId="6F3885B2" w14:textId="65729382" w:rsidR="00FA34C7" w:rsidRDefault="00FA34C7" w:rsidP="00426336">
            <w:pPr>
              <w:pStyle w:val="ListBullet"/>
              <w:numPr>
                <w:ilvl w:val="0"/>
                <w:numId w:val="12"/>
              </w:numPr>
              <w:spacing w:before="60" w:after="60"/>
              <w:contextualSpacing w:val="0"/>
            </w:pPr>
            <w:r>
              <w:t>poisoning primarily characterised by nervous system effects (tremors)</w:t>
            </w:r>
          </w:p>
          <w:p w14:paraId="72923187" w14:textId="245663EA" w:rsidR="00E416B2" w:rsidRDefault="00FA34C7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3 ppm may be detected by odour</w:t>
            </w:r>
            <w:r w:rsidR="00374495">
              <w:t>:</w:t>
            </w:r>
            <w:r>
              <w:t xml:space="preserve"> </w:t>
            </w:r>
          </w:p>
          <w:p w14:paraId="22F3EB9A" w14:textId="7CC6C279" w:rsidR="00E416B2" w:rsidRDefault="00FA34C7" w:rsidP="00E416B2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>13 ppm may be tolerated without effect</w:t>
            </w:r>
            <w:r w:rsidR="006F3F77">
              <w:t xml:space="preserve"> for 10 min </w:t>
            </w:r>
          </w:p>
          <w:p w14:paraId="7F456774" w14:textId="468CCF27" w:rsidR="00FA34C7" w:rsidRDefault="006F3F77" w:rsidP="00E416B2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 xml:space="preserve">inhalation of 145 ppm for 30 min or 334 </w:t>
            </w:r>
            <w:r w:rsidR="00182AB8">
              <w:t xml:space="preserve">ppm </w:t>
            </w:r>
            <w:r>
              <w:t>for 10 min causes mucous membrane irritation, pressure in the head, vertigo and fatigue</w:t>
            </w:r>
          </w:p>
          <w:p w14:paraId="1085340E" w14:textId="05695D3B" w:rsidR="00E416B2" w:rsidRDefault="006F3F77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definitive conclusions from study of army workers exposed to fumes in clothing processing plant and cancer incidence</w:t>
            </w:r>
            <w:r w:rsidR="00D24CEC">
              <w:t>:</w:t>
            </w:r>
            <w:r>
              <w:t xml:space="preserve"> </w:t>
            </w:r>
          </w:p>
          <w:p w14:paraId="6D6109BF" w14:textId="5F530F77" w:rsidR="006F3F77" w:rsidRDefault="006F3F77" w:rsidP="00E416B2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other compounding factors influencing findings</w:t>
            </w:r>
            <w:r w:rsidR="00357700">
              <w:t>.</w:t>
            </w:r>
          </w:p>
          <w:p w14:paraId="40BB6211" w14:textId="0F7F91FA" w:rsidR="00357700" w:rsidRDefault="00357700" w:rsidP="00357700">
            <w:pPr>
              <w:pStyle w:val="Tabletextprimarysource"/>
            </w:pPr>
            <w:r>
              <w:t>Animal data:</w:t>
            </w:r>
          </w:p>
          <w:p w14:paraId="2C0FE216" w14:textId="7287EE52" w:rsidR="00357700" w:rsidRDefault="00357700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357700">
              <w:rPr>
                <w:vertAlign w:val="subscript"/>
              </w:rPr>
              <w:t>50</w:t>
            </w:r>
            <w:r>
              <w:t>: 319 mg/kg (rats, oral)</w:t>
            </w:r>
          </w:p>
          <w:p w14:paraId="1803ACFA" w14:textId="0938D808" w:rsidR="00E416B2" w:rsidRDefault="00357700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357700">
              <w:rPr>
                <w:vertAlign w:val="subscript"/>
              </w:rPr>
              <w:t>50</w:t>
            </w:r>
            <w:r>
              <w:t>: 6,300 mg/kg (rabbits, dermal)</w:t>
            </w:r>
            <w:r w:rsidR="00374495">
              <w:t>:</w:t>
            </w:r>
          </w:p>
          <w:p w14:paraId="236C88C4" w14:textId="41C6BFA8" w:rsidR="00357700" w:rsidRDefault="00357700" w:rsidP="00E416B2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narcosis can be produced following topical application</w:t>
            </w:r>
          </w:p>
          <w:p w14:paraId="4057D295" w14:textId="125F6124" w:rsidR="00357700" w:rsidRDefault="00357700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Single 300 or 600 mg/kg doses in mice reported liver damage involving cytochrome P450</w:t>
            </w:r>
          </w:p>
          <w:p w14:paraId="3D15FD63" w14:textId="460604F6" w:rsidR="00357700" w:rsidRDefault="00357700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 h LC</w:t>
            </w:r>
            <w:r w:rsidRPr="00357700">
              <w:rPr>
                <w:vertAlign w:val="subscript"/>
              </w:rPr>
              <w:t>50</w:t>
            </w:r>
            <w:r>
              <w:t>: 1,000 ppm (rats); 655 ppm (mice)</w:t>
            </w:r>
          </w:p>
          <w:p w14:paraId="76199635" w14:textId="64C46E7D" w:rsidR="00E24675" w:rsidRDefault="00EB2F0D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Decrease in spontaneous motor activity of rat</w:t>
            </w:r>
            <w:r w:rsidR="00101436">
              <w:t>s</w:t>
            </w:r>
            <w:r>
              <w:t xml:space="preserve"> inhaling </w:t>
            </w:r>
            <w:r w:rsidR="00101436">
              <w:t xml:space="preserve">200 </w:t>
            </w:r>
            <w:r>
              <w:t>ppm (6 h)</w:t>
            </w:r>
            <w:r w:rsidR="00374495">
              <w:t>:</w:t>
            </w:r>
            <w:r>
              <w:t xml:space="preserve"> </w:t>
            </w:r>
          </w:p>
          <w:p w14:paraId="6FF920B7" w14:textId="07AE3003" w:rsidR="00357700" w:rsidRDefault="00EB2F0D" w:rsidP="00E24675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no effects at 576</w:t>
            </w:r>
            <w:r w:rsidR="008A23E3">
              <w:t> </w:t>
            </w:r>
            <w:r>
              <w:t>ppm (30 min)</w:t>
            </w:r>
          </w:p>
          <w:p w14:paraId="683D04A7" w14:textId="5ECFAB77" w:rsidR="00E24675" w:rsidRDefault="00EB2F0D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effects in rats inhaling 2 ppm, 4</w:t>
            </w:r>
            <w:r w:rsidR="004B2060">
              <w:t xml:space="preserve"> </w:t>
            </w:r>
            <w:r>
              <w:t>h/d, 265 exposures</w:t>
            </w:r>
            <w:r w:rsidR="00374495">
              <w:t>:</w:t>
            </w:r>
            <w:r>
              <w:t xml:space="preserve"> </w:t>
            </w:r>
          </w:p>
          <w:p w14:paraId="78AFA1C1" w14:textId="7D75C73E" w:rsidR="00EB2F0D" w:rsidRDefault="00EB2F0D" w:rsidP="00E24675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very slight increase in liver lipid content</w:t>
            </w:r>
          </w:p>
          <w:p w14:paraId="363F202C" w14:textId="6BAEE063" w:rsidR="00E24675" w:rsidRDefault="00EB2F0D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effects in rats or rabbits inhaling 0.3 or 1.46 ppm, 3</w:t>
            </w:r>
            <w:r w:rsidR="00F75F8E">
              <w:sym w:font="Symbol" w:char="F02D"/>
            </w:r>
            <w:r>
              <w:t xml:space="preserve">4 h/d, 11 </w:t>
            </w:r>
            <w:proofErr w:type="spellStart"/>
            <w:r>
              <w:t>mo</w:t>
            </w:r>
            <w:proofErr w:type="spellEnd"/>
            <w:r>
              <w:t xml:space="preserve"> duration</w:t>
            </w:r>
            <w:r w:rsidR="00374495">
              <w:t>:</w:t>
            </w:r>
            <w:r>
              <w:t xml:space="preserve"> </w:t>
            </w:r>
          </w:p>
          <w:p w14:paraId="70087289" w14:textId="12B148B6" w:rsidR="00EB2F0D" w:rsidRDefault="00EB2F0D" w:rsidP="00E24675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at 14.6 ppm liver damage in both species</w:t>
            </w:r>
          </w:p>
          <w:p w14:paraId="7B0997FE" w14:textId="5C78E93A" w:rsidR="00EB2F0D" w:rsidRDefault="004A01EF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Gavage daily doses of 62 and 108 mg/kg</w:t>
            </w:r>
            <w:r w:rsidR="00426336">
              <w:t>/d</w:t>
            </w:r>
            <w:r>
              <w:t xml:space="preserve"> (male rats), 43 and 76 mg/kg</w:t>
            </w:r>
            <w:r w:rsidR="00426336">
              <w:t>/d</w:t>
            </w:r>
            <w:r>
              <w:t xml:space="preserve"> (female rats), </w:t>
            </w:r>
            <w:r w:rsidR="00426336">
              <w:t>142 </w:t>
            </w:r>
            <w:r>
              <w:t>mg/kg</w:t>
            </w:r>
            <w:r w:rsidR="00426336">
              <w:t>/d</w:t>
            </w:r>
            <w:r>
              <w:t xml:space="preserve"> and 282 mg/kg</w:t>
            </w:r>
            <w:r w:rsidR="00426336">
              <w:t>/d</w:t>
            </w:r>
            <w:r>
              <w:t xml:space="preserve"> (male and female mice</w:t>
            </w:r>
            <w:r w:rsidR="00864078">
              <w:t>, respectively</w:t>
            </w:r>
            <w:r>
              <w:t>), 5 d/</w:t>
            </w:r>
            <w:proofErr w:type="spellStart"/>
            <w:r>
              <w:t>wk</w:t>
            </w:r>
            <w:proofErr w:type="spellEnd"/>
            <w:r>
              <w:t xml:space="preserve">, 78 </w:t>
            </w:r>
            <w:proofErr w:type="spellStart"/>
            <w:r>
              <w:t>wk</w:t>
            </w:r>
            <w:proofErr w:type="spellEnd"/>
            <w:r>
              <w:t xml:space="preserve"> duration:</w:t>
            </w:r>
          </w:p>
          <w:p w14:paraId="4CCF6FE6" w14:textId="094F5CC6" w:rsidR="004A01EF" w:rsidRDefault="008A23E3" w:rsidP="00E416B2">
            <w:pPr>
              <w:pStyle w:val="ListBullet2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n</w:t>
            </w:r>
            <w:r w:rsidR="00B07D0E">
              <w:t>o statistically significant increase in neoplastic lesions in rats; 2</w:t>
            </w:r>
            <w:r w:rsidR="00730E10">
              <w:t> </w:t>
            </w:r>
            <w:r w:rsidR="00B07D0E">
              <w:t>hepatocellular carcinomas (rare in this strain of rat) observed in high-dose males</w:t>
            </w:r>
          </w:p>
          <w:p w14:paraId="00A27CFF" w14:textId="068C2715" w:rsidR="00B07D0E" w:rsidRDefault="008A23E3" w:rsidP="00E416B2">
            <w:pPr>
              <w:pStyle w:val="ListBullet2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h</w:t>
            </w:r>
            <w:r w:rsidR="00776519">
              <w:t>epatocellular carcinomas detected in both sexes of mice, including 13% of control male mice</w:t>
            </w:r>
          </w:p>
          <w:p w14:paraId="009D03FF" w14:textId="1B32406F" w:rsidR="00776519" w:rsidRDefault="00776519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increase in pulmonary tumours following IP administration of 400 mg/kg</w:t>
            </w:r>
            <w:r w:rsidR="00426336">
              <w:t>/d</w:t>
            </w:r>
            <w:r>
              <w:t xml:space="preserve"> for 8 </w:t>
            </w:r>
            <w:proofErr w:type="spellStart"/>
            <w:r>
              <w:t>wk</w:t>
            </w:r>
            <w:proofErr w:type="spellEnd"/>
            <w:r>
              <w:t xml:space="preserve"> in mice</w:t>
            </w:r>
          </w:p>
          <w:p w14:paraId="45CEBFE5" w14:textId="3F279937" w:rsidR="00776519" w:rsidRDefault="00776519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histopathologic changes in reproductive system of rats inhaling 560 ppm for 15 </w:t>
            </w:r>
            <w:proofErr w:type="spellStart"/>
            <w:r>
              <w:t>wk</w:t>
            </w:r>
            <w:proofErr w:type="spellEnd"/>
          </w:p>
          <w:p w14:paraId="606801F9" w14:textId="1339E9BB" w:rsidR="00776519" w:rsidRDefault="004738A0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Embryotoxic and weakly teratogenic in mice following IP injections</w:t>
            </w:r>
          </w:p>
          <w:p w14:paraId="2A3EA39B" w14:textId="1309CA7D" w:rsidR="00E24675" w:rsidRDefault="00FF32FA" w:rsidP="00E416B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Increased mutation rates in </w:t>
            </w:r>
            <w:r w:rsidRPr="00DA5C21">
              <w:rPr>
                <w:i/>
              </w:rPr>
              <w:t>Salmonella</w:t>
            </w:r>
            <w:r>
              <w:t xml:space="preserve"> and </w:t>
            </w:r>
            <w:r w:rsidRPr="00DA5C21">
              <w:rPr>
                <w:i/>
              </w:rPr>
              <w:t>E. coli</w:t>
            </w:r>
            <w:r>
              <w:t xml:space="preserve">; DNA repair stimulated in </w:t>
            </w:r>
            <w:r w:rsidRPr="00DA5C21">
              <w:rPr>
                <w:i/>
              </w:rPr>
              <w:t>E. coli</w:t>
            </w:r>
            <w:r w:rsidR="00D24CEC">
              <w:t>:</w:t>
            </w:r>
            <w:r>
              <w:t xml:space="preserve"> </w:t>
            </w:r>
          </w:p>
          <w:p w14:paraId="1CB79E85" w14:textId="487421B9" w:rsidR="00FF32FA" w:rsidRDefault="00FF32FA" w:rsidP="00E24675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>
              <w:t>negative results in all other mutagenic tests</w:t>
            </w:r>
            <w:r w:rsidR="00DA5C21">
              <w:t>.</w:t>
            </w:r>
          </w:p>
          <w:p w14:paraId="4B8AF0A6" w14:textId="77777777" w:rsidR="00E24675" w:rsidRDefault="00E24675" w:rsidP="003365A5">
            <w:pPr>
              <w:pStyle w:val="Tabletextprimarysource"/>
            </w:pPr>
          </w:p>
          <w:p w14:paraId="07D9BA63" w14:textId="77777777" w:rsidR="00E24675" w:rsidRDefault="00D36F72" w:rsidP="003365A5">
            <w:pPr>
              <w:pStyle w:val="Tabletextprimarysource"/>
            </w:pPr>
            <w:r>
              <w:t>Insufficient data available to recommend a SEN notation or TLV-STEL.</w:t>
            </w:r>
            <w:r w:rsidR="00FF32FA">
              <w:t xml:space="preserve"> </w:t>
            </w:r>
          </w:p>
          <w:p w14:paraId="3B7CAFE9" w14:textId="77777777" w:rsidR="00E24675" w:rsidRDefault="00FF32FA" w:rsidP="003365A5">
            <w:pPr>
              <w:pStyle w:val="Tabletextprimarysource"/>
            </w:pPr>
            <w:r>
              <w:t>Skin notation assigned due to systemic effects reported following dermal contact.</w:t>
            </w:r>
            <w:r w:rsidR="00DC549A">
              <w:t xml:space="preserve"> </w:t>
            </w:r>
          </w:p>
          <w:p w14:paraId="63261EB0" w14:textId="77777777" w:rsidR="00D36F72" w:rsidRDefault="00DC549A" w:rsidP="003365A5">
            <w:pPr>
              <w:pStyle w:val="Tabletextprimarysource"/>
            </w:pPr>
            <w:r>
              <w:t>Confirmed Animal Carcinogen with Unknown Relevance to Humans assigned.</w:t>
            </w:r>
          </w:p>
          <w:p w14:paraId="0CE4D35D" w14:textId="397546B3" w:rsidR="00E24675" w:rsidRPr="00DA352E" w:rsidRDefault="00E24675" w:rsidP="003365A5">
            <w:pPr>
              <w:pStyle w:val="Tabletextprimarysource"/>
            </w:pPr>
          </w:p>
        </w:tc>
      </w:tr>
      <w:tr w:rsidR="00C978F0" w:rsidRPr="00DA352E" w14:paraId="174F8B79" w14:textId="77777777" w:rsidTr="00BA2FF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06C1DE5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41519">
                  <w:t>1958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041519">
                  <w:t>MAK: 1 ppm (7.0 mg/m</w:t>
                </w:r>
                <w:r w:rsidR="00041519" w:rsidRPr="00041519">
                  <w:rPr>
                    <w:vertAlign w:val="superscript"/>
                  </w:rPr>
                  <w:t>3</w:t>
                </w:r>
                <w:r w:rsidR="00041519">
                  <w:t>)</w:t>
                </w:r>
              </w:sdtContent>
            </w:sdt>
          </w:p>
        </w:tc>
      </w:tr>
      <w:tr w:rsidR="00C978F0" w:rsidRPr="00DA352E" w14:paraId="4433014F" w14:textId="77777777" w:rsidTr="00BA2FF1">
        <w:trPr>
          <w:gridAfter w:val="1"/>
          <w:wAfter w:w="8" w:type="pct"/>
        </w:trPr>
        <w:tc>
          <w:tcPr>
            <w:tcW w:w="4992" w:type="pct"/>
          </w:tcPr>
          <w:p w14:paraId="3E2C526B" w14:textId="35993AC2" w:rsidR="00C978F0" w:rsidRDefault="00DA5C21" w:rsidP="003365A5">
            <w:pPr>
              <w:pStyle w:val="Tabletextprimarysource"/>
            </w:pPr>
            <w:r>
              <w:t xml:space="preserve">MAK based on estimates </w:t>
            </w:r>
            <w:r w:rsidR="009645D2">
              <w:t xml:space="preserve">(no further information) </w:t>
            </w:r>
            <w:r>
              <w:t>as no chronic animal studies or prolonged exposure with known concentrations in humans reported.</w:t>
            </w:r>
          </w:p>
          <w:p w14:paraId="44172711" w14:textId="77777777" w:rsidR="00DA5C21" w:rsidRDefault="00DA5C21" w:rsidP="003365A5">
            <w:pPr>
              <w:pStyle w:val="Tabletextprimarysource"/>
            </w:pPr>
            <w:r>
              <w:t>Summary of additional data:</w:t>
            </w:r>
          </w:p>
          <w:p w14:paraId="6ADB966F" w14:textId="77777777" w:rsidR="00DA5C21" w:rsidRDefault="00E01E15" w:rsidP="00E2467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Depression of CNS main adverse effect</w:t>
            </w:r>
          </w:p>
          <w:p w14:paraId="0DB67C14" w14:textId="665A4BFC" w:rsidR="00E01E15" w:rsidRDefault="00B77278" w:rsidP="00E2467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Study of 380 workers (cited in ACGIH, 20</w:t>
            </w:r>
            <w:r w:rsidR="00FA5FE9">
              <w:t>18</w:t>
            </w:r>
            <w:r>
              <w:t xml:space="preserve">): </w:t>
            </w:r>
            <w:r w:rsidR="007F7633">
              <w:t xml:space="preserve">direct contact included both dermal and inhalation; </w:t>
            </w:r>
            <w:r>
              <w:t>concentrations reportedly between 9 and 98 ppm</w:t>
            </w:r>
          </w:p>
          <w:p w14:paraId="3B9AFB1C" w14:textId="2D6017C7" w:rsidR="00B77278" w:rsidRDefault="00B77278" w:rsidP="00E2467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Reports of illness in workers exposed </w:t>
            </w:r>
            <w:r w:rsidR="00FA5FE9">
              <w:t>&lt;</w:t>
            </w:r>
            <w:r>
              <w:t>10 ppm; skin absorption must be considered; no further information</w:t>
            </w:r>
            <w:r w:rsidR="00182AB8">
              <w:t>.</w:t>
            </w:r>
          </w:p>
          <w:p w14:paraId="61A64F09" w14:textId="516C1CD5" w:rsidR="00E24675" w:rsidRPr="00DA352E" w:rsidRDefault="00E24675" w:rsidP="00E24675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E6A0B2C" w14:textId="77777777" w:rsidTr="00BA2FF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475DF9B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4151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041519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BA2FF1">
        <w:trPr>
          <w:gridAfter w:val="1"/>
          <w:wAfter w:w="8" w:type="pct"/>
        </w:trPr>
        <w:tc>
          <w:tcPr>
            <w:tcW w:w="4992" w:type="pct"/>
          </w:tcPr>
          <w:p w14:paraId="153B53C1" w14:textId="1F7379AA" w:rsidR="00C978F0" w:rsidRPr="00DA352E" w:rsidRDefault="00041519" w:rsidP="003365A5">
            <w:pPr>
              <w:pStyle w:val="Tabletextprimarysource"/>
            </w:pPr>
            <w:r>
              <w:t>No report</w:t>
            </w:r>
            <w:r w:rsidR="00C208AE">
              <w:t>.</w:t>
            </w:r>
          </w:p>
        </w:tc>
      </w:tr>
      <w:tr w:rsidR="00DA352E" w:rsidRPr="00DA352E" w14:paraId="12BAB90D" w14:textId="77777777" w:rsidTr="00BA2FF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1DF0BB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4151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041519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BA2FF1">
        <w:trPr>
          <w:gridAfter w:val="1"/>
          <w:wAfter w:w="8" w:type="pct"/>
        </w:trPr>
        <w:tc>
          <w:tcPr>
            <w:tcW w:w="4992" w:type="pct"/>
          </w:tcPr>
          <w:p w14:paraId="2059E4CB" w14:textId="2C0F2070" w:rsidR="00DA352E" w:rsidRPr="00DA352E" w:rsidRDefault="00041519" w:rsidP="003365A5">
            <w:pPr>
              <w:pStyle w:val="Tabletextprimarysource"/>
            </w:pPr>
            <w:r>
              <w:t>No report</w:t>
            </w:r>
            <w:r w:rsidR="00C208AE">
              <w:t>.</w:t>
            </w:r>
          </w:p>
        </w:tc>
      </w:tr>
      <w:tr w:rsidR="00DA352E" w:rsidRPr="00DA352E" w14:paraId="605F758C" w14:textId="77777777" w:rsidTr="00BA2FF1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602267E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41519" w:rsidRPr="00041519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041519">
                  <w:t>TWA: 1 ppm (7 mg/m</w:t>
                </w:r>
                <w:r w:rsidR="00041519" w:rsidRPr="00041519">
                  <w:rPr>
                    <w:vertAlign w:val="superscript"/>
                  </w:rPr>
                  <w:t>3</w:t>
                </w:r>
                <w:r w:rsidR="00041519">
                  <w:t>)</w:t>
                </w:r>
              </w:sdtContent>
            </w:sdt>
          </w:p>
        </w:tc>
      </w:tr>
      <w:tr w:rsidR="00DA352E" w:rsidRPr="00DA352E" w14:paraId="7050CB3E" w14:textId="77777777" w:rsidTr="00BA2FF1">
        <w:trPr>
          <w:gridAfter w:val="1"/>
          <w:wAfter w:w="8" w:type="pct"/>
        </w:trPr>
        <w:tc>
          <w:tcPr>
            <w:tcW w:w="4992" w:type="pct"/>
          </w:tcPr>
          <w:p w14:paraId="0CF918CA" w14:textId="77777777" w:rsidR="00182AB8" w:rsidRDefault="00182AB8" w:rsidP="00182AB8">
            <w:pPr>
              <w:pStyle w:val="Tabletextprimarysource"/>
            </w:pPr>
            <w:r>
              <w:t>Summary of additional data:</w:t>
            </w:r>
          </w:p>
          <w:p w14:paraId="05C8BCA1" w14:textId="77777777" w:rsidR="00DA352E" w:rsidRDefault="00182AB8" w:rsidP="00E2467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notation assigned; absorption through skin may significantly contribute to body burden</w:t>
            </w:r>
          </w:p>
          <w:p w14:paraId="0A8848A4" w14:textId="07B26DDF" w:rsidR="00853540" w:rsidRDefault="00853540" w:rsidP="00E2467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From epidemiological surveys of workers</w:t>
            </w:r>
            <w:r w:rsidR="00216612">
              <w:t xml:space="preserve"> (cited in ACGIH, 20</w:t>
            </w:r>
            <w:r w:rsidR="00FA5FE9">
              <w:t>18</w:t>
            </w:r>
            <w:r w:rsidR="00216612">
              <w:t>; DFG, 1958)</w:t>
            </w:r>
            <w:r>
              <w:t>, adverse symptoms from CNS and GI</w:t>
            </w:r>
            <w:r w:rsidR="00426336">
              <w:t>T at</w:t>
            </w:r>
            <w:r>
              <w:t xml:space="preserve"> &gt;1</w:t>
            </w:r>
            <w:r w:rsidR="00FA5FE9">
              <w:t>,</w:t>
            </w:r>
            <w:r>
              <w:t>0</w:t>
            </w:r>
            <w:r w:rsidR="00C208AE">
              <w:softHyphen/>
            </w:r>
            <w:r>
              <w:t>30 ppm (7</w:t>
            </w:r>
            <w:r w:rsidR="00FA5FE9">
              <w:t>,</w:t>
            </w:r>
            <w:r w:rsidR="00C208AE">
              <w:softHyphen/>
            </w:r>
            <w:r>
              <w:t>210 mg/m</w:t>
            </w:r>
            <w:r w:rsidRPr="00853540">
              <w:rPr>
                <w:vertAlign w:val="superscript"/>
              </w:rPr>
              <w:t>3</w:t>
            </w:r>
            <w:r>
              <w:t>); skin exposure involved</w:t>
            </w:r>
          </w:p>
          <w:p w14:paraId="0476839E" w14:textId="79248ED4" w:rsidR="00182AB8" w:rsidRDefault="001948B2" w:rsidP="00E2467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data from </w:t>
            </w:r>
            <w:r w:rsidR="00C731E9">
              <w:t>animal sensitisation studies</w:t>
            </w:r>
          </w:p>
          <w:p w14:paraId="77E33A12" w14:textId="77777777" w:rsidR="001948B2" w:rsidRDefault="00C731E9" w:rsidP="00E2467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Inadequacies in repeated inhalation studies identified</w:t>
            </w:r>
          </w:p>
          <w:p w14:paraId="1329AB09" w14:textId="7FDDB1A8" w:rsidR="00C731E9" w:rsidRDefault="00C731E9" w:rsidP="00E2467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14 </w:t>
            </w:r>
            <w:proofErr w:type="spellStart"/>
            <w:r>
              <w:t>wk</w:t>
            </w:r>
            <w:proofErr w:type="spellEnd"/>
            <w:r>
              <w:t xml:space="preserve"> diet studies in rats and mice</w:t>
            </w:r>
            <w:r w:rsidR="00711F68">
              <w:t>; continuous access to compound</w:t>
            </w:r>
            <w:r>
              <w:t>:</w:t>
            </w:r>
          </w:p>
          <w:p w14:paraId="7F684BFB" w14:textId="407E6710" w:rsidR="00C731E9" w:rsidRDefault="00C731E9" w:rsidP="00E24675">
            <w:pPr>
              <w:pStyle w:val="ListBullet2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20 mg/kg</w:t>
            </w:r>
            <w:r w:rsidR="00426336">
              <w:t>/d</w:t>
            </w:r>
            <w:r>
              <w:t xml:space="preserve"> (lowest dose tested) in male rats induced vacuolisation of hepatocytes</w:t>
            </w:r>
          </w:p>
          <w:p w14:paraId="73B93B66" w14:textId="03814141" w:rsidR="00C731E9" w:rsidRDefault="00C731E9" w:rsidP="00E24675">
            <w:pPr>
              <w:pStyle w:val="ListBullet2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80 mg/kg</w:t>
            </w:r>
            <w:r w:rsidR="00426336">
              <w:t>/d</w:t>
            </w:r>
            <w:r>
              <w:t xml:space="preserve"> (lowest dose tested) in female mice caused hepatic hypertrophy </w:t>
            </w:r>
            <w:r w:rsidR="0086704C">
              <w:t>in 2/10</w:t>
            </w:r>
          </w:p>
          <w:p w14:paraId="26F1F65D" w14:textId="1C429574" w:rsidR="00434057" w:rsidRDefault="00434057" w:rsidP="00E2467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Not considered </w:t>
            </w:r>
            <w:r w:rsidR="00C96C13">
              <w:t xml:space="preserve">by </w:t>
            </w:r>
            <w:r w:rsidR="00711F68">
              <w:t xml:space="preserve">committee </w:t>
            </w:r>
            <w:r w:rsidR="00FA5FE9">
              <w:t xml:space="preserve">as </w:t>
            </w:r>
            <w:r>
              <w:t>a stochastic genotoxic compound</w:t>
            </w:r>
          </w:p>
          <w:p w14:paraId="289A8F37" w14:textId="10B113C9" w:rsidR="0086704C" w:rsidRDefault="00434057" w:rsidP="00E24675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Insufficient evidence to suggest carcinogenic to humans</w:t>
            </w:r>
            <w:r w:rsidR="001613CC">
              <w:t xml:space="preserve">; </w:t>
            </w:r>
            <w:proofErr w:type="gramStart"/>
            <w:r>
              <w:t>however</w:t>
            </w:r>
            <w:proofErr w:type="gramEnd"/>
            <w:r>
              <w:t xml:space="preserve"> </w:t>
            </w:r>
            <w:r w:rsidR="00C96C13">
              <w:t>classified as a suspect (non-genotoxic) carcinogen</w:t>
            </w:r>
          </w:p>
          <w:p w14:paraId="6EF3572F" w14:textId="238F8BD8" w:rsidR="00C96C13" w:rsidRDefault="00711F68" w:rsidP="00E2467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14</w:t>
            </w:r>
            <w:r w:rsidR="00132B56">
              <w:t xml:space="preserve"> </w:t>
            </w:r>
            <w:proofErr w:type="spellStart"/>
            <w:r>
              <w:t>wk</w:t>
            </w:r>
            <w:proofErr w:type="spellEnd"/>
            <w:r>
              <w:t xml:space="preserve"> oral study of rats and mice used by committee as starting point for deriving HBROEL:</w:t>
            </w:r>
          </w:p>
          <w:p w14:paraId="04DD4F17" w14:textId="5B50079F" w:rsidR="00C96C13" w:rsidRDefault="00FA5FE9" w:rsidP="00E24675">
            <w:pPr>
              <w:pStyle w:val="ListBullet2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 xml:space="preserve">hepatocellular </w:t>
            </w:r>
            <w:r w:rsidR="00711F68">
              <w:t>vacuolisation at 20 mg/kg</w:t>
            </w:r>
            <w:r w:rsidR="00426336">
              <w:t>/d</w:t>
            </w:r>
            <w:r w:rsidR="00711F68">
              <w:t xml:space="preserve"> considered LOAEL</w:t>
            </w:r>
          </w:p>
          <w:p w14:paraId="62C68489" w14:textId="632DAC06" w:rsidR="00E24675" w:rsidRDefault="00FA5FE9" w:rsidP="00E24675">
            <w:pPr>
              <w:pStyle w:val="ListBullet2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 xml:space="preserve">with </w:t>
            </w:r>
            <w:r w:rsidR="009645D2">
              <w:t>c</w:t>
            </w:r>
            <w:r w:rsidR="00711F68">
              <w:t>onsideration of mildness of key effect</w:t>
            </w:r>
            <w:r w:rsidR="009645D2">
              <w:t>,</w:t>
            </w:r>
            <w:r w:rsidR="00711F68">
              <w:t xml:space="preserve"> </w:t>
            </w:r>
            <w:r w:rsidR="009645D2">
              <w:t xml:space="preserve">continuous access to compound and no exposure-free recovery period, UF of 2 applied in absence of NOAEL and 10 for intraspecies and interspecies variation; recommended TWA of </w:t>
            </w:r>
            <w:r>
              <w:t>1 ppm (</w:t>
            </w:r>
            <w:r w:rsidR="009645D2">
              <w:t>7 mg/m</w:t>
            </w:r>
            <w:r w:rsidR="009645D2" w:rsidRPr="009645D2">
              <w:rPr>
                <w:vertAlign w:val="superscript"/>
              </w:rPr>
              <w:t>3</w:t>
            </w:r>
            <w:r>
              <w:t xml:space="preserve">). </w:t>
            </w:r>
          </w:p>
          <w:p w14:paraId="492D7791" w14:textId="7EBAE3EA" w:rsidR="00E24675" w:rsidRPr="00DA352E" w:rsidRDefault="00E24675" w:rsidP="00E24675">
            <w:pPr>
              <w:pStyle w:val="ListBullet2"/>
              <w:numPr>
                <w:ilvl w:val="0"/>
                <w:numId w:val="0"/>
              </w:numPr>
              <w:spacing w:before="60" w:after="60"/>
              <w:ind w:left="643" w:hanging="360"/>
              <w:contextualSpacing w:val="0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21C7ACE5" w14:textId="08DC98D4" w:rsidR="007E2A4B" w:rsidRDefault="00132B56">
      <w:r>
        <w:t>NIL</w:t>
      </w:r>
      <w:r w:rsidR="00FA5FE9">
        <w:t>.</w:t>
      </w:r>
    </w:p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1948B2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212C9620" w:rsidR="002E0D61" w:rsidRDefault="00C96C1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1948B2">
        <w:trPr>
          <w:trHeight w:val="454"/>
        </w:trPr>
        <w:tc>
          <w:tcPr>
            <w:tcW w:w="6603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2B1B278" w14:textId="3FE567F6" w:rsidR="008A36CF" w:rsidRDefault="001948B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24675" w14:paraId="4D6DDFA3" w14:textId="77777777" w:rsidTr="00EA18CC">
        <w:trPr>
          <w:trHeight w:val="454"/>
        </w:trPr>
        <w:sdt>
          <w:sdtPr>
            <w:rPr>
              <w:b/>
            </w:rPr>
            <w:id w:val="1830936485"/>
            <w:placeholder>
              <w:docPart w:val="676EC484D15249F0A7A5F859192284EC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4F922885" w:rsidR="00E24675" w:rsidRDefault="00E2467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BA2F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BA2FF1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327DFF8A" w:rsidR="00687890" w:rsidRPr="00DD2F9B" w:rsidRDefault="00041519" w:rsidP="00DD2F9B">
            <w:pPr>
              <w:pStyle w:val="Tablefont"/>
            </w:pPr>
            <w:r w:rsidRPr="00041519">
              <w:t>Skin</w:t>
            </w:r>
          </w:p>
        </w:tc>
      </w:tr>
      <w:tr w:rsidR="007925F0" w:rsidRPr="004C23F4" w14:paraId="2A0C13EF" w14:textId="77777777" w:rsidTr="00BA2FF1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608AAAC6" w:rsidR="007925F0" w:rsidRPr="00DD2F9B" w:rsidRDefault="00041519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C1044B3" w14:textId="77777777" w:rsidTr="00BA2FF1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3E963078" w:rsidR="00AF483F" w:rsidRPr="00DD2F9B" w:rsidRDefault="0004151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BA2FF1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617415EA" w:rsidR="00687890" w:rsidRPr="00DD2F9B" w:rsidRDefault="0004151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BA2FF1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44E61AFC" w:rsidR="00E41A26" w:rsidRPr="00DD2F9B" w:rsidRDefault="0004151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7A490EF" w14:textId="77777777" w:rsidTr="00BA2FF1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732F5E09" w:rsidR="002E0D61" w:rsidRPr="00DD2F9B" w:rsidRDefault="00034013" w:rsidP="00DD2F9B">
            <w:pPr>
              <w:pStyle w:val="Tablefont"/>
            </w:pPr>
            <w:r w:rsidRPr="00034013">
              <w:t>Carcinogenicity – A3</w:t>
            </w:r>
            <w:r>
              <w:t>, Skin</w:t>
            </w:r>
          </w:p>
        </w:tc>
      </w:tr>
      <w:tr w:rsidR="002E0D61" w:rsidRPr="004C23F4" w14:paraId="43FA3590" w14:textId="77777777" w:rsidTr="00BA2FF1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12899F9E" w:rsidR="002E0D61" w:rsidRPr="00DD2F9B" w:rsidRDefault="00034013" w:rsidP="00DD2F9B">
            <w:pPr>
              <w:pStyle w:val="Tablefont"/>
            </w:pPr>
            <w:r w:rsidRPr="00034013">
              <w:t>Carcinogenicity – 3B</w:t>
            </w:r>
            <w:r>
              <w:t xml:space="preserve">, </w:t>
            </w:r>
            <w:r w:rsidRPr="00034013">
              <w:t>H (skin)</w:t>
            </w:r>
          </w:p>
        </w:tc>
      </w:tr>
      <w:tr w:rsidR="002E0D61" w:rsidRPr="004C23F4" w14:paraId="2AC7B866" w14:textId="77777777" w:rsidTr="00BA2FF1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413DD18D" w:rsidR="002E0D61" w:rsidRPr="00DD2F9B" w:rsidRDefault="0003401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BA2FF1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19FB2635" w:rsidR="002E0D61" w:rsidRPr="00DD2F9B" w:rsidRDefault="00034013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5F6A6A8E" w14:textId="77777777" w:rsidTr="00BA2FF1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5155D089" w:rsidR="00386093" w:rsidRPr="00DD2F9B" w:rsidRDefault="00034013" w:rsidP="00DD2F9B">
            <w:pPr>
              <w:pStyle w:val="Tablefont"/>
            </w:pPr>
            <w:r w:rsidRPr="00034013">
              <w:t>Carcinogenicity – Group 2B</w:t>
            </w:r>
          </w:p>
        </w:tc>
      </w:tr>
      <w:tr w:rsidR="00386093" w:rsidRPr="004C23F4" w14:paraId="7461DB0E" w14:textId="77777777" w:rsidTr="00BA2FF1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2546D054" w:rsidR="00386093" w:rsidRPr="00DD2F9B" w:rsidRDefault="0003401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896"/>
        <w:gridCol w:w="1173"/>
        <w:gridCol w:w="1173"/>
        <w:gridCol w:w="2784"/>
      </w:tblGrid>
      <w:tr w:rsidR="007F7633" w14:paraId="79B51394" w14:textId="77777777" w:rsidTr="007F7633">
        <w:trPr>
          <w:trHeight w:val="342"/>
        </w:trPr>
        <w:tc>
          <w:tcPr>
            <w:tcW w:w="21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3"/>
          <w:p w14:paraId="0165EB8C" w14:textId="77777777" w:rsidR="007F7633" w:rsidRDefault="007F7633">
            <w:pPr>
              <w:spacing w:after="0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Adverse effects in human case study: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3E0A04DE" w14:textId="77777777" w:rsidR="007F7633" w:rsidRDefault="007F7633">
            <w:pPr>
              <w:jc w:val="center"/>
              <w:rPr>
                <w:rFonts w:ascii="Segoe UI" w:hAnsi="Segoe UI" w:cs="Segoe UI"/>
                <w:color w:val="9C6500"/>
                <w:sz w:val="18"/>
                <w:szCs w:val="18"/>
              </w:rPr>
            </w:pPr>
            <w:r>
              <w:rPr>
                <w:rFonts w:ascii="Segoe UI" w:hAnsi="Segoe UI" w:cs="Segoe UI"/>
                <w:color w:val="9C6500"/>
                <w:sz w:val="18"/>
                <w:szCs w:val="18"/>
              </w:rPr>
              <w:t>yes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699C88" w14:textId="77777777" w:rsidR="007F7633" w:rsidRDefault="007F7633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4.00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BA6D137" w14:textId="77777777" w:rsidR="007F7633" w:rsidRDefault="007F7633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7F7633" w14:paraId="4C357044" w14:textId="77777777" w:rsidTr="007F7633">
        <w:trPr>
          <w:trHeight w:val="342"/>
        </w:trPr>
        <w:tc>
          <w:tcPr>
            <w:tcW w:w="21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2BD047C" w14:textId="77777777" w:rsidR="007F7633" w:rsidRDefault="007F7633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lastRenderedPageBreak/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≤1000 mg/kg: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861DC4C" w14:textId="77777777" w:rsidR="007F7633" w:rsidRDefault="007F7633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D4CFB84" w14:textId="77777777" w:rsidR="007F7633" w:rsidRDefault="007F7633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D59E1BB" w14:textId="77777777" w:rsidR="007F7633" w:rsidRDefault="007F7633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7F7633" w14:paraId="216C41E3" w14:textId="77777777" w:rsidTr="007F7633">
        <w:trPr>
          <w:trHeight w:val="342"/>
        </w:trPr>
        <w:tc>
          <w:tcPr>
            <w:tcW w:w="21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920B66C" w14:textId="77777777" w:rsidR="007F7633" w:rsidRDefault="007F7633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repeat-dose NOAEL ≤200 mg/kg: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7031F48" w14:textId="77777777" w:rsidR="007F7633" w:rsidRDefault="007F7633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DD3E307" w14:textId="77777777" w:rsidR="007F7633" w:rsidRDefault="007F7633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4B93D2A" w14:textId="77777777" w:rsidR="007F7633" w:rsidRDefault="007F7633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7F7633" w14:paraId="2CDC0467" w14:textId="77777777" w:rsidTr="007F7633">
        <w:trPr>
          <w:trHeight w:val="342"/>
        </w:trPr>
        <w:tc>
          <w:tcPr>
            <w:tcW w:w="21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1285BD5" w14:textId="77777777" w:rsidR="007F7633" w:rsidRDefault="007F7633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/Inhalation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&lt;10: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457E754" w14:textId="77777777" w:rsidR="007F7633" w:rsidRDefault="007F7633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B52390B" w14:textId="77777777" w:rsidR="007F7633" w:rsidRDefault="007F7633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C62FEF6" w14:textId="77777777" w:rsidR="007F7633" w:rsidRDefault="007F7633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7F7633" w14:paraId="2EF83976" w14:textId="77777777" w:rsidTr="007F7633">
        <w:trPr>
          <w:trHeight w:val="342"/>
        </w:trPr>
        <w:tc>
          <w:tcPr>
            <w:tcW w:w="21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FA19F97" w14:textId="77777777" w:rsidR="007F7633" w:rsidRDefault="007F7633">
            <w:pPr>
              <w:jc w:val="right"/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In vivo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dermal absorption rate &gt;10%: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67411DD" w14:textId="77777777" w:rsidR="007F7633" w:rsidRDefault="007F7633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DDE12FD" w14:textId="77777777" w:rsidR="007F7633" w:rsidRDefault="007F7633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B8B6D97" w14:textId="77777777" w:rsidR="007F7633" w:rsidRDefault="007F7633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7F7633" w14:paraId="2C6D7903" w14:textId="77777777" w:rsidTr="007F7633">
        <w:trPr>
          <w:trHeight w:val="342"/>
        </w:trPr>
        <w:tc>
          <w:tcPr>
            <w:tcW w:w="21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3C1243C" w14:textId="77777777" w:rsidR="007F7633" w:rsidRDefault="007F7633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Estimated dermal exposure at WES &gt;10%: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397C666" w14:textId="77777777" w:rsidR="007F7633" w:rsidRDefault="007F7633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0A2FE2A" w14:textId="77777777" w:rsidR="007F7633" w:rsidRDefault="007F7633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7FD5332" w14:textId="77777777" w:rsidR="007F7633" w:rsidRDefault="007F7633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7F7633" w14:paraId="49FEC64E" w14:textId="77777777" w:rsidTr="007F7633">
        <w:trPr>
          <w:trHeight w:val="342"/>
        </w:trPr>
        <w:tc>
          <w:tcPr>
            <w:tcW w:w="21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EC82561" w14:textId="77777777" w:rsidR="007F7633" w:rsidRDefault="007F7633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F4EEA68" w14:textId="77777777" w:rsidR="007F7633" w:rsidRDefault="007F7633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1836E78" w14:textId="77777777" w:rsidR="007F7633" w:rsidRDefault="007F7633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A31F7DD" w14:textId="77777777" w:rsidR="007F7633" w:rsidRDefault="007F7633">
            <w:pP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a skin notation is warranted</w:t>
            </w:r>
          </w:p>
        </w:tc>
      </w:tr>
    </w:tbl>
    <w:p w14:paraId="17DD4C74" w14:textId="0A560DAD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1A883194" w:rsidR="00EB3D1B" w:rsidRDefault="00034013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30B6D6BA" w:rsidR="001B79E5" w:rsidRDefault="00034013" w:rsidP="001B79E5">
                <w:pPr>
                  <w:pStyle w:val="Tablefont"/>
                </w:pPr>
                <w:r w:rsidRPr="00034013">
                  <w:t>167.84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52573FDF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034013">
                  <w:t>6.87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034013">
                  <w:t>0.15</w:t>
                </w:r>
              </w:sdtContent>
            </w:sdt>
            <w:r w:rsidRPr="00034013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51133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1E3090CD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034013" w:rsidRPr="00034013">
        <w:t>2002</w:t>
      </w:r>
      <w:r>
        <w:t xml:space="preserve">) </w:t>
      </w:r>
      <w:r w:rsidR="00034013" w:rsidRPr="00034013">
        <w:t>1,1,2,2-Tetrachlorethan</w:t>
      </w:r>
      <w:r>
        <w:t xml:space="preserve"> – MAK value documentation.</w:t>
      </w:r>
    </w:p>
    <w:p w14:paraId="28EAA9C1" w14:textId="7C6ECCB2" w:rsidR="008E4F1F" w:rsidRDefault="008E4F1F" w:rsidP="008E4F1F">
      <w:r w:rsidRPr="002022B6">
        <w:t>Health Council of the Netherlands</w:t>
      </w:r>
      <w:r>
        <w:t xml:space="preserve"> (HCOTN) (</w:t>
      </w:r>
      <w:r w:rsidR="00034013" w:rsidRPr="00034013">
        <w:t>2006</w:t>
      </w:r>
      <w:r>
        <w:t xml:space="preserve">) </w:t>
      </w:r>
      <w:r w:rsidR="00034013" w:rsidRPr="00034013">
        <w:t>Tetrachloroethane</w:t>
      </w:r>
      <w:r w:rsidRPr="005F7416">
        <w:t xml:space="preserve">. Health-based calculated occupational cancer risk values. The Hague: Health Council of the Netherlands; publication no. </w:t>
      </w:r>
      <w:r w:rsidR="00034013" w:rsidRPr="00034013">
        <w:t>2006/09OSH</w:t>
      </w:r>
      <w:r>
        <w:t>.</w:t>
      </w:r>
    </w:p>
    <w:p w14:paraId="41AFBB88" w14:textId="729AE8AA" w:rsidR="00FA5FE9" w:rsidRPr="00FA5FE9" w:rsidRDefault="00FA5FE9" w:rsidP="008E4F1F">
      <w:r>
        <w:t xml:space="preserve">International Agency for Research on Cancer (IARC) 1,1,2,2-Tetrachloroethane. IARC Monographs – </w:t>
      </w:r>
      <w:r w:rsidRPr="00A85AEE">
        <w:t>1</w:t>
      </w:r>
      <w:r w:rsidR="00A85AEE" w:rsidRPr="00A85AEE">
        <w:t>06</w:t>
      </w:r>
      <w:r w:rsidRPr="00A85AEE">
        <w:t>.</w:t>
      </w:r>
    </w:p>
    <w:p w14:paraId="77EFB18B" w14:textId="368DADC8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034013" w:rsidRPr="00034013">
        <w:t>1994</w:t>
      </w:r>
      <w:r>
        <w:t xml:space="preserve">) Immediately dangerous to life or health concentrations – </w:t>
      </w:r>
      <w:r w:rsidR="00034013" w:rsidRPr="00034013">
        <w:t>1,1,2,2-Tetrachloroethane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2AE2E" w14:textId="77777777" w:rsidR="00851418" w:rsidRDefault="00851418" w:rsidP="00F43AD5">
      <w:pPr>
        <w:spacing w:after="0" w:line="240" w:lineRule="auto"/>
      </w:pPr>
      <w:r>
        <w:separator/>
      </w:r>
    </w:p>
  </w:endnote>
  <w:endnote w:type="continuationSeparator" w:id="0">
    <w:p w14:paraId="04D0BA30" w14:textId="77777777" w:rsidR="00851418" w:rsidRDefault="0085141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70349F95" w:rsidR="008A36CF" w:rsidRDefault="00041519" w:rsidP="0034744C">
        <w:pPr>
          <w:pStyle w:val="Footer"/>
          <w:rPr>
            <w:sz w:val="18"/>
            <w:szCs w:val="18"/>
          </w:rPr>
        </w:pPr>
        <w:r w:rsidRPr="00041519">
          <w:rPr>
            <w:b/>
            <w:sz w:val="18"/>
            <w:szCs w:val="18"/>
          </w:rPr>
          <w:t>1,1,2,2-Tetrachloroethane</w:t>
        </w:r>
        <w:r w:rsidR="008A36CF">
          <w:rPr>
            <w:b/>
            <w:sz w:val="18"/>
            <w:szCs w:val="18"/>
          </w:rPr>
          <w:t xml:space="preserve"> (</w:t>
        </w:r>
        <w:r w:rsidRPr="00041519">
          <w:rPr>
            <w:b/>
            <w:sz w:val="18"/>
            <w:szCs w:val="18"/>
          </w:rPr>
          <w:t>79-34-5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8A23E3">
          <w:rPr>
            <w:sz w:val="18"/>
            <w:szCs w:val="18"/>
          </w:rPr>
          <w:t>20</w:t>
        </w:r>
      </w:p>
      <w:p w14:paraId="2D517F5E" w14:textId="2111E0C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01436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5C8EC" w14:textId="77777777" w:rsidR="00851418" w:rsidRDefault="00851418" w:rsidP="00F43AD5">
      <w:pPr>
        <w:spacing w:after="0" w:line="240" w:lineRule="auto"/>
      </w:pPr>
      <w:r>
        <w:separator/>
      </w:r>
    </w:p>
  </w:footnote>
  <w:footnote w:type="continuationSeparator" w:id="0">
    <w:p w14:paraId="4548F8FD" w14:textId="77777777" w:rsidR="00851418" w:rsidRDefault="0085141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A8792" w14:textId="1A1BA300" w:rsidR="008A36CF" w:rsidRPr="00140CB3" w:rsidRDefault="00140CB3" w:rsidP="00140CB3">
    <w:pPr>
      <w:pStyle w:val="Header"/>
      <w:jc w:val="right"/>
    </w:pPr>
    <w:r>
      <w:rPr>
        <w:noProof/>
        <w:lang w:eastAsia="en-AU"/>
      </w:rPr>
      <w:drawing>
        <wp:inline distT="0" distB="0" distL="0" distR="0" wp14:anchorId="5D6D9596" wp14:editId="7CA15FC4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12570" w14:textId="7FC964CD" w:rsidR="00140CB3" w:rsidRDefault="00140CB3" w:rsidP="00140CB3">
    <w:pPr>
      <w:pStyle w:val="Header"/>
      <w:jc w:val="right"/>
    </w:pPr>
    <w:r>
      <w:rPr>
        <w:noProof/>
        <w:lang w:eastAsia="en-AU"/>
      </w:rPr>
      <w:drawing>
        <wp:inline distT="0" distB="0" distL="0" distR="0" wp14:anchorId="625B4D4B" wp14:editId="4CE0CC4B">
          <wp:extent cx="2943225" cy="590550"/>
          <wp:effectExtent l="0" t="0" r="0" b="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F628CF" w14:textId="77777777" w:rsidR="00140CB3" w:rsidRDefault="00140CB3" w:rsidP="00140CB3">
    <w:pPr>
      <w:pStyle w:val="Header"/>
    </w:pPr>
  </w:p>
  <w:p w14:paraId="71F09FB4" w14:textId="179C96FA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B801EB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14AF0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8240746"/>
    <w:multiLevelType w:val="hybridMultilevel"/>
    <w:tmpl w:val="67D0FD9C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53897D53"/>
    <w:multiLevelType w:val="hybridMultilevel"/>
    <w:tmpl w:val="3C58868E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68CC2581"/>
    <w:multiLevelType w:val="hybridMultilevel"/>
    <w:tmpl w:val="E8E4F11E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A767202"/>
    <w:multiLevelType w:val="hybridMultilevel"/>
    <w:tmpl w:val="0C3CD8F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6E4F2D99"/>
    <w:multiLevelType w:val="hybridMultilevel"/>
    <w:tmpl w:val="11625C42"/>
    <w:lvl w:ilvl="0" w:tplc="0C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6FAF5B68"/>
    <w:multiLevelType w:val="hybridMultilevel"/>
    <w:tmpl w:val="B4A22E1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692105664">
    <w:abstractNumId w:val="1"/>
  </w:num>
  <w:num w:numId="2" w16cid:durableId="510216485">
    <w:abstractNumId w:val="0"/>
  </w:num>
  <w:num w:numId="3" w16cid:durableId="1501309208">
    <w:abstractNumId w:val="6"/>
  </w:num>
  <w:num w:numId="4" w16cid:durableId="1859074448">
    <w:abstractNumId w:val="0"/>
  </w:num>
  <w:num w:numId="5" w16cid:durableId="1809973375">
    <w:abstractNumId w:val="0"/>
  </w:num>
  <w:num w:numId="6" w16cid:durableId="582573549">
    <w:abstractNumId w:val="0"/>
  </w:num>
  <w:num w:numId="7" w16cid:durableId="1288124773">
    <w:abstractNumId w:val="0"/>
  </w:num>
  <w:num w:numId="8" w16cid:durableId="425538157">
    <w:abstractNumId w:val="3"/>
  </w:num>
  <w:num w:numId="9" w16cid:durableId="448360244">
    <w:abstractNumId w:val="5"/>
  </w:num>
  <w:num w:numId="10" w16cid:durableId="1270816851">
    <w:abstractNumId w:val="7"/>
  </w:num>
  <w:num w:numId="11" w16cid:durableId="470102613">
    <w:abstractNumId w:val="4"/>
  </w:num>
  <w:num w:numId="12" w16cid:durableId="1821379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4013"/>
    <w:rsid w:val="00037E52"/>
    <w:rsid w:val="00041519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1436"/>
    <w:rsid w:val="0010461E"/>
    <w:rsid w:val="00106FAA"/>
    <w:rsid w:val="00113443"/>
    <w:rsid w:val="001269A7"/>
    <w:rsid w:val="00131092"/>
    <w:rsid w:val="00132B56"/>
    <w:rsid w:val="001406A3"/>
    <w:rsid w:val="00140CB3"/>
    <w:rsid w:val="00140E6A"/>
    <w:rsid w:val="00146545"/>
    <w:rsid w:val="00146B75"/>
    <w:rsid w:val="0015266D"/>
    <w:rsid w:val="0015288A"/>
    <w:rsid w:val="00155950"/>
    <w:rsid w:val="00155999"/>
    <w:rsid w:val="00160F47"/>
    <w:rsid w:val="001613CC"/>
    <w:rsid w:val="00177CA1"/>
    <w:rsid w:val="00182AB8"/>
    <w:rsid w:val="00183823"/>
    <w:rsid w:val="00183942"/>
    <w:rsid w:val="001915F6"/>
    <w:rsid w:val="001948B2"/>
    <w:rsid w:val="001A009E"/>
    <w:rsid w:val="001A1287"/>
    <w:rsid w:val="001A3859"/>
    <w:rsid w:val="001A3C9D"/>
    <w:rsid w:val="001A43F8"/>
    <w:rsid w:val="001B79E5"/>
    <w:rsid w:val="001C4256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6612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3D6E"/>
    <w:rsid w:val="0025734A"/>
    <w:rsid w:val="00263255"/>
    <w:rsid w:val="00266880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0E51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57700"/>
    <w:rsid w:val="00362895"/>
    <w:rsid w:val="00370DBF"/>
    <w:rsid w:val="00374495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4ED2"/>
    <w:rsid w:val="003D4FA3"/>
    <w:rsid w:val="003D55C2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6336"/>
    <w:rsid w:val="00430179"/>
    <w:rsid w:val="00434057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38A0"/>
    <w:rsid w:val="00474E33"/>
    <w:rsid w:val="00476803"/>
    <w:rsid w:val="00485137"/>
    <w:rsid w:val="00485BFD"/>
    <w:rsid w:val="004867A2"/>
    <w:rsid w:val="004873F2"/>
    <w:rsid w:val="00490D4C"/>
    <w:rsid w:val="00493A35"/>
    <w:rsid w:val="0049527A"/>
    <w:rsid w:val="004966BF"/>
    <w:rsid w:val="00497984"/>
    <w:rsid w:val="00497D35"/>
    <w:rsid w:val="004A01EF"/>
    <w:rsid w:val="004A5088"/>
    <w:rsid w:val="004B2060"/>
    <w:rsid w:val="004C1E3F"/>
    <w:rsid w:val="004C23F4"/>
    <w:rsid w:val="004C3475"/>
    <w:rsid w:val="004C58B6"/>
    <w:rsid w:val="004D16A3"/>
    <w:rsid w:val="004D367D"/>
    <w:rsid w:val="004D4AA1"/>
    <w:rsid w:val="004D6A9D"/>
    <w:rsid w:val="004D6D68"/>
    <w:rsid w:val="004E5EDD"/>
    <w:rsid w:val="004F448A"/>
    <w:rsid w:val="004F493D"/>
    <w:rsid w:val="004F65E8"/>
    <w:rsid w:val="0050005E"/>
    <w:rsid w:val="00502B88"/>
    <w:rsid w:val="0051133E"/>
    <w:rsid w:val="005142C4"/>
    <w:rsid w:val="0051509C"/>
    <w:rsid w:val="005272E2"/>
    <w:rsid w:val="0053108F"/>
    <w:rsid w:val="00532B56"/>
    <w:rsid w:val="00534B10"/>
    <w:rsid w:val="00543EF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C61FF"/>
    <w:rsid w:val="005D3193"/>
    <w:rsid w:val="005D4A6E"/>
    <w:rsid w:val="005E5BE5"/>
    <w:rsid w:val="005E6979"/>
    <w:rsid w:val="005E75CB"/>
    <w:rsid w:val="006013C1"/>
    <w:rsid w:val="00603E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3F77"/>
    <w:rsid w:val="00701053"/>
    <w:rsid w:val="0070141C"/>
    <w:rsid w:val="00701507"/>
    <w:rsid w:val="00711F68"/>
    <w:rsid w:val="00714021"/>
    <w:rsid w:val="00716A0F"/>
    <w:rsid w:val="00717D45"/>
    <w:rsid w:val="007208F7"/>
    <w:rsid w:val="007218AF"/>
    <w:rsid w:val="00730E10"/>
    <w:rsid w:val="007365D1"/>
    <w:rsid w:val="00740E0E"/>
    <w:rsid w:val="00750212"/>
    <w:rsid w:val="00754779"/>
    <w:rsid w:val="0075716D"/>
    <w:rsid w:val="00765F14"/>
    <w:rsid w:val="00770E31"/>
    <w:rsid w:val="00776519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7F7633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1418"/>
    <w:rsid w:val="00853540"/>
    <w:rsid w:val="00857A8A"/>
    <w:rsid w:val="008630EE"/>
    <w:rsid w:val="00864078"/>
    <w:rsid w:val="00864D13"/>
    <w:rsid w:val="0086704C"/>
    <w:rsid w:val="00871CD5"/>
    <w:rsid w:val="008745A2"/>
    <w:rsid w:val="008768A8"/>
    <w:rsid w:val="0088798F"/>
    <w:rsid w:val="00887E4B"/>
    <w:rsid w:val="008915C8"/>
    <w:rsid w:val="008A0D24"/>
    <w:rsid w:val="008A23E3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33DA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45D2"/>
    <w:rsid w:val="00974F2D"/>
    <w:rsid w:val="00977265"/>
    <w:rsid w:val="00977524"/>
    <w:rsid w:val="00977E88"/>
    <w:rsid w:val="00984920"/>
    <w:rsid w:val="0099303A"/>
    <w:rsid w:val="009971C2"/>
    <w:rsid w:val="009A1254"/>
    <w:rsid w:val="009A7B61"/>
    <w:rsid w:val="009B2FF2"/>
    <w:rsid w:val="009B380C"/>
    <w:rsid w:val="009B4030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2653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5AEE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1317"/>
    <w:rsid w:val="00AE2745"/>
    <w:rsid w:val="00AE2F64"/>
    <w:rsid w:val="00AF42CB"/>
    <w:rsid w:val="00AF483F"/>
    <w:rsid w:val="00AF5E07"/>
    <w:rsid w:val="00AF5F06"/>
    <w:rsid w:val="00B00A25"/>
    <w:rsid w:val="00B07D0E"/>
    <w:rsid w:val="00B1422A"/>
    <w:rsid w:val="00B16DA1"/>
    <w:rsid w:val="00B1765C"/>
    <w:rsid w:val="00B213C4"/>
    <w:rsid w:val="00B343B8"/>
    <w:rsid w:val="00B40C60"/>
    <w:rsid w:val="00B479A9"/>
    <w:rsid w:val="00B52EDF"/>
    <w:rsid w:val="00B6444F"/>
    <w:rsid w:val="00B71188"/>
    <w:rsid w:val="00B76A41"/>
    <w:rsid w:val="00B77278"/>
    <w:rsid w:val="00B87D4C"/>
    <w:rsid w:val="00B93646"/>
    <w:rsid w:val="00BA0B38"/>
    <w:rsid w:val="00BA1DBB"/>
    <w:rsid w:val="00BA2FF1"/>
    <w:rsid w:val="00BA3284"/>
    <w:rsid w:val="00BA4510"/>
    <w:rsid w:val="00BA529A"/>
    <w:rsid w:val="00BB612A"/>
    <w:rsid w:val="00BD499F"/>
    <w:rsid w:val="00BD56DE"/>
    <w:rsid w:val="00BF2406"/>
    <w:rsid w:val="00C06E43"/>
    <w:rsid w:val="00C16315"/>
    <w:rsid w:val="00C208AE"/>
    <w:rsid w:val="00C24378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31E9"/>
    <w:rsid w:val="00C74833"/>
    <w:rsid w:val="00C850A0"/>
    <w:rsid w:val="00C85A86"/>
    <w:rsid w:val="00C96C13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6097"/>
    <w:rsid w:val="00D048F7"/>
    <w:rsid w:val="00D0517E"/>
    <w:rsid w:val="00D140FC"/>
    <w:rsid w:val="00D21D8C"/>
    <w:rsid w:val="00D2215A"/>
    <w:rsid w:val="00D24CEC"/>
    <w:rsid w:val="00D31357"/>
    <w:rsid w:val="00D33220"/>
    <w:rsid w:val="00D334D1"/>
    <w:rsid w:val="00D36F72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5C21"/>
    <w:rsid w:val="00DC549A"/>
    <w:rsid w:val="00DC7694"/>
    <w:rsid w:val="00DD1BF6"/>
    <w:rsid w:val="00DD2F9B"/>
    <w:rsid w:val="00DE2513"/>
    <w:rsid w:val="00DE26E8"/>
    <w:rsid w:val="00DE2BB4"/>
    <w:rsid w:val="00DF6F36"/>
    <w:rsid w:val="00E0084C"/>
    <w:rsid w:val="00E01E15"/>
    <w:rsid w:val="00E025AB"/>
    <w:rsid w:val="00E02B23"/>
    <w:rsid w:val="00E06F40"/>
    <w:rsid w:val="00E07CE8"/>
    <w:rsid w:val="00E24675"/>
    <w:rsid w:val="00E26A07"/>
    <w:rsid w:val="00E32595"/>
    <w:rsid w:val="00E37CFD"/>
    <w:rsid w:val="00E416B2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6AD8"/>
    <w:rsid w:val="00EA74AB"/>
    <w:rsid w:val="00EB2F0D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3E64"/>
    <w:rsid w:val="00F43AD5"/>
    <w:rsid w:val="00F4402E"/>
    <w:rsid w:val="00F56DD0"/>
    <w:rsid w:val="00F6491C"/>
    <w:rsid w:val="00F67BBB"/>
    <w:rsid w:val="00F75F8E"/>
    <w:rsid w:val="00F87D92"/>
    <w:rsid w:val="00F90AA7"/>
    <w:rsid w:val="00F92498"/>
    <w:rsid w:val="00F9496B"/>
    <w:rsid w:val="00F970C9"/>
    <w:rsid w:val="00FA06A8"/>
    <w:rsid w:val="00FA34C7"/>
    <w:rsid w:val="00FA3DF5"/>
    <w:rsid w:val="00FA5FE9"/>
    <w:rsid w:val="00FA741F"/>
    <w:rsid w:val="00FB4E07"/>
    <w:rsid w:val="00FB755A"/>
    <w:rsid w:val="00FC60A2"/>
    <w:rsid w:val="00FD1871"/>
    <w:rsid w:val="00FD3110"/>
    <w:rsid w:val="00FF32FA"/>
    <w:rsid w:val="00FF5C3D"/>
    <w:rsid w:val="00FF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4151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rsid w:val="0004151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Bullet">
    <w:name w:val="List Bullet"/>
    <w:basedOn w:val="Normal"/>
    <w:uiPriority w:val="99"/>
    <w:unhideWhenUsed/>
    <w:rsid w:val="00D36F7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4A01EF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F76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63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63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6B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3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676EC484D15249F0A7A5F859192284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9E326-D629-4A14-AE7D-8DFE4ED895FF}"/>
      </w:docPartPr>
      <w:docPartBody>
        <w:p w:rsidR="005D3678" w:rsidRDefault="00D23CDF" w:rsidP="00D23CDF">
          <w:pPr>
            <w:pStyle w:val="676EC484D15249F0A7A5F859192284EC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44203B"/>
    <w:rsid w:val="005D3678"/>
    <w:rsid w:val="00755FBF"/>
    <w:rsid w:val="008E33DA"/>
    <w:rsid w:val="009B4030"/>
    <w:rsid w:val="00C26FC7"/>
    <w:rsid w:val="00CA72D3"/>
    <w:rsid w:val="00D21A9F"/>
    <w:rsid w:val="00D2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3CD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676EC484D15249F0A7A5F859192284EC">
    <w:name w:val="676EC484D15249F0A7A5F859192284EC"/>
    <w:rsid w:val="00D23C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929DD-3B28-4E27-AEAF-97C726043D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EEBAAA-FB59-452F-8C9F-77D68C9D4CD2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a0509f21-ed56-4150-9955-96be669e5f2d"/>
    <ds:schemaRef ds:uri="http://purl.org/dc/elements/1.1/"/>
    <ds:schemaRef ds:uri="http://purl.org/dc/terms/"/>
    <ds:schemaRef ds:uri="1c567317-0c4d-4a62-8516-c22afd1b5354"/>
  </ds:schemaRefs>
</ds:datastoreItem>
</file>

<file path=customXml/itemProps3.xml><?xml version="1.0" encoding="utf-8"?>
<ds:datastoreItem xmlns:ds="http://schemas.openxmlformats.org/officeDocument/2006/customXml" ds:itemID="{9A536254-4A4D-4218-B239-1EF06B0D8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47F117-6AB0-4EC4-B4F3-C58957EB4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2020-03-29T23:16:00Z</dcterms:created>
  <dcterms:modified xsi:type="dcterms:W3CDTF">2026-01-09T01:37:00Z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2026-01-07T01:06:01Z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08c027ce-3a08-4751-b391-c4e32885248c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