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DC9D7E1" w:rsidR="00BD499F" w:rsidRPr="004C23F4" w:rsidRDefault="00BA36F0" w:rsidP="00BA36F0">
          <w:pPr>
            <w:pStyle w:val="Heading1"/>
            <w:jc w:val="center"/>
            <w:rPr>
              <w:rFonts w:ascii="Arial" w:hAnsi="Arial" w:cs="Arial"/>
            </w:rPr>
          </w:pPr>
          <w:r w:rsidRPr="00BA36F0">
            <w:rPr>
              <w:rFonts w:ascii="Arial" w:hAnsi="Arial" w:cs="Arial"/>
            </w:rPr>
            <w:t>1,1,2,2-Tetrachloro-1,2-difluoroethane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EE40E1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3536D70B" w:rsidR="00F43AD5" w:rsidRPr="00717D45" w:rsidRDefault="00BA36F0" w:rsidP="00B76A41">
            <w:pPr>
              <w:pStyle w:val="Tablefont"/>
            </w:pPr>
            <w:r w:rsidRPr="00BA36F0">
              <w:t>76-12-0</w:t>
            </w:r>
          </w:p>
        </w:tc>
      </w:tr>
      <w:tr w:rsidR="00F43AD5" w:rsidRPr="00202DFE" w14:paraId="562A9F51" w14:textId="77777777" w:rsidTr="00EE40E1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131BAC16" w:rsidR="00F43AD5" w:rsidRPr="00297A77" w:rsidRDefault="00BA36F0" w:rsidP="00B76A41">
            <w:pPr>
              <w:pStyle w:val="Tablefont"/>
              <w:rPr>
                <w:lang w:val="it-IT"/>
              </w:rPr>
            </w:pPr>
            <w:r w:rsidRPr="00297A77">
              <w:rPr>
                <w:lang w:val="it-IT"/>
              </w:rPr>
              <w:t>CFC-112, 1,2-difluoro-1,1,2,2-tetrachloroethane, halocarbon 112, refrigerant 112</w:t>
            </w:r>
          </w:p>
        </w:tc>
      </w:tr>
      <w:tr w:rsidR="00F43AD5" w:rsidRPr="004C23F4" w14:paraId="6EE54A08" w14:textId="77777777" w:rsidTr="00EE40E1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304F157A" w:rsidR="00F43AD5" w:rsidRPr="00717D45" w:rsidRDefault="00BA36F0" w:rsidP="00B76A41">
            <w:pPr>
              <w:pStyle w:val="Tablefont"/>
            </w:pPr>
            <w:r>
              <w:t>C</w:t>
            </w:r>
            <w:r w:rsidRPr="00BA36F0">
              <w:rPr>
                <w:vertAlign w:val="subscript"/>
              </w:rPr>
              <w:t>2</w:t>
            </w:r>
            <w:r>
              <w:t>Cl</w:t>
            </w:r>
            <w:r w:rsidRPr="00BA36F0">
              <w:rPr>
                <w:vertAlign w:val="subscript"/>
              </w:rPr>
              <w:t>4</w:t>
            </w:r>
            <w:r>
              <w:t>F</w:t>
            </w:r>
            <w:r w:rsidRPr="00BA36F0">
              <w:rPr>
                <w:vertAlign w:val="subscript"/>
              </w:rPr>
              <w:t>2</w:t>
            </w:r>
          </w:p>
        </w:tc>
      </w:tr>
    </w:tbl>
    <w:p w14:paraId="71D72173" w14:textId="473A8CF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83A0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7D96B7F2" w:rsidR="002C7AFE" w:rsidRPr="00531B06" w:rsidRDefault="00644B22" w:rsidP="00017C82">
            <w:pPr>
              <w:pStyle w:val="Tablefont"/>
              <w:rPr>
                <w:b/>
                <w:bCs/>
              </w:rPr>
            </w:pPr>
            <w:r w:rsidRPr="009A70C8">
              <w:rPr>
                <w:b/>
                <w:bCs/>
              </w:rPr>
              <w:t>50</w:t>
            </w:r>
            <w:r w:rsidR="00783A03">
              <w:rPr>
                <w:b/>
                <w:bCs/>
              </w:rPr>
              <w:t>0</w:t>
            </w:r>
            <w:r w:rsidRPr="009A70C8">
              <w:rPr>
                <w:b/>
                <w:bCs/>
              </w:rPr>
              <w:t xml:space="preserve"> ppm (4</w:t>
            </w:r>
            <w:r w:rsidR="0077720A">
              <w:rPr>
                <w:b/>
                <w:bCs/>
              </w:rPr>
              <w:t>,</w:t>
            </w:r>
            <w:r w:rsidRPr="009A70C8">
              <w:rPr>
                <w:b/>
                <w:bCs/>
              </w:rPr>
              <w:t>17</w:t>
            </w:r>
            <w:r w:rsidR="00783A03">
              <w:rPr>
                <w:b/>
                <w:bCs/>
              </w:rPr>
              <w:t>0</w:t>
            </w:r>
            <w:r w:rsidRPr="009A70C8">
              <w:rPr>
                <w:b/>
                <w:bCs/>
              </w:rPr>
              <w:t xml:space="preserve"> mg/m</w:t>
            </w:r>
            <w:r w:rsidRPr="009A70C8">
              <w:rPr>
                <w:b/>
                <w:bCs/>
                <w:vertAlign w:val="superscript"/>
              </w:rPr>
              <w:t>3</w:t>
            </w:r>
            <w:r w:rsidRPr="009A70C8">
              <w:rPr>
                <w:b/>
                <w:bCs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E7FDD97" w:rsidR="00037E52" w:rsidRPr="00EB3D1B" w:rsidRDefault="00BA36F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531B06">
              <w:rPr>
                <w:b/>
              </w:rPr>
              <w:t>,</w:t>
            </w:r>
            <w:r w:rsidRPr="00BA36F0">
              <w:rPr>
                <w:b/>
              </w:rPr>
              <w:t>000 ppm</w:t>
            </w:r>
          </w:p>
        </w:tc>
      </w:tr>
      <w:tr w:rsidR="00155999" w:rsidRPr="004C23F4" w14:paraId="27D0E012" w14:textId="77777777" w:rsidTr="00E41718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36D9B75" w:rsidR="00155999" w:rsidRPr="00EB3D1B" w:rsidRDefault="00155999" w:rsidP="00037E52">
            <w:pPr>
              <w:pStyle w:val="Tablefont"/>
              <w:rPr>
                <w:b/>
              </w:rPr>
            </w:pPr>
            <w:r w:rsidRPr="009A70C8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44B22" w:rsidRPr="009A70C8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5E85BE85" w:rsidR="006639B4" w:rsidRPr="004C23F4" w:rsidRDefault="00644B22" w:rsidP="000C139A">
      <w:pPr>
        <w:rPr>
          <w:rFonts w:cs="Arial"/>
        </w:rPr>
      </w:pPr>
      <w:r w:rsidRPr="00D40DCB">
        <w:t xml:space="preserve">A TWA of </w:t>
      </w:r>
      <w:r>
        <w:t>5</w:t>
      </w:r>
      <w:r w:rsidR="00783A03">
        <w:t>0</w:t>
      </w:r>
      <w:r>
        <w:t>0</w:t>
      </w:r>
      <w:r w:rsidRPr="00D40DCB">
        <w:t xml:space="preserve"> </w:t>
      </w:r>
      <w:r>
        <w:t>ppm (4</w:t>
      </w:r>
      <w:r w:rsidR="0077720A">
        <w:t>,</w:t>
      </w:r>
      <w:r>
        <w:t>17</w:t>
      </w:r>
      <w:r w:rsidR="00783A03">
        <w:t>0</w:t>
      </w:r>
      <w:r>
        <w:t xml:space="preserve"> mg/m</w:t>
      </w:r>
      <w:r w:rsidRPr="00BA36F0">
        <w:rPr>
          <w:vertAlign w:val="superscript"/>
        </w:rPr>
        <w:t>3</w:t>
      </w:r>
      <w:r>
        <w:t>)</w:t>
      </w:r>
      <w:r w:rsidRPr="00D40DCB">
        <w:t xml:space="preserve"> is recommended </w:t>
      </w:r>
      <w:r>
        <w:t>to protect</w:t>
      </w:r>
      <w:r w:rsidRPr="00D40DCB">
        <w:t xml:space="preserve"> </w:t>
      </w:r>
      <w:r>
        <w:t xml:space="preserve">for liver damage </w:t>
      </w:r>
      <w:r w:rsidR="00CC026E">
        <w:t xml:space="preserve">and effects on the </w:t>
      </w:r>
      <w:r w:rsidR="00A226BD">
        <w:t xml:space="preserve">central nervous system </w:t>
      </w:r>
      <w:r w:rsidR="00CC026E">
        <w:t xml:space="preserve">(CNS) </w:t>
      </w:r>
      <w:r>
        <w:t>in exposed workers</w:t>
      </w:r>
      <w:r w:rsidRPr="00D40DCB"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15B3764" w14:textId="7C733816" w:rsidR="00B772EA" w:rsidRDefault="009400FE" w:rsidP="006639B4">
      <w:r w:rsidRPr="009400FE">
        <w:rPr>
          <w:rFonts w:cs="Arial"/>
        </w:rPr>
        <w:t xml:space="preserve">1,1,2,2-Tetrachloro-1,2-difluoroethane </w:t>
      </w:r>
      <w:r>
        <w:rPr>
          <w:rFonts w:cs="Arial"/>
        </w:rPr>
        <w:t>is used primarily as a refrigerant, in dry-cleaning, as a blowing or foaming agent, a solvent extractant</w:t>
      </w:r>
      <w:r w:rsidR="00BC2838">
        <w:rPr>
          <w:rFonts w:cs="Arial"/>
        </w:rPr>
        <w:t>,</w:t>
      </w:r>
      <w:r>
        <w:rPr>
          <w:rFonts w:cs="Arial"/>
        </w:rPr>
        <w:t xml:space="preserve"> and a corrosion inhibitor.</w:t>
      </w:r>
      <w:r w:rsidRPr="009400FE">
        <w:t xml:space="preserve"> </w:t>
      </w:r>
    </w:p>
    <w:p w14:paraId="58A3678C" w14:textId="7D419A96" w:rsidR="00CA5B8D" w:rsidRDefault="00B772EA" w:rsidP="00012AEE">
      <w:pPr>
        <w:rPr>
          <w:rFonts w:cs="Arial"/>
        </w:rPr>
      </w:pPr>
      <w:r>
        <w:t xml:space="preserve">The critical </w:t>
      </w:r>
      <w:r w:rsidR="009400FE">
        <w:t xml:space="preserve">effect </w:t>
      </w:r>
      <w:r w:rsidR="00EE40E1">
        <w:t>of</w:t>
      </w:r>
      <w:r w:rsidR="009400FE">
        <w:t xml:space="preserve"> exposure </w:t>
      </w:r>
      <w:r w:rsidR="00621C41">
        <w:t xml:space="preserve">is </w:t>
      </w:r>
      <w:r w:rsidR="009400FE" w:rsidRPr="009400FE">
        <w:rPr>
          <w:rFonts w:cs="Arial"/>
        </w:rPr>
        <w:t>liver damage</w:t>
      </w:r>
      <w:r w:rsidR="000C7835">
        <w:rPr>
          <w:rFonts w:cs="Arial"/>
        </w:rPr>
        <w:t xml:space="preserve">; subsequent CNS </w:t>
      </w:r>
      <w:r w:rsidR="00AC1252">
        <w:rPr>
          <w:rFonts w:cs="Arial"/>
        </w:rPr>
        <w:t xml:space="preserve">effects </w:t>
      </w:r>
      <w:r w:rsidR="000C7835">
        <w:rPr>
          <w:rFonts w:cs="Arial"/>
        </w:rPr>
        <w:t>occurs at higher exposures</w:t>
      </w:r>
      <w:r w:rsidR="009400FE">
        <w:rPr>
          <w:rFonts w:cs="Arial"/>
        </w:rPr>
        <w:t>.</w:t>
      </w:r>
      <w:r>
        <w:rPr>
          <w:rFonts w:cs="Arial"/>
        </w:rPr>
        <w:t xml:space="preserve"> </w:t>
      </w:r>
    </w:p>
    <w:p w14:paraId="59EFD790" w14:textId="5E9F82B1" w:rsidR="009711D4" w:rsidRDefault="009711D4" w:rsidP="00012AEE">
      <w:r>
        <w:rPr>
          <w:rFonts w:cs="Arial"/>
        </w:rPr>
        <w:t>Limited toxicological data</w:t>
      </w:r>
      <w:r w:rsidR="00CC026E">
        <w:rPr>
          <w:rFonts w:cs="Arial"/>
        </w:rPr>
        <w:t xml:space="preserve"> in humans</w:t>
      </w:r>
      <w:r>
        <w:rPr>
          <w:rFonts w:cs="Arial"/>
        </w:rPr>
        <w:t xml:space="preserve"> are available. Intentional inhalation of aerosols containing </w:t>
      </w:r>
      <w:r>
        <w:t>fluorocarbons</w:t>
      </w:r>
      <w:r w:rsidR="000C7835">
        <w:t xml:space="preserve"> </w:t>
      </w:r>
      <w:r>
        <w:t>for intoxication is reported to produce</w:t>
      </w:r>
      <w:r>
        <w:rPr>
          <w:rFonts w:cs="Arial"/>
        </w:rPr>
        <w:t xml:space="preserve"> </w:t>
      </w:r>
      <w:r>
        <w:t xml:space="preserve">cardiac arrhythmia, bone marrow depression, cerebral degradation and damage to liver, kidneys and peripheral nerves following prolonged </w:t>
      </w:r>
      <w:r w:rsidR="00CC026E">
        <w:t>exposure</w:t>
      </w:r>
      <w:r w:rsidR="000C7835" w:rsidRPr="000C7835">
        <w:t xml:space="preserve"> </w:t>
      </w:r>
      <w:r w:rsidR="000C7835">
        <w:t>at undocumented concentrations (ACGIH, 2018)</w:t>
      </w:r>
      <w:r w:rsidR="00CC026E">
        <w:t xml:space="preserve">. Exposure of guinea pigs </w:t>
      </w:r>
      <w:r w:rsidR="00A226BD">
        <w:t xml:space="preserve">at </w:t>
      </w:r>
      <w:r w:rsidR="00CC026E">
        <w:t>500</w:t>
      </w:r>
      <w:r w:rsidR="00CA5B8D">
        <w:t> </w:t>
      </w:r>
      <w:r w:rsidR="00CC026E">
        <w:t xml:space="preserve">ppm for </w:t>
      </w:r>
      <w:r w:rsidR="00012AEE">
        <w:t>six</w:t>
      </w:r>
      <w:r w:rsidR="00CC026E">
        <w:t xml:space="preserve"> months resulted in necrosis and regenerative changes in the</w:t>
      </w:r>
      <w:r w:rsidR="00CC026E" w:rsidRPr="00CC026E">
        <w:t xml:space="preserve"> </w:t>
      </w:r>
      <w:r w:rsidR="00CC026E">
        <w:t>liver</w:t>
      </w:r>
      <w:r w:rsidR="000C7835">
        <w:t xml:space="preserve">; a NOAEC for this endpoint is not determined in this study </w:t>
      </w:r>
      <w:r w:rsidR="00E41718">
        <w:t>(ACGIH, 2018)</w:t>
      </w:r>
      <w:r w:rsidR="00CC026E">
        <w:t xml:space="preserve">. </w:t>
      </w:r>
      <w:r w:rsidR="00640B45">
        <w:t>Shorter s</w:t>
      </w:r>
      <w:r w:rsidR="00EF3175">
        <w:t>ub</w:t>
      </w:r>
      <w:r w:rsidR="00FC3CC0">
        <w:t>-</w:t>
      </w:r>
      <w:r w:rsidR="00EF3175">
        <w:t>chronic i</w:t>
      </w:r>
      <w:r w:rsidR="00CC026E">
        <w:t>nhalation</w:t>
      </w:r>
      <w:r w:rsidR="00EF3175">
        <w:t>al</w:t>
      </w:r>
      <w:r w:rsidR="00CC026E">
        <w:t xml:space="preserve"> exposures at </w:t>
      </w:r>
      <w:r w:rsidR="00EF3175">
        <w:t xml:space="preserve">1,000 ppm </w:t>
      </w:r>
      <w:r w:rsidR="00FA7295">
        <w:t xml:space="preserve">are associated with the onset of liver damage in rats (DFG, 2007). Sub-chronic exposure at </w:t>
      </w:r>
      <w:r w:rsidR="00CC026E">
        <w:t>3</w:t>
      </w:r>
      <w:r w:rsidR="00012AEE">
        <w:t>,</w:t>
      </w:r>
      <w:r w:rsidR="00CC026E">
        <w:t>000</w:t>
      </w:r>
      <w:r w:rsidR="00FA7295">
        <w:t> </w:t>
      </w:r>
      <w:r w:rsidR="00CC026E">
        <w:t xml:space="preserve">ppm </w:t>
      </w:r>
      <w:r w:rsidR="00FA7295">
        <w:t>caused</w:t>
      </w:r>
      <w:r w:rsidR="00EF3175">
        <w:t xml:space="preserve"> </w:t>
      </w:r>
      <w:r w:rsidR="00CC026E">
        <w:t>CNS depression and respiratory tract irritation in rats</w:t>
      </w:r>
      <w:r w:rsidR="00E41718">
        <w:t xml:space="preserve"> (ACGIH, 2018)</w:t>
      </w:r>
      <w:r w:rsidR="00CC026E">
        <w:t xml:space="preserve">. Minor changes </w:t>
      </w:r>
      <w:r w:rsidR="00EF3175">
        <w:t>in biomarkers for liver function measured as</w:t>
      </w:r>
      <w:r w:rsidR="00CC026E">
        <w:t xml:space="preserve"> urinary enzyme</w:t>
      </w:r>
      <w:r w:rsidR="00E41718">
        <w:t xml:space="preserve"> activity </w:t>
      </w:r>
      <w:r w:rsidR="000C7835">
        <w:t>are</w:t>
      </w:r>
      <w:r w:rsidR="00E41718">
        <w:t xml:space="preserve"> observed</w:t>
      </w:r>
      <w:r w:rsidR="00CC026E">
        <w:t xml:space="preserve"> in rats following gavage </w:t>
      </w:r>
      <w:r w:rsidR="00A226BD">
        <w:t xml:space="preserve">at </w:t>
      </w:r>
      <w:r w:rsidR="00CC026E">
        <w:t>125 mg/kg</w:t>
      </w:r>
      <w:r w:rsidR="00A226BD">
        <w:t>;</w:t>
      </w:r>
      <w:r w:rsidR="00CC026E">
        <w:t xml:space="preserve"> </w:t>
      </w:r>
      <w:r w:rsidR="00E41718">
        <w:t>an</w:t>
      </w:r>
      <w:r w:rsidR="00CC026E">
        <w:t xml:space="preserve"> inhalation</w:t>
      </w:r>
      <w:r w:rsidR="00E41718">
        <w:t>al</w:t>
      </w:r>
      <w:r w:rsidR="00CC026E">
        <w:t xml:space="preserve"> equivalent concentration</w:t>
      </w:r>
      <w:r w:rsidR="00E41718">
        <w:t xml:space="preserve"> of this oral dose</w:t>
      </w:r>
      <w:r w:rsidR="00CC026E">
        <w:t xml:space="preserve"> </w:t>
      </w:r>
      <w:r w:rsidR="00E41718">
        <w:t xml:space="preserve">is </w:t>
      </w:r>
      <w:r w:rsidR="00A226BD">
        <w:t xml:space="preserve">estimated at </w:t>
      </w:r>
      <w:r w:rsidR="00CC026E">
        <w:t>110</w:t>
      </w:r>
      <w:r w:rsidR="00E41718">
        <w:t> </w:t>
      </w:r>
      <w:r w:rsidR="00CC026E">
        <w:t>ppm (ACGIH, 2018).</w:t>
      </w:r>
      <w:r w:rsidR="00783A03">
        <w:t xml:space="preserve"> </w:t>
      </w:r>
    </w:p>
    <w:p w14:paraId="69A44F28" w14:textId="6372E6DF" w:rsidR="00547340" w:rsidRPr="00783A03" w:rsidRDefault="007E3C4B" w:rsidP="00547340">
      <w:r>
        <w:t xml:space="preserve">Changes in the liver of </w:t>
      </w:r>
      <w:r w:rsidR="00D77B6C">
        <w:t>guinea pigs</w:t>
      </w:r>
      <w:r>
        <w:t xml:space="preserve"> identified at </w:t>
      </w:r>
      <w:r w:rsidR="00D77B6C">
        <w:t>500</w:t>
      </w:r>
      <w:r>
        <w:t xml:space="preserve"> ppm </w:t>
      </w:r>
      <w:r w:rsidR="003658E0">
        <w:t>are</w:t>
      </w:r>
      <w:r>
        <w:t xml:space="preserve"> </w:t>
      </w:r>
      <w:r w:rsidR="00D77B6C">
        <w:t>characteristic</w:t>
      </w:r>
      <w:r w:rsidR="00D77B6C" w:rsidRPr="00683074">
        <w:t xml:space="preserve"> </w:t>
      </w:r>
      <w:r w:rsidRPr="00683074">
        <w:t>of adaptation processes</w:t>
      </w:r>
      <w:r>
        <w:t xml:space="preserve"> and </w:t>
      </w:r>
      <w:r w:rsidR="003658E0">
        <w:t>is</w:t>
      </w:r>
      <w:r>
        <w:t xml:space="preserve"> not considered sufficient evidence to amend the TWA. </w:t>
      </w:r>
      <w:r w:rsidR="003658E0">
        <w:t xml:space="preserve">The ACGIH (2018) extrapolation of an estimated inhalation dose from an oral study associated with minor liver and kidney changes in rats </w:t>
      </w:r>
      <w:r w:rsidR="00387BE1">
        <w:t xml:space="preserve">also </w:t>
      </w:r>
      <w:r w:rsidR="003658E0">
        <w:t xml:space="preserve">does not provide sufficient </w:t>
      </w:r>
      <w:r w:rsidR="00387BE1">
        <w:t>evidence</w:t>
      </w:r>
      <w:r w:rsidR="003658E0">
        <w:t>. Given the absence of robust toxicological evidence, particularly in humans,</w:t>
      </w:r>
      <w:r w:rsidR="00547340">
        <w:t xml:space="preserve"> the current SWA TWA of 500 ppm (4,170 mg/m</w:t>
      </w:r>
      <w:r w:rsidR="00547340">
        <w:rPr>
          <w:vertAlign w:val="superscript"/>
        </w:rPr>
        <w:t>3</w:t>
      </w:r>
      <w:r w:rsidR="00547340">
        <w:t xml:space="preserve">) is </w:t>
      </w:r>
      <w:r w:rsidR="0029065F">
        <w:t xml:space="preserve">recommended to be </w:t>
      </w:r>
      <w:r w:rsidR="00547340">
        <w:t>retained.</w:t>
      </w:r>
      <w:r w:rsidR="00B475F3">
        <w:t xml:space="preserve"> </w:t>
      </w:r>
      <w:r w:rsidR="00AB6895">
        <w:t>T</w:t>
      </w:r>
      <w:r w:rsidR="00B475F3">
        <w:t>he substance</w:t>
      </w:r>
      <w:r w:rsidR="00547340">
        <w:t xml:space="preserve"> </w:t>
      </w:r>
      <w:r w:rsidR="00B475F3">
        <w:t xml:space="preserve">is currently </w:t>
      </w:r>
      <w:r w:rsidR="00AB6895">
        <w:t>prohibited for use</w:t>
      </w:r>
      <w:r w:rsidR="00B475F3">
        <w:t xml:space="preserve"> in </w:t>
      </w:r>
      <w:proofErr w:type="gramStart"/>
      <w:r w:rsidR="00B475F3">
        <w:t>Australia,</w:t>
      </w:r>
      <w:proofErr w:type="gramEnd"/>
      <w:r w:rsidR="00B475F3">
        <w:t xml:space="preserve"> however, some </w:t>
      </w:r>
      <w:r w:rsidR="00AB6895">
        <w:t>residual</w:t>
      </w:r>
      <w:r w:rsidR="00B475F3">
        <w:t xml:space="preserve"> use </w:t>
      </w:r>
      <w:r w:rsidR="00AB6895">
        <w:t xml:space="preserve">or storage </w:t>
      </w:r>
      <w:r w:rsidR="00B475F3">
        <w:t>may occur in industry.</w:t>
      </w:r>
    </w:p>
    <w:p w14:paraId="273B44AD" w14:textId="77777777" w:rsidR="004529F0" w:rsidRPr="004C23F4" w:rsidRDefault="004529F0" w:rsidP="000A37CC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8420A2" w:rsidRDefault="008E4F1F" w:rsidP="008E4F1F">
      <w:pPr>
        <w:rPr>
          <w:rFonts w:cs="Arial"/>
        </w:rPr>
      </w:pPr>
      <w:r w:rsidRPr="008420A2">
        <w:rPr>
          <w:rFonts w:cs="Arial"/>
        </w:rPr>
        <w:t>Not classified as a carcinogen according to the Globally Harmonized System of</w:t>
      </w:r>
      <w:r w:rsidR="00155999" w:rsidRPr="008420A2">
        <w:rPr>
          <w:rFonts w:cs="Arial"/>
        </w:rPr>
        <w:t xml:space="preserve"> Classification and Labelling of</w:t>
      </w:r>
      <w:r w:rsidRPr="008420A2">
        <w:rPr>
          <w:rFonts w:cs="Arial"/>
        </w:rPr>
        <w:t xml:space="preserve"> Chemicals (GHS). </w:t>
      </w:r>
    </w:p>
    <w:p w14:paraId="03916CCC" w14:textId="77777777" w:rsidR="008E4F1F" w:rsidRPr="008420A2" w:rsidRDefault="008E4F1F" w:rsidP="008E4F1F">
      <w:pPr>
        <w:rPr>
          <w:rFonts w:cs="Arial"/>
        </w:rPr>
      </w:pPr>
      <w:r w:rsidRPr="008420A2">
        <w:rPr>
          <w:rFonts w:cs="Arial"/>
        </w:rPr>
        <w:t xml:space="preserve">Not classified as a skin </w:t>
      </w:r>
      <w:r w:rsidR="00155999" w:rsidRPr="008420A2">
        <w:rPr>
          <w:rFonts w:cs="Arial"/>
        </w:rPr>
        <w:t xml:space="preserve">sensitiser </w:t>
      </w:r>
      <w:r w:rsidRPr="008420A2">
        <w:rPr>
          <w:rFonts w:cs="Arial"/>
        </w:rPr>
        <w:t>or respiratory sensitiser according to the GHS.</w:t>
      </w:r>
    </w:p>
    <w:p w14:paraId="6661E417" w14:textId="75D542BC" w:rsidR="008420A2" w:rsidRDefault="008420A2" w:rsidP="008420A2">
      <w:pPr>
        <w:rPr>
          <w:rFonts w:cs="Arial"/>
        </w:rPr>
      </w:pPr>
      <w:r>
        <w:rPr>
          <w:rFonts w:cs="Arial"/>
        </w:rPr>
        <w:t xml:space="preserve">A skin notation is not </w:t>
      </w:r>
      <w:r w:rsidR="00EE40E1">
        <w:rPr>
          <w:rFonts w:cs="Arial"/>
        </w:rPr>
        <w:t>recommend</w:t>
      </w:r>
      <w:r>
        <w:rPr>
          <w:rFonts w:cs="Arial"/>
        </w:rPr>
        <w:t>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9A70C8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9A70C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430B85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A36F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A36F0">
                  <w:t>TWA: 500 ppm (4</w:t>
                </w:r>
                <w:r w:rsidR="00505139">
                  <w:t>,</w:t>
                </w:r>
                <w:r w:rsidR="00BA36F0">
                  <w:t>170 mg/m</w:t>
                </w:r>
                <w:r w:rsidR="00BA36F0" w:rsidRPr="00BA36F0">
                  <w:rPr>
                    <w:vertAlign w:val="superscript"/>
                  </w:rPr>
                  <w:t>3</w:t>
                </w:r>
                <w:r w:rsidR="00BA36F0">
                  <w:t>)</w:t>
                </w:r>
              </w:sdtContent>
            </w:sdt>
          </w:p>
        </w:tc>
      </w:tr>
      <w:tr w:rsidR="00C978F0" w:rsidRPr="00DA352E" w14:paraId="26087DDB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9A70C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E5C30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A36F0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A36F0">
                  <w:t>TLV-TWA: 50 ppm (417 mg/m</w:t>
                </w:r>
                <w:r w:rsidR="00BA36F0" w:rsidRPr="00BA36F0">
                  <w:rPr>
                    <w:vertAlign w:val="superscript"/>
                  </w:rPr>
                  <w:t>3</w:t>
                </w:r>
                <w:r w:rsidR="00BA36F0">
                  <w:t>)</w:t>
                </w:r>
              </w:sdtContent>
            </w:sdt>
          </w:p>
        </w:tc>
      </w:tr>
      <w:tr w:rsidR="00C978F0" w:rsidRPr="00DA352E" w14:paraId="418D532D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0D3E9EFD" w14:textId="2DFB66AB" w:rsidR="00977B07" w:rsidRDefault="00977B07" w:rsidP="00977B07">
            <w:pPr>
              <w:pStyle w:val="Tabletextprimarysource"/>
            </w:pPr>
            <w:r>
              <w:t xml:space="preserve">TLV-TWA recommended to minimise the risk of liver and kidney </w:t>
            </w:r>
            <w:r w:rsidR="00CC026E">
              <w:t>damage and</w:t>
            </w:r>
            <w:r w:rsidR="009711D4">
              <w:t xml:space="preserve"> CNS impairment </w:t>
            </w:r>
            <w:r>
              <w:t>in exposed workers.</w:t>
            </w:r>
          </w:p>
          <w:p w14:paraId="3665F6A6" w14:textId="719C80FD" w:rsidR="00977B07" w:rsidRDefault="00977B07" w:rsidP="00977B07">
            <w:pPr>
              <w:pStyle w:val="Tabletextprimarysource"/>
            </w:pPr>
            <w:r>
              <w:t>Summary of data:</w:t>
            </w:r>
          </w:p>
          <w:p w14:paraId="1787FB32" w14:textId="7760F850" w:rsidR="00977B07" w:rsidRDefault="00977B07" w:rsidP="00977B07">
            <w:pPr>
              <w:pStyle w:val="Tabletextprimarysource"/>
            </w:pPr>
            <w:r>
              <w:rPr>
                <w:rFonts w:cs="Arial"/>
              </w:rPr>
              <w:t>TLV</w:t>
            </w:r>
            <w:r w:rsidR="00E41718">
              <w:rPr>
                <w:rFonts w:cs="Arial"/>
              </w:rPr>
              <w:t xml:space="preserve">-TWA </w:t>
            </w:r>
            <w:r w:rsidR="00994093">
              <w:rPr>
                <w:rFonts w:cs="Arial"/>
              </w:rPr>
              <w:t>based on kidney and liver effect</w:t>
            </w:r>
            <w:r w:rsidR="00E41718">
              <w:rPr>
                <w:rFonts w:cs="Arial"/>
              </w:rPr>
              <w:t>s reported at a LOAEC of 500 ppm in a sub</w:t>
            </w:r>
            <w:r w:rsidR="00FC3CC0">
              <w:rPr>
                <w:rFonts w:cs="Arial"/>
              </w:rPr>
              <w:t>-</w:t>
            </w:r>
            <w:r w:rsidR="00E41718">
              <w:rPr>
                <w:rFonts w:cs="Arial"/>
              </w:rPr>
              <w:t xml:space="preserve">chronic inhalation study </w:t>
            </w:r>
            <w:r w:rsidR="00FC3CC0">
              <w:rPr>
                <w:rFonts w:cs="Arial"/>
              </w:rPr>
              <w:t>in</w:t>
            </w:r>
            <w:r w:rsidR="00E41718">
              <w:rPr>
                <w:rFonts w:cs="Arial"/>
              </w:rPr>
              <w:t xml:space="preserve"> guinea pigs and minor changes in urinary enzyme activities at 125 mg/kg reported in repeat gavage study with rats; agency estimates an equivalent inhalational dose at ≈110 ppm </w:t>
            </w:r>
            <w:r w:rsidR="00994093">
              <w:rPr>
                <w:rFonts w:cs="Arial"/>
              </w:rPr>
              <w:t>(</w:t>
            </w:r>
            <w:r w:rsidR="00E41718">
              <w:rPr>
                <w:rFonts w:cs="Arial"/>
              </w:rPr>
              <w:t>no further details on derivation provided</w:t>
            </w:r>
            <w:r w:rsidR="00994093">
              <w:rPr>
                <w:rFonts w:cs="Arial"/>
              </w:rPr>
              <w:t>)</w:t>
            </w:r>
            <w:r w:rsidR="00531B06">
              <w:rPr>
                <w:rFonts w:cs="Arial"/>
              </w:rPr>
              <w:t>.</w:t>
            </w:r>
          </w:p>
          <w:p w14:paraId="56BC6210" w14:textId="1B0FA074" w:rsidR="00977B07" w:rsidRDefault="00977B07" w:rsidP="00977B07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ind w:left="360" w:hanging="360"/>
            </w:pPr>
            <w:r>
              <w:t>Human data</w:t>
            </w:r>
            <w:r w:rsidR="00AF5607">
              <w:t>:</w:t>
            </w:r>
          </w:p>
          <w:p w14:paraId="3F5F3D44" w14:textId="49173302" w:rsidR="00977B07" w:rsidRDefault="00977B07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>Aerosol spray containing fluorocarbon propellant are a source of solvent intoxication</w:t>
            </w:r>
            <w:r w:rsidR="00621C41">
              <w:t xml:space="preserve"> (no details on exposure provided)</w:t>
            </w:r>
            <w:r w:rsidR="003C16CF">
              <w:t>:</w:t>
            </w:r>
          </w:p>
          <w:p w14:paraId="21FF9E10" w14:textId="0F98B369" w:rsidR="00977B07" w:rsidRDefault="009A70C8" w:rsidP="00EE40E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s</w:t>
            </w:r>
            <w:r w:rsidR="00977B07">
              <w:t xml:space="preserve">ymptoms due to prolonged exposure include cardiac arrhythmia, bone marrow depression, cerebral degradation </w:t>
            </w:r>
            <w:r w:rsidR="008145F4">
              <w:t>and damage to liver, kidneys and peripheral nerves</w:t>
            </w:r>
          </w:p>
          <w:p w14:paraId="047D5DBD" w14:textId="1B5FEABE" w:rsidR="00977B07" w:rsidRDefault="009A70C8" w:rsidP="00EE40E1">
            <w:pPr>
              <w:pStyle w:val="ListBullet"/>
              <w:numPr>
                <w:ilvl w:val="0"/>
                <w:numId w:val="3"/>
              </w:numPr>
              <w:spacing w:before="60" w:after="60"/>
              <w:ind w:hanging="357"/>
              <w:contextualSpacing w:val="0"/>
            </w:pPr>
            <w:r>
              <w:t>d</w:t>
            </w:r>
            <w:r w:rsidR="008145F4">
              <w:t xml:space="preserve">eaths attributed to inhalation abuse </w:t>
            </w:r>
            <w:r w:rsidR="008145F4" w:rsidRPr="00EE40E1">
              <w:rPr>
                <w:i/>
              </w:rPr>
              <w:t>via</w:t>
            </w:r>
            <w:r w:rsidR="008145F4">
              <w:t xml:space="preserve"> cardiac arrhythmia</w:t>
            </w:r>
            <w:r w:rsidR="00531B06">
              <w:t>.</w:t>
            </w:r>
          </w:p>
          <w:p w14:paraId="35D9B3A0" w14:textId="16386D31" w:rsidR="00202DFE" w:rsidRDefault="00977B07" w:rsidP="00EE40E1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57"/>
              <w:contextualSpacing w:val="0"/>
            </w:pPr>
            <w:r>
              <w:t>Animal data</w:t>
            </w:r>
            <w:r w:rsidR="00AF5607">
              <w:t>:</w:t>
            </w:r>
          </w:p>
          <w:p w14:paraId="0998EB45" w14:textId="0DC1AFF8" w:rsidR="00977B07" w:rsidRDefault="008145F4" w:rsidP="00AF5607">
            <w:pPr>
              <w:pStyle w:val="ListBullet"/>
              <w:numPr>
                <w:ilvl w:val="0"/>
                <w:numId w:val="16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LD</w:t>
            </w:r>
            <w:r w:rsidRPr="008145F4">
              <w:rPr>
                <w:vertAlign w:val="subscript"/>
              </w:rPr>
              <w:t>50</w:t>
            </w:r>
            <w:r w:rsidR="00202DFE">
              <w:t xml:space="preserve"> of </w:t>
            </w:r>
            <w:r>
              <w:t>&gt;25,000 mg/kg (rats, oral)</w:t>
            </w:r>
          </w:p>
          <w:p w14:paraId="07527ED1" w14:textId="591C529F" w:rsidR="008145F4" w:rsidRDefault="00FC3CC0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>N</w:t>
            </w:r>
            <w:r w:rsidR="0047195F">
              <w:t>o</w:t>
            </w:r>
            <w:r>
              <w:t xml:space="preserve"> fatalities </w:t>
            </w:r>
            <w:r w:rsidR="0047195F">
              <w:t>in rabbits exposed to</w:t>
            </w:r>
            <w:r w:rsidR="008145F4">
              <w:t xml:space="preserve"> 7,500 </w:t>
            </w:r>
            <w:r w:rsidR="007B17CC">
              <w:t xml:space="preserve">mg/kg </w:t>
            </w:r>
            <w:r w:rsidR="008145F4">
              <w:t>dermal</w:t>
            </w:r>
            <w:r w:rsidR="0047195F">
              <w:t>ly</w:t>
            </w:r>
            <w:r w:rsidR="008145F4">
              <w:t xml:space="preserve"> </w:t>
            </w:r>
          </w:p>
          <w:p w14:paraId="3346454F" w14:textId="2E9A80D1" w:rsidR="008145F4" w:rsidRDefault="008145F4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>LC</w:t>
            </w:r>
            <w:r w:rsidRPr="008145F4">
              <w:rPr>
                <w:vertAlign w:val="subscript"/>
              </w:rPr>
              <w:t>50</w:t>
            </w:r>
            <w:r w:rsidR="0047195F">
              <w:t xml:space="preserve"> of </w:t>
            </w:r>
            <w:r>
              <w:t xml:space="preserve">15,000 ppm (mice, 2 h) </w:t>
            </w:r>
          </w:p>
          <w:p w14:paraId="661E6CE1" w14:textId="2052C89F" w:rsidR="00215A27" w:rsidRDefault="00215A27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 xml:space="preserve">Rats exposed </w:t>
            </w:r>
            <w:r w:rsidRPr="00CA5B8D">
              <w:rPr>
                <w:i/>
              </w:rPr>
              <w:t>via</w:t>
            </w:r>
            <w:r>
              <w:t xml:space="preserve"> inhalation for 7 h/d, 5 d/</w:t>
            </w:r>
            <w:proofErr w:type="spellStart"/>
            <w:r>
              <w:t>wk</w:t>
            </w:r>
            <w:proofErr w:type="spellEnd"/>
            <w:r>
              <w:t xml:space="preserve">, 6 </w:t>
            </w:r>
            <w:proofErr w:type="spellStart"/>
            <w:r>
              <w:t>mo</w:t>
            </w:r>
            <w:proofErr w:type="spellEnd"/>
            <w:r>
              <w:t>, inhalation at 500 and 1,000 ppm</w:t>
            </w:r>
            <w:r w:rsidR="00AF5607">
              <w:t>:</w:t>
            </w:r>
            <w:r>
              <w:t xml:space="preserve"> </w:t>
            </w:r>
          </w:p>
          <w:p w14:paraId="41CCA762" w14:textId="3C14C6A7" w:rsidR="00AC761B" w:rsidRDefault="00012AEE" w:rsidP="00012AEE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>i</w:t>
            </w:r>
            <w:r w:rsidR="00AC761B">
              <w:t>rritation of the bronchiolar passages noted at 1,000 ppm, but not 500 ppm</w:t>
            </w:r>
          </w:p>
          <w:p w14:paraId="6F6F7435" w14:textId="22E73B3A" w:rsidR="00AC761B" w:rsidRDefault="00AC761B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>Group of 16 guinea pigs and 4 rabbits exposed at 500 ppm for 7 h/d, 5 d/</w:t>
            </w:r>
            <w:proofErr w:type="spellStart"/>
            <w:r>
              <w:t>wk</w:t>
            </w:r>
            <w:proofErr w:type="spellEnd"/>
            <w:r>
              <w:t xml:space="preserve">, 6 </w:t>
            </w:r>
            <w:proofErr w:type="spellStart"/>
            <w:r>
              <w:t>mo</w:t>
            </w:r>
            <w:proofErr w:type="spellEnd"/>
            <w:r w:rsidR="00AF5607">
              <w:t>:</w:t>
            </w:r>
          </w:p>
          <w:p w14:paraId="5F26406D" w14:textId="539D4307" w:rsidR="00977B07" w:rsidRDefault="00012AEE" w:rsidP="00012AEE">
            <w:pPr>
              <w:pStyle w:val="ListBullet"/>
              <w:numPr>
                <w:ilvl w:val="0"/>
                <w:numId w:val="15"/>
              </w:numPr>
              <w:spacing w:before="60" w:after="60"/>
              <w:contextualSpacing w:val="0"/>
            </w:pPr>
            <w:r>
              <w:t>f</w:t>
            </w:r>
            <w:r w:rsidR="00AC761B">
              <w:t>atty degeneration, necrosis, and regenerative changes of liver noted in guinea pigs</w:t>
            </w:r>
            <w:r w:rsidR="00AC761B" w:rsidDel="00AC761B">
              <w:t xml:space="preserve"> </w:t>
            </w:r>
          </w:p>
          <w:p w14:paraId="67372BE6" w14:textId="0247695A" w:rsidR="00977B07" w:rsidRDefault="0047195F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 xml:space="preserve">No significant toxic response, other than reduction in weight gain, in </w:t>
            </w:r>
            <w:r w:rsidR="00AC761B">
              <w:t xml:space="preserve">10 rats exposed </w:t>
            </w:r>
            <w:r w:rsidR="00F017B4">
              <w:t xml:space="preserve">at 3,000 ppm </w:t>
            </w:r>
            <w:r w:rsidR="00AC761B">
              <w:t>fo</w:t>
            </w:r>
            <w:r w:rsidR="00012AEE">
              <w:t>r</w:t>
            </w:r>
            <w:r w:rsidR="00F017B4">
              <w:t xml:space="preserve"> 6 h/d, 5 d/</w:t>
            </w:r>
            <w:proofErr w:type="spellStart"/>
            <w:r w:rsidR="00F017B4">
              <w:t>wk</w:t>
            </w:r>
            <w:proofErr w:type="spellEnd"/>
            <w:r w:rsidR="00F017B4">
              <w:t xml:space="preserve">, 4 </w:t>
            </w:r>
            <w:proofErr w:type="spellStart"/>
            <w:r w:rsidR="00F017B4">
              <w:t>wk</w:t>
            </w:r>
            <w:proofErr w:type="spellEnd"/>
            <w:r w:rsidR="00AC761B">
              <w:t xml:space="preserve"> </w:t>
            </w:r>
            <w:r>
              <w:t>(</w:t>
            </w:r>
            <w:r w:rsidR="00F017B4">
              <w:t>inhalatio</w:t>
            </w:r>
            <w:r>
              <w:t>n)</w:t>
            </w:r>
            <w:r w:rsidR="00AC761B">
              <w:t xml:space="preserve"> </w:t>
            </w:r>
          </w:p>
          <w:p w14:paraId="754BCD2F" w14:textId="08A14AC3" w:rsidR="00CC026E" w:rsidRPr="00CA5B8D" w:rsidRDefault="009B6B11" w:rsidP="00EE40E1">
            <w:pPr>
              <w:pStyle w:val="ListBullet"/>
              <w:spacing w:before="60" w:after="60"/>
              <w:ind w:left="717" w:hanging="357"/>
              <w:contextualSpacing w:val="0"/>
              <w:rPr>
                <w:strike/>
              </w:rPr>
            </w:pPr>
            <w:r>
              <w:t xml:space="preserve">CNS </w:t>
            </w:r>
            <w:r w:rsidR="00EF3175">
              <w:t xml:space="preserve">depression </w:t>
            </w:r>
            <w:r>
              <w:t xml:space="preserve">and respiratory </w:t>
            </w:r>
            <w:r w:rsidR="00EF3175">
              <w:t xml:space="preserve">irritation </w:t>
            </w:r>
            <w:r>
              <w:t>reported in r</w:t>
            </w:r>
            <w:r w:rsidR="00CC026E">
              <w:t>ats exposed 4 h/d for 10 d at 3,000</w:t>
            </w:r>
            <w:r w:rsidR="0047195F">
              <w:t> </w:t>
            </w:r>
            <w:r w:rsidR="00CC026E">
              <w:t>ppm</w:t>
            </w:r>
            <w:r w:rsidR="0099514E">
              <w:t>; all animals survived</w:t>
            </w:r>
          </w:p>
          <w:p w14:paraId="79C6A548" w14:textId="7A7997FF" w:rsidR="00977B07" w:rsidRDefault="0047195F" w:rsidP="00EE40E1">
            <w:pPr>
              <w:pStyle w:val="ListBullet"/>
              <w:spacing w:before="60" w:after="60"/>
              <w:ind w:left="717" w:hanging="357"/>
              <w:contextualSpacing w:val="0"/>
            </w:pPr>
            <w:r>
              <w:t xml:space="preserve">A slight increase in liver function biomarkers measured as urinary aspartate aminotransferase activity at both doses in male rats reported in a 3 </w:t>
            </w:r>
            <w:proofErr w:type="spellStart"/>
            <w:r>
              <w:t>wk</w:t>
            </w:r>
            <w:proofErr w:type="spellEnd"/>
            <w:r>
              <w:t xml:space="preserve"> gavage study in r</w:t>
            </w:r>
            <w:r w:rsidR="00AC761B">
              <w:t>at</w:t>
            </w:r>
            <w:r>
              <w:t xml:space="preserve">s </w:t>
            </w:r>
            <w:r w:rsidR="0089272A">
              <w:t>(</w:t>
            </w:r>
            <w:r>
              <w:t>0,</w:t>
            </w:r>
            <w:r w:rsidR="003636F6">
              <w:t xml:space="preserve"> 125 and 250 mg/k</w:t>
            </w:r>
            <w:r w:rsidR="00091719">
              <w:t>g/d</w:t>
            </w:r>
            <w:r w:rsidR="001426BB">
              <w:t>;</w:t>
            </w:r>
            <w:r w:rsidR="003636F6">
              <w:t xml:space="preserve"> </w:t>
            </w:r>
            <w:r w:rsidR="00AC761B">
              <w:t xml:space="preserve">dose estimated at an </w:t>
            </w:r>
            <w:r w:rsidR="003636F6">
              <w:t>inhalation equivalent of 110 and 220 ppm assuming air exchange rate of 10</w:t>
            </w:r>
            <w:r w:rsidR="00B808AF">
              <w:t xml:space="preserve"> </w:t>
            </w:r>
            <w:r w:rsidR="003636F6">
              <w:t>m</w:t>
            </w:r>
            <w:r w:rsidR="003636F6" w:rsidRPr="009A70C8">
              <w:rPr>
                <w:vertAlign w:val="superscript"/>
              </w:rPr>
              <w:t>3</w:t>
            </w:r>
            <w:r w:rsidR="003C16CF">
              <w:t xml:space="preserve"> per </w:t>
            </w:r>
            <w:r w:rsidR="003636F6">
              <w:t xml:space="preserve">workday for a </w:t>
            </w:r>
            <w:r w:rsidR="00AC761B">
              <w:t>70-kg</w:t>
            </w:r>
            <w:r w:rsidR="003636F6">
              <w:t xml:space="preserve"> person</w:t>
            </w:r>
            <w:r w:rsidR="00AC761B">
              <w:t>)</w:t>
            </w:r>
            <w:r w:rsidR="003C16CF">
              <w:t>:</w:t>
            </w:r>
          </w:p>
          <w:p w14:paraId="435D5032" w14:textId="3C09E94F" w:rsidR="003636F6" w:rsidRPr="00012AEE" w:rsidRDefault="003636F6" w:rsidP="0089272A">
            <w:pPr>
              <w:pStyle w:val="ListBullet"/>
              <w:numPr>
                <w:ilvl w:val="0"/>
                <w:numId w:val="4"/>
              </w:numPr>
              <w:spacing w:before="60" w:after="60"/>
              <w:ind w:left="1080" w:hanging="357"/>
              <w:contextualSpacing w:val="0"/>
            </w:pPr>
            <w:r>
              <w:t>an increase in urinary N-acetyl-</w:t>
            </w:r>
            <w:r w:rsidRPr="0089272A">
              <w:rPr>
                <w:rFonts w:cs="Arial"/>
              </w:rPr>
              <w:t>β</w:t>
            </w:r>
            <w:r>
              <w:t>-D-</w:t>
            </w:r>
            <w:proofErr w:type="spellStart"/>
            <w:r>
              <w:t>glucosaminidase</w:t>
            </w:r>
            <w:proofErr w:type="spellEnd"/>
            <w:r>
              <w:t xml:space="preserve"> activity at </w:t>
            </w:r>
            <w:r w:rsidRPr="00012AEE">
              <w:t>250</w:t>
            </w:r>
            <w:r w:rsidR="00B808AF" w:rsidRPr="00012AEE">
              <w:t> </w:t>
            </w:r>
            <w:r w:rsidRPr="00012AEE">
              <w:t>mg/kg</w:t>
            </w:r>
            <w:r w:rsidR="00BD0686">
              <w:t xml:space="preserve"> in male rats </w:t>
            </w:r>
            <w:r w:rsidR="001E41C3">
              <w:t>reported</w:t>
            </w:r>
          </w:p>
          <w:p w14:paraId="1EFEBB32" w14:textId="76550C21" w:rsidR="00AC761B" w:rsidRPr="00012AEE" w:rsidRDefault="0089272A" w:rsidP="00EE40E1">
            <w:pPr>
              <w:pStyle w:val="ListBullet"/>
              <w:spacing w:before="60" w:after="60"/>
              <w:ind w:left="717" w:hanging="357"/>
              <w:contextualSpacing w:val="0"/>
            </w:pPr>
            <w:r w:rsidRPr="00012AEE">
              <w:t xml:space="preserve">No evidence of a carcinogenic potential </w:t>
            </w:r>
            <w:r>
              <w:t>observed</w:t>
            </w:r>
            <w:r w:rsidRPr="00012AEE">
              <w:t xml:space="preserve"> </w:t>
            </w:r>
            <w:r>
              <w:t xml:space="preserve">in </w:t>
            </w:r>
            <w:r w:rsidR="00AC761B" w:rsidRPr="00012AEE">
              <w:t xml:space="preserve">56 neonatal mice given </w:t>
            </w:r>
            <w:r>
              <w:t>SC</w:t>
            </w:r>
            <w:r w:rsidRPr="00012AEE">
              <w:t xml:space="preserve"> </w:t>
            </w:r>
            <w:r w:rsidR="00AC761B" w:rsidRPr="00012AEE">
              <w:t>injections of CFC-112 for one year</w:t>
            </w:r>
          </w:p>
          <w:p w14:paraId="5B425B62" w14:textId="3938747E" w:rsidR="009711D4" w:rsidRPr="00012AEE" w:rsidRDefault="0089272A" w:rsidP="00012AEE">
            <w:pPr>
              <w:pStyle w:val="ListBullet"/>
              <w:spacing w:before="60" w:after="60"/>
              <w:ind w:left="717" w:hanging="357"/>
              <w:contextualSpacing w:val="0"/>
            </w:pPr>
            <w:r w:rsidRPr="00012AEE">
              <w:t xml:space="preserve">1% sarcomas and 5% hepatomas </w:t>
            </w:r>
            <w:r>
              <w:t>reported i</w:t>
            </w:r>
            <w:r w:rsidRPr="00012AEE">
              <w:t xml:space="preserve">n </w:t>
            </w:r>
            <w:r w:rsidR="009711D4" w:rsidRPr="00012AEE">
              <w:t xml:space="preserve">a second study </w:t>
            </w:r>
            <w:r>
              <w:t xml:space="preserve">in </w:t>
            </w:r>
            <w:r w:rsidRPr="00012AEE">
              <w:t xml:space="preserve">newborn </w:t>
            </w:r>
            <w:r>
              <w:t xml:space="preserve">mice given SC injections of </w:t>
            </w:r>
            <w:r w:rsidR="009711D4" w:rsidRPr="00012AEE">
              <w:t>CFC-112</w:t>
            </w:r>
            <w:r>
              <w:t xml:space="preserve"> </w:t>
            </w:r>
            <w:r w:rsidR="009711D4" w:rsidRPr="00012AEE">
              <w:t>(dosage not stated) for 365 d</w:t>
            </w:r>
            <w:r>
              <w:t xml:space="preserve">., but not </w:t>
            </w:r>
            <w:r w:rsidR="001E41C3">
              <w:t>statistically</w:t>
            </w:r>
            <w:r>
              <w:t xml:space="preserve"> </w:t>
            </w:r>
            <w:r w:rsidR="001E41C3">
              <w:t xml:space="preserve">significant difference from </w:t>
            </w:r>
            <w:r w:rsidR="009711D4" w:rsidRPr="00012AEE">
              <w:t>controls</w:t>
            </w:r>
          </w:p>
          <w:p w14:paraId="1FAD3927" w14:textId="7C91F03B" w:rsidR="009711D4" w:rsidRPr="00012AEE" w:rsidRDefault="009711D4" w:rsidP="00EE40E1">
            <w:pPr>
              <w:pStyle w:val="ListBullet"/>
              <w:spacing w:before="60" w:after="60"/>
              <w:ind w:left="717" w:hanging="357"/>
              <w:contextualSpacing w:val="0"/>
            </w:pPr>
            <w:r w:rsidRPr="00012AEE">
              <w:t>Neither of the 2 carcinogenicity studies were conducted according to standard (bioassay) protocols</w:t>
            </w:r>
            <w:r w:rsidR="00091719">
              <w:t>;</w:t>
            </w:r>
            <w:r w:rsidR="00091719" w:rsidRPr="00012AEE">
              <w:t xml:space="preserve"> </w:t>
            </w:r>
            <w:r w:rsidRPr="00012AEE">
              <w:t>thus</w:t>
            </w:r>
            <w:r w:rsidR="00202DFE">
              <w:t>, t</w:t>
            </w:r>
            <w:r w:rsidR="00202DFE" w:rsidRPr="00012AEE">
              <w:t xml:space="preserve">he </w:t>
            </w:r>
            <w:r w:rsidRPr="00012AEE">
              <w:t xml:space="preserve">limited data </w:t>
            </w:r>
            <w:r w:rsidR="001E41C3">
              <w:t>and lack of reliability of these studies do not support carcinogenicity in mice</w:t>
            </w:r>
          </w:p>
          <w:p w14:paraId="4DDE116C" w14:textId="03280E74" w:rsidR="00EE40E1" w:rsidRPr="00BD0686" w:rsidRDefault="009B6B11" w:rsidP="00012AEE">
            <w:pPr>
              <w:pStyle w:val="ListBullet"/>
              <w:spacing w:before="60" w:after="60"/>
              <w:ind w:left="717" w:hanging="357"/>
              <w:contextualSpacing w:val="0"/>
            </w:pPr>
            <w:r>
              <w:t>A</w:t>
            </w:r>
            <w:r w:rsidR="00994093" w:rsidRPr="00012AEE">
              <w:t xml:space="preserve"> we</w:t>
            </w:r>
            <w:r w:rsidR="00AC761B" w:rsidRPr="00012AEE">
              <w:t>a</w:t>
            </w:r>
            <w:r w:rsidR="00994093" w:rsidRPr="00012AEE">
              <w:t>k positive</w:t>
            </w:r>
            <w:r w:rsidR="00994093">
              <w:t xml:space="preserve"> in genotoxicity study when tested in </w:t>
            </w:r>
            <w:r w:rsidR="00994093" w:rsidRPr="00994093">
              <w:rPr>
                <w:i/>
              </w:rPr>
              <w:t>S</w:t>
            </w:r>
            <w:r w:rsidR="00A02830">
              <w:rPr>
                <w:i/>
              </w:rPr>
              <w:t>.</w:t>
            </w:r>
            <w:r w:rsidR="00994093" w:rsidRPr="00994093">
              <w:rPr>
                <w:i/>
              </w:rPr>
              <w:t xml:space="preserve"> typhimurium</w:t>
            </w:r>
            <w:r w:rsidR="00B808AF">
              <w:rPr>
                <w:iCs/>
              </w:rPr>
              <w:t>.</w:t>
            </w:r>
          </w:p>
          <w:p w14:paraId="613B162F" w14:textId="77777777" w:rsidR="00FA7295" w:rsidRDefault="00FA7295" w:rsidP="00B808AF">
            <w:pPr>
              <w:pStyle w:val="Tabletextprimarysource"/>
            </w:pPr>
          </w:p>
          <w:p w14:paraId="1576B527" w14:textId="2865B770" w:rsidR="00843939" w:rsidRDefault="00977B07" w:rsidP="00B808AF">
            <w:pPr>
              <w:pStyle w:val="Tabletextprimarysource"/>
            </w:pPr>
            <w:r>
              <w:lastRenderedPageBreak/>
              <w:t>Insufficient data to recommend a carcinogen notation</w:t>
            </w:r>
            <w:r w:rsidR="00B808AF">
              <w:t>.</w:t>
            </w:r>
            <w:r w:rsidR="009A70C8">
              <w:t xml:space="preserve"> </w:t>
            </w:r>
            <w:r>
              <w:t>A skin or sensitiser notation not warranted.</w:t>
            </w:r>
          </w:p>
          <w:p w14:paraId="0CE4D35D" w14:textId="6AF35E54" w:rsidR="00BD0686" w:rsidRPr="00DA352E" w:rsidRDefault="00BD0686" w:rsidP="00B808AF">
            <w:pPr>
              <w:pStyle w:val="Tabletextprimarysource"/>
            </w:pPr>
          </w:p>
        </w:tc>
      </w:tr>
      <w:tr w:rsidR="00C978F0" w:rsidRPr="00DA352E" w14:paraId="174F8B79" w14:textId="77777777" w:rsidTr="009A70C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4AA04E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74D18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A36F0">
                  <w:t>MAK: 200 ppm (1</w:t>
                </w:r>
                <w:r w:rsidR="00505139">
                  <w:t>,</w:t>
                </w:r>
                <w:r w:rsidR="00BA36F0">
                  <w:t>700 mg/m</w:t>
                </w:r>
                <w:r w:rsidR="00BA36F0" w:rsidRPr="00BA36F0">
                  <w:rPr>
                    <w:vertAlign w:val="superscript"/>
                  </w:rPr>
                  <w:t>3</w:t>
                </w:r>
                <w:r w:rsidR="00BA36F0">
                  <w:t>)</w:t>
                </w:r>
              </w:sdtContent>
            </w:sdt>
          </w:p>
        </w:tc>
      </w:tr>
      <w:tr w:rsidR="00C978F0" w:rsidRPr="00DA352E" w14:paraId="4433014F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53EBAA8C" w14:textId="258BEBB3" w:rsidR="00683074" w:rsidRDefault="00683074" w:rsidP="003365A5">
            <w:pPr>
              <w:pStyle w:val="Tabletextprimarysource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MAK </w:t>
            </w:r>
            <w:r w:rsidR="00B74D18">
              <w:rPr>
                <w:rFonts w:cs="Arial"/>
                <w:color w:val="1C1D1E"/>
                <w:shd w:val="clear" w:color="auto" w:fill="FFFFFF"/>
              </w:rPr>
              <w:t xml:space="preserve">established in 1989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is </w:t>
            </w:r>
            <w:r w:rsidR="009A70C8">
              <w:rPr>
                <w:rFonts w:cs="Arial"/>
                <w:color w:val="1C1D1E"/>
                <w:shd w:val="clear" w:color="auto" w:fill="FFFFFF"/>
              </w:rPr>
              <w:t xml:space="preserve">retained </w:t>
            </w:r>
            <w:r w:rsidR="0099514E">
              <w:rPr>
                <w:rFonts w:cs="Arial"/>
                <w:color w:val="1C1D1E"/>
                <w:shd w:val="clear" w:color="auto" w:fill="FFFFFF"/>
              </w:rPr>
              <w:t xml:space="preserve">based on the onset of liver damage at 1,000 ppm in rats </w:t>
            </w:r>
            <w:r w:rsidR="009A70C8">
              <w:rPr>
                <w:rFonts w:cs="Arial"/>
                <w:color w:val="1C1D1E"/>
                <w:shd w:val="clear" w:color="auto" w:fill="FFFFFF"/>
              </w:rPr>
              <w:t>but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needs to be safeguarded by studies on long-term exposure.</w:t>
            </w:r>
            <w:r>
              <w:t xml:space="preserve"> </w:t>
            </w:r>
          </w:p>
          <w:p w14:paraId="2810E42F" w14:textId="1CF99E76" w:rsidR="004F3133" w:rsidRDefault="004F3133" w:rsidP="003365A5">
            <w:pPr>
              <w:pStyle w:val="Tabletextprimarysource"/>
            </w:pPr>
            <w:r>
              <w:t>Summary of additional data</w:t>
            </w:r>
            <w:r w:rsidR="00AF5607">
              <w:t>:</w:t>
            </w:r>
          </w:p>
          <w:p w14:paraId="7FA45474" w14:textId="2F40D289" w:rsidR="00683074" w:rsidRDefault="00994093" w:rsidP="00EE40E1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Exposure at </w:t>
            </w:r>
            <w:r w:rsidR="00471BF2">
              <w:t>1,000 ppm (rats, mice, guinea pigs, rabbits, 6 h/d, 5 d/</w:t>
            </w:r>
            <w:proofErr w:type="spellStart"/>
            <w:r w:rsidR="00471BF2">
              <w:t>wk</w:t>
            </w:r>
            <w:proofErr w:type="spellEnd"/>
            <w:r w:rsidR="00471BF2">
              <w:t xml:space="preserve">, 6 </w:t>
            </w:r>
            <w:proofErr w:type="spellStart"/>
            <w:r w:rsidR="00471BF2">
              <w:t>wk</w:t>
            </w:r>
            <w:proofErr w:type="spellEnd"/>
            <w:r w:rsidR="00471BF2">
              <w:t xml:space="preserve">, inhalation) </w:t>
            </w:r>
            <w:r w:rsidR="00683074">
              <w:t>symptoms included</w:t>
            </w:r>
            <w:r w:rsidR="00AF5607">
              <w:t>:</w:t>
            </w:r>
          </w:p>
          <w:p w14:paraId="5C66B893" w14:textId="6B6B5C02" w:rsidR="00994093" w:rsidRDefault="00471BF2" w:rsidP="00EE40E1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 w:rsidRPr="00683074">
              <w:rPr>
                <w:rFonts w:cs="Arial"/>
                <w:color w:val="1C1D1E"/>
                <w:shd w:val="clear" w:color="auto" w:fill="FFFFFF"/>
              </w:rPr>
              <w:t>statistically</w:t>
            </w:r>
            <w:r w:rsidRPr="00471BF2">
              <w:t xml:space="preserve"> significantly </w:t>
            </w:r>
            <w:r w:rsidR="00683074">
              <w:t>reduction</w:t>
            </w:r>
            <w:r w:rsidRPr="00471BF2">
              <w:t xml:space="preserve"> of leukocytes in female rats</w:t>
            </w:r>
            <w:r w:rsidR="0099514E">
              <w:t xml:space="preserve"> only</w:t>
            </w:r>
          </w:p>
          <w:p w14:paraId="7F464112" w14:textId="0380184A" w:rsidR="00683074" w:rsidRPr="00683074" w:rsidRDefault="001E41C3" w:rsidP="00EE40E1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enlarged cells reported in</w:t>
            </w:r>
            <w:r w:rsidRPr="00683074">
              <w:t xml:space="preserve"> </w:t>
            </w:r>
            <w:r w:rsidR="00683074" w:rsidRPr="00683074">
              <w:t>liver</w:t>
            </w:r>
            <w:r w:rsidR="00683074">
              <w:rPr>
                <w:rFonts w:cs="Arial"/>
                <w:color w:val="1C1D1E"/>
                <w:shd w:val="clear" w:color="auto" w:fill="FFFFFF"/>
              </w:rPr>
              <w:t xml:space="preserve"> of</w:t>
            </w:r>
            <w:r w:rsidR="009A70C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683074">
              <w:rPr>
                <w:rFonts w:cs="Arial"/>
                <w:color w:val="1C1D1E"/>
                <w:shd w:val="clear" w:color="auto" w:fill="FFFFFF"/>
              </w:rPr>
              <w:t xml:space="preserve">male animals,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with </w:t>
            </w:r>
            <w:r w:rsidR="00683074">
              <w:rPr>
                <w:rFonts w:cs="Arial"/>
                <w:color w:val="1C1D1E"/>
                <w:shd w:val="clear" w:color="auto" w:fill="FFFFFF"/>
              </w:rPr>
              <w:t>vacuoli</w:t>
            </w:r>
            <w:r w:rsidR="009A70C8">
              <w:rPr>
                <w:rFonts w:cs="Arial"/>
                <w:color w:val="1C1D1E"/>
                <w:shd w:val="clear" w:color="auto" w:fill="FFFFFF"/>
              </w:rPr>
              <w:t>s</w:t>
            </w:r>
            <w:r w:rsidR="00683074">
              <w:rPr>
                <w:rFonts w:cs="Arial"/>
                <w:color w:val="1C1D1E"/>
                <w:shd w:val="clear" w:color="auto" w:fill="FFFFFF"/>
              </w:rPr>
              <w:t>ation of the cytoplasm and different sizes of cell nuclei</w:t>
            </w:r>
          </w:p>
          <w:p w14:paraId="56F455A5" w14:textId="44E55246" w:rsidR="00683074" w:rsidRPr="00683074" w:rsidRDefault="00683074" w:rsidP="00EE40E1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some fatty liver cells and an increased cytoplasmic density of liver cells found in female animals</w:t>
            </w:r>
          </w:p>
          <w:p w14:paraId="28BEEE89" w14:textId="77777777" w:rsidR="00994093" w:rsidRDefault="00683074" w:rsidP="00843939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t</w:t>
            </w:r>
            <w:r w:rsidRPr="00683074">
              <w:t xml:space="preserve">he </w:t>
            </w:r>
            <w:r w:rsidRPr="00683074">
              <w:rPr>
                <w:rFonts w:cs="Arial"/>
                <w:color w:val="1C1D1E"/>
                <w:shd w:val="clear" w:color="auto" w:fill="FFFFFF"/>
              </w:rPr>
              <w:t>authors</w:t>
            </w:r>
            <w:r w:rsidRPr="00683074">
              <w:t xml:space="preserve"> regard these liver findings as "typical of liver adaptation processes when foreign substances toxic to the liver are administered and not as a specific finding</w:t>
            </w:r>
            <w:r>
              <w:t>”</w:t>
            </w:r>
            <w:r w:rsidR="002260F9">
              <w:t>.</w:t>
            </w:r>
          </w:p>
          <w:p w14:paraId="61A64F09" w14:textId="0287A483" w:rsidR="00843939" w:rsidRPr="00DA352E" w:rsidRDefault="00843939" w:rsidP="00EE40E1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</w:pPr>
          </w:p>
        </w:tc>
      </w:tr>
      <w:tr w:rsidR="00C978F0" w:rsidRPr="00DA352E" w14:paraId="0E6A0B2C" w14:textId="77777777" w:rsidTr="009A70C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10E7B6B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A36F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A36F0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153B53C1" w14:textId="706A74C4" w:rsidR="00C978F0" w:rsidRPr="00DA352E" w:rsidRDefault="00BA36F0" w:rsidP="003365A5">
            <w:pPr>
              <w:pStyle w:val="Tabletextprimarysource"/>
            </w:pPr>
            <w:r>
              <w:t>No report</w:t>
            </w:r>
            <w:r w:rsidR="002260F9">
              <w:t>.</w:t>
            </w:r>
          </w:p>
        </w:tc>
      </w:tr>
      <w:tr w:rsidR="00DA352E" w:rsidRPr="00DA352E" w14:paraId="12BAB90D" w14:textId="77777777" w:rsidTr="009A70C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605125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A36F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A36F0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2059E4CB" w14:textId="3F0E7A0A" w:rsidR="00DA352E" w:rsidRPr="00DA352E" w:rsidRDefault="00BA36F0" w:rsidP="003365A5">
            <w:pPr>
              <w:pStyle w:val="Tabletextprimarysource"/>
            </w:pPr>
            <w:r>
              <w:t>No report</w:t>
            </w:r>
            <w:r w:rsidR="002260F9">
              <w:t>.</w:t>
            </w:r>
          </w:p>
        </w:tc>
      </w:tr>
      <w:tr w:rsidR="00DA352E" w:rsidRPr="00DA352E" w14:paraId="605F758C" w14:textId="77777777" w:rsidTr="009A70C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35F9A7D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A36F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A36F0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9A70C8">
        <w:trPr>
          <w:gridAfter w:val="1"/>
          <w:wAfter w:w="8" w:type="pct"/>
        </w:trPr>
        <w:tc>
          <w:tcPr>
            <w:tcW w:w="4992" w:type="pct"/>
          </w:tcPr>
          <w:p w14:paraId="492D7791" w14:textId="296CAEC5" w:rsidR="00DA352E" w:rsidRPr="00DA352E" w:rsidRDefault="00BA36F0" w:rsidP="003365A5">
            <w:pPr>
              <w:pStyle w:val="Tabletextprimarysource"/>
            </w:pPr>
            <w:r>
              <w:t>No report</w:t>
            </w:r>
            <w:r w:rsidR="002260F9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08537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085376">
        <w:trPr>
          <w:cantSplit/>
        </w:trPr>
        <w:tc>
          <w:tcPr>
            <w:tcW w:w="1497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794D8B73" w:rsidR="004966BF" w:rsidRPr="00CE617F" w:rsidRDefault="00A575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8537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34A832E5" w:rsidR="004966BF" w:rsidRPr="004C23F4" w:rsidRDefault="0008537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5C19B807" w14:textId="6A57E263" w:rsidR="004966BF" w:rsidRPr="00683074" w:rsidRDefault="00683074" w:rsidP="00012AEE">
            <w:pPr>
              <w:pStyle w:val="ListBullet"/>
              <w:tabs>
                <w:tab w:val="clear" w:pos="360"/>
              </w:tabs>
              <w:ind w:left="710" w:hanging="270"/>
              <w:rPr>
                <w:rStyle w:val="checkbox"/>
                <w:rFonts w:ascii="Arial" w:hAnsi="Arial" w:cs="Arial"/>
              </w:rPr>
            </w:pPr>
            <w:r w:rsidRPr="00683074">
              <w:rPr>
                <w:rStyle w:val="checkbox"/>
                <w:rFonts w:ascii="Arial" w:hAnsi="Arial" w:cs="Arial"/>
              </w:rPr>
              <w:t xml:space="preserve">Negative </w:t>
            </w:r>
            <w:r w:rsidRPr="00683074">
              <w:t>results</w:t>
            </w:r>
            <w:r w:rsidRPr="00683074">
              <w:rPr>
                <w:rStyle w:val="checkbox"/>
                <w:rFonts w:ascii="Arial" w:hAnsi="Arial" w:cs="Arial"/>
              </w:rPr>
              <w:t xml:space="preserve"> </w:t>
            </w:r>
            <w:r w:rsidR="00EE40E1" w:rsidRPr="00EE40E1">
              <w:rPr>
                <w:rStyle w:val="checkbox"/>
                <w:rFonts w:ascii="Arial" w:hAnsi="Arial" w:cs="Arial"/>
                <w:i/>
              </w:rPr>
              <w:t>i</w:t>
            </w:r>
            <w:r w:rsidRPr="00EE40E1">
              <w:rPr>
                <w:rStyle w:val="checkbox"/>
                <w:rFonts w:ascii="Arial" w:hAnsi="Arial" w:cs="Arial"/>
                <w:i/>
              </w:rPr>
              <w:t xml:space="preserve">n </w:t>
            </w:r>
            <w:r w:rsidR="00EE40E1" w:rsidRPr="00EE40E1">
              <w:rPr>
                <w:rStyle w:val="checkbox"/>
                <w:rFonts w:ascii="Arial" w:hAnsi="Arial" w:cs="Arial"/>
                <w:i/>
              </w:rPr>
              <w:t>v</w:t>
            </w:r>
            <w:r w:rsidRPr="00EE40E1">
              <w:rPr>
                <w:rStyle w:val="checkbox"/>
                <w:rFonts w:ascii="Arial" w:hAnsi="Arial" w:cs="Arial"/>
                <w:i/>
              </w:rPr>
              <w:t>ivo</w:t>
            </w:r>
            <w:r w:rsidRPr="00683074">
              <w:rPr>
                <w:rStyle w:val="checkbox"/>
                <w:rFonts w:ascii="Arial" w:hAnsi="Arial" w:cs="Arial"/>
              </w:rPr>
              <w:t xml:space="preserve"> mammalian germ cell study for chromosome aberration</w:t>
            </w:r>
            <w:r w:rsidR="002260F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085376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5754469C" w:rsidR="002E0D61" w:rsidRDefault="0008537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085376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0A0F8168" w:rsidR="008A36CF" w:rsidRDefault="0008537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E40E1" w14:paraId="4D6DDFA3" w14:textId="77777777" w:rsidTr="00E41718">
        <w:trPr>
          <w:trHeight w:val="454"/>
        </w:trPr>
        <w:sdt>
          <w:sdtPr>
            <w:rPr>
              <w:b/>
            </w:rPr>
            <w:id w:val="1830936485"/>
            <w:placeholder>
              <w:docPart w:val="1ABA87675BA74F7C90D9D2FEDB98A80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78C61D25" w:rsidR="00EE40E1" w:rsidRDefault="00EE40E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3E013035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1288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6163F7D7" w:rsidR="00687890" w:rsidRPr="00DD2F9B" w:rsidRDefault="00BA36F0" w:rsidP="00DD2F9B">
            <w:pPr>
              <w:pStyle w:val="Tablefont"/>
            </w:pPr>
            <w:r w:rsidRPr="00BA36F0">
              <w:t>—</w:t>
            </w:r>
          </w:p>
        </w:tc>
      </w:tr>
      <w:tr w:rsidR="007925F0" w:rsidRPr="004C23F4" w14:paraId="2A0C13EF" w14:textId="77777777" w:rsidTr="0081288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23B412D4" w:rsidR="007925F0" w:rsidRPr="00DD2F9B" w:rsidRDefault="00BA36F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81288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E758219" w:rsidR="00AF483F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1288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08B3FDD" w:rsidR="00687890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1288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778B90CD" w14:textId="5442F590" w:rsidR="00E41A26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81288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4043781D" w:rsidR="002E0D61" w:rsidRPr="00DD2F9B" w:rsidRDefault="002D2EE7" w:rsidP="00DD2F9B">
            <w:pPr>
              <w:pStyle w:val="Tablefont"/>
            </w:pPr>
            <w:r w:rsidRPr="00BA36F0">
              <w:t>—</w:t>
            </w:r>
          </w:p>
        </w:tc>
      </w:tr>
      <w:tr w:rsidR="002E0D61" w:rsidRPr="004C23F4" w14:paraId="43FA3590" w14:textId="77777777" w:rsidTr="0081288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55B58A8D" w:rsidR="002E0D61" w:rsidRPr="00DD2F9B" w:rsidRDefault="002D2EE7" w:rsidP="00DD2F9B">
            <w:pPr>
              <w:pStyle w:val="Tablefont"/>
            </w:pPr>
            <w:r w:rsidRPr="00BA36F0">
              <w:t>—</w:t>
            </w:r>
          </w:p>
        </w:tc>
      </w:tr>
      <w:tr w:rsidR="002E0D61" w:rsidRPr="004C23F4" w14:paraId="2AC7B866" w14:textId="77777777" w:rsidTr="0081288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4E188D8" w:rsidR="002E0D61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1288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381A96FF" w:rsidR="002E0D61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1288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D21B6C0" w:rsidR="00386093" w:rsidRPr="00DD2F9B" w:rsidRDefault="002D2EE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1288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5A3A28D" w:rsidR="00386093" w:rsidRPr="00DD2F9B" w:rsidRDefault="002D2EE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5" w:type="dxa"/>
              <w:tblLook w:val="04A0" w:firstRow="1" w:lastRow="0" w:firstColumn="1" w:lastColumn="0" w:noHBand="0" w:noVBand="1"/>
            </w:tblPr>
            <w:tblGrid>
              <w:gridCol w:w="3675"/>
              <w:gridCol w:w="900"/>
              <w:gridCol w:w="1080"/>
              <w:gridCol w:w="3150"/>
            </w:tblGrid>
            <w:tr w:rsidR="00085376" w:rsidRPr="00085376" w14:paraId="3214C454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B3AA79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F9BB4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527A0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6DF9CB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1F74D3B6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BC8D5A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79070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CCAE5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05B20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75841E9D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AC070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561ED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EAA7C0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244BE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0EC3C526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754F5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338D0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C73610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71EDFC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1377FF3B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F0C2A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25411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CFDB7C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23C637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599AFA8B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872657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D6C261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EBD6EE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A1648A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85376" w:rsidRPr="00085376" w14:paraId="2A7D185B" w14:textId="77777777" w:rsidTr="00085376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A7C5E" w14:textId="77777777" w:rsidR="00085376" w:rsidRPr="00085376" w:rsidRDefault="00085376" w:rsidP="000853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1DBC5" w14:textId="77777777" w:rsidR="00085376" w:rsidRPr="00085376" w:rsidRDefault="00085376" w:rsidP="000853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8E231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A5288" w14:textId="77777777" w:rsidR="00085376" w:rsidRPr="00085376" w:rsidRDefault="00085376" w:rsidP="0008537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08537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3C3D848E" w:rsidR="00EB3D1B" w:rsidRDefault="002D2EE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3095B2F" w:rsidR="001B79E5" w:rsidRDefault="002D2EE7" w:rsidP="001B79E5">
                <w:pPr>
                  <w:pStyle w:val="Tablefont"/>
                </w:pPr>
                <w:r w:rsidRPr="002D2EE7">
                  <w:t>203.8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34C003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2D2EE7">
                  <w:t>8.30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2D2EE7">
                  <w:t>0.120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A5755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2260F9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9A70C8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7990BE7" w:rsidR="008E4F1F" w:rsidRDefault="008E4F1F" w:rsidP="002D2EE7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2D2EE7" w:rsidRPr="002D2EE7">
        <w:t>2007</w:t>
      </w:r>
      <w:r>
        <w:t xml:space="preserve">) </w:t>
      </w:r>
      <w:r w:rsidR="002D2EE7">
        <w:t xml:space="preserve">1,1,2,2-Tetrachlor-1,2- </w:t>
      </w:r>
      <w:proofErr w:type="spellStart"/>
      <w:r w:rsidR="002D2EE7">
        <w:t>difluorethan</w:t>
      </w:r>
      <w:proofErr w:type="spellEnd"/>
      <w:r>
        <w:t xml:space="preserve"> – MAK value documentation.</w:t>
      </w:r>
    </w:p>
    <w:p w14:paraId="356A6CDE" w14:textId="68CCA641" w:rsidR="00623A93" w:rsidRDefault="00623A93" w:rsidP="00623A93">
      <w:pPr>
        <w:rPr>
          <w:b/>
        </w:rPr>
      </w:pPr>
      <w:r>
        <w:t>European Chemicals Agency (ECHA) (2013) Tetrachloro-1,2-difluoroethane – REACH assessment.</w:t>
      </w:r>
    </w:p>
    <w:p w14:paraId="77EFB18B" w14:textId="6EDAF86E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2D2EE7" w:rsidRPr="002D2EE7">
        <w:t>1994</w:t>
      </w:r>
      <w:r>
        <w:t xml:space="preserve">) Immediately dangerous to life or health concentrations – </w:t>
      </w:r>
      <w:r w:rsidR="002D2EE7" w:rsidRPr="002D2EE7">
        <w:t>1,1,2,2-Tetrachloro-1,2-difluoroethane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E15D1" w14:textId="77777777" w:rsidR="00F85DC5" w:rsidRDefault="00F85DC5" w:rsidP="00F43AD5">
      <w:pPr>
        <w:spacing w:after="0" w:line="240" w:lineRule="auto"/>
      </w:pPr>
      <w:r>
        <w:separator/>
      </w:r>
    </w:p>
  </w:endnote>
  <w:endnote w:type="continuationSeparator" w:id="0">
    <w:p w14:paraId="30033A15" w14:textId="77777777" w:rsidR="00F85DC5" w:rsidRDefault="00F85DC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9CEF0AC" w:rsidR="00621C41" w:rsidRDefault="00621C41" w:rsidP="0034744C">
        <w:pPr>
          <w:pStyle w:val="Footer"/>
          <w:rPr>
            <w:sz w:val="18"/>
            <w:szCs w:val="18"/>
          </w:rPr>
        </w:pPr>
        <w:r w:rsidRPr="00BA36F0">
          <w:rPr>
            <w:b/>
            <w:sz w:val="18"/>
            <w:szCs w:val="18"/>
          </w:rPr>
          <w:t>1,1,2,2-Tetrachloro-1,2-difluoroethane</w:t>
        </w:r>
        <w:r>
          <w:rPr>
            <w:b/>
            <w:sz w:val="18"/>
            <w:szCs w:val="18"/>
          </w:rPr>
          <w:t xml:space="preserve"> (</w:t>
        </w:r>
        <w:r w:rsidRPr="00BA36F0">
          <w:rPr>
            <w:b/>
            <w:sz w:val="18"/>
            <w:szCs w:val="18"/>
          </w:rPr>
          <w:t>76-12-0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>2020</w:t>
        </w:r>
      </w:p>
      <w:p w14:paraId="2D517F5E" w14:textId="30860993" w:rsidR="00621C41" w:rsidRPr="00F43AD5" w:rsidRDefault="00621C4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475F3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8EF69" w14:textId="77777777" w:rsidR="00F85DC5" w:rsidRDefault="00F85DC5" w:rsidP="00F43AD5">
      <w:pPr>
        <w:spacing w:after="0" w:line="240" w:lineRule="auto"/>
      </w:pPr>
      <w:r>
        <w:separator/>
      </w:r>
    </w:p>
  </w:footnote>
  <w:footnote w:type="continuationSeparator" w:id="0">
    <w:p w14:paraId="4097A7C4" w14:textId="77777777" w:rsidR="00F85DC5" w:rsidRDefault="00F85DC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77777777" w:rsidR="00621C41" w:rsidRDefault="00621C4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D08995" wp14:editId="053AF40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77777777" w:rsidR="00621C41" w:rsidRDefault="00621C41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8F236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82964"/>
    <w:multiLevelType w:val="hybridMultilevel"/>
    <w:tmpl w:val="3D6EF5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AF54FA"/>
    <w:multiLevelType w:val="hybridMultilevel"/>
    <w:tmpl w:val="8828DCD4"/>
    <w:lvl w:ilvl="0" w:tplc="918AC0E2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  <w:color w:val="365F91" w:themeColor="accent1" w:themeShade="BF"/>
      </w:rPr>
    </w:lvl>
    <w:lvl w:ilvl="1" w:tplc="0C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265301E1"/>
    <w:multiLevelType w:val="hybridMultilevel"/>
    <w:tmpl w:val="A6A6D58A"/>
    <w:lvl w:ilvl="0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AE2727C"/>
    <w:multiLevelType w:val="hybridMultilevel"/>
    <w:tmpl w:val="80A6E4E0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B2D4376"/>
    <w:multiLevelType w:val="hybridMultilevel"/>
    <w:tmpl w:val="7C067954"/>
    <w:lvl w:ilvl="0" w:tplc="0C0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6" w15:restartNumberingAfterBreak="0">
    <w:nsid w:val="689E47AA"/>
    <w:multiLevelType w:val="hybridMultilevel"/>
    <w:tmpl w:val="0042641A"/>
    <w:lvl w:ilvl="0" w:tplc="04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9230834"/>
    <w:multiLevelType w:val="hybridMultilevel"/>
    <w:tmpl w:val="CA1AE908"/>
    <w:lvl w:ilvl="0" w:tplc="D90A10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81834">
    <w:abstractNumId w:val="0"/>
  </w:num>
  <w:num w:numId="2" w16cid:durableId="2018338001">
    <w:abstractNumId w:val="0"/>
  </w:num>
  <w:num w:numId="3" w16cid:durableId="391663501">
    <w:abstractNumId w:val="1"/>
  </w:num>
  <w:num w:numId="4" w16cid:durableId="829298879">
    <w:abstractNumId w:val="3"/>
  </w:num>
  <w:num w:numId="5" w16cid:durableId="832572556">
    <w:abstractNumId w:val="0"/>
  </w:num>
  <w:num w:numId="6" w16cid:durableId="1404377971">
    <w:abstractNumId w:val="0"/>
  </w:num>
  <w:num w:numId="7" w16cid:durableId="1773276289">
    <w:abstractNumId w:val="0"/>
  </w:num>
  <w:num w:numId="8" w16cid:durableId="573583804">
    <w:abstractNumId w:val="0"/>
  </w:num>
  <w:num w:numId="9" w16cid:durableId="1912697110">
    <w:abstractNumId w:val="0"/>
  </w:num>
  <w:num w:numId="10" w16cid:durableId="1299650978">
    <w:abstractNumId w:val="0"/>
  </w:num>
  <w:num w:numId="11" w16cid:durableId="324939314">
    <w:abstractNumId w:val="0"/>
  </w:num>
  <w:num w:numId="12" w16cid:durableId="2030443183">
    <w:abstractNumId w:val="7"/>
  </w:num>
  <w:num w:numId="13" w16cid:durableId="2113696685">
    <w:abstractNumId w:val="5"/>
  </w:num>
  <w:num w:numId="14" w16cid:durableId="568227477">
    <w:abstractNumId w:val="4"/>
  </w:num>
  <w:num w:numId="15" w16cid:durableId="1256012994">
    <w:abstractNumId w:val="6"/>
  </w:num>
  <w:num w:numId="16" w16cid:durableId="189072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AEE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5E3"/>
    <w:rsid w:val="00084513"/>
    <w:rsid w:val="00084859"/>
    <w:rsid w:val="00085376"/>
    <w:rsid w:val="00091719"/>
    <w:rsid w:val="00092D94"/>
    <w:rsid w:val="000A37CC"/>
    <w:rsid w:val="000B0868"/>
    <w:rsid w:val="000B3E12"/>
    <w:rsid w:val="000B3E78"/>
    <w:rsid w:val="000B7B48"/>
    <w:rsid w:val="000C096D"/>
    <w:rsid w:val="000C139A"/>
    <w:rsid w:val="000C2053"/>
    <w:rsid w:val="000C248C"/>
    <w:rsid w:val="000C7835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26BB"/>
    <w:rsid w:val="00146545"/>
    <w:rsid w:val="00146B75"/>
    <w:rsid w:val="0015266D"/>
    <w:rsid w:val="0015288A"/>
    <w:rsid w:val="00155999"/>
    <w:rsid w:val="00160F47"/>
    <w:rsid w:val="001673C3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5E64"/>
    <w:rsid w:val="001B79E5"/>
    <w:rsid w:val="001D56F0"/>
    <w:rsid w:val="001D663B"/>
    <w:rsid w:val="001D7B41"/>
    <w:rsid w:val="001E41C3"/>
    <w:rsid w:val="001E46DA"/>
    <w:rsid w:val="001E7D80"/>
    <w:rsid w:val="001F4B6C"/>
    <w:rsid w:val="001F62CB"/>
    <w:rsid w:val="001F6ED0"/>
    <w:rsid w:val="001F72E6"/>
    <w:rsid w:val="001F73C5"/>
    <w:rsid w:val="00202DFE"/>
    <w:rsid w:val="002046A6"/>
    <w:rsid w:val="00204956"/>
    <w:rsid w:val="00213640"/>
    <w:rsid w:val="00215A27"/>
    <w:rsid w:val="00221547"/>
    <w:rsid w:val="002216FC"/>
    <w:rsid w:val="00222533"/>
    <w:rsid w:val="00222F30"/>
    <w:rsid w:val="00224EE2"/>
    <w:rsid w:val="002260F9"/>
    <w:rsid w:val="00227EC7"/>
    <w:rsid w:val="00244AD1"/>
    <w:rsid w:val="002463BC"/>
    <w:rsid w:val="002465CE"/>
    <w:rsid w:val="0025734A"/>
    <w:rsid w:val="00263255"/>
    <w:rsid w:val="002723FE"/>
    <w:rsid w:val="00276494"/>
    <w:rsid w:val="00277B0C"/>
    <w:rsid w:val="0029065F"/>
    <w:rsid w:val="00297A77"/>
    <w:rsid w:val="002B1A2C"/>
    <w:rsid w:val="002C34F2"/>
    <w:rsid w:val="002C58FF"/>
    <w:rsid w:val="002C7AFE"/>
    <w:rsid w:val="002D05D2"/>
    <w:rsid w:val="002D2EE7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EF0"/>
    <w:rsid w:val="00362895"/>
    <w:rsid w:val="003636F6"/>
    <w:rsid w:val="003658E0"/>
    <w:rsid w:val="00367424"/>
    <w:rsid w:val="00370DBF"/>
    <w:rsid w:val="00386093"/>
    <w:rsid w:val="00387BE1"/>
    <w:rsid w:val="003904A4"/>
    <w:rsid w:val="00391841"/>
    <w:rsid w:val="00391B6D"/>
    <w:rsid w:val="00394922"/>
    <w:rsid w:val="003A0E32"/>
    <w:rsid w:val="003A2B94"/>
    <w:rsid w:val="003B387D"/>
    <w:rsid w:val="003C0D58"/>
    <w:rsid w:val="003C16CF"/>
    <w:rsid w:val="003D075C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36F9"/>
    <w:rsid w:val="0047195F"/>
    <w:rsid w:val="00471BF2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161"/>
    <w:rsid w:val="004C0C34"/>
    <w:rsid w:val="004C1E3F"/>
    <w:rsid w:val="004C23F4"/>
    <w:rsid w:val="004C3475"/>
    <w:rsid w:val="004C58B6"/>
    <w:rsid w:val="004D16A3"/>
    <w:rsid w:val="004D4AA1"/>
    <w:rsid w:val="004D624D"/>
    <w:rsid w:val="004D6D68"/>
    <w:rsid w:val="004E5EDD"/>
    <w:rsid w:val="004F24B8"/>
    <w:rsid w:val="004F3133"/>
    <w:rsid w:val="004F448A"/>
    <w:rsid w:val="004F493D"/>
    <w:rsid w:val="004F65E8"/>
    <w:rsid w:val="0050005E"/>
    <w:rsid w:val="00502B88"/>
    <w:rsid w:val="00505139"/>
    <w:rsid w:val="005142C4"/>
    <w:rsid w:val="0051509C"/>
    <w:rsid w:val="005272E2"/>
    <w:rsid w:val="0053108F"/>
    <w:rsid w:val="00531B06"/>
    <w:rsid w:val="00532B56"/>
    <w:rsid w:val="00534B10"/>
    <w:rsid w:val="005446A2"/>
    <w:rsid w:val="00544D2F"/>
    <w:rsid w:val="00547340"/>
    <w:rsid w:val="00547AB5"/>
    <w:rsid w:val="00551BD8"/>
    <w:rsid w:val="00573043"/>
    <w:rsid w:val="00581055"/>
    <w:rsid w:val="00591E38"/>
    <w:rsid w:val="005A19C5"/>
    <w:rsid w:val="005A3034"/>
    <w:rsid w:val="005A462D"/>
    <w:rsid w:val="005A7296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1C41"/>
    <w:rsid w:val="00623A93"/>
    <w:rsid w:val="00624C4E"/>
    <w:rsid w:val="00625200"/>
    <w:rsid w:val="006363A8"/>
    <w:rsid w:val="00636DB7"/>
    <w:rsid w:val="00640B45"/>
    <w:rsid w:val="00644B22"/>
    <w:rsid w:val="00650905"/>
    <w:rsid w:val="006532ED"/>
    <w:rsid w:val="006549F2"/>
    <w:rsid w:val="006567B7"/>
    <w:rsid w:val="00657BFB"/>
    <w:rsid w:val="0066333C"/>
    <w:rsid w:val="006639B4"/>
    <w:rsid w:val="006650FE"/>
    <w:rsid w:val="006663CA"/>
    <w:rsid w:val="0067305D"/>
    <w:rsid w:val="00677D9B"/>
    <w:rsid w:val="00683074"/>
    <w:rsid w:val="006867F3"/>
    <w:rsid w:val="00687890"/>
    <w:rsid w:val="006901A2"/>
    <w:rsid w:val="00690368"/>
    <w:rsid w:val="0069079C"/>
    <w:rsid w:val="00690B53"/>
    <w:rsid w:val="00695B72"/>
    <w:rsid w:val="006B160A"/>
    <w:rsid w:val="006B2114"/>
    <w:rsid w:val="006B4E6C"/>
    <w:rsid w:val="006B50B6"/>
    <w:rsid w:val="006D79EA"/>
    <w:rsid w:val="006E17D2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1B5"/>
    <w:rsid w:val="007462C6"/>
    <w:rsid w:val="00746988"/>
    <w:rsid w:val="00750212"/>
    <w:rsid w:val="00752F4C"/>
    <w:rsid w:val="00754779"/>
    <w:rsid w:val="0075716D"/>
    <w:rsid w:val="00765F14"/>
    <w:rsid w:val="00770E31"/>
    <w:rsid w:val="007770F1"/>
    <w:rsid w:val="0077720A"/>
    <w:rsid w:val="007801D3"/>
    <w:rsid w:val="00783A03"/>
    <w:rsid w:val="00783FB1"/>
    <w:rsid w:val="00785CDD"/>
    <w:rsid w:val="00791847"/>
    <w:rsid w:val="007925F0"/>
    <w:rsid w:val="007939B3"/>
    <w:rsid w:val="0079509C"/>
    <w:rsid w:val="00796708"/>
    <w:rsid w:val="007B17CC"/>
    <w:rsid w:val="007B1B42"/>
    <w:rsid w:val="007C30EB"/>
    <w:rsid w:val="007E063C"/>
    <w:rsid w:val="007E2A4B"/>
    <w:rsid w:val="007E307D"/>
    <w:rsid w:val="007E3C4B"/>
    <w:rsid w:val="007E6A4E"/>
    <w:rsid w:val="007E6C94"/>
    <w:rsid w:val="007F1005"/>
    <w:rsid w:val="007F25E0"/>
    <w:rsid w:val="007F5328"/>
    <w:rsid w:val="00804F5A"/>
    <w:rsid w:val="00810C6D"/>
    <w:rsid w:val="0081162C"/>
    <w:rsid w:val="00812887"/>
    <w:rsid w:val="008145F4"/>
    <w:rsid w:val="00826F21"/>
    <w:rsid w:val="00834CC8"/>
    <w:rsid w:val="00835E00"/>
    <w:rsid w:val="00837113"/>
    <w:rsid w:val="008414E4"/>
    <w:rsid w:val="008420A2"/>
    <w:rsid w:val="00843939"/>
    <w:rsid w:val="00843E21"/>
    <w:rsid w:val="0084508E"/>
    <w:rsid w:val="00857A8A"/>
    <w:rsid w:val="008630EE"/>
    <w:rsid w:val="00864D13"/>
    <w:rsid w:val="008656BF"/>
    <w:rsid w:val="00871CD5"/>
    <w:rsid w:val="008745A2"/>
    <w:rsid w:val="008768A8"/>
    <w:rsid w:val="0088798F"/>
    <w:rsid w:val="00887E4B"/>
    <w:rsid w:val="008915C8"/>
    <w:rsid w:val="0089272A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0DD7"/>
    <w:rsid w:val="008F5DCD"/>
    <w:rsid w:val="008F6040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0FE"/>
    <w:rsid w:val="00946044"/>
    <w:rsid w:val="0094660B"/>
    <w:rsid w:val="00946A33"/>
    <w:rsid w:val="0095260E"/>
    <w:rsid w:val="009578DD"/>
    <w:rsid w:val="00961124"/>
    <w:rsid w:val="009621B6"/>
    <w:rsid w:val="009711D4"/>
    <w:rsid w:val="00974F2D"/>
    <w:rsid w:val="00977524"/>
    <w:rsid w:val="00977B07"/>
    <w:rsid w:val="00977E88"/>
    <w:rsid w:val="00984920"/>
    <w:rsid w:val="0099303A"/>
    <w:rsid w:val="00994093"/>
    <w:rsid w:val="0099514E"/>
    <w:rsid w:val="009971C2"/>
    <w:rsid w:val="009A1254"/>
    <w:rsid w:val="009A70C8"/>
    <w:rsid w:val="009B2FF2"/>
    <w:rsid w:val="009B380C"/>
    <w:rsid w:val="009B4843"/>
    <w:rsid w:val="009B6543"/>
    <w:rsid w:val="009B6B11"/>
    <w:rsid w:val="009C199D"/>
    <w:rsid w:val="009C278F"/>
    <w:rsid w:val="009C2B94"/>
    <w:rsid w:val="009C555D"/>
    <w:rsid w:val="009C5874"/>
    <w:rsid w:val="009D245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830"/>
    <w:rsid w:val="00A0643F"/>
    <w:rsid w:val="00A067EE"/>
    <w:rsid w:val="00A10FCE"/>
    <w:rsid w:val="00A16D91"/>
    <w:rsid w:val="00A174CC"/>
    <w:rsid w:val="00A2073D"/>
    <w:rsid w:val="00A20751"/>
    <w:rsid w:val="00A226BD"/>
    <w:rsid w:val="00A27E2D"/>
    <w:rsid w:val="00A31D99"/>
    <w:rsid w:val="00A354FE"/>
    <w:rsid w:val="00A357BA"/>
    <w:rsid w:val="00A35ADC"/>
    <w:rsid w:val="00A402A3"/>
    <w:rsid w:val="00A53681"/>
    <w:rsid w:val="00A5755E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6895"/>
    <w:rsid w:val="00AC1252"/>
    <w:rsid w:val="00AC32E7"/>
    <w:rsid w:val="00AC3A9F"/>
    <w:rsid w:val="00AC6D2F"/>
    <w:rsid w:val="00AC761B"/>
    <w:rsid w:val="00AE2745"/>
    <w:rsid w:val="00AE2F64"/>
    <w:rsid w:val="00AF42CB"/>
    <w:rsid w:val="00AF483F"/>
    <w:rsid w:val="00AF5607"/>
    <w:rsid w:val="00AF5E07"/>
    <w:rsid w:val="00AF5F06"/>
    <w:rsid w:val="00B00A25"/>
    <w:rsid w:val="00B1422A"/>
    <w:rsid w:val="00B1765C"/>
    <w:rsid w:val="00B213C4"/>
    <w:rsid w:val="00B40C60"/>
    <w:rsid w:val="00B475F3"/>
    <w:rsid w:val="00B479A9"/>
    <w:rsid w:val="00B52EDF"/>
    <w:rsid w:val="00B71188"/>
    <w:rsid w:val="00B74D18"/>
    <w:rsid w:val="00B76A41"/>
    <w:rsid w:val="00B772EA"/>
    <w:rsid w:val="00B808AF"/>
    <w:rsid w:val="00B84EF1"/>
    <w:rsid w:val="00B87D4C"/>
    <w:rsid w:val="00B93646"/>
    <w:rsid w:val="00BA0B38"/>
    <w:rsid w:val="00BA1DBB"/>
    <w:rsid w:val="00BA36F0"/>
    <w:rsid w:val="00BA4510"/>
    <w:rsid w:val="00BA529A"/>
    <w:rsid w:val="00BB612A"/>
    <w:rsid w:val="00BC1D08"/>
    <w:rsid w:val="00BC2838"/>
    <w:rsid w:val="00BC5617"/>
    <w:rsid w:val="00BD0686"/>
    <w:rsid w:val="00BD499F"/>
    <w:rsid w:val="00BD56DE"/>
    <w:rsid w:val="00BF0619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28C"/>
    <w:rsid w:val="00C978F0"/>
    <w:rsid w:val="00CA58FE"/>
    <w:rsid w:val="00CA5B8D"/>
    <w:rsid w:val="00CB1CB1"/>
    <w:rsid w:val="00CB6BC1"/>
    <w:rsid w:val="00CB6CB8"/>
    <w:rsid w:val="00CC026E"/>
    <w:rsid w:val="00CC1A68"/>
    <w:rsid w:val="00CC2123"/>
    <w:rsid w:val="00CD2BFD"/>
    <w:rsid w:val="00CE5AD6"/>
    <w:rsid w:val="00CE617F"/>
    <w:rsid w:val="00CE78EF"/>
    <w:rsid w:val="00D021E7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7B6C"/>
    <w:rsid w:val="00D87570"/>
    <w:rsid w:val="00D91CB9"/>
    <w:rsid w:val="00D963B8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1F11"/>
    <w:rsid w:val="00E32595"/>
    <w:rsid w:val="00E37CFD"/>
    <w:rsid w:val="00E41718"/>
    <w:rsid w:val="00E41A26"/>
    <w:rsid w:val="00E43F2E"/>
    <w:rsid w:val="00E46BCB"/>
    <w:rsid w:val="00E51CAF"/>
    <w:rsid w:val="00E60F04"/>
    <w:rsid w:val="00E62AAC"/>
    <w:rsid w:val="00E67C2F"/>
    <w:rsid w:val="00E67EF5"/>
    <w:rsid w:val="00E77834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40E1"/>
    <w:rsid w:val="00EE612C"/>
    <w:rsid w:val="00EF233A"/>
    <w:rsid w:val="00EF303E"/>
    <w:rsid w:val="00EF3175"/>
    <w:rsid w:val="00EF3A40"/>
    <w:rsid w:val="00EF7F78"/>
    <w:rsid w:val="00F017B4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EF4"/>
    <w:rsid w:val="00F85DC5"/>
    <w:rsid w:val="00F87D92"/>
    <w:rsid w:val="00F90AA7"/>
    <w:rsid w:val="00F92498"/>
    <w:rsid w:val="00F9496B"/>
    <w:rsid w:val="00F970C9"/>
    <w:rsid w:val="00FA06A8"/>
    <w:rsid w:val="00FA3DF5"/>
    <w:rsid w:val="00FA7295"/>
    <w:rsid w:val="00FA741F"/>
    <w:rsid w:val="00FB4E07"/>
    <w:rsid w:val="00FB755A"/>
    <w:rsid w:val="00FC3CC0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977B0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39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9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39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9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3939"/>
    <w:rPr>
      <w:b/>
      <w:bCs/>
      <w:szCs w:val="20"/>
    </w:rPr>
  </w:style>
  <w:style w:type="paragraph" w:styleId="Revision">
    <w:name w:val="Revision"/>
    <w:hidden/>
    <w:uiPriority w:val="99"/>
    <w:semiHidden/>
    <w:rsid w:val="00A575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3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ABA87675BA74F7C90D9D2FEDB98A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850EC-0CFD-4F83-93D9-9BB40A20385D}"/>
      </w:docPartPr>
      <w:docPartBody>
        <w:p w:rsidR="00F75D22" w:rsidRDefault="00F82BE9" w:rsidP="00F82BE9">
          <w:pPr>
            <w:pStyle w:val="1ABA87675BA74F7C90D9D2FEDB98A80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C7CDE"/>
    <w:rsid w:val="00550CAF"/>
    <w:rsid w:val="00573043"/>
    <w:rsid w:val="00755FBF"/>
    <w:rsid w:val="00CA72D3"/>
    <w:rsid w:val="00D161AE"/>
    <w:rsid w:val="00D21A9F"/>
    <w:rsid w:val="00E54638"/>
    <w:rsid w:val="00E826C4"/>
    <w:rsid w:val="00F244FE"/>
    <w:rsid w:val="00F75D22"/>
    <w:rsid w:val="00F8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2BE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1ABA87675BA74F7C90D9D2FEDB98A801">
    <w:name w:val="1ABA87675BA74F7C90D9D2FEDB98A801"/>
    <w:rsid w:val="00F82B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917ECC-AA52-4B52-A526-FCD9702170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4075BF-2F6A-4A42-BE21-22316BD2EA2D}"/>
</file>

<file path=customXml/itemProps3.xml><?xml version="1.0" encoding="utf-8"?>
<ds:datastoreItem xmlns:ds="http://schemas.openxmlformats.org/officeDocument/2006/customXml" ds:itemID="{3B6ECB85-656B-402C-94B7-747A4187AB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CBE0AE-4DE9-4ABE-A294-A5CE919C2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1324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2020-06-21T22:53:00Z</dcterms:created>
  <dcterms:modified xsi:type="dcterms:W3CDTF">2026-01-07T01:05:00Z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2026-01-07T01:05:35Z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566d54ed-89d7-4c73-b27e-f959a03ffe74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