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157C8098" w:rsidR="00BD499F" w:rsidRPr="004C23F4" w:rsidRDefault="0004478D" w:rsidP="00B40C60">
          <w:pPr>
            <w:pStyle w:val="Heading1"/>
            <w:jc w:val="center"/>
            <w:rPr>
              <w:rFonts w:ascii="Arial" w:hAnsi="Arial" w:cs="Arial"/>
            </w:rPr>
          </w:pPr>
          <w:r w:rsidRPr="0004478D">
            <w:rPr>
              <w:rFonts w:ascii="Arial" w:hAnsi="Arial" w:cs="Arial"/>
            </w:rPr>
            <w:t>1,1,2,2-Tetrabromoethane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5A37E1BC" w:rsidR="00F43AD5" w:rsidRPr="00717D45" w:rsidRDefault="00CB541E" w:rsidP="00B76A41">
            <w:pPr>
              <w:pStyle w:val="Tablefont"/>
            </w:pPr>
            <w:r w:rsidRPr="00CB541E">
              <w:t>79-27-6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5C1D57A5" w:rsidR="00F43AD5" w:rsidRPr="00717D45" w:rsidRDefault="00CB541E" w:rsidP="00B76A41">
            <w:pPr>
              <w:pStyle w:val="Tablefont"/>
            </w:pPr>
            <w:r>
              <w:t xml:space="preserve">Acetylene tetrabromide, </w:t>
            </w:r>
            <w:proofErr w:type="spellStart"/>
            <w:r>
              <w:t>muthmann’s</w:t>
            </w:r>
            <w:proofErr w:type="spellEnd"/>
            <w:r>
              <w:t xml:space="preserve"> liquid, tetrabromoethane, </w:t>
            </w:r>
            <w:proofErr w:type="spellStart"/>
            <w:r>
              <w:t>sym</w:t>
            </w:r>
            <w:proofErr w:type="spellEnd"/>
            <w:r>
              <w:t xml:space="preserve">-tetrabromoethane, </w:t>
            </w:r>
            <w:proofErr w:type="spellStart"/>
            <w:r>
              <w:t>tetrabromoacetylene</w:t>
            </w:r>
            <w:proofErr w:type="spellEnd"/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0B6E15B2" w:rsidR="00F43AD5" w:rsidRPr="00717D45" w:rsidRDefault="00CB541E" w:rsidP="00B76A41">
            <w:pPr>
              <w:pStyle w:val="Tablefont"/>
            </w:pPr>
            <w:r>
              <w:t>C</w:t>
            </w:r>
            <w:r w:rsidRPr="00CB541E">
              <w:rPr>
                <w:vertAlign w:val="subscript"/>
              </w:rPr>
              <w:t>2</w:t>
            </w:r>
            <w:r>
              <w:t>H</w:t>
            </w:r>
            <w:r w:rsidRPr="00CB541E">
              <w:rPr>
                <w:vertAlign w:val="subscript"/>
              </w:rPr>
              <w:t>2</w:t>
            </w:r>
            <w:r>
              <w:t>Br</w:t>
            </w:r>
            <w:r w:rsidRPr="00CB541E">
              <w:rPr>
                <w:vertAlign w:val="subscript"/>
              </w:rPr>
              <w:t>4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1429495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2151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019334B7" w:rsidR="002C7AFE" w:rsidRPr="00421515" w:rsidRDefault="0042151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(14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3B077A91" w:rsidR="00037E52" w:rsidRPr="00EB3D1B" w:rsidRDefault="00CB541E" w:rsidP="00037E52">
            <w:pPr>
              <w:pStyle w:val="Tablefont"/>
              <w:rPr>
                <w:b/>
              </w:rPr>
            </w:pPr>
            <w:r w:rsidRPr="00CB541E">
              <w:rPr>
                <w:b/>
              </w:rPr>
              <w:t>8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356BD59" w:rsidR="00155999" w:rsidRPr="00EB3D1B" w:rsidRDefault="00155999" w:rsidP="00037E52">
            <w:pPr>
              <w:pStyle w:val="Tablefont"/>
              <w:rPr>
                <w:b/>
              </w:rPr>
            </w:pPr>
            <w:r w:rsidRPr="00731158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270AF" w:rsidRPr="0073115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7BACEAC6" w:rsidR="006639B4" w:rsidRPr="004C23F4" w:rsidRDefault="00421515" w:rsidP="000C139A">
      <w:pPr>
        <w:rPr>
          <w:rFonts w:cs="Arial"/>
        </w:rPr>
      </w:pPr>
      <w:r>
        <w:rPr>
          <w:rFonts w:cs="Arial"/>
        </w:rPr>
        <w:t xml:space="preserve">A TWA of 1 ppm is recommended to protect for </w:t>
      </w:r>
      <w:r>
        <w:t>eye and upper respiratory tract irritation, pulmonary oedema and possibl</w:t>
      </w:r>
      <w:r w:rsidR="00DD3F83">
        <w:t>e</w:t>
      </w:r>
      <w:r>
        <w:t xml:space="preserve"> liver damage in exposed workers</w:t>
      </w:r>
      <w:r w:rsidR="001264B0"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F6C047" w14:textId="6852243B" w:rsidR="006639B4" w:rsidRDefault="00B07037" w:rsidP="006639B4">
      <w:r>
        <w:t>1,1,2,2-tetrabromoethane (tetrabromoethane)</w:t>
      </w:r>
      <w:r w:rsidR="00510649">
        <w:t xml:space="preserve"> is used as a solvent, gauge fluid, refractive index liquid in microscopy and </w:t>
      </w:r>
      <w:r w:rsidR="00DD3F83">
        <w:t xml:space="preserve">in </w:t>
      </w:r>
      <w:r w:rsidR="00510649">
        <w:t>other industrial uses.</w:t>
      </w:r>
    </w:p>
    <w:p w14:paraId="479B4FEA" w14:textId="77777777" w:rsidR="00480D83" w:rsidRDefault="00510649" w:rsidP="00421515">
      <w:r>
        <w:t xml:space="preserve">Critical effects </w:t>
      </w:r>
      <w:r w:rsidR="00DD3F83">
        <w:t>of</w:t>
      </w:r>
      <w:r>
        <w:t xml:space="preserve"> exposure are eye and upper respiratory tract irritation, pulmonary oedema and possibl</w:t>
      </w:r>
      <w:r w:rsidR="00DD3F83">
        <w:t>e</w:t>
      </w:r>
      <w:r>
        <w:t xml:space="preserve"> liver damage.</w:t>
      </w:r>
    </w:p>
    <w:p w14:paraId="3399938D" w14:textId="386E26B9" w:rsidR="00421515" w:rsidRDefault="00510649" w:rsidP="00421515">
      <w:r>
        <w:t>Limited data are available.</w:t>
      </w:r>
      <w:r w:rsidR="00421515">
        <w:t xml:space="preserve"> Near fatal liver injury</w:t>
      </w:r>
      <w:r w:rsidR="00731158">
        <w:t xml:space="preserve"> is reported</w:t>
      </w:r>
      <w:r w:rsidR="00421515">
        <w:t xml:space="preserve"> in a chemist accidentally exposed over </w:t>
      </w:r>
      <w:r w:rsidR="00DD3F83">
        <w:t>one</w:t>
      </w:r>
      <w:r w:rsidR="00421515">
        <w:t xml:space="preserve"> day to an estimated 2 ppm. The ini</w:t>
      </w:r>
      <w:r w:rsidR="00421515" w:rsidRPr="00A16E10">
        <w:t>tial symptoms were headache, anorexia, vomiting and stomach pains</w:t>
      </w:r>
      <w:r w:rsidR="00421515">
        <w:t>. Pulmonary oedema and slight fatty degeneration of the liver</w:t>
      </w:r>
      <w:r w:rsidR="00731158">
        <w:t xml:space="preserve"> is reported</w:t>
      </w:r>
      <w:r w:rsidR="00421515">
        <w:t xml:space="preserve"> in multiple test animals exposed at an average of 14 ppm for 100 to 106 </w:t>
      </w:r>
      <w:proofErr w:type="gramStart"/>
      <w:r w:rsidR="00421515">
        <w:t>days</w:t>
      </w:r>
      <w:r w:rsidR="00731158">
        <w:t>;</w:t>
      </w:r>
      <w:proofErr w:type="gramEnd"/>
      <w:r w:rsidR="00421515">
        <w:t xml:space="preserve"> with similar but slight effects at 4 ppm for 180 days. </w:t>
      </w:r>
      <w:r w:rsidR="00E40360">
        <w:t>In this same study, n</w:t>
      </w:r>
      <w:r w:rsidR="00421515">
        <w:t xml:space="preserve">o observed effects </w:t>
      </w:r>
      <w:r w:rsidR="00731158">
        <w:t>a</w:t>
      </w:r>
      <w:r w:rsidR="00421515">
        <w:t xml:space="preserve">re identified at 1 ppm for 190 days. </w:t>
      </w:r>
      <w:r w:rsidR="004928D9">
        <w:t xml:space="preserve">Exposure to saturated vapor for </w:t>
      </w:r>
      <w:r w:rsidR="00731158">
        <w:t>seven</w:t>
      </w:r>
      <w:r w:rsidR="004928D9">
        <w:t xml:space="preserve"> hours produced slight e</w:t>
      </w:r>
      <w:r w:rsidR="00421515">
        <w:t>ye and respiratory tract irritation in rats (ACGIH, 2018).</w:t>
      </w:r>
    </w:p>
    <w:p w14:paraId="255FF93C" w14:textId="1B1D2ACF" w:rsidR="00421515" w:rsidRDefault="00421515" w:rsidP="00421515">
      <w:r>
        <w:t>Limited data</w:t>
      </w:r>
      <w:r w:rsidR="001966C7">
        <w:t xml:space="preserve"> are</w:t>
      </w:r>
      <w:r>
        <w:t xml:space="preserve"> </w:t>
      </w:r>
      <w:r w:rsidR="00480D83">
        <w:t>available;</w:t>
      </w:r>
      <w:r>
        <w:t xml:space="preserve"> however, the evidence in animals suggests a </w:t>
      </w:r>
      <w:r w:rsidR="00480D83">
        <w:t xml:space="preserve">NOAEC </w:t>
      </w:r>
      <w:r>
        <w:t xml:space="preserve">of 1 ppm. </w:t>
      </w:r>
      <w:r w:rsidR="00DB579E">
        <w:t xml:space="preserve">SWA and </w:t>
      </w:r>
      <w:r w:rsidR="0076048A">
        <w:t xml:space="preserve">ACGIH </w:t>
      </w:r>
      <w:r w:rsidR="00DB579E">
        <w:t xml:space="preserve">are </w:t>
      </w:r>
      <w:r w:rsidR="0076048A">
        <w:t>the only primary source</w:t>
      </w:r>
      <w:r w:rsidR="00DB579E">
        <w:t>s</w:t>
      </w:r>
      <w:r w:rsidR="0076048A">
        <w:t xml:space="preserve"> to recommend occupational exposure limit</w:t>
      </w:r>
      <w:r w:rsidR="009C6634">
        <w:t>s</w:t>
      </w:r>
      <w:r w:rsidR="00DB579E">
        <w:t>.</w:t>
      </w:r>
      <w:r w:rsidR="0076048A">
        <w:t xml:space="preserve"> DFG consider the data insufficient to drive a MAK. There are no other data available to suggest </w:t>
      </w:r>
      <w:r w:rsidR="00DB579E">
        <w:t xml:space="preserve">a change </w:t>
      </w:r>
      <w:r w:rsidR="00FE7689">
        <w:t xml:space="preserve">is required </w:t>
      </w:r>
      <w:r w:rsidR="00DB579E">
        <w:t xml:space="preserve">in </w:t>
      </w:r>
      <w:r w:rsidR="00FE7689">
        <w:t xml:space="preserve">current SWA </w:t>
      </w:r>
      <w:r w:rsidR="00DB579E">
        <w:t xml:space="preserve">TWA. A </w:t>
      </w:r>
      <w:r>
        <w:t>TWA of 1</w:t>
      </w:r>
      <w:r w:rsidR="00480D83">
        <w:t> </w:t>
      </w:r>
      <w:r>
        <w:t xml:space="preserve">ppm is recommended to </w:t>
      </w:r>
      <w:r w:rsidR="00974AC6">
        <w:t xml:space="preserve">be </w:t>
      </w:r>
      <w:r>
        <w:t>retained to protect exposed workers from irritation effects.</w:t>
      </w:r>
    </w:p>
    <w:p w14:paraId="273B44AD" w14:textId="77777777" w:rsidR="004529F0" w:rsidRPr="004C23F4" w:rsidRDefault="004529F0" w:rsidP="001966C7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421515" w:rsidRDefault="008E4F1F" w:rsidP="008E4F1F">
      <w:pPr>
        <w:rPr>
          <w:rFonts w:cs="Arial"/>
        </w:rPr>
      </w:pPr>
      <w:r w:rsidRPr="00421515">
        <w:rPr>
          <w:rFonts w:cs="Arial"/>
        </w:rPr>
        <w:t>Not classified as a carcinogen according to the Globally Harmonized System of</w:t>
      </w:r>
      <w:r w:rsidR="00155999" w:rsidRPr="00421515">
        <w:rPr>
          <w:rFonts w:cs="Arial"/>
        </w:rPr>
        <w:t xml:space="preserve"> Classification and Labelling of</w:t>
      </w:r>
      <w:r w:rsidRPr="00421515">
        <w:rPr>
          <w:rFonts w:cs="Arial"/>
        </w:rPr>
        <w:t xml:space="preserve"> Chemicals (GHS). </w:t>
      </w:r>
    </w:p>
    <w:p w14:paraId="03916CCC" w14:textId="77777777" w:rsidR="008E4F1F" w:rsidRPr="00421515" w:rsidRDefault="008E4F1F" w:rsidP="008E4F1F">
      <w:pPr>
        <w:rPr>
          <w:rFonts w:cs="Arial"/>
        </w:rPr>
      </w:pPr>
      <w:r w:rsidRPr="00421515">
        <w:rPr>
          <w:rFonts w:cs="Arial"/>
        </w:rPr>
        <w:t xml:space="preserve">Not classified as a skin </w:t>
      </w:r>
      <w:r w:rsidR="00155999" w:rsidRPr="00421515">
        <w:rPr>
          <w:rFonts w:cs="Arial"/>
        </w:rPr>
        <w:t xml:space="preserve">sensitiser </w:t>
      </w:r>
      <w:r w:rsidRPr="00421515">
        <w:rPr>
          <w:rFonts w:cs="Arial"/>
        </w:rPr>
        <w:t>or respiratory sensitiser according to the GHS.</w:t>
      </w:r>
    </w:p>
    <w:p w14:paraId="529988FE" w14:textId="77777777" w:rsidR="002B2806" w:rsidRDefault="002B2806" w:rsidP="002B2806">
      <w:pPr>
        <w:rPr>
          <w:rFonts w:cs="Arial"/>
        </w:rPr>
      </w:pPr>
      <w:r w:rsidRPr="002B2806">
        <w:rPr>
          <w:rFonts w:cs="Arial"/>
        </w:rPr>
        <w:t>A skin notation is not recommended based on the available evidence.</w:t>
      </w:r>
    </w:p>
    <w:p w14:paraId="4C1F8D43" w14:textId="07F31E7D" w:rsidR="002B2806" w:rsidRPr="004C23F4" w:rsidRDefault="002B2806">
      <w:pPr>
        <w:rPr>
          <w:rFonts w:cs="Arial"/>
        </w:rPr>
        <w:sectPr w:rsidR="002B2806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82017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820177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818816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B541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B541E">
                  <w:t>TWA: 1 ppm (14 mg/m</w:t>
                </w:r>
                <w:r w:rsidR="00CB541E" w:rsidRPr="00CB541E">
                  <w:rPr>
                    <w:vertAlign w:val="superscript"/>
                  </w:rPr>
                  <w:t>3</w:t>
                </w:r>
                <w:r w:rsidR="00CB541E">
                  <w:t>)</w:t>
                </w:r>
              </w:sdtContent>
            </w:sdt>
          </w:p>
        </w:tc>
      </w:tr>
      <w:tr w:rsidR="00C978F0" w:rsidRPr="00DA352E" w14:paraId="26087DDB" w14:textId="77777777" w:rsidTr="00820177">
        <w:trPr>
          <w:gridAfter w:val="1"/>
          <w:wAfter w:w="8" w:type="pct"/>
          <w:cantSplit/>
        </w:trPr>
        <w:tc>
          <w:tcPr>
            <w:tcW w:w="4992" w:type="pct"/>
          </w:tcPr>
          <w:p w14:paraId="7C21E001" w14:textId="77777777" w:rsidR="00C978F0" w:rsidRDefault="00421515" w:rsidP="003365A5">
            <w:pPr>
              <w:pStyle w:val="Tabletextprimarysource"/>
            </w:pPr>
            <w:r>
              <w:t>Adopted from ACGIH in 1991.</w:t>
            </w:r>
          </w:p>
          <w:p w14:paraId="0C35D888" w14:textId="77777777" w:rsidR="00F767D3" w:rsidRPr="00F767D3" w:rsidRDefault="00F767D3" w:rsidP="00F767D3"/>
          <w:p w14:paraId="6022B22A" w14:textId="77777777" w:rsidR="00F767D3" w:rsidRPr="00F767D3" w:rsidRDefault="00F767D3" w:rsidP="00F767D3"/>
          <w:p w14:paraId="334C942A" w14:textId="77777777" w:rsidR="00F767D3" w:rsidRPr="00F767D3" w:rsidRDefault="00F767D3" w:rsidP="00F767D3"/>
          <w:p w14:paraId="01C819B6" w14:textId="77777777" w:rsidR="00F767D3" w:rsidRPr="00F767D3" w:rsidRDefault="00F767D3" w:rsidP="00F767D3"/>
          <w:p w14:paraId="2E5538B9" w14:textId="77777777" w:rsidR="00F767D3" w:rsidRPr="00F767D3" w:rsidRDefault="00F767D3" w:rsidP="00F767D3"/>
          <w:p w14:paraId="1074CD54" w14:textId="77777777" w:rsidR="00F767D3" w:rsidRPr="00F767D3" w:rsidRDefault="00F767D3" w:rsidP="00F767D3"/>
          <w:p w14:paraId="5148B949" w14:textId="77777777" w:rsidR="00F767D3" w:rsidRPr="00F767D3" w:rsidRDefault="00F767D3" w:rsidP="00F767D3"/>
          <w:p w14:paraId="059430A6" w14:textId="77777777" w:rsidR="00F767D3" w:rsidRPr="00F767D3" w:rsidRDefault="00F767D3" w:rsidP="00F767D3"/>
          <w:p w14:paraId="23646D3A" w14:textId="77777777" w:rsidR="00F767D3" w:rsidRPr="00F767D3" w:rsidRDefault="00F767D3" w:rsidP="00F767D3"/>
          <w:p w14:paraId="6513BBDA" w14:textId="77777777" w:rsidR="00F767D3" w:rsidRPr="00F767D3" w:rsidRDefault="00F767D3" w:rsidP="00F767D3"/>
          <w:p w14:paraId="2F5549C5" w14:textId="77777777" w:rsidR="00F767D3" w:rsidRPr="00F767D3" w:rsidRDefault="00F767D3" w:rsidP="00F767D3"/>
          <w:p w14:paraId="59B00FE3" w14:textId="77777777" w:rsidR="00F767D3" w:rsidRPr="00F767D3" w:rsidRDefault="00F767D3" w:rsidP="00F767D3"/>
          <w:p w14:paraId="07287199" w14:textId="77777777" w:rsidR="00F767D3" w:rsidRPr="00F767D3" w:rsidRDefault="00F767D3" w:rsidP="00F767D3"/>
          <w:p w14:paraId="0ADD7E12" w14:textId="77777777" w:rsidR="00F767D3" w:rsidRPr="00F767D3" w:rsidRDefault="00F767D3" w:rsidP="00F767D3"/>
          <w:p w14:paraId="4B694816" w14:textId="77777777" w:rsidR="00F767D3" w:rsidRPr="00F767D3" w:rsidRDefault="00F767D3" w:rsidP="00F767D3"/>
          <w:p w14:paraId="7E902814" w14:textId="77777777" w:rsidR="00F767D3" w:rsidRPr="00F767D3" w:rsidRDefault="00F767D3" w:rsidP="00F767D3"/>
          <w:p w14:paraId="76B8FEBB" w14:textId="77777777" w:rsidR="00F767D3" w:rsidRPr="00F767D3" w:rsidRDefault="00F767D3" w:rsidP="00F767D3"/>
          <w:p w14:paraId="5C12F2ED" w14:textId="77777777" w:rsidR="00F767D3" w:rsidRPr="00F767D3" w:rsidRDefault="00F767D3" w:rsidP="00F767D3"/>
          <w:p w14:paraId="0236D00A" w14:textId="77777777" w:rsidR="00F767D3" w:rsidRPr="00F767D3" w:rsidRDefault="00F767D3" w:rsidP="00F767D3"/>
          <w:p w14:paraId="70BAEB74" w14:textId="77777777" w:rsidR="00F767D3" w:rsidRPr="00F767D3" w:rsidRDefault="00F767D3" w:rsidP="00F767D3"/>
          <w:p w14:paraId="4DD14FA3" w14:textId="77777777" w:rsidR="00F767D3" w:rsidRPr="00F767D3" w:rsidRDefault="00F767D3" w:rsidP="00F767D3"/>
          <w:p w14:paraId="10FBE634" w14:textId="77777777" w:rsidR="00F767D3" w:rsidRPr="00F767D3" w:rsidRDefault="00F767D3" w:rsidP="00F767D3"/>
          <w:p w14:paraId="63DF0EF1" w14:textId="77777777" w:rsidR="00F767D3" w:rsidRPr="00F767D3" w:rsidRDefault="00F767D3" w:rsidP="00F767D3"/>
          <w:p w14:paraId="4B54F7FF" w14:textId="77777777" w:rsidR="00F767D3" w:rsidRPr="00F767D3" w:rsidRDefault="00F767D3" w:rsidP="00F767D3"/>
          <w:p w14:paraId="3D2AB5D1" w14:textId="77777777" w:rsidR="00F767D3" w:rsidRPr="00F767D3" w:rsidRDefault="00F767D3" w:rsidP="00F767D3"/>
          <w:p w14:paraId="206DBC23" w14:textId="77777777" w:rsidR="00F767D3" w:rsidRPr="00F767D3" w:rsidRDefault="00F767D3" w:rsidP="00F767D3"/>
          <w:p w14:paraId="5C4B0380" w14:textId="77777777" w:rsidR="00F767D3" w:rsidRPr="00F767D3" w:rsidRDefault="00F767D3" w:rsidP="00F767D3"/>
          <w:p w14:paraId="4EB53F7F" w14:textId="77777777" w:rsidR="00F767D3" w:rsidRPr="00F767D3" w:rsidRDefault="00F767D3" w:rsidP="00F767D3"/>
          <w:p w14:paraId="506B608F" w14:textId="77777777" w:rsidR="00F767D3" w:rsidRPr="00F767D3" w:rsidRDefault="00F767D3" w:rsidP="00F767D3"/>
          <w:p w14:paraId="161B1049" w14:textId="77777777" w:rsidR="00F767D3" w:rsidRPr="00F767D3" w:rsidRDefault="00F767D3" w:rsidP="00F767D3"/>
          <w:p w14:paraId="39EB5C3E" w14:textId="77777777" w:rsidR="00F767D3" w:rsidRPr="00F767D3" w:rsidRDefault="00F767D3" w:rsidP="00F767D3"/>
          <w:p w14:paraId="1AA8634E" w14:textId="77777777" w:rsidR="00F767D3" w:rsidRDefault="00F767D3" w:rsidP="00F767D3"/>
          <w:p w14:paraId="32B27970" w14:textId="77777777" w:rsidR="00F767D3" w:rsidRPr="00F767D3" w:rsidRDefault="00F767D3" w:rsidP="00F767D3"/>
          <w:p w14:paraId="2F61D604" w14:textId="77777777" w:rsidR="00F767D3" w:rsidRPr="00F767D3" w:rsidRDefault="00F767D3" w:rsidP="00F767D3"/>
          <w:p w14:paraId="1137D58F" w14:textId="5A79C1EE" w:rsidR="00F767D3" w:rsidRPr="00F767D3" w:rsidRDefault="00F767D3" w:rsidP="00F767D3"/>
        </w:tc>
      </w:tr>
      <w:tr w:rsidR="00C978F0" w:rsidRPr="00DA352E" w14:paraId="24593221" w14:textId="77777777" w:rsidTr="0082017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AADBAA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B541E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B541E">
                  <w:t>TLV-TWA: 0.1 ppm (1.4 mg/m</w:t>
                </w:r>
                <w:r w:rsidR="00CB541E" w:rsidRPr="00CB541E">
                  <w:rPr>
                    <w:vertAlign w:val="superscript"/>
                  </w:rPr>
                  <w:t>3</w:t>
                </w:r>
                <w:r w:rsidR="00CB541E">
                  <w:t>)</w:t>
                </w:r>
              </w:sdtContent>
            </w:sdt>
          </w:p>
        </w:tc>
      </w:tr>
      <w:tr w:rsidR="00C978F0" w:rsidRPr="00DA352E" w14:paraId="418D532D" w14:textId="77777777" w:rsidTr="00820177">
        <w:trPr>
          <w:gridAfter w:val="1"/>
          <w:wAfter w:w="8" w:type="pct"/>
          <w:cantSplit/>
        </w:trPr>
        <w:tc>
          <w:tcPr>
            <w:tcW w:w="4992" w:type="pct"/>
          </w:tcPr>
          <w:p w14:paraId="663B85FB" w14:textId="11CB3919" w:rsidR="00FD56D4" w:rsidRDefault="00FD56D4" w:rsidP="00FD56D4">
            <w:pPr>
              <w:pStyle w:val="Tabletextprimarysource"/>
            </w:pPr>
            <w:r>
              <w:t xml:space="preserve">TLV-TWA recommended to minimise the risk of </w:t>
            </w:r>
            <w:r w:rsidR="00B16E71">
              <w:t xml:space="preserve">eye and upper respiratory tract irritation, pulmonary oedema and liver damage </w:t>
            </w:r>
            <w:r>
              <w:t>in exposed workers.</w:t>
            </w:r>
          </w:p>
          <w:p w14:paraId="148FE7CC" w14:textId="1CEF48B5" w:rsidR="00FD56D4" w:rsidRDefault="00FD56D4" w:rsidP="00FD56D4">
            <w:pPr>
              <w:pStyle w:val="Tabletextprimarysource"/>
            </w:pPr>
            <w:r>
              <w:t>Summary of data:</w:t>
            </w:r>
          </w:p>
          <w:p w14:paraId="22C50E1D" w14:textId="52E88019" w:rsidR="00421515" w:rsidRDefault="00421515" w:rsidP="00731158">
            <w:pPr>
              <w:pStyle w:val="ListBullet"/>
              <w:spacing w:before="60" w:after="60"/>
              <w:ind w:left="717"/>
            </w:pPr>
            <w:r>
              <w:t>Lowered from 1 ppm to 0.1 ppm in 2006</w:t>
            </w:r>
            <w:r w:rsidR="002B2806">
              <w:t>.</w:t>
            </w:r>
          </w:p>
          <w:p w14:paraId="207E693A" w14:textId="68A12E28" w:rsidR="00FD56D4" w:rsidRDefault="003328D9" w:rsidP="00FD56D4">
            <w:pPr>
              <w:pStyle w:val="Tabletextprimarysource"/>
              <w:rPr>
                <w:rFonts w:cs="Arial"/>
              </w:rPr>
            </w:pPr>
            <w:r>
              <w:rPr>
                <w:rFonts w:cs="Arial"/>
              </w:rPr>
              <w:t>Basis for TLV-TWA</w:t>
            </w:r>
          </w:p>
          <w:p w14:paraId="2C0A5127" w14:textId="245E3838" w:rsidR="003328D9" w:rsidRDefault="003328D9" w:rsidP="00731158">
            <w:pPr>
              <w:pStyle w:val="ListBullet"/>
              <w:spacing w:before="60" w:after="60"/>
              <w:ind w:left="717"/>
            </w:pPr>
            <w:r>
              <w:t xml:space="preserve">Based on data from </w:t>
            </w:r>
            <w:r w:rsidR="008233B0">
              <w:t>inhalation</w:t>
            </w:r>
            <w:r w:rsidR="00B16E71">
              <w:t xml:space="preserve"> </w:t>
            </w:r>
            <w:r>
              <w:t>study in various animals demonstrating no effects observed at 1 ppm exposures for 190 d</w:t>
            </w:r>
            <w:r w:rsidR="002B2806">
              <w:t>.</w:t>
            </w:r>
          </w:p>
          <w:p w14:paraId="2C97A9C4" w14:textId="38A84FCE" w:rsidR="00FD56D4" w:rsidRDefault="00FD56D4" w:rsidP="003328D9">
            <w:pPr>
              <w:pStyle w:val="Tabletextprimarysource"/>
            </w:pPr>
            <w:r>
              <w:t>Human data:</w:t>
            </w:r>
          </w:p>
          <w:p w14:paraId="6C235F5C" w14:textId="02C30E58" w:rsidR="00731158" w:rsidRDefault="00B16E71">
            <w:pPr>
              <w:pStyle w:val="ListBullet"/>
              <w:spacing w:before="60" w:after="60"/>
              <w:ind w:left="717"/>
              <w:contextualSpacing w:val="0"/>
            </w:pPr>
            <w:r>
              <w:t>E</w:t>
            </w:r>
            <w:r w:rsidR="00FD56D4" w:rsidRPr="00FD56D4">
              <w:t>ye and s</w:t>
            </w:r>
            <w:r w:rsidR="00FD56D4">
              <w:t>kin irritant</w:t>
            </w:r>
            <w:r w:rsidR="001966C7">
              <w:t>:</w:t>
            </w:r>
            <w:r>
              <w:t xml:space="preserve"> </w:t>
            </w:r>
          </w:p>
          <w:p w14:paraId="70CC06A4" w14:textId="6F1AA470" w:rsidR="00FD56D4" w:rsidRDefault="00FD56D4" w:rsidP="00731158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d</w:t>
            </w:r>
            <w:r w:rsidRPr="00FD56D4">
              <w:t>irect conta</w:t>
            </w:r>
            <w:r w:rsidR="00B16E71">
              <w:t>ct with skin cause</w:t>
            </w:r>
            <w:r w:rsidR="002B2806">
              <w:t>s</w:t>
            </w:r>
            <w:r w:rsidR="00B16E71">
              <w:t xml:space="preserve"> </w:t>
            </w:r>
            <w:proofErr w:type="gramStart"/>
            <w:r w:rsidR="00B16E71">
              <w:t>blistering;</w:t>
            </w:r>
            <w:proofErr w:type="gramEnd"/>
            <w:r w:rsidR="00B16E71">
              <w:t xml:space="preserve"> no further information</w:t>
            </w:r>
          </w:p>
          <w:p w14:paraId="78C83B34" w14:textId="51627E32" w:rsidR="00FD56D4" w:rsidRDefault="00B16E71" w:rsidP="00731158">
            <w:pPr>
              <w:pStyle w:val="ListBullet"/>
              <w:spacing w:before="60" w:after="60"/>
              <w:ind w:left="717"/>
              <w:contextualSpacing w:val="0"/>
            </w:pPr>
            <w:r>
              <w:t>A</w:t>
            </w:r>
            <w:r w:rsidR="00A16E10">
              <w:t xml:space="preserve"> chemist exposed for </w:t>
            </w:r>
            <w:r>
              <w:t>1 d to unknown concentration experienced near fatal</w:t>
            </w:r>
            <w:r w:rsidR="00A16E10">
              <w:t xml:space="preserve"> liver</w:t>
            </w:r>
            <w:r>
              <w:t xml:space="preserve"> injury; </w:t>
            </w:r>
            <w:r w:rsidR="00A16E10" w:rsidRPr="00A16E10">
              <w:t xml:space="preserve">other chemicals </w:t>
            </w:r>
            <w:r>
              <w:t xml:space="preserve">(not disclosed) </w:t>
            </w:r>
            <w:r w:rsidR="00A16E10" w:rsidRPr="00A16E10">
              <w:t>involved in the process</w:t>
            </w:r>
            <w:r>
              <w:t xml:space="preserve"> led to exposure</w:t>
            </w:r>
            <w:r w:rsidR="001966C7">
              <w:t>:</w:t>
            </w:r>
          </w:p>
          <w:p w14:paraId="55547BB0" w14:textId="1A1F3366" w:rsidR="00FD56D4" w:rsidRDefault="00A16E10" w:rsidP="00A16E10">
            <w:pPr>
              <w:pStyle w:val="ListBullet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contextualSpacing w:val="0"/>
            </w:pPr>
            <w:r>
              <w:t>r</w:t>
            </w:r>
            <w:r w:rsidRPr="00A16E10">
              <w:t>ecreation of the process resulted in concentrations averaging 2 ppm</w:t>
            </w:r>
          </w:p>
          <w:p w14:paraId="1C5FBE1B" w14:textId="7D85B7CA" w:rsidR="00FD56D4" w:rsidRDefault="00A16E10" w:rsidP="00A16E10">
            <w:pPr>
              <w:pStyle w:val="ListBullet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contextualSpacing w:val="0"/>
            </w:pPr>
            <w:r w:rsidRPr="00A16E10">
              <w:t xml:space="preserve">peak exposure for about 10 minutes at </w:t>
            </w:r>
            <w:r w:rsidR="00DD3F83">
              <w:t>~</w:t>
            </w:r>
            <w:r w:rsidRPr="00A16E10">
              <w:t>16 ppm</w:t>
            </w:r>
          </w:p>
          <w:p w14:paraId="112B0287" w14:textId="3A038135" w:rsidR="00FD56D4" w:rsidRDefault="00A16E10" w:rsidP="00A16E10">
            <w:pPr>
              <w:pStyle w:val="ListBullet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contextualSpacing w:val="0"/>
            </w:pPr>
            <w:r>
              <w:t>ini</w:t>
            </w:r>
            <w:r w:rsidRPr="00A16E10">
              <w:t>tial symptoms were headache, anorexia, vomiting and stomach pains</w:t>
            </w:r>
          </w:p>
          <w:p w14:paraId="53A3CD37" w14:textId="1C32E1D6" w:rsidR="00421515" w:rsidRDefault="00421515" w:rsidP="00A16E10">
            <w:pPr>
              <w:pStyle w:val="ListBullet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contextualSpacing w:val="0"/>
            </w:pPr>
            <w:r>
              <w:t>other workers in the area complained of slight irritation of eyes and nose, with headaches and lassitude</w:t>
            </w:r>
            <w:r w:rsidR="00DD3F83">
              <w:t>.</w:t>
            </w:r>
          </w:p>
          <w:p w14:paraId="3A0CAEAA" w14:textId="77777777" w:rsidR="00FD56D4" w:rsidRDefault="00FD56D4" w:rsidP="00FD56D4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42C6ED49" w14:textId="33458248" w:rsidR="007933EF" w:rsidRDefault="007933EF" w:rsidP="00731158">
            <w:pPr>
              <w:pStyle w:val="ListBullet"/>
              <w:spacing w:before="60" w:after="60"/>
              <w:ind w:left="717"/>
              <w:contextualSpacing w:val="0"/>
            </w:pPr>
            <w:r>
              <w:t>Eye and nasal irritation in rats reported following exposure to saturated vapo</w:t>
            </w:r>
            <w:r w:rsidR="00DD3F83">
              <w:t>u</w:t>
            </w:r>
            <w:r>
              <w:t>r</w:t>
            </w:r>
          </w:p>
          <w:p w14:paraId="116AB6BB" w14:textId="4A90317C" w:rsidR="00FD56D4" w:rsidRDefault="003328D9" w:rsidP="00731158">
            <w:pPr>
              <w:pStyle w:val="ListBullet"/>
              <w:spacing w:before="60" w:after="60"/>
              <w:ind w:left="717"/>
              <w:contextualSpacing w:val="0"/>
            </w:pPr>
            <w:r>
              <w:t>Rabbits, guinea pigs, rats, mice and a monkey exposed</w:t>
            </w:r>
            <w:r w:rsidR="00B16E71">
              <w:t xml:space="preserve"> by inhalation for</w:t>
            </w:r>
            <w:r>
              <w:t xml:space="preserve"> 7 h/d, 5 d/</w:t>
            </w:r>
            <w:proofErr w:type="spellStart"/>
            <w:r>
              <w:t>wk</w:t>
            </w:r>
            <w:proofErr w:type="spellEnd"/>
            <w:r>
              <w:t xml:space="preserve"> for 100 to 106 d</w:t>
            </w:r>
            <w:r w:rsidR="001966C7">
              <w:t>:</w:t>
            </w:r>
          </w:p>
          <w:p w14:paraId="7750842A" w14:textId="11AE7706" w:rsidR="003328D9" w:rsidRDefault="008233B0" w:rsidP="00731158">
            <w:pPr>
              <w:pStyle w:val="ListBullet"/>
              <w:numPr>
                <w:ilvl w:val="0"/>
                <w:numId w:val="6"/>
              </w:numPr>
              <w:spacing w:before="60" w:after="60"/>
              <w:ind w:left="1077" w:hanging="357"/>
              <w:contextualSpacing w:val="0"/>
            </w:pPr>
            <w:r>
              <w:t>p</w:t>
            </w:r>
            <w:r w:rsidR="003328D9">
              <w:t xml:space="preserve">ulmonary oedema and slight fatty degeneration of liver </w:t>
            </w:r>
            <w:r w:rsidR="001264B0">
              <w:t>of</w:t>
            </w:r>
            <w:r w:rsidR="003328D9">
              <w:t xml:space="preserve"> various test animals exposed at an average of 14 ppm for 100</w:t>
            </w:r>
            <w:r w:rsidR="001264B0">
              <w:t>-</w:t>
            </w:r>
            <w:r w:rsidR="003328D9">
              <w:t>106 d</w:t>
            </w:r>
          </w:p>
          <w:p w14:paraId="66EB2B9A" w14:textId="71A71804" w:rsidR="003328D9" w:rsidRDefault="008233B0" w:rsidP="00731158">
            <w:pPr>
              <w:pStyle w:val="ListBullet"/>
              <w:numPr>
                <w:ilvl w:val="0"/>
                <w:numId w:val="6"/>
              </w:numPr>
              <w:spacing w:before="60" w:after="60"/>
              <w:ind w:left="1077" w:hanging="357"/>
              <w:contextualSpacing w:val="0"/>
            </w:pPr>
            <w:r>
              <w:t>s</w:t>
            </w:r>
            <w:r w:rsidR="003328D9">
              <w:t>imilar but slight effects at 4 ppm for 180 d</w:t>
            </w:r>
          </w:p>
          <w:p w14:paraId="04F053C6" w14:textId="17F77E13" w:rsidR="00FD56D4" w:rsidRDefault="002B2806" w:rsidP="00731158">
            <w:pPr>
              <w:pStyle w:val="ListBullet"/>
              <w:numPr>
                <w:ilvl w:val="0"/>
                <w:numId w:val="6"/>
              </w:numPr>
              <w:spacing w:before="60" w:after="60"/>
              <w:ind w:left="1077" w:hanging="357"/>
              <w:contextualSpacing w:val="0"/>
            </w:pPr>
            <w:r>
              <w:t>NOE</w:t>
            </w:r>
            <w:r w:rsidR="00731158">
              <w:t>C</w:t>
            </w:r>
            <w:r w:rsidR="008233B0">
              <w:t xml:space="preserve"> identified at 1 ppm for 190 d</w:t>
            </w:r>
            <w:r w:rsidR="00E40360">
              <w:t xml:space="preserve"> (no further information on species and other doses)</w:t>
            </w:r>
          </w:p>
          <w:p w14:paraId="07FC0BDA" w14:textId="6BD1EA22" w:rsidR="00E8053B" w:rsidRDefault="00E40360" w:rsidP="00731158">
            <w:pPr>
              <w:pStyle w:val="ListBullet"/>
              <w:numPr>
                <w:ilvl w:val="0"/>
                <w:numId w:val="6"/>
              </w:numPr>
              <w:spacing w:before="60" w:after="60"/>
              <w:ind w:left="1077" w:hanging="357"/>
              <w:contextualSpacing w:val="0"/>
            </w:pPr>
            <w:r>
              <w:t>s</w:t>
            </w:r>
            <w:r w:rsidR="00E8053B">
              <w:t xml:space="preserve">tudy authors </w:t>
            </w:r>
            <w:r>
              <w:t xml:space="preserve">suggested to limit </w:t>
            </w:r>
            <w:r w:rsidR="00E8053B">
              <w:t>exposure to a TWA of 1 ppm</w:t>
            </w:r>
            <w:r>
              <w:t xml:space="preserve"> (no further information)</w:t>
            </w:r>
          </w:p>
          <w:p w14:paraId="70D1194A" w14:textId="4C4BF5B0" w:rsidR="00FD56D4" w:rsidRDefault="007933EF" w:rsidP="00731158">
            <w:pPr>
              <w:pStyle w:val="ListBullet"/>
              <w:spacing w:before="60" w:after="60"/>
              <w:ind w:left="717"/>
              <w:contextualSpacing w:val="0"/>
            </w:pPr>
            <w:r>
              <w:t>LD</w:t>
            </w:r>
            <w:r w:rsidRPr="007933EF">
              <w:rPr>
                <w:vertAlign w:val="subscript"/>
              </w:rPr>
              <w:t>50</w:t>
            </w:r>
            <w:r w:rsidR="00DD3F83">
              <w:rPr>
                <w:vertAlign w:val="subscript"/>
              </w:rPr>
              <w:t xml:space="preserve">: </w:t>
            </w:r>
            <w:r>
              <w:t>5</w:t>
            </w:r>
            <w:r w:rsidR="00DD3F83">
              <w:t>,</w:t>
            </w:r>
            <w:r>
              <w:t>250 mg/kg</w:t>
            </w:r>
            <w:r w:rsidR="00DD3F83">
              <w:t xml:space="preserve"> (rats, dermal)</w:t>
            </w:r>
          </w:p>
          <w:p w14:paraId="41CF7CD2" w14:textId="685A6B9B" w:rsidR="00731158" w:rsidRDefault="00B16E71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Application of 15 mg to the skin of mice produced a statistically significant increased incidence of forestomach </w:t>
            </w:r>
            <w:proofErr w:type="spellStart"/>
            <w:r>
              <w:t>papillomas</w:t>
            </w:r>
            <w:proofErr w:type="spellEnd"/>
            <w:r w:rsidR="001966C7">
              <w:t>:</w:t>
            </w:r>
            <w:r>
              <w:t xml:space="preserve"> </w:t>
            </w:r>
          </w:p>
          <w:p w14:paraId="0FA4D2F6" w14:textId="376F3EF8" w:rsidR="00FD56D4" w:rsidRDefault="00B16E71" w:rsidP="00731158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biological significance is unclear</w:t>
            </w:r>
            <w:r w:rsidR="00DD3F83">
              <w:t>.</w:t>
            </w:r>
          </w:p>
          <w:p w14:paraId="78CBD3AB" w14:textId="77777777" w:rsidR="00731158" w:rsidRDefault="00731158" w:rsidP="00B16E71">
            <w:pPr>
              <w:pStyle w:val="Tabletextprimarysource"/>
            </w:pPr>
          </w:p>
          <w:p w14:paraId="72411D73" w14:textId="77777777" w:rsidR="00C978F0" w:rsidRDefault="00B16E71" w:rsidP="00B16E71">
            <w:pPr>
              <w:pStyle w:val="Tabletextprimarysource"/>
            </w:pPr>
            <w:r>
              <w:t>Insufficient data to assign a skin, sensitiser or carcinogenicity notation or to recommend a STEL.</w:t>
            </w:r>
          </w:p>
          <w:p w14:paraId="154038F6" w14:textId="77777777" w:rsidR="00731158" w:rsidRDefault="00731158" w:rsidP="00B16E71">
            <w:pPr>
              <w:pStyle w:val="Tabletextprimarysource"/>
            </w:pPr>
          </w:p>
          <w:p w14:paraId="21333BE5" w14:textId="77777777" w:rsidR="00F767D3" w:rsidRPr="00F767D3" w:rsidRDefault="00F767D3" w:rsidP="00F767D3"/>
          <w:p w14:paraId="5FF714A5" w14:textId="77777777" w:rsidR="00F767D3" w:rsidRPr="00F767D3" w:rsidRDefault="00F767D3" w:rsidP="00F767D3"/>
          <w:p w14:paraId="3C8AECA1" w14:textId="77777777" w:rsidR="00F767D3" w:rsidRPr="00F767D3" w:rsidRDefault="00F767D3" w:rsidP="00F767D3"/>
          <w:p w14:paraId="1EE8893D" w14:textId="77777777" w:rsidR="00F767D3" w:rsidRPr="00F767D3" w:rsidRDefault="00F767D3" w:rsidP="00F767D3"/>
          <w:p w14:paraId="5949844A" w14:textId="77777777" w:rsidR="00F767D3" w:rsidRPr="00F767D3" w:rsidRDefault="00F767D3" w:rsidP="00F767D3"/>
          <w:p w14:paraId="60959D20" w14:textId="77777777" w:rsidR="00F767D3" w:rsidRPr="00F767D3" w:rsidRDefault="00F767D3" w:rsidP="00F767D3"/>
          <w:p w14:paraId="0CE4D35D" w14:textId="3E843DBC" w:rsidR="00F767D3" w:rsidRPr="00F767D3" w:rsidRDefault="00F767D3" w:rsidP="00F767D3"/>
        </w:tc>
      </w:tr>
      <w:tr w:rsidR="00C978F0" w:rsidRPr="00DA352E" w14:paraId="174F8B79" w14:textId="77777777" w:rsidTr="0082017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C10147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B541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B541E">
                  <w:t>Not assigned</w:t>
                </w:r>
              </w:sdtContent>
            </w:sdt>
          </w:p>
        </w:tc>
      </w:tr>
      <w:tr w:rsidR="00C978F0" w:rsidRPr="00DA352E" w14:paraId="4433014F" w14:textId="77777777" w:rsidTr="00820177">
        <w:trPr>
          <w:gridAfter w:val="1"/>
          <w:wAfter w:w="8" w:type="pct"/>
          <w:cantSplit/>
        </w:trPr>
        <w:tc>
          <w:tcPr>
            <w:tcW w:w="4992" w:type="pct"/>
          </w:tcPr>
          <w:p w14:paraId="5C02C84E" w14:textId="60C8F705" w:rsidR="00B16E71" w:rsidRDefault="00B16E71" w:rsidP="00B16E71">
            <w:pPr>
              <w:pStyle w:val="Tabletextprimarysource"/>
            </w:pPr>
            <w:r>
              <w:t>No MAK assigned; consider the accidental exposure the chemist and the study in animals cited by ACGIH (2018) (1 ppm NOE</w:t>
            </w:r>
            <w:r w:rsidR="00E40360">
              <w:t>C</w:t>
            </w:r>
            <w:r>
              <w:t xml:space="preserve">) insufficient to derive </w:t>
            </w:r>
            <w:r w:rsidR="0076048A">
              <w:t>MAK</w:t>
            </w:r>
            <w:r>
              <w:t>.</w:t>
            </w:r>
          </w:p>
          <w:p w14:paraId="3F6BA327" w14:textId="77777777" w:rsidR="00731158" w:rsidRDefault="00731158" w:rsidP="00B16E71">
            <w:pPr>
              <w:pStyle w:val="Tabletextprimarysource"/>
            </w:pPr>
          </w:p>
          <w:p w14:paraId="13FBC77C" w14:textId="77777777" w:rsidR="00F767D3" w:rsidRPr="00F767D3" w:rsidRDefault="00F767D3" w:rsidP="00F767D3"/>
          <w:p w14:paraId="258BF012" w14:textId="77777777" w:rsidR="00F767D3" w:rsidRPr="00F767D3" w:rsidRDefault="00F767D3" w:rsidP="00F767D3"/>
          <w:p w14:paraId="61A64F09" w14:textId="4713C1E8" w:rsidR="00F767D3" w:rsidRPr="00F767D3" w:rsidRDefault="00F767D3" w:rsidP="00F767D3"/>
        </w:tc>
      </w:tr>
      <w:tr w:rsidR="00C978F0" w:rsidRPr="00DA352E" w14:paraId="0E6A0B2C" w14:textId="77777777" w:rsidTr="0082017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62256A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052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75E1B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820177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084800E" w:rsidR="00C978F0" w:rsidRPr="00DA352E" w:rsidRDefault="00B75E1B" w:rsidP="003365A5">
            <w:pPr>
              <w:pStyle w:val="Tabletextprimarysource"/>
            </w:pPr>
            <w:r>
              <w:t>No report</w:t>
            </w:r>
            <w:r w:rsidR="00DD3F83">
              <w:t>.</w:t>
            </w:r>
          </w:p>
        </w:tc>
      </w:tr>
      <w:tr w:rsidR="00DA352E" w:rsidRPr="00DA352E" w14:paraId="12BAB90D" w14:textId="77777777" w:rsidTr="0082017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BC75D9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75E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75E1B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820177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46315AA6" w:rsidR="00DA352E" w:rsidRPr="00DA352E" w:rsidRDefault="00B75E1B" w:rsidP="003365A5">
            <w:pPr>
              <w:pStyle w:val="Tabletextprimarysource"/>
            </w:pPr>
            <w:r>
              <w:t>No report</w:t>
            </w:r>
            <w:r w:rsidR="00DD3F83">
              <w:t>.</w:t>
            </w:r>
          </w:p>
        </w:tc>
      </w:tr>
      <w:tr w:rsidR="00DA352E" w:rsidRPr="00DA352E" w14:paraId="605F758C" w14:textId="77777777" w:rsidTr="0082017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7A8CBF4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75E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75E1B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820177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E6F69AB" w:rsidR="00DA352E" w:rsidRPr="00DA352E" w:rsidRDefault="00B75E1B" w:rsidP="003365A5">
            <w:pPr>
              <w:pStyle w:val="Tabletextprimarysource"/>
            </w:pPr>
            <w:r>
              <w:t>No report</w:t>
            </w:r>
            <w:r w:rsidR="00DD3F83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0231EFA1" w:rsidR="007E2A4B" w:rsidRDefault="00DD3F83">
      <w:r>
        <w:t>NIL.</w:t>
      </w:r>
    </w:p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B16E71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4B8F921C" w:rsidR="002E0D61" w:rsidRDefault="00B16E7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16E7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3688C645" w:rsidR="008A36CF" w:rsidRPr="006901A2" w:rsidRDefault="00B16E7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201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20177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8D821E1" w:rsidR="00687890" w:rsidRPr="00DD2F9B" w:rsidRDefault="00B75E1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820177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E4AD1C1" w:rsidR="007925F0" w:rsidRPr="00DD2F9B" w:rsidRDefault="00B75E1B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820177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32467425" w:rsidR="00AF483F" w:rsidRPr="00DD2F9B" w:rsidRDefault="00B75E1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820177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63A854C" w:rsidR="00687890" w:rsidRPr="00DD2F9B" w:rsidRDefault="00B75E1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820177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1DB2CCF5" w:rsidR="00E41A26" w:rsidRPr="00DD2F9B" w:rsidRDefault="00B75E1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820177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02F297AE" w:rsidR="002E0D61" w:rsidRPr="00DD2F9B" w:rsidRDefault="00B75E1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820177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FA536C1" w:rsidR="002E0D61" w:rsidRPr="00DD2F9B" w:rsidRDefault="00B75E1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AC7B866" w14:textId="77777777" w:rsidTr="00820177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6495F27" w:rsidR="002E0D61" w:rsidRPr="00DD2F9B" w:rsidRDefault="00B75E1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820177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35B29F4A" w:rsidR="002E0D61" w:rsidRPr="00DD2F9B" w:rsidRDefault="00B75E1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820177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567679B1" w:rsidR="00386093" w:rsidRPr="00DD2F9B" w:rsidRDefault="00B75E1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820177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36005731" w:rsidR="00386093" w:rsidRPr="00DD2F9B" w:rsidRDefault="00B75E1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64" w:type="dxa"/>
              <w:tblLook w:val="04A0" w:firstRow="1" w:lastRow="0" w:firstColumn="1" w:lastColumn="0" w:noHBand="0" w:noVBand="1"/>
            </w:tblPr>
            <w:tblGrid>
              <w:gridCol w:w="3648"/>
              <w:gridCol w:w="1093"/>
              <w:gridCol w:w="1093"/>
              <w:gridCol w:w="2976"/>
            </w:tblGrid>
            <w:tr w:rsidR="002B2806" w:rsidRPr="002B2806" w14:paraId="0A31231E" w14:textId="77777777" w:rsidTr="002B2806">
              <w:trPr>
                <w:trHeight w:val="244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ECDEC8" w14:textId="14D1CB2A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2B6E88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3C2302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17E822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0393061D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C281B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B6A0D" w14:textId="75F588F6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F0512F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675775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135725A1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61960B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5F9B7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09B387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3917E8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72E72A6D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5D38B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13364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CD707F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61AAED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4FC70E63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35F76C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618D14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6E147E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150754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06E17358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27CFE2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5ED0B8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79DE7D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592B5D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5AC50AD0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D213B9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4B672B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1909E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5FFDA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B2806" w:rsidRPr="002B2806" w14:paraId="3F15CD22" w14:textId="77777777" w:rsidTr="002B2806">
              <w:trPr>
                <w:trHeight w:val="347"/>
              </w:trPr>
              <w:tc>
                <w:tcPr>
                  <w:tcW w:w="3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76DCB3" w14:textId="77777777" w:rsidR="002B2806" w:rsidRPr="002B2806" w:rsidRDefault="002B2806" w:rsidP="002B280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D8323" w14:textId="77777777" w:rsidR="002B2806" w:rsidRPr="002B2806" w:rsidRDefault="002B2806" w:rsidP="002B280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CB3D3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AB84E3" w14:textId="77777777" w:rsidR="002B2806" w:rsidRPr="002B2806" w:rsidRDefault="002B2806" w:rsidP="002B280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B280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DE884D2" w:rsidR="00EB3D1B" w:rsidRDefault="00B75E1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5FABBE5" w:rsidR="001B79E5" w:rsidRDefault="00B75E1B" w:rsidP="001B79E5">
                <w:pPr>
                  <w:pStyle w:val="Tablefont"/>
                </w:pPr>
                <w:r w:rsidRPr="00B75E1B">
                  <w:t>345.68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0A43658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75E1B">
                  <w:t>14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75E1B">
                  <w:t>0.071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F767D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659AE65D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B75E1B">
        <w:t>2001</w:t>
      </w:r>
      <w:r>
        <w:t xml:space="preserve">) </w:t>
      </w:r>
      <w:r w:rsidR="00B75E1B" w:rsidRPr="00B75E1B">
        <w:t>1,1,2,2-T</w:t>
      </w:r>
      <w:r w:rsidR="00B75E1B">
        <w:t xml:space="preserve">etrabromoethan </w:t>
      </w:r>
      <w:r>
        <w:t>– MAK value documentation.</w:t>
      </w:r>
    </w:p>
    <w:p w14:paraId="02847573" w14:textId="1A62F6CD" w:rsidR="00B75E1B" w:rsidRDefault="00B75E1B" w:rsidP="00B75E1B">
      <w:pPr>
        <w:rPr>
          <w:b/>
        </w:rPr>
      </w:pPr>
      <w:r>
        <w:t>European Chemicals Agency (ECHA) (2019) 1,1,2,2-Tetrabromoethane – REACH assessment.</w:t>
      </w:r>
    </w:p>
    <w:p w14:paraId="77EFB18B" w14:textId="4C479A23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B75E1B" w:rsidRPr="00B75E1B">
        <w:t>1994</w:t>
      </w:r>
      <w:r>
        <w:t xml:space="preserve">) Immediately dangerous to life or health concentrations – </w:t>
      </w:r>
      <w:r w:rsidR="00B75E1B" w:rsidRPr="00B75E1B">
        <w:t>Acetylene tetrabromide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47AE9" w14:textId="77777777" w:rsidR="008878D8" w:rsidRDefault="008878D8" w:rsidP="00F43AD5">
      <w:pPr>
        <w:spacing w:after="0" w:line="240" w:lineRule="auto"/>
      </w:pPr>
      <w:r>
        <w:separator/>
      </w:r>
    </w:p>
  </w:endnote>
  <w:endnote w:type="continuationSeparator" w:id="0">
    <w:p w14:paraId="78E09BAA" w14:textId="77777777" w:rsidR="008878D8" w:rsidRDefault="008878D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C95FF59" w:rsidR="008A36CF" w:rsidRDefault="00CB541E" w:rsidP="0034744C">
        <w:pPr>
          <w:pStyle w:val="Footer"/>
          <w:rPr>
            <w:sz w:val="18"/>
            <w:szCs w:val="18"/>
          </w:rPr>
        </w:pPr>
        <w:r w:rsidRPr="00CB541E">
          <w:rPr>
            <w:b/>
            <w:sz w:val="18"/>
            <w:szCs w:val="18"/>
          </w:rPr>
          <w:t>1,1,2,2-Tetrabromoethane</w:t>
        </w:r>
        <w:r w:rsidR="008A36CF">
          <w:rPr>
            <w:b/>
            <w:sz w:val="18"/>
            <w:szCs w:val="18"/>
          </w:rPr>
          <w:t xml:space="preserve"> (</w:t>
        </w:r>
        <w:r w:rsidRPr="00CB541E">
          <w:rPr>
            <w:b/>
            <w:sz w:val="18"/>
            <w:szCs w:val="18"/>
          </w:rPr>
          <w:t>79-27-6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DD3F83">
          <w:rPr>
            <w:sz w:val="18"/>
            <w:szCs w:val="18"/>
          </w:rPr>
          <w:t>20</w:t>
        </w:r>
      </w:p>
      <w:p w14:paraId="2D517F5E" w14:textId="17D6D8B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91892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8B345" w14:textId="77777777" w:rsidR="008878D8" w:rsidRDefault="008878D8" w:rsidP="00F43AD5">
      <w:pPr>
        <w:spacing w:after="0" w:line="240" w:lineRule="auto"/>
      </w:pPr>
      <w:r>
        <w:separator/>
      </w:r>
    </w:p>
  </w:footnote>
  <w:footnote w:type="continuationSeparator" w:id="0">
    <w:p w14:paraId="5671232C" w14:textId="77777777" w:rsidR="008878D8" w:rsidRDefault="008878D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8B5A" w14:textId="71560D28" w:rsidR="00820177" w:rsidRDefault="00820177" w:rsidP="00820177">
    <w:pPr>
      <w:pStyle w:val="Header"/>
      <w:jc w:val="right"/>
    </w:pPr>
    <w:r>
      <w:rPr>
        <w:noProof/>
        <w:lang w:eastAsia="en-AU"/>
      </w:rPr>
      <w:drawing>
        <wp:inline distT="0" distB="0" distL="0" distR="0" wp14:anchorId="49D50AEA" wp14:editId="5FFF1659">
          <wp:extent cx="2943225" cy="586105"/>
          <wp:effectExtent l="0" t="0" r="0" b="444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1F8CD69E" w:rsidR="008A36CF" w:rsidRPr="00820177" w:rsidRDefault="008A36CF" w:rsidP="008201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03E25ABD" w:rsidR="008A36CF" w:rsidRDefault="00820177" w:rsidP="0082017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6940AC" wp14:editId="17CF898D">
          <wp:extent cx="2943225" cy="586105"/>
          <wp:effectExtent l="0" t="0" r="0" b="4445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68E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82964"/>
    <w:multiLevelType w:val="hybridMultilevel"/>
    <w:tmpl w:val="3D6EF5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BA11AC"/>
    <w:multiLevelType w:val="hybridMultilevel"/>
    <w:tmpl w:val="2B42DBE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62DE1C35"/>
    <w:multiLevelType w:val="hybridMultilevel"/>
    <w:tmpl w:val="A76C6B6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704C7519"/>
    <w:multiLevelType w:val="hybridMultilevel"/>
    <w:tmpl w:val="361C59D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0646318">
    <w:abstractNumId w:val="0"/>
  </w:num>
  <w:num w:numId="2" w16cid:durableId="1037658207">
    <w:abstractNumId w:val="1"/>
  </w:num>
  <w:num w:numId="3" w16cid:durableId="674377852">
    <w:abstractNumId w:val="0"/>
  </w:num>
  <w:num w:numId="4" w16cid:durableId="856500857">
    <w:abstractNumId w:val="0"/>
  </w:num>
  <w:num w:numId="5" w16cid:durableId="1819420559">
    <w:abstractNumId w:val="0"/>
  </w:num>
  <w:num w:numId="6" w16cid:durableId="1881818064">
    <w:abstractNumId w:val="4"/>
  </w:num>
  <w:num w:numId="7" w16cid:durableId="369689011">
    <w:abstractNumId w:val="3"/>
  </w:num>
  <w:num w:numId="8" w16cid:durableId="66335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478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4B0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66C7"/>
    <w:rsid w:val="001A009E"/>
    <w:rsid w:val="001A1287"/>
    <w:rsid w:val="001A3859"/>
    <w:rsid w:val="001A3C9D"/>
    <w:rsid w:val="001A43F8"/>
    <w:rsid w:val="001B101C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2806"/>
    <w:rsid w:val="002C34F2"/>
    <w:rsid w:val="002C58FF"/>
    <w:rsid w:val="002C7AFE"/>
    <w:rsid w:val="002D05D2"/>
    <w:rsid w:val="002D3C90"/>
    <w:rsid w:val="002E0D61"/>
    <w:rsid w:val="002E4C7B"/>
    <w:rsid w:val="0030740C"/>
    <w:rsid w:val="00315833"/>
    <w:rsid w:val="003215EE"/>
    <w:rsid w:val="003224BF"/>
    <w:rsid w:val="003241A8"/>
    <w:rsid w:val="003253F0"/>
    <w:rsid w:val="003270AF"/>
    <w:rsid w:val="003328D9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3579"/>
    <w:rsid w:val="00417A56"/>
    <w:rsid w:val="00420957"/>
    <w:rsid w:val="00421515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D83"/>
    <w:rsid w:val="00485BFD"/>
    <w:rsid w:val="004867A2"/>
    <w:rsid w:val="004873F2"/>
    <w:rsid w:val="00490D4C"/>
    <w:rsid w:val="00491892"/>
    <w:rsid w:val="004928D9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376E"/>
    <w:rsid w:val="00510649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1158"/>
    <w:rsid w:val="007365D1"/>
    <w:rsid w:val="00740E0E"/>
    <w:rsid w:val="00750212"/>
    <w:rsid w:val="00754779"/>
    <w:rsid w:val="0075716D"/>
    <w:rsid w:val="0076048A"/>
    <w:rsid w:val="00765F14"/>
    <w:rsid w:val="00770E31"/>
    <w:rsid w:val="007770F1"/>
    <w:rsid w:val="00783FB1"/>
    <w:rsid w:val="00785CDD"/>
    <w:rsid w:val="00791847"/>
    <w:rsid w:val="007925F0"/>
    <w:rsid w:val="007933EF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0177"/>
    <w:rsid w:val="008233B0"/>
    <w:rsid w:val="00826F21"/>
    <w:rsid w:val="00834CC8"/>
    <w:rsid w:val="00835E00"/>
    <w:rsid w:val="00837113"/>
    <w:rsid w:val="008414E4"/>
    <w:rsid w:val="00843E21"/>
    <w:rsid w:val="0084508E"/>
    <w:rsid w:val="008506B2"/>
    <w:rsid w:val="00857A8A"/>
    <w:rsid w:val="008630EE"/>
    <w:rsid w:val="00864D13"/>
    <w:rsid w:val="00871CD5"/>
    <w:rsid w:val="008745A2"/>
    <w:rsid w:val="008768A8"/>
    <w:rsid w:val="008878D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AC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63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29B2"/>
    <w:rsid w:val="00A16D91"/>
    <w:rsid w:val="00A16E10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7037"/>
    <w:rsid w:val="00B1422A"/>
    <w:rsid w:val="00B16E71"/>
    <w:rsid w:val="00B1765C"/>
    <w:rsid w:val="00B213C4"/>
    <w:rsid w:val="00B40C60"/>
    <w:rsid w:val="00B479A9"/>
    <w:rsid w:val="00B52EDF"/>
    <w:rsid w:val="00B71188"/>
    <w:rsid w:val="00B75E1B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41E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4EFE"/>
    <w:rsid w:val="00D76624"/>
    <w:rsid w:val="00D87570"/>
    <w:rsid w:val="00D91CB9"/>
    <w:rsid w:val="00D97989"/>
    <w:rsid w:val="00D97D8D"/>
    <w:rsid w:val="00DA352E"/>
    <w:rsid w:val="00DB579E"/>
    <w:rsid w:val="00DC7694"/>
    <w:rsid w:val="00DD1BF6"/>
    <w:rsid w:val="00DD2F9B"/>
    <w:rsid w:val="00DD3F83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0360"/>
    <w:rsid w:val="00E41A26"/>
    <w:rsid w:val="00E46BCB"/>
    <w:rsid w:val="00E51CAF"/>
    <w:rsid w:val="00E60F04"/>
    <w:rsid w:val="00E62AAC"/>
    <w:rsid w:val="00E67C2F"/>
    <w:rsid w:val="00E67EF5"/>
    <w:rsid w:val="00E804EA"/>
    <w:rsid w:val="00E8053B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1BF5"/>
    <w:rsid w:val="00EF233A"/>
    <w:rsid w:val="00EF303E"/>
    <w:rsid w:val="00EF3A40"/>
    <w:rsid w:val="00EF7F78"/>
    <w:rsid w:val="00F01B08"/>
    <w:rsid w:val="00F01C4D"/>
    <w:rsid w:val="00F0529C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67D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56D4"/>
    <w:rsid w:val="00FE22EC"/>
    <w:rsid w:val="00FE768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D56D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0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6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6B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6B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5FBF"/>
    <w:rsid w:val="00A129B2"/>
    <w:rsid w:val="00A76916"/>
    <w:rsid w:val="00CA72D3"/>
    <w:rsid w:val="00D21A9F"/>
    <w:rsid w:val="00D74EFE"/>
    <w:rsid w:val="00DC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1c567317-0c4d-4a62-8516-c22afd1b5354"/>
    <ds:schemaRef ds:uri="a0509f21-ed56-4150-9955-96be669e5f2d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92461-750F-47C8-BBC2-5C449FB9D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755AE5-99EB-4856-8501-9DDCDF750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971</Words>
  <Characters>5280</Characters>
  <Application>Microsoft Office Word</Application>
  <DocSecurity>0</DocSecurity>
  <Lines>246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14</cp:revision>
  <cp:lastPrinted>2018-10-22T22:41:00Z</cp:lastPrinted>
  <dcterms:created xsi:type="dcterms:W3CDTF">2020-02-27T21:39:00Z</dcterms:created>
  <dcterms:modified xsi:type="dcterms:W3CDTF">2026-01-09T01:36:00Z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2026-01-07T01:05:16Z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646eb243-f0e4-43ec-87ec-627da123931b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