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49EBE354" w:rsidR="00BD499F" w:rsidRPr="004C23F4" w:rsidRDefault="003E5650" w:rsidP="00B40C60">
          <w:pPr>
            <w:pStyle w:val="Heading1"/>
            <w:jc w:val="center"/>
            <w:rPr>
              <w:rFonts w:ascii="Arial" w:hAnsi="Arial" w:cs="Arial"/>
            </w:rPr>
          </w:pPr>
          <w:r w:rsidRPr="003E5650">
            <w:rPr>
              <w:rFonts w:ascii="Arial" w:hAnsi="Arial" w:cs="Arial"/>
            </w:rPr>
            <w:t>1,1,1,2-Tetrafluoroethane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2"/>
        <w:gridCol w:w="5034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43871682" w:rsidR="00F43AD5" w:rsidRPr="00717D45" w:rsidRDefault="007C7F81" w:rsidP="00B76A41">
            <w:pPr>
              <w:pStyle w:val="Tablefont"/>
            </w:pPr>
            <w:r w:rsidRPr="007C7F81">
              <w:t>811-97-2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7ED5EC77" w:rsidR="00F43AD5" w:rsidRPr="00717D45" w:rsidRDefault="007C7F81" w:rsidP="00B76A41">
            <w:pPr>
              <w:pStyle w:val="Tablefont"/>
            </w:pPr>
            <w:r w:rsidRPr="007C7F81">
              <w:t>HFC 134a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494A2DFB" w:rsidR="00F43AD5" w:rsidRPr="00717D45" w:rsidRDefault="007C7F81" w:rsidP="00B76A41">
            <w:pPr>
              <w:pStyle w:val="Tablefont"/>
            </w:pPr>
            <w:r>
              <w:t>C</w:t>
            </w:r>
            <w:r w:rsidRPr="007C7F81">
              <w:rPr>
                <w:vertAlign w:val="subscript"/>
              </w:rPr>
              <w:t>2</w:t>
            </w:r>
            <w:r>
              <w:t>H</w:t>
            </w:r>
            <w:r w:rsidRPr="007C7F81">
              <w:rPr>
                <w:vertAlign w:val="subscript"/>
              </w:rPr>
              <w:t>2</w:t>
            </w:r>
            <w:r>
              <w:t>F</w:t>
            </w:r>
            <w:r w:rsidRPr="007C7F81">
              <w:rPr>
                <w:vertAlign w:val="subscript"/>
              </w:rPr>
              <w:t>4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7FE3E21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B37CB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27D7D9D6" w:rsidR="002C7AFE" w:rsidRPr="00CB37CB" w:rsidRDefault="00CB37C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C16D5C">
              <w:rPr>
                <w:b/>
              </w:rPr>
              <w:t>,</w:t>
            </w:r>
            <w:r>
              <w:rPr>
                <w:b/>
              </w:rPr>
              <w:t>000 ppm (</w:t>
            </w:r>
            <w:r w:rsidRPr="00CB37CB">
              <w:rPr>
                <w:b/>
              </w:rPr>
              <w:t>4</w:t>
            </w:r>
            <w:r w:rsidR="00064D52">
              <w:rPr>
                <w:b/>
              </w:rPr>
              <w:t>,</w:t>
            </w:r>
            <w:r w:rsidRPr="00CB37CB">
              <w:rPr>
                <w:b/>
              </w:rPr>
              <w:t>240 mg/m</w:t>
            </w:r>
            <w:r w:rsidRPr="00CB37CB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08348AE4" w:rsidR="00155999" w:rsidRPr="00EB3D1B" w:rsidRDefault="00155999" w:rsidP="00037E52">
            <w:pPr>
              <w:pStyle w:val="Tablefont"/>
              <w:rPr>
                <w:b/>
              </w:rPr>
            </w:pPr>
            <w:r w:rsidRPr="002669D5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64D52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6425336B" w:rsidR="006639B4" w:rsidRPr="004C23F4" w:rsidRDefault="00CB37CB" w:rsidP="000C139A">
      <w:pPr>
        <w:rPr>
          <w:rFonts w:cs="Arial"/>
        </w:rPr>
      </w:pPr>
      <w:r>
        <w:rPr>
          <w:rFonts w:cs="Arial"/>
        </w:rPr>
        <w:t>A TWA of 1,000 ppm (4,240 mg/m</w:t>
      </w:r>
      <w:r w:rsidRPr="00CB37CB"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</w:t>
      </w:r>
      <w:r w:rsidR="001C1DBC">
        <w:rPr>
          <w:rFonts w:cs="Arial"/>
        </w:rPr>
        <w:t xml:space="preserve">for possible narcosis </w:t>
      </w:r>
      <w:r w:rsidR="007C6021">
        <w:rPr>
          <w:rFonts w:cs="Arial"/>
        </w:rPr>
        <w:t xml:space="preserve">and </w:t>
      </w:r>
      <w:r w:rsidR="00734544">
        <w:rPr>
          <w:rFonts w:cs="Arial"/>
        </w:rPr>
        <w:t>central nervous system (</w:t>
      </w:r>
      <w:r w:rsidR="001C1DBC">
        <w:rPr>
          <w:rFonts w:cs="Arial"/>
        </w:rPr>
        <w:t>CNS</w:t>
      </w:r>
      <w:r w:rsidR="00734544">
        <w:rPr>
          <w:rFonts w:cs="Arial"/>
        </w:rPr>
        <w:t>)</w:t>
      </w:r>
      <w:r w:rsidR="001C1DBC">
        <w:rPr>
          <w:rFonts w:cs="Arial"/>
        </w:rPr>
        <w:t xml:space="preserve"> effects</w:t>
      </w:r>
      <w:r w:rsidR="007C6021">
        <w:rPr>
          <w:rFonts w:cs="Arial"/>
        </w:rPr>
        <w:t xml:space="preserve"> in exposed workers</w:t>
      </w:r>
      <w:r w:rsidR="001C1DBC"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02E3A8B" w14:textId="77777777" w:rsidR="00F64F59" w:rsidRDefault="000826D9" w:rsidP="006639B4">
      <w:pPr>
        <w:rPr>
          <w:rFonts w:cs="Arial"/>
          <w:lang w:val="en"/>
        </w:rPr>
      </w:pPr>
      <w:r>
        <w:rPr>
          <w:rFonts w:cs="Arial"/>
          <w:lang w:val="en"/>
        </w:rPr>
        <w:t xml:space="preserve">1,1,1,2-Tetrafluoroethane is the </w:t>
      </w:r>
      <w:r w:rsidR="00B81FFC" w:rsidRPr="00B81FFC">
        <w:rPr>
          <w:rFonts w:cs="Arial"/>
          <w:lang w:val="en"/>
        </w:rPr>
        <w:t>most common hydrofluorocarbon (HFC) refrigerant gas used in Australia</w:t>
      </w:r>
      <w:r>
        <w:rPr>
          <w:rFonts w:cs="Arial"/>
          <w:lang w:val="en"/>
        </w:rPr>
        <w:t xml:space="preserve"> and is also used </w:t>
      </w:r>
      <w:r w:rsidR="00C31815">
        <w:rPr>
          <w:rFonts w:cs="Arial"/>
          <w:lang w:val="en"/>
        </w:rPr>
        <w:t xml:space="preserve">as a propellant in medical aerosols, </w:t>
      </w:r>
      <w:r>
        <w:rPr>
          <w:rFonts w:cs="Arial"/>
          <w:lang w:val="en"/>
        </w:rPr>
        <w:t>as a foam in fire suppression applications and aerosols (</w:t>
      </w:r>
      <w:r w:rsidR="00AD3162">
        <w:rPr>
          <w:rFonts w:cs="Arial"/>
          <w:lang w:val="en"/>
        </w:rPr>
        <w:t>NICNAS</w:t>
      </w:r>
      <w:r>
        <w:rPr>
          <w:rFonts w:cs="Arial"/>
          <w:lang w:val="en"/>
        </w:rPr>
        <w:t>, 2014).</w:t>
      </w:r>
      <w:r w:rsidR="001C1DBC">
        <w:rPr>
          <w:rFonts w:cs="Arial"/>
          <w:lang w:val="en"/>
        </w:rPr>
        <w:t xml:space="preserve"> </w:t>
      </w:r>
    </w:p>
    <w:p w14:paraId="0D86A02A" w14:textId="04940033" w:rsidR="000826D9" w:rsidRDefault="001C1DBC" w:rsidP="006639B4">
      <w:pPr>
        <w:rPr>
          <w:rStyle w:val="checkbox"/>
          <w:rFonts w:ascii="Arial" w:hAnsi="Arial" w:cs="Arial"/>
        </w:rPr>
      </w:pPr>
      <w:r>
        <w:rPr>
          <w:rFonts w:cs="Arial"/>
        </w:rPr>
        <w:t xml:space="preserve">The critical effects </w:t>
      </w:r>
      <w:r>
        <w:rPr>
          <w:rStyle w:val="checkbox"/>
          <w:rFonts w:ascii="Arial" w:hAnsi="Arial" w:cs="Arial"/>
        </w:rPr>
        <w:t>of exposure to relatively high concentrations are narcosis and CNS effects (DFG, 1996; US EPA, 1995).</w:t>
      </w:r>
      <w:r w:rsidR="00F64F59">
        <w:rPr>
          <w:rFonts w:cs="Arial"/>
        </w:rPr>
        <w:t xml:space="preserve"> </w:t>
      </w:r>
      <w:r w:rsidR="00A81836">
        <w:rPr>
          <w:rFonts w:cs="Arial"/>
        </w:rPr>
        <w:t>Acute toxicity</w:t>
      </w:r>
      <w:r w:rsidR="00A81836">
        <w:rPr>
          <w:rFonts w:cs="Arial"/>
          <w:lang w:val="en"/>
        </w:rPr>
        <w:t xml:space="preserve"> of </w:t>
      </w:r>
      <w:r w:rsidR="007C6021">
        <w:rPr>
          <w:rFonts w:cs="Arial"/>
          <w:lang w:val="en"/>
        </w:rPr>
        <w:t xml:space="preserve">1,1,1,2-Tetrafluoroethane </w:t>
      </w:r>
      <w:r w:rsidR="00AD3162">
        <w:rPr>
          <w:rFonts w:cs="Arial"/>
        </w:rPr>
        <w:t>is low</w:t>
      </w:r>
      <w:r w:rsidR="00A81836">
        <w:rPr>
          <w:rFonts w:cs="Arial"/>
        </w:rPr>
        <w:t>.</w:t>
      </w:r>
      <w:r w:rsidR="00AD3162">
        <w:rPr>
          <w:rFonts w:cs="Arial"/>
        </w:rPr>
        <w:t xml:space="preserve"> </w:t>
      </w:r>
      <w:r w:rsidR="00A81836">
        <w:rPr>
          <w:rFonts w:cs="Arial"/>
        </w:rPr>
        <w:t>Oral a</w:t>
      </w:r>
      <w:r w:rsidR="00AD3162">
        <w:rPr>
          <w:rFonts w:cs="Arial"/>
        </w:rPr>
        <w:t xml:space="preserve">bsorption </w:t>
      </w:r>
      <w:r w:rsidR="00A81836">
        <w:rPr>
          <w:rFonts w:cs="Arial"/>
        </w:rPr>
        <w:t xml:space="preserve">in humans is limited </w:t>
      </w:r>
      <w:r w:rsidR="00AD3162">
        <w:rPr>
          <w:rFonts w:cs="Arial"/>
        </w:rPr>
        <w:t xml:space="preserve">and </w:t>
      </w:r>
      <w:r w:rsidR="00A81836">
        <w:rPr>
          <w:rFonts w:cs="Arial"/>
        </w:rPr>
        <w:t xml:space="preserve">it </w:t>
      </w:r>
      <w:r w:rsidR="00AD3162">
        <w:rPr>
          <w:rFonts w:cs="Arial"/>
        </w:rPr>
        <w:t xml:space="preserve">is rapidly excreted by the lungs. </w:t>
      </w:r>
      <w:r w:rsidR="00A81836">
        <w:rPr>
          <w:rFonts w:cs="Arial"/>
        </w:rPr>
        <w:t xml:space="preserve">No adverse effects </w:t>
      </w:r>
      <w:r w:rsidR="00A81836" w:rsidRPr="003B2CF3">
        <w:rPr>
          <w:rFonts w:cs="Arial"/>
          <w:lang w:val="en-GB"/>
        </w:rPr>
        <w:t>on pulse, blood pressure, electrocardiogram or lung function</w:t>
      </w:r>
      <w:r w:rsidR="00A81836">
        <w:rPr>
          <w:rFonts w:cs="Arial"/>
        </w:rPr>
        <w:t xml:space="preserve"> </w:t>
      </w:r>
      <w:r w:rsidR="00F4332C">
        <w:rPr>
          <w:rFonts w:cs="Arial"/>
        </w:rPr>
        <w:t xml:space="preserve">reported </w:t>
      </w:r>
      <w:r w:rsidR="00A81836">
        <w:rPr>
          <w:rFonts w:cs="Arial"/>
        </w:rPr>
        <w:t xml:space="preserve">in </w:t>
      </w:r>
      <w:r w:rsidR="00023B69">
        <w:rPr>
          <w:rFonts w:cs="Arial"/>
        </w:rPr>
        <w:t xml:space="preserve">a </w:t>
      </w:r>
      <w:r w:rsidR="00A81836">
        <w:rPr>
          <w:rFonts w:cs="Arial"/>
        </w:rPr>
        <w:t>l</w:t>
      </w:r>
      <w:r w:rsidR="00AD3162">
        <w:rPr>
          <w:rFonts w:cs="Arial"/>
        </w:rPr>
        <w:t>imited stud</w:t>
      </w:r>
      <w:r w:rsidR="00023B69">
        <w:rPr>
          <w:rFonts w:cs="Arial"/>
        </w:rPr>
        <w:t xml:space="preserve">y of eight </w:t>
      </w:r>
      <w:r w:rsidR="00AD3162">
        <w:rPr>
          <w:rFonts w:cs="Arial"/>
        </w:rPr>
        <w:t>volunteers exposed up to 8,000</w:t>
      </w:r>
      <w:r w:rsidR="00F4332C">
        <w:rPr>
          <w:rFonts w:cs="Arial"/>
        </w:rPr>
        <w:t> </w:t>
      </w:r>
      <w:r w:rsidR="00AD3162">
        <w:rPr>
          <w:rFonts w:cs="Arial"/>
        </w:rPr>
        <w:t xml:space="preserve">ppm for eight weeks </w:t>
      </w:r>
      <w:r w:rsidR="00AD3162">
        <w:rPr>
          <w:rFonts w:cs="Arial"/>
          <w:lang w:val="en-GB"/>
        </w:rPr>
        <w:t xml:space="preserve">(ECHA, 2019). US EPA (1995) and DFG (1996) </w:t>
      </w:r>
      <w:r w:rsidR="00A81836">
        <w:rPr>
          <w:rFonts w:cs="Arial"/>
          <w:lang w:val="en-GB"/>
        </w:rPr>
        <w:t>report</w:t>
      </w:r>
      <w:r w:rsidR="00F4332C">
        <w:rPr>
          <w:rFonts w:cs="Arial"/>
          <w:lang w:val="en-GB"/>
        </w:rPr>
        <w:t>ed</w:t>
      </w:r>
      <w:r w:rsidR="00A81836">
        <w:rPr>
          <w:rFonts w:cs="Arial"/>
          <w:lang w:val="en-GB"/>
        </w:rPr>
        <w:t xml:space="preserve"> </w:t>
      </w:r>
      <w:r w:rsidR="00AD3162">
        <w:rPr>
          <w:rFonts w:cs="Arial"/>
          <w:lang w:val="en-GB"/>
        </w:rPr>
        <w:t>a NOEAC of 10,000 ppm from a two</w:t>
      </w:r>
      <w:r w:rsidR="00A81836">
        <w:rPr>
          <w:rFonts w:cs="Arial"/>
          <w:lang w:val="en-GB"/>
        </w:rPr>
        <w:noBreakHyphen/>
      </w:r>
      <w:r w:rsidR="00AD3162">
        <w:rPr>
          <w:rFonts w:cs="Arial"/>
          <w:lang w:val="en-GB"/>
        </w:rPr>
        <w:t xml:space="preserve">year inhalation study in rats based on </w:t>
      </w:r>
      <w:r w:rsidR="00AD3162">
        <w:rPr>
          <w:rStyle w:val="checkbox"/>
          <w:rFonts w:ascii="Arial" w:hAnsi="Arial" w:cs="Arial"/>
        </w:rPr>
        <w:t xml:space="preserve">increased relative testes weight. The same study cited </w:t>
      </w:r>
      <w:r w:rsidR="00A81836">
        <w:rPr>
          <w:rStyle w:val="checkbox"/>
          <w:rFonts w:ascii="Arial" w:hAnsi="Arial" w:cs="Arial"/>
        </w:rPr>
        <w:t xml:space="preserve">by </w:t>
      </w:r>
      <w:r w:rsidR="00AD3162">
        <w:rPr>
          <w:rStyle w:val="checkbox"/>
          <w:rFonts w:ascii="Arial" w:hAnsi="Arial" w:cs="Arial"/>
        </w:rPr>
        <w:t>ECHA (2019) considered 50,</w:t>
      </w:r>
      <w:r w:rsidR="007C6021">
        <w:rPr>
          <w:rStyle w:val="checkbox"/>
          <w:rFonts w:ascii="Arial" w:hAnsi="Arial" w:cs="Arial"/>
        </w:rPr>
        <w:t>000 </w:t>
      </w:r>
      <w:r w:rsidR="00AD3162">
        <w:rPr>
          <w:rStyle w:val="checkbox"/>
          <w:rFonts w:ascii="Arial" w:hAnsi="Arial" w:cs="Arial"/>
        </w:rPr>
        <w:t>ppm</w:t>
      </w:r>
      <w:r w:rsidR="00A81836">
        <w:rPr>
          <w:rStyle w:val="checkbox"/>
          <w:rFonts w:ascii="Arial" w:hAnsi="Arial" w:cs="Arial"/>
        </w:rPr>
        <w:t xml:space="preserve"> (the highest dose)</w:t>
      </w:r>
      <w:r w:rsidR="00AD3162">
        <w:rPr>
          <w:rStyle w:val="checkbox"/>
          <w:rFonts w:ascii="Arial" w:hAnsi="Arial" w:cs="Arial"/>
        </w:rPr>
        <w:t xml:space="preserve"> </w:t>
      </w:r>
      <w:r w:rsidR="00734544">
        <w:rPr>
          <w:rStyle w:val="checkbox"/>
          <w:rFonts w:ascii="Arial" w:hAnsi="Arial" w:cs="Arial"/>
        </w:rPr>
        <w:t xml:space="preserve">as the NOAEC. </w:t>
      </w:r>
      <w:r w:rsidR="00A81836">
        <w:rPr>
          <w:rStyle w:val="checkbox"/>
          <w:rFonts w:ascii="Arial" w:hAnsi="Arial" w:cs="Arial"/>
        </w:rPr>
        <w:t>A NOAEC of 50,000 ppm reported in a shorter 90</w:t>
      </w:r>
      <w:r w:rsidR="00A81836">
        <w:rPr>
          <w:rStyle w:val="checkbox"/>
          <w:rFonts w:ascii="Arial" w:hAnsi="Arial" w:cs="Arial"/>
        </w:rPr>
        <w:noBreakHyphen/>
      </w:r>
      <w:r w:rsidR="00734544">
        <w:rPr>
          <w:rStyle w:val="checkbox"/>
          <w:rFonts w:ascii="Arial" w:hAnsi="Arial" w:cs="Arial"/>
        </w:rPr>
        <w:t>day inhalation study in rats (ECHA, 2019).</w:t>
      </w:r>
      <w:r w:rsidR="007C6021">
        <w:rPr>
          <w:rStyle w:val="checkbox"/>
          <w:rFonts w:ascii="Arial" w:hAnsi="Arial" w:cs="Arial"/>
        </w:rPr>
        <w:t xml:space="preserve"> </w:t>
      </w:r>
    </w:p>
    <w:p w14:paraId="5F997311" w14:textId="3CD86305" w:rsidR="00734544" w:rsidRPr="004C23F4" w:rsidRDefault="00734544" w:rsidP="006639B4">
      <w:pPr>
        <w:rPr>
          <w:rFonts w:cs="Arial"/>
        </w:rPr>
      </w:pPr>
      <w:r>
        <w:rPr>
          <w:rStyle w:val="checkbox"/>
          <w:rFonts w:ascii="Arial" w:hAnsi="Arial" w:cs="Arial"/>
        </w:rPr>
        <w:t>The TWA of 1,000 ppm (</w:t>
      </w:r>
      <w:r>
        <w:rPr>
          <w:rFonts w:cs="Arial"/>
        </w:rPr>
        <w:t>4,240 mg/m</w:t>
      </w:r>
      <w:r w:rsidRPr="00CB37CB">
        <w:rPr>
          <w:rFonts w:cs="Arial"/>
          <w:vertAlign w:val="superscript"/>
        </w:rPr>
        <w:t>3</w:t>
      </w:r>
      <w:r>
        <w:rPr>
          <w:rFonts w:cs="Arial"/>
        </w:rPr>
        <w:t xml:space="preserve">) as assigned by DFG (1996) </w:t>
      </w:r>
      <w:r>
        <w:rPr>
          <w:rStyle w:val="checkbox"/>
          <w:rFonts w:ascii="Arial" w:hAnsi="Arial" w:cs="Arial"/>
        </w:rPr>
        <w:t xml:space="preserve">is recommended based on the weight of evidence presented and is protective for narcotic </w:t>
      </w:r>
      <w:r w:rsidR="00F64F59">
        <w:rPr>
          <w:rStyle w:val="checkbox"/>
          <w:rFonts w:ascii="Arial" w:hAnsi="Arial" w:cs="Arial"/>
        </w:rPr>
        <w:t xml:space="preserve">and </w:t>
      </w:r>
      <w:r>
        <w:rPr>
          <w:rStyle w:val="checkbox"/>
          <w:rFonts w:ascii="Arial" w:hAnsi="Arial" w:cs="Arial"/>
        </w:rPr>
        <w:t>CNS effects.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870CF3" w:rsidRDefault="008E4F1F" w:rsidP="008E4F1F">
      <w:pPr>
        <w:rPr>
          <w:rFonts w:cs="Arial"/>
        </w:rPr>
      </w:pPr>
      <w:r w:rsidRPr="00870CF3">
        <w:rPr>
          <w:rFonts w:cs="Arial"/>
        </w:rPr>
        <w:t>Not classified as a carcinogen according to the Globally Harmonized System of</w:t>
      </w:r>
      <w:r w:rsidR="00155999" w:rsidRPr="00870CF3">
        <w:rPr>
          <w:rFonts w:cs="Arial"/>
        </w:rPr>
        <w:t xml:space="preserve"> Classification and Labelling of</w:t>
      </w:r>
      <w:r w:rsidRPr="00870CF3">
        <w:rPr>
          <w:rFonts w:cs="Arial"/>
        </w:rPr>
        <w:t xml:space="preserve"> Chemicals (GHS). </w:t>
      </w:r>
    </w:p>
    <w:p w14:paraId="03916CCC" w14:textId="77777777" w:rsidR="008E4F1F" w:rsidRPr="00870CF3" w:rsidRDefault="008E4F1F" w:rsidP="008E4F1F">
      <w:pPr>
        <w:rPr>
          <w:rFonts w:cs="Arial"/>
        </w:rPr>
      </w:pPr>
      <w:r w:rsidRPr="00870CF3">
        <w:rPr>
          <w:rFonts w:cs="Arial"/>
        </w:rPr>
        <w:t xml:space="preserve">Not classified as a skin </w:t>
      </w:r>
      <w:r w:rsidR="00155999" w:rsidRPr="00870CF3">
        <w:rPr>
          <w:rFonts w:cs="Arial"/>
        </w:rPr>
        <w:t xml:space="preserve">sensitiser </w:t>
      </w:r>
      <w:r w:rsidRPr="00870CF3">
        <w:rPr>
          <w:rFonts w:cs="Arial"/>
        </w:rPr>
        <w:t>or respiratory sensitiser according to the GHS.</w:t>
      </w:r>
    </w:p>
    <w:p w14:paraId="21CCE2A5" w14:textId="00980219" w:rsidR="0025734A" w:rsidRPr="004C23F4" w:rsidRDefault="00064D52">
      <w:pPr>
        <w:rPr>
          <w:rFonts w:cs="Arial"/>
        </w:rPr>
      </w:pPr>
      <w:r>
        <w:rPr>
          <w:rFonts w:cs="Arial"/>
        </w:rPr>
        <w:t>There are i</w:t>
      </w:r>
      <w:r w:rsidR="008E4F1F" w:rsidRPr="00870CF3">
        <w:rPr>
          <w:rFonts w:cs="Arial"/>
        </w:rPr>
        <w:t xml:space="preserve">nsufficient </w:t>
      </w:r>
      <w:r>
        <w:rPr>
          <w:rFonts w:cs="Arial"/>
        </w:rPr>
        <w:t>data</w:t>
      </w:r>
      <w:r w:rsidRPr="00870CF3">
        <w:rPr>
          <w:rFonts w:cs="Arial"/>
        </w:rPr>
        <w:t xml:space="preserve"> </w:t>
      </w:r>
      <w:r w:rsidR="008E4F1F" w:rsidRPr="00870CF3">
        <w:rPr>
          <w:rFonts w:cs="Arial"/>
        </w:rPr>
        <w:t>to recommend a skin notation.</w:t>
      </w:r>
      <w:r w:rsidR="00CE0D17">
        <w:rPr>
          <w:rFonts w:cs="Arial"/>
        </w:rPr>
        <w:t xml:space="preserve">  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8B4ECA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8B4ECA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6194E42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C7F8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C7F81">
                  <w:t>TWA: 1</w:t>
                </w:r>
                <w:r w:rsidR="00064D52">
                  <w:t>,</w:t>
                </w:r>
                <w:r w:rsidR="007C7F81">
                  <w:t>000 ppm (4</w:t>
                </w:r>
                <w:r w:rsidR="00064D52">
                  <w:t>,</w:t>
                </w:r>
                <w:r w:rsidR="007C7F81">
                  <w:t>240 mg/m</w:t>
                </w:r>
                <w:r w:rsidR="007C7F81" w:rsidRPr="007C7F81">
                  <w:rPr>
                    <w:vertAlign w:val="superscript"/>
                  </w:rPr>
                  <w:t>3</w:t>
                </w:r>
                <w:r w:rsidR="007C7F81">
                  <w:t>)</w:t>
                </w:r>
              </w:sdtContent>
            </w:sdt>
          </w:p>
        </w:tc>
      </w:tr>
      <w:tr w:rsidR="00C978F0" w:rsidRPr="00DA352E" w14:paraId="26087DDB" w14:textId="77777777" w:rsidTr="008B4ECA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8B4EC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4E73D59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C7F8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C7F81">
                  <w:t>NA</w:t>
                </w:r>
              </w:sdtContent>
            </w:sdt>
          </w:p>
        </w:tc>
      </w:tr>
      <w:tr w:rsidR="00C978F0" w:rsidRPr="00DA352E" w14:paraId="418D532D" w14:textId="77777777" w:rsidTr="008B4ECA">
        <w:trPr>
          <w:gridAfter w:val="1"/>
          <w:wAfter w:w="8" w:type="pct"/>
          <w:cantSplit/>
        </w:trPr>
        <w:tc>
          <w:tcPr>
            <w:tcW w:w="4992" w:type="pct"/>
          </w:tcPr>
          <w:p w14:paraId="0CE4D35D" w14:textId="77777777" w:rsidR="00C978F0" w:rsidRPr="00DA352E" w:rsidRDefault="007C7F81" w:rsidP="003365A5">
            <w:pPr>
              <w:pStyle w:val="Tabletextprimarysource"/>
            </w:pPr>
            <w:r>
              <w:t>No report</w:t>
            </w:r>
            <w:r w:rsidR="00CE0D17">
              <w:t>.</w:t>
            </w:r>
          </w:p>
        </w:tc>
      </w:tr>
      <w:tr w:rsidR="00C978F0" w:rsidRPr="00DA352E" w14:paraId="174F8B79" w14:textId="77777777" w:rsidTr="008B4EC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69E43D9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C7F81">
                  <w:t>1996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C7F81">
                  <w:t>MAK: 1</w:t>
                </w:r>
                <w:r w:rsidR="00064D52">
                  <w:t>,</w:t>
                </w:r>
                <w:r w:rsidR="007C7F81">
                  <w:t>000 ppm (4</w:t>
                </w:r>
                <w:r w:rsidR="00064D52">
                  <w:t>,</w:t>
                </w:r>
                <w:r w:rsidR="007C7F81">
                  <w:t>200 mg/m</w:t>
                </w:r>
                <w:r w:rsidR="007C7F81" w:rsidRPr="007C7F81">
                  <w:rPr>
                    <w:vertAlign w:val="superscript"/>
                  </w:rPr>
                  <w:t>3</w:t>
                </w:r>
                <w:r w:rsidR="007C7F81">
                  <w:t>)</w:t>
                </w:r>
              </w:sdtContent>
            </w:sdt>
          </w:p>
        </w:tc>
      </w:tr>
      <w:tr w:rsidR="00C978F0" w:rsidRPr="00DA352E" w14:paraId="4433014F" w14:textId="77777777" w:rsidTr="008B4ECA">
        <w:trPr>
          <w:gridAfter w:val="1"/>
          <w:wAfter w:w="8" w:type="pct"/>
          <w:cantSplit/>
        </w:trPr>
        <w:tc>
          <w:tcPr>
            <w:tcW w:w="4992" w:type="pct"/>
          </w:tcPr>
          <w:p w14:paraId="53DAC94A" w14:textId="77777777" w:rsidR="00F52775" w:rsidRDefault="00F52775" w:rsidP="00F52775">
            <w:pPr>
              <w:pStyle w:val="Tabletextprimarysource"/>
            </w:pPr>
            <w:r>
              <w:t>Summary of data:</w:t>
            </w:r>
          </w:p>
          <w:p w14:paraId="0106DA49" w14:textId="54D83096" w:rsidR="0074592D" w:rsidRDefault="0074592D" w:rsidP="007C60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Low acute toxicity</w:t>
            </w:r>
            <w:r w:rsidR="00C92292">
              <w:t xml:space="preserve">, but narcotic </w:t>
            </w:r>
            <w:r>
              <w:t xml:space="preserve">in high concentrations </w:t>
            </w:r>
          </w:p>
          <w:p w14:paraId="0EAD99A0" w14:textId="220062E6" w:rsidR="0074592D" w:rsidRDefault="0074592D" w:rsidP="007C60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20 volunteers </w:t>
            </w:r>
            <w:r w:rsidR="00C92292">
              <w:t>tolerated with no effect on vital functions or ECG</w:t>
            </w:r>
            <w:r w:rsidR="00F4332C">
              <w:t>,</w:t>
            </w:r>
            <w:r w:rsidR="00C92292" w:rsidDel="00C92292">
              <w:t xml:space="preserve"> </w:t>
            </w:r>
            <w:r w:rsidR="00C92292">
              <w:t xml:space="preserve">exposures for 8 weeks at concentrations </w:t>
            </w:r>
            <w:r>
              <w:t xml:space="preserve">up to 800 </w:t>
            </w:r>
            <w:r>
              <w:rPr>
                <w:rFonts w:cs="Arial"/>
              </w:rPr>
              <w:t>µ</w:t>
            </w:r>
            <w:r w:rsidR="00535906">
              <w:t>L (</w:t>
            </w:r>
            <w:r w:rsidR="00C92292">
              <w:t xml:space="preserve">8,000 ppm; </w:t>
            </w:r>
            <w:r w:rsidR="00535906">
              <w:t xml:space="preserve">100 </w:t>
            </w:r>
            <w:r w:rsidR="00535906">
              <w:rPr>
                <w:rFonts w:cs="Arial"/>
              </w:rPr>
              <w:t>µ</w:t>
            </w:r>
            <w:r w:rsidR="00535906">
              <w:t xml:space="preserve">L volumes sprayed into MDI at 30 sec intervals) </w:t>
            </w:r>
          </w:p>
          <w:p w14:paraId="62B21A46" w14:textId="2AA0C354" w:rsidR="00535906" w:rsidRDefault="008874EE" w:rsidP="007C60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8874EE">
              <w:rPr>
                <w:vertAlign w:val="subscript"/>
              </w:rPr>
              <w:t>50</w:t>
            </w:r>
            <w:r>
              <w:t>: &gt;500,000 ppm (rat</w:t>
            </w:r>
            <w:r w:rsidR="002669D5">
              <w:t>, 4 h</w:t>
            </w:r>
            <w:r>
              <w:t>)</w:t>
            </w:r>
          </w:p>
          <w:p w14:paraId="259D8EEF" w14:textId="05FC8161" w:rsidR="008874EE" w:rsidRDefault="00347A9C" w:rsidP="007C6021">
            <w:pPr>
              <w:pStyle w:val="ListBullet"/>
              <w:spacing w:before="60" w:after="60"/>
              <w:ind w:left="714" w:hanging="357"/>
              <w:contextualSpacing w:val="0"/>
            </w:pPr>
            <w:r w:rsidRPr="00AD3162">
              <w:t>NOEL: 10,000 ppm</w:t>
            </w:r>
            <w:r w:rsidR="008D02F2">
              <w:t xml:space="preserve"> (rat, inhalation)</w:t>
            </w:r>
          </w:p>
          <w:p w14:paraId="2528E72D" w14:textId="27A04C21" w:rsidR="007C6021" w:rsidRDefault="00F5277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Dorsal skin of rabbits slightly red</w:t>
            </w:r>
            <w:r w:rsidR="00B93162">
              <w:t xml:space="preserve"> following administration of liquid</w:t>
            </w:r>
            <w:r w:rsidR="00F4332C">
              <w:t>, which is</w:t>
            </w:r>
            <w:r w:rsidR="00C92292">
              <w:t xml:space="preserve"> </w:t>
            </w:r>
            <w:r>
              <w:t>likely due to freezing effect of liquefied gas</w:t>
            </w:r>
            <w:r w:rsidR="00F4332C">
              <w:t>:</w:t>
            </w:r>
            <w:r w:rsidR="00B93162">
              <w:t xml:space="preserve"> </w:t>
            </w:r>
          </w:p>
          <w:p w14:paraId="31DAD08C" w14:textId="56736CFC" w:rsidR="00B93162" w:rsidRDefault="00B93162" w:rsidP="007C6021">
            <w:pPr>
              <w:pStyle w:val="ListBullet"/>
              <w:numPr>
                <w:ilvl w:val="0"/>
                <w:numId w:val="12"/>
              </w:numPr>
              <w:spacing w:before="60" w:after="60"/>
              <w:contextualSpacing w:val="0"/>
            </w:pPr>
            <w:r>
              <w:t>slight irritation to eyes of rabbits, sprayed with gas for 5 or 15 se</w:t>
            </w:r>
            <w:r w:rsidR="002669D5">
              <w:t>c</w:t>
            </w:r>
          </w:p>
          <w:p w14:paraId="7C9C4340" w14:textId="77777777" w:rsidR="00347A9C" w:rsidRDefault="00B93162" w:rsidP="007C60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Not sensitising in animals</w:t>
            </w:r>
          </w:p>
          <w:p w14:paraId="75E9F191" w14:textId="77777777" w:rsidR="00B93162" w:rsidRDefault="00B93162" w:rsidP="007C60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Not found to be allergenic in guinea pigs</w:t>
            </w:r>
          </w:p>
          <w:p w14:paraId="040FA387" w14:textId="77777777" w:rsidR="00B93162" w:rsidRDefault="00CB0E7A" w:rsidP="007C60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Genotoxicity not observed in </w:t>
            </w:r>
            <w:r>
              <w:rPr>
                <w:i/>
              </w:rPr>
              <w:t>in vitro</w:t>
            </w:r>
            <w:r>
              <w:t xml:space="preserve"> and </w:t>
            </w:r>
            <w:r>
              <w:rPr>
                <w:i/>
              </w:rPr>
              <w:t>in vivo</w:t>
            </w:r>
            <w:r>
              <w:t xml:space="preserve"> studies</w:t>
            </w:r>
          </w:p>
          <w:p w14:paraId="5608C2FE" w14:textId="77777777" w:rsidR="00CB0E7A" w:rsidRDefault="00CB0E7A" w:rsidP="007C60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Equivocal results in carcinogenicity studies: </w:t>
            </w:r>
          </w:p>
          <w:p w14:paraId="6D301E03" w14:textId="77777777" w:rsidR="00CB0E7A" w:rsidRDefault="00CB0E7A" w:rsidP="007C6021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increase in Leydig cell hyperplasia and benign Leydig cell adenomas in rats (also in control animals)</w:t>
            </w:r>
          </w:p>
          <w:p w14:paraId="3E1A438A" w14:textId="25706104" w:rsidR="00CB0E7A" w:rsidRDefault="00CB0E7A" w:rsidP="007C6021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threshold concentration for occurrence of tumours 10,000</w:t>
            </w:r>
            <w:r w:rsidR="00F64F59">
              <w:t>–</w:t>
            </w:r>
            <w:r>
              <w:t>50,000 ppm</w:t>
            </w:r>
          </w:p>
          <w:p w14:paraId="76859FB4" w14:textId="7D34A292" w:rsidR="00CB0E7A" w:rsidRDefault="008A43C2" w:rsidP="007C6021">
            <w:pPr>
              <w:pStyle w:val="ListBullet2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tumour likely </w:t>
            </w:r>
            <w:r w:rsidR="00CB37CB">
              <w:t>due to</w:t>
            </w:r>
            <w:r>
              <w:t xml:space="preserve"> hormonal mechanism of action</w:t>
            </w:r>
            <w:r w:rsidR="00CB37CB">
              <w:t>.</w:t>
            </w:r>
          </w:p>
          <w:p w14:paraId="479C81B5" w14:textId="77777777" w:rsidR="007C6021" w:rsidRDefault="007C6021" w:rsidP="00F52775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699B2F76" w14:textId="77777777" w:rsidR="008A43C2" w:rsidRDefault="00F52775" w:rsidP="00F52775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MAK determined based on NOEL of 10,000 ppm from inhalation study in rats.</w:t>
            </w:r>
          </w:p>
          <w:p w14:paraId="61A64F09" w14:textId="77777777" w:rsidR="007C6021" w:rsidRPr="00DA352E" w:rsidRDefault="007C6021" w:rsidP="00F52775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E6A0B2C" w14:textId="77777777" w:rsidTr="008B4EC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72B97A6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0447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304475">
                  <w:t>NA</w:t>
                </w:r>
              </w:sdtContent>
            </w:sdt>
          </w:p>
        </w:tc>
      </w:tr>
      <w:tr w:rsidR="00C978F0" w:rsidRPr="00DA352E" w14:paraId="2008D281" w14:textId="77777777" w:rsidTr="008B4ECA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77777777" w:rsidR="00C978F0" w:rsidRPr="00DA352E" w:rsidRDefault="00304475" w:rsidP="003365A5">
            <w:pPr>
              <w:pStyle w:val="Tabletextprimarysource"/>
            </w:pPr>
            <w:r>
              <w:t>No report</w:t>
            </w:r>
            <w:r w:rsidR="00CE0D17">
              <w:t>.</w:t>
            </w:r>
          </w:p>
        </w:tc>
      </w:tr>
      <w:tr w:rsidR="00DA352E" w:rsidRPr="00DA352E" w14:paraId="12BAB90D" w14:textId="77777777" w:rsidTr="008B4EC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0100189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04475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alias w:val="SCOEL WES equivalent"/>
                    <w:tag w:val="SCOEL WES equivalent"/>
                    <w:id w:val="1164286256"/>
                    <w:placeholder>
                      <w:docPart w:val="4304C6D163294E9DBF464EDD8882D58C"/>
                    </w:placeholder>
                  </w:sdtPr>
                  <w:sdtEndPr/>
                  <w:sdtContent>
                    <w:r w:rsidR="00304475">
                      <w:t>TWA: 1</w:t>
                    </w:r>
                    <w:r w:rsidR="002669D5">
                      <w:t>.</w:t>
                    </w:r>
                    <w:r w:rsidR="00304475">
                      <w:t>000 ppm</w:t>
                    </w:r>
                  </w:sdtContent>
                </w:sdt>
              </w:sdtContent>
            </w:sdt>
          </w:p>
        </w:tc>
      </w:tr>
      <w:tr w:rsidR="00DA352E" w:rsidRPr="00DA352E" w14:paraId="33AAF4A6" w14:textId="77777777" w:rsidTr="008B4ECA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77777777" w:rsidR="00DA352E" w:rsidRPr="00DA352E" w:rsidRDefault="00B81FFC" w:rsidP="003365A5">
            <w:pPr>
              <w:pStyle w:val="Tabletextprimarysource"/>
            </w:pPr>
            <w:r>
              <w:t>No additional information.</w:t>
            </w:r>
          </w:p>
        </w:tc>
      </w:tr>
      <w:tr w:rsidR="00DA352E" w:rsidRPr="00DA352E" w14:paraId="605F758C" w14:textId="77777777" w:rsidTr="008B4EC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5F96926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0447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04475">
                  <w:t>NA</w:t>
                </w:r>
              </w:sdtContent>
            </w:sdt>
          </w:p>
        </w:tc>
      </w:tr>
      <w:tr w:rsidR="00DA352E" w:rsidRPr="00DA352E" w14:paraId="7050CB3E" w14:textId="77777777" w:rsidTr="008B4ECA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7502515A" w:rsidR="00DA352E" w:rsidRPr="00DA352E" w:rsidRDefault="00304475" w:rsidP="003365A5">
            <w:pPr>
              <w:pStyle w:val="Tabletextprimarysource"/>
            </w:pPr>
            <w:r>
              <w:t>No report</w:t>
            </w:r>
            <w:r w:rsidR="00CE0D17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423"/>
        <w:gridCol w:w="661"/>
        <w:gridCol w:w="6452"/>
      </w:tblGrid>
      <w:tr w:rsidR="004966BF" w:rsidRPr="00263255" w14:paraId="6AE89AB3" w14:textId="77777777" w:rsidTr="008B4E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0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8B4ECA">
        <w:trPr>
          <w:cantSplit/>
        </w:trPr>
        <w:tc>
          <w:tcPr>
            <w:tcW w:w="1490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38928D56" w:rsidR="004966BF" w:rsidRPr="00CE617F" w:rsidRDefault="0081715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E0E3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6C98BA48" w:rsidR="004966BF" w:rsidRPr="004C23F4" w:rsidRDefault="005E0E3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2" w:type="dxa"/>
          </w:tcPr>
          <w:p w14:paraId="0076C2F1" w14:textId="51532089" w:rsidR="004966BF" w:rsidRPr="004C23F4" w:rsidRDefault="005E0E3A" w:rsidP="002669D5">
            <w:pPr>
              <w:pStyle w:val="ListBullet"/>
              <w:ind w:left="714" w:hanging="357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Pr="002669D5">
              <w:t>additional</w:t>
            </w:r>
            <w:r>
              <w:rPr>
                <w:rStyle w:val="checkbox"/>
                <w:rFonts w:ascii="Arial" w:hAnsi="Arial" w:cs="Arial"/>
              </w:rPr>
              <w:t xml:space="preserve"> data.</w:t>
            </w:r>
          </w:p>
        </w:tc>
      </w:tr>
      <w:tr w:rsidR="004966BF" w:rsidRPr="004C23F4" w14:paraId="5B6AED63" w14:textId="77777777" w:rsidTr="008B4ECA">
        <w:trPr>
          <w:cantSplit/>
        </w:trPr>
        <w:tc>
          <w:tcPr>
            <w:tcW w:w="1490" w:type="dxa"/>
          </w:tcPr>
          <w:p w14:paraId="01321F4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7AE5C94A" w14:textId="6323F27A" w:rsidR="004966BF" w:rsidRPr="00CE617F" w:rsidRDefault="0081715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A3B2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C68236E" w14:textId="4162B1C5" w:rsidR="004966BF" w:rsidRPr="004C23F4" w:rsidRDefault="005E0E3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1995</w:t>
            </w:r>
          </w:p>
        </w:tc>
        <w:tc>
          <w:tcPr>
            <w:tcW w:w="6452" w:type="dxa"/>
          </w:tcPr>
          <w:p w14:paraId="5D727DC5" w14:textId="64D816B5" w:rsidR="004966BF" w:rsidRDefault="003A3B2D" w:rsidP="007C602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NOAEL 10,</w:t>
            </w:r>
            <w:r w:rsidRPr="002669D5">
              <w:t>000</w:t>
            </w:r>
            <w:r>
              <w:rPr>
                <w:rStyle w:val="checkbox"/>
                <w:rFonts w:ascii="Arial" w:hAnsi="Arial" w:cs="Arial"/>
              </w:rPr>
              <w:t xml:space="preserve"> ppm and LOAEL 50,000 ppm based on increased relative testes weight (cited in ECHA, 2019)</w:t>
            </w:r>
          </w:p>
          <w:p w14:paraId="3E86B647" w14:textId="2D0F1932" w:rsidR="0076437A" w:rsidRDefault="0076437A" w:rsidP="007C602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90</w:t>
            </w:r>
            <w:r w:rsidR="00CE0D17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d inhalation study in male and female rats exposed at 0, 2,000 10,000 or 50,000 ppm for 6 h/d, 5 d/wk, identified NOAE</w:t>
            </w:r>
            <w:r w:rsidR="007C6021">
              <w:rPr>
                <w:rStyle w:val="checkbox"/>
                <w:rFonts w:ascii="Arial" w:hAnsi="Arial" w:cs="Arial"/>
              </w:rPr>
              <w:t>C</w:t>
            </w:r>
            <w:r>
              <w:rPr>
                <w:rStyle w:val="checkbox"/>
                <w:rFonts w:ascii="Arial" w:hAnsi="Arial" w:cs="Arial"/>
              </w:rPr>
              <w:t xml:space="preserve"> of 50,000 ppm</w:t>
            </w:r>
          </w:p>
          <w:p w14:paraId="2224089B" w14:textId="45FADEE1" w:rsidR="0076437A" w:rsidRPr="004C23F4" w:rsidRDefault="0076437A" w:rsidP="007C602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Single or </w:t>
            </w:r>
            <w:r w:rsidRPr="002669D5">
              <w:t>repeated</w:t>
            </w:r>
            <w:r>
              <w:rPr>
                <w:rStyle w:val="checkbox"/>
                <w:rFonts w:ascii="Arial" w:hAnsi="Arial" w:cs="Arial"/>
              </w:rPr>
              <w:t xml:space="preserve"> short-term exposures to relatively high concentrations in rats caused reversible CNS depression.</w:t>
            </w:r>
          </w:p>
        </w:tc>
      </w:tr>
      <w:tr w:rsidR="004966BF" w:rsidRPr="004C23F4" w14:paraId="61B5CF9D" w14:textId="77777777" w:rsidTr="008B4ECA">
        <w:trPr>
          <w:cantSplit/>
        </w:trPr>
        <w:tc>
          <w:tcPr>
            <w:tcW w:w="1490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1B271840" w14:textId="58BFA471" w:rsidR="004966BF" w:rsidRPr="00CE617F" w:rsidRDefault="0081715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5277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31673731" w:rsidR="004966BF" w:rsidRPr="004C23F4" w:rsidRDefault="003B2CF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2" w:type="dxa"/>
          </w:tcPr>
          <w:p w14:paraId="35A5E4B0" w14:textId="5DF9E61A" w:rsidR="001C1DBC" w:rsidRPr="001C1DBC" w:rsidRDefault="001C1DBC" w:rsidP="007C6021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 xml:space="preserve">Limited </w:t>
            </w:r>
            <w:r w:rsidRPr="000D2359">
              <w:t>absorption</w:t>
            </w:r>
            <w:r>
              <w:rPr>
                <w:rFonts w:cs="Arial"/>
              </w:rPr>
              <w:t xml:space="preserve"> in humans; rapidly excreted via lungs</w:t>
            </w:r>
          </w:p>
          <w:p w14:paraId="7BDE9442" w14:textId="4B87D93D" w:rsidR="004966BF" w:rsidRPr="003B2CF3" w:rsidRDefault="0076437A" w:rsidP="007C6021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  <w:lang w:val="en-GB"/>
              </w:rPr>
              <w:t>2 y c</w:t>
            </w:r>
            <w:r w:rsidR="003B2CF3">
              <w:rPr>
                <w:rFonts w:cs="Arial"/>
                <w:lang w:val="en-GB"/>
              </w:rPr>
              <w:t xml:space="preserve">hronic </w:t>
            </w:r>
            <w:r w:rsidR="003B2CF3" w:rsidRPr="002669D5">
              <w:t>toxicity</w:t>
            </w:r>
            <w:r w:rsidR="00F52775" w:rsidRPr="00F52775">
              <w:rPr>
                <w:rFonts w:cs="Arial"/>
                <w:lang w:val="en-GB"/>
              </w:rPr>
              <w:t xml:space="preserve">/carcinogenicity study in </w:t>
            </w:r>
            <w:r w:rsidR="003B2CF3">
              <w:rPr>
                <w:rFonts w:cs="Arial"/>
                <w:lang w:val="en-GB"/>
              </w:rPr>
              <w:t xml:space="preserve">male and female </w:t>
            </w:r>
            <w:r w:rsidR="00F52775" w:rsidRPr="00F52775">
              <w:rPr>
                <w:rFonts w:cs="Arial"/>
                <w:lang w:val="en-GB"/>
              </w:rPr>
              <w:t>rats exposed at 0, 2</w:t>
            </w:r>
            <w:r w:rsidR="003B2CF3">
              <w:rPr>
                <w:rFonts w:cs="Arial"/>
                <w:lang w:val="en-GB"/>
              </w:rPr>
              <w:t>,</w:t>
            </w:r>
            <w:r w:rsidR="00F52775" w:rsidRPr="00F52775">
              <w:rPr>
                <w:rFonts w:cs="Arial"/>
                <w:lang w:val="en-GB"/>
              </w:rPr>
              <w:t>500, 10</w:t>
            </w:r>
            <w:r w:rsidR="003B2CF3">
              <w:rPr>
                <w:rFonts w:cs="Arial"/>
                <w:lang w:val="en-GB"/>
              </w:rPr>
              <w:t>,</w:t>
            </w:r>
            <w:r w:rsidR="00F52775" w:rsidRPr="00F52775">
              <w:rPr>
                <w:rFonts w:cs="Arial"/>
                <w:lang w:val="en-GB"/>
              </w:rPr>
              <w:t>000 or 50</w:t>
            </w:r>
            <w:r w:rsidR="003B2CF3">
              <w:rPr>
                <w:rFonts w:cs="Arial"/>
                <w:lang w:val="en-GB"/>
              </w:rPr>
              <w:t>,</w:t>
            </w:r>
            <w:r w:rsidR="00F52775" w:rsidRPr="00F52775">
              <w:rPr>
                <w:rFonts w:cs="Arial"/>
                <w:lang w:val="en-GB"/>
              </w:rPr>
              <w:t>000</w:t>
            </w:r>
            <w:r w:rsidR="003B2CF3">
              <w:rPr>
                <w:rFonts w:cs="Arial"/>
                <w:lang w:val="en-GB"/>
              </w:rPr>
              <w:t xml:space="preserve"> </w:t>
            </w:r>
            <w:r w:rsidR="00F52775" w:rsidRPr="00F52775">
              <w:rPr>
                <w:rFonts w:cs="Arial"/>
                <w:lang w:val="en-GB"/>
              </w:rPr>
              <w:t>ppm</w:t>
            </w:r>
            <w:r w:rsidR="003B2CF3">
              <w:rPr>
                <w:rFonts w:cs="Arial"/>
                <w:lang w:val="en-GB"/>
              </w:rPr>
              <w:t xml:space="preserve"> (whole body) for 6 h/d, 5d/wk: NOAEC 50,000 ppm</w:t>
            </w:r>
          </w:p>
          <w:p w14:paraId="33966915" w14:textId="77777777" w:rsidR="003B2CF3" w:rsidRDefault="003B2CF3" w:rsidP="007C602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Not </w:t>
            </w:r>
            <w:r w:rsidRPr="002669D5">
              <w:t>considered</w:t>
            </w:r>
            <w:r>
              <w:rPr>
                <w:rStyle w:val="checkbox"/>
                <w:rFonts w:ascii="Arial" w:hAnsi="Arial" w:cs="Arial"/>
              </w:rPr>
              <w:t xml:space="preserve"> a carcinogenic risk to humans</w:t>
            </w:r>
          </w:p>
          <w:p w14:paraId="5C19B807" w14:textId="3746673C" w:rsidR="003B2CF3" w:rsidRPr="004C23F4" w:rsidRDefault="003B2CF3" w:rsidP="007C602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8 volunteers exposed at 1,000, 2,000, 4,000 or 8,000 ppm (whole body) </w:t>
            </w:r>
            <w:r w:rsidRPr="002669D5">
              <w:t>for</w:t>
            </w:r>
            <w:r>
              <w:rPr>
                <w:rStyle w:val="checkbox"/>
                <w:rFonts w:ascii="Arial" w:hAnsi="Arial" w:cs="Arial"/>
              </w:rPr>
              <w:t xml:space="preserve"> 1 h/wk for 8 wk: no adverse effects </w:t>
            </w:r>
            <w:r w:rsidRPr="003B2CF3">
              <w:rPr>
                <w:rFonts w:cs="Arial"/>
                <w:lang w:val="en-GB"/>
              </w:rPr>
              <w:t>on pulse, blood pressure, electrocardiogram or lung function</w:t>
            </w:r>
            <w:r w:rsidR="00066F03">
              <w:rPr>
                <w:rFonts w:cs="Arial"/>
                <w:lang w:val="en-GB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066F03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5E454EA9" w:rsidR="002E0D61" w:rsidRDefault="00066F0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066F0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211E89DD" w:rsidR="008A36CF" w:rsidRPr="006901A2" w:rsidRDefault="00066F0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8B4E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8B4ECA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201CE165" w:rsidR="00687890" w:rsidRPr="00DD2F9B" w:rsidRDefault="00304475" w:rsidP="00DD2F9B">
            <w:pPr>
              <w:pStyle w:val="Tablefont"/>
            </w:pPr>
            <w:r w:rsidRPr="00304475">
              <w:t>—</w:t>
            </w:r>
          </w:p>
        </w:tc>
      </w:tr>
      <w:tr w:rsidR="007925F0" w:rsidRPr="004C23F4" w14:paraId="2A0C13EF" w14:textId="77777777" w:rsidTr="008B4ECA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55ACE99A" w:rsidR="007925F0" w:rsidRPr="00DD2F9B" w:rsidRDefault="00304475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8B4ECA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0C1EE17E" w:rsidR="00AF483F" w:rsidRPr="00DD2F9B" w:rsidRDefault="007204E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8B4ECA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4686C087" w:rsidR="00687890" w:rsidRPr="00DD2F9B" w:rsidRDefault="007204E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8B4ECA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44AA0CE8" w:rsidR="00E41A26" w:rsidRPr="00DD2F9B" w:rsidRDefault="007204E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8B4ECA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2356AD24" w:rsidR="002E0D61" w:rsidRPr="00DD2F9B" w:rsidRDefault="007204E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3FA3590" w14:textId="77777777" w:rsidTr="008B4ECA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6D178A93" w:rsidR="002E0D61" w:rsidRPr="00DD2F9B" w:rsidRDefault="007204E7" w:rsidP="00DD2F9B">
            <w:pPr>
              <w:pStyle w:val="Tablefont"/>
            </w:pPr>
            <w:r w:rsidRPr="00304475">
              <w:t>—</w:t>
            </w:r>
          </w:p>
        </w:tc>
      </w:tr>
      <w:tr w:rsidR="002E0D61" w:rsidRPr="004C23F4" w14:paraId="2AC7B866" w14:textId="77777777" w:rsidTr="008B4ECA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5BE67E17" w:rsidR="002E0D61" w:rsidRPr="00DD2F9B" w:rsidRDefault="007204E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8B4ECA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481055FF" w:rsidR="002E0D61" w:rsidRPr="00DD2F9B" w:rsidRDefault="007204E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8B4ECA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3F75EDC9" w:rsidR="00386093" w:rsidRPr="00DD2F9B" w:rsidRDefault="007204E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8B4ECA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5AC64CE9" w:rsidR="00386093" w:rsidRPr="00DD2F9B" w:rsidRDefault="007204E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6D761BE3" w:rsidR="00932DCE" w:rsidRPr="004C23F4" w:rsidRDefault="005E0E3A" w:rsidP="00F9496B">
            <w:pPr>
              <w:pStyle w:val="Tablefont"/>
            </w:pPr>
            <w:bookmarkStart w:id="3" w:name="SkinNot"/>
            <w:r w:rsidRPr="00EA0DA8">
              <w:t>Insufficient data to assign a skin notation</w:t>
            </w:r>
            <w:r w:rsidR="007C6021">
              <w:t>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1E8BEB34" w:rsidR="00EB3D1B" w:rsidRDefault="007204E7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26880EB3" w:rsidR="001B79E5" w:rsidRDefault="007204E7" w:rsidP="001B79E5">
                <w:pPr>
                  <w:pStyle w:val="Tablefont"/>
                </w:pPr>
                <w:r w:rsidRPr="007204E7">
                  <w:t>102.03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81715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4CCFFBE6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7204E7" w:rsidRPr="007204E7">
        <w:t>2008</w:t>
      </w:r>
      <w:r>
        <w:t xml:space="preserve">) </w:t>
      </w:r>
      <w:r w:rsidR="007204E7" w:rsidRPr="007204E7">
        <w:t>1,1,1,2-Tetrafluorethan</w:t>
      </w:r>
      <w:r>
        <w:t xml:space="preserve"> – MAK value documentation.</w:t>
      </w:r>
    </w:p>
    <w:p w14:paraId="2127442D" w14:textId="65F9AE7F" w:rsidR="00066F03" w:rsidRDefault="00066F03" w:rsidP="00084859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6B0A360F" w14:textId="2DDFF7B8" w:rsidR="005E0E3A" w:rsidRDefault="005E0E3A" w:rsidP="00084859">
      <w:r w:rsidRPr="00DB0A36">
        <w:t>National Industrial Chemicals Notification and Assessment Scheme</w:t>
      </w:r>
      <w:r w:rsidRPr="005E0E3A">
        <w:rPr>
          <w:lang w:val="en"/>
        </w:rPr>
        <w:t xml:space="preserve"> </w:t>
      </w:r>
      <w:r>
        <w:rPr>
          <w:lang w:val="en"/>
        </w:rPr>
        <w:t xml:space="preserve">(2014) </w:t>
      </w:r>
      <w:r w:rsidRPr="005E0E3A">
        <w:rPr>
          <w:lang w:val="en"/>
        </w:rPr>
        <w:t>Ethane, 1,1,1,2-tetrafluoro-: Environment tier II assessment</w:t>
      </w:r>
      <w:r>
        <w:rPr>
          <w:lang w:val="en"/>
        </w:rPr>
        <w:t xml:space="preserve"> </w:t>
      </w:r>
      <w:r w:rsidRPr="00DB0A36">
        <w:t>– IMAP report</w:t>
      </w:r>
      <w:r>
        <w:t>.</w:t>
      </w:r>
    </w:p>
    <w:p w14:paraId="417B0753" w14:textId="522B87EB" w:rsidR="008E4F1F" w:rsidRDefault="007204E7" w:rsidP="00084859">
      <w:r>
        <w:t>Occupational Alliance for Risk Science (OARS) (</w:t>
      </w:r>
      <w:r w:rsidRPr="007204E7">
        <w:t>2003</w:t>
      </w:r>
      <w:r>
        <w:t xml:space="preserve">) Workplace environmental exposure level – </w:t>
      </w:r>
      <w:r w:rsidRPr="007204E7">
        <w:t>Tetrafluoroethane, 1,1,1,2- (HFC-134a)</w:t>
      </w:r>
      <w:r>
        <w:t>.</w:t>
      </w:r>
    </w:p>
    <w:p w14:paraId="25692B9E" w14:textId="789804EB" w:rsidR="0076437A" w:rsidRPr="00351FE0" w:rsidRDefault="0076437A" w:rsidP="00084859">
      <w:r>
        <w:t>US Environmental Protection Authority (US EPA) (199</w:t>
      </w:r>
      <w:r w:rsidR="005E0E3A">
        <w:t>5</w:t>
      </w:r>
      <w:r>
        <w:t xml:space="preserve">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1,1,1,2-Tetrafluoroethane.</w:t>
      </w:r>
    </w:p>
    <w:sectPr w:rsidR="0076437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EBD05" w14:textId="77777777" w:rsidR="00990187" w:rsidRDefault="00990187" w:rsidP="00F43AD5">
      <w:pPr>
        <w:spacing w:after="0" w:line="240" w:lineRule="auto"/>
      </w:pPr>
      <w:r>
        <w:separator/>
      </w:r>
    </w:p>
  </w:endnote>
  <w:endnote w:type="continuationSeparator" w:id="0">
    <w:p w14:paraId="621E36B9" w14:textId="77777777" w:rsidR="00990187" w:rsidRDefault="0099018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531FB13A" w:rsidR="008A36CF" w:rsidRDefault="007C7F81" w:rsidP="0034744C">
        <w:pPr>
          <w:pStyle w:val="Footer"/>
          <w:rPr>
            <w:sz w:val="18"/>
            <w:szCs w:val="18"/>
          </w:rPr>
        </w:pPr>
        <w:r w:rsidRPr="007C7F81">
          <w:rPr>
            <w:b/>
            <w:sz w:val="18"/>
            <w:szCs w:val="18"/>
          </w:rPr>
          <w:t>1,1,1,2-Tetrafluoroethane</w:t>
        </w:r>
        <w:r w:rsidR="008A36CF">
          <w:rPr>
            <w:b/>
            <w:sz w:val="18"/>
            <w:szCs w:val="18"/>
          </w:rPr>
          <w:t xml:space="preserve"> (</w:t>
        </w:r>
        <w:r w:rsidRPr="007C7F81">
          <w:rPr>
            <w:b/>
            <w:sz w:val="18"/>
            <w:szCs w:val="18"/>
          </w:rPr>
          <w:t>811-97-2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064D52" w:rsidRPr="00F43AD5">
          <w:rPr>
            <w:sz w:val="18"/>
            <w:szCs w:val="18"/>
          </w:rPr>
          <w:t>20</w:t>
        </w:r>
        <w:r w:rsidR="00064D52">
          <w:rPr>
            <w:sz w:val="18"/>
            <w:szCs w:val="18"/>
          </w:rPr>
          <w:t>20</w:t>
        </w:r>
      </w:p>
      <w:p w14:paraId="2D517F5E" w14:textId="715D5D9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34544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98DEB" w14:textId="77777777" w:rsidR="00990187" w:rsidRDefault="00990187" w:rsidP="00F43AD5">
      <w:pPr>
        <w:spacing w:after="0" w:line="240" w:lineRule="auto"/>
      </w:pPr>
      <w:r>
        <w:separator/>
      </w:r>
    </w:p>
  </w:footnote>
  <w:footnote w:type="continuationSeparator" w:id="0">
    <w:p w14:paraId="5A94C94D" w14:textId="77777777" w:rsidR="00990187" w:rsidRDefault="0099018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9854F" w14:textId="28EE65B6" w:rsidR="008B4ECA" w:rsidRPr="003F7DB6" w:rsidRDefault="008B4ECA" w:rsidP="008B4ECA">
    <w:pPr>
      <w:pStyle w:val="Header"/>
      <w:jc w:val="right"/>
    </w:pPr>
    <w:r>
      <w:rPr>
        <w:noProof/>
        <w:lang w:eastAsia="en-AU"/>
      </w:rPr>
      <w:drawing>
        <wp:inline distT="0" distB="0" distL="0" distR="0" wp14:anchorId="64EC0030" wp14:editId="4CD01F22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6B8C7048" w:rsidR="008A36CF" w:rsidRPr="008B4ECA" w:rsidRDefault="008A36CF" w:rsidP="008B4E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60573" w14:textId="73A506CA" w:rsidR="008B4ECA" w:rsidRDefault="008B4ECA" w:rsidP="008B4ECA">
    <w:pPr>
      <w:pStyle w:val="Header"/>
      <w:jc w:val="right"/>
    </w:pPr>
    <w:r>
      <w:rPr>
        <w:noProof/>
        <w:lang w:eastAsia="en-AU"/>
      </w:rPr>
      <w:drawing>
        <wp:inline distT="0" distB="0" distL="0" distR="0" wp14:anchorId="0DABBB1D" wp14:editId="103603DB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5BCBF1" w14:textId="77777777" w:rsidR="008B4ECA" w:rsidRPr="003F7DB6" w:rsidRDefault="008B4ECA" w:rsidP="008B4ECA">
    <w:pPr>
      <w:pStyle w:val="Header"/>
    </w:pPr>
  </w:p>
  <w:p w14:paraId="71F09FB4" w14:textId="031BC79B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482CDC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7EE6A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3A5978"/>
    <w:multiLevelType w:val="hybridMultilevel"/>
    <w:tmpl w:val="198C707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D156F0F"/>
    <w:multiLevelType w:val="hybridMultilevel"/>
    <w:tmpl w:val="CDCA52F2"/>
    <w:lvl w:ilvl="0" w:tplc="0C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1753313678">
    <w:abstractNumId w:val="1"/>
  </w:num>
  <w:num w:numId="2" w16cid:durableId="753361286">
    <w:abstractNumId w:val="0"/>
  </w:num>
  <w:num w:numId="3" w16cid:durableId="1097821731">
    <w:abstractNumId w:val="3"/>
  </w:num>
  <w:num w:numId="4" w16cid:durableId="2054036089">
    <w:abstractNumId w:val="1"/>
  </w:num>
  <w:num w:numId="5" w16cid:durableId="662515311">
    <w:abstractNumId w:val="1"/>
  </w:num>
  <w:num w:numId="6" w16cid:durableId="1578247501">
    <w:abstractNumId w:val="1"/>
  </w:num>
  <w:num w:numId="7" w16cid:durableId="1034378995">
    <w:abstractNumId w:val="1"/>
  </w:num>
  <w:num w:numId="8" w16cid:durableId="777405226">
    <w:abstractNumId w:val="1"/>
  </w:num>
  <w:num w:numId="9" w16cid:durableId="46420542">
    <w:abstractNumId w:val="1"/>
  </w:num>
  <w:num w:numId="10" w16cid:durableId="78606266">
    <w:abstractNumId w:val="1"/>
  </w:num>
  <w:num w:numId="11" w16cid:durableId="650645378">
    <w:abstractNumId w:val="1"/>
  </w:num>
  <w:num w:numId="12" w16cid:durableId="994257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3B69"/>
    <w:rsid w:val="00032B88"/>
    <w:rsid w:val="00037E52"/>
    <w:rsid w:val="00046DF5"/>
    <w:rsid w:val="00052060"/>
    <w:rsid w:val="0005574A"/>
    <w:rsid w:val="00055FE1"/>
    <w:rsid w:val="00056EC2"/>
    <w:rsid w:val="00060B48"/>
    <w:rsid w:val="00064D52"/>
    <w:rsid w:val="00066F03"/>
    <w:rsid w:val="00067F32"/>
    <w:rsid w:val="00071807"/>
    <w:rsid w:val="000803E1"/>
    <w:rsid w:val="000826D9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359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C1DBC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69D5"/>
    <w:rsid w:val="00276494"/>
    <w:rsid w:val="00277B0C"/>
    <w:rsid w:val="002B0A6A"/>
    <w:rsid w:val="002B1A2C"/>
    <w:rsid w:val="002C34F2"/>
    <w:rsid w:val="002C58FF"/>
    <w:rsid w:val="002C7AFE"/>
    <w:rsid w:val="002D05D2"/>
    <w:rsid w:val="002E0D61"/>
    <w:rsid w:val="002E4C7B"/>
    <w:rsid w:val="00304475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47A9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3B2D"/>
    <w:rsid w:val="003B2CF3"/>
    <w:rsid w:val="003B387D"/>
    <w:rsid w:val="003C0B39"/>
    <w:rsid w:val="003C0D58"/>
    <w:rsid w:val="003D4FA3"/>
    <w:rsid w:val="003E0807"/>
    <w:rsid w:val="003E51FB"/>
    <w:rsid w:val="003E5650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3ABF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5906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B7889"/>
    <w:rsid w:val="005C5D16"/>
    <w:rsid w:val="005D3193"/>
    <w:rsid w:val="005D4A6E"/>
    <w:rsid w:val="005E0E3A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329E"/>
    <w:rsid w:val="006E5D05"/>
    <w:rsid w:val="00701053"/>
    <w:rsid w:val="00701507"/>
    <w:rsid w:val="00714021"/>
    <w:rsid w:val="00716A0F"/>
    <w:rsid w:val="00717D45"/>
    <w:rsid w:val="007204E7"/>
    <w:rsid w:val="007208F7"/>
    <w:rsid w:val="007218AF"/>
    <w:rsid w:val="00734544"/>
    <w:rsid w:val="007365D1"/>
    <w:rsid w:val="00740E0E"/>
    <w:rsid w:val="0074592D"/>
    <w:rsid w:val="00750212"/>
    <w:rsid w:val="00754779"/>
    <w:rsid w:val="0075716D"/>
    <w:rsid w:val="0076437A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6021"/>
    <w:rsid w:val="007C7F81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715E"/>
    <w:rsid w:val="00823324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0CF3"/>
    <w:rsid w:val="00871CD5"/>
    <w:rsid w:val="008745A2"/>
    <w:rsid w:val="008768A8"/>
    <w:rsid w:val="008874EE"/>
    <w:rsid w:val="0088798F"/>
    <w:rsid w:val="00887E4B"/>
    <w:rsid w:val="008915C8"/>
    <w:rsid w:val="008A36CF"/>
    <w:rsid w:val="008A3BC4"/>
    <w:rsid w:val="008A43C2"/>
    <w:rsid w:val="008B403C"/>
    <w:rsid w:val="008B4ECA"/>
    <w:rsid w:val="008B7983"/>
    <w:rsid w:val="008C2511"/>
    <w:rsid w:val="008D026D"/>
    <w:rsid w:val="008D02F2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65FA"/>
    <w:rsid w:val="00990187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1836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3162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1FFC"/>
    <w:rsid w:val="00B87D4C"/>
    <w:rsid w:val="00B93162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16D5C"/>
    <w:rsid w:val="00C3091E"/>
    <w:rsid w:val="00C31815"/>
    <w:rsid w:val="00C40FF1"/>
    <w:rsid w:val="00C419E2"/>
    <w:rsid w:val="00C5020E"/>
    <w:rsid w:val="00C548D6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4D5C"/>
    <w:rsid w:val="00C850A0"/>
    <w:rsid w:val="00C85A86"/>
    <w:rsid w:val="00C92292"/>
    <w:rsid w:val="00C978F0"/>
    <w:rsid w:val="00CA58FE"/>
    <w:rsid w:val="00CB0E7A"/>
    <w:rsid w:val="00CB1CB1"/>
    <w:rsid w:val="00CB37CB"/>
    <w:rsid w:val="00CB6BC1"/>
    <w:rsid w:val="00CB6CB8"/>
    <w:rsid w:val="00CC1A68"/>
    <w:rsid w:val="00CC2123"/>
    <w:rsid w:val="00CD2BFD"/>
    <w:rsid w:val="00CE0D17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01BC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1FEC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32C"/>
    <w:rsid w:val="00F43AD5"/>
    <w:rsid w:val="00F4402E"/>
    <w:rsid w:val="00F52775"/>
    <w:rsid w:val="00F56DD0"/>
    <w:rsid w:val="00F6491C"/>
    <w:rsid w:val="00F64F59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40A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74592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CB0E7A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922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229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229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22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229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4304C6D163294E9DBF464EDD8882D5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10D000-BFC1-4B5F-B97D-E752C87148A9}"/>
      </w:docPartPr>
      <w:docPartBody>
        <w:p w:rsidR="00DC5DF7" w:rsidRDefault="00A6150C" w:rsidP="00A6150C">
          <w:pPr>
            <w:pStyle w:val="4304C6D163294E9DBF464EDD8882D58C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755FBF"/>
    <w:rsid w:val="00A6150C"/>
    <w:rsid w:val="00AF1BCE"/>
    <w:rsid w:val="00C74D5C"/>
    <w:rsid w:val="00CA72D3"/>
    <w:rsid w:val="00D21A9F"/>
    <w:rsid w:val="00DC5DF7"/>
    <w:rsid w:val="00FE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150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4304C6D163294E9DBF464EDD8882D58C">
    <w:name w:val="4304C6D163294E9DBF464EDD8882D58C"/>
    <w:rsid w:val="00A615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schemas.microsoft.com/office/2006/documentManagement/types"/>
    <ds:schemaRef ds:uri="http://purl.org/dc/elements/1.1/"/>
    <ds:schemaRef ds:uri="a0509f21-ed56-4150-9955-96be669e5f2d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1c567317-0c4d-4a62-8516-c22afd1b535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8EFF21-57F3-498D-8B8C-D4C432ACFD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BC7320-5AC0-43E4-833D-7A64B88AD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13</cp:revision>
  <cp:lastPrinted>2018-10-22T22:41:00Z</cp:lastPrinted>
  <dcterms:created xsi:type="dcterms:W3CDTF">2020-02-04T03:07:00Z</dcterms:created>
  <dcterms:modified xsi:type="dcterms:W3CDTF">2026-01-09T01:35:00Z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2026-01-07T01:04:36Z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570340b7-eae0-467c-99c9-42743b791c36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