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B136EED" w:rsidR="00BD499F" w:rsidRPr="004C23F4" w:rsidRDefault="0034314A" w:rsidP="00B40C60">
          <w:pPr>
            <w:pStyle w:val="Heading1"/>
            <w:jc w:val="center"/>
            <w:rPr>
              <w:rFonts w:ascii="Arial" w:hAnsi="Arial" w:cs="Arial"/>
            </w:rPr>
          </w:pPr>
          <w:r w:rsidRPr="0034314A">
            <w:rPr>
              <w:rFonts w:ascii="Arial" w:hAnsi="Arial" w:cs="Arial"/>
            </w:rPr>
            <w:t>1,1,1,2-Tetrachloro-2,2-difluoroethane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CB0FDC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EDBFD9E" w14:textId="7F45F9BA" w:rsidR="00F43AD5" w:rsidRPr="00717D45" w:rsidRDefault="00F84ED2" w:rsidP="00B76A41">
            <w:pPr>
              <w:pStyle w:val="Tablefont"/>
            </w:pPr>
            <w:r w:rsidRPr="00F84ED2">
              <w:t>76-11-9</w:t>
            </w:r>
          </w:p>
        </w:tc>
      </w:tr>
      <w:tr w:rsidR="00F43AD5" w:rsidRPr="0012687B" w14:paraId="562A9F51" w14:textId="77777777" w:rsidTr="00CB0FDC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11BFC2D4" w:rsidR="00F43AD5" w:rsidRPr="00E84D1F" w:rsidRDefault="00F84ED2" w:rsidP="00B76A41">
            <w:pPr>
              <w:pStyle w:val="Tablefont"/>
              <w:rPr>
                <w:lang w:val="it-IT"/>
              </w:rPr>
            </w:pPr>
            <w:r w:rsidRPr="00E84D1F">
              <w:rPr>
                <w:lang w:val="it-IT"/>
              </w:rPr>
              <w:t xml:space="preserve">FC-112a, CFC-112a, </w:t>
            </w:r>
            <w:r w:rsidR="00CB0FDC" w:rsidRPr="00E84D1F">
              <w:rPr>
                <w:lang w:val="it-IT"/>
              </w:rPr>
              <w:br/>
            </w:r>
            <w:r w:rsidRPr="00E84D1F">
              <w:rPr>
                <w:lang w:val="it-IT"/>
              </w:rPr>
              <w:t xml:space="preserve">1,2-difluoro-1,2,2,2-tetrachloroethane, </w:t>
            </w:r>
            <w:r w:rsidR="00CB0FDC" w:rsidRPr="00E84D1F">
              <w:rPr>
                <w:lang w:val="it-IT"/>
              </w:rPr>
              <w:br/>
            </w:r>
            <w:r w:rsidRPr="00E84D1F">
              <w:rPr>
                <w:lang w:val="it-IT"/>
              </w:rPr>
              <w:t>halocarbon 112a, refrigerant 112a</w:t>
            </w:r>
          </w:p>
        </w:tc>
      </w:tr>
      <w:tr w:rsidR="00F43AD5" w:rsidRPr="004C23F4" w14:paraId="6EE54A08" w14:textId="77777777" w:rsidTr="00CB0FDC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06586047" w:rsidR="00F43AD5" w:rsidRPr="00717D45" w:rsidRDefault="00F84ED2" w:rsidP="00B76A41">
            <w:pPr>
              <w:pStyle w:val="Tablefont"/>
            </w:pPr>
            <w:r>
              <w:t>C</w:t>
            </w:r>
            <w:r w:rsidRPr="00F84ED2">
              <w:rPr>
                <w:vertAlign w:val="subscript"/>
              </w:rPr>
              <w:t>2</w:t>
            </w:r>
            <w:r>
              <w:t>Cl</w:t>
            </w:r>
            <w:r w:rsidRPr="00F84ED2">
              <w:rPr>
                <w:vertAlign w:val="subscript"/>
              </w:rPr>
              <w:t>4</w:t>
            </w:r>
            <w:r>
              <w:t>F</w:t>
            </w:r>
            <w:r w:rsidRPr="00F84ED2">
              <w:rPr>
                <w:vertAlign w:val="subscript"/>
              </w:rPr>
              <w:t>2</w:t>
            </w:r>
          </w:p>
        </w:tc>
      </w:tr>
    </w:tbl>
    <w:p w14:paraId="71D72173" w14:textId="375F9C6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E632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06E2AEEF" w:rsidR="002C7AFE" w:rsidRPr="00EC4D11" w:rsidRDefault="00FC6E09" w:rsidP="00017C82">
            <w:pPr>
              <w:pStyle w:val="Tablefon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333B62">
              <w:rPr>
                <w:b/>
                <w:bCs/>
              </w:rPr>
              <w:t xml:space="preserve">00 </w:t>
            </w:r>
            <w:r w:rsidR="00EE6329" w:rsidRPr="00333B62">
              <w:rPr>
                <w:b/>
                <w:bCs/>
              </w:rPr>
              <w:t>ppm (</w:t>
            </w:r>
            <w:r>
              <w:rPr>
                <w:b/>
                <w:bCs/>
              </w:rPr>
              <w:t>4,170</w:t>
            </w:r>
            <w:r w:rsidRPr="00333B62">
              <w:rPr>
                <w:b/>
                <w:bCs/>
              </w:rPr>
              <w:t xml:space="preserve"> </w:t>
            </w:r>
            <w:r w:rsidR="00EE6329" w:rsidRPr="00333B62">
              <w:rPr>
                <w:b/>
                <w:bCs/>
              </w:rPr>
              <w:t>mg/m</w:t>
            </w:r>
            <w:r w:rsidR="00EE6329" w:rsidRPr="00333B62">
              <w:rPr>
                <w:b/>
                <w:bCs/>
                <w:vertAlign w:val="superscript"/>
              </w:rPr>
              <w:t>3</w:t>
            </w:r>
            <w:r w:rsidR="00EE6329" w:rsidRPr="00333B62">
              <w:rPr>
                <w:b/>
                <w:bCs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5EF739BE" w:rsidR="00037E52" w:rsidRPr="00EB3D1B" w:rsidRDefault="00F84ED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EC4D11">
              <w:rPr>
                <w:b/>
              </w:rPr>
              <w:t>,</w:t>
            </w:r>
            <w:r w:rsidRPr="00F84ED2">
              <w:rPr>
                <w:b/>
              </w:rPr>
              <w:t>000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FD2CE85" w:rsidR="00155999" w:rsidRPr="00EB3D1B" w:rsidRDefault="00155999" w:rsidP="00037E52">
            <w:pPr>
              <w:pStyle w:val="Tablefont"/>
              <w:rPr>
                <w:b/>
              </w:rPr>
            </w:pPr>
            <w:r w:rsidRPr="00333B62">
              <w:rPr>
                <w:b/>
                <w:bCs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Cs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7E5BF8">
                  <w:rPr>
                    <w:rStyle w:val="WESstatus"/>
                    <w:bCs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167A54F" w14:textId="581334BD" w:rsidR="00EE6329" w:rsidRDefault="00EE6329" w:rsidP="00EE6329">
      <w:r>
        <w:t xml:space="preserve">A TWA of </w:t>
      </w:r>
      <w:r w:rsidR="007555BC">
        <w:t>5</w:t>
      </w:r>
      <w:r>
        <w:t>00 ppm (</w:t>
      </w:r>
      <w:r w:rsidR="007555BC">
        <w:t>4</w:t>
      </w:r>
      <w:r w:rsidR="00FC6E09">
        <w:t>,</w:t>
      </w:r>
      <w:r w:rsidR="007555BC">
        <w:t>170</w:t>
      </w:r>
      <w:r w:rsidR="009D791B">
        <w:t xml:space="preserve"> </w:t>
      </w:r>
      <w:r>
        <w:t>mg/m</w:t>
      </w:r>
      <w:r w:rsidRPr="00496BE8">
        <w:rPr>
          <w:vertAlign w:val="superscript"/>
        </w:rPr>
        <w:t>3</w:t>
      </w:r>
      <w:r>
        <w:t>) is recommended to protect for central nervous system (CNS) effects</w:t>
      </w:r>
      <w:r w:rsidR="0005183B">
        <w:t xml:space="preserve"> and</w:t>
      </w:r>
      <w:r>
        <w:t xml:space="preserve"> liver and kidney damage in exposed workers.</w:t>
      </w:r>
    </w:p>
    <w:p w14:paraId="70C617C9" w14:textId="562771D1" w:rsidR="00CB0FDC" w:rsidRDefault="00CB0FDC" w:rsidP="00EE6329">
      <w:pPr>
        <w:rPr>
          <w:rFonts w:cs="Arial"/>
        </w:rPr>
      </w:pPr>
      <w:r w:rsidRPr="00CB0FDC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03DC0A3" w14:textId="77777777" w:rsidR="00EE6329" w:rsidRDefault="00EE6329" w:rsidP="00EE6329">
      <w:pPr>
        <w:pStyle w:val="Heading2"/>
      </w:pPr>
      <w:r>
        <w:t>Discussion and conclusions</w:t>
      </w:r>
    </w:p>
    <w:p w14:paraId="06396F15" w14:textId="77777777" w:rsidR="005A048C" w:rsidRDefault="00EE6329" w:rsidP="00EE6329">
      <w:r w:rsidRPr="00EE6329">
        <w:rPr>
          <w:rFonts w:cs="Arial"/>
        </w:rPr>
        <w:t xml:space="preserve">1,1,1,2-Tetrachloro-2,2-difluoroethane </w:t>
      </w:r>
      <w:r>
        <w:rPr>
          <w:rFonts w:cs="Arial"/>
        </w:rPr>
        <w:t>is used primarily as a refrigerant, blowing agent, solvent and corrosion inhibitor.</w:t>
      </w:r>
      <w:r>
        <w:t xml:space="preserve"> </w:t>
      </w:r>
    </w:p>
    <w:p w14:paraId="4ED370DC" w14:textId="44462083" w:rsidR="003E069B" w:rsidRDefault="005A048C" w:rsidP="00EE6329">
      <w:r>
        <w:t>The c</w:t>
      </w:r>
      <w:r w:rsidR="00EE6329">
        <w:t xml:space="preserve">ritical effects </w:t>
      </w:r>
      <w:r w:rsidR="00CB0FDC">
        <w:t>of</w:t>
      </w:r>
      <w:r w:rsidR="00EE6329">
        <w:t xml:space="preserve"> exposure are CNS liver and kidney damage</w:t>
      </w:r>
      <w:r w:rsidR="00EE6329">
        <w:rPr>
          <w:rFonts w:cs="Arial"/>
        </w:rPr>
        <w:t>.</w:t>
      </w:r>
      <w:r>
        <w:t xml:space="preserve"> </w:t>
      </w:r>
    </w:p>
    <w:p w14:paraId="41600A24" w14:textId="561386C9" w:rsidR="00EE6329" w:rsidRDefault="007555BC" w:rsidP="00EE6329">
      <w:r>
        <w:t xml:space="preserve">Limited data are available. </w:t>
      </w:r>
      <w:r w:rsidR="0012687B">
        <w:t>No adverse effects reported in a 17</w:t>
      </w:r>
      <w:r w:rsidR="0012687B">
        <w:noBreakHyphen/>
      </w:r>
      <w:r w:rsidR="00FC6E09">
        <w:t>day</w:t>
      </w:r>
      <w:r w:rsidR="00EE6329">
        <w:t xml:space="preserve"> inhalation study in rats at 1,000 ppm (ACGIH 2018). </w:t>
      </w:r>
      <w:r w:rsidR="0012687B">
        <w:t>S</w:t>
      </w:r>
      <w:r w:rsidR="0012687B" w:rsidRPr="00EE6329">
        <w:t>light narcotic effects, hepatocyte degradation and cloudy swelling in the kidneys</w:t>
      </w:r>
      <w:r w:rsidR="0012687B">
        <w:t xml:space="preserve"> reported in an </w:t>
      </w:r>
      <w:r w:rsidR="00EE6329">
        <w:t>acute inhalation study in rats at 5,000 ppm</w:t>
      </w:r>
      <w:r w:rsidR="00EE6329" w:rsidRPr="00EE6329">
        <w:t xml:space="preserve"> </w:t>
      </w:r>
      <w:r>
        <w:t>(ACGIH 2018).</w:t>
      </w:r>
    </w:p>
    <w:p w14:paraId="3F960B3A" w14:textId="7EA3F551" w:rsidR="00EE6329" w:rsidRDefault="00EE6329" w:rsidP="00EE6329">
      <w:pPr>
        <w:rPr>
          <w:rFonts w:cs="Arial"/>
        </w:rPr>
      </w:pPr>
      <w:r>
        <w:t xml:space="preserve">In the absence of </w:t>
      </w:r>
      <w:r w:rsidR="007555BC">
        <w:t xml:space="preserve">sufficient </w:t>
      </w:r>
      <w:r w:rsidR="005431B5">
        <w:t xml:space="preserve">human </w:t>
      </w:r>
      <w:r w:rsidR="007555BC">
        <w:t>data</w:t>
      </w:r>
      <w:r w:rsidR="0012687B">
        <w:t>,</w:t>
      </w:r>
      <w:r w:rsidR="007555BC">
        <w:t xml:space="preserve"> the </w:t>
      </w:r>
      <w:r>
        <w:t xml:space="preserve">TWA of </w:t>
      </w:r>
      <w:r w:rsidR="007555BC">
        <w:t>5</w:t>
      </w:r>
      <w:r>
        <w:t>00</w:t>
      </w:r>
      <w:r w:rsidR="007555BC">
        <w:t> </w:t>
      </w:r>
      <w:r>
        <w:t xml:space="preserve">ppm </w:t>
      </w:r>
      <w:r w:rsidR="007555BC">
        <w:t xml:space="preserve">is recommended to be retained in the interim. </w:t>
      </w:r>
      <w:r w:rsidR="00471A0C">
        <w:t xml:space="preserve">This value is protective of the critical effects based on </w:t>
      </w:r>
      <w:r>
        <w:t>NOAEC of 1,000 ppm and</w:t>
      </w:r>
      <w:r w:rsidR="0012687B">
        <w:t xml:space="preserve"> slight,</w:t>
      </w:r>
      <w:r>
        <w:t xml:space="preserve"> acute effects observed at 5,000 ppm. In view of the limitations of the available data</w:t>
      </w:r>
      <w:r w:rsidR="003A610A">
        <w:t>,</w:t>
      </w:r>
      <w:r w:rsidR="00FC6E09">
        <w:t xml:space="preserve"> f</w:t>
      </w:r>
      <w:r>
        <w:t xml:space="preserve">urther assessment of additional sources is </w:t>
      </w:r>
      <w:r w:rsidR="00FC6E09">
        <w:t xml:space="preserve">recommended </w:t>
      </w:r>
      <w:r>
        <w:t>during subsequent reviews.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BF28965" w14:textId="77777777" w:rsidR="00124FCF" w:rsidRDefault="00124FCF" w:rsidP="00124FCF">
      <w:pPr>
        <w:rPr>
          <w:rFonts w:cs="Arial"/>
        </w:rPr>
      </w:pPr>
      <w:r>
        <w:rPr>
          <w:rFonts w:cs="Arial"/>
        </w:rPr>
        <w:t xml:space="preserve">Not classified as a carcinogen according to the Globally Harmonized System of Classification and Labelling of Chemicals (GHS). </w:t>
      </w:r>
    </w:p>
    <w:p w14:paraId="428DAD26" w14:textId="77777777" w:rsidR="00124FCF" w:rsidRDefault="00124FCF" w:rsidP="00124FCF">
      <w:pPr>
        <w:rPr>
          <w:rFonts w:cs="Arial"/>
        </w:rPr>
      </w:pPr>
      <w:r>
        <w:rPr>
          <w:rFonts w:cs="Arial"/>
        </w:rPr>
        <w:t>Not classified as a skin sensitiser or respiratory sensitiser according to the GHS.</w:t>
      </w:r>
    </w:p>
    <w:p w14:paraId="50387341" w14:textId="2CC8F1D6" w:rsidR="00124FCF" w:rsidRDefault="00124FCF" w:rsidP="00124FCF">
      <w:pPr>
        <w:rPr>
          <w:rFonts w:cs="Arial"/>
        </w:rPr>
      </w:pPr>
      <w:r>
        <w:rPr>
          <w:rFonts w:cs="Arial"/>
        </w:rPr>
        <w:t xml:space="preserve">A skin notation is not </w:t>
      </w:r>
      <w:r w:rsidR="00CB0FDC">
        <w:rPr>
          <w:rFonts w:cs="Arial"/>
        </w:rPr>
        <w:t>recommend</w:t>
      </w:r>
      <w:r>
        <w:rPr>
          <w:rFonts w:cs="Arial"/>
        </w:rPr>
        <w:t>ed based on the available evidence.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3F7DB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27DEE4EE" w:rsidR="00C978F0" w:rsidRPr="00DA352E" w:rsidRDefault="00C978F0" w:rsidP="003F7DB6">
            <w:pPr>
              <w:pStyle w:val="Tableheader"/>
              <w:tabs>
                <w:tab w:val="left" w:pos="1418"/>
                <w:tab w:val="left" w:pos="2552"/>
                <w:tab w:val="left" w:pos="3870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  <w:r w:rsidR="003F7DB6">
              <w:tab/>
            </w:r>
          </w:p>
        </w:tc>
      </w:tr>
      <w:tr w:rsidR="00DE26E8" w:rsidRPr="003365A5" w14:paraId="5B240DF2" w14:textId="77777777" w:rsidTr="003F7DB6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38DEFCE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84ED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84ED2">
                  <w:t>TWA: 500 ppm (4</w:t>
                </w:r>
                <w:r w:rsidR="00F5390F">
                  <w:t>,</w:t>
                </w:r>
                <w:r w:rsidR="00F84ED2">
                  <w:t>170 mg/m</w:t>
                </w:r>
                <w:r w:rsidR="00F84ED2" w:rsidRPr="00F84ED2">
                  <w:rPr>
                    <w:vertAlign w:val="superscript"/>
                  </w:rPr>
                  <w:t>3</w:t>
                </w:r>
                <w:r w:rsidR="00F84ED2">
                  <w:t>)</w:t>
                </w:r>
              </w:sdtContent>
            </w:sdt>
          </w:p>
        </w:tc>
      </w:tr>
      <w:tr w:rsidR="00C978F0" w:rsidRPr="00DA352E" w14:paraId="26087DDB" w14:textId="77777777" w:rsidTr="003F7DB6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3F7DB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4E0A877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84ED2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84ED2">
                  <w:t>TLV-TWA: 100 ppm (834 mg/m</w:t>
                </w:r>
                <w:r w:rsidR="00F84ED2" w:rsidRPr="00496BE8">
                  <w:rPr>
                    <w:vertAlign w:val="superscript"/>
                  </w:rPr>
                  <w:t>3</w:t>
                </w:r>
                <w:r w:rsidR="00F84ED2">
                  <w:t>)</w:t>
                </w:r>
              </w:sdtContent>
            </w:sdt>
          </w:p>
        </w:tc>
      </w:tr>
      <w:tr w:rsidR="00C978F0" w:rsidRPr="00DA352E" w14:paraId="418D532D" w14:textId="77777777" w:rsidTr="003F7DB6">
        <w:trPr>
          <w:gridAfter w:val="1"/>
          <w:wAfter w:w="8" w:type="pct"/>
          <w:cantSplit/>
        </w:trPr>
        <w:tc>
          <w:tcPr>
            <w:tcW w:w="4992" w:type="pct"/>
          </w:tcPr>
          <w:p w14:paraId="0ADDAA77" w14:textId="288D5FD5" w:rsidR="008F2B7B" w:rsidRDefault="008F2B7B" w:rsidP="00EC4D11">
            <w:pPr>
              <w:pStyle w:val="Tabletextprimarysource"/>
            </w:pPr>
            <w:r>
              <w:t>TLV-TWA recommended to minimise the risk of CNS effects, liver and kidney damage.</w:t>
            </w:r>
          </w:p>
          <w:p w14:paraId="74E1527F" w14:textId="77777777" w:rsidR="008F2B7B" w:rsidRDefault="008F2B7B" w:rsidP="00EC4D11">
            <w:pPr>
              <w:pStyle w:val="Tabletextprimarysource"/>
            </w:pPr>
            <w:r>
              <w:t>Summary of data:</w:t>
            </w:r>
          </w:p>
          <w:p w14:paraId="0185DAC5" w14:textId="67A5F2FC" w:rsidR="008F2B7B" w:rsidRDefault="008F2B7B">
            <w:pPr>
              <w:pStyle w:val="Tabletextprimarysource"/>
            </w:pPr>
            <w:r>
              <w:rPr>
                <w:rFonts w:cs="Arial"/>
              </w:rPr>
              <w:t xml:space="preserve">TLV assigned based on </w:t>
            </w:r>
            <w:r w:rsidR="0068554E">
              <w:rPr>
                <w:rFonts w:cs="Arial"/>
              </w:rPr>
              <w:t>effects observed at 5,000 ppm in rats and the sub-chronic NOAEC of 1,000 ppm (specifics on derivation not provided)</w:t>
            </w:r>
            <w:r w:rsidR="00EC4D11">
              <w:rPr>
                <w:rFonts w:cs="Arial"/>
              </w:rPr>
              <w:t xml:space="preserve">. </w:t>
            </w:r>
          </w:p>
          <w:p w14:paraId="07266DF8" w14:textId="77777777" w:rsidR="008F2B7B" w:rsidRDefault="008F2B7B" w:rsidP="00333B62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54830A8A" w14:textId="6FF68E89" w:rsidR="008F2B7B" w:rsidRDefault="008F2B7B" w:rsidP="00333B62">
            <w:pPr>
              <w:pStyle w:val="ListBullet"/>
              <w:spacing w:before="60" w:after="60"/>
              <w:ind w:left="720"/>
              <w:contextualSpacing w:val="0"/>
            </w:pPr>
            <w:r>
              <w:t>Aerosol spray containing fluorocarbon propellant are a source of solvent intoxication</w:t>
            </w:r>
            <w:r w:rsidR="00C2023C">
              <w:t>:</w:t>
            </w:r>
          </w:p>
          <w:p w14:paraId="42383A9B" w14:textId="52A225FA" w:rsidR="008F2B7B" w:rsidRDefault="00333B62" w:rsidP="00333B62">
            <w:pPr>
              <w:pStyle w:val="ListBullet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contextualSpacing w:val="0"/>
            </w:pPr>
            <w:r>
              <w:t>s</w:t>
            </w:r>
            <w:r w:rsidR="008F2B7B">
              <w:t>ymptoms due to prolonged exposure include cardiac arrhythmia, bone marrow depression, cerebral degradation and damage to liver, kidneys and peripheral nerves</w:t>
            </w:r>
          </w:p>
          <w:p w14:paraId="18EB2663" w14:textId="707D43E1" w:rsidR="008F2B7B" w:rsidRDefault="00333B62" w:rsidP="00333B62">
            <w:pPr>
              <w:pStyle w:val="ListBullet"/>
              <w:numPr>
                <w:ilvl w:val="0"/>
                <w:numId w:val="2"/>
              </w:numPr>
              <w:tabs>
                <w:tab w:val="left" w:pos="720"/>
              </w:tabs>
              <w:spacing w:before="60" w:after="60"/>
              <w:contextualSpacing w:val="0"/>
            </w:pPr>
            <w:r>
              <w:t>d</w:t>
            </w:r>
            <w:r w:rsidR="008F2B7B">
              <w:t xml:space="preserve">eaths attributed to inhalation abuse </w:t>
            </w:r>
            <w:r w:rsidR="008F2B7B" w:rsidRPr="00CB0FDC">
              <w:rPr>
                <w:i/>
              </w:rPr>
              <w:t>via</w:t>
            </w:r>
            <w:r w:rsidR="008F2B7B">
              <w:t xml:space="preserve"> cardiac arrhythmia</w:t>
            </w:r>
            <w:r>
              <w:t>.</w:t>
            </w:r>
          </w:p>
          <w:p w14:paraId="3467180E" w14:textId="77777777" w:rsidR="008F2B7B" w:rsidRDefault="008F2B7B" w:rsidP="00333B62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2E99CE68" w14:textId="77777777" w:rsidR="008F2B7B" w:rsidRDefault="008F2B7B" w:rsidP="00333B62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&gt;25,000 mg/kg (rats, oral)</w:t>
            </w:r>
          </w:p>
          <w:p w14:paraId="2D0A4C35" w14:textId="17AC829F" w:rsidR="001829B7" w:rsidRDefault="0012687B" w:rsidP="00333B62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fatalities </w:t>
            </w:r>
            <w:r w:rsidR="001829B7">
              <w:t xml:space="preserve">at 11,500 mg/kg (rabbits, dermal) </w:t>
            </w:r>
          </w:p>
          <w:p w14:paraId="7F1A4752" w14:textId="10A20068" w:rsidR="001829B7" w:rsidRDefault="001829B7" w:rsidP="00333B62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: 15,000 ppm (mice, 2 h) </w:t>
            </w:r>
          </w:p>
          <w:p w14:paraId="2315BD34" w14:textId="31F65E63" w:rsidR="008F2B7B" w:rsidRDefault="001829B7" w:rsidP="00333B62">
            <w:pPr>
              <w:pStyle w:val="ListBullet"/>
              <w:spacing w:before="60" w:after="60"/>
              <w:ind w:left="720"/>
              <w:contextualSpacing w:val="0"/>
            </w:pPr>
            <w:r>
              <w:t>Exposure at 5,000 and 10,000 ppm (rats, 7 h, inhalation) resulted in slight narcotic effects, hepatocyte degradation and cloudy swelling in the kidneys</w:t>
            </w:r>
          </w:p>
          <w:p w14:paraId="6709242E" w14:textId="56D6500B" w:rsidR="008F2B7B" w:rsidRDefault="0012687B" w:rsidP="00333B62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effects were observed </w:t>
            </w:r>
            <w:r w:rsidR="001829B7">
              <w:t>at 1,000</w:t>
            </w:r>
            <w:r w:rsidR="00EB07F0">
              <w:t xml:space="preserve"> ppm</w:t>
            </w:r>
            <w:r w:rsidR="001829B7">
              <w:t xml:space="preserve"> </w:t>
            </w:r>
            <w:r w:rsidR="0068554E">
              <w:t>(rats, 18 h/d, 17 d, inhalation)</w:t>
            </w:r>
            <w:r w:rsidR="00EC4D11">
              <w:t>.</w:t>
            </w:r>
          </w:p>
          <w:p w14:paraId="34CE75B6" w14:textId="77777777" w:rsidR="00CB0FDC" w:rsidRDefault="00CB0FDC" w:rsidP="00333B62">
            <w:pPr>
              <w:pStyle w:val="ListBullet"/>
              <w:numPr>
                <w:ilvl w:val="0"/>
                <w:numId w:val="0"/>
              </w:numPr>
              <w:spacing w:before="60" w:after="60"/>
              <w:ind w:left="22"/>
              <w:contextualSpacing w:val="0"/>
            </w:pPr>
          </w:p>
          <w:p w14:paraId="17B4CCE4" w14:textId="77777777" w:rsidR="00C978F0" w:rsidRDefault="0068554E" w:rsidP="00333B62">
            <w:pPr>
              <w:pStyle w:val="ListBullet"/>
              <w:numPr>
                <w:ilvl w:val="0"/>
                <w:numId w:val="0"/>
              </w:numPr>
              <w:spacing w:before="60" w:after="60"/>
              <w:ind w:left="22"/>
              <w:contextualSpacing w:val="0"/>
            </w:pPr>
            <w:r>
              <w:t>Insufficient data to recommend a sensitiser or carcinogen notation</w:t>
            </w:r>
            <w:r w:rsidR="00EC4D11">
              <w:t>.</w:t>
            </w:r>
            <w:r w:rsidR="00333B62">
              <w:t xml:space="preserve"> </w:t>
            </w:r>
            <w:r>
              <w:t>A skin notation is not warranted.</w:t>
            </w:r>
          </w:p>
          <w:p w14:paraId="0CE4D35D" w14:textId="6F868BF9" w:rsidR="00CB0FDC" w:rsidRPr="00DA352E" w:rsidRDefault="00CB0FDC" w:rsidP="00333B62">
            <w:pPr>
              <w:pStyle w:val="ListBullet"/>
              <w:numPr>
                <w:ilvl w:val="0"/>
                <w:numId w:val="0"/>
              </w:numPr>
              <w:spacing w:before="60" w:after="60"/>
              <w:ind w:left="22"/>
              <w:contextualSpacing w:val="0"/>
            </w:pPr>
          </w:p>
        </w:tc>
      </w:tr>
      <w:tr w:rsidR="00C978F0" w:rsidRPr="00DA352E" w14:paraId="174F8B79" w14:textId="77777777" w:rsidTr="003F7DB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25CCFD8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96BE8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96BE8">
                  <w:t>MAK: 200 ppm (1692 mg/m</w:t>
                </w:r>
                <w:r w:rsidR="00496BE8" w:rsidRPr="00496BE8">
                  <w:rPr>
                    <w:vertAlign w:val="superscript"/>
                  </w:rPr>
                  <w:t>3</w:t>
                </w:r>
                <w:r w:rsidR="00496BE8">
                  <w:t>)</w:t>
                </w:r>
              </w:sdtContent>
            </w:sdt>
          </w:p>
        </w:tc>
      </w:tr>
      <w:tr w:rsidR="00C978F0" w:rsidRPr="00DA352E" w14:paraId="4433014F" w14:textId="77777777" w:rsidTr="003F7DB6">
        <w:trPr>
          <w:gridAfter w:val="1"/>
          <w:wAfter w:w="8" w:type="pct"/>
          <w:cantSplit/>
        </w:trPr>
        <w:tc>
          <w:tcPr>
            <w:tcW w:w="4992" w:type="pct"/>
          </w:tcPr>
          <w:p w14:paraId="3C0ACF5A" w14:textId="77777777" w:rsidR="00C978F0" w:rsidRDefault="00124FCF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The MAK is assigned in analogy to the symmetrical isomer 1,1,2,2-tetrachloro-1,2-difluoroethane</w:t>
            </w:r>
            <w:r w:rsidR="00EC4D11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61A64F09" w14:textId="0E24FD01" w:rsidR="00CB0FDC" w:rsidRPr="00DA352E" w:rsidRDefault="00CB0FDC" w:rsidP="003365A5">
            <w:pPr>
              <w:pStyle w:val="Tabletextprimarysource"/>
            </w:pPr>
          </w:p>
        </w:tc>
      </w:tr>
      <w:tr w:rsidR="00C978F0" w:rsidRPr="00DA352E" w14:paraId="0E6A0B2C" w14:textId="77777777" w:rsidTr="003F7DB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8624DB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96BE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96BE8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3F7DB6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1E6D63EB" w:rsidR="00C978F0" w:rsidRPr="00DA352E" w:rsidRDefault="00496BE8" w:rsidP="003365A5">
            <w:pPr>
              <w:pStyle w:val="Tabletextprimarysource"/>
            </w:pPr>
            <w:r>
              <w:t>No report</w:t>
            </w:r>
            <w:r w:rsidR="00EC4D11">
              <w:t>.</w:t>
            </w:r>
          </w:p>
        </w:tc>
      </w:tr>
      <w:tr w:rsidR="00DA352E" w:rsidRPr="00DA352E" w14:paraId="12BAB90D" w14:textId="77777777" w:rsidTr="003F7DB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A2EFD3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96BE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96BE8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3F7DB6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659F0031" w:rsidR="00DA352E" w:rsidRPr="00DA352E" w:rsidRDefault="00496BE8" w:rsidP="003365A5">
            <w:pPr>
              <w:pStyle w:val="Tabletextprimarysource"/>
            </w:pPr>
            <w:r>
              <w:t>No report</w:t>
            </w:r>
            <w:r w:rsidR="00EC4D11">
              <w:t>.</w:t>
            </w:r>
          </w:p>
        </w:tc>
      </w:tr>
      <w:tr w:rsidR="00DA352E" w:rsidRPr="00DA352E" w14:paraId="605F758C" w14:textId="77777777" w:rsidTr="003F7DB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039AFA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96BE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96BE8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3F7DB6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1FD73F21" w:rsidR="00DA352E" w:rsidRPr="00DA352E" w:rsidRDefault="00496BE8" w:rsidP="003365A5">
            <w:pPr>
              <w:pStyle w:val="Tabletextprimarysource"/>
            </w:pPr>
            <w:r>
              <w:t>No report</w:t>
            </w:r>
            <w:r w:rsidR="00EC4D11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1C7ACE5" w14:textId="78E78FF3" w:rsidR="007E2A4B" w:rsidRDefault="00124FCF">
      <w:r>
        <w:t>NIL</w:t>
      </w:r>
      <w:r w:rsidR="00333B62">
        <w:t>.</w:t>
      </w:r>
    </w:p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124FCF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074E19C0" w:rsidR="002E0D61" w:rsidRDefault="00124FC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124FCF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0F12D712" w:rsidR="008A36CF" w:rsidRDefault="00124FC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CB0FDC" w14:paraId="4D6DDFA3" w14:textId="77777777" w:rsidTr="00FF2DAE">
        <w:trPr>
          <w:trHeight w:val="454"/>
        </w:trPr>
        <w:sdt>
          <w:sdtPr>
            <w:rPr>
              <w:b/>
            </w:rPr>
            <w:id w:val="1830936485"/>
            <w:placeholder>
              <w:docPart w:val="6004FBD698D94B1AA3DC34D633C223E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4ED43373" w:rsidR="00CB0FDC" w:rsidRDefault="00CB0FD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3F7D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3F7DB6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FF53160" w:rsidR="00687890" w:rsidRPr="00DD2F9B" w:rsidRDefault="00496BE8" w:rsidP="00DD2F9B">
            <w:pPr>
              <w:pStyle w:val="Tablefont"/>
            </w:pPr>
            <w:r w:rsidRPr="00496BE8">
              <w:t>—</w:t>
            </w:r>
          </w:p>
        </w:tc>
      </w:tr>
      <w:tr w:rsidR="007925F0" w:rsidRPr="004C23F4" w14:paraId="2A0C13EF" w14:textId="77777777" w:rsidTr="003F7DB6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040B9F4D" w:rsidR="007925F0" w:rsidRPr="00DD2F9B" w:rsidRDefault="00496BE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3F7DB6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0E2FD708" w:rsidR="00AF483F" w:rsidRPr="00DD2F9B" w:rsidRDefault="00496BE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3F7DB6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A019238" w:rsidR="00687890" w:rsidRPr="00DD2F9B" w:rsidRDefault="00496BE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3F7DB6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CEF943D" w:rsidR="00E41A26" w:rsidRPr="00DD2F9B" w:rsidRDefault="00496BE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3F7DB6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14D42D95" w:rsidR="002E0D61" w:rsidRPr="00DD2F9B" w:rsidRDefault="00496BE8" w:rsidP="00DD2F9B">
            <w:pPr>
              <w:pStyle w:val="Tablefont"/>
            </w:pPr>
            <w:r w:rsidRPr="00496BE8">
              <w:t>—</w:t>
            </w:r>
          </w:p>
        </w:tc>
      </w:tr>
      <w:tr w:rsidR="002E0D61" w:rsidRPr="004C23F4" w14:paraId="43FA3590" w14:textId="77777777" w:rsidTr="003F7DB6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151BD418" w:rsidR="002E0D61" w:rsidRPr="00DD2F9B" w:rsidRDefault="00496BE8" w:rsidP="00DD2F9B">
            <w:pPr>
              <w:pStyle w:val="Tablefont"/>
            </w:pPr>
            <w:r w:rsidRPr="00496BE8">
              <w:t>—</w:t>
            </w:r>
          </w:p>
        </w:tc>
      </w:tr>
      <w:tr w:rsidR="002E0D61" w:rsidRPr="004C23F4" w14:paraId="2AC7B866" w14:textId="77777777" w:rsidTr="003F7DB6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5825AE7" w:rsidR="002E0D61" w:rsidRPr="00DD2F9B" w:rsidRDefault="00496BE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3F7DB6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AB591A6" w:rsidR="002E0D61" w:rsidRPr="00DD2F9B" w:rsidRDefault="00496BE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3F7DB6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00D17B68" w:rsidR="00386093" w:rsidRPr="00DD2F9B" w:rsidRDefault="00496BE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3F7DB6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04EBD42A" w:rsidR="00386093" w:rsidRPr="00DD2F9B" w:rsidRDefault="00496BE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5" w:type="dxa"/>
              <w:tblLook w:val="04A0" w:firstRow="1" w:lastRow="0" w:firstColumn="1" w:lastColumn="0" w:noHBand="0" w:noVBand="1"/>
            </w:tblPr>
            <w:tblGrid>
              <w:gridCol w:w="3675"/>
              <w:gridCol w:w="900"/>
              <w:gridCol w:w="1080"/>
              <w:gridCol w:w="3150"/>
            </w:tblGrid>
            <w:tr w:rsidR="00124FCF" w14:paraId="50478DE8" w14:textId="77777777" w:rsidTr="00124FCF">
              <w:trPr>
                <w:trHeight w:val="342"/>
              </w:trPr>
              <w:tc>
                <w:tcPr>
                  <w:tcW w:w="3675" w:type="dxa"/>
                  <w:shd w:val="clear" w:color="auto" w:fill="C5D9F1"/>
                  <w:noWrap/>
                  <w:vAlign w:val="center"/>
                  <w:hideMark/>
                </w:tcPr>
                <w:p w14:paraId="176E55DA" w14:textId="77777777" w:rsidR="00124FCF" w:rsidRDefault="00124FCF" w:rsidP="00124FC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shd w:val="clear" w:color="auto" w:fill="C5D9F1"/>
                  <w:noWrap/>
                  <w:vAlign w:val="center"/>
                  <w:hideMark/>
                </w:tcPr>
                <w:p w14:paraId="7EE04703" w14:textId="77777777" w:rsidR="00124FCF" w:rsidRDefault="00124FCF" w:rsidP="00124FC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0" w:type="dxa"/>
                  <w:shd w:val="clear" w:color="auto" w:fill="C5D9F1"/>
                  <w:noWrap/>
                  <w:vAlign w:val="center"/>
                  <w:hideMark/>
                </w:tcPr>
                <w:p w14:paraId="7D112E7B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shd w:val="clear" w:color="auto" w:fill="C5D9F1"/>
                  <w:noWrap/>
                  <w:vAlign w:val="center"/>
                  <w:hideMark/>
                </w:tcPr>
                <w:p w14:paraId="17311035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24FCF" w14:paraId="018E2AB2" w14:textId="77777777" w:rsidTr="00124FCF">
              <w:trPr>
                <w:trHeight w:val="342"/>
              </w:trPr>
              <w:tc>
                <w:tcPr>
                  <w:tcW w:w="3675" w:type="dxa"/>
                  <w:shd w:val="clear" w:color="auto" w:fill="C5D9F1"/>
                  <w:noWrap/>
                  <w:vAlign w:val="center"/>
                  <w:hideMark/>
                </w:tcPr>
                <w:p w14:paraId="641BD026" w14:textId="77777777" w:rsidR="00124FCF" w:rsidRDefault="00124FCF" w:rsidP="00124FC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shd w:val="clear" w:color="auto" w:fill="C5D9F1"/>
                  <w:noWrap/>
                  <w:vAlign w:val="center"/>
                  <w:hideMark/>
                </w:tcPr>
                <w:p w14:paraId="1A0D3DF7" w14:textId="77777777" w:rsidR="00124FCF" w:rsidRDefault="00124FCF" w:rsidP="00124FC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0" w:type="dxa"/>
                  <w:shd w:val="clear" w:color="auto" w:fill="C5D9F1"/>
                  <w:noWrap/>
                  <w:vAlign w:val="center"/>
                  <w:hideMark/>
                </w:tcPr>
                <w:p w14:paraId="090EDF63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shd w:val="clear" w:color="auto" w:fill="C5D9F1"/>
                  <w:noWrap/>
                  <w:vAlign w:val="center"/>
                  <w:hideMark/>
                </w:tcPr>
                <w:p w14:paraId="1A9C845A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24FCF" w14:paraId="7541C7DE" w14:textId="77777777" w:rsidTr="00124FCF">
              <w:trPr>
                <w:trHeight w:val="342"/>
              </w:trPr>
              <w:tc>
                <w:tcPr>
                  <w:tcW w:w="3675" w:type="dxa"/>
                  <w:shd w:val="clear" w:color="auto" w:fill="C5D9F1"/>
                  <w:noWrap/>
                  <w:vAlign w:val="center"/>
                  <w:hideMark/>
                </w:tcPr>
                <w:p w14:paraId="46089268" w14:textId="77777777" w:rsidR="00124FCF" w:rsidRDefault="00124FCF" w:rsidP="00124FC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shd w:val="clear" w:color="auto" w:fill="C5D9F1"/>
                  <w:noWrap/>
                  <w:vAlign w:val="center"/>
                  <w:hideMark/>
                </w:tcPr>
                <w:p w14:paraId="51E56BE9" w14:textId="77777777" w:rsidR="00124FCF" w:rsidRDefault="00124FCF" w:rsidP="00124FC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shd w:val="clear" w:color="auto" w:fill="C5D9F1"/>
                  <w:noWrap/>
                  <w:vAlign w:val="center"/>
                  <w:hideMark/>
                </w:tcPr>
                <w:p w14:paraId="69699D90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shd w:val="clear" w:color="auto" w:fill="C5D9F1"/>
                  <w:noWrap/>
                  <w:vAlign w:val="center"/>
                  <w:hideMark/>
                </w:tcPr>
                <w:p w14:paraId="13CE87F0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24FCF" w14:paraId="7ACD179D" w14:textId="77777777" w:rsidTr="00124FCF">
              <w:trPr>
                <w:trHeight w:val="342"/>
              </w:trPr>
              <w:tc>
                <w:tcPr>
                  <w:tcW w:w="3675" w:type="dxa"/>
                  <w:shd w:val="clear" w:color="auto" w:fill="C5D9F1"/>
                  <w:noWrap/>
                  <w:vAlign w:val="center"/>
                  <w:hideMark/>
                </w:tcPr>
                <w:p w14:paraId="779D8D00" w14:textId="77777777" w:rsidR="00124FCF" w:rsidRDefault="00124FCF" w:rsidP="00124FC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shd w:val="clear" w:color="auto" w:fill="C5D9F1"/>
                  <w:noWrap/>
                  <w:vAlign w:val="center"/>
                  <w:hideMark/>
                </w:tcPr>
                <w:p w14:paraId="723734DB" w14:textId="77777777" w:rsidR="00124FCF" w:rsidRDefault="00124FCF" w:rsidP="00124FC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shd w:val="clear" w:color="auto" w:fill="C5D9F1"/>
                  <w:noWrap/>
                  <w:vAlign w:val="center"/>
                  <w:hideMark/>
                </w:tcPr>
                <w:p w14:paraId="4AF39923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shd w:val="clear" w:color="auto" w:fill="C5D9F1"/>
                  <w:noWrap/>
                  <w:vAlign w:val="center"/>
                  <w:hideMark/>
                </w:tcPr>
                <w:p w14:paraId="7E46BCFC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24FCF" w14:paraId="4E824B22" w14:textId="77777777" w:rsidTr="00124FCF">
              <w:trPr>
                <w:trHeight w:val="342"/>
              </w:trPr>
              <w:tc>
                <w:tcPr>
                  <w:tcW w:w="3675" w:type="dxa"/>
                  <w:shd w:val="clear" w:color="auto" w:fill="C5D9F1"/>
                  <w:noWrap/>
                  <w:vAlign w:val="center"/>
                  <w:hideMark/>
                </w:tcPr>
                <w:p w14:paraId="290FDCD8" w14:textId="77777777" w:rsidR="00124FCF" w:rsidRDefault="00124FCF" w:rsidP="00124FC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shd w:val="clear" w:color="auto" w:fill="C5D9F1"/>
                  <w:noWrap/>
                  <w:vAlign w:val="center"/>
                  <w:hideMark/>
                </w:tcPr>
                <w:p w14:paraId="60981937" w14:textId="77777777" w:rsidR="00124FCF" w:rsidRDefault="00124FCF" w:rsidP="00124FC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shd w:val="clear" w:color="auto" w:fill="C5D9F1"/>
                  <w:noWrap/>
                  <w:vAlign w:val="center"/>
                  <w:hideMark/>
                </w:tcPr>
                <w:p w14:paraId="460C4F83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shd w:val="clear" w:color="auto" w:fill="C5D9F1"/>
                  <w:noWrap/>
                  <w:vAlign w:val="center"/>
                  <w:hideMark/>
                </w:tcPr>
                <w:p w14:paraId="61532A15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24FCF" w14:paraId="03AB3BD1" w14:textId="77777777" w:rsidTr="00124FCF">
              <w:trPr>
                <w:trHeight w:val="342"/>
              </w:trPr>
              <w:tc>
                <w:tcPr>
                  <w:tcW w:w="3675" w:type="dxa"/>
                  <w:shd w:val="clear" w:color="auto" w:fill="C5D9F1"/>
                  <w:noWrap/>
                  <w:vAlign w:val="center"/>
                  <w:hideMark/>
                </w:tcPr>
                <w:p w14:paraId="77893994" w14:textId="77777777" w:rsidR="00124FCF" w:rsidRDefault="00124FCF" w:rsidP="00124FC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shd w:val="clear" w:color="auto" w:fill="C5D9F1"/>
                  <w:noWrap/>
                  <w:vAlign w:val="center"/>
                  <w:hideMark/>
                </w:tcPr>
                <w:p w14:paraId="6672E7FC" w14:textId="77777777" w:rsidR="00124FCF" w:rsidRDefault="00124FCF" w:rsidP="00124FC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shd w:val="clear" w:color="auto" w:fill="C5D9F1"/>
                  <w:noWrap/>
                  <w:vAlign w:val="center"/>
                  <w:hideMark/>
                </w:tcPr>
                <w:p w14:paraId="613AAD40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shd w:val="clear" w:color="auto" w:fill="C5D9F1"/>
                  <w:noWrap/>
                  <w:vAlign w:val="center"/>
                  <w:hideMark/>
                </w:tcPr>
                <w:p w14:paraId="23155003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124FCF" w14:paraId="327440B2" w14:textId="77777777" w:rsidTr="00124FCF">
              <w:trPr>
                <w:trHeight w:val="342"/>
              </w:trPr>
              <w:tc>
                <w:tcPr>
                  <w:tcW w:w="3675" w:type="dxa"/>
                  <w:shd w:val="clear" w:color="auto" w:fill="C5D9F1"/>
                  <w:noWrap/>
                  <w:vAlign w:val="center"/>
                  <w:hideMark/>
                </w:tcPr>
                <w:p w14:paraId="5B22614B" w14:textId="77777777" w:rsidR="00124FCF" w:rsidRDefault="00124FCF" w:rsidP="00124FC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shd w:val="clear" w:color="auto" w:fill="C5D9F1"/>
                  <w:noWrap/>
                  <w:vAlign w:val="center"/>
                  <w:hideMark/>
                </w:tcPr>
                <w:p w14:paraId="50FB6611" w14:textId="77777777" w:rsidR="00124FCF" w:rsidRDefault="00124FCF" w:rsidP="00124FC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shd w:val="clear" w:color="auto" w:fill="C5D9F1"/>
                  <w:noWrap/>
                  <w:vAlign w:val="center"/>
                  <w:hideMark/>
                </w:tcPr>
                <w:p w14:paraId="578782A0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shd w:val="clear" w:color="auto" w:fill="C5D9F1"/>
                  <w:noWrap/>
                  <w:vAlign w:val="center"/>
                  <w:hideMark/>
                </w:tcPr>
                <w:p w14:paraId="04AB15E9" w14:textId="77777777" w:rsidR="00124FCF" w:rsidRDefault="00124FCF" w:rsidP="00124FC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05F9A398" w:rsidR="00EB3D1B" w:rsidRDefault="00496BE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AE90322" w:rsidR="001B79E5" w:rsidRDefault="00496BE8" w:rsidP="001B79E5">
                <w:pPr>
                  <w:pStyle w:val="Tablefont"/>
                </w:pPr>
                <w:r w:rsidRPr="00496BE8">
                  <w:t>203.8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3D4FCB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96BE8">
                  <w:t>8.30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96BE8">
                  <w:t>0.120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5147B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5F2D73F2" w:rsidR="008E4F1F" w:rsidRDefault="008E4F1F" w:rsidP="00496BE8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B71772">
        <w:t>2007</w:t>
      </w:r>
      <w:r>
        <w:t xml:space="preserve">) </w:t>
      </w:r>
      <w:r w:rsidR="00496BE8">
        <w:t xml:space="preserve">1,1,1,2-Tetrachlor-2,2- </w:t>
      </w:r>
      <w:proofErr w:type="spellStart"/>
      <w:r w:rsidR="00496BE8">
        <w:t>difluorethan</w:t>
      </w:r>
      <w:proofErr w:type="spellEnd"/>
      <w:r>
        <w:t xml:space="preserve"> – MAK value documentation.</w:t>
      </w:r>
    </w:p>
    <w:p w14:paraId="77EFB18B" w14:textId="516E63F5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B71772">
        <w:t>1994</w:t>
      </w:r>
      <w:r>
        <w:t xml:space="preserve">) Immediately dangerous to life or health concentrations – </w:t>
      </w:r>
      <w:r w:rsidR="00B71772" w:rsidRPr="00B71772">
        <w:t>1,1,1,2-Tetrachloro-2,2-difluoroethane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2CD3A" w14:textId="77777777" w:rsidR="00BA39B7" w:rsidRDefault="00BA39B7" w:rsidP="00F43AD5">
      <w:pPr>
        <w:spacing w:after="0" w:line="240" w:lineRule="auto"/>
      </w:pPr>
      <w:r>
        <w:separator/>
      </w:r>
    </w:p>
  </w:endnote>
  <w:endnote w:type="continuationSeparator" w:id="0">
    <w:p w14:paraId="58BFB541" w14:textId="77777777" w:rsidR="00BA39B7" w:rsidRDefault="00BA39B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0110B223" w:rsidR="008A36CF" w:rsidRDefault="00F84ED2" w:rsidP="0034744C">
        <w:pPr>
          <w:pStyle w:val="Footer"/>
          <w:rPr>
            <w:sz w:val="18"/>
            <w:szCs w:val="18"/>
          </w:rPr>
        </w:pPr>
        <w:r w:rsidRPr="00F84ED2">
          <w:rPr>
            <w:b/>
            <w:sz w:val="18"/>
            <w:szCs w:val="18"/>
          </w:rPr>
          <w:t>1,1,1,2-Tetrachloro-2,2-difluoroethane</w:t>
        </w:r>
        <w:r w:rsidR="008A36CF">
          <w:rPr>
            <w:b/>
            <w:sz w:val="18"/>
            <w:szCs w:val="18"/>
          </w:rPr>
          <w:t xml:space="preserve"> (</w:t>
        </w:r>
        <w:r w:rsidRPr="00F84ED2">
          <w:rPr>
            <w:b/>
            <w:sz w:val="18"/>
            <w:szCs w:val="18"/>
          </w:rPr>
          <w:t>76-11-9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333B62" w:rsidRPr="00F43AD5">
          <w:rPr>
            <w:sz w:val="18"/>
            <w:szCs w:val="18"/>
          </w:rPr>
          <w:t>20</w:t>
        </w:r>
        <w:r w:rsidR="00333B62">
          <w:rPr>
            <w:sz w:val="18"/>
            <w:szCs w:val="18"/>
          </w:rPr>
          <w:t>20</w:t>
        </w:r>
      </w:p>
      <w:p w14:paraId="2D517F5E" w14:textId="3EDE6DF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71A0C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A08CB" w14:textId="77777777" w:rsidR="00BA39B7" w:rsidRDefault="00BA39B7" w:rsidP="00F43AD5">
      <w:pPr>
        <w:spacing w:after="0" w:line="240" w:lineRule="auto"/>
      </w:pPr>
      <w:r>
        <w:separator/>
      </w:r>
    </w:p>
  </w:footnote>
  <w:footnote w:type="continuationSeparator" w:id="0">
    <w:p w14:paraId="10A4BF34" w14:textId="77777777" w:rsidR="00BA39B7" w:rsidRDefault="00BA39B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0215C" w14:textId="5F7D11A0" w:rsidR="003F7DB6" w:rsidRDefault="003F7DB6" w:rsidP="003F7DB6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1C9D1E" wp14:editId="3DC4417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0DD4EFCD" w:rsidR="008A36CF" w:rsidRPr="003F7DB6" w:rsidRDefault="008A36CF" w:rsidP="003F7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08CF6" w14:textId="074C2DD1" w:rsidR="003F7DB6" w:rsidRDefault="003F7DB6" w:rsidP="003F7DB6">
    <w:pPr>
      <w:pStyle w:val="Header"/>
      <w:jc w:val="right"/>
    </w:pPr>
    <w:r>
      <w:rPr>
        <w:noProof/>
        <w:lang w:eastAsia="en-AU"/>
      </w:rPr>
      <w:drawing>
        <wp:inline distT="0" distB="0" distL="0" distR="0" wp14:anchorId="4B3C984D" wp14:editId="6EABA121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083E8B4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7DC2B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82964"/>
    <w:multiLevelType w:val="hybridMultilevel"/>
    <w:tmpl w:val="3D6EF5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94042448">
    <w:abstractNumId w:val="0"/>
  </w:num>
  <w:num w:numId="2" w16cid:durableId="2099323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183B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0B34"/>
    <w:rsid w:val="0010461E"/>
    <w:rsid w:val="00106FAA"/>
    <w:rsid w:val="00113443"/>
    <w:rsid w:val="00124FCF"/>
    <w:rsid w:val="0012687B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29B7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3B62"/>
    <w:rsid w:val="00334EFB"/>
    <w:rsid w:val="00335CDE"/>
    <w:rsid w:val="003365A5"/>
    <w:rsid w:val="0034314A"/>
    <w:rsid w:val="00347192"/>
    <w:rsid w:val="0034744C"/>
    <w:rsid w:val="00351FE0"/>
    <w:rsid w:val="00352615"/>
    <w:rsid w:val="0035412B"/>
    <w:rsid w:val="003567A8"/>
    <w:rsid w:val="003612E5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610A"/>
    <w:rsid w:val="003B387D"/>
    <w:rsid w:val="003C0D58"/>
    <w:rsid w:val="003D4FA3"/>
    <w:rsid w:val="003E069B"/>
    <w:rsid w:val="003E0807"/>
    <w:rsid w:val="003E51FB"/>
    <w:rsid w:val="003E6B39"/>
    <w:rsid w:val="003F07E1"/>
    <w:rsid w:val="003F7DB6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1A0C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4E55"/>
    <w:rsid w:val="0049527A"/>
    <w:rsid w:val="004966BF"/>
    <w:rsid w:val="00496BE8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6A9"/>
    <w:rsid w:val="004E5EDD"/>
    <w:rsid w:val="004F448A"/>
    <w:rsid w:val="004F493D"/>
    <w:rsid w:val="004F65E8"/>
    <w:rsid w:val="0050005E"/>
    <w:rsid w:val="00502B88"/>
    <w:rsid w:val="005142C4"/>
    <w:rsid w:val="005147BB"/>
    <w:rsid w:val="0051509C"/>
    <w:rsid w:val="005272E2"/>
    <w:rsid w:val="0053108F"/>
    <w:rsid w:val="00532B56"/>
    <w:rsid w:val="00534B10"/>
    <w:rsid w:val="005431B5"/>
    <w:rsid w:val="005446A2"/>
    <w:rsid w:val="00544D2F"/>
    <w:rsid w:val="00550AB8"/>
    <w:rsid w:val="00551BD8"/>
    <w:rsid w:val="00581055"/>
    <w:rsid w:val="00591E38"/>
    <w:rsid w:val="005A048C"/>
    <w:rsid w:val="005A19C5"/>
    <w:rsid w:val="005A3034"/>
    <w:rsid w:val="005A462D"/>
    <w:rsid w:val="005B253B"/>
    <w:rsid w:val="005B771D"/>
    <w:rsid w:val="005C4C39"/>
    <w:rsid w:val="005C5C88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54E"/>
    <w:rsid w:val="006867F3"/>
    <w:rsid w:val="00687890"/>
    <w:rsid w:val="006901A2"/>
    <w:rsid w:val="00690368"/>
    <w:rsid w:val="0069079C"/>
    <w:rsid w:val="00690B53"/>
    <w:rsid w:val="00695B72"/>
    <w:rsid w:val="006B160A"/>
    <w:rsid w:val="006B2C1E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55BC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BF8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2B7B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91B"/>
    <w:rsid w:val="009E0C05"/>
    <w:rsid w:val="009E0D1C"/>
    <w:rsid w:val="009E2214"/>
    <w:rsid w:val="009E355A"/>
    <w:rsid w:val="009E63E2"/>
    <w:rsid w:val="009F04D2"/>
    <w:rsid w:val="009F05CF"/>
    <w:rsid w:val="009F0F3A"/>
    <w:rsid w:val="009F54F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1772"/>
    <w:rsid w:val="00B76A41"/>
    <w:rsid w:val="00B87D4C"/>
    <w:rsid w:val="00B93646"/>
    <w:rsid w:val="00BA0B38"/>
    <w:rsid w:val="00BA1DBB"/>
    <w:rsid w:val="00BA39B7"/>
    <w:rsid w:val="00BA4510"/>
    <w:rsid w:val="00BA529A"/>
    <w:rsid w:val="00BB612A"/>
    <w:rsid w:val="00BD499F"/>
    <w:rsid w:val="00BD56DE"/>
    <w:rsid w:val="00BF2406"/>
    <w:rsid w:val="00C06E43"/>
    <w:rsid w:val="00C16315"/>
    <w:rsid w:val="00C2023C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24E"/>
    <w:rsid w:val="00C850A0"/>
    <w:rsid w:val="00C85A86"/>
    <w:rsid w:val="00C978F0"/>
    <w:rsid w:val="00CA58FE"/>
    <w:rsid w:val="00CB0FDC"/>
    <w:rsid w:val="00CB1CB1"/>
    <w:rsid w:val="00CB27FE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0608"/>
    <w:rsid w:val="00D91CB9"/>
    <w:rsid w:val="00D97989"/>
    <w:rsid w:val="00D97D8D"/>
    <w:rsid w:val="00DA352E"/>
    <w:rsid w:val="00DC7694"/>
    <w:rsid w:val="00DD1BF6"/>
    <w:rsid w:val="00DD2F9B"/>
    <w:rsid w:val="00DD49FC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6E29"/>
    <w:rsid w:val="00E67C2F"/>
    <w:rsid w:val="00E67EF5"/>
    <w:rsid w:val="00E804EA"/>
    <w:rsid w:val="00E80A71"/>
    <w:rsid w:val="00E82337"/>
    <w:rsid w:val="00E84D1F"/>
    <w:rsid w:val="00E84EC6"/>
    <w:rsid w:val="00E92499"/>
    <w:rsid w:val="00E949AF"/>
    <w:rsid w:val="00E96077"/>
    <w:rsid w:val="00EA0A06"/>
    <w:rsid w:val="00EA6243"/>
    <w:rsid w:val="00EA74AB"/>
    <w:rsid w:val="00EB07F0"/>
    <w:rsid w:val="00EB3D1B"/>
    <w:rsid w:val="00EC4D11"/>
    <w:rsid w:val="00ED1D89"/>
    <w:rsid w:val="00ED57DA"/>
    <w:rsid w:val="00ED66BC"/>
    <w:rsid w:val="00EE6329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3CBF"/>
    <w:rsid w:val="00F43AD5"/>
    <w:rsid w:val="00F4402E"/>
    <w:rsid w:val="00F5390F"/>
    <w:rsid w:val="00F56DD0"/>
    <w:rsid w:val="00F6491C"/>
    <w:rsid w:val="00F67BBB"/>
    <w:rsid w:val="00F84ED2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6E09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F2B7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4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C3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C3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C3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004FBD698D94B1AA3DC34D633C223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F67A24-0076-45A8-B77D-3C79B5FF1FC8}"/>
      </w:docPartPr>
      <w:docPartBody>
        <w:p w:rsidR="00E522B9" w:rsidRDefault="0075337E" w:rsidP="0075337E">
          <w:pPr>
            <w:pStyle w:val="6004FBD698D94B1AA3DC34D633C223E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75337E"/>
    <w:rsid w:val="00755FBF"/>
    <w:rsid w:val="00981255"/>
    <w:rsid w:val="00C8224E"/>
    <w:rsid w:val="00CA72D3"/>
    <w:rsid w:val="00CB27FE"/>
    <w:rsid w:val="00D21A9F"/>
    <w:rsid w:val="00E5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337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6004FBD698D94B1AA3DC34D633C223EF">
    <w:name w:val="6004FBD698D94B1AA3DC34D633C223EF"/>
    <w:rsid w:val="007533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05D2B-E3CE-4002-A574-99C7863AD2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E8079-9346-4466-A6EA-7138C291C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994600-8A9F-4DC3-B6FE-FD742985FCAF}">
  <ds:schemaRefs>
    <ds:schemaRef ds:uri="http://purl.org/dc/elements/1.1/"/>
    <ds:schemaRef ds:uri="1c567317-0c4d-4a62-8516-c22afd1b5354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a0509f21-ed56-4150-9955-96be669e5f2d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5428D50-5F27-4F72-8084-A0F257BB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2020-03-25T22:38:00Z</dcterms:created>
  <dcterms:modified xsi:type="dcterms:W3CDTF">2026-01-09T01:35:00Z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2026-01-07T01:02:57Z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42d81659-77bb-49af-99eb-9d9cd3729cd8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