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95643BF" w:rsidR="00BD499F" w:rsidRPr="004C23F4" w:rsidRDefault="00DB2B14" w:rsidP="00B40C60">
          <w:pPr>
            <w:pStyle w:val="Heading1"/>
            <w:jc w:val="center"/>
            <w:rPr>
              <w:rFonts w:ascii="Arial" w:hAnsi="Arial" w:cs="Arial"/>
            </w:rPr>
          </w:pPr>
          <w:r w:rsidRPr="00171D16">
            <w:rPr>
              <w:rFonts w:ascii="Arial" w:hAnsi="Arial" w:cs="Arial"/>
            </w:rPr>
            <w:t>Sul</w:t>
          </w:r>
          <w:r>
            <w:rPr>
              <w:rFonts w:ascii="Arial" w:hAnsi="Arial" w:cs="Arial"/>
            </w:rPr>
            <w:t>F</w:t>
          </w:r>
          <w:r w:rsidRPr="00171D16">
            <w:rPr>
              <w:rFonts w:ascii="Arial" w:hAnsi="Arial" w:cs="Arial"/>
            </w:rPr>
            <w:t>ur tetrafluoride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0F3BE5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431B0C4D" w:rsidR="00F43AD5" w:rsidRPr="00717D45" w:rsidRDefault="00171D16" w:rsidP="00B76A41">
            <w:pPr>
              <w:pStyle w:val="Tablefont"/>
            </w:pPr>
            <w:r w:rsidRPr="00171D16">
              <w:t>7783-60-0</w:t>
            </w:r>
          </w:p>
        </w:tc>
      </w:tr>
      <w:tr w:rsidR="00F43AD5" w:rsidRPr="004C23F4" w14:paraId="562A9F51" w14:textId="77777777" w:rsidTr="000F3BE5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4C95C7BB" w:rsidR="00F43AD5" w:rsidRPr="00717D45" w:rsidRDefault="005B346E" w:rsidP="00B76A41">
            <w:pPr>
              <w:pStyle w:val="Tablefont"/>
            </w:pPr>
            <w:r>
              <w:t>Sul</w:t>
            </w:r>
            <w:r w:rsidR="00DB2B14">
              <w:t>ph</w:t>
            </w:r>
            <w:r>
              <w:t xml:space="preserve">ur </w:t>
            </w:r>
            <w:r w:rsidR="00DB2B14">
              <w:t>tetrafluoride</w:t>
            </w:r>
          </w:p>
        </w:tc>
      </w:tr>
      <w:tr w:rsidR="00F43AD5" w:rsidRPr="004C23F4" w14:paraId="6EE54A08" w14:textId="77777777" w:rsidTr="000F3BE5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47E5CA94" w:rsidR="00F43AD5" w:rsidRPr="00717D45" w:rsidRDefault="005B346E" w:rsidP="00B76A41">
            <w:pPr>
              <w:pStyle w:val="Tablefont"/>
            </w:pPr>
            <w:r>
              <w:t>SF</w:t>
            </w:r>
            <w:r w:rsidRPr="005B346E">
              <w:rPr>
                <w:vertAlign w:val="subscript"/>
              </w:rPr>
              <w:t>4</w:t>
            </w:r>
          </w:p>
        </w:tc>
      </w:tr>
    </w:tbl>
    <w:p w14:paraId="71D72173" w14:textId="4612EBF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24AB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0637AB49" w:rsidR="00037E52" w:rsidRPr="000F3BE5" w:rsidRDefault="00E51B84" w:rsidP="00037E52">
            <w:pPr>
              <w:pStyle w:val="Tablefont"/>
              <w:rPr>
                <w:b/>
              </w:rPr>
            </w:pPr>
            <w:r w:rsidRPr="000F3BE5">
              <w:rPr>
                <w:b/>
              </w:rPr>
              <w:t>0.1 ppm (0.44 mg/m</w:t>
            </w:r>
            <w:r w:rsidRPr="000F3BE5">
              <w:rPr>
                <w:b/>
                <w:vertAlign w:val="superscript"/>
              </w:rPr>
              <w:t>3</w:t>
            </w:r>
            <w:r w:rsidR="0052536E" w:rsidRPr="000F3BE5">
              <w:rPr>
                <w:b/>
              </w:rPr>
              <w:t>)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2AB9FB0" w:rsidR="00155999" w:rsidRPr="00EB3D1B" w:rsidRDefault="00155999" w:rsidP="00037E52">
            <w:pPr>
              <w:pStyle w:val="Tablefont"/>
              <w:rPr>
                <w:b/>
              </w:rPr>
            </w:pPr>
            <w:r w:rsidRPr="00DB2B14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51B84" w:rsidRPr="00DB2B14">
                  <w:rPr>
                    <w:rStyle w:val="WESstatus"/>
                    <w:bCs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CF41DA3" w:rsidR="006639B4" w:rsidRPr="004C23F4" w:rsidRDefault="00E51B84" w:rsidP="000C139A">
      <w:pPr>
        <w:rPr>
          <w:rFonts w:cs="Arial"/>
        </w:rPr>
      </w:pPr>
      <w:r>
        <w:rPr>
          <w:rFonts w:cs="Arial"/>
        </w:rPr>
        <w:t xml:space="preserve">A </w:t>
      </w:r>
      <w:r w:rsidR="000F3BE5">
        <w:rPr>
          <w:rFonts w:cs="Arial"/>
        </w:rPr>
        <w:t>p</w:t>
      </w:r>
      <w:r>
        <w:rPr>
          <w:rFonts w:cs="Arial"/>
        </w:rPr>
        <w:t>eak limitation of 0.</w:t>
      </w:r>
      <w:r>
        <w:t>1 ppm (0.44 mg/m</w:t>
      </w:r>
      <w:r>
        <w:rPr>
          <w:vertAlign w:val="superscript"/>
        </w:rPr>
        <w:t>3</w:t>
      </w:r>
      <w:r>
        <w:t xml:space="preserve">) </w:t>
      </w:r>
      <w:r>
        <w:rPr>
          <w:rFonts w:cs="Arial"/>
        </w:rPr>
        <w:t xml:space="preserve">is recommended to protect for </w:t>
      </w:r>
      <w:r w:rsidR="00582FBF">
        <w:rPr>
          <w:rFonts w:cs="Arial"/>
        </w:rPr>
        <w:t xml:space="preserve">acute </w:t>
      </w:r>
      <w:r w:rsidRPr="004B0D58">
        <w:t>ocular and respiratory tract irritation</w:t>
      </w:r>
      <w:r>
        <w:rPr>
          <w:rFonts w:cs="Arial"/>
        </w:rPr>
        <w:t xml:space="preserve"> in exposed workers.</w:t>
      </w:r>
      <w:r w:rsidR="00A86DE5" w:rsidRPr="00A86DE5">
        <w:rPr>
          <w:rFonts w:cs="Arial"/>
        </w:rPr>
        <w:t xml:space="preserve">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7CA7D9D2" w:rsidR="006639B4" w:rsidRDefault="00E51B84" w:rsidP="006639B4">
      <w:r w:rsidRPr="00E51B84">
        <w:rPr>
          <w:rFonts w:cs="Arial"/>
        </w:rPr>
        <w:t>Sul</w:t>
      </w:r>
      <w:r w:rsidR="00DB2B14">
        <w:rPr>
          <w:rFonts w:cs="Arial"/>
        </w:rPr>
        <w:t>f</w:t>
      </w:r>
      <w:r w:rsidRPr="00E51B84">
        <w:rPr>
          <w:rFonts w:cs="Arial"/>
        </w:rPr>
        <w:t>ur tetrafluoride</w:t>
      </w:r>
      <w:r>
        <w:rPr>
          <w:rFonts w:cs="Arial"/>
        </w:rPr>
        <w:t xml:space="preserve"> </w:t>
      </w:r>
      <w:r w:rsidR="00A86DE5">
        <w:rPr>
          <w:rFonts w:cs="Arial"/>
        </w:rPr>
        <w:t>is primarily used as a fluorinating agent,</w:t>
      </w:r>
      <w:r w:rsidR="00A86DE5" w:rsidRPr="004B0D58">
        <w:rPr>
          <w:rFonts w:cs="Arial"/>
        </w:rPr>
        <w:t xml:space="preserve"> in water</w:t>
      </w:r>
      <w:r w:rsidR="00A86DE5">
        <w:rPr>
          <w:rFonts w:cs="Arial"/>
        </w:rPr>
        <w:t xml:space="preserve">/oil-repellent materials, </w:t>
      </w:r>
      <w:r w:rsidR="00A86DE5" w:rsidRPr="004B0D58">
        <w:rPr>
          <w:rFonts w:cs="Arial"/>
        </w:rPr>
        <w:t>lubricity improvers</w:t>
      </w:r>
      <w:r w:rsidR="00A86DE5">
        <w:rPr>
          <w:rFonts w:cs="Arial"/>
        </w:rPr>
        <w:t xml:space="preserve"> and</w:t>
      </w:r>
      <w:r w:rsidR="00A86DE5" w:rsidRPr="004B0D58">
        <w:rPr>
          <w:rFonts w:cs="Arial"/>
        </w:rPr>
        <w:t xml:space="preserve"> as an intermediate in the manufacture of pesticides</w:t>
      </w:r>
      <w:r w:rsidR="00A86DE5">
        <w:rPr>
          <w:rFonts w:cs="Arial"/>
        </w:rPr>
        <w:t xml:space="preserve">. </w:t>
      </w:r>
    </w:p>
    <w:p w14:paraId="7263E0AE" w14:textId="77777777" w:rsidR="00CC050B" w:rsidRDefault="00582FBF" w:rsidP="00E24AB3">
      <w:r>
        <w:rPr>
          <w:rFonts w:cs="Arial"/>
        </w:rPr>
        <w:t>The critical effects of exposure are</w:t>
      </w:r>
      <w:r w:rsidRPr="00A86DE5">
        <w:t xml:space="preserve"> </w:t>
      </w:r>
      <w:r w:rsidRPr="004B0D58">
        <w:t>ocular and respiratory tract irritation</w:t>
      </w:r>
      <w:r>
        <w:t>.</w:t>
      </w:r>
    </w:p>
    <w:p w14:paraId="384685BF" w14:textId="7569D94F" w:rsidR="00A86DE5" w:rsidRDefault="00E24AB3" w:rsidP="00E24AB3">
      <w:r>
        <w:rPr>
          <w:rFonts w:cs="Arial"/>
        </w:rPr>
        <w:t xml:space="preserve">Limited data </w:t>
      </w:r>
      <w:r w:rsidR="00723582">
        <w:rPr>
          <w:rFonts w:cs="Arial"/>
        </w:rPr>
        <w:t xml:space="preserve">are </w:t>
      </w:r>
      <w:r w:rsidR="00CC050B">
        <w:rPr>
          <w:rFonts w:cs="Arial"/>
        </w:rPr>
        <w:t xml:space="preserve">available </w:t>
      </w:r>
      <w:r>
        <w:rPr>
          <w:rFonts w:cs="Arial"/>
        </w:rPr>
        <w:t>from both human and animal studies. Inhalation e</w:t>
      </w:r>
      <w:r w:rsidR="00A86DE5">
        <w:t>xposure</w:t>
      </w:r>
      <w:r>
        <w:t xml:space="preserve"> in rats</w:t>
      </w:r>
      <w:r w:rsidR="00A86DE5">
        <w:t xml:space="preserve"> at 19 ppm</w:t>
      </w:r>
      <w:r>
        <w:t xml:space="preserve"> over four hours </w:t>
      </w:r>
      <w:r w:rsidR="00723582">
        <w:t xml:space="preserve">was </w:t>
      </w:r>
      <w:r w:rsidR="00A86DE5">
        <w:t xml:space="preserve">lethal to </w:t>
      </w:r>
      <w:r>
        <w:t>one</w:t>
      </w:r>
      <w:r w:rsidR="00A86DE5">
        <w:t xml:space="preserve"> of </w:t>
      </w:r>
      <w:r>
        <w:t>two</w:t>
      </w:r>
      <w:r w:rsidR="00A86DE5">
        <w:t xml:space="preserve"> subjects, i</w:t>
      </w:r>
      <w:r w:rsidR="00A86DE5" w:rsidRPr="00715273">
        <w:t>rregular breathing and ocular irritation were observed at this and at lower concentrations</w:t>
      </w:r>
      <w:r>
        <w:t xml:space="preserve"> (ACGIH 2018). </w:t>
      </w:r>
      <w:r>
        <w:rPr>
          <w:rFonts w:cs="Arial"/>
        </w:rPr>
        <w:t>Inhalation e</w:t>
      </w:r>
      <w:r w:rsidR="00A86DE5">
        <w:t xml:space="preserve">xposure at 4 ppm </w:t>
      </w:r>
      <w:r>
        <w:t xml:space="preserve">in rats </w:t>
      </w:r>
      <w:r w:rsidR="000F3BE5">
        <w:t>for four</w:t>
      </w:r>
      <w:r w:rsidR="00582FBF">
        <w:t xml:space="preserve"> </w:t>
      </w:r>
      <w:r>
        <w:t xml:space="preserve">hours per day for </w:t>
      </w:r>
      <w:r w:rsidR="003B3DF4">
        <w:t>10</w:t>
      </w:r>
      <w:r>
        <w:t xml:space="preserve"> days resulted in </w:t>
      </w:r>
      <w:r w:rsidR="00A86DE5">
        <w:t xml:space="preserve">symptoms </w:t>
      </w:r>
      <w:r>
        <w:t xml:space="preserve">including </w:t>
      </w:r>
      <w:r w:rsidR="00A86DE5" w:rsidRPr="00715273">
        <w:t>dyspnoea, weakness</w:t>
      </w:r>
      <w:r>
        <w:t xml:space="preserve"> and</w:t>
      </w:r>
      <w:r w:rsidR="00A86DE5" w:rsidRPr="00715273">
        <w:t xml:space="preserve"> nasal discharge</w:t>
      </w:r>
      <w:r>
        <w:t>.</w:t>
      </w:r>
    </w:p>
    <w:p w14:paraId="2EC9A0C5" w14:textId="124773D8" w:rsidR="00CC050B" w:rsidRDefault="00CC050B" w:rsidP="00CC050B">
      <w:pPr>
        <w:rPr>
          <w:rFonts w:cs="Arial"/>
        </w:rPr>
      </w:pPr>
      <w:r>
        <w:rPr>
          <w:rFonts w:cs="Arial"/>
        </w:rPr>
        <w:t xml:space="preserve">Given the absence of available exposure data, the current peak limitation of 0.1 ppm and </w:t>
      </w:r>
      <w:r w:rsidR="00723582">
        <w:rPr>
          <w:rFonts w:cs="Arial"/>
        </w:rPr>
        <w:t>o</w:t>
      </w:r>
      <w:r>
        <w:rPr>
          <w:rFonts w:cs="Arial"/>
        </w:rPr>
        <w:t xml:space="preserve">ccupational </w:t>
      </w:r>
      <w:r w:rsidR="00723582">
        <w:rPr>
          <w:rFonts w:cs="Arial"/>
        </w:rPr>
        <w:t>e</w:t>
      </w:r>
      <w:r>
        <w:rPr>
          <w:rFonts w:cs="Arial"/>
        </w:rPr>
        <w:t xml:space="preserve">xposure </w:t>
      </w:r>
      <w:r w:rsidR="00723582">
        <w:rPr>
          <w:rFonts w:cs="Arial"/>
        </w:rPr>
        <w:t>l</w:t>
      </w:r>
      <w:r>
        <w:rPr>
          <w:rFonts w:cs="Arial"/>
        </w:rPr>
        <w:t xml:space="preserve">evels by ACGIH (2018) and HCOTN (2001) is recommended to be retained in the interim to limit acute </w:t>
      </w:r>
      <w:r w:rsidRPr="004B0D58">
        <w:t>ocular and respiratory tract irritation</w:t>
      </w:r>
      <w:r>
        <w:rPr>
          <w:rFonts w:cs="Arial"/>
        </w:rPr>
        <w:t xml:space="preserve"> in exposed workers. </w:t>
      </w:r>
    </w:p>
    <w:p w14:paraId="543F3D03" w14:textId="5D51C790" w:rsidR="00E24AB3" w:rsidRDefault="00E24AB3" w:rsidP="00E24AB3">
      <w:pPr>
        <w:rPr>
          <w:rFonts w:cs="Arial"/>
        </w:rPr>
      </w:pPr>
      <w:r>
        <w:rPr>
          <w:rFonts w:cs="Arial"/>
        </w:rPr>
        <w:t>A review of additional data sources is recommended at the next scheduled review to address the absence of chronic data.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E51B84" w:rsidRDefault="008E4F1F" w:rsidP="008E4F1F">
      <w:pPr>
        <w:rPr>
          <w:rFonts w:cs="Arial"/>
        </w:rPr>
      </w:pPr>
      <w:r w:rsidRPr="00E51B84">
        <w:rPr>
          <w:rFonts w:cs="Arial"/>
        </w:rPr>
        <w:t>Not classified as a carcinogen according to the Globally Harmonized System of</w:t>
      </w:r>
      <w:r w:rsidR="00155999" w:rsidRPr="00E51B84">
        <w:rPr>
          <w:rFonts w:cs="Arial"/>
        </w:rPr>
        <w:t xml:space="preserve"> Classification and Labelling of</w:t>
      </w:r>
      <w:r w:rsidRPr="00E51B84">
        <w:rPr>
          <w:rFonts w:cs="Arial"/>
        </w:rPr>
        <w:t xml:space="preserve"> Chemicals (GHS). </w:t>
      </w:r>
    </w:p>
    <w:p w14:paraId="03916CCC" w14:textId="77777777" w:rsidR="008E4F1F" w:rsidRPr="00E51B84" w:rsidRDefault="008E4F1F" w:rsidP="008E4F1F">
      <w:pPr>
        <w:rPr>
          <w:rFonts w:cs="Arial"/>
        </w:rPr>
      </w:pPr>
      <w:r w:rsidRPr="00E51B84">
        <w:rPr>
          <w:rFonts w:cs="Arial"/>
        </w:rPr>
        <w:t xml:space="preserve">Not classified as a skin </w:t>
      </w:r>
      <w:r w:rsidR="00155999" w:rsidRPr="00E51B84">
        <w:rPr>
          <w:rFonts w:cs="Arial"/>
        </w:rPr>
        <w:t xml:space="preserve">sensitiser </w:t>
      </w:r>
      <w:r w:rsidRPr="00E51B84">
        <w:rPr>
          <w:rFonts w:cs="Arial"/>
        </w:rPr>
        <w:t>or respiratory sensitiser according to the GHS.</w:t>
      </w:r>
    </w:p>
    <w:p w14:paraId="1ABE9D4E" w14:textId="2E2F3DF4" w:rsidR="00A86DE5" w:rsidRDefault="00DB2B14">
      <w:pPr>
        <w:rPr>
          <w:rFonts w:cs="Arial"/>
        </w:rPr>
      </w:pPr>
      <w:r>
        <w:rPr>
          <w:rFonts w:cs="Arial"/>
        </w:rPr>
        <w:t>There are i</w:t>
      </w:r>
      <w:r w:rsidR="008E4F1F" w:rsidRPr="00E51B84">
        <w:rPr>
          <w:rFonts w:cs="Arial"/>
        </w:rPr>
        <w:t xml:space="preserve">nsufficient </w:t>
      </w:r>
      <w:r>
        <w:rPr>
          <w:rFonts w:cs="Arial"/>
        </w:rPr>
        <w:t>data</w:t>
      </w:r>
      <w:r w:rsidRPr="00E51B84">
        <w:rPr>
          <w:rFonts w:cs="Arial"/>
        </w:rPr>
        <w:t xml:space="preserve"> </w:t>
      </w:r>
      <w:r w:rsidR="008E4F1F" w:rsidRPr="00E51B84">
        <w:rPr>
          <w:rFonts w:cs="Arial"/>
        </w:rPr>
        <w:t>to recommend a skin notation.</w:t>
      </w:r>
    </w:p>
    <w:p w14:paraId="42881A57" w14:textId="77777777" w:rsidR="00A86DE5" w:rsidRPr="004C23F4" w:rsidRDefault="00A86DE5">
      <w:pPr>
        <w:rPr>
          <w:rFonts w:cs="Arial"/>
        </w:rPr>
        <w:sectPr w:rsidR="00A86DE5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EE449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EE449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8A2535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B346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B346E">
                  <w:t>Peak limitation: 0.1 ppm (0.44 mg/m</w:t>
                </w:r>
                <w:r w:rsidR="005B346E" w:rsidRPr="005B346E">
                  <w:rPr>
                    <w:vertAlign w:val="superscript"/>
                  </w:rPr>
                  <w:t>3</w:t>
                </w:r>
                <w:r w:rsidR="005B346E">
                  <w:t>)</w:t>
                </w:r>
              </w:sdtContent>
            </w:sdt>
          </w:p>
        </w:tc>
      </w:tr>
      <w:tr w:rsidR="00C978F0" w:rsidRPr="00DA352E" w14:paraId="26087DDB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EE449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6BEC5A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B346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B346E">
                  <w:t>TLV-Ceiling: 0.1 ppm (0.44 mg/m</w:t>
                </w:r>
                <w:r w:rsidR="005B346E" w:rsidRPr="005B346E">
                  <w:rPr>
                    <w:vertAlign w:val="superscript"/>
                  </w:rPr>
                  <w:t>3</w:t>
                </w:r>
                <w:r w:rsidR="005B346E">
                  <w:t>)</w:t>
                </w:r>
              </w:sdtContent>
            </w:sdt>
          </w:p>
        </w:tc>
      </w:tr>
      <w:tr w:rsidR="00C978F0" w:rsidRPr="00DA352E" w14:paraId="418D532D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21E6AE6C" w14:textId="43DB7C3D" w:rsidR="004B0D58" w:rsidRDefault="004B0D58" w:rsidP="003B3DF4">
            <w:pPr>
              <w:pStyle w:val="Tabletextprimarysource"/>
            </w:pPr>
            <w:r>
              <w:t xml:space="preserve">TLV-Ceiling recommended to minimise the risk </w:t>
            </w:r>
            <w:r w:rsidR="00DB2B14">
              <w:t xml:space="preserve">of </w:t>
            </w:r>
            <w:r w:rsidRPr="004B0D58">
              <w:t>ocular and respiratory tract irritation</w:t>
            </w:r>
            <w:r>
              <w:t>.</w:t>
            </w:r>
          </w:p>
          <w:p w14:paraId="29BE3290" w14:textId="77777777" w:rsidR="004B0D58" w:rsidRDefault="004B0D58" w:rsidP="003B3DF4">
            <w:pPr>
              <w:pStyle w:val="Tabletextprimarysource"/>
            </w:pPr>
            <w:r>
              <w:t>Summary of data:</w:t>
            </w:r>
          </w:p>
          <w:p w14:paraId="0F03060E" w14:textId="02E64B47" w:rsidR="004B0D58" w:rsidRDefault="004B0D58" w:rsidP="00A70E95">
            <w:pPr>
              <w:pStyle w:val="Tabletextprimarysource"/>
            </w:pPr>
            <w:r>
              <w:rPr>
                <w:rFonts w:cs="Arial"/>
              </w:rPr>
              <w:t>TLV-</w:t>
            </w:r>
            <w:r>
              <w:t xml:space="preserve"> Ceiling </w:t>
            </w:r>
            <w:r>
              <w:rPr>
                <w:rFonts w:cs="Arial"/>
              </w:rPr>
              <w:t xml:space="preserve">assigned based on </w:t>
            </w:r>
            <w:r w:rsidR="00715273" w:rsidRPr="00715273">
              <w:rPr>
                <w:rFonts w:cs="Arial"/>
              </w:rPr>
              <w:t>definitive injury produced by relatively brief exposures at concentrations as low as 4 ppm</w:t>
            </w:r>
            <w:r w:rsidR="003B3DF4">
              <w:rPr>
                <w:rFonts w:cs="Arial"/>
              </w:rPr>
              <w:t>.</w:t>
            </w:r>
          </w:p>
          <w:p w14:paraId="020BFD1D" w14:textId="77777777" w:rsidR="004B0D58" w:rsidRDefault="004B0D58" w:rsidP="00DB2B1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10E7F04F" w14:textId="7F415C63" w:rsidR="000F3BE5" w:rsidRDefault="004B0D58" w:rsidP="00DB2B14">
            <w:pPr>
              <w:pStyle w:val="ListBullet"/>
              <w:spacing w:before="60" w:after="60"/>
              <w:ind w:left="720"/>
              <w:contextualSpacing w:val="0"/>
            </w:pPr>
            <w:r>
              <w:t>Accidental workplace exposure</w:t>
            </w:r>
            <w:r w:rsidR="00DB2B14">
              <w:t xml:space="preserve"> to 6 workers for 6 h</w:t>
            </w:r>
            <w:r>
              <w:t xml:space="preserve"> caused </w:t>
            </w:r>
            <w:r w:rsidRPr="004B0D58">
              <w:t>shortness of breath, chest tightness, productive cough, nose and eye irritation, headache, fatigue, nausea and vomiting</w:t>
            </w:r>
            <w:r>
              <w:t xml:space="preserve"> (concentration unknown)</w:t>
            </w:r>
            <w:r w:rsidR="00723582">
              <w:t>:</w:t>
            </w:r>
          </w:p>
          <w:p w14:paraId="63353C2D" w14:textId="551168C5" w:rsidR="004B0D58" w:rsidRDefault="000F3BE5" w:rsidP="000F3BE5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p</w:t>
            </w:r>
            <w:r w:rsidR="004B0D58" w:rsidRPr="004B0D58">
              <w:t>ulmonary (radiographic) abnormalities observed resolved after 1 yr</w:t>
            </w:r>
            <w:r w:rsidR="003B3DF4">
              <w:t>.</w:t>
            </w:r>
          </w:p>
          <w:p w14:paraId="3DFA51FC" w14:textId="77777777" w:rsidR="004B0D58" w:rsidRDefault="004B0D58" w:rsidP="00DB2B1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917FA3B" w14:textId="654B1C21" w:rsidR="000F3BE5" w:rsidRDefault="004B0D58" w:rsidP="00DB2B14">
            <w:pPr>
              <w:pStyle w:val="ListBullet"/>
              <w:spacing w:before="60" w:after="60"/>
              <w:ind w:left="720"/>
              <w:contextualSpacing w:val="0"/>
            </w:pPr>
            <w:r>
              <w:t>Exposure at 19 ppm (rats, 4 h, inhalation) lethal to 1</w:t>
            </w:r>
            <w:r w:rsidR="00582FBF">
              <w:t>/</w:t>
            </w:r>
            <w:r>
              <w:t xml:space="preserve">2 </w:t>
            </w:r>
            <w:r w:rsidR="00CC050B">
              <w:t>animals</w:t>
            </w:r>
            <w:r w:rsidR="00723582">
              <w:t>:</w:t>
            </w:r>
            <w:r w:rsidR="00715273">
              <w:t xml:space="preserve"> </w:t>
            </w:r>
          </w:p>
          <w:p w14:paraId="35E77CFF" w14:textId="514EDA42" w:rsidR="004B0D58" w:rsidRDefault="00715273" w:rsidP="000F3BE5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</w:t>
            </w:r>
            <w:r w:rsidRPr="00715273">
              <w:t>rregular breathing and ocular irritation observed at this and at lower concentrations</w:t>
            </w:r>
          </w:p>
          <w:p w14:paraId="195FD6A9" w14:textId="0D82F8A8" w:rsidR="000F3BE5" w:rsidRDefault="00715273" w:rsidP="00DB2B14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at 4 ppm (rats, 4 h/d, 10 d, inhalation) symptoms included </w:t>
            </w:r>
            <w:r w:rsidRPr="00715273">
              <w:t>dyspnoea, weakness, nasal discharge</w:t>
            </w:r>
            <w:r>
              <w:t xml:space="preserve"> and </w:t>
            </w:r>
            <w:r w:rsidRPr="00715273">
              <w:t>emphysema</w:t>
            </w:r>
            <w:r w:rsidR="00723582">
              <w:t>:</w:t>
            </w:r>
          </w:p>
          <w:p w14:paraId="3CC7B461" w14:textId="5048278A" w:rsidR="00C978F0" w:rsidRDefault="00E24AB3" w:rsidP="000F3BE5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 w:rsidRPr="00E24AB3">
              <w:t>14</w:t>
            </w:r>
            <w:r>
              <w:t xml:space="preserve"> </w:t>
            </w:r>
            <w:r w:rsidRPr="00E24AB3">
              <w:t xml:space="preserve">d </w:t>
            </w:r>
            <w:r w:rsidR="00CC050B">
              <w:t xml:space="preserve">after exposure </w:t>
            </w:r>
            <w:r>
              <w:t>animals</w:t>
            </w:r>
            <w:r w:rsidRPr="00E24AB3">
              <w:t xml:space="preserve"> recovered clinically and </w:t>
            </w:r>
            <w:r w:rsidR="00CC050B">
              <w:t xml:space="preserve">had </w:t>
            </w:r>
            <w:r w:rsidRPr="00E24AB3">
              <w:t>no anatomical lesions at autopsy</w:t>
            </w:r>
            <w:r w:rsidR="003B3DF4">
              <w:t>.</w:t>
            </w:r>
          </w:p>
          <w:p w14:paraId="18D19289" w14:textId="77777777" w:rsidR="000F3BE5" w:rsidRDefault="000F3BE5" w:rsidP="00DB2B1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0BAA2C3F" w14:textId="77777777" w:rsidR="00715273" w:rsidRDefault="00715273" w:rsidP="00DB2B1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0CE4D35D" w14:textId="3AEF5C06" w:rsidR="000F3BE5" w:rsidRPr="00DA352E" w:rsidRDefault="000F3BE5" w:rsidP="00DB2B1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EE449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09CED6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B34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B346E">
                  <w:t>NA</w:t>
                </w:r>
              </w:sdtContent>
            </w:sdt>
          </w:p>
        </w:tc>
      </w:tr>
      <w:tr w:rsidR="00C978F0" w:rsidRPr="00DA352E" w14:paraId="4433014F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1B19FF98" w:rsidR="00C978F0" w:rsidRPr="00DA352E" w:rsidRDefault="005B346E" w:rsidP="003365A5">
            <w:pPr>
              <w:pStyle w:val="Tabletextprimarysource"/>
            </w:pPr>
            <w:r>
              <w:t>No report</w:t>
            </w:r>
            <w:r w:rsidR="00A70E95">
              <w:t>.</w:t>
            </w:r>
          </w:p>
        </w:tc>
      </w:tr>
      <w:tr w:rsidR="00C978F0" w:rsidRPr="00DA352E" w14:paraId="0E6A0B2C" w14:textId="77777777" w:rsidTr="00EE449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6F9481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B34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B346E">
                  <w:t>NA</w:t>
                </w:r>
              </w:sdtContent>
            </w:sdt>
          </w:p>
        </w:tc>
      </w:tr>
      <w:tr w:rsidR="00C978F0" w:rsidRPr="00DA352E" w14:paraId="2008D281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4F6F3479" w:rsidR="00C978F0" w:rsidRPr="00DA352E" w:rsidRDefault="005B346E" w:rsidP="003365A5">
            <w:pPr>
              <w:pStyle w:val="Tabletextprimarysource"/>
            </w:pPr>
            <w:r>
              <w:t>No report</w:t>
            </w:r>
            <w:r w:rsidR="00A70E95">
              <w:t>.</w:t>
            </w:r>
          </w:p>
        </w:tc>
      </w:tr>
      <w:tr w:rsidR="00DA352E" w:rsidRPr="00DA352E" w14:paraId="12BAB90D" w14:textId="77777777" w:rsidTr="00EE449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ECAD19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B34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B346E">
                  <w:t>NA</w:t>
                </w:r>
              </w:sdtContent>
            </w:sdt>
          </w:p>
        </w:tc>
      </w:tr>
      <w:tr w:rsidR="00DA352E" w:rsidRPr="00DA352E" w14:paraId="33AAF4A6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83CE005" w:rsidR="00DA352E" w:rsidRPr="00DA352E" w:rsidRDefault="005B346E" w:rsidP="003365A5">
            <w:pPr>
              <w:pStyle w:val="Tabletextprimarysource"/>
            </w:pPr>
            <w:r>
              <w:t>No report</w:t>
            </w:r>
            <w:r w:rsidR="00A70E95">
              <w:t>.</w:t>
            </w:r>
          </w:p>
        </w:tc>
      </w:tr>
      <w:tr w:rsidR="00DA352E" w:rsidRPr="00DA352E" w14:paraId="605F758C" w14:textId="77777777" w:rsidTr="00EE449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7FD46F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B346E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B346E">
                  <w:t>Ceiling limit: 0.1 ppm (0.4 mg/m</w:t>
                </w:r>
                <w:r w:rsidR="005B346E" w:rsidRPr="005B346E">
                  <w:rPr>
                    <w:vertAlign w:val="superscript"/>
                  </w:rPr>
                  <w:t>3</w:t>
                </w:r>
                <w:r w:rsidR="005B346E">
                  <w:t>)</w:t>
                </w:r>
              </w:sdtContent>
            </w:sdt>
          </w:p>
        </w:tc>
      </w:tr>
      <w:tr w:rsidR="00DA352E" w:rsidRPr="00DA352E" w14:paraId="7050CB3E" w14:textId="77777777" w:rsidTr="00EE4496">
        <w:trPr>
          <w:gridAfter w:val="1"/>
          <w:wAfter w:w="8" w:type="pct"/>
          <w:cantSplit/>
        </w:trPr>
        <w:tc>
          <w:tcPr>
            <w:tcW w:w="4992" w:type="pct"/>
          </w:tcPr>
          <w:p w14:paraId="05F2A7D3" w14:textId="556D65BB" w:rsidR="00DA352E" w:rsidRDefault="00715273" w:rsidP="003365A5">
            <w:pPr>
              <w:pStyle w:val="Tabletextprimarysource"/>
            </w:pPr>
            <w:r w:rsidRPr="00715273">
              <w:t xml:space="preserve">The committee considers the toxicological database too poor to justify recommendation of a </w:t>
            </w:r>
            <w:r w:rsidR="00DB2B14">
              <w:t>HBROEL</w:t>
            </w:r>
            <w:r w:rsidRPr="00715273">
              <w:t>.</w:t>
            </w:r>
          </w:p>
          <w:p w14:paraId="492D7791" w14:textId="31C5A25D" w:rsidR="000F3BE5" w:rsidRPr="00DA352E" w:rsidRDefault="000F3BE5" w:rsidP="003365A5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05B5E289" w:rsidR="007E2A4B" w:rsidRDefault="00E51B84">
      <w:r>
        <w:t>NIL</w:t>
      </w:r>
      <w:r w:rsidR="00DB2B14">
        <w:t xml:space="preserve">. </w:t>
      </w:r>
    </w:p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E51B84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1DE0B58C" w:rsidR="002E0D61" w:rsidRDefault="00E51B8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E51B84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7B3AEED" w:rsidR="008A36CF" w:rsidRDefault="00E51B8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F3BE5" w14:paraId="4D6DDFA3" w14:textId="77777777" w:rsidTr="007A66BB">
        <w:trPr>
          <w:trHeight w:val="454"/>
        </w:trPr>
        <w:sdt>
          <w:sdtPr>
            <w:rPr>
              <w:b/>
            </w:rPr>
            <w:id w:val="1830936485"/>
            <w:placeholder>
              <w:docPart w:val="BA7DAEB7AFCB41FEBDD890F98E66A7D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5C692544" w:rsidR="000F3BE5" w:rsidRDefault="000F3BE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EE4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EE449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AED0C68" w:rsidR="00687890" w:rsidRPr="00DD2F9B" w:rsidRDefault="0049759F" w:rsidP="00DD2F9B">
            <w:pPr>
              <w:pStyle w:val="Tablefont"/>
            </w:pPr>
            <w:r w:rsidRPr="0049759F">
              <w:t>—</w:t>
            </w:r>
          </w:p>
        </w:tc>
      </w:tr>
      <w:tr w:rsidR="007925F0" w:rsidRPr="004C23F4" w14:paraId="2A0C13EF" w14:textId="77777777" w:rsidTr="00EE449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A8EDF76" w:rsidR="007925F0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EE449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4908749" w:rsidR="00AF483F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EE449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5F663053" w:rsidR="00687890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EE449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14249DF" w:rsidR="00E41A26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EE449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618F410" w:rsidR="002E0D61" w:rsidRPr="00DD2F9B" w:rsidRDefault="0049759F" w:rsidP="00DD2F9B">
            <w:pPr>
              <w:pStyle w:val="Tablefont"/>
            </w:pPr>
            <w:r w:rsidRPr="0049759F">
              <w:t>—</w:t>
            </w:r>
          </w:p>
        </w:tc>
      </w:tr>
      <w:tr w:rsidR="002E0D61" w:rsidRPr="004C23F4" w14:paraId="43FA3590" w14:textId="77777777" w:rsidTr="00EE449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700D3F8" w:rsidR="002E0D61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EE449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7FDF5CF" w:rsidR="002E0D61" w:rsidRPr="00DD2F9B" w:rsidRDefault="004975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EE449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D420FAF" w:rsidR="002E0D61" w:rsidRPr="00DD2F9B" w:rsidRDefault="00D718AA" w:rsidP="00DD2F9B">
            <w:pPr>
              <w:pStyle w:val="Tablefont"/>
            </w:pPr>
            <w:r w:rsidRPr="0049759F">
              <w:t>—</w:t>
            </w:r>
          </w:p>
        </w:tc>
      </w:tr>
      <w:tr w:rsidR="00386093" w:rsidRPr="004C23F4" w14:paraId="5F6A6A8E" w14:textId="77777777" w:rsidTr="00EE449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64F4E44" w:rsidR="00386093" w:rsidRPr="00DD2F9B" w:rsidRDefault="00D718A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EE449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A16EF36" w:rsidR="00386093" w:rsidRPr="00DD2F9B" w:rsidRDefault="00D718A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D5B956D" w:rsidR="00474E33" w:rsidRDefault="00474E33" w:rsidP="00474E33">
      <w:pPr>
        <w:pStyle w:val="Heading3"/>
      </w:pPr>
      <w:r>
        <w:t>Skin notation assessment</w:t>
      </w:r>
    </w:p>
    <w:p w14:paraId="3D8073A7" w14:textId="3D4C91BA" w:rsidR="00E51B84" w:rsidRPr="00E51B84" w:rsidRDefault="00E51B84" w:rsidP="00E51B84">
      <w:pPr>
        <w:rPr>
          <w:lang w:eastAsia="en-AU"/>
        </w:rPr>
      </w:pPr>
      <w:r>
        <w:t>Insufficient data to assign a skin notation</w:t>
      </w:r>
      <w:r w:rsidR="000F3BE5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E3EDD11" w:rsidR="00EB3D1B" w:rsidRDefault="00D718A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3DF7B04" w:rsidR="001B79E5" w:rsidRDefault="00D718AA" w:rsidP="001B79E5">
                <w:pPr>
                  <w:pStyle w:val="Tablefont"/>
                </w:pPr>
                <w:r w:rsidRPr="00D718AA">
                  <w:t>108.07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48E3A7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718AA">
                  <w:t>4.42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718AA">
                  <w:t>0.226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A7CD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6CE9F1A5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D718AA" w:rsidRPr="00D718AA">
        <w:t>2002</w:t>
      </w:r>
      <w:r>
        <w:t xml:space="preserve">) </w:t>
      </w:r>
      <w:r w:rsidR="00D718AA" w:rsidRPr="00D718AA">
        <w:t>Sulphur tetrafluoride</w:t>
      </w:r>
      <w:r w:rsidRPr="005F7416">
        <w:t xml:space="preserve">. Health-based calculated occupational cancer risk values. The Hague: Health Council of the Netherlands; publication no. </w:t>
      </w:r>
      <w:r w:rsidR="00D718AA" w:rsidRPr="00D718AA">
        <w:t>2000/15OSH/039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B5B7A" w14:textId="77777777" w:rsidR="00026466" w:rsidRDefault="00026466" w:rsidP="00F43AD5">
      <w:pPr>
        <w:spacing w:after="0" w:line="240" w:lineRule="auto"/>
      </w:pPr>
      <w:r>
        <w:separator/>
      </w:r>
    </w:p>
  </w:endnote>
  <w:endnote w:type="continuationSeparator" w:id="0">
    <w:p w14:paraId="21E01250" w14:textId="77777777" w:rsidR="00026466" w:rsidRDefault="0002646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0EA3AC1" w:rsidR="008A36CF" w:rsidRDefault="005B346E" w:rsidP="0034744C">
        <w:pPr>
          <w:pStyle w:val="Footer"/>
          <w:rPr>
            <w:sz w:val="18"/>
            <w:szCs w:val="18"/>
          </w:rPr>
        </w:pPr>
        <w:r w:rsidRPr="005B346E">
          <w:rPr>
            <w:b/>
            <w:sz w:val="18"/>
            <w:szCs w:val="18"/>
          </w:rPr>
          <w:t>Sulphur tetrafluoride</w:t>
        </w:r>
        <w:r w:rsidR="008A36CF">
          <w:rPr>
            <w:b/>
            <w:sz w:val="18"/>
            <w:szCs w:val="18"/>
          </w:rPr>
          <w:t xml:space="preserve"> (</w:t>
        </w:r>
        <w:r w:rsidRPr="005B346E">
          <w:rPr>
            <w:b/>
            <w:sz w:val="18"/>
            <w:szCs w:val="18"/>
          </w:rPr>
          <w:t>7783-60-0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DB2B14" w:rsidRPr="00F43AD5">
          <w:rPr>
            <w:sz w:val="18"/>
            <w:szCs w:val="18"/>
          </w:rPr>
          <w:t>20</w:t>
        </w:r>
        <w:r w:rsidR="00DB2B14">
          <w:rPr>
            <w:sz w:val="18"/>
            <w:szCs w:val="18"/>
          </w:rPr>
          <w:t>20</w:t>
        </w:r>
      </w:p>
      <w:p w14:paraId="2D517F5E" w14:textId="6434CE0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03E90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CDD30" w14:textId="77777777" w:rsidR="00026466" w:rsidRDefault="00026466" w:rsidP="00F43AD5">
      <w:pPr>
        <w:spacing w:after="0" w:line="240" w:lineRule="auto"/>
      </w:pPr>
      <w:r>
        <w:separator/>
      </w:r>
    </w:p>
  </w:footnote>
  <w:footnote w:type="continuationSeparator" w:id="0">
    <w:p w14:paraId="182FB944" w14:textId="77777777" w:rsidR="00026466" w:rsidRDefault="0002646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AA32C" w14:textId="7A81275A" w:rsidR="00EE4496" w:rsidRDefault="00EE4496" w:rsidP="00EE449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D3FE97" wp14:editId="324ABCC6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0B36621D" w:rsidR="008A36CF" w:rsidRPr="00EE4496" w:rsidRDefault="008A36CF" w:rsidP="00EE4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C8E7E" w14:textId="00A69B9B" w:rsidR="00EE4496" w:rsidRDefault="00EE4496" w:rsidP="00EE449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3B7CB9" wp14:editId="45BA6E48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64589F0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50ED7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6D5B37"/>
    <w:multiLevelType w:val="hybridMultilevel"/>
    <w:tmpl w:val="D9E6F52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5885937">
    <w:abstractNumId w:val="0"/>
  </w:num>
  <w:num w:numId="2" w16cid:durableId="2104061123">
    <w:abstractNumId w:val="0"/>
  </w:num>
  <w:num w:numId="3" w16cid:durableId="2040545206">
    <w:abstractNumId w:val="0"/>
  </w:num>
  <w:num w:numId="4" w16cid:durableId="106387614">
    <w:abstractNumId w:val="0"/>
  </w:num>
  <w:num w:numId="5" w16cid:durableId="351147460">
    <w:abstractNumId w:val="0"/>
  </w:num>
  <w:num w:numId="6" w16cid:durableId="816073799">
    <w:abstractNumId w:val="0"/>
  </w:num>
  <w:num w:numId="7" w16cid:durableId="192424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466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3BE5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1D16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227E"/>
    <w:rsid w:val="002B1A2C"/>
    <w:rsid w:val="002C34F2"/>
    <w:rsid w:val="002C58FF"/>
    <w:rsid w:val="002C7AFE"/>
    <w:rsid w:val="002D05D2"/>
    <w:rsid w:val="002D2BC3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3DF4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59F"/>
    <w:rsid w:val="00497984"/>
    <w:rsid w:val="004A5088"/>
    <w:rsid w:val="004B0D58"/>
    <w:rsid w:val="004C1E3F"/>
    <w:rsid w:val="004C23F4"/>
    <w:rsid w:val="004C3475"/>
    <w:rsid w:val="004C58B6"/>
    <w:rsid w:val="004C60A1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536E"/>
    <w:rsid w:val="005272E2"/>
    <w:rsid w:val="0053108F"/>
    <w:rsid w:val="00532B56"/>
    <w:rsid w:val="00534B10"/>
    <w:rsid w:val="005446A2"/>
    <w:rsid w:val="00544D2F"/>
    <w:rsid w:val="00551BD8"/>
    <w:rsid w:val="00581055"/>
    <w:rsid w:val="00582FBF"/>
    <w:rsid w:val="00591E38"/>
    <w:rsid w:val="005A19C5"/>
    <w:rsid w:val="005A3034"/>
    <w:rsid w:val="005A462D"/>
    <w:rsid w:val="005A7CDD"/>
    <w:rsid w:val="005B253B"/>
    <w:rsid w:val="005B346E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5273"/>
    <w:rsid w:val="00716A0F"/>
    <w:rsid w:val="00717D45"/>
    <w:rsid w:val="007208F7"/>
    <w:rsid w:val="007218AF"/>
    <w:rsid w:val="00723582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E90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E95"/>
    <w:rsid w:val="00A84504"/>
    <w:rsid w:val="00A8672F"/>
    <w:rsid w:val="00A86DE5"/>
    <w:rsid w:val="00A86EC7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4ED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50B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18AA"/>
    <w:rsid w:val="00D74D80"/>
    <w:rsid w:val="00D76624"/>
    <w:rsid w:val="00D87570"/>
    <w:rsid w:val="00D91CB9"/>
    <w:rsid w:val="00D97989"/>
    <w:rsid w:val="00D97D8D"/>
    <w:rsid w:val="00DA352E"/>
    <w:rsid w:val="00DB2B1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4AB3"/>
    <w:rsid w:val="00E26A07"/>
    <w:rsid w:val="00E32595"/>
    <w:rsid w:val="00E37CFD"/>
    <w:rsid w:val="00E41A26"/>
    <w:rsid w:val="00E46BCB"/>
    <w:rsid w:val="00E51B84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449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B0D58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A7DAEB7AFCB41FEBDD890F98E66A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7498E-67D1-49BF-9A94-D0C5723F61C8}"/>
      </w:docPartPr>
      <w:docPartBody>
        <w:p w:rsidR="00856638" w:rsidRDefault="0080357A" w:rsidP="0080357A">
          <w:pPr>
            <w:pStyle w:val="BA7DAEB7AFCB41FEBDD890F98E66A7D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A12CA"/>
    <w:rsid w:val="002D2BC3"/>
    <w:rsid w:val="00347D16"/>
    <w:rsid w:val="003E0149"/>
    <w:rsid w:val="00755FBF"/>
    <w:rsid w:val="0080357A"/>
    <w:rsid w:val="00856638"/>
    <w:rsid w:val="00A86EC7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357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BA7DAEB7AFCB41FEBDD890F98E66A7D0">
    <w:name w:val="BA7DAEB7AFCB41FEBDD890F98E66A7D0"/>
    <w:rsid w:val="008035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microsoft.com/office/2006/metadata/properties"/>
    <ds:schemaRef ds:uri="http://purl.org/dc/elements/1.1/"/>
    <ds:schemaRef ds:uri="a0509f21-ed56-4150-9955-96be669e5f2d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1c567317-0c4d-4a62-8516-c22afd1b535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900B9A-DE24-4518-9617-A305DE297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C0D86-F8D3-4E02-A482-EA6687B3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16</cp:revision>
  <cp:lastPrinted>2018-10-22T22:41:00Z</cp:lastPrinted>
  <dcterms:created xsi:type="dcterms:W3CDTF">2019-10-13T23:53:00Z</dcterms:created>
  <dcterms:modified xsi:type="dcterms:W3CDTF">2026-01-09T01:21:00Z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2026-01-07T01:40:22Z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2fdd3ad7-74f0-498b-bc46-d28f4acbd3f7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