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09A28F5A" w:rsidR="00BD499F" w:rsidRPr="004C23F4" w:rsidRDefault="00867A73" w:rsidP="00867A73">
          <w:pPr>
            <w:pStyle w:val="Heading1"/>
            <w:jc w:val="center"/>
            <w:rPr>
              <w:rFonts w:ascii="Arial" w:hAnsi="Arial" w:cs="Arial"/>
            </w:rPr>
          </w:pPr>
          <w:r w:rsidRPr="00867A73">
            <w:rPr>
              <w:rFonts w:ascii="Arial" w:hAnsi="Arial" w:cs="Arial"/>
            </w:rPr>
            <w:t>Sul</w:t>
          </w:r>
          <w:r w:rsidR="006B7C9D">
            <w:rPr>
              <w:rFonts w:ascii="Arial" w:hAnsi="Arial" w:cs="Arial"/>
            </w:rPr>
            <w:t>F</w:t>
          </w:r>
          <w:r w:rsidRPr="00867A73">
            <w:rPr>
              <w:rFonts w:ascii="Arial" w:hAnsi="Arial" w:cs="Arial"/>
            </w:rPr>
            <w:t>ur hexafluoride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189D6E38" w14:textId="77777777" w:rsidTr="00B76D8B">
        <w:trPr>
          <w:cantSplit/>
          <w:tblHeader/>
        </w:trPr>
        <w:tc>
          <w:tcPr>
            <w:tcW w:w="398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3EDBFD9E" w14:textId="50B255E3" w:rsidR="00F43AD5" w:rsidRPr="00717D45" w:rsidRDefault="00867A73" w:rsidP="00B76A41">
            <w:pPr>
              <w:pStyle w:val="Tablefont"/>
            </w:pPr>
            <w:r w:rsidRPr="00867A73">
              <w:t>2551-62-4</w:t>
            </w:r>
          </w:p>
        </w:tc>
      </w:tr>
      <w:tr w:rsidR="00F43AD5" w:rsidRPr="004C23F4" w14:paraId="562A9F51" w14:textId="77777777" w:rsidTr="00B76D8B">
        <w:trPr>
          <w:cantSplit/>
        </w:trPr>
        <w:tc>
          <w:tcPr>
            <w:tcW w:w="398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32648AB9" w14:textId="2AD7C741" w:rsidR="00F43AD5" w:rsidRPr="00717D45" w:rsidRDefault="006B7C9D" w:rsidP="00B76A41">
            <w:pPr>
              <w:pStyle w:val="Tablefont"/>
            </w:pPr>
            <w:r>
              <w:t xml:space="preserve">Sulphur hexafluoride </w:t>
            </w:r>
          </w:p>
        </w:tc>
      </w:tr>
      <w:tr w:rsidR="00F43AD5" w:rsidRPr="004C23F4" w14:paraId="6EE54A08" w14:textId="77777777" w:rsidTr="00B76D8B">
        <w:trPr>
          <w:cantSplit/>
        </w:trPr>
        <w:tc>
          <w:tcPr>
            <w:tcW w:w="398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69369B00" w14:textId="686E2F61" w:rsidR="00F43AD5" w:rsidRPr="00717D45" w:rsidRDefault="00372D0F" w:rsidP="00B76A41">
            <w:pPr>
              <w:pStyle w:val="Tablefont"/>
            </w:pPr>
            <w:r>
              <w:t>SF</w:t>
            </w:r>
            <w:r w:rsidRPr="00372D0F">
              <w:rPr>
                <w:vertAlign w:val="subscript"/>
              </w:rPr>
              <w:t>6</w:t>
            </w:r>
          </w:p>
        </w:tc>
      </w:tr>
    </w:tbl>
    <w:p w14:paraId="71D72173" w14:textId="204F0B3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300BC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5523BEA1" w:rsidR="002C7AFE" w:rsidRPr="002E2F32" w:rsidRDefault="000561DB" w:rsidP="00017C82">
            <w:pPr>
              <w:pStyle w:val="Tablefont"/>
              <w:rPr>
                <w:b/>
                <w:bCs/>
              </w:rPr>
            </w:pPr>
            <w:r w:rsidRPr="002E2F32">
              <w:rPr>
                <w:b/>
                <w:bCs/>
              </w:rPr>
              <w:t>1</w:t>
            </w:r>
            <w:r w:rsidR="002E2F32">
              <w:rPr>
                <w:b/>
                <w:bCs/>
              </w:rPr>
              <w:t>,</w:t>
            </w:r>
            <w:r w:rsidRPr="002E2F32">
              <w:rPr>
                <w:b/>
                <w:bCs/>
              </w:rPr>
              <w:t>000 ppm (5</w:t>
            </w:r>
            <w:r w:rsidR="00951889">
              <w:rPr>
                <w:b/>
                <w:bCs/>
              </w:rPr>
              <w:t>,</w:t>
            </w:r>
            <w:r w:rsidRPr="002E2F32">
              <w:rPr>
                <w:b/>
                <w:bCs/>
              </w:rPr>
              <w:t>970 mg/m</w:t>
            </w:r>
            <w:r w:rsidRPr="002E2F32">
              <w:rPr>
                <w:b/>
                <w:bCs/>
                <w:vertAlign w:val="superscript"/>
              </w:rPr>
              <w:t>3</w:t>
            </w:r>
            <w:r w:rsidRPr="002E2F32">
              <w:rPr>
                <w:b/>
                <w:bCs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4695F020" w:rsidR="00155999" w:rsidRPr="00EB3D1B" w:rsidRDefault="00155999" w:rsidP="00037E52">
            <w:pPr>
              <w:pStyle w:val="Tablefont"/>
              <w:rPr>
                <w:b/>
              </w:rPr>
            </w:pPr>
            <w:r w:rsidRPr="002E2F32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561DB" w:rsidRPr="002E2F32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AC7FC2E" w14:textId="1AE960B7" w:rsidR="000561DB" w:rsidRPr="004C23F4" w:rsidRDefault="000561DB" w:rsidP="000561DB">
      <w:pPr>
        <w:rPr>
          <w:rFonts w:cs="Arial"/>
        </w:rPr>
      </w:pPr>
      <w:r w:rsidRPr="00D078DB">
        <w:rPr>
          <w:rFonts w:cs="Arial"/>
        </w:rPr>
        <w:t xml:space="preserve">A TWA of </w:t>
      </w:r>
      <w:r>
        <w:t>1</w:t>
      </w:r>
      <w:r w:rsidR="002E2F32">
        <w:t>,</w:t>
      </w:r>
      <w:r>
        <w:t>000 ppm (5</w:t>
      </w:r>
      <w:r w:rsidR="002E2F32">
        <w:t>,</w:t>
      </w:r>
      <w:r>
        <w:t>970 mg/m</w:t>
      </w:r>
      <w:r w:rsidRPr="00372D0F">
        <w:rPr>
          <w:vertAlign w:val="superscript"/>
        </w:rPr>
        <w:t>3</w:t>
      </w:r>
      <w:r>
        <w:t xml:space="preserve">) </w:t>
      </w:r>
      <w:r w:rsidRPr="00D078DB">
        <w:rPr>
          <w:rFonts w:cs="Arial"/>
        </w:rPr>
        <w:t xml:space="preserve">is </w:t>
      </w:r>
      <w:r>
        <w:rPr>
          <w:rFonts w:cs="Arial"/>
        </w:rPr>
        <w:t>recommended</w:t>
      </w:r>
      <w:r w:rsidRPr="00D078DB">
        <w:rPr>
          <w:rFonts w:cs="Arial"/>
        </w:rPr>
        <w:t xml:space="preserve"> to protect for </w:t>
      </w:r>
      <w:r>
        <w:t xml:space="preserve">asphyxiation </w:t>
      </w:r>
      <w:r w:rsidRPr="00D078DB">
        <w:rPr>
          <w:rFonts w:cs="Arial"/>
        </w:rPr>
        <w:t>in exposed workers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4563889" w14:textId="77777777" w:rsidR="00951889" w:rsidRDefault="000561DB" w:rsidP="000561DB">
      <w:pPr>
        <w:rPr>
          <w:rFonts w:cs="Arial"/>
        </w:rPr>
      </w:pPr>
      <w:proofErr w:type="spellStart"/>
      <w:r w:rsidRPr="000561DB">
        <w:rPr>
          <w:rFonts w:cs="Arial"/>
        </w:rPr>
        <w:t>Sul</w:t>
      </w:r>
      <w:r w:rsidR="006B7C9D">
        <w:rPr>
          <w:rFonts w:cs="Arial"/>
        </w:rPr>
        <w:t>f</w:t>
      </w:r>
      <w:r w:rsidRPr="000561DB">
        <w:rPr>
          <w:rFonts w:cs="Arial"/>
        </w:rPr>
        <w:t>ur</w:t>
      </w:r>
      <w:proofErr w:type="spellEnd"/>
      <w:r w:rsidRPr="000561DB">
        <w:rPr>
          <w:rFonts w:cs="Arial"/>
        </w:rPr>
        <w:t xml:space="preserve"> hexafluoride </w:t>
      </w:r>
      <w:r>
        <w:rPr>
          <w:rFonts w:cs="Arial"/>
        </w:rPr>
        <w:t xml:space="preserve">is primarily used as an electrical insulator gas and as a tracer gas for ventilation measurements. </w:t>
      </w:r>
    </w:p>
    <w:p w14:paraId="5E3B45AF" w14:textId="77777777" w:rsidR="005F3C88" w:rsidRDefault="00951889" w:rsidP="000561DB">
      <w:r>
        <w:rPr>
          <w:rFonts w:cs="Arial"/>
        </w:rPr>
        <w:t>The c</w:t>
      </w:r>
      <w:r w:rsidR="000561DB">
        <w:rPr>
          <w:rFonts w:cs="Arial"/>
        </w:rPr>
        <w:t xml:space="preserve">ritical effect </w:t>
      </w:r>
      <w:r w:rsidR="006B7C9D">
        <w:rPr>
          <w:rFonts w:cs="Arial"/>
        </w:rPr>
        <w:t>of exposure is</w:t>
      </w:r>
      <w:r w:rsidR="006B7C9D" w:rsidRPr="00612AF7">
        <w:rPr>
          <w:rFonts w:cs="Arial"/>
        </w:rPr>
        <w:t xml:space="preserve"> </w:t>
      </w:r>
      <w:r w:rsidR="000561DB">
        <w:t>asphyxiation.</w:t>
      </w:r>
    </w:p>
    <w:p w14:paraId="35F24C12" w14:textId="494367CD" w:rsidR="000561DB" w:rsidRDefault="001E12F5" w:rsidP="000561DB">
      <w:pPr>
        <w:rPr>
          <w:rFonts w:cs="Arial"/>
        </w:rPr>
      </w:pPr>
      <w:r>
        <w:rPr>
          <w:rFonts w:cs="Arial"/>
        </w:rPr>
        <w:t>I</w:t>
      </w:r>
      <w:r w:rsidR="000561DB">
        <w:rPr>
          <w:rFonts w:cs="Arial"/>
        </w:rPr>
        <w:t xml:space="preserve">nhalation exposure in </w:t>
      </w:r>
      <w:r w:rsidR="000561DB" w:rsidRPr="000561DB">
        <w:rPr>
          <w:rFonts w:cs="Arial"/>
        </w:rPr>
        <w:t xml:space="preserve">rats </w:t>
      </w:r>
      <w:r w:rsidR="005F3C88">
        <w:rPr>
          <w:rFonts w:cs="Arial"/>
        </w:rPr>
        <w:t>at</w:t>
      </w:r>
      <w:r w:rsidR="005F3C88" w:rsidRPr="000561DB">
        <w:rPr>
          <w:rFonts w:cs="Arial"/>
        </w:rPr>
        <w:t xml:space="preserve"> </w:t>
      </w:r>
      <w:r w:rsidR="000561DB" w:rsidRPr="000561DB">
        <w:rPr>
          <w:rFonts w:cs="Arial"/>
        </w:rPr>
        <w:t>an 80</w:t>
      </w:r>
      <w:r w:rsidR="00B76D8B">
        <w:rPr>
          <w:rFonts w:cs="Arial"/>
        </w:rPr>
        <w:t xml:space="preserve"> per cent</w:t>
      </w:r>
      <w:r w:rsidR="000561DB" w:rsidRPr="000561DB">
        <w:rPr>
          <w:rFonts w:cs="Arial"/>
        </w:rPr>
        <w:t xml:space="preserve"> gas mixture </w:t>
      </w:r>
      <w:r>
        <w:rPr>
          <w:rFonts w:cs="Arial"/>
        </w:rPr>
        <w:t>resulted in</w:t>
      </w:r>
      <w:r w:rsidR="000561DB" w:rsidRPr="000561DB">
        <w:rPr>
          <w:rFonts w:cs="Arial"/>
        </w:rPr>
        <w:t xml:space="preserve"> no </w:t>
      </w:r>
      <w:r w:rsidR="005F3C88">
        <w:rPr>
          <w:rFonts w:cs="Arial"/>
        </w:rPr>
        <w:t>adverse</w:t>
      </w:r>
      <w:r w:rsidR="005F3C88" w:rsidRPr="000561DB">
        <w:rPr>
          <w:rFonts w:cs="Arial"/>
        </w:rPr>
        <w:t xml:space="preserve"> </w:t>
      </w:r>
      <w:r w:rsidR="000561DB" w:rsidRPr="000561DB">
        <w:rPr>
          <w:rFonts w:cs="Arial"/>
        </w:rPr>
        <w:t>effects</w:t>
      </w:r>
      <w:r w:rsidR="00B76D8B">
        <w:rPr>
          <w:rFonts w:cs="Arial"/>
        </w:rPr>
        <w:t>. B</w:t>
      </w:r>
      <w:r>
        <w:rPr>
          <w:rFonts w:cs="Arial"/>
        </w:rPr>
        <w:t>ased on this</w:t>
      </w:r>
      <w:r w:rsidR="00B76D8B">
        <w:rPr>
          <w:rFonts w:cs="Arial"/>
        </w:rPr>
        <w:t>,</w:t>
      </w:r>
      <w:r>
        <w:rPr>
          <w:rFonts w:cs="Arial"/>
        </w:rPr>
        <w:t xml:space="preserve"> </w:t>
      </w:r>
      <w:proofErr w:type="spellStart"/>
      <w:r w:rsidR="006B7C9D">
        <w:rPr>
          <w:rFonts w:cs="Arial"/>
        </w:rPr>
        <w:t>s</w:t>
      </w:r>
      <w:r w:rsidRPr="000561DB">
        <w:rPr>
          <w:rFonts w:cs="Arial"/>
        </w:rPr>
        <w:t>ul</w:t>
      </w:r>
      <w:r w:rsidR="006B7C9D">
        <w:rPr>
          <w:rFonts w:cs="Arial"/>
        </w:rPr>
        <w:t>f</w:t>
      </w:r>
      <w:r w:rsidRPr="000561DB">
        <w:rPr>
          <w:rFonts w:cs="Arial"/>
        </w:rPr>
        <w:t>ur</w:t>
      </w:r>
      <w:proofErr w:type="spellEnd"/>
      <w:r w:rsidRPr="000561DB">
        <w:rPr>
          <w:rFonts w:cs="Arial"/>
        </w:rPr>
        <w:t xml:space="preserve"> hexafluoride </w:t>
      </w:r>
      <w:r>
        <w:rPr>
          <w:rFonts w:cs="Arial"/>
        </w:rPr>
        <w:t xml:space="preserve">is </w:t>
      </w:r>
      <w:r w:rsidR="000561DB" w:rsidRPr="000561DB">
        <w:rPr>
          <w:rFonts w:cs="Arial"/>
        </w:rPr>
        <w:t>considered pharmacologically inactive</w:t>
      </w:r>
      <w:r>
        <w:rPr>
          <w:rFonts w:cs="Arial"/>
        </w:rPr>
        <w:t xml:space="preserve"> (ACGIH 2018).</w:t>
      </w:r>
    </w:p>
    <w:p w14:paraId="50BB81F0" w14:textId="24E34D11" w:rsidR="001E12F5" w:rsidRDefault="001E12F5" w:rsidP="000561DB">
      <w:pPr>
        <w:rPr>
          <w:rFonts w:cs="Arial"/>
        </w:rPr>
      </w:pPr>
      <w:r w:rsidRPr="000561DB">
        <w:t>The</w:t>
      </w:r>
      <w:r w:rsidR="00B76D8B">
        <w:t xml:space="preserve"> critical effect is</w:t>
      </w:r>
      <w:r w:rsidRPr="000561DB">
        <w:t xml:space="preserve"> a result of the displacement of </w:t>
      </w:r>
      <w:r w:rsidR="00151D7E">
        <w:t>oxygen in air</w:t>
      </w:r>
      <w:r w:rsidR="00B76D8B">
        <w:t>. H</w:t>
      </w:r>
      <w:r>
        <w:t>owever</w:t>
      </w:r>
      <w:r w:rsidR="00B76D8B">
        <w:t>,</w:t>
      </w:r>
      <w:r>
        <w:t xml:space="preserve"> no chronic studies </w:t>
      </w:r>
      <w:r w:rsidR="005926F0">
        <w:t xml:space="preserve">are available </w:t>
      </w:r>
      <w:r>
        <w:t>to confirm this. Accordingly, the</w:t>
      </w:r>
      <w:r w:rsidRPr="00006719">
        <w:t xml:space="preserve"> TWA of 1</w:t>
      </w:r>
      <w:r w:rsidR="002E2F32">
        <w:t>,</w:t>
      </w:r>
      <w:r w:rsidRPr="00006719">
        <w:t>000 ppm is recommended</w:t>
      </w:r>
      <w:r>
        <w:t xml:space="preserve"> </w:t>
      </w:r>
      <w:r w:rsidR="005F3C88">
        <w:t xml:space="preserve">to be retained. It is the same as the OEL by ACGIH and DFG </w:t>
      </w:r>
      <w:r>
        <w:t>and is considered sufficien</w:t>
      </w:r>
      <w:r w:rsidR="00B76D8B">
        <w:t>tl</w:t>
      </w:r>
      <w:r w:rsidR="006B7C9D">
        <w:t>y</w:t>
      </w:r>
      <w:r>
        <w:t xml:space="preserve"> protect</w:t>
      </w:r>
      <w:r w:rsidR="006B7C9D">
        <w:t>ive</w:t>
      </w:r>
      <w:r>
        <w:t xml:space="preserve"> for asphyxiation </w:t>
      </w:r>
      <w:r w:rsidRPr="00D078DB">
        <w:rPr>
          <w:rFonts w:cs="Arial"/>
        </w:rPr>
        <w:t>in exposed workers</w:t>
      </w:r>
      <w:r>
        <w:rPr>
          <w:rFonts w:cs="Arial"/>
        </w:rPr>
        <w:t>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0561DB" w:rsidRDefault="008E4F1F" w:rsidP="008E4F1F">
      <w:pPr>
        <w:rPr>
          <w:rFonts w:cs="Arial"/>
        </w:rPr>
      </w:pPr>
      <w:r w:rsidRPr="000561DB">
        <w:rPr>
          <w:rFonts w:cs="Arial"/>
        </w:rPr>
        <w:t>Not classified as a carcinogen according to the Globally Harmonized System of</w:t>
      </w:r>
      <w:r w:rsidR="00155999" w:rsidRPr="000561DB">
        <w:rPr>
          <w:rFonts w:cs="Arial"/>
        </w:rPr>
        <w:t xml:space="preserve"> Classification and Labelling of</w:t>
      </w:r>
      <w:r w:rsidRPr="000561DB">
        <w:rPr>
          <w:rFonts w:cs="Arial"/>
        </w:rPr>
        <w:t xml:space="preserve"> Chemicals (GHS). </w:t>
      </w:r>
    </w:p>
    <w:p w14:paraId="03916CCC" w14:textId="77777777" w:rsidR="008E4F1F" w:rsidRPr="000561DB" w:rsidRDefault="008E4F1F" w:rsidP="008E4F1F">
      <w:pPr>
        <w:rPr>
          <w:rFonts w:cs="Arial"/>
        </w:rPr>
      </w:pPr>
      <w:r w:rsidRPr="000561DB">
        <w:rPr>
          <w:rFonts w:cs="Arial"/>
        </w:rPr>
        <w:t xml:space="preserve">Not classified as a skin </w:t>
      </w:r>
      <w:r w:rsidR="00155999" w:rsidRPr="000561DB">
        <w:rPr>
          <w:rFonts w:cs="Arial"/>
        </w:rPr>
        <w:t xml:space="preserve">sensitiser </w:t>
      </w:r>
      <w:r w:rsidRPr="000561DB">
        <w:rPr>
          <w:rFonts w:cs="Arial"/>
        </w:rPr>
        <w:t>or respiratory sensitiser according to the GHS.</w:t>
      </w:r>
    </w:p>
    <w:p w14:paraId="7D0772D2" w14:textId="6460B87C" w:rsidR="004529F0" w:rsidRPr="004C23F4" w:rsidRDefault="006B7C9D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0561DB">
        <w:rPr>
          <w:rFonts w:cs="Arial"/>
        </w:rPr>
        <w:t xml:space="preserve">nsufficient </w:t>
      </w:r>
      <w:r>
        <w:rPr>
          <w:rFonts w:cs="Arial"/>
        </w:rPr>
        <w:t>data</w:t>
      </w:r>
      <w:r w:rsidRPr="000561DB">
        <w:rPr>
          <w:rFonts w:cs="Arial"/>
        </w:rPr>
        <w:t xml:space="preserve"> </w:t>
      </w:r>
      <w:r w:rsidR="008E4F1F" w:rsidRPr="000561DB">
        <w:rPr>
          <w:rFonts w:cs="Arial"/>
        </w:rPr>
        <w:t>to recommend a skin notation.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997F0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997F0A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3531FF3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72D0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72D0F">
                  <w:t>TWA: 1</w:t>
                </w:r>
                <w:r w:rsidR="002E2F32">
                  <w:t>,</w:t>
                </w:r>
                <w:r w:rsidR="00372D0F">
                  <w:t>000 ppm (5</w:t>
                </w:r>
                <w:r w:rsidR="002E2F32">
                  <w:t>,</w:t>
                </w:r>
                <w:r w:rsidR="00372D0F">
                  <w:t>970 mg/m</w:t>
                </w:r>
                <w:r w:rsidR="00372D0F" w:rsidRPr="00372D0F">
                  <w:rPr>
                    <w:vertAlign w:val="superscript"/>
                  </w:rPr>
                  <w:t>3</w:t>
                </w:r>
                <w:r w:rsidR="00372D0F">
                  <w:t>)</w:t>
                </w:r>
              </w:sdtContent>
            </w:sdt>
          </w:p>
        </w:tc>
      </w:tr>
      <w:tr w:rsidR="00C978F0" w:rsidRPr="00DA352E" w14:paraId="26087DDB" w14:textId="77777777" w:rsidTr="00997F0A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997F0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06C7AC8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72D0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72D0F">
                  <w:t>TLV-TWA: 1</w:t>
                </w:r>
                <w:r w:rsidR="002E2F32">
                  <w:t>,</w:t>
                </w:r>
                <w:r w:rsidR="00372D0F">
                  <w:t>000 ppm (5</w:t>
                </w:r>
                <w:r w:rsidR="002E2F32">
                  <w:t>,</w:t>
                </w:r>
                <w:r w:rsidR="00372D0F">
                  <w:t>970 mg/m</w:t>
                </w:r>
                <w:r w:rsidR="00372D0F" w:rsidRPr="00372D0F">
                  <w:rPr>
                    <w:vertAlign w:val="superscript"/>
                  </w:rPr>
                  <w:t>3</w:t>
                </w:r>
                <w:r w:rsidR="00372D0F">
                  <w:t>)</w:t>
                </w:r>
              </w:sdtContent>
            </w:sdt>
          </w:p>
        </w:tc>
      </w:tr>
      <w:tr w:rsidR="00C978F0" w:rsidRPr="00DA352E" w14:paraId="418D532D" w14:textId="77777777" w:rsidTr="00997F0A">
        <w:trPr>
          <w:gridAfter w:val="1"/>
          <w:wAfter w:w="8" w:type="pct"/>
          <w:cantSplit/>
        </w:trPr>
        <w:tc>
          <w:tcPr>
            <w:tcW w:w="4992" w:type="pct"/>
          </w:tcPr>
          <w:p w14:paraId="565301FE" w14:textId="00053571" w:rsidR="00006719" w:rsidRDefault="00006719" w:rsidP="00006719">
            <w:pPr>
              <w:pStyle w:val="Tabletextprimarysource"/>
            </w:pPr>
            <w:r>
              <w:t>TLV-TWA recommended to minimise the risk of asphyxiation in exposed workers</w:t>
            </w:r>
            <w:r w:rsidR="002E2F32">
              <w:t>.</w:t>
            </w:r>
          </w:p>
          <w:p w14:paraId="49804829" w14:textId="7583E5E2" w:rsidR="00006719" w:rsidRDefault="00006719" w:rsidP="00006719">
            <w:pPr>
              <w:pStyle w:val="Tabletextprimarysource"/>
            </w:pPr>
            <w:r>
              <w:t>Summary of data:</w:t>
            </w:r>
          </w:p>
          <w:p w14:paraId="60170842" w14:textId="1370C734" w:rsidR="00006719" w:rsidRDefault="000561DB" w:rsidP="00006719">
            <w:pPr>
              <w:pStyle w:val="Tabletextprimarysource"/>
            </w:pPr>
            <w:r w:rsidRPr="000561DB">
              <w:t xml:space="preserve">The </w:t>
            </w:r>
            <w:r w:rsidR="003137FB">
              <w:t>primary</w:t>
            </w:r>
            <w:r w:rsidR="003137FB" w:rsidRPr="000561DB">
              <w:t xml:space="preserve"> </w:t>
            </w:r>
            <w:r w:rsidRPr="000561DB">
              <w:t xml:space="preserve">hazard </w:t>
            </w:r>
            <w:r w:rsidR="003137FB">
              <w:t>considered</w:t>
            </w:r>
            <w:r w:rsidRPr="000561DB">
              <w:t xml:space="preserve"> to be asphyxiation </w:t>
            </w:r>
            <w:proofErr w:type="gramStart"/>
            <w:r w:rsidRPr="000561DB">
              <w:t>as a result of</w:t>
            </w:r>
            <w:proofErr w:type="gramEnd"/>
            <w:r w:rsidRPr="000561DB">
              <w:t xml:space="preserve"> the displacement of air</w:t>
            </w:r>
            <w:r>
              <w:t>, accordingly the</w:t>
            </w:r>
            <w:r w:rsidR="00006719" w:rsidRPr="00006719">
              <w:t xml:space="preserve"> TLV–TWA of 1</w:t>
            </w:r>
            <w:r w:rsidR="00452152">
              <w:t>,</w:t>
            </w:r>
            <w:r w:rsidR="00006719" w:rsidRPr="00006719">
              <w:t xml:space="preserve">000 ppm </w:t>
            </w:r>
            <w:r w:rsidR="00632C84" w:rsidRPr="00006719">
              <w:t xml:space="preserve">is recommended </w:t>
            </w:r>
            <w:r w:rsidR="00006719" w:rsidRPr="00006719">
              <w:t>based on good occupational hygiene practice</w:t>
            </w:r>
            <w:r w:rsidR="00452152">
              <w:t>.</w:t>
            </w:r>
            <w:r w:rsidR="00006719" w:rsidRPr="00006719">
              <w:t xml:space="preserve"> </w:t>
            </w:r>
          </w:p>
          <w:p w14:paraId="35D569BC" w14:textId="77777777" w:rsidR="00006719" w:rsidRDefault="00006719" w:rsidP="00006719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ind w:left="360" w:hanging="360"/>
            </w:pPr>
            <w:r>
              <w:t>Animal data:</w:t>
            </w:r>
          </w:p>
          <w:p w14:paraId="3A0164BF" w14:textId="7D398FCD" w:rsidR="00006719" w:rsidRDefault="00006719" w:rsidP="002E2F32">
            <w:pPr>
              <w:pStyle w:val="ListBullet"/>
              <w:ind w:left="720"/>
            </w:pPr>
            <w:r>
              <w:t xml:space="preserve">50 rats exposed to 80% gas mixture (20% </w:t>
            </w:r>
            <w:r w:rsidR="006B7C9D">
              <w:t>O</w:t>
            </w:r>
            <w:r w:rsidR="006B7C9D" w:rsidRPr="006B7C9D">
              <w:rPr>
                <w:vertAlign w:val="subscript"/>
              </w:rPr>
              <w:t>2</w:t>
            </w:r>
            <w:r>
              <w:t>) for 16</w:t>
            </w:r>
            <w:r w:rsidR="001800DE">
              <w:t>–</w:t>
            </w:r>
            <w:r>
              <w:t xml:space="preserve">24 h showed no </w:t>
            </w:r>
            <w:r w:rsidR="005F3C88">
              <w:t xml:space="preserve">adverse </w:t>
            </w:r>
            <w:r>
              <w:t>effects</w:t>
            </w:r>
            <w:r w:rsidR="005F3C88">
              <w:t xml:space="preserve">. Compound </w:t>
            </w:r>
            <w:r>
              <w:t>considered pharmacologically inactive</w:t>
            </w:r>
            <w:r w:rsidR="002E2F32">
              <w:t>.</w:t>
            </w:r>
          </w:p>
          <w:p w14:paraId="2171F238" w14:textId="77777777" w:rsidR="00B76D8B" w:rsidRDefault="00B76D8B" w:rsidP="00006719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04749A8D" w14:textId="77777777" w:rsidR="00C978F0" w:rsidRDefault="00006719" w:rsidP="00006719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Insufficient data to recommend a skin, sensitiser or carcinogen notation.</w:t>
            </w:r>
          </w:p>
          <w:p w14:paraId="0CE4D35D" w14:textId="2B660904" w:rsidR="00B76D8B" w:rsidRPr="00DA352E" w:rsidRDefault="00B76D8B" w:rsidP="00006719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174F8B79" w14:textId="77777777" w:rsidTr="00997F0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0B690CE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72D0F">
                  <w:t>1958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72D0F">
                  <w:t>MAK: 1</w:t>
                </w:r>
                <w:r w:rsidR="002E2F32">
                  <w:t>,</w:t>
                </w:r>
                <w:r w:rsidR="00372D0F">
                  <w:t>000 ppm (6</w:t>
                </w:r>
                <w:r w:rsidR="002E2F32">
                  <w:t>,</w:t>
                </w:r>
                <w:r w:rsidR="00372D0F">
                  <w:t>100 mg/m</w:t>
                </w:r>
                <w:r w:rsidR="00372D0F" w:rsidRPr="00372D0F">
                  <w:rPr>
                    <w:vertAlign w:val="superscript"/>
                  </w:rPr>
                  <w:t>3</w:t>
                </w:r>
                <w:r w:rsidR="00372D0F">
                  <w:t>)</w:t>
                </w:r>
              </w:sdtContent>
            </w:sdt>
          </w:p>
        </w:tc>
      </w:tr>
      <w:tr w:rsidR="00C978F0" w:rsidRPr="00DA352E" w14:paraId="4433014F" w14:textId="77777777" w:rsidTr="00997F0A">
        <w:trPr>
          <w:gridAfter w:val="1"/>
          <w:wAfter w:w="8" w:type="pct"/>
          <w:cantSplit/>
        </w:trPr>
        <w:tc>
          <w:tcPr>
            <w:tcW w:w="4992" w:type="pct"/>
          </w:tcPr>
          <w:p w14:paraId="683BD005" w14:textId="77777777" w:rsidR="00C978F0" w:rsidRDefault="000561DB" w:rsidP="000561DB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The MAK value is not toxicological</w:t>
            </w:r>
            <w:r w:rsidR="006B7C9D">
              <w:rPr>
                <w:rFonts w:cs="Arial"/>
                <w:color w:val="1C1D1E"/>
                <w:shd w:val="clear" w:color="auto" w:fill="FFFFFF"/>
              </w:rPr>
              <w:t xml:space="preserve"> based</w:t>
            </w:r>
            <w:r w:rsidR="00B76D8B">
              <w:rPr>
                <w:rFonts w:cs="Arial"/>
                <w:color w:val="1C1D1E"/>
                <w:shd w:val="clear" w:color="auto" w:fill="FFFFFF"/>
              </w:rPr>
              <w:t>;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justified by occupational hygiene (no further justification provided)</w:t>
            </w:r>
            <w:r w:rsidR="00452152">
              <w:rPr>
                <w:rFonts w:cs="Arial"/>
                <w:color w:val="1C1D1E"/>
                <w:shd w:val="clear" w:color="auto" w:fill="FFFFFF"/>
              </w:rPr>
              <w:t>.</w:t>
            </w:r>
            <w:r>
              <w:rPr>
                <w:rFonts w:cs="Arial"/>
                <w:color w:val="1C1D1E"/>
                <w:shd w:val="clear" w:color="auto" w:fill="FFFFFF"/>
              </w:rPr>
              <w:t> </w:t>
            </w:r>
          </w:p>
          <w:p w14:paraId="61A64F09" w14:textId="28373011" w:rsidR="003137FB" w:rsidRPr="000561DB" w:rsidRDefault="003137FB" w:rsidP="000561DB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</w:p>
        </w:tc>
      </w:tr>
      <w:tr w:rsidR="00C978F0" w:rsidRPr="00DA352E" w14:paraId="0E6A0B2C" w14:textId="77777777" w:rsidTr="00997F0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3B8BDB0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72D0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372D0F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997F0A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6C522ED5" w:rsidR="00C978F0" w:rsidRPr="00DA352E" w:rsidRDefault="00372D0F" w:rsidP="003365A5">
            <w:pPr>
              <w:pStyle w:val="Tabletextprimarysource"/>
            </w:pPr>
            <w:r>
              <w:t>No report</w:t>
            </w:r>
            <w:r w:rsidR="00452152">
              <w:t>.</w:t>
            </w:r>
          </w:p>
        </w:tc>
      </w:tr>
      <w:tr w:rsidR="00DA352E" w:rsidRPr="00DA352E" w14:paraId="12BAB90D" w14:textId="77777777" w:rsidTr="00997F0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5F30A04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72D0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72D0F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997F0A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27DB98E4" w:rsidR="00DA352E" w:rsidRPr="00DA352E" w:rsidRDefault="00372D0F" w:rsidP="003365A5">
            <w:pPr>
              <w:pStyle w:val="Tabletextprimarysource"/>
            </w:pPr>
            <w:r>
              <w:t>No report</w:t>
            </w:r>
            <w:r w:rsidR="00452152">
              <w:t>.</w:t>
            </w:r>
          </w:p>
        </w:tc>
      </w:tr>
      <w:tr w:rsidR="00DA352E" w:rsidRPr="00DA352E" w14:paraId="605F758C" w14:textId="77777777" w:rsidTr="00997F0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1270CE3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72D0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372D0F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997F0A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2E8531E1" w:rsidR="00DA352E" w:rsidRPr="00DA352E" w:rsidRDefault="00372D0F" w:rsidP="003365A5">
            <w:pPr>
              <w:pStyle w:val="Tabletextprimarysource"/>
            </w:pPr>
            <w:r>
              <w:t>No report</w:t>
            </w:r>
            <w:r w:rsidR="00452152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3C28C474" w:rsidR="007E2A4B" w:rsidRDefault="000561DB">
      <w:r>
        <w:t>NIL</w:t>
      </w:r>
      <w:r w:rsidR="00B76D8B">
        <w:t>.</w:t>
      </w:r>
    </w:p>
    <w:bookmarkEnd w:id="0"/>
    <w:p w14:paraId="04408E29" w14:textId="77777777" w:rsidR="007E2A4B" w:rsidRDefault="007E2A4B" w:rsidP="006B7C9D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0561DB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6B7C9D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23EF0FD2" w:rsidR="002E0D61" w:rsidRDefault="000561DB" w:rsidP="006B7C9D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0561DB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6B7C9D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45FB19D4" w:rsidR="008A36CF" w:rsidRDefault="000561DB" w:rsidP="006B7C9D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76D8B" w14:paraId="4D6DDFA3" w14:textId="77777777" w:rsidTr="00952B8B">
        <w:trPr>
          <w:trHeight w:val="454"/>
        </w:trPr>
        <w:sdt>
          <w:sdtPr>
            <w:rPr>
              <w:b/>
            </w:rPr>
            <w:id w:val="1830936485"/>
            <w:placeholder>
              <w:docPart w:val="7EC99EE52FD24CB1992C77F12B828A56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009A6EC6" w:rsidR="00B76D8B" w:rsidRDefault="00B76D8B" w:rsidP="006B7C9D">
                <w:pPr>
                  <w:pStyle w:val="Tablefont"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52152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997F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B76D8B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B76D8B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997F0A">
        <w:tc>
          <w:tcPr>
            <w:tcW w:w="3227" w:type="dxa"/>
          </w:tcPr>
          <w:p w14:paraId="37396CB4" w14:textId="77777777" w:rsidR="004079B4" w:rsidRPr="004C23F4" w:rsidRDefault="00084513" w:rsidP="00B76D8B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0B8D0022" w:rsidR="00687890" w:rsidRPr="00DD2F9B" w:rsidRDefault="00372D0F" w:rsidP="00B76D8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997F0A">
        <w:tc>
          <w:tcPr>
            <w:tcW w:w="3227" w:type="dxa"/>
          </w:tcPr>
          <w:p w14:paraId="14F1C6D0" w14:textId="77777777" w:rsidR="004079B4" w:rsidRPr="004C23F4" w:rsidRDefault="007925F0" w:rsidP="00B76D8B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63DA8F5D" w:rsidR="007925F0" w:rsidRPr="00DD2F9B" w:rsidRDefault="00372D0F" w:rsidP="00B76D8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997F0A">
        <w:tc>
          <w:tcPr>
            <w:tcW w:w="3227" w:type="dxa"/>
          </w:tcPr>
          <w:p w14:paraId="2C657AD0" w14:textId="77777777" w:rsidR="00AF483F" w:rsidRPr="004C23F4" w:rsidRDefault="00AF483F" w:rsidP="00B76D8B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57829689" w:rsidR="00AF483F" w:rsidRPr="00DD2F9B" w:rsidRDefault="00372D0F" w:rsidP="00B76D8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997F0A">
        <w:tc>
          <w:tcPr>
            <w:tcW w:w="3227" w:type="dxa"/>
          </w:tcPr>
          <w:p w14:paraId="27285614" w14:textId="77777777" w:rsidR="004079B4" w:rsidRPr="004C23F4" w:rsidRDefault="00687890" w:rsidP="00B76D8B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7FE0F35A" w:rsidR="00687890" w:rsidRPr="00DD2F9B" w:rsidRDefault="00372D0F" w:rsidP="00B76D8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997F0A">
        <w:tc>
          <w:tcPr>
            <w:tcW w:w="3227" w:type="dxa"/>
          </w:tcPr>
          <w:p w14:paraId="09B172BE" w14:textId="77777777" w:rsidR="00E41A26" w:rsidRDefault="00E41A26" w:rsidP="00B76D8B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5A3F19F8" w:rsidR="00E41A26" w:rsidRPr="00DD2F9B" w:rsidRDefault="00372D0F" w:rsidP="00B76D8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997F0A">
        <w:tc>
          <w:tcPr>
            <w:tcW w:w="3227" w:type="dxa"/>
          </w:tcPr>
          <w:p w14:paraId="4D22C7D5" w14:textId="77777777" w:rsidR="004079B4" w:rsidRPr="004C23F4" w:rsidRDefault="002E0D61" w:rsidP="00B76D8B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03CE2967" w:rsidR="002E0D61" w:rsidRPr="00DD2F9B" w:rsidRDefault="00372D0F" w:rsidP="00B76D8B">
            <w:pPr>
              <w:pStyle w:val="Tablefont"/>
            </w:pPr>
            <w:r>
              <w:t>—</w:t>
            </w:r>
          </w:p>
        </w:tc>
      </w:tr>
      <w:tr w:rsidR="002E0D61" w:rsidRPr="004C23F4" w14:paraId="43FA3590" w14:textId="77777777" w:rsidTr="00997F0A">
        <w:tc>
          <w:tcPr>
            <w:tcW w:w="3227" w:type="dxa"/>
          </w:tcPr>
          <w:p w14:paraId="5F590D05" w14:textId="77777777" w:rsidR="004079B4" w:rsidRPr="004C23F4" w:rsidRDefault="002E0D61" w:rsidP="00B76D8B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2B420472" w:rsidR="002E0D61" w:rsidRPr="00DD2F9B" w:rsidRDefault="00372D0F" w:rsidP="00B76D8B">
            <w:pPr>
              <w:pStyle w:val="Tablefont"/>
            </w:pPr>
            <w:r>
              <w:t>—</w:t>
            </w:r>
          </w:p>
        </w:tc>
      </w:tr>
      <w:tr w:rsidR="002E0D61" w:rsidRPr="004C23F4" w14:paraId="2AC7B866" w14:textId="77777777" w:rsidTr="00997F0A">
        <w:tc>
          <w:tcPr>
            <w:tcW w:w="3227" w:type="dxa"/>
          </w:tcPr>
          <w:p w14:paraId="70E5B2BF" w14:textId="77777777" w:rsidR="004079B4" w:rsidRPr="004C23F4" w:rsidRDefault="002E0D61" w:rsidP="00B76D8B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4381CFE6" w:rsidR="002E0D61" w:rsidRPr="00DD2F9B" w:rsidRDefault="00372D0F" w:rsidP="00B76D8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997F0A">
        <w:tc>
          <w:tcPr>
            <w:tcW w:w="3227" w:type="dxa"/>
          </w:tcPr>
          <w:p w14:paraId="4AF9E8D6" w14:textId="77777777" w:rsidR="004079B4" w:rsidRDefault="002E0D61" w:rsidP="00B76D8B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366AD347" w:rsidR="002E0D61" w:rsidRPr="00DD2F9B" w:rsidRDefault="00372D0F" w:rsidP="00B76D8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997F0A">
        <w:tc>
          <w:tcPr>
            <w:tcW w:w="3227" w:type="dxa"/>
          </w:tcPr>
          <w:p w14:paraId="04F98936" w14:textId="77777777" w:rsidR="004079B4" w:rsidRDefault="00386093" w:rsidP="00B76D8B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503EDBD7" w:rsidR="00386093" w:rsidRPr="00DD2F9B" w:rsidRDefault="00372D0F" w:rsidP="00B76D8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997F0A">
        <w:tc>
          <w:tcPr>
            <w:tcW w:w="3227" w:type="dxa"/>
          </w:tcPr>
          <w:p w14:paraId="1086B376" w14:textId="77777777" w:rsidR="004079B4" w:rsidRDefault="00386093" w:rsidP="00B76D8B">
            <w:pPr>
              <w:pStyle w:val="Tablefont"/>
            </w:pPr>
            <w:r>
              <w:t>US NIOSH</w:t>
            </w:r>
          </w:p>
        </w:tc>
        <w:tc>
          <w:tcPr>
            <w:tcW w:w="6015" w:type="dxa"/>
          </w:tcPr>
          <w:p w14:paraId="1A9F8299" w14:textId="4B9AEFD6" w:rsidR="00386093" w:rsidRPr="00DD2F9B" w:rsidRDefault="00372D0F" w:rsidP="00B76D8B">
            <w:pPr>
              <w:pStyle w:val="Tablefont"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0E30319A" w:rsidR="00474E33" w:rsidRDefault="00474E33" w:rsidP="00474E33">
      <w:pPr>
        <w:pStyle w:val="Heading3"/>
      </w:pPr>
      <w:r>
        <w:t>Skin notation assessment</w:t>
      </w:r>
    </w:p>
    <w:p w14:paraId="69EBAC19" w14:textId="1B93D2EB" w:rsidR="000561DB" w:rsidRPr="000561DB" w:rsidRDefault="000561DB" w:rsidP="000561DB">
      <w:pPr>
        <w:rPr>
          <w:lang w:eastAsia="en-AU"/>
        </w:rPr>
      </w:pPr>
      <w:r>
        <w:t>Insufficient data to assign a skin notation</w:t>
      </w:r>
      <w:r w:rsidR="00B76D8B">
        <w:t>.</w:t>
      </w:r>
    </w:p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46C0E62F" w:rsidR="00EB3D1B" w:rsidRDefault="00372D0F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178A3700" w:rsidR="001B79E5" w:rsidRDefault="00372D0F" w:rsidP="001B79E5">
                <w:pPr>
                  <w:pStyle w:val="Tablefont"/>
                </w:pPr>
                <w:r w:rsidRPr="00372D0F">
                  <w:t>146.06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5CAA7E3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72D0F">
                  <w:t>6.01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372D0F">
                  <w:t>0.166</w:t>
                </w:r>
              </w:sdtContent>
            </w:sdt>
            <w:r w:rsidRPr="00372D0F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CB059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17B0753" w14:textId="465C2588" w:rsidR="008E4F1F" w:rsidRPr="000561DB" w:rsidRDefault="008E4F1F" w:rsidP="00084859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372D0F" w:rsidRPr="00372D0F">
        <w:t>2002</w:t>
      </w:r>
      <w:r>
        <w:t xml:space="preserve">) </w:t>
      </w:r>
      <w:proofErr w:type="spellStart"/>
      <w:r w:rsidR="00372D0F" w:rsidRPr="00372D0F">
        <w:t>Schwefelhexafluorid</w:t>
      </w:r>
      <w:proofErr w:type="spellEnd"/>
      <w:r>
        <w:t xml:space="preserve"> – MAK value documentation.</w:t>
      </w:r>
    </w:p>
    <w:sectPr w:rsidR="008E4F1F" w:rsidRPr="000561DB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0C638" w14:textId="77777777" w:rsidR="004E6E83" w:rsidRDefault="004E6E83" w:rsidP="00F43AD5">
      <w:pPr>
        <w:spacing w:after="0" w:line="240" w:lineRule="auto"/>
      </w:pPr>
      <w:r>
        <w:separator/>
      </w:r>
    </w:p>
  </w:endnote>
  <w:endnote w:type="continuationSeparator" w:id="0">
    <w:p w14:paraId="645084E9" w14:textId="77777777" w:rsidR="004E6E83" w:rsidRDefault="004E6E8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09B5FC91" w:rsidR="008A36CF" w:rsidRDefault="00372D0F" w:rsidP="0034744C">
        <w:pPr>
          <w:pStyle w:val="Footer"/>
          <w:rPr>
            <w:sz w:val="18"/>
            <w:szCs w:val="18"/>
          </w:rPr>
        </w:pPr>
        <w:proofErr w:type="spellStart"/>
        <w:r w:rsidRPr="00372D0F">
          <w:rPr>
            <w:b/>
            <w:sz w:val="18"/>
            <w:szCs w:val="18"/>
          </w:rPr>
          <w:t>Sul</w:t>
        </w:r>
        <w:r w:rsidR="006B7C9D">
          <w:rPr>
            <w:b/>
            <w:sz w:val="18"/>
            <w:szCs w:val="18"/>
          </w:rPr>
          <w:t>f</w:t>
        </w:r>
        <w:r w:rsidRPr="00372D0F">
          <w:rPr>
            <w:b/>
            <w:sz w:val="18"/>
            <w:szCs w:val="18"/>
          </w:rPr>
          <w:t>ur</w:t>
        </w:r>
        <w:proofErr w:type="spellEnd"/>
        <w:r w:rsidRPr="00372D0F">
          <w:rPr>
            <w:b/>
            <w:sz w:val="18"/>
            <w:szCs w:val="18"/>
          </w:rPr>
          <w:t xml:space="preserve"> hexafluoride</w:t>
        </w:r>
        <w:r w:rsidR="008A36CF">
          <w:rPr>
            <w:b/>
            <w:sz w:val="18"/>
            <w:szCs w:val="18"/>
          </w:rPr>
          <w:t xml:space="preserve"> (</w:t>
        </w:r>
        <w:r w:rsidRPr="00372D0F">
          <w:rPr>
            <w:b/>
            <w:sz w:val="18"/>
            <w:szCs w:val="18"/>
          </w:rPr>
          <w:t>2551-62-4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6B7C9D" w:rsidRPr="00F43AD5">
          <w:rPr>
            <w:sz w:val="18"/>
            <w:szCs w:val="18"/>
          </w:rPr>
          <w:t>20</w:t>
        </w:r>
        <w:r w:rsidR="006B7C9D">
          <w:rPr>
            <w:sz w:val="18"/>
            <w:szCs w:val="18"/>
          </w:rPr>
          <w:t>20</w:t>
        </w:r>
      </w:p>
      <w:p w14:paraId="2D517F5E" w14:textId="700F7F4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300BC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B39AB" w14:textId="77777777" w:rsidR="004E6E83" w:rsidRDefault="004E6E83" w:rsidP="00F43AD5">
      <w:pPr>
        <w:spacing w:after="0" w:line="240" w:lineRule="auto"/>
      </w:pPr>
      <w:r>
        <w:separator/>
      </w:r>
    </w:p>
  </w:footnote>
  <w:footnote w:type="continuationSeparator" w:id="0">
    <w:p w14:paraId="43E69AF4" w14:textId="77777777" w:rsidR="004E6E83" w:rsidRDefault="004E6E8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4BDC8" w14:textId="6933D58A" w:rsidR="00997F0A" w:rsidRDefault="00997F0A" w:rsidP="00997F0A">
    <w:pPr>
      <w:pStyle w:val="Header"/>
      <w:jc w:val="right"/>
    </w:pPr>
    <w:r>
      <w:rPr>
        <w:noProof/>
        <w:lang w:eastAsia="en-AU"/>
      </w:rPr>
      <w:drawing>
        <wp:inline distT="0" distB="0" distL="0" distR="0" wp14:anchorId="0B5344D8" wp14:editId="42C995EF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2C7612FE" w:rsidR="008A36CF" w:rsidRPr="00997F0A" w:rsidRDefault="008A36CF" w:rsidP="00997F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91CBA" w14:textId="4EB40CFF" w:rsidR="00997F0A" w:rsidRDefault="00997F0A" w:rsidP="00997F0A">
    <w:pPr>
      <w:pStyle w:val="Header"/>
      <w:jc w:val="right"/>
    </w:pPr>
    <w:r>
      <w:rPr>
        <w:noProof/>
        <w:lang w:eastAsia="en-AU"/>
      </w:rPr>
      <w:drawing>
        <wp:inline distT="0" distB="0" distL="0" distR="0" wp14:anchorId="51CFFCFB" wp14:editId="6F63B8DE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3D64F492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A1854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39300729">
    <w:abstractNumId w:val="0"/>
  </w:num>
  <w:num w:numId="2" w16cid:durableId="933513237">
    <w:abstractNumId w:val="0"/>
  </w:num>
  <w:num w:numId="3" w16cid:durableId="1264535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71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1DB"/>
    <w:rsid w:val="00056EC2"/>
    <w:rsid w:val="00060B48"/>
    <w:rsid w:val="00067F32"/>
    <w:rsid w:val="00071807"/>
    <w:rsid w:val="000803E1"/>
    <w:rsid w:val="000814BC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1D7E"/>
    <w:rsid w:val="0015266D"/>
    <w:rsid w:val="0015288A"/>
    <w:rsid w:val="00155999"/>
    <w:rsid w:val="00160F47"/>
    <w:rsid w:val="00177CA1"/>
    <w:rsid w:val="001800DE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12F5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2F32"/>
    <w:rsid w:val="002E4C7B"/>
    <w:rsid w:val="002F2554"/>
    <w:rsid w:val="0030377E"/>
    <w:rsid w:val="0030740C"/>
    <w:rsid w:val="003137FB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2D0F"/>
    <w:rsid w:val="00386093"/>
    <w:rsid w:val="003904A4"/>
    <w:rsid w:val="00391841"/>
    <w:rsid w:val="00391B6D"/>
    <w:rsid w:val="00394922"/>
    <w:rsid w:val="00397B83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4E91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152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37F2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E6E83"/>
    <w:rsid w:val="004F448A"/>
    <w:rsid w:val="004F493D"/>
    <w:rsid w:val="004F65E8"/>
    <w:rsid w:val="0050005E"/>
    <w:rsid w:val="00502B88"/>
    <w:rsid w:val="005142C4"/>
    <w:rsid w:val="0051509C"/>
    <w:rsid w:val="00523940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26F0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3C88"/>
    <w:rsid w:val="006013C1"/>
    <w:rsid w:val="0060669E"/>
    <w:rsid w:val="00610F2E"/>
    <w:rsid w:val="00611399"/>
    <w:rsid w:val="00624C4E"/>
    <w:rsid w:val="00625200"/>
    <w:rsid w:val="00632C84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7C9D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7A7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889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97F0A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6BC4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76D8B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0BC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0599"/>
    <w:rsid w:val="00CB1CB1"/>
    <w:rsid w:val="00CB6BC1"/>
    <w:rsid w:val="00CB6CB8"/>
    <w:rsid w:val="00CC1A68"/>
    <w:rsid w:val="00CC2123"/>
    <w:rsid w:val="00CD04F2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26D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0067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6719"/>
    <w:rPr>
      <w:szCs w:val="20"/>
    </w:rPr>
  </w:style>
  <w:style w:type="paragraph" w:styleId="ListBullet">
    <w:name w:val="List Bullet"/>
    <w:basedOn w:val="Normal"/>
    <w:uiPriority w:val="99"/>
    <w:unhideWhenUsed/>
    <w:rsid w:val="0000671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671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37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37F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8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7EC99EE52FD24CB1992C77F12B828A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DB6A86-55C1-4501-8A94-069D50B646CD}"/>
      </w:docPartPr>
      <w:docPartBody>
        <w:p w:rsidR="003311AB" w:rsidRDefault="00E53425" w:rsidP="00E53425">
          <w:pPr>
            <w:pStyle w:val="7EC99EE52FD24CB1992C77F12B828A56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F2554"/>
    <w:rsid w:val="003311AB"/>
    <w:rsid w:val="00347D16"/>
    <w:rsid w:val="003E0149"/>
    <w:rsid w:val="00414E91"/>
    <w:rsid w:val="00755FBF"/>
    <w:rsid w:val="00BD5BE7"/>
    <w:rsid w:val="00CA72D3"/>
    <w:rsid w:val="00D21A9F"/>
    <w:rsid w:val="00E5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342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7EC99EE52FD24CB1992C77F12B828A56">
    <w:name w:val="7EC99EE52FD24CB1992C77F12B828A56"/>
    <w:rsid w:val="00E534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9232E-7604-471B-8437-95FE3AC95E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9FC841-3709-4A66-B060-33789A63A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3B6D4-4BDD-46BB-BBB8-6E5A5DF6FAEE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a0509f21-ed56-4150-9955-96be669e5f2d"/>
    <ds:schemaRef ds:uri="http://schemas.microsoft.com/office/2006/documentManagement/types"/>
    <ds:schemaRef ds:uri="1c567317-0c4d-4a62-8516-c22afd1b5354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E60BC3E-7EE0-44EB-B649-D1AEAEEB2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2020-03-16T04:50:00Z</dcterms:created>
  <dcterms:modified xsi:type="dcterms:W3CDTF">2026-01-09T01:20:00Z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2026-01-07T01:39:31Z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409925a4-f1e2-4745-89f9-9a1b0b77b7a5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