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6C506C9B" w:rsidR="00BD499F" w:rsidRPr="004C23F4" w:rsidRDefault="009056E7" w:rsidP="00B40C60">
          <w:pPr>
            <w:pStyle w:val="Heading1"/>
            <w:jc w:val="center"/>
            <w:rPr>
              <w:rFonts w:ascii="Arial" w:hAnsi="Arial" w:cs="Arial"/>
            </w:rPr>
          </w:pPr>
          <w:r w:rsidRPr="009056E7">
            <w:rPr>
              <w:rFonts w:ascii="Arial" w:hAnsi="Arial" w:cs="Arial"/>
            </w:rPr>
            <w:t>Sul</w:t>
          </w:r>
          <w:r w:rsidR="00CC162F">
            <w:rPr>
              <w:rFonts w:ascii="Arial" w:hAnsi="Arial" w:cs="Arial"/>
            </w:rPr>
            <w:t>F</w:t>
          </w:r>
          <w:r w:rsidRPr="009056E7">
            <w:rPr>
              <w:rFonts w:ascii="Arial" w:hAnsi="Arial" w:cs="Arial"/>
            </w:rPr>
            <w:t>uryl fluoride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17B55F15" w:rsidR="00F43AD5" w:rsidRPr="00717D45" w:rsidRDefault="004E6DE1" w:rsidP="00B76A41">
            <w:pPr>
              <w:pStyle w:val="Tablefont"/>
            </w:pPr>
            <w:r w:rsidRPr="004E6DE1">
              <w:t>2699-79-8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3890615D" w:rsidR="00F43AD5" w:rsidRPr="00717D45" w:rsidRDefault="004E6DE1" w:rsidP="00B76A41">
            <w:pPr>
              <w:pStyle w:val="Tablefont"/>
            </w:pPr>
            <w:r>
              <w:t xml:space="preserve">Sulfuric oxyfluoride, </w:t>
            </w:r>
            <w:r w:rsidR="001A0681">
              <w:t xml:space="preserve">sulphuryl fluoride, </w:t>
            </w:r>
            <w:r>
              <w:t>sulfuryl difluoride, Vikane</w:t>
            </w:r>
            <w:r w:rsidRPr="004E6DE1">
              <w:rPr>
                <w:rStyle w:val="Heading6Char"/>
                <w:vertAlign w:val="superscript"/>
              </w:rPr>
              <w:t>®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5DD8D112" w:rsidR="00F43AD5" w:rsidRPr="00717D45" w:rsidRDefault="004E6DE1" w:rsidP="00B76A41">
            <w:pPr>
              <w:pStyle w:val="Tablefont"/>
            </w:pPr>
            <w:r>
              <w:t>SO</w:t>
            </w:r>
            <w:r w:rsidRPr="004E6DE1">
              <w:rPr>
                <w:vertAlign w:val="subscript"/>
              </w:rPr>
              <w:t>2</w:t>
            </w:r>
            <w:r>
              <w:t>F</w:t>
            </w:r>
            <w:r w:rsidRPr="004E6DE1">
              <w:rPr>
                <w:vertAlign w:val="subscript"/>
              </w:rPr>
              <w:t>2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65526B3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B0DF2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62CFF42B" w:rsidR="002C7AFE" w:rsidRPr="00B20D07" w:rsidRDefault="00FB0DF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546DF448" w:rsidR="00037E52" w:rsidRPr="00B20D07" w:rsidRDefault="00FB0DF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2DCF86A6" w:rsidR="00037E52" w:rsidRPr="00EB3D1B" w:rsidRDefault="008A3465" w:rsidP="00037E52">
            <w:pPr>
              <w:pStyle w:val="Tablefont"/>
              <w:rPr>
                <w:b/>
              </w:rPr>
            </w:pPr>
            <w:r w:rsidRPr="008A3465">
              <w:rPr>
                <w:b/>
              </w:rPr>
              <w:t>200 ppm</w:t>
            </w:r>
            <w:r w:rsidRPr="008A3465">
              <w:rPr>
                <w:b/>
              </w:rPr>
              <w:tab/>
            </w:r>
          </w:p>
        </w:tc>
      </w:tr>
      <w:tr w:rsidR="00155999" w:rsidRPr="004C23F4" w14:paraId="27D0E012" w14:textId="77777777" w:rsidTr="0001478D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5002B083" w:rsidR="00155999" w:rsidRPr="00EB3D1B" w:rsidRDefault="00155999" w:rsidP="00037E52">
            <w:pPr>
              <w:pStyle w:val="Tablefont"/>
              <w:rPr>
                <w:b/>
              </w:rPr>
            </w:pPr>
            <w:r w:rsidRPr="001A0681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r w:rsidR="00FB0DF2">
              <w:rPr>
                <w:rStyle w:val="WESstatus"/>
                <w:bCs/>
                <w:color w:val="auto"/>
              </w:rPr>
              <w:t xml:space="preserve"> N/A</w:t>
            </w:r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2B04AA9D" w:rsidR="006639B4" w:rsidRPr="004C23F4" w:rsidRDefault="00FB0DF2" w:rsidP="000C139A">
      <w:pPr>
        <w:rPr>
          <w:rFonts w:cs="Arial"/>
        </w:rPr>
      </w:pPr>
      <w:r w:rsidRPr="007E34AA">
        <w:t xml:space="preserve">This chemical has been nominated for removal from the </w:t>
      </w:r>
      <w:r w:rsidRPr="003C4C0E">
        <w:rPr>
          <w:i/>
        </w:rPr>
        <w:t>Workplace exposure standards for airborne contaminants</w:t>
      </w:r>
      <w:r w:rsidRPr="007E34AA">
        <w:t xml:space="preserve"> due to a lack of evidence that it is used or generated in Australian workplaces or that it presents a potential for legacy exposure. Therefore, a TWA is not recommended.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AF6C047" w14:textId="7F913A0A" w:rsidR="006639B4" w:rsidRDefault="00BB7C95" w:rsidP="006639B4">
      <w:pPr>
        <w:rPr>
          <w:rFonts w:cs="Arial"/>
        </w:rPr>
      </w:pPr>
      <w:r>
        <w:rPr>
          <w:rFonts w:cs="Arial"/>
        </w:rPr>
        <w:t>Sulfuryl fluoride is used as a fumigant insecticide</w:t>
      </w:r>
      <w:r w:rsidR="00946895">
        <w:rPr>
          <w:rFonts w:cs="Arial"/>
        </w:rPr>
        <w:t>.</w:t>
      </w:r>
      <w:r w:rsidR="00F53FED">
        <w:rPr>
          <w:rFonts w:cs="Arial"/>
        </w:rPr>
        <w:t xml:space="preserve"> </w:t>
      </w:r>
      <w:r w:rsidR="00F53FED" w:rsidRPr="00485D31">
        <w:t>There is lack of evidence that this chemical is used or generated in Australian workplaces or that it presents a potential for legacy exposure.</w:t>
      </w:r>
    </w:p>
    <w:p w14:paraId="06472254" w14:textId="77777777" w:rsidR="002F74D9" w:rsidRDefault="00BB7C95" w:rsidP="006639B4">
      <w:pPr>
        <w:rPr>
          <w:rFonts w:cs="Arial"/>
        </w:rPr>
      </w:pPr>
      <w:r>
        <w:rPr>
          <w:rFonts w:cs="Arial"/>
        </w:rPr>
        <w:t xml:space="preserve">Critical effects of chronic exposure are </w:t>
      </w:r>
      <w:r w:rsidR="00824E5C">
        <w:rPr>
          <w:rFonts w:cs="Arial"/>
        </w:rPr>
        <w:t>CNS</w:t>
      </w:r>
      <w:r>
        <w:rPr>
          <w:rFonts w:cs="Arial"/>
        </w:rPr>
        <w:t xml:space="preserve"> depression</w:t>
      </w:r>
      <w:r w:rsidR="002576EF">
        <w:rPr>
          <w:rFonts w:cs="Arial"/>
        </w:rPr>
        <w:t>, lung and kidney damage</w:t>
      </w:r>
      <w:r>
        <w:rPr>
          <w:rFonts w:cs="Arial"/>
        </w:rPr>
        <w:t xml:space="preserve"> and dental fluorosis as observed in animals</w:t>
      </w:r>
      <w:r w:rsidR="00DA4BE7">
        <w:rPr>
          <w:rFonts w:cs="Arial"/>
        </w:rPr>
        <w:t>.</w:t>
      </w:r>
      <w:r>
        <w:rPr>
          <w:rFonts w:cs="Arial"/>
        </w:rPr>
        <w:t xml:space="preserve"> </w:t>
      </w:r>
    </w:p>
    <w:p w14:paraId="3B6CA4ED" w14:textId="431B163C" w:rsidR="00A652EA" w:rsidRDefault="00B54A6F" w:rsidP="006639B4">
      <w:pPr>
        <w:rPr>
          <w:rFonts w:cs="Arial"/>
        </w:rPr>
      </w:pPr>
      <w:r>
        <w:rPr>
          <w:rFonts w:cs="Arial"/>
        </w:rPr>
        <w:t xml:space="preserve">The available occupational exposure data indicate that average </w:t>
      </w:r>
      <w:r w:rsidR="00556507">
        <w:rPr>
          <w:rFonts w:cs="Arial"/>
        </w:rPr>
        <w:t>workplace air concentrations are</w:t>
      </w:r>
      <w:r>
        <w:rPr>
          <w:rFonts w:cs="Arial"/>
        </w:rPr>
        <w:t xml:space="preserve"> </w:t>
      </w:r>
      <w:r w:rsidR="00556507">
        <w:rPr>
          <w:rFonts w:cs="Arial"/>
        </w:rPr>
        <w:t xml:space="preserve">typically </w:t>
      </w:r>
      <w:r>
        <w:rPr>
          <w:rFonts w:cs="Arial"/>
        </w:rPr>
        <w:t>5 ppm</w:t>
      </w:r>
      <w:r w:rsidR="00D04FC3" w:rsidRPr="00D04FC3">
        <w:rPr>
          <w:rFonts w:cs="Arial"/>
        </w:rPr>
        <w:t xml:space="preserve"> </w:t>
      </w:r>
      <w:r w:rsidR="00D04FC3">
        <w:rPr>
          <w:rFonts w:cs="Arial"/>
        </w:rPr>
        <w:t>for fumigators</w:t>
      </w:r>
      <w:r>
        <w:rPr>
          <w:rFonts w:cs="Arial"/>
        </w:rPr>
        <w:t>.</w:t>
      </w:r>
      <w:r w:rsidDel="008D193E">
        <w:rPr>
          <w:rStyle w:val="CommentReference"/>
        </w:rPr>
        <w:t xml:space="preserve"> </w:t>
      </w:r>
      <w:r w:rsidR="000A0F10">
        <w:rPr>
          <w:rFonts w:cs="Arial"/>
        </w:rPr>
        <w:t>A</w:t>
      </w:r>
      <w:r>
        <w:rPr>
          <w:rFonts w:cs="Arial"/>
        </w:rPr>
        <w:t xml:space="preserve"> maximum air concentration of 10 ppm for the workplace</w:t>
      </w:r>
      <w:r w:rsidR="000A0F10">
        <w:rPr>
          <w:rFonts w:cs="Arial"/>
        </w:rPr>
        <w:t xml:space="preserve"> is suggested in </w:t>
      </w:r>
      <w:r w:rsidR="002E05D6">
        <w:rPr>
          <w:rFonts w:cs="Arial"/>
        </w:rPr>
        <w:t>one</w:t>
      </w:r>
      <w:r w:rsidR="000A0F10">
        <w:rPr>
          <w:rFonts w:cs="Arial"/>
        </w:rPr>
        <w:t xml:space="preserve"> study</w:t>
      </w:r>
      <w:r>
        <w:rPr>
          <w:rFonts w:cs="Arial"/>
        </w:rPr>
        <w:t xml:space="preserve">, but no further details on this assessment are provided (ACGIH, 2018). </w:t>
      </w:r>
      <w:r w:rsidR="00DA4BE7">
        <w:rPr>
          <w:rFonts w:cs="Arial"/>
        </w:rPr>
        <w:t>A</w:t>
      </w:r>
      <w:r w:rsidR="00BB7C95">
        <w:rPr>
          <w:rFonts w:cs="Arial"/>
        </w:rPr>
        <w:t>cute exposures in humans are associated with dyspnoea, nausea, eye and pulmonary irritation and gastrointestinal distress</w:t>
      </w:r>
      <w:r w:rsidR="002576EF">
        <w:rPr>
          <w:rFonts w:cs="Arial"/>
        </w:rPr>
        <w:t xml:space="preserve"> </w:t>
      </w:r>
      <w:r w:rsidR="002576EF" w:rsidRPr="002576EF">
        <w:rPr>
          <w:rFonts w:cs="Arial"/>
        </w:rPr>
        <w:t>(ACGIH, 2018; HCOTN, 2004</w:t>
      </w:r>
      <w:r w:rsidR="002576EF" w:rsidRPr="00083951">
        <w:rPr>
          <w:rFonts w:cs="Arial"/>
        </w:rPr>
        <w:t>)</w:t>
      </w:r>
      <w:r w:rsidR="00BB7C95" w:rsidRPr="00083951">
        <w:rPr>
          <w:rFonts w:cs="Arial"/>
        </w:rPr>
        <w:t xml:space="preserve">. Accidental exposure </w:t>
      </w:r>
      <w:r w:rsidR="00723051" w:rsidRPr="00083951">
        <w:rPr>
          <w:rFonts w:cs="Arial"/>
        </w:rPr>
        <w:t>to an unknown concentration of sulfuryl fluoride</w:t>
      </w:r>
      <w:r w:rsidRPr="00083951">
        <w:rPr>
          <w:rFonts w:cs="Arial"/>
        </w:rPr>
        <w:t xml:space="preserve"> </w:t>
      </w:r>
      <w:r w:rsidR="002E05D6" w:rsidRPr="00083951">
        <w:rPr>
          <w:rFonts w:cs="Arial"/>
        </w:rPr>
        <w:t xml:space="preserve">of </w:t>
      </w:r>
      <w:r w:rsidR="002E05D6" w:rsidRPr="00083951">
        <w:t xml:space="preserve">two residents returning to </w:t>
      </w:r>
      <w:r w:rsidR="00333E6D" w:rsidRPr="00083951">
        <w:t>their</w:t>
      </w:r>
      <w:r w:rsidR="002E05D6" w:rsidRPr="00083951">
        <w:t xml:space="preserve"> house following fumigation</w:t>
      </w:r>
      <w:r w:rsidR="002E05D6" w:rsidRPr="00083951">
        <w:rPr>
          <w:rFonts w:cs="Arial"/>
        </w:rPr>
        <w:t xml:space="preserve"> </w:t>
      </w:r>
      <w:r w:rsidR="00083951" w:rsidRPr="00B44761">
        <w:rPr>
          <w:rFonts w:cs="Arial"/>
        </w:rPr>
        <w:t>caused death from cardiopulmonary complications. E</w:t>
      </w:r>
      <w:r w:rsidR="002576EF" w:rsidRPr="002A2553">
        <w:rPr>
          <w:rFonts w:cs="Arial"/>
        </w:rPr>
        <w:t>ye</w:t>
      </w:r>
      <w:r w:rsidR="00BB7C95" w:rsidRPr="002A2553">
        <w:rPr>
          <w:rFonts w:cs="Arial"/>
        </w:rPr>
        <w:t xml:space="preserve"> irritation, diffuse bronchi, nausea and itchy skin</w:t>
      </w:r>
      <w:r w:rsidR="00083951" w:rsidRPr="00B44761">
        <w:rPr>
          <w:rFonts w:cs="Arial"/>
        </w:rPr>
        <w:t xml:space="preserve"> are reported in a </w:t>
      </w:r>
      <w:r w:rsidR="00083951" w:rsidRPr="002A2553">
        <w:rPr>
          <w:rFonts w:cs="Arial"/>
        </w:rPr>
        <w:t>separate</w:t>
      </w:r>
      <w:r w:rsidR="00083951" w:rsidRPr="00B44761">
        <w:rPr>
          <w:rFonts w:cs="Arial"/>
        </w:rPr>
        <w:t xml:space="preserve"> case of accidental exposure</w:t>
      </w:r>
      <w:r w:rsidR="001A0681" w:rsidRPr="00B44761">
        <w:rPr>
          <w:rFonts w:cs="Arial"/>
        </w:rPr>
        <w:t xml:space="preserve"> </w:t>
      </w:r>
      <w:r w:rsidR="00BB7C95" w:rsidRPr="00B44761">
        <w:rPr>
          <w:rFonts w:cs="Arial"/>
        </w:rPr>
        <w:t>(ACGIH, 2018)</w:t>
      </w:r>
      <w:r w:rsidR="00946895" w:rsidRPr="00B44761">
        <w:rPr>
          <w:rFonts w:cs="Arial"/>
        </w:rPr>
        <w:t>.</w:t>
      </w:r>
      <w:r w:rsidR="00946895">
        <w:rPr>
          <w:rFonts w:cs="Arial"/>
        </w:rPr>
        <w:t xml:space="preserve"> </w:t>
      </w:r>
      <w:r w:rsidR="00F62986">
        <w:rPr>
          <w:rFonts w:cs="Arial"/>
        </w:rPr>
        <w:t xml:space="preserve">A NOAEC of 30 ppm for neurotoxicity and dental fluorosis is reported in rats </w:t>
      </w:r>
      <w:r w:rsidR="00115A0D">
        <w:rPr>
          <w:rFonts w:cs="Arial"/>
        </w:rPr>
        <w:t xml:space="preserve">in sub-chronic inhalation studies </w:t>
      </w:r>
      <w:r w:rsidR="00F62986">
        <w:rPr>
          <w:rFonts w:cs="Arial"/>
        </w:rPr>
        <w:t>(ACGIH, 2018)</w:t>
      </w:r>
      <w:r w:rsidR="00E00A3B">
        <w:rPr>
          <w:rFonts w:cs="Arial"/>
        </w:rPr>
        <w:t xml:space="preserve"> and</w:t>
      </w:r>
      <w:r w:rsidR="00F62986">
        <w:rPr>
          <w:rFonts w:cs="Arial"/>
        </w:rPr>
        <w:t xml:space="preserve"> is consistent with a NOAEC of 20 ppm for the same endpoints reported in a chronic inhalation study</w:t>
      </w:r>
      <w:r w:rsidR="008A4BD7">
        <w:rPr>
          <w:rFonts w:cs="Arial"/>
        </w:rPr>
        <w:t xml:space="preserve"> (HCOTN, 2004).</w:t>
      </w:r>
      <w:r w:rsidR="003C2719">
        <w:rPr>
          <w:rFonts w:cs="Arial"/>
        </w:rPr>
        <w:t xml:space="preserve"> </w:t>
      </w:r>
      <w:r w:rsidR="00CD561E">
        <w:rPr>
          <w:rFonts w:cs="Arial"/>
        </w:rPr>
        <w:t>The available primary source</w:t>
      </w:r>
      <w:r w:rsidR="00A713B7">
        <w:rPr>
          <w:rFonts w:cs="Arial"/>
        </w:rPr>
        <w:t>s</w:t>
      </w:r>
      <w:r w:rsidR="00CD561E">
        <w:rPr>
          <w:rFonts w:cs="Arial"/>
        </w:rPr>
        <w:t xml:space="preserve"> uniformly recommend a TWA equivalent of 5 ppm (ACGIH, 2018; HCOTN, 2004</w:t>
      </w:r>
      <w:r w:rsidR="0060306C">
        <w:rPr>
          <w:rFonts w:cs="Arial"/>
        </w:rPr>
        <w:t>)</w:t>
      </w:r>
      <w:r w:rsidR="002E05D6">
        <w:rPr>
          <w:rFonts w:cs="Arial"/>
        </w:rPr>
        <w:t>.</w:t>
      </w:r>
      <w:r w:rsidR="0060306C">
        <w:rPr>
          <w:rFonts w:cs="Arial"/>
        </w:rPr>
        <w:t xml:space="preserve"> ACGIH (2018) additionally recommends a TLV-STEL of 10 ppm. </w:t>
      </w:r>
      <w:r w:rsidR="008A4BD7">
        <w:rPr>
          <w:rFonts w:cs="Arial"/>
        </w:rPr>
        <w:t xml:space="preserve">The derivation of </w:t>
      </w:r>
      <w:r w:rsidR="0060306C">
        <w:rPr>
          <w:rFonts w:cs="Arial"/>
        </w:rPr>
        <w:t>these</w:t>
      </w:r>
      <w:r w:rsidR="008A4BD7">
        <w:rPr>
          <w:rFonts w:cs="Arial"/>
        </w:rPr>
        <w:t xml:space="preserve"> value</w:t>
      </w:r>
      <w:r w:rsidR="0060306C">
        <w:rPr>
          <w:rFonts w:cs="Arial"/>
        </w:rPr>
        <w:t>s</w:t>
      </w:r>
      <w:r w:rsidR="008A4BD7">
        <w:rPr>
          <w:rFonts w:cs="Arial"/>
        </w:rPr>
        <w:t xml:space="preserve"> is not </w:t>
      </w:r>
      <w:r w:rsidR="00465439">
        <w:rPr>
          <w:rFonts w:cs="Arial"/>
        </w:rPr>
        <w:t>detailed but</w:t>
      </w:r>
      <w:r w:rsidR="008A4BD7">
        <w:rPr>
          <w:rFonts w:cs="Arial"/>
        </w:rPr>
        <w:t xml:space="preserve"> is likely based on the NOAEC of 20 to 30 ppm in rats</w:t>
      </w:r>
      <w:r w:rsidR="00E00A3B">
        <w:rPr>
          <w:rFonts w:cs="Arial"/>
        </w:rPr>
        <w:t xml:space="preserve"> and</w:t>
      </w:r>
      <w:r w:rsidR="008A4BD7">
        <w:rPr>
          <w:rFonts w:cs="Arial"/>
        </w:rPr>
        <w:t xml:space="preserve"> the recommended </w:t>
      </w:r>
      <w:r>
        <w:rPr>
          <w:rFonts w:cs="Arial"/>
        </w:rPr>
        <w:t>maximum occupational exposure of</w:t>
      </w:r>
      <w:r w:rsidR="008A4BD7">
        <w:rPr>
          <w:rFonts w:cs="Arial"/>
        </w:rPr>
        <w:t xml:space="preserve"> 10 ppm from a </w:t>
      </w:r>
      <w:r w:rsidR="00A713B7" w:rsidRPr="00465439">
        <w:rPr>
          <w:rFonts w:cs="Arial"/>
        </w:rPr>
        <w:t>study</w:t>
      </w:r>
      <w:r w:rsidR="008A4BD7" w:rsidRPr="00465439">
        <w:rPr>
          <w:rFonts w:cs="Arial"/>
        </w:rPr>
        <w:t xml:space="preserve"> </w:t>
      </w:r>
      <w:r w:rsidR="002E05D6" w:rsidRPr="00465439">
        <w:rPr>
          <w:rFonts w:cs="Arial"/>
        </w:rPr>
        <w:t xml:space="preserve">reported by </w:t>
      </w:r>
      <w:r w:rsidR="008A4BD7" w:rsidRPr="00465439">
        <w:rPr>
          <w:rFonts w:cs="Arial"/>
        </w:rPr>
        <w:t xml:space="preserve">ACGIH </w:t>
      </w:r>
      <w:r w:rsidR="002E05D6" w:rsidRPr="00465439">
        <w:rPr>
          <w:rFonts w:cs="Arial"/>
        </w:rPr>
        <w:t>(</w:t>
      </w:r>
      <w:r w:rsidR="008A4BD7" w:rsidRPr="00465439">
        <w:rPr>
          <w:rFonts w:cs="Arial"/>
        </w:rPr>
        <w:t xml:space="preserve">2018). </w:t>
      </w:r>
    </w:p>
    <w:p w14:paraId="00CE1E8B" w14:textId="43374C08" w:rsidR="00B54A6F" w:rsidRDefault="00F53FED" w:rsidP="006639B4">
      <w:pPr>
        <w:rPr>
          <w:rFonts w:cs="Arial"/>
        </w:rPr>
      </w:pPr>
      <w:r w:rsidRPr="00485D31">
        <w:t>This chemical has been nominated for removal from the WES list. A TWA is not recommended.</w:t>
      </w:r>
    </w:p>
    <w:p w14:paraId="273B44AD" w14:textId="77777777" w:rsidR="004529F0" w:rsidRPr="00B20D07" w:rsidRDefault="004529F0" w:rsidP="004529F0">
      <w:pPr>
        <w:pStyle w:val="Heading2"/>
      </w:pPr>
      <w:r w:rsidRPr="00B20D07">
        <w:lastRenderedPageBreak/>
        <w:t>Recommendation for notations</w:t>
      </w:r>
    </w:p>
    <w:p w14:paraId="27C6755E" w14:textId="77777777" w:rsidR="008E4F1F" w:rsidRPr="00B20D07" w:rsidRDefault="008E4F1F" w:rsidP="008E4F1F">
      <w:pPr>
        <w:rPr>
          <w:rFonts w:cs="Arial"/>
        </w:rPr>
      </w:pPr>
      <w:r w:rsidRPr="00B20D07">
        <w:rPr>
          <w:rFonts w:cs="Arial"/>
        </w:rPr>
        <w:t>Not classified as a carcinogen according to the Globally Harmonized System of</w:t>
      </w:r>
      <w:r w:rsidR="00155999" w:rsidRPr="00B20D07">
        <w:rPr>
          <w:rFonts w:cs="Arial"/>
        </w:rPr>
        <w:t xml:space="preserve"> Classification and Labelling of</w:t>
      </w:r>
      <w:r w:rsidRPr="00B20D07">
        <w:rPr>
          <w:rFonts w:cs="Arial"/>
        </w:rPr>
        <w:t xml:space="preserve"> Chemicals (GHS). </w:t>
      </w:r>
    </w:p>
    <w:p w14:paraId="03916CCC" w14:textId="77777777" w:rsidR="008E4F1F" w:rsidRPr="00B20D07" w:rsidRDefault="008E4F1F" w:rsidP="008E4F1F">
      <w:pPr>
        <w:rPr>
          <w:rFonts w:cs="Arial"/>
        </w:rPr>
      </w:pPr>
      <w:r w:rsidRPr="00B20D07">
        <w:rPr>
          <w:rFonts w:cs="Arial"/>
        </w:rPr>
        <w:t xml:space="preserve">Not classified as a skin </w:t>
      </w:r>
      <w:r w:rsidR="00155999" w:rsidRPr="00B20D07">
        <w:rPr>
          <w:rFonts w:cs="Arial"/>
        </w:rPr>
        <w:t xml:space="preserve">sensitiser </w:t>
      </w:r>
      <w:r w:rsidRPr="00B20D07">
        <w:rPr>
          <w:rFonts w:cs="Arial"/>
        </w:rPr>
        <w:t>or respiratory sensitiser according to the GHS.</w:t>
      </w:r>
    </w:p>
    <w:p w14:paraId="7D0772D2" w14:textId="60164B89" w:rsidR="004529F0" w:rsidRPr="004C23F4" w:rsidRDefault="001A0681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B20D07">
        <w:rPr>
          <w:rFonts w:cs="Arial"/>
        </w:rPr>
        <w:t xml:space="preserve">nsufficient </w:t>
      </w:r>
      <w:r>
        <w:rPr>
          <w:rFonts w:cs="Arial"/>
        </w:rPr>
        <w:t>data</w:t>
      </w:r>
      <w:r w:rsidRPr="00B20D07">
        <w:rPr>
          <w:rFonts w:cs="Arial"/>
        </w:rPr>
        <w:t xml:space="preserve"> </w:t>
      </w:r>
      <w:r w:rsidR="008E4F1F" w:rsidRPr="00B20D07">
        <w:rPr>
          <w:rFonts w:cs="Arial"/>
        </w:rPr>
        <w:t>to recommend a skin notation.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34120C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34120C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2BD34970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A346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A3465">
                  <w:t>TWA: 5 ppm (21 mg/m</w:t>
                </w:r>
                <w:r w:rsidR="008A3465" w:rsidRPr="008A3465">
                  <w:rPr>
                    <w:vertAlign w:val="superscript"/>
                  </w:rPr>
                  <w:t>3</w:t>
                </w:r>
                <w:r w:rsidR="008A3465">
                  <w:t>); STEL: 10 ppm (42 mg/m</w:t>
                </w:r>
                <w:r w:rsidR="008A3465" w:rsidRPr="008A3465">
                  <w:rPr>
                    <w:vertAlign w:val="superscript"/>
                  </w:rPr>
                  <w:t>3</w:t>
                </w:r>
                <w:r w:rsidR="008A3465">
                  <w:t>)</w:t>
                </w:r>
              </w:sdtContent>
            </w:sdt>
          </w:p>
        </w:tc>
      </w:tr>
      <w:tr w:rsidR="00C978F0" w:rsidRPr="00DA352E" w14:paraId="26087DDB" w14:textId="77777777" w:rsidTr="0034120C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34120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33E25EA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A346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A3465">
                  <w:t>TLV-TWA: 5 ppm (21 mg/m</w:t>
                </w:r>
                <w:r w:rsidR="008A3465" w:rsidRPr="008A3465">
                  <w:rPr>
                    <w:vertAlign w:val="superscript"/>
                  </w:rPr>
                  <w:t>3</w:t>
                </w:r>
                <w:r w:rsidR="008A3465">
                  <w:t>); TLV-STEL: 10 ppm (42 mg/m</w:t>
                </w:r>
                <w:r w:rsidR="008A3465" w:rsidRPr="008A3465">
                  <w:rPr>
                    <w:vertAlign w:val="superscript"/>
                  </w:rPr>
                  <w:t>3</w:t>
                </w:r>
                <w:r w:rsidR="008A3465">
                  <w:t>)</w:t>
                </w:r>
              </w:sdtContent>
            </w:sdt>
          </w:p>
        </w:tc>
      </w:tr>
      <w:tr w:rsidR="00C978F0" w:rsidRPr="00DA352E" w14:paraId="418D532D" w14:textId="77777777" w:rsidTr="0034120C">
        <w:trPr>
          <w:gridAfter w:val="1"/>
          <w:wAfter w:w="8" w:type="pct"/>
        </w:trPr>
        <w:tc>
          <w:tcPr>
            <w:tcW w:w="4992" w:type="pct"/>
          </w:tcPr>
          <w:p w14:paraId="19C8DCA9" w14:textId="77777777" w:rsidR="00DA4BE7" w:rsidRDefault="00E90640" w:rsidP="003365A5">
            <w:pPr>
              <w:pStyle w:val="Tabletextprimarysource"/>
            </w:pPr>
            <w:r>
              <w:t>TLV-TWA intended to protect for CNS depression and potential fluorosis</w:t>
            </w:r>
            <w:r w:rsidR="00DA4BE7">
              <w:t>.</w:t>
            </w:r>
          </w:p>
          <w:p w14:paraId="3ADABA56" w14:textId="4F3C6F0B" w:rsidR="00C978F0" w:rsidRDefault="00E90640" w:rsidP="003365A5">
            <w:pPr>
              <w:pStyle w:val="Tabletextprimarysource"/>
            </w:pPr>
            <w:r>
              <w:t>TLV-STEL intended to protect for acute symptoms including nausea, vomiting, gastrointestinal distress, dyspnoea, cough and pulmonary and eye irritation.</w:t>
            </w:r>
            <w:r w:rsidR="00947151">
              <w:t xml:space="preserve"> </w:t>
            </w:r>
          </w:p>
          <w:p w14:paraId="086A7438" w14:textId="24BB102D" w:rsidR="00E90640" w:rsidRDefault="00E90640" w:rsidP="003365A5">
            <w:pPr>
              <w:pStyle w:val="Tabletextprimarysource"/>
            </w:pPr>
            <w:r>
              <w:t>Summary of information</w:t>
            </w:r>
            <w:r w:rsidR="00D23B17">
              <w:t>:</w:t>
            </w:r>
          </w:p>
          <w:p w14:paraId="614275AE" w14:textId="00B85143" w:rsidR="00E90640" w:rsidRDefault="00F97104" w:rsidP="003365A5">
            <w:pPr>
              <w:pStyle w:val="Tabletextprimarysource"/>
            </w:pPr>
            <w:r>
              <w:t xml:space="preserve">TLV-TWA and TLV-STEL based on weight of evidence </w:t>
            </w:r>
            <w:r w:rsidR="00F62986">
              <w:t>including a NOAEC of 30 ppm for systemic effects in rats</w:t>
            </w:r>
            <w:r>
              <w:t>, limited occupational exposure data</w:t>
            </w:r>
            <w:r w:rsidR="00E00A3B">
              <w:t xml:space="preserve"> and</w:t>
            </w:r>
            <w:r>
              <w:t xml:space="preserve"> a recommended OEL </w:t>
            </w:r>
            <w:r w:rsidR="00FA5311">
              <w:t>of 10</w:t>
            </w:r>
            <w:r w:rsidR="00F62986">
              <w:t> </w:t>
            </w:r>
            <w:r w:rsidR="00FA5311">
              <w:t>ppm from a</w:t>
            </w:r>
            <w:r w:rsidR="00224F56">
              <w:t xml:space="preserve"> </w:t>
            </w:r>
            <w:r w:rsidR="000A0F10">
              <w:t xml:space="preserve">study </w:t>
            </w:r>
            <w:r w:rsidR="00FA5311">
              <w:t xml:space="preserve">on the toxicological properties of </w:t>
            </w:r>
            <w:r w:rsidR="002576EF">
              <w:t xml:space="preserve">fumigant </w:t>
            </w:r>
            <w:r w:rsidR="002576EF" w:rsidRPr="00465439">
              <w:t>chemicals</w:t>
            </w:r>
            <w:r w:rsidR="00333E6D" w:rsidRPr="00465439">
              <w:t xml:space="preserve"> </w:t>
            </w:r>
            <w:r w:rsidR="00FA5311">
              <w:t>(no further details on derivation provided).</w:t>
            </w:r>
          </w:p>
          <w:p w14:paraId="2E36D6F5" w14:textId="0B966C07" w:rsidR="00E90640" w:rsidRDefault="00E90640" w:rsidP="003365A5">
            <w:pPr>
              <w:pStyle w:val="Tabletextprimarysource"/>
            </w:pPr>
            <w:r>
              <w:t>Human data</w:t>
            </w:r>
            <w:r w:rsidR="00D23B17">
              <w:t>:</w:t>
            </w:r>
          </w:p>
          <w:p w14:paraId="443E3008" w14:textId="77777777" w:rsidR="004B3700" w:rsidRDefault="00947151" w:rsidP="00A4344C">
            <w:pPr>
              <w:pStyle w:val="Tabletextprimarysource"/>
              <w:numPr>
                <w:ilvl w:val="0"/>
                <w:numId w:val="8"/>
              </w:numPr>
              <w:ind w:left="731" w:hanging="357"/>
            </w:pPr>
            <w:r>
              <w:t>Acute exposure can be fatal (no further details provided)</w:t>
            </w:r>
            <w:r w:rsidR="004B3700">
              <w:t xml:space="preserve"> </w:t>
            </w:r>
          </w:p>
          <w:p w14:paraId="675068EC" w14:textId="239F46A7" w:rsidR="00DA4BE7" w:rsidRDefault="00946895" w:rsidP="00E90640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Lethal exposure of </w:t>
            </w:r>
            <w:r w:rsidR="00012B0B">
              <w:t>2</w:t>
            </w:r>
            <w:r>
              <w:t xml:space="preserve"> residents returning to </w:t>
            </w:r>
            <w:r w:rsidR="00333E6D" w:rsidRPr="00465439">
              <w:t xml:space="preserve">their </w:t>
            </w:r>
            <w:r>
              <w:t>house following fumigation</w:t>
            </w:r>
            <w:r w:rsidR="009340A5">
              <w:t>:</w:t>
            </w:r>
            <w:r>
              <w:t xml:space="preserve"> </w:t>
            </w:r>
          </w:p>
          <w:p w14:paraId="6D774C0D" w14:textId="080F65EA" w:rsidR="00DA4BE7" w:rsidRDefault="00946895" w:rsidP="00DA4BE7">
            <w:pPr>
              <w:pStyle w:val="Tabletextprimarysource"/>
              <w:numPr>
                <w:ilvl w:val="0"/>
                <w:numId w:val="4"/>
              </w:numPr>
            </w:pPr>
            <w:r>
              <w:t xml:space="preserve">male died following cardiopulmonary arrest after 24 h </w:t>
            </w:r>
          </w:p>
          <w:p w14:paraId="2BC5EC12" w14:textId="02C4DFFC" w:rsidR="00946895" w:rsidRPr="002A2553" w:rsidRDefault="00946895" w:rsidP="00DA4BE7">
            <w:pPr>
              <w:pStyle w:val="Tabletextprimarysource"/>
              <w:numPr>
                <w:ilvl w:val="0"/>
                <w:numId w:val="4"/>
              </w:numPr>
            </w:pPr>
            <w:r w:rsidRPr="002A2553">
              <w:t>female died following ventricular fibrillation and diffuse pulmonary infiltration after 6 d</w:t>
            </w:r>
          </w:p>
          <w:p w14:paraId="59D3D12F" w14:textId="1E501232" w:rsidR="00115A0D" w:rsidRPr="002A2553" w:rsidRDefault="00115A0D" w:rsidP="00083951">
            <w:pPr>
              <w:pStyle w:val="Tabletextprimarysource"/>
              <w:numPr>
                <w:ilvl w:val="0"/>
                <w:numId w:val="9"/>
              </w:numPr>
            </w:pPr>
            <w:r w:rsidRPr="002A2553">
              <w:t>Fumigators exposed at 5 ppm on average, range 0.9–8.7 ppm (no further details provided, also reported by HCOTN, 2004)</w:t>
            </w:r>
          </w:p>
          <w:p w14:paraId="52FE504F" w14:textId="4C9A62F9" w:rsidR="00DA4BE7" w:rsidRPr="002A2553" w:rsidRDefault="00947151" w:rsidP="00115A0D">
            <w:pPr>
              <w:pStyle w:val="Tabletextprimarysource"/>
              <w:numPr>
                <w:ilvl w:val="0"/>
                <w:numId w:val="9"/>
              </w:numPr>
            </w:pPr>
            <w:r w:rsidRPr="002A2553">
              <w:t>Conjunctival irritation, diffuse bronchi, nausea, vomiting, abdominal pain and itchy skin</w:t>
            </w:r>
            <w:r w:rsidR="002733A1" w:rsidRPr="002A2553">
              <w:t xml:space="preserve"> described in</w:t>
            </w:r>
            <w:r w:rsidR="00E50188" w:rsidRPr="002A2553">
              <w:t xml:space="preserve"> a separate</w:t>
            </w:r>
            <w:r w:rsidR="002733A1" w:rsidRPr="002A2553">
              <w:t xml:space="preserve"> </w:t>
            </w:r>
            <w:r w:rsidR="00E50188" w:rsidRPr="002A2553">
              <w:t xml:space="preserve">case of </w:t>
            </w:r>
            <w:r w:rsidR="002733A1" w:rsidRPr="002A2553">
              <w:t>accidental exposure</w:t>
            </w:r>
            <w:r w:rsidR="004B3700" w:rsidRPr="002A2553">
              <w:t>:</w:t>
            </w:r>
            <w:r w:rsidR="002733A1" w:rsidRPr="002A2553">
              <w:t xml:space="preserve"> </w:t>
            </w:r>
          </w:p>
          <w:p w14:paraId="36D0950D" w14:textId="61AA07E9" w:rsidR="00947151" w:rsidRPr="002A2553" w:rsidRDefault="002733A1" w:rsidP="00DA4BE7">
            <w:pPr>
              <w:pStyle w:val="Tabletextprimarysource"/>
              <w:numPr>
                <w:ilvl w:val="0"/>
                <w:numId w:val="5"/>
              </w:numPr>
            </w:pPr>
            <w:r w:rsidRPr="002A2553">
              <w:t>serum fluoride elevated 1 d post-exposure (no further details provided)</w:t>
            </w:r>
          </w:p>
          <w:p w14:paraId="16148E16" w14:textId="6EB0F190" w:rsidR="002733A1" w:rsidRPr="004816AE" w:rsidRDefault="00F97104" w:rsidP="00E90640">
            <w:pPr>
              <w:pStyle w:val="Tabletextprimarysource"/>
              <w:numPr>
                <w:ilvl w:val="0"/>
                <w:numId w:val="2"/>
              </w:numPr>
            </w:pPr>
            <w:r w:rsidRPr="00F62986">
              <w:t xml:space="preserve">No exposure-related differences in neurologic or psychologic parameters between exposed and non-exposed workers reported in </w:t>
            </w:r>
            <w:r w:rsidR="00460225">
              <w:t>a</w:t>
            </w:r>
            <w:r w:rsidR="00460225" w:rsidRPr="004816AE">
              <w:t xml:space="preserve"> </w:t>
            </w:r>
            <w:r w:rsidRPr="004816AE">
              <w:t>study</w:t>
            </w:r>
            <w:r w:rsidR="00224F56" w:rsidRPr="004816AE">
              <w:t xml:space="preserve"> (no further details provided)</w:t>
            </w:r>
          </w:p>
          <w:p w14:paraId="51A161B8" w14:textId="770871DC" w:rsidR="00F97104" w:rsidRDefault="00F97104" w:rsidP="00E90640">
            <w:pPr>
              <w:pStyle w:val="Tabletextprimarysource"/>
              <w:numPr>
                <w:ilvl w:val="0"/>
                <w:numId w:val="2"/>
              </w:numPr>
            </w:pPr>
            <w:r>
              <w:t>Minor inhalational retention (no further details provided); appears as inorganic fluoride in circulation following absorption and is excreted via urine</w:t>
            </w:r>
          </w:p>
          <w:p w14:paraId="1A050653" w14:textId="552574C4" w:rsidR="00F97104" w:rsidRDefault="000A0F10" w:rsidP="00E90640">
            <w:pPr>
              <w:pStyle w:val="Tabletextprimarysource"/>
              <w:numPr>
                <w:ilvl w:val="0"/>
                <w:numId w:val="2"/>
              </w:numPr>
            </w:pPr>
            <w:r>
              <w:t>Another study</w:t>
            </w:r>
            <w:r w:rsidR="00F97104" w:rsidRPr="00F62986">
              <w:t xml:space="preserve"> recommends 10 ppm as a </w:t>
            </w:r>
            <w:r w:rsidR="00946895" w:rsidRPr="00F62986">
              <w:t>maximum</w:t>
            </w:r>
            <w:r w:rsidR="00F97104" w:rsidRPr="00F62986">
              <w:t xml:space="preserve"> concentration during an 8</w:t>
            </w:r>
            <w:r w:rsidR="008D1423" w:rsidRPr="00556507">
              <w:t xml:space="preserve"> </w:t>
            </w:r>
            <w:r w:rsidR="00F97104" w:rsidRPr="00556507">
              <w:t>h shift 5</w:t>
            </w:r>
            <w:r w:rsidR="00946895" w:rsidRPr="00556507">
              <w:t> </w:t>
            </w:r>
            <w:r w:rsidR="00F97104" w:rsidRPr="00556507">
              <w:t>d/wk</w:t>
            </w:r>
            <w:r w:rsidR="00224F56" w:rsidRPr="00556507">
              <w:t xml:space="preserve"> (no further details</w:t>
            </w:r>
            <w:r w:rsidR="00224F56">
              <w:t xml:space="preserve"> provided).</w:t>
            </w:r>
          </w:p>
          <w:p w14:paraId="3FB58125" w14:textId="1B183ADA" w:rsidR="00E90640" w:rsidRDefault="00E90640" w:rsidP="003365A5">
            <w:pPr>
              <w:pStyle w:val="Tabletextprimarysource"/>
            </w:pPr>
            <w:r>
              <w:t>Animal data</w:t>
            </w:r>
            <w:r w:rsidR="00D23B17">
              <w:t>:</w:t>
            </w:r>
          </w:p>
          <w:p w14:paraId="57E69F34" w14:textId="2CA0510F" w:rsidR="00DA4BE7" w:rsidRDefault="00E90640" w:rsidP="00E90640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 xml:space="preserve">: 3,090–4,510 ppm (rats, 1 h), </w:t>
            </w:r>
            <w:r>
              <w:rPr>
                <w:rFonts w:cs="Arial"/>
              </w:rPr>
              <w:t>≈</w:t>
            </w:r>
            <w:r>
              <w:t>1,000 ppm (rats, 4 h)</w:t>
            </w:r>
            <w:r w:rsidR="009340A5">
              <w:t>:</w:t>
            </w:r>
            <w:r>
              <w:t xml:space="preserve"> </w:t>
            </w:r>
          </w:p>
          <w:p w14:paraId="1B9786ED" w14:textId="2941AF16" w:rsidR="00E90640" w:rsidRDefault="00E90640" w:rsidP="00DA4BE7">
            <w:pPr>
              <w:pStyle w:val="Tabletextprimarysource"/>
              <w:numPr>
                <w:ilvl w:val="0"/>
                <w:numId w:val="5"/>
              </w:numPr>
            </w:pPr>
            <w:r>
              <w:t xml:space="preserve">tonic convulsions, alveolar haemorrhage and pulmonary congestion </w:t>
            </w:r>
            <w:r>
              <w:rPr>
                <w:rFonts w:cs="Arial"/>
              </w:rPr>
              <w:t>≥</w:t>
            </w:r>
            <w:r>
              <w:t>6,000 ppm</w:t>
            </w:r>
          </w:p>
          <w:p w14:paraId="04BFE190" w14:textId="1D527A4D" w:rsidR="00DA4BE7" w:rsidRDefault="00CF616F" w:rsidP="00E90640">
            <w:pPr>
              <w:pStyle w:val="Tabletextprimarysource"/>
              <w:numPr>
                <w:ilvl w:val="0"/>
                <w:numId w:val="1"/>
              </w:numPr>
            </w:pPr>
            <w:r>
              <w:t>Reversible renal and pulmonary damage (not specified) at 20 ppm (mice, rats, guinea pigs, 7 h/d, 12 mo); no effects at 6 mo</w:t>
            </w:r>
            <w:r w:rsidR="009340A5">
              <w:t>:</w:t>
            </w:r>
            <w:r>
              <w:t xml:space="preserve"> </w:t>
            </w:r>
          </w:p>
          <w:p w14:paraId="6E90695E" w14:textId="3E9567E7" w:rsidR="00E90640" w:rsidRDefault="00CF616F" w:rsidP="00DA4BE7">
            <w:pPr>
              <w:pStyle w:val="Tabletextprimarysource"/>
              <w:numPr>
                <w:ilvl w:val="0"/>
                <w:numId w:val="5"/>
              </w:numPr>
            </w:pPr>
            <w:r>
              <w:t xml:space="preserve">some evidence for fluorosis in mice, but not </w:t>
            </w:r>
            <w:r w:rsidR="00BB7C95">
              <w:t xml:space="preserve">in </w:t>
            </w:r>
            <w:r>
              <w:t>other species</w:t>
            </w:r>
          </w:p>
          <w:p w14:paraId="3F523036" w14:textId="011639C5" w:rsidR="00CF616F" w:rsidRDefault="00CF616F" w:rsidP="00E90640">
            <w:pPr>
              <w:pStyle w:val="Tabletextprimarysource"/>
              <w:numPr>
                <w:ilvl w:val="0"/>
                <w:numId w:val="1"/>
              </w:numPr>
            </w:pPr>
            <w:r>
              <w:t>Elevated serum fluoride (rabbits), no signs of toxicity at 30 pm in sub</w:t>
            </w:r>
            <w:r w:rsidR="00115A0D">
              <w:t>-</w:t>
            </w:r>
            <w:r>
              <w:t>chronic inhalation study with dose group 30, 100</w:t>
            </w:r>
            <w:r w:rsidR="00E00A3B">
              <w:t xml:space="preserve"> and</w:t>
            </w:r>
            <w:r>
              <w:t xml:space="preserve"> 300 ppm (rats, rabbits, 6 h/d, 5 d/wk, 13 wk)</w:t>
            </w:r>
            <w:r w:rsidR="006C7A9C">
              <w:t>:</w:t>
            </w:r>
          </w:p>
          <w:p w14:paraId="361CE309" w14:textId="5AECA7ED" w:rsidR="00CF616F" w:rsidRDefault="00CF616F" w:rsidP="00982FB8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mottled incisors at 100 and 300 ppm, signs of renal and pulmonary damage</w:t>
            </w:r>
            <w:r w:rsidR="00E00A3B">
              <w:t xml:space="preserve"> and</w:t>
            </w:r>
            <w:r>
              <w:t xml:space="preserve"> inflammation of nasal tissue at 300 ppm (rats)</w:t>
            </w:r>
          </w:p>
          <w:p w14:paraId="6D0D5C5B" w14:textId="52B557BB" w:rsidR="00CF616F" w:rsidRDefault="00CF616F" w:rsidP="00982FB8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nasal tissue damage and significantly elevated serum fluoride at 100 and 300 ppm (rabbits)</w:t>
            </w:r>
          </w:p>
          <w:p w14:paraId="26B51BC3" w14:textId="1F52EA84" w:rsidR="00DD5EF1" w:rsidRDefault="006A517A" w:rsidP="00DD5EF1">
            <w:pPr>
              <w:pStyle w:val="Tabletextprimarysource"/>
              <w:numPr>
                <w:ilvl w:val="0"/>
                <w:numId w:val="1"/>
              </w:numPr>
            </w:pPr>
            <w:r>
              <w:t>NOAEC</w:t>
            </w:r>
            <w:r w:rsidR="006C7A9C">
              <w:t xml:space="preserve"> of</w:t>
            </w:r>
            <w:r>
              <w:t xml:space="preserve"> 30 ppm for n</w:t>
            </w:r>
            <w:r w:rsidR="00947151">
              <w:t xml:space="preserve">eurologic </w:t>
            </w:r>
            <w:r>
              <w:t xml:space="preserve">and </w:t>
            </w:r>
            <w:r w:rsidR="00947151">
              <w:t xml:space="preserve">histopathologic changes </w:t>
            </w:r>
            <w:r>
              <w:t>reported</w:t>
            </w:r>
            <w:r w:rsidR="00947151">
              <w:t xml:space="preserve"> in </w:t>
            </w:r>
            <w:r w:rsidR="004B3700">
              <w:t xml:space="preserve">another </w:t>
            </w:r>
            <w:r w:rsidR="00947151">
              <w:t>sub</w:t>
            </w:r>
            <w:r w:rsidR="008F4D1C">
              <w:t>-</w:t>
            </w:r>
            <w:r w:rsidR="00947151">
              <w:t>chronic inhalation study (rats, 6 h/d, 5 d/wk, 13 wk)</w:t>
            </w:r>
            <w:r w:rsidR="004B3700">
              <w:t>:</w:t>
            </w:r>
          </w:p>
          <w:p w14:paraId="055A25A9" w14:textId="229AC645" w:rsidR="00947151" w:rsidRDefault="00947151" w:rsidP="00DD5EF1">
            <w:pPr>
              <w:pStyle w:val="Tabletextprimarysource"/>
              <w:numPr>
                <w:ilvl w:val="0"/>
                <w:numId w:val="10"/>
              </w:numPr>
            </w:pPr>
            <w:r>
              <w:lastRenderedPageBreak/>
              <w:t>CNS depression and fluorosis at 100 and 300 ppm</w:t>
            </w:r>
            <w:r w:rsidR="008D1423">
              <w:t>.</w:t>
            </w:r>
          </w:p>
          <w:p w14:paraId="518FE24F" w14:textId="77777777" w:rsidR="00DA4BE7" w:rsidRDefault="00DA4BE7" w:rsidP="003365A5">
            <w:pPr>
              <w:pStyle w:val="Tabletextprimarysource"/>
            </w:pPr>
          </w:p>
          <w:p w14:paraId="4D66CEB8" w14:textId="77777777" w:rsidR="00E90640" w:rsidRDefault="00E90640" w:rsidP="003365A5">
            <w:pPr>
              <w:pStyle w:val="Tabletextprimarysource"/>
            </w:pPr>
            <w:r>
              <w:t>Insufficient data to recommend notations for carcinogenicity, skin absorption or sensitisation.</w:t>
            </w:r>
          </w:p>
          <w:p w14:paraId="0CE4D35D" w14:textId="72E4C502" w:rsidR="004B3700" w:rsidRPr="00DA352E" w:rsidRDefault="004B3700" w:rsidP="003365A5">
            <w:pPr>
              <w:pStyle w:val="Tabletextprimarysource"/>
            </w:pPr>
          </w:p>
        </w:tc>
      </w:tr>
      <w:tr w:rsidR="00C978F0" w:rsidRPr="00DA352E" w14:paraId="174F8B79" w14:textId="77777777" w:rsidTr="0034120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0A3B288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A346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A3465">
                  <w:t>NA</w:t>
                </w:r>
              </w:sdtContent>
            </w:sdt>
          </w:p>
        </w:tc>
      </w:tr>
      <w:tr w:rsidR="00C978F0" w:rsidRPr="00DA352E" w14:paraId="4433014F" w14:textId="77777777" w:rsidTr="0034120C">
        <w:trPr>
          <w:gridAfter w:val="1"/>
          <w:wAfter w:w="8" w:type="pct"/>
        </w:trPr>
        <w:tc>
          <w:tcPr>
            <w:tcW w:w="4992" w:type="pct"/>
          </w:tcPr>
          <w:p w14:paraId="61A64F09" w14:textId="10C45E83" w:rsidR="00C978F0" w:rsidRPr="00DA352E" w:rsidRDefault="008A3465" w:rsidP="003365A5">
            <w:pPr>
              <w:pStyle w:val="Tabletextprimarysource"/>
            </w:pPr>
            <w:r>
              <w:t>No report</w:t>
            </w:r>
            <w:r w:rsidR="0071569A">
              <w:t>.</w:t>
            </w:r>
          </w:p>
        </w:tc>
      </w:tr>
      <w:tr w:rsidR="00C978F0" w:rsidRPr="00DA352E" w14:paraId="0E6A0B2C" w14:textId="77777777" w:rsidTr="0034120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717F5F6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A346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8A3465">
                  <w:t>NA</w:t>
                </w:r>
              </w:sdtContent>
            </w:sdt>
          </w:p>
        </w:tc>
      </w:tr>
      <w:tr w:rsidR="00C978F0" w:rsidRPr="00DA352E" w14:paraId="2008D281" w14:textId="77777777" w:rsidTr="0034120C">
        <w:trPr>
          <w:gridAfter w:val="1"/>
          <w:wAfter w:w="8" w:type="pct"/>
        </w:trPr>
        <w:tc>
          <w:tcPr>
            <w:tcW w:w="4992" w:type="pct"/>
          </w:tcPr>
          <w:p w14:paraId="153B53C1" w14:textId="586A8960" w:rsidR="00C978F0" w:rsidRPr="00DA352E" w:rsidRDefault="008A3465" w:rsidP="003365A5">
            <w:pPr>
              <w:pStyle w:val="Tabletextprimarysource"/>
            </w:pPr>
            <w:r>
              <w:t>No report</w:t>
            </w:r>
            <w:r w:rsidR="0071569A">
              <w:t>.</w:t>
            </w:r>
          </w:p>
        </w:tc>
      </w:tr>
      <w:tr w:rsidR="00DA352E" w:rsidRPr="00DA352E" w14:paraId="12BAB90D" w14:textId="77777777" w:rsidTr="0034120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5872134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A346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8A3465">
                  <w:t>NA</w:t>
                </w:r>
              </w:sdtContent>
            </w:sdt>
          </w:p>
        </w:tc>
      </w:tr>
      <w:tr w:rsidR="00DA352E" w:rsidRPr="00DA352E" w14:paraId="33AAF4A6" w14:textId="77777777" w:rsidTr="0034120C">
        <w:trPr>
          <w:gridAfter w:val="1"/>
          <w:wAfter w:w="8" w:type="pct"/>
        </w:trPr>
        <w:tc>
          <w:tcPr>
            <w:tcW w:w="4992" w:type="pct"/>
          </w:tcPr>
          <w:p w14:paraId="2059E4CB" w14:textId="0A251426" w:rsidR="00DA352E" w:rsidRPr="00DA352E" w:rsidRDefault="008A3465" w:rsidP="003365A5">
            <w:pPr>
              <w:pStyle w:val="Tabletextprimarysource"/>
            </w:pPr>
            <w:r>
              <w:t>No report</w:t>
            </w:r>
            <w:r w:rsidR="0071569A">
              <w:t>.</w:t>
            </w:r>
          </w:p>
        </w:tc>
      </w:tr>
      <w:tr w:rsidR="00DA352E" w:rsidRPr="00DA352E" w14:paraId="605F758C" w14:textId="77777777" w:rsidTr="0034120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441F863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A3465" w:rsidRPr="008A3465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8A3465">
                  <w:t>TWA: 5 ppm (20 mg/m</w:t>
                </w:r>
                <w:r w:rsidR="008A3465" w:rsidRPr="008A3465">
                  <w:rPr>
                    <w:vertAlign w:val="superscript"/>
                  </w:rPr>
                  <w:t>3</w:t>
                </w:r>
                <w:r w:rsidR="008A3465">
                  <w:t>)</w:t>
                </w:r>
              </w:sdtContent>
            </w:sdt>
          </w:p>
        </w:tc>
      </w:tr>
      <w:tr w:rsidR="00DA352E" w:rsidRPr="00DA352E" w14:paraId="7050CB3E" w14:textId="77777777" w:rsidTr="0034120C">
        <w:trPr>
          <w:gridAfter w:val="1"/>
          <w:wAfter w:w="8" w:type="pct"/>
        </w:trPr>
        <w:tc>
          <w:tcPr>
            <w:tcW w:w="4992" w:type="pct"/>
          </w:tcPr>
          <w:p w14:paraId="00488AB5" w14:textId="49CBF81D" w:rsidR="00240119" w:rsidRDefault="00240119" w:rsidP="00DA4BE7">
            <w:pPr>
              <w:pStyle w:val="Tabletextprimarysource"/>
            </w:pPr>
            <w:r>
              <w:t>Summary of additional data</w:t>
            </w:r>
            <w:r w:rsidR="004B3700">
              <w:t>:</w:t>
            </w:r>
          </w:p>
          <w:p w14:paraId="1F073D2E" w14:textId="312888A2" w:rsidR="00DA352E" w:rsidRDefault="00424E68" w:rsidP="00DA4BE7">
            <w:pPr>
              <w:pStyle w:val="Tabletextprimarysource"/>
            </w:pPr>
            <w:r>
              <w:t xml:space="preserve">Existing administrative OEL considered too high; HBROEL derived from NOAEC of </w:t>
            </w:r>
            <w:r w:rsidR="000A0F10" w:rsidRPr="000A0F10">
              <w:t>85 mg/m</w:t>
            </w:r>
            <w:r w:rsidR="000A0F10" w:rsidRPr="000A0F10">
              <w:rPr>
                <w:vertAlign w:val="superscript"/>
              </w:rPr>
              <w:t>3</w:t>
            </w:r>
            <w:r w:rsidR="000A0F10" w:rsidRPr="000A0F10">
              <w:t xml:space="preserve"> (</w:t>
            </w:r>
            <w:r>
              <w:t>20</w:t>
            </w:r>
            <w:r w:rsidR="000A0F10">
              <w:t> </w:t>
            </w:r>
            <w:r>
              <w:t>ppm</w:t>
            </w:r>
            <w:r w:rsidR="000A0F10">
              <w:t>)</w:t>
            </w:r>
            <w:r>
              <w:t xml:space="preserve"> for minor lung lesions in chronically exposed </w:t>
            </w:r>
            <w:r w:rsidR="008D0B45">
              <w:t>rats</w:t>
            </w:r>
            <w:r>
              <w:t xml:space="preserve">. An overall UF of 9 is applied to account for inter- and intraspecies differences and </w:t>
            </w:r>
            <w:r w:rsidR="00A63C22">
              <w:t xml:space="preserve">result </w:t>
            </w:r>
            <w:r>
              <w:t xml:space="preserve">rounded up </w:t>
            </w:r>
            <w:r w:rsidR="00A63C22">
              <w:t>to</w:t>
            </w:r>
            <w:r>
              <w:t xml:space="preserve"> HBROEL of </w:t>
            </w:r>
            <w:r w:rsidR="000A0F10">
              <w:t>10 mg/m</w:t>
            </w:r>
            <w:r w:rsidR="000A0F10">
              <w:rPr>
                <w:vertAlign w:val="superscript"/>
              </w:rPr>
              <w:t xml:space="preserve">3 </w:t>
            </w:r>
            <w:r w:rsidR="000A0F10">
              <w:t>(</w:t>
            </w:r>
            <w:r>
              <w:t>2.4 ppm</w:t>
            </w:r>
            <w:r w:rsidR="000A0F10">
              <w:t>)</w:t>
            </w:r>
            <w:r>
              <w:t>.</w:t>
            </w:r>
          </w:p>
          <w:p w14:paraId="7FC7BBC6" w14:textId="37685AB3" w:rsidR="00240119" w:rsidRDefault="00240119" w:rsidP="00DA4BE7">
            <w:pPr>
              <w:pStyle w:val="Tabletextprimarysource"/>
            </w:pPr>
            <w:r>
              <w:t>Human data</w:t>
            </w:r>
            <w:r w:rsidR="00D23B17">
              <w:t>:</w:t>
            </w:r>
          </w:p>
          <w:p w14:paraId="43FD7A47" w14:textId="30FA559D" w:rsidR="00DA4BE7" w:rsidRDefault="0026783C" w:rsidP="00DA4BE7">
            <w:pPr>
              <w:pStyle w:val="Tabletextprimarysource"/>
              <w:numPr>
                <w:ilvl w:val="0"/>
                <w:numId w:val="1"/>
              </w:numPr>
            </w:pPr>
            <w:r>
              <w:t>Male hospitalised with nausea, vomiting, abdominal pain and itchy skin following exposure at</w:t>
            </w:r>
            <w:r w:rsidR="00F62986">
              <w:t xml:space="preserve"> unknown concentration assumed to be at least</w:t>
            </w:r>
            <w:r w:rsidR="00F62986">
              <w:rPr>
                <w:rFonts w:cs="Arial"/>
              </w:rPr>
              <w:t xml:space="preserve"> </w:t>
            </w:r>
            <w:r w:rsidR="00460225" w:rsidRPr="00465439">
              <w:rPr>
                <w:rFonts w:cs="Arial"/>
              </w:rPr>
              <w:t xml:space="preserve">an average of </w:t>
            </w:r>
            <w:r>
              <w:t>5 ppm for 4 h</w:t>
            </w:r>
            <w:r w:rsidR="004B3700">
              <w:t>:</w:t>
            </w:r>
            <w:r>
              <w:t xml:space="preserve"> </w:t>
            </w:r>
          </w:p>
          <w:p w14:paraId="51001E79" w14:textId="16ACC93E" w:rsidR="00DA4BE7" w:rsidRDefault="0026783C" w:rsidP="00DA4BE7">
            <w:pPr>
              <w:pStyle w:val="Tabletextprimarysource"/>
              <w:numPr>
                <w:ilvl w:val="0"/>
                <w:numId w:val="6"/>
              </w:numPr>
            </w:pPr>
            <w:r>
              <w:t xml:space="preserve">itchy throat, flatulence and difficulty reading after 4 d </w:t>
            </w:r>
          </w:p>
          <w:p w14:paraId="15BCDF88" w14:textId="6B5C5A46" w:rsidR="008D0B45" w:rsidRDefault="0026783C" w:rsidP="00DA4BE7">
            <w:pPr>
              <w:pStyle w:val="Tabletextprimarysource"/>
              <w:numPr>
                <w:ilvl w:val="0"/>
                <w:numId w:val="6"/>
              </w:numPr>
            </w:pPr>
            <w:r>
              <w:t>full recovery after 9 d (also cited in ACGIH, 2018)</w:t>
            </w:r>
          </w:p>
          <w:p w14:paraId="28CD8906" w14:textId="7EE0ABD4" w:rsidR="008D0B45" w:rsidRDefault="008D0B45" w:rsidP="00DA4BE7">
            <w:pPr>
              <w:pStyle w:val="Tabletextprimarysource"/>
              <w:numPr>
                <w:ilvl w:val="0"/>
                <w:numId w:val="1"/>
              </w:numPr>
            </w:pPr>
            <w:r>
              <w:t>Fumigators (n=6) exposed at 5 ppm on average of 2 h (maximum 8.7 ppm) reported in case control study (also cited by ACGIH, 2018)</w:t>
            </w:r>
          </w:p>
          <w:p w14:paraId="052FC6E3" w14:textId="4B82BB56" w:rsidR="0026783C" w:rsidRDefault="0026783C" w:rsidP="00DA4BE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increased risk of developing brain tumours in fumigation workers </w:t>
            </w:r>
            <w:r w:rsidR="00F061FC">
              <w:t>reported in case control study (no further details provided)</w:t>
            </w:r>
            <w:r w:rsidR="0071569A">
              <w:t>.</w:t>
            </w:r>
          </w:p>
          <w:p w14:paraId="1568A569" w14:textId="77777777" w:rsidR="00240119" w:rsidRDefault="00240119" w:rsidP="00DA4BE7">
            <w:pPr>
              <w:pStyle w:val="Tabletextprimarysource"/>
            </w:pPr>
            <w:r>
              <w:t>Animal data:</w:t>
            </w:r>
          </w:p>
          <w:p w14:paraId="0B42FD52" w14:textId="7DB0FB81" w:rsidR="00240119" w:rsidRDefault="00CC46E3" w:rsidP="00DA4BE7">
            <w:pPr>
              <w:pStyle w:val="Tabletextprimarysource"/>
              <w:numPr>
                <w:ilvl w:val="0"/>
                <w:numId w:val="1"/>
              </w:numPr>
            </w:pPr>
            <w:r>
              <w:t>S</w:t>
            </w:r>
            <w:r w:rsidR="00F0169A">
              <w:t>light d</w:t>
            </w:r>
            <w:r w:rsidR="008D0B45">
              <w:t>ental fluorosis</w:t>
            </w:r>
            <w:r w:rsidR="00F0169A">
              <w:t xml:space="preserve"> at 20 ppm (males)</w:t>
            </w:r>
            <w:r>
              <w:t xml:space="preserve">, kidney and lung damage </w:t>
            </w:r>
            <w:r w:rsidR="00F0169A">
              <w:t>at 80 ppm (</w:t>
            </w:r>
            <w:r>
              <w:t xml:space="preserve">males and </w:t>
            </w:r>
            <w:r w:rsidR="00F0169A">
              <w:t>females) in chronic inhalation studies with exposure groups 0, 5, 20</w:t>
            </w:r>
            <w:r w:rsidR="00E00A3B">
              <w:t xml:space="preserve"> and</w:t>
            </w:r>
            <w:r w:rsidR="00F0169A">
              <w:t xml:space="preserve"> 80 ppm </w:t>
            </w:r>
            <w:r>
              <w:t>(rats, 6 </w:t>
            </w:r>
            <w:r w:rsidR="00F0169A">
              <w:t>h/d, 5 d/wk, 12</w:t>
            </w:r>
            <w:r>
              <w:t xml:space="preserve"> and </w:t>
            </w:r>
            <w:r w:rsidR="00F0169A">
              <w:t>24 mo)</w:t>
            </w:r>
            <w:r w:rsidR="006C7A9C">
              <w:t>:</w:t>
            </w:r>
          </w:p>
          <w:p w14:paraId="4A16176C" w14:textId="46EA9410" w:rsidR="00F0169A" w:rsidRDefault="00F0169A" w:rsidP="00DA4BE7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NOAEC</w:t>
            </w:r>
            <w:r w:rsidR="008F4D1C">
              <w:t xml:space="preserve"> of </w:t>
            </w:r>
            <w:r w:rsidR="002576EF">
              <w:t>20 ppm for lung and kidney damage (males/females</w:t>
            </w:r>
            <w:r w:rsidR="008F4D1C">
              <w:t xml:space="preserve">) and </w:t>
            </w:r>
            <w:r w:rsidR="00CC46E3">
              <w:t>5</w:t>
            </w:r>
            <w:r>
              <w:t xml:space="preserve"> ppm </w:t>
            </w:r>
            <w:r w:rsidR="00CC46E3">
              <w:t>for dental fluorosis</w:t>
            </w:r>
            <w:r w:rsidR="002576EF">
              <w:t xml:space="preserve"> (males)</w:t>
            </w:r>
            <w:r w:rsidR="00CC46E3">
              <w:t xml:space="preserve"> </w:t>
            </w:r>
          </w:p>
          <w:p w14:paraId="78DAD095" w14:textId="7159C1A8" w:rsidR="00F0169A" w:rsidRDefault="00F0169A" w:rsidP="00DA4BE7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dental fluorosis in males at 20 ppm</w:t>
            </w:r>
            <w:r w:rsidR="00CC46E3">
              <w:t xml:space="preserve"> was </w:t>
            </w:r>
            <w:r w:rsidR="00B646E8">
              <w:t>“</w:t>
            </w:r>
            <w:r w:rsidR="00CC46E3">
              <w:t>very slight</w:t>
            </w:r>
            <w:r w:rsidR="00B646E8">
              <w:t>”</w:t>
            </w:r>
            <w:r w:rsidR="00CC46E3">
              <w:t xml:space="preserve"> according to agency</w:t>
            </w:r>
            <w:r w:rsidR="00B646E8">
              <w:t xml:space="preserve"> and was not used as a POD</w:t>
            </w:r>
            <w:r>
              <w:t xml:space="preserve">; severe fluorosis observed </w:t>
            </w:r>
            <w:r w:rsidR="00B646E8">
              <w:t>in both males and females at 80 </w:t>
            </w:r>
            <w:r>
              <w:t>ppm</w:t>
            </w:r>
            <w:r w:rsidR="0071569A">
              <w:t>.</w:t>
            </w:r>
          </w:p>
          <w:p w14:paraId="00B108B3" w14:textId="77777777" w:rsidR="00240119" w:rsidRDefault="00566B34" w:rsidP="00DA4BE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bacteria or </w:t>
            </w:r>
            <w:r>
              <w:rPr>
                <w:i/>
              </w:rPr>
              <w:t>in vivo</w:t>
            </w:r>
            <w:r>
              <w:t xml:space="preserve"> in micronucleus assay with inhalational exposure at 0–520 ppm (mice, no further experimental details provided)</w:t>
            </w:r>
            <w:r w:rsidR="0071569A">
              <w:t>.</w:t>
            </w:r>
          </w:p>
          <w:p w14:paraId="492D7791" w14:textId="3D444FAA" w:rsidR="00DA4BE7" w:rsidRPr="00424E68" w:rsidRDefault="00DA4BE7" w:rsidP="00DA4BE7">
            <w:pPr>
              <w:pStyle w:val="Tabletextprimarysource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263255" w14:paraId="6AE89AB3" w14:textId="77777777" w:rsidTr="003412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0C4323A" w14:textId="77777777" w:rsidTr="0034120C">
        <w:trPr>
          <w:cantSplit/>
        </w:trPr>
        <w:tc>
          <w:tcPr>
            <w:tcW w:w="1498" w:type="dxa"/>
          </w:tcPr>
          <w:p w14:paraId="76D0E357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46AE65C2" w14:textId="08604F9C" w:rsidR="004966BF" w:rsidRDefault="0095694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67D5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B82A5B6" w14:textId="0755AF6F" w:rsidR="004966BF" w:rsidRPr="004C23F4" w:rsidRDefault="00967D5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5" w:type="dxa"/>
          </w:tcPr>
          <w:p w14:paraId="4E1BEF9D" w14:textId="2EA17489" w:rsidR="004966BF" w:rsidRPr="004C23F4" w:rsidRDefault="00FA5311" w:rsidP="000A0F10">
            <w:pPr>
              <w:pStyle w:val="Tablefont"/>
              <w:numPr>
                <w:ilvl w:val="0"/>
                <w:numId w:val="7"/>
              </w:numPr>
              <w:rPr>
                <w:rStyle w:val="checkbox"/>
                <w:rFonts w:ascii="Arial" w:hAnsi="Arial" w:cs="Arial"/>
              </w:rPr>
            </w:pPr>
            <w:r w:rsidRPr="00FA5311">
              <w:rPr>
                <w:rFonts w:cs="Arial"/>
              </w:rPr>
              <w:t>IDLH for sulfuryl fluoride is 200 ppm based on acute inhalation toxicity data in animals</w:t>
            </w:r>
          </w:p>
        </w:tc>
      </w:tr>
    </w:tbl>
    <w:bookmarkEnd w:id="0"/>
    <w:p w14:paraId="04408E29" w14:textId="77777777" w:rsidR="007E2A4B" w:rsidRDefault="007E2A4B" w:rsidP="00DA4BE7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B20D07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DA4BE7">
            <w:pPr>
              <w:pStyle w:val="Tablefont"/>
              <w:keepLines/>
              <w:spacing w:before="40" w:after="40"/>
            </w:pPr>
            <w:bookmarkStart w:id="1" w:name="GCQuest"/>
            <w:r>
              <w:lastRenderedPageBreak/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0067E246" w:rsidR="002E0D61" w:rsidRDefault="00B20D07" w:rsidP="00DA4BE7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B20D0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234613AF" w:rsidR="008A36CF" w:rsidRPr="006901A2" w:rsidRDefault="00B20D07" w:rsidP="00DA4BE7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DA4BE7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3412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34120C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3DC46AEE" w:rsidR="00687890" w:rsidRPr="00DD2F9B" w:rsidRDefault="008A3465" w:rsidP="00DD2F9B">
            <w:pPr>
              <w:pStyle w:val="Tablefont"/>
            </w:pPr>
            <w:r w:rsidRPr="008A3465">
              <w:t>—</w:t>
            </w:r>
          </w:p>
        </w:tc>
      </w:tr>
      <w:tr w:rsidR="007925F0" w:rsidRPr="004C23F4" w14:paraId="2A0C13EF" w14:textId="77777777" w:rsidTr="0034120C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36204F50" w:rsidR="007925F0" w:rsidRPr="00DD2F9B" w:rsidRDefault="008A3465" w:rsidP="00DD2F9B">
            <w:pPr>
              <w:pStyle w:val="Tablefont"/>
            </w:pPr>
            <w:r w:rsidRPr="008A3465">
              <w:t>—</w:t>
            </w:r>
          </w:p>
        </w:tc>
      </w:tr>
      <w:tr w:rsidR="00AF483F" w:rsidRPr="004C23F4" w14:paraId="4C1044B3" w14:textId="77777777" w:rsidTr="0034120C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7AA89F84" w:rsidR="00AF483F" w:rsidRPr="00DD2F9B" w:rsidRDefault="008A346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34120C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1C50E739" w:rsidR="00687890" w:rsidRPr="00DD2F9B" w:rsidRDefault="00FA5311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403F0800" w14:textId="77777777" w:rsidTr="0034120C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14E5CF4B" w:rsidR="00E41A26" w:rsidRPr="00DD2F9B" w:rsidRDefault="008A3465" w:rsidP="00DD2F9B">
            <w:pPr>
              <w:pStyle w:val="Tablefont"/>
            </w:pPr>
            <w:r w:rsidRPr="008A3465">
              <w:t>—</w:t>
            </w:r>
          </w:p>
        </w:tc>
      </w:tr>
      <w:tr w:rsidR="002E0D61" w:rsidRPr="004C23F4" w14:paraId="57A490EF" w14:textId="77777777" w:rsidTr="0034120C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69E1F35E" w:rsidR="002E0D61" w:rsidRPr="00DD2F9B" w:rsidRDefault="008A3465" w:rsidP="00DD2F9B">
            <w:pPr>
              <w:pStyle w:val="Tablefont"/>
            </w:pPr>
            <w:r w:rsidRPr="008A3465">
              <w:t>—</w:t>
            </w:r>
          </w:p>
        </w:tc>
      </w:tr>
      <w:tr w:rsidR="002E0D61" w:rsidRPr="004C23F4" w14:paraId="43FA3590" w14:textId="77777777" w:rsidTr="0034120C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348D123F" w:rsidR="002E0D61" w:rsidRPr="00DD2F9B" w:rsidRDefault="004161A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34120C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442B60F7" w:rsidR="002E0D61" w:rsidRPr="00DD2F9B" w:rsidRDefault="004161A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34120C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1B626429" w:rsidR="002E0D61" w:rsidRPr="00DD2F9B" w:rsidRDefault="004161A5" w:rsidP="00DD2F9B">
            <w:pPr>
              <w:pStyle w:val="Tablefont"/>
            </w:pPr>
            <w:r w:rsidRPr="004161A5">
              <w:t>—</w:t>
            </w:r>
          </w:p>
        </w:tc>
      </w:tr>
      <w:tr w:rsidR="00386093" w:rsidRPr="004C23F4" w14:paraId="5F6A6A8E" w14:textId="77777777" w:rsidTr="0034120C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424AADF7" w:rsidR="00386093" w:rsidRPr="00DD2F9B" w:rsidRDefault="004161A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34120C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5F344D49" w:rsidR="00386093" w:rsidRPr="00DD2F9B" w:rsidRDefault="004161A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4966DB25" w:rsidR="00932DCE" w:rsidRPr="004C23F4" w:rsidRDefault="00B20D07" w:rsidP="00F9496B">
            <w:pPr>
              <w:pStyle w:val="Tablefont"/>
            </w:pPr>
            <w:r>
              <w:t xml:space="preserve">Insufficient data to assign a </w:t>
            </w:r>
            <w:r w:rsidR="00756ECF">
              <w:t xml:space="preserve">skin </w:t>
            </w:r>
            <w:r>
              <w:t>notation</w:t>
            </w:r>
            <w:r w:rsidR="00DA4BE7">
              <w:t>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3F5B40D3" w:rsidR="00EB3D1B" w:rsidRDefault="004161A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70E44EF6" w:rsidR="001B79E5" w:rsidRDefault="004161A5" w:rsidP="001B79E5">
                <w:pPr>
                  <w:pStyle w:val="Tablefont"/>
                </w:pPr>
                <w:r w:rsidRPr="004161A5">
                  <w:t>102.06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4A781F18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4161A5">
                  <w:t>4.17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4161A5">
                  <w:t>0.240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29C6203F" w:rsidR="00687890" w:rsidRPr="004C23F4" w:rsidRDefault="00947151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0F5AF9F0" w:rsidR="00E06F40" w:rsidRPr="00A006A0" w:rsidRDefault="0095694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947151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8EAA9C1" w14:textId="1C9B664A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4161A5" w:rsidRPr="004161A5">
        <w:t>2004</w:t>
      </w:r>
      <w:r>
        <w:t xml:space="preserve">) </w:t>
      </w:r>
      <w:r w:rsidR="004161A5" w:rsidRPr="004161A5">
        <w:t>Sulphuryl difluoride</w:t>
      </w:r>
      <w:r w:rsidRPr="005F7416">
        <w:t xml:space="preserve">. Health-based calculated occupational cancer risk values. The Hague: Health Council of the Netherlands; publication no. </w:t>
      </w:r>
      <w:r w:rsidR="004161A5" w:rsidRPr="004161A5">
        <w:t>2000/15OSH/141</w:t>
      </w:r>
      <w:r>
        <w:t>.</w:t>
      </w:r>
    </w:p>
    <w:p w14:paraId="77EFB18B" w14:textId="2E1DC99F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4161A5" w:rsidRPr="004161A5">
        <w:t>1994</w:t>
      </w:r>
      <w:r>
        <w:t xml:space="preserve">) Immediately dangerous to life or health concentrations – </w:t>
      </w:r>
      <w:r w:rsidR="004161A5" w:rsidRPr="004161A5">
        <w:t>Sulfuryl fluoride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8232A" w14:textId="77777777" w:rsidR="00901E16" w:rsidRDefault="00901E16" w:rsidP="00F43AD5">
      <w:pPr>
        <w:spacing w:after="0" w:line="240" w:lineRule="auto"/>
      </w:pPr>
      <w:r>
        <w:separator/>
      </w:r>
    </w:p>
  </w:endnote>
  <w:endnote w:type="continuationSeparator" w:id="0">
    <w:p w14:paraId="62BDA230" w14:textId="77777777" w:rsidR="00901E16" w:rsidRDefault="00901E1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85A3274" w14:textId="77777777" w:rsidR="0001478D" w:rsidRPr="008A3465" w:rsidRDefault="0001478D" w:rsidP="008A3465">
        <w:pPr>
          <w:pStyle w:val="Footer"/>
          <w:rPr>
            <w:b/>
            <w:sz w:val="18"/>
            <w:szCs w:val="18"/>
          </w:rPr>
        </w:pPr>
      </w:p>
      <w:p w14:paraId="39026E62" w14:textId="2257DA52" w:rsidR="0001478D" w:rsidRDefault="0001478D" w:rsidP="008A3465">
        <w:pPr>
          <w:pStyle w:val="Footer"/>
          <w:rPr>
            <w:sz w:val="18"/>
            <w:szCs w:val="18"/>
          </w:rPr>
        </w:pPr>
        <w:r w:rsidRPr="008A3465">
          <w:rPr>
            <w:b/>
            <w:sz w:val="18"/>
            <w:szCs w:val="18"/>
          </w:rPr>
          <w:t>Sul</w:t>
        </w:r>
        <w:r>
          <w:rPr>
            <w:b/>
            <w:sz w:val="18"/>
            <w:szCs w:val="18"/>
          </w:rPr>
          <w:t>f</w:t>
        </w:r>
        <w:r w:rsidRPr="008A3465">
          <w:rPr>
            <w:b/>
            <w:sz w:val="18"/>
            <w:szCs w:val="18"/>
          </w:rPr>
          <w:t xml:space="preserve">uryl fluoride </w:t>
        </w:r>
        <w:r>
          <w:rPr>
            <w:b/>
            <w:sz w:val="18"/>
            <w:szCs w:val="18"/>
          </w:rPr>
          <w:t>(</w:t>
        </w:r>
        <w:r w:rsidRPr="008A3465">
          <w:rPr>
            <w:b/>
            <w:sz w:val="18"/>
            <w:szCs w:val="18"/>
          </w:rPr>
          <w:t>2699-79-8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</w:t>
        </w:r>
        <w:r>
          <w:rPr>
            <w:sz w:val="18"/>
            <w:szCs w:val="18"/>
          </w:rPr>
          <w:t>2020</w:t>
        </w:r>
      </w:p>
      <w:p w14:paraId="2D517F5E" w14:textId="15E1F8D7" w:rsidR="0001478D" w:rsidRPr="00F43AD5" w:rsidRDefault="0001478D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A517A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CCCD1" w14:textId="77777777" w:rsidR="00901E16" w:rsidRDefault="00901E16" w:rsidP="00F43AD5">
      <w:pPr>
        <w:spacing w:after="0" w:line="240" w:lineRule="auto"/>
      </w:pPr>
      <w:r>
        <w:separator/>
      </w:r>
    </w:p>
  </w:footnote>
  <w:footnote w:type="continuationSeparator" w:id="0">
    <w:p w14:paraId="5284BCB5" w14:textId="77777777" w:rsidR="00901E16" w:rsidRDefault="00901E1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42122" w14:textId="6AA12E74" w:rsidR="0034120C" w:rsidRDefault="0034120C" w:rsidP="0034120C">
    <w:pPr>
      <w:pStyle w:val="Header"/>
      <w:jc w:val="right"/>
    </w:pPr>
    <w:r>
      <w:rPr>
        <w:noProof/>
        <w:lang w:eastAsia="en-AU"/>
      </w:rPr>
      <w:drawing>
        <wp:inline distT="0" distB="0" distL="0" distR="0" wp14:anchorId="3C8690F7" wp14:editId="7A9781DC">
          <wp:extent cx="2948305" cy="598805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64F80ECA" w:rsidR="0001478D" w:rsidRPr="0034120C" w:rsidRDefault="0001478D" w:rsidP="003412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54EA1" w14:textId="5D71F513" w:rsidR="0034120C" w:rsidRDefault="0034120C" w:rsidP="0034120C">
    <w:pPr>
      <w:pStyle w:val="Header"/>
      <w:jc w:val="right"/>
    </w:pPr>
    <w:r>
      <w:rPr>
        <w:noProof/>
        <w:lang w:eastAsia="en-AU"/>
      </w:rPr>
      <w:drawing>
        <wp:inline distT="0" distB="0" distL="0" distR="0" wp14:anchorId="40DA2AB6" wp14:editId="5CF00152">
          <wp:extent cx="2948305" cy="598805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122CF479" w:rsidR="0001478D" w:rsidRDefault="0001478D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A67A3"/>
    <w:multiLevelType w:val="hybridMultilevel"/>
    <w:tmpl w:val="5C86D4B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A33412"/>
    <w:multiLevelType w:val="hybridMultilevel"/>
    <w:tmpl w:val="AF9C6DCA"/>
    <w:lvl w:ilvl="0" w:tplc="0E30A9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060A2"/>
    <w:multiLevelType w:val="hybridMultilevel"/>
    <w:tmpl w:val="6D583F5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244BB8"/>
    <w:multiLevelType w:val="hybridMultilevel"/>
    <w:tmpl w:val="743EDDB0"/>
    <w:lvl w:ilvl="0" w:tplc="9FBA096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E37B6"/>
    <w:multiLevelType w:val="hybridMultilevel"/>
    <w:tmpl w:val="044631B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3367B2"/>
    <w:multiLevelType w:val="hybridMultilevel"/>
    <w:tmpl w:val="D82A5A76"/>
    <w:lvl w:ilvl="0" w:tplc="91FE5F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95729E"/>
    <w:multiLevelType w:val="hybridMultilevel"/>
    <w:tmpl w:val="BD5CE9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37CFC"/>
    <w:multiLevelType w:val="hybridMultilevel"/>
    <w:tmpl w:val="4874F1C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D44376C"/>
    <w:multiLevelType w:val="hybridMultilevel"/>
    <w:tmpl w:val="B55AEC00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49C08F7"/>
    <w:multiLevelType w:val="hybridMultilevel"/>
    <w:tmpl w:val="34643D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795081">
    <w:abstractNumId w:val="3"/>
  </w:num>
  <w:num w:numId="2" w16cid:durableId="1207641159">
    <w:abstractNumId w:val="1"/>
  </w:num>
  <w:num w:numId="3" w16cid:durableId="45111967">
    <w:abstractNumId w:val="5"/>
  </w:num>
  <w:num w:numId="4" w16cid:durableId="1410613765">
    <w:abstractNumId w:val="8"/>
  </w:num>
  <w:num w:numId="5" w16cid:durableId="1686446443">
    <w:abstractNumId w:val="2"/>
  </w:num>
  <w:num w:numId="6" w16cid:durableId="1693259480">
    <w:abstractNumId w:val="7"/>
  </w:num>
  <w:num w:numId="7" w16cid:durableId="1057969875">
    <w:abstractNumId w:val="6"/>
  </w:num>
  <w:num w:numId="8" w16cid:durableId="1204824946">
    <w:abstractNumId w:val="4"/>
  </w:num>
  <w:num w:numId="9" w16cid:durableId="642779316">
    <w:abstractNumId w:val="9"/>
  </w:num>
  <w:num w:numId="10" w16cid:durableId="1706978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B0B"/>
    <w:rsid w:val="00013A22"/>
    <w:rsid w:val="0001478D"/>
    <w:rsid w:val="00014C3F"/>
    <w:rsid w:val="00016D81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7380C"/>
    <w:rsid w:val="000803E1"/>
    <w:rsid w:val="00083951"/>
    <w:rsid w:val="00084513"/>
    <w:rsid w:val="00084859"/>
    <w:rsid w:val="00092D94"/>
    <w:rsid w:val="000A0F10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15A0D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653DB"/>
    <w:rsid w:val="00177CA1"/>
    <w:rsid w:val="00183823"/>
    <w:rsid w:val="00183942"/>
    <w:rsid w:val="001915F6"/>
    <w:rsid w:val="001A009E"/>
    <w:rsid w:val="001A0681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25B"/>
    <w:rsid w:val="00222533"/>
    <w:rsid w:val="00222F30"/>
    <w:rsid w:val="00224EE2"/>
    <w:rsid w:val="00224F56"/>
    <w:rsid w:val="00227EC7"/>
    <w:rsid w:val="00240119"/>
    <w:rsid w:val="00244AD1"/>
    <w:rsid w:val="002463BC"/>
    <w:rsid w:val="002465CE"/>
    <w:rsid w:val="0025705C"/>
    <w:rsid w:val="0025734A"/>
    <w:rsid w:val="002576EF"/>
    <w:rsid w:val="00263255"/>
    <w:rsid w:val="0026783C"/>
    <w:rsid w:val="002733A1"/>
    <w:rsid w:val="0027467E"/>
    <w:rsid w:val="00276494"/>
    <w:rsid w:val="00277B0C"/>
    <w:rsid w:val="002A2553"/>
    <w:rsid w:val="002A25F8"/>
    <w:rsid w:val="002B1A2C"/>
    <w:rsid w:val="002C34F2"/>
    <w:rsid w:val="002C58FF"/>
    <w:rsid w:val="002C7AFE"/>
    <w:rsid w:val="002D05D2"/>
    <w:rsid w:val="002E05D6"/>
    <w:rsid w:val="002E0D61"/>
    <w:rsid w:val="002E4C7B"/>
    <w:rsid w:val="002F74D9"/>
    <w:rsid w:val="00304717"/>
    <w:rsid w:val="0030740C"/>
    <w:rsid w:val="00315833"/>
    <w:rsid w:val="003215EE"/>
    <w:rsid w:val="003224BF"/>
    <w:rsid w:val="003241A8"/>
    <w:rsid w:val="003253F0"/>
    <w:rsid w:val="003337DA"/>
    <w:rsid w:val="00333E6D"/>
    <w:rsid w:val="00334EFB"/>
    <w:rsid w:val="00335CDE"/>
    <w:rsid w:val="003365A5"/>
    <w:rsid w:val="0034120C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2719"/>
    <w:rsid w:val="003D4FA3"/>
    <w:rsid w:val="003D7BC0"/>
    <w:rsid w:val="003E0807"/>
    <w:rsid w:val="003E51FB"/>
    <w:rsid w:val="003E6B39"/>
    <w:rsid w:val="003F07E1"/>
    <w:rsid w:val="004030BC"/>
    <w:rsid w:val="00403F7D"/>
    <w:rsid w:val="00406785"/>
    <w:rsid w:val="004079B4"/>
    <w:rsid w:val="004161A5"/>
    <w:rsid w:val="00417A56"/>
    <w:rsid w:val="00420957"/>
    <w:rsid w:val="00422A10"/>
    <w:rsid w:val="00424E68"/>
    <w:rsid w:val="00430179"/>
    <w:rsid w:val="004414B5"/>
    <w:rsid w:val="00444482"/>
    <w:rsid w:val="00444B42"/>
    <w:rsid w:val="00445E44"/>
    <w:rsid w:val="004509E2"/>
    <w:rsid w:val="004515EE"/>
    <w:rsid w:val="004529F0"/>
    <w:rsid w:val="00460225"/>
    <w:rsid w:val="00460A03"/>
    <w:rsid w:val="00465439"/>
    <w:rsid w:val="00466435"/>
    <w:rsid w:val="00472A11"/>
    <w:rsid w:val="00472AAD"/>
    <w:rsid w:val="00474E33"/>
    <w:rsid w:val="00476803"/>
    <w:rsid w:val="004816AE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3700"/>
    <w:rsid w:val="004B5882"/>
    <w:rsid w:val="004C1E3F"/>
    <w:rsid w:val="004C23F4"/>
    <w:rsid w:val="004C3475"/>
    <w:rsid w:val="004C58B6"/>
    <w:rsid w:val="004D16A3"/>
    <w:rsid w:val="004D4AA1"/>
    <w:rsid w:val="004D6D68"/>
    <w:rsid w:val="004E5EDD"/>
    <w:rsid w:val="004E6DE1"/>
    <w:rsid w:val="004F448A"/>
    <w:rsid w:val="004F493D"/>
    <w:rsid w:val="004F4989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6507"/>
    <w:rsid w:val="00566B34"/>
    <w:rsid w:val="00581055"/>
    <w:rsid w:val="00591E38"/>
    <w:rsid w:val="005A19C5"/>
    <w:rsid w:val="005A3034"/>
    <w:rsid w:val="005A462D"/>
    <w:rsid w:val="005B253B"/>
    <w:rsid w:val="005B449D"/>
    <w:rsid w:val="005B771D"/>
    <w:rsid w:val="005C5D16"/>
    <w:rsid w:val="005D3193"/>
    <w:rsid w:val="005D4A6E"/>
    <w:rsid w:val="005E0329"/>
    <w:rsid w:val="005E6979"/>
    <w:rsid w:val="005E75CB"/>
    <w:rsid w:val="006013C1"/>
    <w:rsid w:val="00602C97"/>
    <w:rsid w:val="0060306C"/>
    <w:rsid w:val="0060669E"/>
    <w:rsid w:val="00610F2E"/>
    <w:rsid w:val="00611399"/>
    <w:rsid w:val="00624C4E"/>
    <w:rsid w:val="00625200"/>
    <w:rsid w:val="00634901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851"/>
    <w:rsid w:val="00690B53"/>
    <w:rsid w:val="00695B72"/>
    <w:rsid w:val="006A517A"/>
    <w:rsid w:val="006B160A"/>
    <w:rsid w:val="006B4E6C"/>
    <w:rsid w:val="006B50B6"/>
    <w:rsid w:val="006C7A9C"/>
    <w:rsid w:val="006D79EA"/>
    <w:rsid w:val="006E5D05"/>
    <w:rsid w:val="00701053"/>
    <w:rsid w:val="00701507"/>
    <w:rsid w:val="00702501"/>
    <w:rsid w:val="00714021"/>
    <w:rsid w:val="0071569A"/>
    <w:rsid w:val="00716A0F"/>
    <w:rsid w:val="00717ABF"/>
    <w:rsid w:val="00717D45"/>
    <w:rsid w:val="007208F7"/>
    <w:rsid w:val="007218AF"/>
    <w:rsid w:val="00723051"/>
    <w:rsid w:val="007365D1"/>
    <w:rsid w:val="00740E0E"/>
    <w:rsid w:val="00750212"/>
    <w:rsid w:val="00754779"/>
    <w:rsid w:val="00756ECF"/>
    <w:rsid w:val="0075716D"/>
    <w:rsid w:val="00765F14"/>
    <w:rsid w:val="00770E31"/>
    <w:rsid w:val="00775C87"/>
    <w:rsid w:val="007770F1"/>
    <w:rsid w:val="00783FB1"/>
    <w:rsid w:val="00785CDD"/>
    <w:rsid w:val="00791847"/>
    <w:rsid w:val="007925F0"/>
    <w:rsid w:val="007939B3"/>
    <w:rsid w:val="0079509C"/>
    <w:rsid w:val="00796708"/>
    <w:rsid w:val="007A6558"/>
    <w:rsid w:val="007B1B42"/>
    <w:rsid w:val="007C30EB"/>
    <w:rsid w:val="007D18BC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4E5C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465"/>
    <w:rsid w:val="008A36CF"/>
    <w:rsid w:val="008A3BC4"/>
    <w:rsid w:val="008A4BD7"/>
    <w:rsid w:val="008B403C"/>
    <w:rsid w:val="008B7983"/>
    <w:rsid w:val="008C2511"/>
    <w:rsid w:val="008D026D"/>
    <w:rsid w:val="008D0B45"/>
    <w:rsid w:val="008D1423"/>
    <w:rsid w:val="008D193E"/>
    <w:rsid w:val="008D23AB"/>
    <w:rsid w:val="008D4B8B"/>
    <w:rsid w:val="008D5A78"/>
    <w:rsid w:val="008E4F1F"/>
    <w:rsid w:val="008E7B64"/>
    <w:rsid w:val="008F4D1C"/>
    <w:rsid w:val="008F5DCD"/>
    <w:rsid w:val="00900951"/>
    <w:rsid w:val="00901E16"/>
    <w:rsid w:val="009056E7"/>
    <w:rsid w:val="009118A6"/>
    <w:rsid w:val="00913C1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40A5"/>
    <w:rsid w:val="0093760E"/>
    <w:rsid w:val="009418CA"/>
    <w:rsid w:val="00946044"/>
    <w:rsid w:val="0094660B"/>
    <w:rsid w:val="00946895"/>
    <w:rsid w:val="00946A33"/>
    <w:rsid w:val="00947151"/>
    <w:rsid w:val="0095260E"/>
    <w:rsid w:val="00952C00"/>
    <w:rsid w:val="00956944"/>
    <w:rsid w:val="009578DD"/>
    <w:rsid w:val="00961124"/>
    <w:rsid w:val="009621B6"/>
    <w:rsid w:val="00964307"/>
    <w:rsid w:val="00967D51"/>
    <w:rsid w:val="00974F2D"/>
    <w:rsid w:val="00977524"/>
    <w:rsid w:val="00977E88"/>
    <w:rsid w:val="00982FB8"/>
    <w:rsid w:val="00984920"/>
    <w:rsid w:val="0099303A"/>
    <w:rsid w:val="00995105"/>
    <w:rsid w:val="009971C2"/>
    <w:rsid w:val="009A1254"/>
    <w:rsid w:val="009B2FF2"/>
    <w:rsid w:val="009B380C"/>
    <w:rsid w:val="009B4843"/>
    <w:rsid w:val="009B6543"/>
    <w:rsid w:val="009C199D"/>
    <w:rsid w:val="009C1D42"/>
    <w:rsid w:val="009C278F"/>
    <w:rsid w:val="009C2B94"/>
    <w:rsid w:val="009C5874"/>
    <w:rsid w:val="009D1A0F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344C"/>
    <w:rsid w:val="00A53471"/>
    <w:rsid w:val="00A53681"/>
    <w:rsid w:val="00A633D4"/>
    <w:rsid w:val="00A63C22"/>
    <w:rsid w:val="00A6461A"/>
    <w:rsid w:val="00A652EA"/>
    <w:rsid w:val="00A713B7"/>
    <w:rsid w:val="00A7635F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4AB4"/>
    <w:rsid w:val="00AF42CB"/>
    <w:rsid w:val="00AF483F"/>
    <w:rsid w:val="00AF5E07"/>
    <w:rsid w:val="00AF5F06"/>
    <w:rsid w:val="00B00A25"/>
    <w:rsid w:val="00B1422A"/>
    <w:rsid w:val="00B1765C"/>
    <w:rsid w:val="00B20D07"/>
    <w:rsid w:val="00B213C4"/>
    <w:rsid w:val="00B36DED"/>
    <w:rsid w:val="00B40C60"/>
    <w:rsid w:val="00B44761"/>
    <w:rsid w:val="00B479A9"/>
    <w:rsid w:val="00B52EDF"/>
    <w:rsid w:val="00B54A6F"/>
    <w:rsid w:val="00B646E8"/>
    <w:rsid w:val="00B71188"/>
    <w:rsid w:val="00B76A41"/>
    <w:rsid w:val="00B852EE"/>
    <w:rsid w:val="00B87D4C"/>
    <w:rsid w:val="00B93646"/>
    <w:rsid w:val="00BA0B38"/>
    <w:rsid w:val="00BA1DBB"/>
    <w:rsid w:val="00BA4510"/>
    <w:rsid w:val="00BA529A"/>
    <w:rsid w:val="00BB612A"/>
    <w:rsid w:val="00BB7C95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62F"/>
    <w:rsid w:val="00CC1A68"/>
    <w:rsid w:val="00CC2123"/>
    <w:rsid w:val="00CC46E3"/>
    <w:rsid w:val="00CD2BFD"/>
    <w:rsid w:val="00CD561E"/>
    <w:rsid w:val="00CE5AD6"/>
    <w:rsid w:val="00CE617F"/>
    <w:rsid w:val="00CE78EF"/>
    <w:rsid w:val="00CF616F"/>
    <w:rsid w:val="00D048F7"/>
    <w:rsid w:val="00D04FC3"/>
    <w:rsid w:val="00D0517E"/>
    <w:rsid w:val="00D140FC"/>
    <w:rsid w:val="00D21D8C"/>
    <w:rsid w:val="00D23B17"/>
    <w:rsid w:val="00D31357"/>
    <w:rsid w:val="00D32327"/>
    <w:rsid w:val="00D33220"/>
    <w:rsid w:val="00D334D1"/>
    <w:rsid w:val="00D44C89"/>
    <w:rsid w:val="00D47D6E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4BE7"/>
    <w:rsid w:val="00DC7694"/>
    <w:rsid w:val="00DD1BF6"/>
    <w:rsid w:val="00DD2F9B"/>
    <w:rsid w:val="00DD5EF1"/>
    <w:rsid w:val="00DE20D0"/>
    <w:rsid w:val="00DE2513"/>
    <w:rsid w:val="00DE26E8"/>
    <w:rsid w:val="00DF5246"/>
    <w:rsid w:val="00DF6F36"/>
    <w:rsid w:val="00E0084C"/>
    <w:rsid w:val="00E00A3B"/>
    <w:rsid w:val="00E025AB"/>
    <w:rsid w:val="00E02B23"/>
    <w:rsid w:val="00E03818"/>
    <w:rsid w:val="00E06F40"/>
    <w:rsid w:val="00E07CE8"/>
    <w:rsid w:val="00E26A07"/>
    <w:rsid w:val="00E32595"/>
    <w:rsid w:val="00E37CFD"/>
    <w:rsid w:val="00E41A26"/>
    <w:rsid w:val="00E46BCB"/>
    <w:rsid w:val="00E50188"/>
    <w:rsid w:val="00E51CAF"/>
    <w:rsid w:val="00E60F04"/>
    <w:rsid w:val="00E62AAC"/>
    <w:rsid w:val="00E67C2F"/>
    <w:rsid w:val="00E67EF5"/>
    <w:rsid w:val="00E804EA"/>
    <w:rsid w:val="00E80A71"/>
    <w:rsid w:val="00E82337"/>
    <w:rsid w:val="00E8381D"/>
    <w:rsid w:val="00E90640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69A"/>
    <w:rsid w:val="00F01B08"/>
    <w:rsid w:val="00F01C4D"/>
    <w:rsid w:val="00F053FA"/>
    <w:rsid w:val="00F061FC"/>
    <w:rsid w:val="00F10C97"/>
    <w:rsid w:val="00F11C71"/>
    <w:rsid w:val="00F12690"/>
    <w:rsid w:val="00F16019"/>
    <w:rsid w:val="00F20E68"/>
    <w:rsid w:val="00F22093"/>
    <w:rsid w:val="00F236DF"/>
    <w:rsid w:val="00F43AD5"/>
    <w:rsid w:val="00F4402E"/>
    <w:rsid w:val="00F51336"/>
    <w:rsid w:val="00F53FED"/>
    <w:rsid w:val="00F56DD0"/>
    <w:rsid w:val="00F62986"/>
    <w:rsid w:val="00F6491C"/>
    <w:rsid w:val="00F67BBB"/>
    <w:rsid w:val="00F87D92"/>
    <w:rsid w:val="00F90AA7"/>
    <w:rsid w:val="00F92498"/>
    <w:rsid w:val="00F9496B"/>
    <w:rsid w:val="00F970C9"/>
    <w:rsid w:val="00F97104"/>
    <w:rsid w:val="00FA06A8"/>
    <w:rsid w:val="00FA3DF5"/>
    <w:rsid w:val="00FA5311"/>
    <w:rsid w:val="00FA741F"/>
    <w:rsid w:val="00FB0DF2"/>
    <w:rsid w:val="00FB4E07"/>
    <w:rsid w:val="00FB755A"/>
    <w:rsid w:val="00FC60A2"/>
    <w:rsid w:val="00FD1871"/>
    <w:rsid w:val="00FD3110"/>
    <w:rsid w:val="00FD5584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E6DE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E6D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DE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6DE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D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DE1"/>
    <w:rPr>
      <w:b/>
      <w:bCs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E6DE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Revision">
    <w:name w:val="Revision"/>
    <w:hidden/>
    <w:uiPriority w:val="99"/>
    <w:semiHidden/>
    <w:rsid w:val="00982F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40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078AF"/>
    <w:rsid w:val="00347D16"/>
    <w:rsid w:val="003C7C9F"/>
    <w:rsid w:val="003E0149"/>
    <w:rsid w:val="00634901"/>
    <w:rsid w:val="00755FBF"/>
    <w:rsid w:val="008B537F"/>
    <w:rsid w:val="00952C00"/>
    <w:rsid w:val="009F2CF1"/>
    <w:rsid w:val="00BB57E7"/>
    <w:rsid w:val="00BC3CF8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78A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6FBAB-493C-4F7E-B253-B811E564705E}">
  <ds:schemaRefs>
    <ds:schemaRef ds:uri="a0509f21-ed56-4150-9955-96be669e5f2d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1c567317-0c4d-4a62-8516-c22afd1b5354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8CEFF16-CCE6-4A0B-8CEA-59791430BA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24D71C-4EBB-4574-832A-BC84A8AAC5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E006BC-170D-4B8B-A4EA-C5F1A514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2020-04-09T02:04:00Z</dcterms:created>
  <dcterms:modified xsi:type="dcterms:W3CDTF">2026-01-09T01:19:00Z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2026-01-07T01:38:56Z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44e39c29-c068-4e0b-b26b-095d9041759f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