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2DA7430" w:rsidR="00BD499F" w:rsidRPr="004C23F4" w:rsidRDefault="009363D7" w:rsidP="00B40C60">
          <w:pPr>
            <w:pStyle w:val="Heading1"/>
            <w:jc w:val="center"/>
            <w:rPr>
              <w:rFonts w:ascii="Arial" w:hAnsi="Arial" w:cs="Arial"/>
            </w:rPr>
          </w:pPr>
          <w:r w:rsidRPr="009363D7">
            <w:rPr>
              <w:rFonts w:ascii="Arial" w:hAnsi="Arial" w:cs="Arial"/>
            </w:rPr>
            <w:t>Styrene, monomer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42020654" w:rsidR="00F43AD5" w:rsidRPr="00717D45" w:rsidRDefault="00892324" w:rsidP="00B76A41">
            <w:pPr>
              <w:pStyle w:val="Tablefont"/>
            </w:pPr>
            <w:r w:rsidRPr="00892324">
              <w:t>100-42-5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073F21CC" w:rsidR="00F43AD5" w:rsidRPr="00717D45" w:rsidRDefault="00892324" w:rsidP="00B76A41">
            <w:pPr>
              <w:pStyle w:val="Tablefont"/>
            </w:pPr>
            <w:r>
              <w:t xml:space="preserve">Cinnamene, </w:t>
            </w:r>
            <w:proofErr w:type="spellStart"/>
            <w:r>
              <w:t>ethenyldenzene</w:t>
            </w:r>
            <w:proofErr w:type="spellEnd"/>
            <w:r>
              <w:t xml:space="preserve">, </w:t>
            </w:r>
            <w:proofErr w:type="spellStart"/>
            <w:r w:rsidR="00E75129">
              <w:t>ethylbenzol</w:t>
            </w:r>
            <w:proofErr w:type="spellEnd"/>
            <w:r w:rsidR="00E75129">
              <w:t>, phenylethylene, vinylbenzene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28CFF256" w:rsidR="00F43AD5" w:rsidRPr="00717D45" w:rsidRDefault="00E75129" w:rsidP="00B76A41">
            <w:pPr>
              <w:pStyle w:val="Tablefont"/>
            </w:pPr>
            <w:r>
              <w:t>C</w:t>
            </w:r>
            <w:r w:rsidRPr="00E75129">
              <w:rPr>
                <w:vertAlign w:val="subscript"/>
              </w:rPr>
              <w:t>8</w:t>
            </w:r>
            <w:r>
              <w:t>H</w:t>
            </w:r>
            <w:r w:rsidRPr="00E75129">
              <w:rPr>
                <w:vertAlign w:val="subscript"/>
              </w:rPr>
              <w:t>8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16EF707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8561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E26DA31" w:rsidR="002C7AFE" w:rsidRPr="00D85618" w:rsidRDefault="00D8561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(85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071E0640" w:rsidR="00037E52" w:rsidRPr="00D85618" w:rsidRDefault="00D8561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40 ppm (170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128095CE" w:rsidR="00037E52" w:rsidRPr="00EB3D1B" w:rsidRDefault="00E75129" w:rsidP="00037E52">
            <w:pPr>
              <w:pStyle w:val="Tablefont"/>
              <w:rPr>
                <w:b/>
              </w:rPr>
            </w:pPr>
            <w:r w:rsidRPr="00E75129">
              <w:rPr>
                <w:b/>
              </w:rPr>
              <w:t>700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44474CC" w:rsidR="00155999" w:rsidRPr="00EB3D1B" w:rsidRDefault="00155999" w:rsidP="00037E52">
            <w:pPr>
              <w:pStyle w:val="Tablefont"/>
              <w:rPr>
                <w:b/>
              </w:rPr>
            </w:pPr>
            <w:r w:rsidRPr="0026732C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A5C2F" w:rsidRPr="0026732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AA4CD56" w:rsidR="006639B4" w:rsidRDefault="007D0047" w:rsidP="000C139A">
      <w:r>
        <w:rPr>
          <w:rFonts w:cs="Arial"/>
        </w:rPr>
        <w:t>A TWA of 20 ppm (85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CA5C2F">
        <w:rPr>
          <w:rFonts w:cs="Arial"/>
        </w:rPr>
        <w:t>is</w:t>
      </w:r>
      <w:r>
        <w:rPr>
          <w:rFonts w:cs="Arial"/>
        </w:rPr>
        <w:t xml:space="preserve"> recommended to protect for </w:t>
      </w:r>
      <w:r w:rsidR="0093163B">
        <w:rPr>
          <w:rFonts w:cs="Arial"/>
        </w:rPr>
        <w:t xml:space="preserve">effects to the </w:t>
      </w:r>
      <w:r>
        <w:t>central and peripheral nervous system</w:t>
      </w:r>
      <w:r w:rsidR="0093163B">
        <w:t>s</w:t>
      </w:r>
      <w:r>
        <w:t xml:space="preserve"> and </w:t>
      </w:r>
      <w:r w:rsidR="0093163B">
        <w:t xml:space="preserve">irritation to the </w:t>
      </w:r>
      <w:r>
        <w:t xml:space="preserve">mucous membrane and </w:t>
      </w:r>
      <w:r w:rsidR="0093163B">
        <w:t xml:space="preserve">upper </w:t>
      </w:r>
      <w:r>
        <w:t xml:space="preserve">respiratory </w:t>
      </w:r>
      <w:r w:rsidR="0093163B">
        <w:t xml:space="preserve">tract </w:t>
      </w:r>
      <w:r>
        <w:t>in exposed workers.</w:t>
      </w:r>
    </w:p>
    <w:p w14:paraId="2253970C" w14:textId="5FD963A3" w:rsidR="00CA5C2F" w:rsidRPr="007D0047" w:rsidRDefault="00CA5C2F" w:rsidP="000C139A">
      <w:pPr>
        <w:rPr>
          <w:rFonts w:cs="Arial"/>
        </w:rPr>
      </w:pPr>
      <w:r>
        <w:rPr>
          <w:rFonts w:cs="Arial"/>
        </w:rPr>
        <w:t>A STEL of 40 ppm (170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26732C">
        <w:rPr>
          <w:rFonts w:cs="Arial"/>
        </w:rPr>
        <w:t xml:space="preserve">acute effects on the </w:t>
      </w:r>
      <w:r>
        <w:t xml:space="preserve">central and peripheral nervous system and mucous membrane and </w:t>
      </w:r>
      <w:r w:rsidR="0093163B">
        <w:t xml:space="preserve">upper </w:t>
      </w:r>
      <w:r>
        <w:t xml:space="preserve">respiratory </w:t>
      </w:r>
      <w:r w:rsidR="0093163B">
        <w:t xml:space="preserve">tract </w:t>
      </w:r>
      <w:r>
        <w:t xml:space="preserve">irritation in </w:t>
      </w:r>
      <w:r w:rsidR="0026732C">
        <w:t>exposed workers</w:t>
      </w:r>
      <w: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0C1BADC0" w:rsidR="006639B4" w:rsidRDefault="00EC595B" w:rsidP="006639B4">
      <w:pPr>
        <w:rPr>
          <w:rFonts w:cs="Arial"/>
          <w:color w:val="262626"/>
        </w:rPr>
      </w:pPr>
      <w:r>
        <w:t xml:space="preserve">Styrene </w:t>
      </w:r>
      <w:r w:rsidR="00CA0DEA">
        <w:t>is</w:t>
      </w:r>
      <w:r>
        <w:t xml:space="preserve"> used in the manufacture of polystyrene plastics, protective coatings, </w:t>
      </w:r>
      <w:proofErr w:type="spellStart"/>
      <w:r>
        <w:t>styrenated</w:t>
      </w:r>
      <w:proofErr w:type="spellEnd"/>
      <w:r>
        <w:t xml:space="preserve"> polyesters, copolymer resins with acrylonitrile and butadiene and as a chemical intermediate</w:t>
      </w:r>
      <w:r w:rsidR="00CA0DEA">
        <w:t xml:space="preserve">. It has </w:t>
      </w:r>
      <w:r w:rsidR="00DC1FDE">
        <w:t xml:space="preserve">also been </w:t>
      </w:r>
      <w:r w:rsidR="00CA0DEA">
        <w:t>use</w:t>
      </w:r>
      <w:r w:rsidR="00DC1FDE">
        <w:t>d</w:t>
      </w:r>
      <w:r w:rsidR="00CA0DEA">
        <w:t xml:space="preserve"> in </w:t>
      </w:r>
      <w:r w:rsidR="00CA0DEA">
        <w:rPr>
          <w:rFonts w:cs="Arial"/>
          <w:color w:val="262626"/>
        </w:rPr>
        <w:t xml:space="preserve">paints, sealers and other surface coatings. </w:t>
      </w:r>
    </w:p>
    <w:p w14:paraId="043CBB08" w14:textId="77777777" w:rsidR="0099034F" w:rsidRPr="0099034F" w:rsidRDefault="0099034F" w:rsidP="0099034F">
      <w:pPr>
        <w:autoSpaceDE w:val="0"/>
        <w:autoSpaceDN w:val="0"/>
        <w:spacing w:before="40" w:after="40" w:line="240" w:lineRule="auto"/>
        <w:rPr>
          <w:rFonts w:eastAsia="Times New Roman" w:cs="Arial"/>
          <w:szCs w:val="20"/>
          <w:lang w:eastAsia="en-AU"/>
        </w:rPr>
      </w:pPr>
      <w:r w:rsidRPr="0099034F">
        <w:rPr>
          <w:rFonts w:eastAsia="Times New Roman" w:cs="Arial"/>
          <w:color w:val="262626"/>
          <w:szCs w:val="20"/>
          <w:lang w:eastAsia="en-AU"/>
        </w:rPr>
        <w:t>Critical effects of exposure are </w:t>
      </w:r>
      <w:r w:rsidRPr="0099034F">
        <w:rPr>
          <w:rFonts w:eastAsia="Times New Roman" w:cs="Arial"/>
          <w:szCs w:val="20"/>
          <w:lang w:eastAsia="en-AU"/>
        </w:rPr>
        <w:t xml:space="preserve">on the central and peripheral nervous system </w:t>
      </w:r>
      <w:proofErr w:type="gramStart"/>
      <w:r w:rsidRPr="0099034F">
        <w:rPr>
          <w:rFonts w:eastAsia="Times New Roman" w:cs="Arial"/>
          <w:szCs w:val="20"/>
          <w:lang w:eastAsia="en-AU"/>
        </w:rPr>
        <w:t>and also</w:t>
      </w:r>
      <w:proofErr w:type="gramEnd"/>
      <w:r w:rsidRPr="0099034F">
        <w:rPr>
          <w:rFonts w:eastAsia="Times New Roman" w:cs="Arial"/>
          <w:szCs w:val="20"/>
          <w:lang w:eastAsia="en-AU"/>
        </w:rPr>
        <w:t xml:space="preserve"> irritation of the mucous membrane and upper respiratory tract.</w:t>
      </w:r>
      <w:r w:rsidRPr="0099034F">
        <w:rPr>
          <w:rFonts w:eastAsia="Times New Roman" w:cs="Arial"/>
          <w:color w:val="000000"/>
          <w:szCs w:val="20"/>
          <w:lang w:eastAsia="en-AU"/>
        </w:rPr>
        <w:t xml:space="preserve"> </w:t>
      </w:r>
    </w:p>
    <w:p w14:paraId="2C04798E" w14:textId="70616329" w:rsidR="0099034F" w:rsidRPr="0099034F" w:rsidRDefault="0099034F" w:rsidP="0099034F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2"/>
          <w:lang w:eastAsia="en-AU"/>
        </w:rPr>
      </w:pPr>
      <w:r w:rsidRPr="0099034F">
        <w:rPr>
          <w:rFonts w:ascii="Segoe UI" w:eastAsia="Times New Roman" w:hAnsi="Segoe UI" w:cs="Segoe UI"/>
          <w:color w:val="4E586A"/>
          <w:sz w:val="16"/>
          <w:szCs w:val="16"/>
          <w:lang w:eastAsia="en-AU"/>
        </w:rPr>
        <w:t> </w:t>
      </w:r>
    </w:p>
    <w:p w14:paraId="1FE9352E" w14:textId="688D5B65" w:rsidR="00867803" w:rsidRDefault="00B93D1F" w:rsidP="00867803">
      <w:r>
        <w:t>I</w:t>
      </w:r>
      <w:r w:rsidR="00CA0DEA">
        <w:t>ndications of central and peripheral neurologic, optic and irritant actions</w:t>
      </w:r>
      <w:r>
        <w:t xml:space="preserve"> are reported</w:t>
      </w:r>
      <w:r w:rsidR="00CA0DEA">
        <w:t xml:space="preserve"> in humans </w:t>
      </w:r>
      <w:r>
        <w:t xml:space="preserve">exposed </w:t>
      </w:r>
      <w:r w:rsidR="0026732C">
        <w:t>at</w:t>
      </w:r>
      <w:r>
        <w:t xml:space="preserve"> the workplace </w:t>
      </w:r>
      <w:r w:rsidR="00CA0DEA">
        <w:t xml:space="preserve">at </w:t>
      </w:r>
      <w:r>
        <w:t>airborne concentrations greater than 50 ppm.</w:t>
      </w:r>
      <w:r w:rsidR="00867803">
        <w:t xml:space="preserve"> Headache, fatigue, nausea and dizziness </w:t>
      </w:r>
      <w:r w:rsidR="0026732C">
        <w:t>a</w:t>
      </w:r>
      <w:r w:rsidR="00867803">
        <w:t>re reported after exposure at concentrations greater than 100 ppm</w:t>
      </w:r>
      <w:r w:rsidR="00B10476">
        <w:t xml:space="preserve"> (ACGIH, 2018)</w:t>
      </w:r>
      <w:r w:rsidR="00867803">
        <w:t xml:space="preserve">. Simple reaction times </w:t>
      </w:r>
      <w:r w:rsidR="0026732C">
        <w:t>a</w:t>
      </w:r>
      <w:r w:rsidR="00867803">
        <w:t xml:space="preserve">re </w:t>
      </w:r>
      <w:r w:rsidR="00DC1FDE">
        <w:t>increased,</w:t>
      </w:r>
      <w:r w:rsidR="00867803">
        <w:t xml:space="preserve"> and coordination </w:t>
      </w:r>
      <w:r w:rsidR="0026732C">
        <w:t>i</w:t>
      </w:r>
      <w:r w:rsidR="00867803">
        <w:t xml:space="preserve">s decreased in controlled studies of volunteers inhaling 50 ppm for one hour and 380 ppm for 30 minutes. </w:t>
      </w:r>
      <w:r w:rsidR="007D0047">
        <w:t xml:space="preserve">Increased reaction times </w:t>
      </w:r>
      <w:r w:rsidR="0026732C">
        <w:t>a</w:t>
      </w:r>
      <w:r w:rsidR="007D0047">
        <w:t xml:space="preserve">re observed in 106 workers exposed at 13 to 101 ppm compared to other groups of workers not exposed to styrene. </w:t>
      </w:r>
      <w:r w:rsidR="00867803" w:rsidRPr="00867803">
        <w:t xml:space="preserve">Reduced attention and reduced manual dexterity </w:t>
      </w:r>
      <w:r w:rsidR="00DC1FDE">
        <w:t>are</w:t>
      </w:r>
      <w:r w:rsidR="00867803">
        <w:t xml:space="preserve"> reported </w:t>
      </w:r>
      <w:r w:rsidR="00867803" w:rsidRPr="00867803">
        <w:t>among styrene workers exposed at TWA of 72 to 168 ppm</w:t>
      </w:r>
      <w:r w:rsidR="00B10476">
        <w:t xml:space="preserve"> (ACGIH, 2018)</w:t>
      </w:r>
      <w:r w:rsidR="00867803">
        <w:t>.</w:t>
      </w:r>
      <w:r w:rsidR="00D85618">
        <w:t xml:space="preserve"> A significant decrease in colour vision perception among workers exposed </w:t>
      </w:r>
      <w:r w:rsidR="0026732C">
        <w:t xml:space="preserve">is reported </w:t>
      </w:r>
      <w:r w:rsidR="00D85618">
        <w:t xml:space="preserve">at </w:t>
      </w:r>
      <w:r w:rsidR="00E00AE8">
        <w:t xml:space="preserve">concentration </w:t>
      </w:r>
      <w:r w:rsidR="00D85618">
        <w:t xml:space="preserve">greater than 50 ppm compared to controls. Colour vision deficiencies are reported as being transient. </w:t>
      </w:r>
      <w:r w:rsidR="00867803">
        <w:t xml:space="preserve">Clinical and workplace evaluations of 900 </w:t>
      </w:r>
      <w:r w:rsidR="00867803">
        <w:lastRenderedPageBreak/>
        <w:t>employees found a threshold for ocular and conjunctival irritation at 50 ppm</w:t>
      </w:r>
      <w:r w:rsidR="00867803" w:rsidRPr="00867803">
        <w:t xml:space="preserve"> </w:t>
      </w:r>
      <w:r w:rsidR="00867803">
        <w:t>with another study in humans noting obvious ocular and upper respiratory tract irritation occurring at conc</w:t>
      </w:r>
      <w:r w:rsidR="008C2EAE">
        <w:t xml:space="preserve">entrations greater than 200 ppm (ACGIH, 2018). </w:t>
      </w:r>
      <w:r w:rsidR="008C2EAE">
        <w:rPr>
          <w:rFonts w:cs="Arial"/>
          <w:color w:val="262626"/>
        </w:rPr>
        <w:t xml:space="preserve">No histological alterations </w:t>
      </w:r>
      <w:r w:rsidR="0026732C">
        <w:rPr>
          <w:rFonts w:cs="Arial"/>
          <w:color w:val="262626"/>
        </w:rPr>
        <w:t>a</w:t>
      </w:r>
      <w:r w:rsidR="008C2EAE">
        <w:rPr>
          <w:rFonts w:cs="Arial"/>
          <w:color w:val="262626"/>
        </w:rPr>
        <w:t>re observed in nasal biopsies from styrene workers exposed at 50</w:t>
      </w:r>
      <w:r w:rsidR="0047496D">
        <w:rPr>
          <w:rFonts w:cs="Arial"/>
          <w:color w:val="262626"/>
        </w:rPr>
        <w:t xml:space="preserve"> to </w:t>
      </w:r>
      <w:r w:rsidR="008C2EAE">
        <w:rPr>
          <w:rFonts w:cs="Arial"/>
          <w:color w:val="262626"/>
        </w:rPr>
        <w:t>60</w:t>
      </w:r>
      <w:r w:rsidR="00CA5C2F">
        <w:rPr>
          <w:rFonts w:cs="Arial"/>
          <w:color w:val="262626"/>
        </w:rPr>
        <w:t> </w:t>
      </w:r>
      <w:r w:rsidR="008C2EAE">
        <w:rPr>
          <w:rFonts w:cs="Arial"/>
          <w:color w:val="262626"/>
        </w:rPr>
        <w:t xml:space="preserve">ppm for </w:t>
      </w:r>
      <w:r w:rsidR="00CA5C2F">
        <w:rPr>
          <w:rFonts w:cs="Arial"/>
          <w:color w:val="262626"/>
        </w:rPr>
        <w:t>seven</w:t>
      </w:r>
      <w:r w:rsidR="008C2EAE">
        <w:rPr>
          <w:rFonts w:cs="Arial"/>
          <w:color w:val="262626"/>
        </w:rPr>
        <w:t xml:space="preserve"> years (NICNAS, 2013).</w:t>
      </w:r>
      <w:r w:rsidR="00867803">
        <w:t xml:space="preserve"> </w:t>
      </w:r>
      <w:r w:rsidR="00DC1FDE">
        <w:t>It is r</w:t>
      </w:r>
      <w:r w:rsidR="00867803">
        <w:t>eported as a</w:t>
      </w:r>
      <w:r w:rsidR="000131E5">
        <w:t>n</w:t>
      </w:r>
      <w:r w:rsidR="00867803">
        <w:t xml:space="preserve"> irritant in the upper respiratory tract </w:t>
      </w:r>
      <w:r w:rsidR="000131E5">
        <w:t>of rodent</w:t>
      </w:r>
      <w:r w:rsidR="006731F4">
        <w:t>s</w:t>
      </w:r>
      <w:r w:rsidR="000131E5">
        <w:t xml:space="preserve"> </w:t>
      </w:r>
      <w:r w:rsidR="00867803">
        <w:t xml:space="preserve">at </w:t>
      </w:r>
      <w:r w:rsidR="008C2EAE">
        <w:t>concentrations as low as 50 ppm (ACGIH, 2018).</w:t>
      </w:r>
    </w:p>
    <w:p w14:paraId="4C7E7547" w14:textId="02FCADE2" w:rsidR="000131E5" w:rsidRDefault="007D0047" w:rsidP="006639B4">
      <w:r>
        <w:t>Based on the</w:t>
      </w:r>
      <w:r w:rsidR="008C2EAE">
        <w:t xml:space="preserve"> weight</w:t>
      </w:r>
      <w:r>
        <w:t xml:space="preserve"> of evidence indicating adverse effects starting at 50 ppm, </w:t>
      </w:r>
      <w:r w:rsidR="000131E5">
        <w:t xml:space="preserve">the </w:t>
      </w:r>
      <w:r>
        <w:t xml:space="preserve">TWA of 20 ppm </w:t>
      </w:r>
      <w:r w:rsidR="000131E5">
        <w:t xml:space="preserve">derived by ACGIH </w:t>
      </w:r>
      <w:r>
        <w:t>is recommended to protect for central and peripheral nervous system effects</w:t>
      </w:r>
      <w:r w:rsidR="00CA5C2F">
        <w:t xml:space="preserve"> and </w:t>
      </w:r>
      <w:r>
        <w:t xml:space="preserve">for irritation effects. </w:t>
      </w:r>
    </w:p>
    <w:p w14:paraId="140C5F10" w14:textId="631234BF" w:rsidR="00CA0DEA" w:rsidRPr="007D0047" w:rsidRDefault="007D0047" w:rsidP="006639B4">
      <w:r>
        <w:t xml:space="preserve">The evidence from short-term </w:t>
      </w:r>
      <w:r w:rsidR="00CA5C2F">
        <w:t>effects</w:t>
      </w:r>
      <w:r>
        <w:t xml:space="preserve"> a</w:t>
      </w:r>
      <w:r w:rsidR="00CA5C2F">
        <w:t>s</w:t>
      </w:r>
      <w:r>
        <w:t xml:space="preserve"> low as 50 ppm in humans warrants a STEL of 40 ppm</w:t>
      </w:r>
      <w:r w:rsidR="000E7C29">
        <w:t xml:space="preserve"> as derived by ACGIH</w:t>
      </w:r>
      <w:r>
        <w:t>.</w:t>
      </w:r>
    </w:p>
    <w:p w14:paraId="273B44AD" w14:textId="77777777" w:rsidR="004529F0" w:rsidRPr="007D0047" w:rsidRDefault="004529F0" w:rsidP="004529F0">
      <w:pPr>
        <w:pStyle w:val="Heading2"/>
      </w:pPr>
      <w:r w:rsidRPr="007D0047">
        <w:t>Recommendation for notations</w:t>
      </w:r>
    </w:p>
    <w:p w14:paraId="27C6755E" w14:textId="77777777" w:rsidR="008E4F1F" w:rsidRPr="007D0047" w:rsidRDefault="008E4F1F" w:rsidP="008E4F1F">
      <w:pPr>
        <w:rPr>
          <w:rFonts w:cs="Arial"/>
        </w:rPr>
      </w:pPr>
      <w:r w:rsidRPr="007D0047">
        <w:rPr>
          <w:rFonts w:cs="Arial"/>
        </w:rPr>
        <w:t>Not classified as a carcinogen according to the Globally Harmonized System of</w:t>
      </w:r>
      <w:r w:rsidR="00155999" w:rsidRPr="007D0047">
        <w:rPr>
          <w:rFonts w:cs="Arial"/>
        </w:rPr>
        <w:t xml:space="preserve"> Classification and Labelling of</w:t>
      </w:r>
      <w:r w:rsidRPr="007D0047">
        <w:rPr>
          <w:rFonts w:cs="Arial"/>
        </w:rPr>
        <w:t xml:space="preserve"> Chemicals (GHS). </w:t>
      </w:r>
    </w:p>
    <w:p w14:paraId="03916CCC" w14:textId="77777777" w:rsidR="008E4F1F" w:rsidRPr="007D0047" w:rsidRDefault="008E4F1F" w:rsidP="008E4F1F">
      <w:pPr>
        <w:rPr>
          <w:rFonts w:cs="Arial"/>
        </w:rPr>
      </w:pPr>
      <w:r w:rsidRPr="007D0047">
        <w:rPr>
          <w:rFonts w:cs="Arial"/>
        </w:rPr>
        <w:t xml:space="preserve">Not classified as a skin </w:t>
      </w:r>
      <w:r w:rsidR="00155999" w:rsidRPr="007D0047">
        <w:rPr>
          <w:rFonts w:cs="Arial"/>
        </w:rPr>
        <w:t xml:space="preserve">sensitiser </w:t>
      </w:r>
      <w:r w:rsidRPr="007D0047">
        <w:rPr>
          <w:rFonts w:cs="Arial"/>
        </w:rPr>
        <w:t>or respiratory sensitiser according to the GHS.</w:t>
      </w:r>
    </w:p>
    <w:p w14:paraId="4D3D3CC1" w14:textId="77777777" w:rsidR="00B16E44" w:rsidRDefault="00B16E44" w:rsidP="00B16E44">
      <w:pPr>
        <w:rPr>
          <w:rFonts w:cs="Arial"/>
        </w:rPr>
      </w:pPr>
      <w:r w:rsidRPr="00B16E44">
        <w:rPr>
          <w:rFonts w:cs="Arial"/>
        </w:rPr>
        <w:t>A skin notation is not recommended based on the available evidence.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C6685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C6685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6A452F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7512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75129">
                  <w:t>TWA: 50 ppm (213 mg/m</w:t>
                </w:r>
                <w:r w:rsidR="00E75129" w:rsidRPr="00E75129">
                  <w:rPr>
                    <w:vertAlign w:val="superscript"/>
                  </w:rPr>
                  <w:t>3</w:t>
                </w:r>
                <w:r w:rsidR="00E75129">
                  <w:t>); STEL: 100 ppm (426 mg/m</w:t>
                </w:r>
                <w:r w:rsidR="00E75129" w:rsidRPr="00E75129">
                  <w:rPr>
                    <w:vertAlign w:val="superscript"/>
                  </w:rPr>
                  <w:t>3</w:t>
                </w:r>
                <w:r w:rsidR="00E75129">
                  <w:t>)</w:t>
                </w:r>
              </w:sdtContent>
            </w:sdt>
          </w:p>
        </w:tc>
      </w:tr>
      <w:tr w:rsidR="00C978F0" w:rsidRPr="00DA352E" w14:paraId="26087DDB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4D872028" w14:textId="77777777" w:rsidR="00CA5C2F" w:rsidRDefault="00945D33" w:rsidP="00CA5C2F">
            <w:pPr>
              <w:pStyle w:val="Tabletextprimarysource"/>
            </w:pPr>
            <w:r>
              <w:t>Adopted from ACGIH</w:t>
            </w:r>
            <w:r w:rsidR="00E6265D">
              <w:t>.</w:t>
            </w:r>
          </w:p>
          <w:p w14:paraId="1137D58F" w14:textId="5B906532" w:rsidR="00E6265D" w:rsidRPr="00CA5C2F" w:rsidRDefault="00E6265D" w:rsidP="00CA5C2F">
            <w:pPr>
              <w:pStyle w:val="Tabletextprimarysource"/>
            </w:pPr>
          </w:p>
        </w:tc>
      </w:tr>
      <w:tr w:rsidR="00C978F0" w:rsidRPr="00DA352E" w14:paraId="24593221" w14:textId="77777777" w:rsidTr="00C6685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D775C8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7512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75129">
                  <w:t>TLV-TWA: 20 ppm (85 mg/m</w:t>
                </w:r>
                <w:r w:rsidR="00E75129" w:rsidRPr="00E75129">
                  <w:rPr>
                    <w:vertAlign w:val="superscript"/>
                  </w:rPr>
                  <w:t>3</w:t>
                </w:r>
                <w:r w:rsidR="00E75129">
                  <w:t>); TLV-STEL: 40 ppm (170 mg/m</w:t>
                </w:r>
                <w:r w:rsidR="00E75129" w:rsidRPr="00E75129">
                  <w:rPr>
                    <w:vertAlign w:val="superscript"/>
                  </w:rPr>
                  <w:t>3</w:t>
                </w:r>
                <w:r w:rsidR="00E75129">
                  <w:t>)</w:t>
                </w:r>
              </w:sdtContent>
            </w:sdt>
          </w:p>
        </w:tc>
      </w:tr>
      <w:tr w:rsidR="00C978F0" w:rsidRPr="00DA352E" w14:paraId="418D532D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72707298" w14:textId="282F1EA8" w:rsidR="00C978F0" w:rsidRDefault="007C55EA" w:rsidP="003365A5">
            <w:pPr>
              <w:pStyle w:val="Tabletextprimarysource"/>
            </w:pPr>
            <w:r>
              <w:t xml:space="preserve">Recommended </w:t>
            </w:r>
            <w:r w:rsidR="00244032">
              <w:t>TLV-</w:t>
            </w:r>
            <w:r>
              <w:t xml:space="preserve">TWA and </w:t>
            </w:r>
            <w:r w:rsidR="00244032">
              <w:t>TLV</w:t>
            </w:r>
            <w:r w:rsidR="00CA5C2F">
              <w:t>-</w:t>
            </w:r>
            <w:r>
              <w:t xml:space="preserve">STEL are intended to minimise the potential for </w:t>
            </w:r>
            <w:r w:rsidR="0026732C">
              <w:t>CNS and PNS</w:t>
            </w:r>
            <w:r>
              <w:t xml:space="preserve"> effects and for mucous membrane and respiratory irritation.</w:t>
            </w:r>
          </w:p>
          <w:p w14:paraId="7DEFBB3D" w14:textId="406C6D34" w:rsidR="007C55EA" w:rsidRDefault="007C55EA" w:rsidP="003365A5">
            <w:pPr>
              <w:pStyle w:val="Tabletextprimarysource"/>
            </w:pPr>
            <w:r>
              <w:t>Summary of data:</w:t>
            </w:r>
          </w:p>
          <w:p w14:paraId="1AA634D1" w14:textId="77E6705B" w:rsidR="00244032" w:rsidRPr="00CA5C2F" w:rsidRDefault="00CA5C2F" w:rsidP="003365A5">
            <w:pPr>
              <w:pStyle w:val="Tabletextprimarysource"/>
            </w:pPr>
            <w:r w:rsidRPr="00CA5C2F">
              <w:t>B</w:t>
            </w:r>
            <w:r w:rsidR="00244032" w:rsidRPr="00CA5C2F">
              <w:t>asis of TWA and STEL</w:t>
            </w:r>
            <w:r>
              <w:t>:</w:t>
            </w:r>
          </w:p>
          <w:p w14:paraId="40A2B069" w14:textId="105C582B" w:rsidR="007C55EA" w:rsidRDefault="007C55EA" w:rsidP="006C414D">
            <w:pPr>
              <w:pStyle w:val="ListBullet"/>
              <w:spacing w:before="60" w:after="60"/>
              <w:ind w:left="717"/>
            </w:pPr>
            <w:r>
              <w:t>Clear indications of central and peripheral neurologic, optic and irritant actions in humans &gt;50</w:t>
            </w:r>
            <w:r w:rsidR="00AE0D47">
              <w:t> </w:t>
            </w:r>
            <w:r>
              <w:t>ppm in the workplace</w:t>
            </w:r>
          </w:p>
          <w:p w14:paraId="40185C82" w14:textId="1EAD9D3D" w:rsidR="007C55EA" w:rsidRDefault="007C55EA" w:rsidP="006C414D">
            <w:pPr>
              <w:pStyle w:val="ListBullet"/>
              <w:spacing w:before="60" w:after="60"/>
              <w:ind w:left="717"/>
            </w:pPr>
            <w:r>
              <w:t xml:space="preserve">Headache, fatigue, nausea and dizziness consistently reported </w:t>
            </w:r>
            <w:r w:rsidR="00B40453">
              <w:t>post 100</w:t>
            </w:r>
            <w:r w:rsidR="00B10476">
              <w:t xml:space="preserve"> </w:t>
            </w:r>
            <w:r w:rsidR="00B40453">
              <w:t xml:space="preserve">ppm </w:t>
            </w:r>
            <w:r>
              <w:t xml:space="preserve">exposure </w:t>
            </w:r>
          </w:p>
          <w:p w14:paraId="77A11BE4" w14:textId="5C5739F0" w:rsidR="00EA6F4E" w:rsidRDefault="00B40453" w:rsidP="006C414D">
            <w:pPr>
              <w:pStyle w:val="ListBullet"/>
              <w:spacing w:before="60" w:after="60"/>
              <w:ind w:left="717"/>
            </w:pPr>
            <w:r>
              <w:t>E</w:t>
            </w:r>
            <w:r w:rsidR="007C55EA">
              <w:t xml:space="preserve">vidence concerning influence of occupational styrene exposure on sensory nerve conduction </w:t>
            </w:r>
            <w:r w:rsidR="000131E5">
              <w:t>included</w:t>
            </w:r>
            <w:r w:rsidR="007C55EA">
              <w:t xml:space="preserve"> </w:t>
            </w:r>
          </w:p>
          <w:p w14:paraId="2E87EEFE" w14:textId="7A8057E7" w:rsidR="007C55EA" w:rsidRDefault="007C55EA" w:rsidP="006C414D">
            <w:pPr>
              <w:pStyle w:val="ListBullet"/>
              <w:spacing w:before="60" w:after="60"/>
              <w:ind w:left="717"/>
            </w:pPr>
            <w:r>
              <w:t>5</w:t>
            </w:r>
            <w:r w:rsidR="00E6265D">
              <w:t>–</w:t>
            </w:r>
            <w:r>
              <w:t xml:space="preserve">10% reductions </w:t>
            </w:r>
            <w:r w:rsidR="00224A34">
              <w:t xml:space="preserve">in sensory nerve conduction </w:t>
            </w:r>
            <w:r>
              <w:t xml:space="preserve">after </w:t>
            </w:r>
            <w:r w:rsidR="00B81411">
              <w:t xml:space="preserve">exposure at </w:t>
            </w:r>
            <w:r w:rsidR="00B81411" w:rsidRPr="00224A34">
              <w:rPr>
                <w:rFonts w:cs="Arial"/>
              </w:rPr>
              <w:t>≥</w:t>
            </w:r>
            <w:r w:rsidR="00B81411">
              <w:t>100 ppm</w:t>
            </w:r>
            <w:r w:rsidR="00224A34">
              <w:t>,</w:t>
            </w:r>
            <w:r w:rsidR="00D24CB5">
              <w:t xml:space="preserve"> no further information</w:t>
            </w:r>
            <w:r w:rsidR="00224A34">
              <w:t xml:space="preserve">; </w:t>
            </w:r>
            <w:r>
              <w:t xml:space="preserve">reduced peripheral nerve conduction velocity and sensory amplitude after </w:t>
            </w:r>
            <w:r w:rsidR="00EA6F4E">
              <w:t>exposure at 50</w:t>
            </w:r>
            <w:r w:rsidR="00E6265D">
              <w:t>–</w:t>
            </w:r>
            <w:r w:rsidR="00EA6F4E">
              <w:t>100</w:t>
            </w:r>
            <w:r w:rsidR="00224A34">
              <w:t> </w:t>
            </w:r>
            <w:r w:rsidR="00EA6F4E">
              <w:t>ppm</w:t>
            </w:r>
            <w:r w:rsidR="00224A34">
              <w:t xml:space="preserve">; </w:t>
            </w:r>
            <w:r>
              <w:t xml:space="preserve">slowed reaction time appears to begin </w:t>
            </w:r>
            <w:r w:rsidR="000131E5">
              <w:t xml:space="preserve">at </w:t>
            </w:r>
            <w:r w:rsidR="00B40453">
              <w:t>&gt;</w:t>
            </w:r>
            <w:r>
              <w:t>50 ppm</w:t>
            </w:r>
            <w:r w:rsidR="00224A34">
              <w:t xml:space="preserve">; </w:t>
            </w:r>
            <w:r>
              <w:t xml:space="preserve">significant loss of </w:t>
            </w:r>
            <w:r w:rsidR="00EA6F4E">
              <w:t xml:space="preserve">colour discrimination </w:t>
            </w:r>
          </w:p>
          <w:p w14:paraId="74702560" w14:textId="2F6DF71A" w:rsidR="00EA6F4E" w:rsidRDefault="00EA6F4E" w:rsidP="006C414D">
            <w:pPr>
              <w:pStyle w:val="ListBullet"/>
              <w:spacing w:before="60" w:after="60"/>
              <w:ind w:left="717"/>
            </w:pPr>
            <w:r>
              <w:t>Colour vis</w:t>
            </w:r>
            <w:r w:rsidR="00B81411">
              <w:t xml:space="preserve">ion deficiencies transient </w:t>
            </w:r>
            <w:r>
              <w:t>with improv</w:t>
            </w:r>
            <w:r w:rsidR="00B81411">
              <w:t xml:space="preserve">ement occurring 1 </w:t>
            </w:r>
            <w:proofErr w:type="spellStart"/>
            <w:r w:rsidR="00B81411">
              <w:t>mo</w:t>
            </w:r>
            <w:proofErr w:type="spellEnd"/>
            <w:r w:rsidR="00E6265D">
              <w:t xml:space="preserve"> to </w:t>
            </w:r>
            <w:r>
              <w:t>2</w:t>
            </w:r>
            <w:r w:rsidR="00B81411">
              <w:t xml:space="preserve"> yr</w:t>
            </w:r>
            <w:r>
              <w:t xml:space="preserve"> after </w:t>
            </w:r>
            <w:r w:rsidR="00B81411">
              <w:t>reductions in exposure</w:t>
            </w:r>
            <w:r w:rsidR="00D24CB5">
              <w:t>; no further information</w:t>
            </w:r>
          </w:p>
          <w:p w14:paraId="142F41E3" w14:textId="28AD786A" w:rsidR="00B81411" w:rsidRDefault="00B40453" w:rsidP="006C414D">
            <w:pPr>
              <w:pStyle w:val="ListBullet"/>
              <w:spacing w:before="60" w:after="60"/>
              <w:ind w:left="717"/>
            </w:pPr>
            <w:r>
              <w:t>N</w:t>
            </w:r>
            <w:r w:rsidR="00B81411">
              <w:t xml:space="preserve">ot clear </w:t>
            </w:r>
            <w:r>
              <w:t>if</w:t>
            </w:r>
            <w:r w:rsidR="00B81411">
              <w:t xml:space="preserve"> changes in visual acuity or peripheral nerve conduction velocity and slowed reaction time relate to average exposures or high, peak exposures (215</w:t>
            </w:r>
            <w:r w:rsidR="00E6265D">
              <w:t>–</w:t>
            </w:r>
            <w:r w:rsidR="00B81411">
              <w:t>469</w:t>
            </w:r>
            <w:r>
              <w:t> </w:t>
            </w:r>
            <w:r w:rsidR="00B81411">
              <w:t>ppm)</w:t>
            </w:r>
          </w:p>
          <w:p w14:paraId="7D15C47A" w14:textId="0FD7694A" w:rsidR="00313836" w:rsidRDefault="00313836" w:rsidP="006C414D">
            <w:pPr>
              <w:pStyle w:val="ListBullet"/>
              <w:spacing w:before="60" w:after="60"/>
              <w:ind w:left="717"/>
            </w:pPr>
            <w:r>
              <w:t>ATSDR (1992) calculated a</w:t>
            </w:r>
            <w:r w:rsidR="000131E5">
              <w:t>n oral</w:t>
            </w:r>
            <w:r>
              <w:t xml:space="preserve"> "minimal risk level" for styrene exposure of 2 mg/kg/d</w:t>
            </w:r>
          </w:p>
          <w:p w14:paraId="6268E026" w14:textId="493E7FF0" w:rsidR="00B81411" w:rsidRDefault="00244032" w:rsidP="006C414D">
            <w:pPr>
              <w:pStyle w:val="ListBullet"/>
              <w:spacing w:before="60" w:after="60"/>
              <w:ind w:left="717"/>
            </w:pPr>
            <w:r>
              <w:t>Mucous membrane irritation reported to begin at 45 ppm to as high as 180 ppm in humans</w:t>
            </w:r>
            <w:r w:rsidR="000131E5">
              <w:t xml:space="preserve">. No </w:t>
            </w:r>
            <w:r w:rsidR="00D24CB5">
              <w:t>further information</w:t>
            </w:r>
          </w:p>
          <w:p w14:paraId="02A1869A" w14:textId="618BF2DD" w:rsidR="00CA4123" w:rsidRDefault="00244032" w:rsidP="006C414D">
            <w:pPr>
              <w:pStyle w:val="ListBullet"/>
              <w:spacing w:before="60" w:after="60"/>
              <w:ind w:left="717"/>
            </w:pPr>
            <w:r>
              <w:t>Clear</w:t>
            </w:r>
            <w:r w:rsidR="000131E5">
              <w:t>ly</w:t>
            </w:r>
            <w:r>
              <w:t xml:space="preserve"> irritant in upper respiratory tract at concentrations as low as 50 ppm</w:t>
            </w:r>
            <w:r w:rsidR="000131E5">
              <w:t xml:space="preserve"> in rodents</w:t>
            </w:r>
            <w:r w:rsidR="00DC1FDE">
              <w:t>.</w:t>
            </w:r>
          </w:p>
          <w:p w14:paraId="3D754EA8" w14:textId="77777777" w:rsidR="002E19EB" w:rsidRDefault="002E19EB" w:rsidP="002E19EB">
            <w:pPr>
              <w:pStyle w:val="Tabletextprimarysource"/>
            </w:pPr>
            <w:r>
              <w:t>Human data:</w:t>
            </w:r>
          </w:p>
          <w:p w14:paraId="6BC04F4E" w14:textId="72234504" w:rsidR="002E19EB" w:rsidRDefault="002E19EB" w:rsidP="006C414D">
            <w:pPr>
              <w:pStyle w:val="ListBullet"/>
              <w:spacing w:before="60" w:after="60"/>
              <w:ind w:left="717"/>
            </w:pPr>
            <w:r>
              <w:t>Epidemiologic data considered inadequate to determine possible contribution of styrene exposure to human cancer</w:t>
            </w:r>
          </w:p>
          <w:p w14:paraId="759CD3FC" w14:textId="4E537B73" w:rsidR="002E19EB" w:rsidRDefault="002E19EB" w:rsidP="006C414D">
            <w:pPr>
              <w:pStyle w:val="ListBullet"/>
              <w:spacing w:before="60" w:after="60"/>
              <w:ind w:left="717"/>
            </w:pPr>
            <w:r>
              <w:t>Clinical and workplace evaluations of 900 employees found threshold for ocular and conjunctival irritation at 50 ppm</w:t>
            </w:r>
            <w:r w:rsidR="0057422F">
              <w:t>.</w:t>
            </w:r>
            <w:r>
              <w:t xml:space="preserve"> </w:t>
            </w:r>
            <w:r w:rsidR="0057422F">
              <w:t xml:space="preserve">No </w:t>
            </w:r>
            <w:r>
              <w:t>evidence for hepatic or h</w:t>
            </w:r>
            <w:r w:rsidR="000E7C29">
              <w:t>a</w:t>
            </w:r>
            <w:r>
              <w:t>ematologic abnormalities after chronic exposure at 5</w:t>
            </w:r>
            <w:r w:rsidR="00E6265D">
              <w:t>–</w:t>
            </w:r>
            <w:r>
              <w:t>200 ppm</w:t>
            </w:r>
          </w:p>
          <w:p w14:paraId="6E8BA8FD" w14:textId="73B3C06B" w:rsidR="002E19EB" w:rsidRDefault="002E19EB" w:rsidP="006C414D">
            <w:pPr>
              <w:pStyle w:val="ListBullet"/>
              <w:spacing w:before="60" w:after="60"/>
              <w:ind w:left="717"/>
            </w:pPr>
            <w:r>
              <w:t>No increase in chemical-specific mortality among 560 adult males employed in styrene operations at 1</w:t>
            </w:r>
            <w:r w:rsidR="00E6265D">
              <w:t>–</w:t>
            </w:r>
            <w:r>
              <w:t xml:space="preserve">20 ppm for at least 5 </w:t>
            </w:r>
            <w:r w:rsidR="0057422F">
              <w:t>yr</w:t>
            </w:r>
            <w:r w:rsidR="0005629B">
              <w:t>; similar findings in other study; no further details</w:t>
            </w:r>
          </w:p>
          <w:p w14:paraId="3A57830A" w14:textId="70CB00EC" w:rsidR="0005629B" w:rsidRDefault="0005629B" w:rsidP="006C414D">
            <w:pPr>
              <w:pStyle w:val="ListBullet"/>
              <w:spacing w:before="60" w:after="60"/>
              <w:ind w:left="717"/>
            </w:pPr>
            <w:r>
              <w:t>No significant increase in total or cause-specific mortality among workers in styrene</w:t>
            </w:r>
            <w:r w:rsidR="0057422F">
              <w:noBreakHyphen/>
            </w:r>
            <w:r>
              <w:t xml:space="preserve">butadiene plants with up to 33 </w:t>
            </w:r>
            <w:r w:rsidR="0057422F">
              <w:t xml:space="preserve">yr </w:t>
            </w:r>
            <w:r>
              <w:t xml:space="preserve">of mean styrene </w:t>
            </w:r>
            <w:r w:rsidR="0057422F">
              <w:t>concentration of</w:t>
            </w:r>
            <w:r>
              <w:t xml:space="preserve"> 2 ppm with peak concentrations of </w:t>
            </w:r>
            <w:r w:rsidR="0057422F">
              <w:t xml:space="preserve">about </w:t>
            </w:r>
            <w:r>
              <w:t>12 ppm</w:t>
            </w:r>
          </w:p>
          <w:p w14:paraId="4D810764" w14:textId="77777777" w:rsidR="00DB4DC7" w:rsidRDefault="00DB4DC7" w:rsidP="006C414D">
            <w:pPr>
              <w:pStyle w:val="ListBullet"/>
              <w:spacing w:before="60" w:after="60"/>
              <w:ind w:left="717"/>
            </w:pPr>
            <w:r>
              <w:t>No specific associations between reproductive failure or excess risk of adverse pregnancy outcome and occupational exposure</w:t>
            </w:r>
          </w:p>
          <w:p w14:paraId="74E0F08F" w14:textId="13BAC290" w:rsidR="00DB4DC7" w:rsidRDefault="00DB4DC7" w:rsidP="006C414D">
            <w:pPr>
              <w:pStyle w:val="ListBullet"/>
              <w:spacing w:before="60" w:after="60"/>
              <w:ind w:left="717"/>
            </w:pPr>
            <w:r>
              <w:t>Simple reaction times increased</w:t>
            </w:r>
            <w:r w:rsidR="0057422F">
              <w:t>,</w:t>
            </w:r>
            <w:r>
              <w:t xml:space="preserve"> and coordination decreased in controlled studies of volunteers </w:t>
            </w:r>
            <w:r w:rsidR="0057422F">
              <w:t>exposed to:</w:t>
            </w:r>
          </w:p>
          <w:p w14:paraId="5DA5D90E" w14:textId="7BAB4409" w:rsidR="00DB4DC7" w:rsidRDefault="00DB4DC7" w:rsidP="006C414D">
            <w:pPr>
              <w:pStyle w:val="ListBullet"/>
              <w:numPr>
                <w:ilvl w:val="0"/>
                <w:numId w:val="7"/>
              </w:numPr>
              <w:spacing w:before="60" w:after="60"/>
            </w:pPr>
            <w:r>
              <w:t>350 ppm (</w:t>
            </w:r>
            <w:r w:rsidRPr="0026732C">
              <w:rPr>
                <w:i/>
              </w:rPr>
              <w:t>via</w:t>
            </w:r>
            <w:r>
              <w:t xml:space="preserve"> mouth tube) for 30 min</w:t>
            </w:r>
          </w:p>
          <w:p w14:paraId="25B57D99" w14:textId="24170DA5" w:rsidR="00DB4DC7" w:rsidRDefault="00DB4DC7" w:rsidP="006C414D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380 ppm for 1 h</w:t>
            </w:r>
          </w:p>
          <w:p w14:paraId="4475E926" w14:textId="409C0888" w:rsidR="00DB4DC7" w:rsidRDefault="00DB4DC7" w:rsidP="006C414D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200 ppm for 1.5 h</w:t>
            </w:r>
          </w:p>
          <w:p w14:paraId="1E307625" w14:textId="72B34BDF" w:rsidR="00DB4DC7" w:rsidRDefault="00DB4DC7" w:rsidP="006C414D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150 ppm for 1.5 h</w:t>
            </w:r>
          </w:p>
          <w:p w14:paraId="5EA57DB6" w14:textId="79B44BED" w:rsidR="00DB4DC7" w:rsidRDefault="00DB4DC7" w:rsidP="006C414D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50 ppm for 1 h</w:t>
            </w:r>
          </w:p>
          <w:p w14:paraId="3F23FDCE" w14:textId="3249E962" w:rsidR="001F57F5" w:rsidRDefault="00DB4DC7" w:rsidP="006C414D">
            <w:pPr>
              <w:pStyle w:val="ListBullet"/>
              <w:ind w:left="717"/>
            </w:pPr>
            <w:r>
              <w:t>Controlled inhalation with 300 ppm (</w:t>
            </w:r>
            <w:r w:rsidRPr="0026732C">
              <w:rPr>
                <w:i/>
              </w:rPr>
              <w:t>via</w:t>
            </w:r>
            <w:r>
              <w:t xml:space="preserve"> mouth tube) for 1 </w:t>
            </w:r>
            <w:r w:rsidR="000E7C29">
              <w:t>h</w:t>
            </w:r>
            <w:r>
              <w:t xml:space="preserve"> reduced ocular tracking abilities in all five volunteers but no changes in balance or coordination were </w:t>
            </w:r>
            <w:r w:rsidR="0057422F">
              <w:t>noted</w:t>
            </w:r>
          </w:p>
          <w:p w14:paraId="0D2AED75" w14:textId="207F488C" w:rsidR="001F57F5" w:rsidRDefault="00DA7B1F" w:rsidP="006C414D">
            <w:pPr>
              <w:pStyle w:val="ListBullet"/>
              <w:spacing w:before="60" w:after="60"/>
              <w:ind w:left="717"/>
            </w:pPr>
            <w:r>
              <w:lastRenderedPageBreak/>
              <w:t xml:space="preserve">Increased reaction times compared to other groups of workers not exposed to styrene identified </w:t>
            </w:r>
            <w:r w:rsidR="00844771">
              <w:t>from a s</w:t>
            </w:r>
            <w:r w:rsidR="001F57F5">
              <w:t xml:space="preserve">ummary of different studies: </w:t>
            </w:r>
          </w:p>
          <w:p w14:paraId="7B2F9306" w14:textId="6A88BD4F" w:rsidR="001F57F5" w:rsidRDefault="001F57F5" w:rsidP="006C414D">
            <w:pPr>
              <w:pStyle w:val="ListBullet"/>
              <w:numPr>
                <w:ilvl w:val="0"/>
                <w:numId w:val="11"/>
              </w:numPr>
              <w:spacing w:before="60" w:after="60"/>
            </w:pPr>
            <w:r>
              <w:t xml:space="preserve">106 employees with exposures </w:t>
            </w:r>
            <w:r w:rsidR="0057422F">
              <w:t xml:space="preserve">of </w:t>
            </w:r>
            <w:r>
              <w:t>13</w:t>
            </w:r>
            <w:r w:rsidR="00E6265D">
              <w:t>–</w:t>
            </w:r>
            <w:r>
              <w:t>101 ppm</w:t>
            </w:r>
          </w:p>
          <w:p w14:paraId="49BB48A4" w14:textId="1AD376D6" w:rsidR="001F57F5" w:rsidRDefault="001F57F5" w:rsidP="006C414D">
            <w:pPr>
              <w:pStyle w:val="ListBullet"/>
              <w:numPr>
                <w:ilvl w:val="0"/>
                <w:numId w:val="11"/>
              </w:numPr>
              <w:spacing w:before="60" w:after="60"/>
            </w:pPr>
            <w:r>
              <w:t xml:space="preserve">17 employees with exposures </w:t>
            </w:r>
            <w:r w:rsidR="0057422F">
              <w:t xml:space="preserve">of </w:t>
            </w:r>
            <w:r>
              <w:t xml:space="preserve">150 ppm </w:t>
            </w:r>
          </w:p>
          <w:p w14:paraId="19BADA13" w14:textId="3D82C23D" w:rsidR="001F57F5" w:rsidRDefault="001F57F5" w:rsidP="006C414D">
            <w:pPr>
              <w:pStyle w:val="ListBullet"/>
              <w:numPr>
                <w:ilvl w:val="0"/>
                <w:numId w:val="11"/>
              </w:numPr>
              <w:spacing w:before="60" w:after="60"/>
            </w:pPr>
            <w:r>
              <w:t xml:space="preserve">27 employees with mean exposures </w:t>
            </w:r>
            <w:r w:rsidR="0057422F">
              <w:t xml:space="preserve">of </w:t>
            </w:r>
            <w:r>
              <w:t>92 ppm (range</w:t>
            </w:r>
            <w:r w:rsidR="007D458D">
              <w:t xml:space="preserve"> </w:t>
            </w:r>
            <w:r>
              <w:t>= 52</w:t>
            </w:r>
            <w:r w:rsidR="00E6265D">
              <w:t>–</w:t>
            </w:r>
            <w:r>
              <w:t>117 ppm)</w:t>
            </w:r>
          </w:p>
          <w:p w14:paraId="57A88275" w14:textId="5C627779" w:rsidR="001F57F5" w:rsidRDefault="001F57F5" w:rsidP="006C414D">
            <w:pPr>
              <w:pStyle w:val="ListBullet"/>
              <w:numPr>
                <w:ilvl w:val="0"/>
                <w:numId w:val="11"/>
              </w:numPr>
              <w:spacing w:before="60" w:after="60"/>
            </w:pPr>
            <w:r>
              <w:t xml:space="preserve">7 workers with mean exposures </w:t>
            </w:r>
            <w:r w:rsidR="0057422F">
              <w:t xml:space="preserve">of </w:t>
            </w:r>
            <w:r>
              <w:t>10 ppm</w:t>
            </w:r>
          </w:p>
          <w:p w14:paraId="7B7ED0EF" w14:textId="47058583" w:rsidR="0005629B" w:rsidRDefault="001F57F5" w:rsidP="006C414D">
            <w:pPr>
              <w:pStyle w:val="ListBullet"/>
              <w:numPr>
                <w:ilvl w:val="0"/>
                <w:numId w:val="11"/>
              </w:numPr>
              <w:spacing w:before="60" w:after="60"/>
            </w:pPr>
            <w:r>
              <w:t xml:space="preserve">10 employees with elevated urinary </w:t>
            </w:r>
            <w:proofErr w:type="spellStart"/>
            <w:r>
              <w:t>mandelic</w:t>
            </w:r>
            <w:proofErr w:type="spellEnd"/>
            <w:r>
              <w:t xml:space="preserve"> acid concentrations (approximating workplace air styrene at 65</w:t>
            </w:r>
            <w:r w:rsidR="00E6265D">
              <w:t>–</w:t>
            </w:r>
            <w:r>
              <w:t>110 ppm)</w:t>
            </w:r>
          </w:p>
          <w:p w14:paraId="680FCC1F" w14:textId="39DFD952" w:rsidR="001F57F5" w:rsidRDefault="00844771" w:rsidP="006C414D">
            <w:pPr>
              <w:pStyle w:val="ListBullet"/>
              <w:spacing w:before="60" w:after="60"/>
              <w:ind w:left="717"/>
            </w:pPr>
            <w:r>
              <w:t xml:space="preserve">Reaction times of workers exposed at TWA </w:t>
            </w:r>
            <w:r w:rsidR="00716460">
              <w:rPr>
                <w:rFonts w:cs="Arial"/>
              </w:rPr>
              <w:t>≤</w:t>
            </w:r>
            <w:r>
              <w:t>235 ppm (with brief exposures at 1</w:t>
            </w:r>
            <w:r w:rsidR="000E7C29">
              <w:t>,</w:t>
            </w:r>
            <w:r>
              <w:t>500</w:t>
            </w:r>
            <w:r w:rsidR="000E7C29">
              <w:t> </w:t>
            </w:r>
            <w:r>
              <w:t xml:space="preserve">ppm) increased compared with those exposed at TWA </w:t>
            </w:r>
            <w:r>
              <w:rPr>
                <w:rFonts w:cs="Arial"/>
              </w:rPr>
              <w:t>≤</w:t>
            </w:r>
            <w:r>
              <w:t>139 ppm; no further information</w:t>
            </w:r>
          </w:p>
          <w:p w14:paraId="5EA7EFE5" w14:textId="488E4A94" w:rsidR="00844771" w:rsidRDefault="0024766F" w:rsidP="006C414D">
            <w:pPr>
              <w:pStyle w:val="ListBullet"/>
              <w:spacing w:before="60" w:after="60"/>
              <w:ind w:left="717"/>
            </w:pPr>
            <w:r>
              <w:t xml:space="preserve">Reduced attention and manual dexterity among styrene workers exposed at TWA of </w:t>
            </w:r>
            <w:r w:rsidR="00E6265D">
              <w:br/>
            </w:r>
            <w:r>
              <w:t>72</w:t>
            </w:r>
            <w:r w:rsidR="00E6265D">
              <w:t>–</w:t>
            </w:r>
            <w:r>
              <w:t>168 ppm</w:t>
            </w:r>
            <w:r w:rsidR="0057422F">
              <w:t>,</w:t>
            </w:r>
            <w:r w:rsidR="000F299C">
              <w:t xml:space="preserve"> no further details</w:t>
            </w:r>
          </w:p>
          <w:p w14:paraId="27FA6FC6" w14:textId="15CFDFA4" w:rsidR="000F299C" w:rsidRDefault="000F299C" w:rsidP="006C414D">
            <w:pPr>
              <w:pStyle w:val="ListBullet"/>
              <w:spacing w:before="60" w:after="60"/>
              <w:ind w:left="717"/>
            </w:pPr>
            <w:r>
              <w:t>Marginal improvements in worker reaction time for 17 men after mean workplace air concentrations reduced from 92</w:t>
            </w:r>
            <w:r w:rsidR="00142740">
              <w:t>–</w:t>
            </w:r>
            <w:r>
              <w:t>23 ppm</w:t>
            </w:r>
            <w:r w:rsidR="0057422F">
              <w:t xml:space="preserve">, </w:t>
            </w:r>
            <w:r>
              <w:t>no further details</w:t>
            </w:r>
          </w:p>
          <w:p w14:paraId="7EDD1F19" w14:textId="4E0EE0C0" w:rsidR="00867803" w:rsidRDefault="00867803" w:rsidP="006C414D">
            <w:pPr>
              <w:pStyle w:val="ListBullet"/>
              <w:spacing w:before="60" w:after="60"/>
              <w:ind w:left="717"/>
            </w:pPr>
            <w:r>
              <w:t xml:space="preserve">Frank ocular and upper respiratory tract irritation at concentrations </w:t>
            </w:r>
            <w:r w:rsidR="000E7C29">
              <w:t>&gt;</w:t>
            </w:r>
            <w:r>
              <w:t>200 ppm</w:t>
            </w:r>
          </w:p>
          <w:p w14:paraId="189EED13" w14:textId="4FB2384F" w:rsidR="0026732C" w:rsidRDefault="00181D34" w:rsidP="006C414D">
            <w:pPr>
              <w:pStyle w:val="ListBullet"/>
              <w:spacing w:before="60" w:after="60"/>
              <w:ind w:left="717"/>
            </w:pPr>
            <w:r>
              <w:t>10</w:t>
            </w:r>
            <w:r w:rsidR="000F299C">
              <w:t xml:space="preserve"> males and </w:t>
            </w:r>
            <w:r>
              <w:t>8</w:t>
            </w:r>
            <w:r w:rsidR="000F299C">
              <w:t xml:space="preserve"> females </w:t>
            </w:r>
            <w:r>
              <w:t>exposed for 7.5 h/d, 3</w:t>
            </w:r>
            <w:r w:rsidR="00E6265D">
              <w:t>–</w:t>
            </w:r>
            <w:r>
              <w:t>4 d/w for 4 w at 20</w:t>
            </w:r>
            <w:r w:rsidR="00142740">
              <w:t>–</w:t>
            </w:r>
            <w:r>
              <w:t>125 ppm</w:t>
            </w:r>
            <w:r w:rsidR="007D458D">
              <w:t xml:space="preserve"> of which only </w:t>
            </w:r>
            <w:r>
              <w:t>4 </w:t>
            </w:r>
            <w:r w:rsidR="000F299C">
              <w:t xml:space="preserve">men and </w:t>
            </w:r>
            <w:r>
              <w:t>2</w:t>
            </w:r>
            <w:r w:rsidR="00313836">
              <w:t xml:space="preserve"> </w:t>
            </w:r>
            <w:r w:rsidR="000F299C">
              <w:t xml:space="preserve">women </w:t>
            </w:r>
            <w:r>
              <w:t>completed the protocol</w:t>
            </w:r>
            <w:r w:rsidR="00B10476">
              <w:t>:</w:t>
            </w:r>
            <w:r>
              <w:t xml:space="preserve"> </w:t>
            </w:r>
          </w:p>
          <w:p w14:paraId="27702368" w14:textId="138B8726" w:rsidR="007D458D" w:rsidRDefault="00B10476" w:rsidP="006C414D">
            <w:pPr>
              <w:pStyle w:val="ListBullet"/>
              <w:numPr>
                <w:ilvl w:val="0"/>
                <w:numId w:val="12"/>
              </w:numPr>
              <w:spacing w:before="60" w:after="60"/>
            </w:pPr>
            <w:r>
              <w:t>n</w:t>
            </w:r>
            <w:r w:rsidR="007D458D">
              <w:t>o</w:t>
            </w:r>
            <w:r w:rsidR="000F299C">
              <w:t xml:space="preserve"> change</w:t>
            </w:r>
            <w:r w:rsidR="007D458D">
              <w:t>s</w:t>
            </w:r>
            <w:r w:rsidR="000F299C">
              <w:t xml:space="preserve"> in EEG </w:t>
            </w:r>
            <w:r w:rsidR="007D458D">
              <w:t xml:space="preserve">in 3 </w:t>
            </w:r>
            <w:r w:rsidR="00DC1FDE">
              <w:t>people</w:t>
            </w:r>
            <w:r w:rsidR="007D458D">
              <w:t xml:space="preserve"> </w:t>
            </w:r>
          </w:p>
          <w:p w14:paraId="1B08CFB6" w14:textId="51FD90B5" w:rsidR="000F299C" w:rsidRDefault="00B10476" w:rsidP="006C414D">
            <w:pPr>
              <w:pStyle w:val="ListBullet"/>
              <w:numPr>
                <w:ilvl w:val="0"/>
                <w:numId w:val="12"/>
              </w:numPr>
              <w:spacing w:before="60" w:after="60"/>
            </w:pPr>
            <w:r>
              <w:t>t</w:t>
            </w:r>
            <w:r w:rsidR="007D458D">
              <w:t xml:space="preserve">he other 3 </w:t>
            </w:r>
            <w:r w:rsidR="00DC1FDE">
              <w:t>peoples</w:t>
            </w:r>
            <w:r w:rsidR="000F299C">
              <w:t xml:space="preserve"> complained of headache and dizziness at </w:t>
            </w:r>
            <w:r w:rsidR="00181D34">
              <w:rPr>
                <w:rFonts w:cs="Arial"/>
              </w:rPr>
              <w:t>≥</w:t>
            </w:r>
            <w:r w:rsidR="000F299C">
              <w:t xml:space="preserve">75 ppm and nausea after inhaling </w:t>
            </w:r>
            <w:r w:rsidR="00181D34">
              <w:rPr>
                <w:rFonts w:cs="Arial"/>
              </w:rPr>
              <w:t>≥</w:t>
            </w:r>
            <w:r w:rsidR="000F299C">
              <w:t>100 ppm</w:t>
            </w:r>
            <w:r w:rsidR="007D458D">
              <w:t xml:space="preserve"> (changes interpreted as reflecting boredom)</w:t>
            </w:r>
          </w:p>
          <w:p w14:paraId="5FD4C32E" w14:textId="10C75B26" w:rsidR="00711EED" w:rsidRDefault="007D458D" w:rsidP="006C414D">
            <w:pPr>
              <w:pStyle w:val="ListBullet"/>
              <w:spacing w:before="60" w:after="60"/>
              <w:ind w:left="717"/>
            </w:pPr>
            <w:r>
              <w:t>A</w:t>
            </w:r>
            <w:r w:rsidR="00711EED">
              <w:t xml:space="preserve"> significant decrease in colour vision acuity principally affecting blue</w:t>
            </w:r>
            <w:r w:rsidR="00E6265D">
              <w:t>-</w:t>
            </w:r>
            <w:r w:rsidR="00711EED">
              <w:t>yellow range</w:t>
            </w:r>
            <w:r w:rsidR="00313836">
              <w:t xml:space="preserve"> compared </w:t>
            </w:r>
            <w:r>
              <w:t>with</w:t>
            </w:r>
            <w:r w:rsidR="00313836">
              <w:t xml:space="preserve"> controls</w:t>
            </w:r>
            <w:r>
              <w:t xml:space="preserve"> </w:t>
            </w:r>
            <w:r w:rsidR="00DF2B61">
              <w:t xml:space="preserve">was </w:t>
            </w:r>
            <w:r>
              <w:t>reported in workers exposed at TWA &gt;50 ppm,</w:t>
            </w:r>
          </w:p>
          <w:p w14:paraId="4EFA23E9" w14:textId="4B007960" w:rsidR="00313836" w:rsidRDefault="00313836" w:rsidP="006C414D">
            <w:pPr>
              <w:pStyle w:val="ListBullet"/>
              <w:spacing w:before="60" w:after="60"/>
              <w:ind w:left="717"/>
            </w:pPr>
            <w:r>
              <w:t>Significant reductions in colour discrimination observed in 36 styrene workers exposed at 15</w:t>
            </w:r>
            <w:r w:rsidR="00B10476">
              <w:t> </w:t>
            </w:r>
            <w:r>
              <w:t xml:space="preserve">ppm compared to the 36 </w:t>
            </w:r>
            <w:r w:rsidR="007D458D">
              <w:t>controls</w:t>
            </w:r>
          </w:p>
          <w:p w14:paraId="37A3275E" w14:textId="54656507" w:rsidR="00313836" w:rsidRDefault="00313836" w:rsidP="006C414D">
            <w:pPr>
              <w:pStyle w:val="ListBullet"/>
              <w:spacing w:before="60" w:after="60"/>
              <w:ind w:left="717"/>
            </w:pPr>
            <w:r>
              <w:t>Variable (2</w:t>
            </w:r>
            <w:r w:rsidR="00E6265D">
              <w:t>–</w:t>
            </w:r>
            <w:r>
              <w:t>8%) reductions in worker peripheral nerve conduction velocities; no further information</w:t>
            </w:r>
          </w:p>
          <w:p w14:paraId="13B6E68C" w14:textId="78CA0429" w:rsidR="00A01904" w:rsidRDefault="00A01904" w:rsidP="006C414D">
            <w:pPr>
              <w:pStyle w:val="ListBullet"/>
              <w:spacing w:before="60" w:after="60"/>
              <w:ind w:left="717"/>
            </w:pPr>
            <w:r>
              <w:t xml:space="preserve">Dermal </w:t>
            </w:r>
            <w:r w:rsidR="00B16E44">
              <w:t>penetration</w:t>
            </w:r>
            <w:r>
              <w:t xml:space="preserve"> rate of 1</w:t>
            </w:r>
            <w:r w:rsidR="00B16E44">
              <w:rPr>
                <w:rFonts w:cs="Arial"/>
              </w:rPr>
              <w:t>±</w:t>
            </w:r>
            <w:r>
              <w:t xml:space="preserve">0.5 </w:t>
            </w:r>
            <w:r w:rsidR="00B16E44">
              <w:rPr>
                <w:rFonts w:cs="Arial"/>
              </w:rPr>
              <w:t>µ</w:t>
            </w:r>
            <w:r>
              <w:t>g/cm</w:t>
            </w:r>
            <w:r w:rsidRPr="00B16E44">
              <w:rPr>
                <w:vertAlign w:val="superscript"/>
              </w:rPr>
              <w:t>2</w:t>
            </w:r>
            <w:r>
              <w:t>/h reported</w:t>
            </w:r>
            <w:r w:rsidR="00B16E44">
              <w:t xml:space="preserve"> (hand dipped in styrene) however another study (considered compromised by evaporation) indicated </w:t>
            </w:r>
            <w:r w:rsidR="00B16E44" w:rsidRPr="00B16E44">
              <w:t>(9</w:t>
            </w:r>
            <w:r w:rsidR="00E6265D">
              <w:t>–</w:t>
            </w:r>
            <w:r w:rsidR="00B16E44" w:rsidRPr="00B16E44">
              <w:t>15 mg/cm</w:t>
            </w:r>
            <w:r w:rsidR="00B16E44" w:rsidRPr="00B16E44">
              <w:rPr>
                <w:vertAlign w:val="superscript"/>
              </w:rPr>
              <w:t>2</w:t>
            </w:r>
            <w:r w:rsidR="00B16E44" w:rsidRPr="00B16E44">
              <w:t>/</w:t>
            </w:r>
            <w:r w:rsidR="00B16E44">
              <w:t>h).</w:t>
            </w:r>
          </w:p>
          <w:p w14:paraId="28668130" w14:textId="77777777" w:rsidR="00313836" w:rsidRDefault="008806D4" w:rsidP="008806D4">
            <w:pPr>
              <w:pStyle w:val="Tabletextprimarysource"/>
            </w:pPr>
            <w:r>
              <w:t>Animal data:</w:t>
            </w:r>
          </w:p>
          <w:p w14:paraId="6BEF4469" w14:textId="4C46B588" w:rsidR="008806D4" w:rsidRDefault="008806D4" w:rsidP="006C414D">
            <w:pPr>
              <w:pStyle w:val="ListBullet"/>
              <w:spacing w:before="60" w:after="60"/>
              <w:ind w:left="717"/>
            </w:pPr>
            <w:r>
              <w:t>A 50% reduction in respiratory rate occurred in mice that inhaled 160 ppm for 3 min</w:t>
            </w:r>
          </w:p>
          <w:p w14:paraId="42A50797" w14:textId="77777777" w:rsidR="008806D4" w:rsidRDefault="008806D4" w:rsidP="006C414D">
            <w:pPr>
              <w:pStyle w:val="ListBullet"/>
              <w:spacing w:before="60" w:after="60"/>
              <w:ind w:left="717"/>
            </w:pPr>
            <w:r>
              <w:t xml:space="preserve">No ototoxicity identified in rats exposed at 50 or 200 ppm, 6 h/d for 13 </w:t>
            </w:r>
            <w:proofErr w:type="spellStart"/>
            <w:r>
              <w:t>wk</w:t>
            </w:r>
            <w:proofErr w:type="spellEnd"/>
          </w:p>
          <w:p w14:paraId="54587709" w14:textId="77777777" w:rsidR="001F2CB2" w:rsidRDefault="001F2CB2" w:rsidP="006C414D">
            <w:pPr>
              <w:pStyle w:val="ListBullet"/>
              <w:spacing w:before="60" w:after="60"/>
              <w:ind w:left="717"/>
            </w:pPr>
            <w:r>
              <w:t>Rats exposed for 6 h/d, 5 d/</w:t>
            </w:r>
            <w:proofErr w:type="spellStart"/>
            <w:r>
              <w:t>wk</w:t>
            </w:r>
            <w:proofErr w:type="spellEnd"/>
            <w:r>
              <w:t xml:space="preserve"> for their lifetimes at 50, 200, 500 or 1000 ppm: </w:t>
            </w:r>
          </w:p>
          <w:p w14:paraId="2C18DA19" w14:textId="2D573325" w:rsidR="00EE5BFE" w:rsidRDefault="001F2CB2" w:rsidP="006C414D">
            <w:pPr>
              <w:pStyle w:val="ListBullet"/>
              <w:numPr>
                <w:ilvl w:val="0"/>
                <w:numId w:val="10"/>
              </w:numPr>
              <w:spacing w:before="60" w:after="60"/>
            </w:pPr>
            <w:r>
              <w:t>r</w:t>
            </w:r>
            <w:r w:rsidR="00DF2B61">
              <w:t>educed body weight gain and decreased food consumption at 500 and 1000 ppm exposures, respectively</w:t>
            </w:r>
            <w:r>
              <w:t>:</w:t>
            </w:r>
          </w:p>
          <w:p w14:paraId="01F9DA5D" w14:textId="4985A064" w:rsidR="00EE5BFE" w:rsidRDefault="001F2CB2" w:rsidP="006C414D">
            <w:pPr>
              <w:pStyle w:val="ListBullet"/>
              <w:numPr>
                <w:ilvl w:val="0"/>
                <w:numId w:val="9"/>
              </w:numPr>
              <w:spacing w:before="60" w:after="60"/>
            </w:pPr>
            <w:r>
              <w:t>n</w:t>
            </w:r>
            <w:r w:rsidR="008806D4">
              <w:t xml:space="preserve">o treatment-related increase in numbers of animals with </w:t>
            </w:r>
            <w:r w:rsidR="00EE5BFE">
              <w:t>tumours</w:t>
            </w:r>
            <w:r w:rsidR="008806D4">
              <w:t xml:space="preserve"> or numbers of </w:t>
            </w:r>
            <w:r w:rsidR="00EE5BFE">
              <w:t>tumours</w:t>
            </w:r>
            <w:r w:rsidR="008806D4">
              <w:t xml:space="preserve"> per animal observed when compared to concurrent controls</w:t>
            </w:r>
          </w:p>
          <w:p w14:paraId="11AA337B" w14:textId="5A123DDB" w:rsidR="001F2CB2" w:rsidRDefault="001F2CB2" w:rsidP="006C414D">
            <w:pPr>
              <w:pStyle w:val="ListBullet"/>
              <w:numPr>
                <w:ilvl w:val="0"/>
                <w:numId w:val="9"/>
              </w:numPr>
              <w:spacing w:before="60" w:after="60"/>
            </w:pPr>
            <w:r>
              <w:t>a</w:t>
            </w:r>
            <w:r w:rsidR="008806D4">
              <w:t>trophy and degeneration of the olfactory epithelium (dorsal septum, dorsal meatus, medial nas</w:t>
            </w:r>
            <w:r w:rsidR="00DF2B61">
              <w:t xml:space="preserve">al </w:t>
            </w:r>
            <w:r w:rsidR="008806D4">
              <w:t xml:space="preserve">turbinates, ethmoid/dorsal turbinates) at all </w:t>
            </w:r>
            <w:r w:rsidR="00EE5BFE">
              <w:t xml:space="preserve">styrene concentrations examined </w:t>
            </w:r>
          </w:p>
          <w:p w14:paraId="18B7B939" w14:textId="70511692" w:rsidR="008806D4" w:rsidRDefault="00EE5BFE" w:rsidP="006C414D">
            <w:pPr>
              <w:pStyle w:val="ListBullet"/>
              <w:numPr>
                <w:ilvl w:val="0"/>
                <w:numId w:val="9"/>
              </w:numPr>
              <w:spacing w:before="60" w:after="60"/>
            </w:pPr>
            <w:r>
              <w:t>no NOAEL</w:t>
            </w:r>
            <w:r w:rsidR="001F2CB2">
              <w:t xml:space="preserve"> </w:t>
            </w:r>
            <w:r w:rsidR="00000893">
              <w:t xml:space="preserve">could be </w:t>
            </w:r>
            <w:r w:rsidR="001F2CB2">
              <w:t>identified</w:t>
            </w:r>
            <w:r w:rsidR="00F0435C">
              <w:t>.</w:t>
            </w:r>
          </w:p>
          <w:p w14:paraId="28484BA8" w14:textId="0FFF7D78" w:rsidR="00CB303F" w:rsidRDefault="00CB303F" w:rsidP="00CB303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5C7625FA" w14:textId="3B9BC661" w:rsidR="004B7FC4" w:rsidRDefault="00CB303F" w:rsidP="0026732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Skin or sensory notation.</w:t>
            </w:r>
          </w:p>
          <w:p w14:paraId="0CE4D35D" w14:textId="08CA85C8" w:rsidR="00E6265D" w:rsidRPr="00DA352E" w:rsidRDefault="00E6265D" w:rsidP="00CB303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74F8B79" w14:textId="77777777" w:rsidTr="00C6685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1CCCD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75129">
                  <w:t>1987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75129">
                  <w:t>MAK: 20 ppm (86 mg/m</w:t>
                </w:r>
                <w:r w:rsidR="00E75129" w:rsidRPr="00E75129">
                  <w:rPr>
                    <w:vertAlign w:val="superscript"/>
                  </w:rPr>
                  <w:t>3</w:t>
                </w:r>
                <w:r w:rsidR="00E75129">
                  <w:t>)</w:t>
                </w:r>
              </w:sdtContent>
            </w:sdt>
          </w:p>
        </w:tc>
      </w:tr>
      <w:tr w:rsidR="00C978F0" w:rsidRPr="00DA352E" w14:paraId="4433014F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0B89FADD" w14:textId="77777777" w:rsidR="00A27A05" w:rsidRDefault="00A27A05" w:rsidP="003365A5">
            <w:pPr>
              <w:pStyle w:val="Tabletextprimarysource"/>
            </w:pPr>
            <w:r>
              <w:t>Summary of additional data:</w:t>
            </w:r>
          </w:p>
          <w:p w14:paraId="30D33B3B" w14:textId="612E0847" w:rsidR="00C978F0" w:rsidRDefault="009B548A" w:rsidP="002673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A27A05">
              <w:t>etabolise</w:t>
            </w:r>
            <w:r>
              <w:t>s</w:t>
            </w:r>
            <w:r w:rsidR="00A27A05">
              <w:t xml:space="preserve"> to styrene-7,8-oxide, a direct alkylating agent</w:t>
            </w:r>
          </w:p>
          <w:p w14:paraId="005DFB89" w14:textId="196081AB" w:rsidR="00FE4E2F" w:rsidRDefault="00FE4E2F" w:rsidP="002673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4 studies with mice, styrene induced lung tumours, both after oral administration and following inhalation exposure; in 9 studies with rats was not carcinogenic; no further details</w:t>
            </w:r>
          </w:p>
          <w:p w14:paraId="6CFC2FDF" w14:textId="2FDB26E8" w:rsidR="00FE4E2F" w:rsidRDefault="00FE4E2F" w:rsidP="002673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Given this information, considered genotoxic and </w:t>
            </w:r>
            <w:r w:rsidR="009B548A">
              <w:t xml:space="preserve">with </w:t>
            </w:r>
            <w:r>
              <w:t>carcinogenic potential to humans, however, the risk for humans may be evaluated</w:t>
            </w:r>
          </w:p>
          <w:p w14:paraId="368BEE37" w14:textId="37E648D8" w:rsidR="00FE4E2F" w:rsidRDefault="00FE4E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The risk of developing cancer during a lifetime </w:t>
            </w:r>
            <w:proofErr w:type="gramStart"/>
            <w:r>
              <w:t>as a result of</w:t>
            </w:r>
            <w:proofErr w:type="gramEnd"/>
            <w:r>
              <w:t xml:space="preserve"> 40 yr occupational exposure to a concentration of styrene in air of 20 ppm is smaller than the unavoidable risk caused by </w:t>
            </w:r>
            <w:r>
              <w:lastRenderedPageBreak/>
              <w:t xml:space="preserve">endogenous ethylene oxide, for which a value of </w:t>
            </w:r>
            <w:r w:rsidR="009B548A">
              <w:t>~</w:t>
            </w:r>
            <w:r>
              <w:t>1/10</w:t>
            </w:r>
            <w:r w:rsidR="009B548A">
              <w:t>,</w:t>
            </w:r>
            <w:r>
              <w:t xml:space="preserve">000 has been </w:t>
            </w:r>
            <w:proofErr w:type="gramStart"/>
            <w:r>
              <w:t>estimated;</w:t>
            </w:r>
            <w:proofErr w:type="gramEnd"/>
            <w:r>
              <w:t xml:space="preserve"> no further information</w:t>
            </w:r>
            <w:r w:rsidR="00F0435C">
              <w:t>.</w:t>
            </w:r>
          </w:p>
          <w:p w14:paraId="61A64F09" w14:textId="393EBAAA" w:rsidR="0026732C" w:rsidRPr="00DA352E" w:rsidRDefault="0026732C" w:rsidP="0026732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C6685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672D79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751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75129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153B53C1" w14:textId="3E207C7D" w:rsidR="00C978F0" w:rsidRPr="00DA352E" w:rsidRDefault="00E75129" w:rsidP="003365A5">
            <w:pPr>
              <w:pStyle w:val="Tabletextprimarysource"/>
            </w:pPr>
            <w:r>
              <w:t>No report</w:t>
            </w:r>
            <w:r w:rsidR="00F0435C">
              <w:t>.</w:t>
            </w:r>
          </w:p>
        </w:tc>
      </w:tr>
      <w:tr w:rsidR="00DA352E" w:rsidRPr="00DA352E" w14:paraId="12BAB90D" w14:textId="77777777" w:rsidTr="00C6685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134CE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751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75129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2059E4CB" w14:textId="7F549F99" w:rsidR="00DA352E" w:rsidRPr="00DA352E" w:rsidRDefault="00E75129" w:rsidP="003365A5">
            <w:pPr>
              <w:pStyle w:val="Tabletextprimarysource"/>
            </w:pPr>
            <w:r>
              <w:t>No report</w:t>
            </w:r>
            <w:r w:rsidR="00F0435C">
              <w:t>.</w:t>
            </w:r>
          </w:p>
        </w:tc>
      </w:tr>
      <w:tr w:rsidR="00DA352E" w:rsidRPr="00DA352E" w14:paraId="605F758C" w14:textId="77777777" w:rsidTr="00C6685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B777FF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751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75129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C66853">
        <w:trPr>
          <w:gridAfter w:val="1"/>
          <w:wAfter w:w="8" w:type="pct"/>
        </w:trPr>
        <w:tc>
          <w:tcPr>
            <w:tcW w:w="4992" w:type="pct"/>
          </w:tcPr>
          <w:p w14:paraId="492D7791" w14:textId="2FFA2D04" w:rsidR="00DA352E" w:rsidRPr="00DA352E" w:rsidRDefault="00E75129" w:rsidP="003365A5">
            <w:pPr>
              <w:pStyle w:val="Tabletextprimarysource"/>
            </w:pPr>
            <w:r>
              <w:t>No report</w:t>
            </w:r>
            <w:r w:rsidR="009B548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AE89AB3" w14:textId="77777777" w:rsidTr="00C66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C66853">
        <w:trPr>
          <w:cantSplit/>
        </w:trPr>
        <w:tc>
          <w:tcPr>
            <w:tcW w:w="148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1E79E10E" w:rsidR="004966BF" w:rsidRPr="00CE617F" w:rsidRDefault="00470E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E4E2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818A719" w:rsidR="004966BF" w:rsidRPr="004C23F4" w:rsidRDefault="00FE4E2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3" w:type="dxa"/>
          </w:tcPr>
          <w:p w14:paraId="43440307" w14:textId="1FADA894" w:rsidR="004966BF" w:rsidRDefault="007C38AB" w:rsidP="0026732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color w:val="262626"/>
              </w:rPr>
              <w:t>Acute inhalation in humans is associated with eye/skin/throat irritation and neurological findings at high concentrations</w:t>
            </w:r>
            <w:r>
              <w:rPr>
                <w:rStyle w:val="checkbox"/>
                <w:rFonts w:ascii="Arial" w:hAnsi="Arial" w:cs="Arial"/>
              </w:rPr>
              <w:t>; NOAEC</w:t>
            </w:r>
            <w:r w:rsidR="00FE4E2F" w:rsidRPr="00FE4E2F">
              <w:rPr>
                <w:rStyle w:val="checkbox"/>
                <w:rFonts w:ascii="Arial" w:hAnsi="Arial" w:cs="Arial"/>
              </w:rPr>
              <w:t xml:space="preserve"> (men, inhalation) of 216</w:t>
            </w:r>
            <w:r w:rsidR="00467FEB">
              <w:rPr>
                <w:rStyle w:val="checkbox"/>
                <w:rFonts w:ascii="Arial" w:hAnsi="Arial" w:cs="Arial"/>
              </w:rPr>
              <w:t> </w:t>
            </w:r>
            <w:r w:rsidR="00FE4E2F" w:rsidRPr="00FE4E2F">
              <w:rPr>
                <w:rStyle w:val="checkbox"/>
                <w:rFonts w:ascii="Arial" w:hAnsi="Arial" w:cs="Arial"/>
              </w:rPr>
              <w:t>ppm (</w:t>
            </w:r>
            <w:r>
              <w:rPr>
                <w:rStyle w:val="checkbox"/>
                <w:rFonts w:ascii="Arial" w:hAnsi="Arial" w:cs="Arial"/>
              </w:rPr>
              <w:t>1</w:t>
            </w:r>
            <w:r w:rsidR="008616B3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h</w:t>
            </w:r>
            <w:r w:rsidR="00467FEB">
              <w:rPr>
                <w:rStyle w:val="checkbox"/>
                <w:rFonts w:ascii="Arial" w:hAnsi="Arial" w:cs="Arial"/>
              </w:rPr>
              <w:t xml:space="preserve">) </w:t>
            </w:r>
            <w:r w:rsidR="00FE4E2F" w:rsidRPr="00FE4E2F">
              <w:rPr>
                <w:rStyle w:val="checkbox"/>
                <w:rFonts w:ascii="Arial" w:hAnsi="Arial" w:cs="Arial"/>
              </w:rPr>
              <w:t>and 99 ppm (</w:t>
            </w:r>
            <w:r>
              <w:rPr>
                <w:rStyle w:val="checkbox"/>
                <w:rFonts w:ascii="Arial" w:hAnsi="Arial" w:cs="Arial"/>
              </w:rPr>
              <w:t>7 h</w:t>
            </w:r>
            <w:r w:rsidR="00FE4E2F" w:rsidRPr="00FE4E2F">
              <w:rPr>
                <w:rStyle w:val="checkbox"/>
                <w:rFonts w:ascii="Arial" w:hAnsi="Arial" w:cs="Arial"/>
              </w:rPr>
              <w:t>) reported</w:t>
            </w:r>
            <w:r>
              <w:rPr>
                <w:rStyle w:val="checkbox"/>
                <w:rFonts w:ascii="Arial" w:hAnsi="Arial" w:cs="Arial"/>
              </w:rPr>
              <w:t>; no further information</w:t>
            </w:r>
          </w:p>
          <w:p w14:paraId="10299046" w14:textId="00DEEA61" w:rsidR="007C38AB" w:rsidRPr="00EC595B" w:rsidRDefault="007C38AB" w:rsidP="0026732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No histological alterations observed in nasal biopsies from styrene workers exposed to 50–60 ppm for 7 </w:t>
            </w:r>
            <w:proofErr w:type="gramStart"/>
            <w:r>
              <w:rPr>
                <w:rFonts w:cs="Arial"/>
                <w:color w:val="262626"/>
              </w:rPr>
              <w:t>yr;</w:t>
            </w:r>
            <w:proofErr w:type="gramEnd"/>
            <w:r>
              <w:rPr>
                <w:rFonts w:cs="Arial"/>
                <w:color w:val="262626"/>
              </w:rPr>
              <w:t xml:space="preserve"> no further information</w:t>
            </w:r>
          </w:p>
          <w:p w14:paraId="04CEE81E" w14:textId="45A6A5B5" w:rsidR="0026732C" w:rsidRPr="0026732C" w:rsidRDefault="00EC595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A </w:t>
            </w:r>
            <w:proofErr w:type="gramStart"/>
            <w:r>
              <w:rPr>
                <w:rFonts w:cs="Arial"/>
                <w:color w:val="262626"/>
              </w:rPr>
              <w:t>10</w:t>
            </w:r>
            <w:r w:rsidR="0026732C">
              <w:rPr>
                <w:rFonts w:cs="Arial"/>
                <w:color w:val="262626"/>
              </w:rPr>
              <w:t xml:space="preserve"> </w:t>
            </w:r>
            <w:r>
              <w:rPr>
                <w:rFonts w:cs="Arial"/>
                <w:color w:val="262626"/>
              </w:rPr>
              <w:t>yr</w:t>
            </w:r>
            <w:proofErr w:type="gramEnd"/>
            <w:r>
              <w:rPr>
                <w:rFonts w:cs="Arial"/>
                <w:color w:val="262626"/>
              </w:rPr>
              <w:t xml:space="preserve"> mortality score determined using 6678 male rubber-factory workers </w:t>
            </w:r>
            <w:r w:rsidR="008616B3">
              <w:rPr>
                <w:rFonts w:cs="Arial"/>
                <w:color w:val="262626"/>
              </w:rPr>
              <w:t xml:space="preserve">which </w:t>
            </w:r>
            <w:r w:rsidR="000A2AD0">
              <w:rPr>
                <w:rFonts w:cs="Arial"/>
                <w:color w:val="262626"/>
              </w:rPr>
              <w:t>were exposed to</w:t>
            </w:r>
            <w:r>
              <w:rPr>
                <w:rFonts w:cs="Arial"/>
                <w:color w:val="262626"/>
              </w:rPr>
              <w:t xml:space="preserve"> the chemical. Results showed elevated incidence of haemopoietic and lymphatic cancer</w:t>
            </w:r>
            <w:r w:rsidR="00B10476">
              <w:rPr>
                <w:rFonts w:cs="Arial"/>
                <w:color w:val="262626"/>
              </w:rPr>
              <w:t>:</w:t>
            </w:r>
          </w:p>
          <w:p w14:paraId="0CD0F6CC" w14:textId="120FAF9C" w:rsidR="0026732C" w:rsidRPr="0026732C" w:rsidRDefault="0026732C" w:rsidP="0026732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i</w:t>
            </w:r>
            <w:r w:rsidR="00EC595B">
              <w:rPr>
                <w:rFonts w:cs="Arial"/>
                <w:color w:val="262626"/>
              </w:rPr>
              <w:t>ncidence of cancer increased with years of exposur</w:t>
            </w:r>
            <w:r>
              <w:rPr>
                <w:rFonts w:cs="Arial"/>
                <w:color w:val="262626"/>
              </w:rPr>
              <w:t>e</w:t>
            </w:r>
          </w:p>
          <w:p w14:paraId="577E6DC5" w14:textId="41B325BF" w:rsidR="00EC595B" w:rsidRPr="00EC595B" w:rsidRDefault="0026732C" w:rsidP="0026732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t</w:t>
            </w:r>
            <w:r w:rsidR="00EC595B">
              <w:rPr>
                <w:rFonts w:cs="Arial"/>
                <w:color w:val="262626"/>
              </w:rPr>
              <w:t>he incidence in workers with a 2-yr history and 5</w:t>
            </w:r>
            <w:r w:rsidR="00E6265D">
              <w:rPr>
                <w:rFonts w:cs="Arial"/>
                <w:color w:val="262626"/>
              </w:rPr>
              <w:t xml:space="preserve"> </w:t>
            </w:r>
            <w:r w:rsidR="00EC595B">
              <w:rPr>
                <w:rFonts w:cs="Arial"/>
                <w:color w:val="262626"/>
              </w:rPr>
              <w:t>yr history was 4.4 and 5.6 times higher</w:t>
            </w:r>
            <w:r w:rsidR="000A2AD0">
              <w:rPr>
                <w:rFonts w:cs="Arial"/>
                <w:color w:val="262626"/>
              </w:rPr>
              <w:t>,</w:t>
            </w:r>
            <w:r w:rsidR="00EC595B">
              <w:rPr>
                <w:rFonts w:cs="Arial"/>
                <w:color w:val="262626"/>
              </w:rPr>
              <w:t xml:space="preserve"> respectively</w:t>
            </w:r>
            <w:r w:rsidR="000A2AD0">
              <w:rPr>
                <w:rFonts w:cs="Arial"/>
                <w:color w:val="262626"/>
              </w:rPr>
              <w:t>,</w:t>
            </w:r>
            <w:r w:rsidR="00EC595B">
              <w:rPr>
                <w:rFonts w:cs="Arial"/>
                <w:color w:val="262626"/>
              </w:rPr>
              <w:t xml:space="preserve"> than the general population</w:t>
            </w:r>
          </w:p>
          <w:p w14:paraId="7F06872B" w14:textId="77777777" w:rsidR="00EC595B" w:rsidRPr="00EC595B" w:rsidRDefault="00EC595B" w:rsidP="0026732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Based on </w:t>
            </w:r>
            <w:r>
              <w:rPr>
                <w:rFonts w:cs="Arial"/>
                <w:i/>
                <w:color w:val="262626"/>
              </w:rPr>
              <w:t xml:space="preserve">in vivo </w:t>
            </w:r>
            <w:r>
              <w:rPr>
                <w:rFonts w:cs="Arial"/>
                <w:color w:val="262626"/>
              </w:rPr>
              <w:t>no convincing evidence of significant mutagenic potential</w:t>
            </w:r>
          </w:p>
          <w:p w14:paraId="0076C2F1" w14:textId="6D676CC5" w:rsidR="00EC595B" w:rsidRPr="004C23F4" w:rsidRDefault="00EC595B" w:rsidP="0026732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The results from </w:t>
            </w:r>
            <w:r w:rsidRPr="00EC595B">
              <w:rPr>
                <w:rFonts w:cs="Arial"/>
                <w:i/>
                <w:color w:val="262626"/>
              </w:rPr>
              <w:t>in vitro</w:t>
            </w:r>
            <w:r>
              <w:rPr>
                <w:rFonts w:cs="Arial"/>
                <w:color w:val="262626"/>
              </w:rPr>
              <w:t xml:space="preserve"> assays (including the Ames test and </w:t>
            </w:r>
            <w:r w:rsidRPr="00EC595B">
              <w:rPr>
                <w:rFonts w:cs="Arial"/>
                <w:i/>
                <w:color w:val="262626"/>
              </w:rPr>
              <w:t>in vitro</w:t>
            </w:r>
            <w:r>
              <w:rPr>
                <w:rFonts w:cs="Arial"/>
                <w:color w:val="262626"/>
              </w:rPr>
              <w:t xml:space="preserve"> chromosome aberration studies in mammalian cells) suggest the chemical possesses some genotoxic potential </w:t>
            </w:r>
            <w:r w:rsidRPr="0026732C">
              <w:rPr>
                <w:rFonts w:cs="Arial"/>
                <w:i/>
                <w:color w:val="262626"/>
              </w:rPr>
              <w:t>i</w:t>
            </w:r>
            <w:r w:rsidRPr="00EC595B">
              <w:rPr>
                <w:rFonts w:cs="Arial"/>
                <w:i/>
                <w:color w:val="262626"/>
              </w:rPr>
              <w:t>n vitro</w:t>
            </w:r>
            <w:r>
              <w:rPr>
                <w:rFonts w:cs="Arial"/>
                <w:i/>
                <w:color w:val="262626"/>
              </w:rPr>
              <w:t xml:space="preserve">. </w:t>
            </w:r>
            <w:r>
              <w:rPr>
                <w:rFonts w:cs="Arial"/>
                <w:color w:val="262626"/>
              </w:rPr>
              <w:t>Metabolic activation is required for this activity</w:t>
            </w:r>
            <w:r w:rsidR="008616B3">
              <w:rPr>
                <w:rFonts w:cs="Arial"/>
                <w:color w:val="262626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EC595B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DDB3D82" w:rsidR="002E0D61" w:rsidRDefault="00EC595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EC595B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5119FD25" w:rsidR="008A36CF" w:rsidRDefault="00EC595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EC595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3DD19420" w:rsidR="008A36CF" w:rsidRPr="006901A2" w:rsidRDefault="00EC595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C66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C66853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FCD78BC" w:rsidR="00687890" w:rsidRPr="00DD2F9B" w:rsidRDefault="00944F47" w:rsidP="00DD2F9B">
            <w:pPr>
              <w:pStyle w:val="Tablefont"/>
            </w:pPr>
            <w:r w:rsidRPr="00944F47">
              <w:t>—</w:t>
            </w:r>
          </w:p>
        </w:tc>
      </w:tr>
      <w:tr w:rsidR="007925F0" w:rsidRPr="004C23F4" w14:paraId="2A0C13EF" w14:textId="77777777" w:rsidTr="00C66853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1A64DA01" w14:textId="1580A118" w:rsidR="007925F0" w:rsidRPr="00DD2F9B" w:rsidRDefault="00944F47" w:rsidP="00DD2F9B">
            <w:pPr>
              <w:pStyle w:val="Tablefont"/>
            </w:pPr>
            <w:r w:rsidRPr="00944F47">
              <w:t>—</w:t>
            </w:r>
          </w:p>
        </w:tc>
      </w:tr>
      <w:tr w:rsidR="00AF483F" w:rsidRPr="004C23F4" w14:paraId="4C1044B3" w14:textId="77777777" w:rsidTr="00C66853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CB8214C" w:rsidR="00AF483F" w:rsidRPr="00DD2F9B" w:rsidRDefault="00944F47" w:rsidP="00DD2F9B">
            <w:pPr>
              <w:pStyle w:val="Tablefont"/>
            </w:pPr>
            <w:proofErr w:type="spellStart"/>
            <w:r w:rsidRPr="00944F47">
              <w:t>Carc</w:t>
            </w:r>
            <w:proofErr w:type="spellEnd"/>
            <w:r w:rsidRPr="00944F47">
              <w:t>. Cat 3</w:t>
            </w:r>
          </w:p>
        </w:tc>
      </w:tr>
      <w:tr w:rsidR="00687890" w:rsidRPr="004C23F4" w14:paraId="7812F0EC" w14:textId="77777777" w:rsidTr="00C66853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B067AFD" w:rsidR="00687890" w:rsidRPr="00DD2F9B" w:rsidRDefault="00944F4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C66853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DD58C5C" w:rsidR="00E41A26" w:rsidRPr="00DD2F9B" w:rsidRDefault="00944F47" w:rsidP="00DD2F9B">
            <w:pPr>
              <w:pStyle w:val="Tablefont"/>
            </w:pPr>
            <w:r w:rsidRPr="00944F47">
              <w:t>—</w:t>
            </w:r>
          </w:p>
        </w:tc>
      </w:tr>
      <w:tr w:rsidR="002E0D61" w:rsidRPr="004C23F4" w14:paraId="57A490EF" w14:textId="77777777" w:rsidTr="00C66853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A8D5F17" w:rsidR="002E0D61" w:rsidRPr="00DD2F9B" w:rsidRDefault="00944F47" w:rsidP="00DD2F9B">
            <w:pPr>
              <w:pStyle w:val="Tablefont"/>
            </w:pPr>
            <w:r w:rsidRPr="00944F47">
              <w:t>Carcinogenicity – A4</w:t>
            </w:r>
          </w:p>
        </w:tc>
      </w:tr>
      <w:tr w:rsidR="002E0D61" w:rsidRPr="004C23F4" w14:paraId="43FA3590" w14:textId="77777777" w:rsidTr="00C66853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8597FF3" w:rsidR="002E0D61" w:rsidRPr="00DD2F9B" w:rsidRDefault="00944F47" w:rsidP="00DD2F9B">
            <w:pPr>
              <w:pStyle w:val="Tablefont"/>
            </w:pPr>
            <w:r w:rsidRPr="00944F47">
              <w:t>Carcinogenicity – 5</w:t>
            </w:r>
          </w:p>
        </w:tc>
      </w:tr>
      <w:tr w:rsidR="002E0D61" w:rsidRPr="004C23F4" w14:paraId="2AC7B866" w14:textId="77777777" w:rsidTr="00C66853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E30C87E" w:rsidR="002E0D61" w:rsidRPr="00DD2F9B" w:rsidRDefault="00944F4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C66853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35C25EA" w:rsidR="002E0D61" w:rsidRPr="00DD2F9B" w:rsidRDefault="00944F47" w:rsidP="00DD2F9B">
            <w:pPr>
              <w:pStyle w:val="Tablefont"/>
            </w:pPr>
            <w:r w:rsidRPr="00944F47">
              <w:t>—</w:t>
            </w:r>
          </w:p>
        </w:tc>
      </w:tr>
      <w:tr w:rsidR="00386093" w:rsidRPr="004C23F4" w14:paraId="5F6A6A8E" w14:textId="77777777" w:rsidTr="00C66853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4F383E8" w:rsidR="00386093" w:rsidRPr="00DD2F9B" w:rsidRDefault="00944F47" w:rsidP="00DD2F9B">
            <w:pPr>
              <w:pStyle w:val="Tablefont"/>
            </w:pPr>
            <w:r w:rsidRPr="00944F47">
              <w:t>Carcinogenicity – Group 2A</w:t>
            </w:r>
          </w:p>
        </w:tc>
      </w:tr>
      <w:tr w:rsidR="00386093" w:rsidRPr="004C23F4" w14:paraId="7461DB0E" w14:textId="77777777" w:rsidTr="00C66853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69EBE37" w:rsidR="00386093" w:rsidRPr="00DD2F9B" w:rsidRDefault="00944F4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26" w:type="dxa"/>
              <w:tblLook w:val="04A0" w:firstRow="1" w:lastRow="0" w:firstColumn="1" w:lastColumn="0" w:noHBand="0" w:noVBand="1"/>
            </w:tblPr>
            <w:tblGrid>
              <w:gridCol w:w="2799"/>
              <w:gridCol w:w="836"/>
              <w:gridCol w:w="836"/>
              <w:gridCol w:w="4339"/>
            </w:tblGrid>
            <w:tr w:rsidR="00A01904" w:rsidRPr="00A01904" w14:paraId="49459EEC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FABBB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9BEA9E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48664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247FBF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4D15F523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1FE009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27955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559754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9B6F9F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118F66CF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59F96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A80AF8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B99EE4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115FA8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041A2DB1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B860F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52DE11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1E0C3E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866BC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087B8F0D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5BC9F0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EC34C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76FC8C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C35AB4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23B7AD0C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AF851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F50634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FBDD60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684F52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1904" w:rsidRPr="00A01904" w14:paraId="7BA702B5" w14:textId="77777777" w:rsidTr="00A01904">
              <w:trPr>
                <w:trHeight w:val="342"/>
              </w:trPr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450A5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369399" w14:textId="77777777" w:rsidR="00A01904" w:rsidRPr="00A01904" w:rsidRDefault="00A01904" w:rsidP="00A019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C91D44" w14:textId="77777777" w:rsidR="00A01904" w:rsidRPr="00A01904" w:rsidRDefault="00A01904" w:rsidP="00A019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</w:t>
                  </w:r>
                </w:p>
              </w:tc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747485" w14:textId="77777777" w:rsidR="00A01904" w:rsidRPr="00A01904" w:rsidRDefault="00A01904" w:rsidP="00A0190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190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08CED0F" w:rsidR="00EB3D1B" w:rsidRDefault="00944F4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5105FBF" w:rsidR="001B79E5" w:rsidRDefault="00944F47" w:rsidP="001B79E5">
                <w:pPr>
                  <w:pStyle w:val="Tablefont"/>
                </w:pPr>
                <w:r w:rsidRPr="00944F47">
                  <w:t>104.15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5431F7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A03EE">
                  <w:t>4.26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A03EE" w:rsidRPr="003A03EE">
                  <w:t>0.23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3620BF9B" w:rsidR="00E06F40" w:rsidRPr="00A006A0" w:rsidRDefault="00470E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75449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75449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A4FF805" w14:textId="7B5E608D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3A03EE">
        <w:t>2003</w:t>
      </w:r>
      <w:r>
        <w:t xml:space="preserve">) </w:t>
      </w:r>
      <w:r w:rsidR="003A03EE" w:rsidRPr="003A03EE">
        <w:t>Styrene</w:t>
      </w:r>
      <w:r>
        <w:t xml:space="preserve"> – MAK value documentation.</w:t>
      </w:r>
    </w:p>
    <w:p w14:paraId="6C910BAE" w14:textId="77777777" w:rsidR="008616B3" w:rsidRPr="00351FE0" w:rsidRDefault="008616B3" w:rsidP="008616B3">
      <w:r>
        <w:t xml:space="preserve">European Chemicals Agency (ECHA) (2019) </w:t>
      </w:r>
      <w:r w:rsidRPr="003A03EE">
        <w:t>Styrene</w:t>
      </w:r>
      <w:r>
        <w:t xml:space="preserve"> – REACH assessment.</w:t>
      </w:r>
    </w:p>
    <w:p w14:paraId="28EAA9C1" w14:textId="411C0AAB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3A03EE" w:rsidRPr="003A03EE">
        <w:t>2001</w:t>
      </w:r>
      <w:r>
        <w:t xml:space="preserve">) </w:t>
      </w:r>
      <w:r w:rsidR="003A03EE" w:rsidRPr="003A03EE">
        <w:t>Styrene</w:t>
      </w:r>
      <w:r w:rsidRPr="005F7416">
        <w:t xml:space="preserve">. Health-based calculated occupational cancer risk values. The Hague: Health Council of the Netherlands; publication no. </w:t>
      </w:r>
      <w:r w:rsidR="003A03EE" w:rsidRPr="003A03EE">
        <w:t>2001/08OSH</w:t>
      </w:r>
      <w:r>
        <w:t>.</w:t>
      </w:r>
    </w:p>
    <w:p w14:paraId="4D7F094F" w14:textId="4B864B8F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3A03EE" w:rsidRPr="003A03EE">
        <w:t>In prep.</w:t>
      </w:r>
      <w:r>
        <w:t xml:space="preserve">) </w:t>
      </w:r>
      <w:r w:rsidR="003A03EE" w:rsidRPr="003A03EE">
        <w:t>Styrene</w:t>
      </w:r>
      <w:r>
        <w:t>. IARC Monographs on the evaluation of the carcinogenic risk to humans.</w:t>
      </w:r>
    </w:p>
    <w:p w14:paraId="1D94FE62" w14:textId="5E3C5626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3A03EE" w:rsidRPr="003A03EE">
        <w:t>2013</w:t>
      </w:r>
      <w:r>
        <w:t xml:space="preserve">) </w:t>
      </w:r>
      <w:r w:rsidR="003A03EE" w:rsidRPr="003A03EE">
        <w:t>Benzene, ethenyl</w:t>
      </w:r>
      <w:r w:rsidRPr="0071660C">
        <w:t xml:space="preserve">: Human health </w:t>
      </w:r>
      <w:r w:rsidR="003A03EE" w:rsidRPr="003A03EE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7EFB18B" w14:textId="3267C644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3A03EE" w:rsidRPr="003A03EE">
        <w:t>1994</w:t>
      </w:r>
      <w:r>
        <w:t xml:space="preserve">) Immediately dangerous to life or health concentrations – </w:t>
      </w:r>
      <w:r w:rsidR="003A03EE" w:rsidRPr="003A03EE">
        <w:t>Styrene</w:t>
      </w:r>
      <w:r>
        <w:t>.</w:t>
      </w:r>
    </w:p>
    <w:p w14:paraId="33C4B8C7" w14:textId="77777777" w:rsidR="008616B3" w:rsidRPr="00351FE0" w:rsidRDefault="008616B3"/>
    <w:sectPr w:rsidR="008616B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614E4" w14:textId="77777777" w:rsidR="007400A3" w:rsidRDefault="007400A3" w:rsidP="00F43AD5">
      <w:pPr>
        <w:spacing w:after="0" w:line="240" w:lineRule="auto"/>
      </w:pPr>
      <w:r>
        <w:separator/>
      </w:r>
    </w:p>
  </w:endnote>
  <w:endnote w:type="continuationSeparator" w:id="0">
    <w:p w14:paraId="32FFDF6A" w14:textId="77777777" w:rsidR="007400A3" w:rsidRDefault="007400A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C3377F1" w:rsidR="008A36CF" w:rsidRDefault="00E75129" w:rsidP="0034744C">
        <w:pPr>
          <w:pStyle w:val="Footer"/>
          <w:rPr>
            <w:sz w:val="18"/>
            <w:szCs w:val="18"/>
          </w:rPr>
        </w:pPr>
        <w:r w:rsidRPr="00E75129">
          <w:rPr>
            <w:b/>
            <w:sz w:val="18"/>
            <w:szCs w:val="18"/>
          </w:rPr>
          <w:t>Styrene, monomer</w:t>
        </w:r>
        <w:r w:rsidR="008A36CF">
          <w:rPr>
            <w:b/>
            <w:sz w:val="18"/>
            <w:szCs w:val="18"/>
          </w:rPr>
          <w:t xml:space="preserve"> (</w:t>
        </w:r>
        <w:r w:rsidRPr="00E75129">
          <w:rPr>
            <w:b/>
            <w:sz w:val="18"/>
            <w:szCs w:val="18"/>
          </w:rPr>
          <w:t>100-42-5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CA5C2F">
          <w:rPr>
            <w:sz w:val="18"/>
            <w:szCs w:val="18"/>
          </w:rPr>
          <w:t>20</w:t>
        </w:r>
      </w:p>
      <w:p w14:paraId="2D517F5E" w14:textId="17F0E5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D004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32A0B" w14:textId="77777777" w:rsidR="007400A3" w:rsidRDefault="007400A3" w:rsidP="00F43AD5">
      <w:pPr>
        <w:spacing w:after="0" w:line="240" w:lineRule="auto"/>
      </w:pPr>
      <w:r>
        <w:separator/>
      </w:r>
    </w:p>
  </w:footnote>
  <w:footnote w:type="continuationSeparator" w:id="0">
    <w:p w14:paraId="42665DB5" w14:textId="77777777" w:rsidR="007400A3" w:rsidRDefault="007400A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0C484" w14:textId="742760A7" w:rsidR="00C66853" w:rsidRDefault="00C66853" w:rsidP="00C66853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32A8C0" wp14:editId="31CEF80F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84F9FBD" w:rsidR="008A36CF" w:rsidRPr="00C66853" w:rsidRDefault="008A36CF" w:rsidP="00C668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0AB05CC3" w:rsidR="008A36CF" w:rsidRDefault="00C66853" w:rsidP="00C6685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B77661" wp14:editId="0C5F4D8E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1E06A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D4283"/>
    <w:multiLevelType w:val="hybridMultilevel"/>
    <w:tmpl w:val="9EBC388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373391"/>
    <w:multiLevelType w:val="hybridMultilevel"/>
    <w:tmpl w:val="05CEF5F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1729E3"/>
    <w:multiLevelType w:val="hybridMultilevel"/>
    <w:tmpl w:val="4ABED61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557F6F"/>
    <w:multiLevelType w:val="hybridMultilevel"/>
    <w:tmpl w:val="14A0BB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0A7759"/>
    <w:multiLevelType w:val="hybridMultilevel"/>
    <w:tmpl w:val="DB20F68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BE753E"/>
    <w:multiLevelType w:val="hybridMultilevel"/>
    <w:tmpl w:val="3B8CB92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F43AFA"/>
    <w:multiLevelType w:val="hybridMultilevel"/>
    <w:tmpl w:val="7F64A50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A7196C"/>
    <w:multiLevelType w:val="hybridMultilevel"/>
    <w:tmpl w:val="3AD6AC9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4363F79"/>
    <w:multiLevelType w:val="hybridMultilevel"/>
    <w:tmpl w:val="94C0F24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82115D"/>
    <w:multiLevelType w:val="hybridMultilevel"/>
    <w:tmpl w:val="948663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E3A40D7"/>
    <w:multiLevelType w:val="hybridMultilevel"/>
    <w:tmpl w:val="601447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8858620">
    <w:abstractNumId w:val="0"/>
  </w:num>
  <w:num w:numId="2" w16cid:durableId="2041392992">
    <w:abstractNumId w:val="4"/>
  </w:num>
  <w:num w:numId="3" w16cid:durableId="33312590">
    <w:abstractNumId w:val="11"/>
  </w:num>
  <w:num w:numId="4" w16cid:durableId="1006247664">
    <w:abstractNumId w:val="10"/>
  </w:num>
  <w:num w:numId="5" w16cid:durableId="1052266075">
    <w:abstractNumId w:val="6"/>
  </w:num>
  <w:num w:numId="6" w16cid:durableId="1237714142">
    <w:abstractNumId w:val="8"/>
  </w:num>
  <w:num w:numId="7" w16cid:durableId="452870464">
    <w:abstractNumId w:val="1"/>
  </w:num>
  <w:num w:numId="8" w16cid:durableId="2071489529">
    <w:abstractNumId w:val="5"/>
  </w:num>
  <w:num w:numId="9" w16cid:durableId="1877810667">
    <w:abstractNumId w:val="2"/>
  </w:num>
  <w:num w:numId="10" w16cid:durableId="2138375230">
    <w:abstractNumId w:val="9"/>
  </w:num>
  <w:num w:numId="11" w16cid:durableId="1578780165">
    <w:abstractNumId w:val="7"/>
  </w:num>
  <w:num w:numId="12" w16cid:durableId="428160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893"/>
    <w:rsid w:val="00007B80"/>
    <w:rsid w:val="000131E5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29B"/>
    <w:rsid w:val="00056EC2"/>
    <w:rsid w:val="00060B48"/>
    <w:rsid w:val="00067F32"/>
    <w:rsid w:val="00071807"/>
    <w:rsid w:val="000803E1"/>
    <w:rsid w:val="00084513"/>
    <w:rsid w:val="00084859"/>
    <w:rsid w:val="00092D94"/>
    <w:rsid w:val="000A2AD0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E7C29"/>
    <w:rsid w:val="000F299C"/>
    <w:rsid w:val="0010461E"/>
    <w:rsid w:val="00106FAA"/>
    <w:rsid w:val="00113443"/>
    <w:rsid w:val="001269A7"/>
    <w:rsid w:val="00131092"/>
    <w:rsid w:val="00140E6A"/>
    <w:rsid w:val="00142740"/>
    <w:rsid w:val="00146545"/>
    <w:rsid w:val="00146B75"/>
    <w:rsid w:val="0015266D"/>
    <w:rsid w:val="0015288A"/>
    <w:rsid w:val="00155999"/>
    <w:rsid w:val="00160F47"/>
    <w:rsid w:val="00177CA1"/>
    <w:rsid w:val="00181D34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2CB2"/>
    <w:rsid w:val="001F4B6C"/>
    <w:rsid w:val="001F57F5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A34"/>
    <w:rsid w:val="00224EE2"/>
    <w:rsid w:val="00227EC7"/>
    <w:rsid w:val="00244032"/>
    <w:rsid w:val="00244AD1"/>
    <w:rsid w:val="002463BC"/>
    <w:rsid w:val="002465CE"/>
    <w:rsid w:val="0024766F"/>
    <w:rsid w:val="0025734A"/>
    <w:rsid w:val="00263255"/>
    <w:rsid w:val="0026732C"/>
    <w:rsid w:val="00276494"/>
    <w:rsid w:val="00277B0C"/>
    <w:rsid w:val="002B1A2C"/>
    <w:rsid w:val="002C34F2"/>
    <w:rsid w:val="002C58FF"/>
    <w:rsid w:val="002C7AFE"/>
    <w:rsid w:val="002D05D2"/>
    <w:rsid w:val="002E0D61"/>
    <w:rsid w:val="002E19EB"/>
    <w:rsid w:val="002E4C7B"/>
    <w:rsid w:val="0030740C"/>
    <w:rsid w:val="00313836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01D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3EE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522D"/>
    <w:rsid w:val="00460A03"/>
    <w:rsid w:val="00467FEB"/>
    <w:rsid w:val="00470E00"/>
    <w:rsid w:val="00472A11"/>
    <w:rsid w:val="00472AAD"/>
    <w:rsid w:val="0047496D"/>
    <w:rsid w:val="00474E33"/>
    <w:rsid w:val="00476803"/>
    <w:rsid w:val="00481C09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CC8"/>
    <w:rsid w:val="004B7FC4"/>
    <w:rsid w:val="004C1E3F"/>
    <w:rsid w:val="004C23F4"/>
    <w:rsid w:val="004C3475"/>
    <w:rsid w:val="004C58B6"/>
    <w:rsid w:val="004D16A3"/>
    <w:rsid w:val="004D4AA1"/>
    <w:rsid w:val="004D5A63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422F"/>
    <w:rsid w:val="00581055"/>
    <w:rsid w:val="00591E38"/>
    <w:rsid w:val="005A19C5"/>
    <w:rsid w:val="005A3034"/>
    <w:rsid w:val="005A462D"/>
    <w:rsid w:val="005B253B"/>
    <w:rsid w:val="005B754D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1F4"/>
    <w:rsid w:val="00677D9B"/>
    <w:rsid w:val="006867F3"/>
    <w:rsid w:val="00687890"/>
    <w:rsid w:val="006901A2"/>
    <w:rsid w:val="00690368"/>
    <w:rsid w:val="0069079C"/>
    <w:rsid w:val="00690B53"/>
    <w:rsid w:val="00695B72"/>
    <w:rsid w:val="006A35E6"/>
    <w:rsid w:val="006B160A"/>
    <w:rsid w:val="006B4E6C"/>
    <w:rsid w:val="006B50B6"/>
    <w:rsid w:val="006C414D"/>
    <w:rsid w:val="006D79EA"/>
    <w:rsid w:val="006E5D05"/>
    <w:rsid w:val="00701053"/>
    <w:rsid w:val="00701507"/>
    <w:rsid w:val="00711EED"/>
    <w:rsid w:val="00714021"/>
    <w:rsid w:val="00716460"/>
    <w:rsid w:val="00716A0F"/>
    <w:rsid w:val="00717D45"/>
    <w:rsid w:val="007208F7"/>
    <w:rsid w:val="007218AF"/>
    <w:rsid w:val="007365D1"/>
    <w:rsid w:val="007400A3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8AB"/>
    <w:rsid w:val="007C55EA"/>
    <w:rsid w:val="007D0047"/>
    <w:rsid w:val="007D458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771"/>
    <w:rsid w:val="0084508E"/>
    <w:rsid w:val="00857A8A"/>
    <w:rsid w:val="008616B3"/>
    <w:rsid w:val="008630EE"/>
    <w:rsid w:val="00864D13"/>
    <w:rsid w:val="00867803"/>
    <w:rsid w:val="00871CD5"/>
    <w:rsid w:val="008745A2"/>
    <w:rsid w:val="008768A8"/>
    <w:rsid w:val="008806D4"/>
    <w:rsid w:val="0088798F"/>
    <w:rsid w:val="00887E4B"/>
    <w:rsid w:val="008915C8"/>
    <w:rsid w:val="00892324"/>
    <w:rsid w:val="008A36CF"/>
    <w:rsid w:val="008A3BC4"/>
    <w:rsid w:val="008B403C"/>
    <w:rsid w:val="008B7983"/>
    <w:rsid w:val="008C2511"/>
    <w:rsid w:val="008C2EAE"/>
    <w:rsid w:val="008D026D"/>
    <w:rsid w:val="008D23AB"/>
    <w:rsid w:val="008D4B8B"/>
    <w:rsid w:val="008D5A78"/>
    <w:rsid w:val="008E0164"/>
    <w:rsid w:val="008E4F1F"/>
    <w:rsid w:val="008E7B64"/>
    <w:rsid w:val="008F5DCD"/>
    <w:rsid w:val="00900951"/>
    <w:rsid w:val="009118A6"/>
    <w:rsid w:val="00916909"/>
    <w:rsid w:val="00916EB8"/>
    <w:rsid w:val="00916EC0"/>
    <w:rsid w:val="00920467"/>
    <w:rsid w:val="00921DE7"/>
    <w:rsid w:val="0093041A"/>
    <w:rsid w:val="00930714"/>
    <w:rsid w:val="0093163B"/>
    <w:rsid w:val="00931B03"/>
    <w:rsid w:val="009323B9"/>
    <w:rsid w:val="00932DCE"/>
    <w:rsid w:val="0093327E"/>
    <w:rsid w:val="00934028"/>
    <w:rsid w:val="009363D7"/>
    <w:rsid w:val="0093760E"/>
    <w:rsid w:val="00944F47"/>
    <w:rsid w:val="00945D33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34F"/>
    <w:rsid w:val="0099303A"/>
    <w:rsid w:val="009971C2"/>
    <w:rsid w:val="009A1254"/>
    <w:rsid w:val="009B0536"/>
    <w:rsid w:val="009B2FF2"/>
    <w:rsid w:val="009B380C"/>
    <w:rsid w:val="009B4843"/>
    <w:rsid w:val="009B548A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904"/>
    <w:rsid w:val="00A01D0C"/>
    <w:rsid w:val="00A0643F"/>
    <w:rsid w:val="00A067EE"/>
    <w:rsid w:val="00A10FCE"/>
    <w:rsid w:val="00A16D91"/>
    <w:rsid w:val="00A174CC"/>
    <w:rsid w:val="00A2073D"/>
    <w:rsid w:val="00A20751"/>
    <w:rsid w:val="00A27A05"/>
    <w:rsid w:val="00A27E2D"/>
    <w:rsid w:val="00A31D99"/>
    <w:rsid w:val="00A357BA"/>
    <w:rsid w:val="00A35ADC"/>
    <w:rsid w:val="00A366D3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0D47"/>
    <w:rsid w:val="00AE2745"/>
    <w:rsid w:val="00AE2F64"/>
    <w:rsid w:val="00AF42CB"/>
    <w:rsid w:val="00AF483F"/>
    <w:rsid w:val="00AF5E07"/>
    <w:rsid w:val="00AF5F06"/>
    <w:rsid w:val="00B00A25"/>
    <w:rsid w:val="00B10476"/>
    <w:rsid w:val="00B1422A"/>
    <w:rsid w:val="00B16E44"/>
    <w:rsid w:val="00B1765C"/>
    <w:rsid w:val="00B213C4"/>
    <w:rsid w:val="00B40453"/>
    <w:rsid w:val="00B40C60"/>
    <w:rsid w:val="00B479A9"/>
    <w:rsid w:val="00B52EDF"/>
    <w:rsid w:val="00B568D7"/>
    <w:rsid w:val="00B71188"/>
    <w:rsid w:val="00B76A41"/>
    <w:rsid w:val="00B81411"/>
    <w:rsid w:val="00B87D4C"/>
    <w:rsid w:val="00B93646"/>
    <w:rsid w:val="00B93D1F"/>
    <w:rsid w:val="00BA0B38"/>
    <w:rsid w:val="00BA1DBB"/>
    <w:rsid w:val="00BA4510"/>
    <w:rsid w:val="00BA529A"/>
    <w:rsid w:val="00BB5177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6853"/>
    <w:rsid w:val="00C67FFB"/>
    <w:rsid w:val="00C7155E"/>
    <w:rsid w:val="00C71D1E"/>
    <w:rsid w:val="00C71D7D"/>
    <w:rsid w:val="00C74833"/>
    <w:rsid w:val="00C850A0"/>
    <w:rsid w:val="00C85A86"/>
    <w:rsid w:val="00C978F0"/>
    <w:rsid w:val="00CA0DEA"/>
    <w:rsid w:val="00CA4123"/>
    <w:rsid w:val="00CA58FE"/>
    <w:rsid w:val="00CA5C2F"/>
    <w:rsid w:val="00CB1CB1"/>
    <w:rsid w:val="00CB303F"/>
    <w:rsid w:val="00CB6BC1"/>
    <w:rsid w:val="00CB6CB8"/>
    <w:rsid w:val="00CC1A68"/>
    <w:rsid w:val="00CC2123"/>
    <w:rsid w:val="00CD2BFD"/>
    <w:rsid w:val="00CE5AD6"/>
    <w:rsid w:val="00CE617F"/>
    <w:rsid w:val="00CE6CD3"/>
    <w:rsid w:val="00CE78EF"/>
    <w:rsid w:val="00CE7D83"/>
    <w:rsid w:val="00D048F7"/>
    <w:rsid w:val="00D0517E"/>
    <w:rsid w:val="00D140FC"/>
    <w:rsid w:val="00D21D8C"/>
    <w:rsid w:val="00D24CB5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618"/>
    <w:rsid w:val="00D87570"/>
    <w:rsid w:val="00D91CB9"/>
    <w:rsid w:val="00D97989"/>
    <w:rsid w:val="00D97D8D"/>
    <w:rsid w:val="00DA352E"/>
    <w:rsid w:val="00DA7B1F"/>
    <w:rsid w:val="00DB4DC7"/>
    <w:rsid w:val="00DC1FDE"/>
    <w:rsid w:val="00DC7694"/>
    <w:rsid w:val="00DD1BF6"/>
    <w:rsid w:val="00DD2F9B"/>
    <w:rsid w:val="00DE2513"/>
    <w:rsid w:val="00DE26E8"/>
    <w:rsid w:val="00DF2B61"/>
    <w:rsid w:val="00DF375F"/>
    <w:rsid w:val="00DF6F36"/>
    <w:rsid w:val="00E0084C"/>
    <w:rsid w:val="00E00AE8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65D"/>
    <w:rsid w:val="00E62AAC"/>
    <w:rsid w:val="00E67C2F"/>
    <w:rsid w:val="00E67EF5"/>
    <w:rsid w:val="00E75129"/>
    <w:rsid w:val="00E75449"/>
    <w:rsid w:val="00E804EA"/>
    <w:rsid w:val="00E80A71"/>
    <w:rsid w:val="00E82337"/>
    <w:rsid w:val="00E92499"/>
    <w:rsid w:val="00E949AF"/>
    <w:rsid w:val="00E96077"/>
    <w:rsid w:val="00EA0A06"/>
    <w:rsid w:val="00EA6243"/>
    <w:rsid w:val="00EA6F4E"/>
    <w:rsid w:val="00EA74AB"/>
    <w:rsid w:val="00EB3D1B"/>
    <w:rsid w:val="00EC595B"/>
    <w:rsid w:val="00ED1D89"/>
    <w:rsid w:val="00ED57DA"/>
    <w:rsid w:val="00ED66BC"/>
    <w:rsid w:val="00EE5BFE"/>
    <w:rsid w:val="00EF233A"/>
    <w:rsid w:val="00EF303E"/>
    <w:rsid w:val="00EF3A40"/>
    <w:rsid w:val="00EF7F78"/>
    <w:rsid w:val="00F01B08"/>
    <w:rsid w:val="00F01C4D"/>
    <w:rsid w:val="00F0435C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4E2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C55E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1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63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63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63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7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FBF"/>
    <w:rsid w:val="008E0164"/>
    <w:rsid w:val="00A366D3"/>
    <w:rsid w:val="00C56FE0"/>
    <w:rsid w:val="00CA72D3"/>
    <w:rsid w:val="00D21A9F"/>
    <w:rsid w:val="00E7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589EC-CDC3-4E7A-88DC-F74BF1893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dcmitype/"/>
    <ds:schemaRef ds:uri="http://schemas.microsoft.com/office/2006/metadata/properties"/>
    <ds:schemaRef ds:uri="1c567317-0c4d-4a62-8516-c22afd1b5354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0509f21-ed56-4150-9955-96be669e5f2d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B417943-58EF-4D51-86D7-0EEF5518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7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31</cp:revision>
  <cp:lastPrinted>2018-10-22T22:41:00Z</cp:lastPrinted>
  <dcterms:created xsi:type="dcterms:W3CDTF">2019-10-10T23:09:00Z</dcterms:created>
  <dcterms:modified xsi:type="dcterms:W3CDTF">2026-01-09T01:16:00Z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2026-01-07T01:37:33Z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4b7bc3df-8724-4292-a663-d49ddab27df5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