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3175E6BD" w:rsidR="00BD499F" w:rsidRPr="004C23F4" w:rsidRDefault="00FB141D" w:rsidP="00B40C60">
          <w:pPr>
            <w:pStyle w:val="Heading1"/>
            <w:jc w:val="center"/>
            <w:rPr>
              <w:rFonts w:ascii="Arial" w:hAnsi="Arial" w:cs="Arial"/>
            </w:rPr>
          </w:pPr>
          <w:r w:rsidRPr="00FB141D">
            <w:rPr>
              <w:rFonts w:ascii="Arial" w:hAnsi="Arial" w:cs="Arial"/>
            </w:rPr>
            <w:t>Sodium fluoroacetate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5"/>
        <w:gridCol w:w="5041"/>
      </w:tblGrid>
      <w:tr w:rsidR="00F43AD5" w:rsidRPr="004C23F4" w14:paraId="189D6E38" w14:textId="77777777" w:rsidTr="00E32476">
        <w:trPr>
          <w:cantSplit/>
          <w:tblHeader/>
        </w:trPr>
        <w:tc>
          <w:tcPr>
            <w:tcW w:w="3985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1" w:type="dxa"/>
          </w:tcPr>
          <w:p w14:paraId="3EDBFD9E" w14:textId="7C63244C" w:rsidR="00F43AD5" w:rsidRPr="00717D45" w:rsidRDefault="00CF08B5" w:rsidP="00B76A41">
            <w:pPr>
              <w:pStyle w:val="Tablefont"/>
            </w:pPr>
            <w:r w:rsidRPr="00CF08B5">
              <w:t>62-74-8</w:t>
            </w:r>
          </w:p>
        </w:tc>
      </w:tr>
      <w:tr w:rsidR="00F43AD5" w:rsidRPr="004C23F4" w14:paraId="562A9F51" w14:textId="77777777" w:rsidTr="00E32476">
        <w:trPr>
          <w:cantSplit/>
        </w:trPr>
        <w:tc>
          <w:tcPr>
            <w:tcW w:w="3985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1" w:type="dxa"/>
          </w:tcPr>
          <w:p w14:paraId="32648AB9" w14:textId="5A22E502" w:rsidR="00F43AD5" w:rsidRPr="00717D45" w:rsidRDefault="00CF08B5" w:rsidP="00B76A41">
            <w:pPr>
              <w:pStyle w:val="Tablefont"/>
            </w:pPr>
            <w:r>
              <w:t xml:space="preserve">1018, </w:t>
            </w:r>
            <w:proofErr w:type="spellStart"/>
            <w:r>
              <w:t>Fluoroacetic</w:t>
            </w:r>
            <w:proofErr w:type="spellEnd"/>
            <w:r>
              <w:t xml:space="preserve"> acid sodium salt, </w:t>
            </w:r>
            <w:proofErr w:type="spellStart"/>
            <w:r>
              <w:t>fratol</w:t>
            </w:r>
            <w:proofErr w:type="spellEnd"/>
            <w:r>
              <w:t xml:space="preserve">, </w:t>
            </w:r>
            <w:proofErr w:type="spellStart"/>
            <w:r>
              <w:t>furatol</w:t>
            </w:r>
            <w:proofErr w:type="spellEnd"/>
            <w:r>
              <w:t xml:space="preserve">, compound 1080, </w:t>
            </w:r>
            <w:proofErr w:type="spellStart"/>
            <w:r>
              <w:t>ratbane</w:t>
            </w:r>
            <w:proofErr w:type="spellEnd"/>
            <w:r>
              <w:t xml:space="preserve"> 1080, </w:t>
            </w:r>
            <w:r w:rsidR="00E32476">
              <w:br/>
            </w:r>
            <w:r>
              <w:t xml:space="preserve">sodium </w:t>
            </w:r>
            <w:proofErr w:type="spellStart"/>
            <w:r>
              <w:t>fluoroacetic</w:t>
            </w:r>
            <w:proofErr w:type="spellEnd"/>
            <w:r>
              <w:t xml:space="preserve"> acid, 1080</w:t>
            </w:r>
          </w:p>
        </w:tc>
      </w:tr>
      <w:tr w:rsidR="00F43AD5" w:rsidRPr="004C23F4" w14:paraId="6EE54A08" w14:textId="77777777" w:rsidTr="00E32476">
        <w:trPr>
          <w:cantSplit/>
        </w:trPr>
        <w:tc>
          <w:tcPr>
            <w:tcW w:w="3985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1" w:type="dxa"/>
          </w:tcPr>
          <w:p w14:paraId="69369B00" w14:textId="0A30C87B" w:rsidR="00F43AD5" w:rsidRPr="00717D45" w:rsidRDefault="00CF08B5" w:rsidP="00B76A41">
            <w:pPr>
              <w:pStyle w:val="Tablefont"/>
            </w:pPr>
            <w:r>
              <w:t>CH</w:t>
            </w:r>
            <w:r w:rsidRPr="00CF08B5">
              <w:rPr>
                <w:vertAlign w:val="subscript"/>
              </w:rPr>
              <w:t>2</w:t>
            </w:r>
            <w:r>
              <w:t>FCOONa</w:t>
            </w:r>
          </w:p>
        </w:tc>
      </w:tr>
    </w:tbl>
    <w:p w14:paraId="71D72173" w14:textId="2F2AB220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437FCE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2FE9ED5E" w:rsidR="002C7AFE" w:rsidRPr="00D40637" w:rsidRDefault="00D40637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0.05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570845DA" w:rsidR="00037E52" w:rsidRPr="00EB3D1B" w:rsidRDefault="00CA458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0306BA2C" w:rsidR="00037E52" w:rsidRPr="00EB3D1B" w:rsidRDefault="00CF08B5" w:rsidP="00037E52">
            <w:pPr>
              <w:pStyle w:val="Tablefont"/>
              <w:rPr>
                <w:b/>
              </w:rPr>
            </w:pPr>
            <w:r w:rsidRPr="00CF08B5">
              <w:rPr>
                <w:b/>
              </w:rPr>
              <w:t>2.5 mg/m</w:t>
            </w:r>
            <w:r w:rsidRPr="00CF08B5">
              <w:rPr>
                <w:b/>
                <w:vertAlign w:val="superscript"/>
              </w:rPr>
              <w:t>3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76473C3D" w:rsidR="00155999" w:rsidRPr="00EB3D1B" w:rsidRDefault="00155999" w:rsidP="00037E52">
            <w:pPr>
              <w:pStyle w:val="Tablefont"/>
              <w:rPr>
                <w:b/>
              </w:rPr>
            </w:pPr>
            <w:r w:rsidRPr="00E32476">
              <w:rPr>
                <w:b/>
              </w:rPr>
              <w:t>Sampling and analysis</w:t>
            </w:r>
            <w:r>
              <w:t>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D40637" w:rsidRPr="00E32476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1944496" w14:textId="3563B2A7" w:rsidR="00D40637" w:rsidRPr="00D40637" w:rsidRDefault="00D40637" w:rsidP="00D40637">
      <w:pPr>
        <w:rPr>
          <w:rFonts w:cs="Arial"/>
        </w:rPr>
      </w:pPr>
      <w:r w:rsidRPr="00D40637">
        <w:rPr>
          <w:rFonts w:cs="Arial"/>
        </w:rPr>
        <w:t xml:space="preserve">A TWA of </w:t>
      </w:r>
      <w:r>
        <w:rPr>
          <w:rFonts w:cs="Arial"/>
        </w:rPr>
        <w:t>0.05</w:t>
      </w:r>
      <w:r w:rsidRPr="00D40637">
        <w:rPr>
          <w:rFonts w:cs="Arial"/>
        </w:rPr>
        <w:t xml:space="preserve"> mg/m</w:t>
      </w:r>
      <w:r w:rsidRPr="00D40637">
        <w:rPr>
          <w:rFonts w:cs="Arial"/>
          <w:vertAlign w:val="superscript"/>
        </w:rPr>
        <w:t>3</w:t>
      </w:r>
      <w:r w:rsidRPr="00D40637">
        <w:rPr>
          <w:rFonts w:cs="Arial"/>
        </w:rPr>
        <w:t xml:space="preserve"> is recommended to protect for </w:t>
      </w:r>
      <w:r>
        <w:rPr>
          <w:rFonts w:cs="Arial"/>
        </w:rPr>
        <w:t>adverse central nervous system (CNS) and cardiovascular effects</w:t>
      </w:r>
      <w:r w:rsidRPr="00D40637">
        <w:rPr>
          <w:rFonts w:cs="Arial"/>
        </w:rPr>
        <w:t xml:space="preserve"> </w:t>
      </w:r>
      <w:r>
        <w:rPr>
          <w:rFonts w:cs="Arial"/>
        </w:rPr>
        <w:t>i</w:t>
      </w:r>
      <w:r w:rsidRPr="00D40637">
        <w:rPr>
          <w:rFonts w:cs="Arial"/>
        </w:rPr>
        <w:t xml:space="preserve">n exposed workers. 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9234365" w14:textId="77777777" w:rsidR="00E32476" w:rsidRDefault="00491257" w:rsidP="006639B4">
      <w:pPr>
        <w:rPr>
          <w:rFonts w:cs="Arial"/>
        </w:rPr>
      </w:pPr>
      <w:r>
        <w:rPr>
          <w:rFonts w:cs="Arial"/>
        </w:rPr>
        <w:t xml:space="preserve">Sodium fluoroacetate is </w:t>
      </w:r>
      <w:r w:rsidR="006F6BAE">
        <w:rPr>
          <w:rFonts w:cs="Arial"/>
        </w:rPr>
        <w:t xml:space="preserve">used as a pesticide for rodent and predator control. </w:t>
      </w:r>
    </w:p>
    <w:p w14:paraId="53F05758" w14:textId="77777777" w:rsidR="005F1ACE" w:rsidRDefault="006F6BAE" w:rsidP="006639B4">
      <w:pPr>
        <w:rPr>
          <w:rFonts w:cs="Arial"/>
        </w:rPr>
      </w:pPr>
      <w:r>
        <w:rPr>
          <w:rFonts w:cs="Arial"/>
        </w:rPr>
        <w:t xml:space="preserve">Critical effects </w:t>
      </w:r>
      <w:r w:rsidR="00835E21">
        <w:rPr>
          <w:rFonts w:cs="Arial"/>
        </w:rPr>
        <w:t xml:space="preserve">of exposure </w:t>
      </w:r>
      <w:r>
        <w:rPr>
          <w:rFonts w:cs="Arial"/>
        </w:rPr>
        <w:t xml:space="preserve">are progressive </w:t>
      </w:r>
      <w:r w:rsidR="00D40637">
        <w:rPr>
          <w:rFonts w:cs="Arial"/>
        </w:rPr>
        <w:t>CNS</w:t>
      </w:r>
      <w:r>
        <w:rPr>
          <w:rFonts w:cs="Arial"/>
        </w:rPr>
        <w:t xml:space="preserve"> and cardiovascular disturbances caused by the inhibition of cellular respiration.</w:t>
      </w:r>
      <w:r w:rsidR="00E32476">
        <w:rPr>
          <w:rFonts w:cs="Arial"/>
        </w:rPr>
        <w:t xml:space="preserve"> </w:t>
      </w:r>
    </w:p>
    <w:p w14:paraId="09CF72E7" w14:textId="5B497076" w:rsidR="006F6BAE" w:rsidRDefault="006F6BAE" w:rsidP="006639B4">
      <w:pPr>
        <w:rPr>
          <w:rFonts w:cs="Arial"/>
        </w:rPr>
      </w:pPr>
      <w:r>
        <w:rPr>
          <w:rFonts w:cs="Arial"/>
        </w:rPr>
        <w:t>Quantitative exposure data are limited to acute and repeat oral dose studies in animals</w:t>
      </w:r>
      <w:r w:rsidR="009F22DB">
        <w:rPr>
          <w:rFonts w:cs="Arial"/>
        </w:rPr>
        <w:t>. Cases of poisonings in humans describe</w:t>
      </w:r>
      <w:r w:rsidR="005F1ACE">
        <w:rPr>
          <w:rFonts w:cs="Arial"/>
        </w:rPr>
        <w:t>d as</w:t>
      </w:r>
      <w:r w:rsidR="009F22DB">
        <w:rPr>
          <w:rFonts w:cs="Arial"/>
        </w:rPr>
        <w:t xml:space="preserve"> progressive cardiac failure and CNS depression causing nausea, convulsions and increased blood pressure and heart rate</w:t>
      </w:r>
      <w:r w:rsidR="00057D5D">
        <w:rPr>
          <w:rFonts w:cs="Arial"/>
        </w:rPr>
        <w:t xml:space="preserve"> (ACGIH, 2018; DFG, 2007)</w:t>
      </w:r>
      <w:r w:rsidR="009F22DB">
        <w:rPr>
          <w:rFonts w:cs="Arial"/>
        </w:rPr>
        <w:t>. Adverse</w:t>
      </w:r>
      <w:r w:rsidR="00E32476">
        <w:rPr>
          <w:rFonts w:cs="Arial"/>
        </w:rPr>
        <w:t xml:space="preserve"> and</w:t>
      </w:r>
      <w:r w:rsidR="00103F0D">
        <w:rPr>
          <w:rFonts w:cs="Arial"/>
        </w:rPr>
        <w:t xml:space="preserve"> reversible</w:t>
      </w:r>
      <w:r w:rsidR="009F22DB">
        <w:rPr>
          <w:rFonts w:cs="Arial"/>
        </w:rPr>
        <w:t xml:space="preserve"> morphological changes to </w:t>
      </w:r>
      <w:r w:rsidR="00103F0D">
        <w:rPr>
          <w:rFonts w:cs="Arial"/>
        </w:rPr>
        <w:t xml:space="preserve">the </w:t>
      </w:r>
      <w:r w:rsidR="009F22DB">
        <w:rPr>
          <w:rFonts w:cs="Arial"/>
        </w:rPr>
        <w:t xml:space="preserve">testes </w:t>
      </w:r>
      <w:r w:rsidR="005F1ACE">
        <w:rPr>
          <w:rFonts w:cs="Arial"/>
        </w:rPr>
        <w:t xml:space="preserve">occur </w:t>
      </w:r>
      <w:r w:rsidR="009F22DB">
        <w:rPr>
          <w:rFonts w:cs="Arial"/>
        </w:rPr>
        <w:t>consistently as the most sensitive endpoint in sub</w:t>
      </w:r>
      <w:r w:rsidR="00E11EE1">
        <w:rPr>
          <w:rFonts w:cs="Arial"/>
        </w:rPr>
        <w:t>-</w:t>
      </w:r>
      <w:r w:rsidR="009F22DB">
        <w:rPr>
          <w:rFonts w:cs="Arial"/>
        </w:rPr>
        <w:t>chronic oral dose studies</w:t>
      </w:r>
      <w:r w:rsidR="00E32476">
        <w:rPr>
          <w:rFonts w:cs="Arial"/>
        </w:rPr>
        <w:t>,</w:t>
      </w:r>
      <w:r w:rsidR="009F22DB">
        <w:rPr>
          <w:rFonts w:cs="Arial"/>
        </w:rPr>
        <w:t xml:space="preserve"> </w:t>
      </w:r>
      <w:r w:rsidR="00103F0D">
        <w:rPr>
          <w:rFonts w:cs="Arial"/>
        </w:rPr>
        <w:t>with</w:t>
      </w:r>
      <w:r w:rsidR="009F22DB">
        <w:rPr>
          <w:rFonts w:cs="Arial"/>
        </w:rPr>
        <w:t xml:space="preserve"> NOAEL between 0.05 and 0.075 mg/kg</w:t>
      </w:r>
      <w:r w:rsidR="00E32476">
        <w:rPr>
          <w:rFonts w:cs="Arial"/>
        </w:rPr>
        <w:t>/day</w:t>
      </w:r>
      <w:r w:rsidR="00103F0D">
        <w:rPr>
          <w:rFonts w:cs="Arial"/>
        </w:rPr>
        <w:t xml:space="preserve"> and corresponding LOAEL above 0.2 mg/kg</w:t>
      </w:r>
      <w:r w:rsidR="00E32476">
        <w:rPr>
          <w:rFonts w:cs="Arial"/>
        </w:rPr>
        <w:t>/day</w:t>
      </w:r>
      <w:r w:rsidR="00103F0D">
        <w:rPr>
          <w:rFonts w:cs="Arial"/>
        </w:rPr>
        <w:t xml:space="preserve"> in rats</w:t>
      </w:r>
      <w:r w:rsidR="00057D5D">
        <w:rPr>
          <w:rFonts w:cs="Arial"/>
        </w:rPr>
        <w:t xml:space="preserve"> (DFG, 2007; US EPA 1991)</w:t>
      </w:r>
      <w:r w:rsidR="009F22DB">
        <w:rPr>
          <w:rFonts w:cs="Arial"/>
        </w:rPr>
        <w:t>.</w:t>
      </w:r>
      <w:r w:rsidR="00103F0D">
        <w:rPr>
          <w:rFonts w:cs="Arial"/>
        </w:rPr>
        <w:t xml:space="preserve"> However, a</w:t>
      </w:r>
      <w:r w:rsidR="009F22DB">
        <w:rPr>
          <w:rFonts w:cs="Arial"/>
        </w:rPr>
        <w:t xml:space="preserve"> LOAEL of 0.0</w:t>
      </w:r>
      <w:r w:rsidR="00057D5D">
        <w:rPr>
          <w:rFonts w:cs="Arial"/>
        </w:rPr>
        <w:t>7 </w:t>
      </w:r>
      <w:r w:rsidR="00103F0D">
        <w:rPr>
          <w:rFonts w:cs="Arial"/>
        </w:rPr>
        <w:t>mg/kg</w:t>
      </w:r>
      <w:r w:rsidR="002C21B8">
        <w:rPr>
          <w:rFonts w:cs="Arial"/>
        </w:rPr>
        <w:t>/day</w:t>
      </w:r>
      <w:r w:rsidR="00103F0D">
        <w:rPr>
          <w:rFonts w:cs="Arial"/>
        </w:rPr>
        <w:t xml:space="preserve"> </w:t>
      </w:r>
      <w:r w:rsidR="00DB02C5">
        <w:rPr>
          <w:rFonts w:cs="Arial"/>
        </w:rPr>
        <w:t xml:space="preserve">(lowest dose used) </w:t>
      </w:r>
      <w:r w:rsidR="00F76157">
        <w:rPr>
          <w:rFonts w:cs="Arial"/>
        </w:rPr>
        <w:t xml:space="preserve">for </w:t>
      </w:r>
      <w:r w:rsidR="00F76157" w:rsidRPr="00F76157">
        <w:rPr>
          <w:rFonts w:cs="Arial"/>
        </w:rPr>
        <w:t xml:space="preserve">reversible </w:t>
      </w:r>
      <w:r w:rsidR="00F76157">
        <w:rPr>
          <w:rFonts w:cs="Arial"/>
        </w:rPr>
        <w:t>changes</w:t>
      </w:r>
      <w:r w:rsidR="00F76157" w:rsidRPr="00F76157">
        <w:rPr>
          <w:rFonts w:cs="Arial"/>
        </w:rPr>
        <w:t xml:space="preserve"> in testes </w:t>
      </w:r>
      <w:r w:rsidR="00103F0D">
        <w:rPr>
          <w:rFonts w:cs="Arial"/>
        </w:rPr>
        <w:t xml:space="preserve">is </w:t>
      </w:r>
      <w:r w:rsidR="00F76157">
        <w:rPr>
          <w:rFonts w:cs="Arial"/>
        </w:rPr>
        <w:t xml:space="preserve">also </w:t>
      </w:r>
      <w:r w:rsidR="00103F0D">
        <w:rPr>
          <w:rFonts w:cs="Arial"/>
        </w:rPr>
        <w:t xml:space="preserve">reported in a drinking water study </w:t>
      </w:r>
      <w:r w:rsidR="00DB02C5">
        <w:rPr>
          <w:rFonts w:cs="Arial"/>
        </w:rPr>
        <w:t xml:space="preserve">of </w:t>
      </w:r>
      <w:r w:rsidR="00823A68">
        <w:rPr>
          <w:rFonts w:cs="Arial"/>
        </w:rPr>
        <w:t xml:space="preserve">seven </w:t>
      </w:r>
      <w:r w:rsidR="00DB02C5">
        <w:rPr>
          <w:rFonts w:cs="Arial"/>
        </w:rPr>
        <w:t>days duration</w:t>
      </w:r>
      <w:r w:rsidR="00103F0D">
        <w:rPr>
          <w:rFonts w:cs="Arial"/>
        </w:rPr>
        <w:t xml:space="preserve"> </w:t>
      </w:r>
      <w:r w:rsidR="00F76157">
        <w:rPr>
          <w:rFonts w:cs="Arial"/>
        </w:rPr>
        <w:t xml:space="preserve">in rats </w:t>
      </w:r>
      <w:r w:rsidR="00057D5D">
        <w:rPr>
          <w:rFonts w:cs="Arial"/>
        </w:rPr>
        <w:t>(DFG, 2007)</w:t>
      </w:r>
      <w:r w:rsidR="00103F0D">
        <w:rPr>
          <w:rFonts w:cs="Arial"/>
        </w:rPr>
        <w:t>.</w:t>
      </w:r>
    </w:p>
    <w:p w14:paraId="4961CEF9" w14:textId="02C7C63B" w:rsidR="00E32476" w:rsidRDefault="00103F0D" w:rsidP="006639B4">
      <w:pPr>
        <w:rPr>
          <w:rFonts w:cs="Arial"/>
        </w:rPr>
      </w:pPr>
      <w:r>
        <w:rPr>
          <w:rFonts w:cs="Arial"/>
        </w:rPr>
        <w:t>The TWA of 0.05 mg/m</w:t>
      </w:r>
      <w:r>
        <w:rPr>
          <w:rFonts w:cs="Arial"/>
          <w:vertAlign w:val="superscript"/>
        </w:rPr>
        <w:t>3</w:t>
      </w:r>
      <w:r w:rsidR="00DB02C5">
        <w:rPr>
          <w:rFonts w:cs="Arial"/>
        </w:rPr>
        <w:t xml:space="preserve"> </w:t>
      </w:r>
      <w:r w:rsidR="00ED7337">
        <w:rPr>
          <w:rFonts w:cs="Arial"/>
        </w:rPr>
        <w:t xml:space="preserve">is recommended </w:t>
      </w:r>
      <w:r w:rsidR="00E11EE1">
        <w:rPr>
          <w:rFonts w:cs="Arial"/>
        </w:rPr>
        <w:t xml:space="preserve">to </w:t>
      </w:r>
      <w:r w:rsidR="00ED7337">
        <w:rPr>
          <w:rFonts w:cs="Arial"/>
        </w:rPr>
        <w:t>be retained. This TWA i</w:t>
      </w:r>
      <w:r>
        <w:rPr>
          <w:rFonts w:cs="Arial"/>
        </w:rPr>
        <w:t xml:space="preserve">s </w:t>
      </w:r>
      <w:r w:rsidR="00ED7337">
        <w:rPr>
          <w:rFonts w:cs="Arial"/>
        </w:rPr>
        <w:t xml:space="preserve">the same as the </w:t>
      </w:r>
      <w:r w:rsidR="00E11EE1">
        <w:rPr>
          <w:rFonts w:cs="Arial"/>
        </w:rPr>
        <w:t>o</w:t>
      </w:r>
      <w:r w:rsidR="00ED7337">
        <w:rPr>
          <w:rFonts w:cs="Arial"/>
        </w:rPr>
        <w:t xml:space="preserve">ccupational </w:t>
      </w:r>
      <w:r w:rsidR="00E11EE1">
        <w:rPr>
          <w:rFonts w:cs="Arial"/>
        </w:rPr>
        <w:t>e</w:t>
      </w:r>
      <w:r w:rsidR="00ED7337">
        <w:rPr>
          <w:rFonts w:cs="Arial"/>
        </w:rPr>
        <w:t xml:space="preserve">xposure </w:t>
      </w:r>
      <w:r w:rsidR="00E11EE1">
        <w:rPr>
          <w:rFonts w:cs="Arial"/>
        </w:rPr>
        <w:t>l</w:t>
      </w:r>
      <w:r w:rsidR="00ED7337">
        <w:rPr>
          <w:rFonts w:cs="Arial"/>
        </w:rPr>
        <w:t>evel derived by ACGIH (2018) and DFG (20</w:t>
      </w:r>
      <w:r w:rsidR="00DB02C5">
        <w:rPr>
          <w:rFonts w:cs="Arial"/>
        </w:rPr>
        <w:t>0</w:t>
      </w:r>
      <w:r w:rsidR="00ED7337">
        <w:rPr>
          <w:rFonts w:cs="Arial"/>
        </w:rPr>
        <w:t>7)</w:t>
      </w:r>
      <w:r w:rsidR="00DB02C5">
        <w:rPr>
          <w:rFonts w:cs="Arial"/>
        </w:rPr>
        <w:t xml:space="preserve">, </w:t>
      </w:r>
      <w:r w:rsidR="00E11EE1">
        <w:rPr>
          <w:rFonts w:cs="Arial"/>
        </w:rPr>
        <w:t>although</w:t>
      </w:r>
      <w:r w:rsidR="00DB02C5">
        <w:rPr>
          <w:rFonts w:cs="Arial"/>
        </w:rPr>
        <w:t xml:space="preserve"> the latter was based on a seven</w:t>
      </w:r>
      <w:r w:rsidR="00823A68">
        <w:rPr>
          <w:rFonts w:cs="Arial"/>
        </w:rPr>
        <w:t>-</w:t>
      </w:r>
      <w:r w:rsidR="00DB02C5">
        <w:rPr>
          <w:rFonts w:cs="Arial"/>
        </w:rPr>
        <w:t xml:space="preserve"> day study in rats</w:t>
      </w:r>
      <w:r>
        <w:rPr>
          <w:rFonts w:cs="Arial"/>
        </w:rPr>
        <w:t>.</w:t>
      </w:r>
      <w:r w:rsidR="00980A32">
        <w:rPr>
          <w:rFonts w:cs="Arial"/>
        </w:rPr>
        <w:t xml:space="preserve"> </w:t>
      </w:r>
      <w:r w:rsidR="00437FCE">
        <w:rPr>
          <w:rFonts w:cs="Arial"/>
        </w:rPr>
        <w:t>The recommended TWA is considered sufficiently low to protect for CNS and cardiovascular effects in exposed workers.</w:t>
      </w:r>
    </w:p>
    <w:p w14:paraId="440C3397" w14:textId="559E0528" w:rsidR="00103F0D" w:rsidRPr="00980A32" w:rsidRDefault="005E328B" w:rsidP="006639B4">
      <w:pPr>
        <w:rPr>
          <w:rFonts w:cs="Arial"/>
        </w:rPr>
      </w:pPr>
      <w:r>
        <w:rPr>
          <w:rFonts w:cs="Arial"/>
        </w:rPr>
        <w:t xml:space="preserve">There is </w:t>
      </w:r>
      <w:r w:rsidR="00980A32">
        <w:rPr>
          <w:rFonts w:cs="Arial"/>
        </w:rPr>
        <w:t xml:space="preserve">insufficient </w:t>
      </w:r>
      <w:r>
        <w:rPr>
          <w:rFonts w:cs="Arial"/>
        </w:rPr>
        <w:t xml:space="preserve">data </w:t>
      </w:r>
      <w:r w:rsidR="00980A32">
        <w:rPr>
          <w:rFonts w:cs="Arial"/>
        </w:rPr>
        <w:t xml:space="preserve">to </w:t>
      </w:r>
      <w:r w:rsidR="00633959">
        <w:rPr>
          <w:rFonts w:cs="Arial"/>
        </w:rPr>
        <w:t xml:space="preserve">recommend </w:t>
      </w:r>
      <w:r w:rsidR="00980A32">
        <w:rPr>
          <w:rFonts w:cs="Arial"/>
        </w:rPr>
        <w:t>a STEL</w:t>
      </w:r>
      <w:r>
        <w:rPr>
          <w:rFonts w:cs="Arial"/>
        </w:rPr>
        <w:t>.</w:t>
      </w:r>
      <w:r w:rsidR="00980A32">
        <w:rPr>
          <w:rFonts w:cs="Arial"/>
        </w:rPr>
        <w:t xml:space="preserve"> </w:t>
      </w:r>
      <w:r>
        <w:rPr>
          <w:rFonts w:cs="Arial"/>
        </w:rPr>
        <w:t>T</w:t>
      </w:r>
      <w:r w:rsidR="00980A32">
        <w:rPr>
          <w:rFonts w:cs="Arial"/>
        </w:rPr>
        <w:t xml:space="preserve">he previous </w:t>
      </w:r>
      <w:r>
        <w:rPr>
          <w:rFonts w:cs="Arial"/>
        </w:rPr>
        <w:t xml:space="preserve">STEL </w:t>
      </w:r>
      <w:r w:rsidR="00980A32">
        <w:rPr>
          <w:rFonts w:cs="Arial"/>
        </w:rPr>
        <w:t>of 0.15 mg/m</w:t>
      </w:r>
      <w:r w:rsidR="00980A32">
        <w:rPr>
          <w:rFonts w:cs="Arial"/>
          <w:vertAlign w:val="superscript"/>
        </w:rPr>
        <w:t>3</w:t>
      </w:r>
      <w:r w:rsidR="00980A32">
        <w:rPr>
          <w:rFonts w:cs="Arial"/>
        </w:rPr>
        <w:t xml:space="preserve"> is </w:t>
      </w:r>
      <w:r w:rsidR="00437FCE">
        <w:rPr>
          <w:rFonts w:cs="Arial"/>
        </w:rPr>
        <w:t xml:space="preserve">recommended to be </w:t>
      </w:r>
      <w:r w:rsidR="00980A32">
        <w:rPr>
          <w:rFonts w:cs="Arial"/>
        </w:rPr>
        <w:t>withdrawn</w:t>
      </w:r>
      <w:r w:rsidR="00D40637">
        <w:rPr>
          <w:rFonts w:cs="Arial"/>
        </w:rPr>
        <w:t>.</w:t>
      </w:r>
      <w:r w:rsidR="00437FCE" w:rsidRPr="00437FCE">
        <w:rPr>
          <w:rFonts w:cs="Arial"/>
        </w:rPr>
        <w:t xml:space="preserve"> </w:t>
      </w:r>
    </w:p>
    <w:p w14:paraId="273B44AD" w14:textId="77777777" w:rsidR="004529F0" w:rsidRPr="004C23F4" w:rsidRDefault="004529F0" w:rsidP="00E11EE1">
      <w:pPr>
        <w:pStyle w:val="Heading2"/>
        <w:pageBreakBefore/>
      </w:pPr>
      <w:r>
        <w:lastRenderedPageBreak/>
        <w:t>Recommendation for notations</w:t>
      </w:r>
    </w:p>
    <w:p w14:paraId="27C6755E" w14:textId="77777777" w:rsidR="008E4F1F" w:rsidRPr="00D40637" w:rsidRDefault="008E4F1F" w:rsidP="008E4F1F">
      <w:pPr>
        <w:rPr>
          <w:rFonts w:cs="Arial"/>
        </w:rPr>
      </w:pPr>
      <w:r w:rsidRPr="00D40637">
        <w:rPr>
          <w:rFonts w:cs="Arial"/>
        </w:rPr>
        <w:t>Not classified as a carcinogen according to the Globally Harmonized System of</w:t>
      </w:r>
      <w:r w:rsidR="00155999" w:rsidRPr="00D40637">
        <w:rPr>
          <w:rFonts w:cs="Arial"/>
        </w:rPr>
        <w:t xml:space="preserve"> Classification and Labelling of</w:t>
      </w:r>
      <w:r w:rsidRPr="00D40637">
        <w:rPr>
          <w:rFonts w:cs="Arial"/>
        </w:rPr>
        <w:t xml:space="preserve"> Chemicals (GHS). </w:t>
      </w:r>
    </w:p>
    <w:p w14:paraId="03916CCC" w14:textId="77777777" w:rsidR="008E4F1F" w:rsidRPr="00D40637" w:rsidRDefault="008E4F1F" w:rsidP="008E4F1F">
      <w:pPr>
        <w:rPr>
          <w:rFonts w:cs="Arial"/>
        </w:rPr>
      </w:pPr>
      <w:r w:rsidRPr="00D40637">
        <w:rPr>
          <w:rFonts w:cs="Arial"/>
        </w:rPr>
        <w:t xml:space="preserve">Not classified as a skin </w:t>
      </w:r>
      <w:r w:rsidR="00155999" w:rsidRPr="00D40637">
        <w:rPr>
          <w:rFonts w:cs="Arial"/>
        </w:rPr>
        <w:t xml:space="preserve">sensitiser </w:t>
      </w:r>
      <w:r w:rsidRPr="00D40637">
        <w:rPr>
          <w:rFonts w:cs="Arial"/>
        </w:rPr>
        <w:t>or respiratory sensitiser according to the GHS.</w:t>
      </w:r>
    </w:p>
    <w:p w14:paraId="21CCE2A5" w14:textId="5FC5504C" w:rsidR="0025734A" w:rsidRPr="00D40637" w:rsidRDefault="00D40637">
      <w:pPr>
        <w:rPr>
          <w:rFonts w:cs="Arial"/>
        </w:rPr>
      </w:pPr>
      <w:r w:rsidRPr="00D40637">
        <w:rPr>
          <w:rFonts w:cs="Arial"/>
        </w:rPr>
        <w:t>A skin notation is recommended due to evidence of dermal absorption and contribution to adverse systemic effects.</w:t>
      </w: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28026D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lastRenderedPageBreak/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28026D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1C607BAB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CF08B5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CF08B5">
                  <w:t>TWA: 0.05 mg/m</w:t>
                </w:r>
                <w:r w:rsidR="00CF08B5" w:rsidRPr="00CF08B5">
                  <w:rPr>
                    <w:vertAlign w:val="superscript"/>
                  </w:rPr>
                  <w:t>3</w:t>
                </w:r>
                <w:r w:rsidR="00CF08B5">
                  <w:t>; STEL: 0.15 mg/m</w:t>
                </w:r>
                <w:r w:rsidR="00CF08B5" w:rsidRPr="00CF08B5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6087DDB" w14:textId="77777777" w:rsidTr="0028026D">
        <w:trPr>
          <w:gridAfter w:val="1"/>
          <w:wAfter w:w="8" w:type="pct"/>
          <w:cantSplit/>
        </w:trPr>
        <w:tc>
          <w:tcPr>
            <w:tcW w:w="4992" w:type="pct"/>
          </w:tcPr>
          <w:p w14:paraId="0BCE491C" w14:textId="77777777" w:rsidR="00C978F0" w:rsidRDefault="00C978F0" w:rsidP="003365A5">
            <w:pPr>
              <w:pStyle w:val="Tabletextprimarysource"/>
            </w:pPr>
          </w:p>
          <w:p w14:paraId="07936D29" w14:textId="77777777" w:rsidR="003112D9" w:rsidRPr="003112D9" w:rsidRDefault="003112D9" w:rsidP="003112D9"/>
          <w:p w14:paraId="5C25C532" w14:textId="77777777" w:rsidR="003112D9" w:rsidRPr="003112D9" w:rsidRDefault="003112D9" w:rsidP="003112D9"/>
          <w:p w14:paraId="31C6ECED" w14:textId="77777777" w:rsidR="003112D9" w:rsidRPr="003112D9" w:rsidRDefault="003112D9" w:rsidP="003112D9"/>
          <w:p w14:paraId="2F241C0D" w14:textId="77777777" w:rsidR="003112D9" w:rsidRPr="003112D9" w:rsidRDefault="003112D9" w:rsidP="003112D9"/>
          <w:p w14:paraId="2ED9A021" w14:textId="77777777" w:rsidR="003112D9" w:rsidRPr="003112D9" w:rsidRDefault="003112D9" w:rsidP="003112D9"/>
          <w:p w14:paraId="6503E0E1" w14:textId="77777777" w:rsidR="003112D9" w:rsidRPr="003112D9" w:rsidRDefault="003112D9" w:rsidP="003112D9"/>
          <w:p w14:paraId="35FAD305" w14:textId="77777777" w:rsidR="003112D9" w:rsidRPr="003112D9" w:rsidRDefault="003112D9" w:rsidP="003112D9"/>
          <w:p w14:paraId="6C72AD84" w14:textId="77777777" w:rsidR="003112D9" w:rsidRPr="003112D9" w:rsidRDefault="003112D9" w:rsidP="003112D9"/>
          <w:p w14:paraId="35B6558E" w14:textId="77777777" w:rsidR="003112D9" w:rsidRPr="003112D9" w:rsidRDefault="003112D9" w:rsidP="003112D9"/>
          <w:p w14:paraId="3B94FE4C" w14:textId="77777777" w:rsidR="003112D9" w:rsidRPr="003112D9" w:rsidRDefault="003112D9" w:rsidP="003112D9"/>
          <w:p w14:paraId="52B5A464" w14:textId="77777777" w:rsidR="003112D9" w:rsidRPr="003112D9" w:rsidRDefault="003112D9" w:rsidP="003112D9"/>
          <w:p w14:paraId="7FA542C2" w14:textId="77777777" w:rsidR="003112D9" w:rsidRPr="003112D9" w:rsidRDefault="003112D9" w:rsidP="003112D9"/>
          <w:p w14:paraId="32598C94" w14:textId="77777777" w:rsidR="003112D9" w:rsidRPr="003112D9" w:rsidRDefault="003112D9" w:rsidP="003112D9"/>
          <w:p w14:paraId="4347B1D6" w14:textId="77777777" w:rsidR="003112D9" w:rsidRPr="003112D9" w:rsidRDefault="003112D9" w:rsidP="003112D9"/>
          <w:p w14:paraId="75367ED5" w14:textId="77777777" w:rsidR="003112D9" w:rsidRPr="003112D9" w:rsidRDefault="003112D9" w:rsidP="003112D9"/>
          <w:p w14:paraId="69453CF6" w14:textId="77777777" w:rsidR="003112D9" w:rsidRPr="003112D9" w:rsidRDefault="003112D9" w:rsidP="003112D9"/>
          <w:p w14:paraId="691E1595" w14:textId="77777777" w:rsidR="003112D9" w:rsidRPr="003112D9" w:rsidRDefault="003112D9" w:rsidP="003112D9"/>
          <w:p w14:paraId="1D643C9D" w14:textId="77777777" w:rsidR="003112D9" w:rsidRPr="003112D9" w:rsidRDefault="003112D9" w:rsidP="003112D9"/>
          <w:p w14:paraId="34B5C9C8" w14:textId="77777777" w:rsidR="003112D9" w:rsidRPr="003112D9" w:rsidRDefault="003112D9" w:rsidP="003112D9"/>
          <w:p w14:paraId="636D1B25" w14:textId="77777777" w:rsidR="003112D9" w:rsidRPr="003112D9" w:rsidRDefault="003112D9" w:rsidP="003112D9"/>
          <w:p w14:paraId="6FD04F24" w14:textId="77777777" w:rsidR="003112D9" w:rsidRPr="003112D9" w:rsidRDefault="003112D9" w:rsidP="003112D9"/>
          <w:p w14:paraId="3268CB1C" w14:textId="77777777" w:rsidR="003112D9" w:rsidRPr="003112D9" w:rsidRDefault="003112D9" w:rsidP="003112D9"/>
          <w:p w14:paraId="5E66ACAF" w14:textId="77777777" w:rsidR="003112D9" w:rsidRPr="003112D9" w:rsidRDefault="003112D9" w:rsidP="003112D9"/>
          <w:p w14:paraId="0709CC8B" w14:textId="77777777" w:rsidR="003112D9" w:rsidRPr="003112D9" w:rsidRDefault="003112D9" w:rsidP="003112D9"/>
          <w:p w14:paraId="65E86270" w14:textId="77777777" w:rsidR="003112D9" w:rsidRPr="003112D9" w:rsidRDefault="003112D9" w:rsidP="003112D9"/>
          <w:p w14:paraId="10E768DE" w14:textId="77777777" w:rsidR="003112D9" w:rsidRPr="003112D9" w:rsidRDefault="003112D9" w:rsidP="003112D9"/>
          <w:p w14:paraId="0471CD44" w14:textId="77777777" w:rsidR="003112D9" w:rsidRPr="003112D9" w:rsidRDefault="003112D9" w:rsidP="003112D9"/>
          <w:p w14:paraId="4B06D55E" w14:textId="77777777" w:rsidR="003112D9" w:rsidRPr="003112D9" w:rsidRDefault="003112D9" w:rsidP="003112D9"/>
          <w:p w14:paraId="5383BB07" w14:textId="77777777" w:rsidR="003112D9" w:rsidRPr="003112D9" w:rsidRDefault="003112D9" w:rsidP="003112D9"/>
          <w:p w14:paraId="5927927F" w14:textId="77777777" w:rsidR="003112D9" w:rsidRPr="003112D9" w:rsidRDefault="003112D9" w:rsidP="003112D9"/>
          <w:p w14:paraId="555C2F40" w14:textId="77777777" w:rsidR="003112D9" w:rsidRDefault="003112D9" w:rsidP="003112D9"/>
          <w:p w14:paraId="6E8F5B50" w14:textId="77777777" w:rsidR="003112D9" w:rsidRPr="003112D9" w:rsidRDefault="003112D9" w:rsidP="003112D9"/>
          <w:p w14:paraId="1137D58F" w14:textId="77777777" w:rsidR="003112D9" w:rsidRPr="003112D9" w:rsidRDefault="003112D9" w:rsidP="003112D9"/>
        </w:tc>
      </w:tr>
      <w:tr w:rsidR="00C978F0" w:rsidRPr="00DA352E" w14:paraId="24593221" w14:textId="77777777" w:rsidTr="0028026D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1B53A4C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CF08B5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CF08B5">
                  <w:t>TLV-TWA: 0.05 mg/m</w:t>
                </w:r>
                <w:r w:rsidR="00CF08B5" w:rsidRPr="00CF08B5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18D532D" w14:textId="77777777" w:rsidTr="0028026D">
        <w:trPr>
          <w:gridAfter w:val="1"/>
          <w:wAfter w:w="8" w:type="pct"/>
          <w:cantSplit/>
        </w:trPr>
        <w:tc>
          <w:tcPr>
            <w:tcW w:w="4992" w:type="pct"/>
          </w:tcPr>
          <w:p w14:paraId="74E9A435" w14:textId="77777777" w:rsidR="00E32476" w:rsidRDefault="00723816" w:rsidP="003365A5">
            <w:pPr>
              <w:pStyle w:val="Tabletextprimarysource"/>
            </w:pPr>
            <w:r>
              <w:t xml:space="preserve">TLV-TWA intended to minimise potential for progressive adverse CNS and cardiovascular effects. </w:t>
            </w:r>
          </w:p>
          <w:p w14:paraId="45359056" w14:textId="54E94D6E" w:rsidR="00723816" w:rsidRDefault="00723816" w:rsidP="003365A5">
            <w:pPr>
              <w:pStyle w:val="Tabletextprimarysource"/>
            </w:pPr>
            <w:r>
              <w:t xml:space="preserve">Skin notation warranted based on rapid absorption and systemic effects in </w:t>
            </w:r>
            <w:r w:rsidR="00242EB9">
              <w:t xml:space="preserve">humans; these data are not </w:t>
            </w:r>
            <w:r w:rsidR="00E32476">
              <w:t>presented</w:t>
            </w:r>
            <w:r w:rsidR="00242EB9">
              <w:t>.</w:t>
            </w:r>
          </w:p>
          <w:p w14:paraId="0DC93ED8" w14:textId="77777777" w:rsidR="00723816" w:rsidRDefault="00723816" w:rsidP="003365A5">
            <w:pPr>
              <w:pStyle w:val="Tabletextprimarysource"/>
            </w:pPr>
            <w:r>
              <w:t>Summary of information:</w:t>
            </w:r>
          </w:p>
          <w:p w14:paraId="2DADCB33" w14:textId="67ECAB4E" w:rsidR="00723816" w:rsidRPr="008D4B1A" w:rsidRDefault="009A51DA" w:rsidP="003365A5">
            <w:pPr>
              <w:pStyle w:val="Tabletextprimarysource"/>
            </w:pPr>
            <w:r>
              <w:t xml:space="preserve">Based on cases of poisonings in humans and </w:t>
            </w:r>
            <w:r w:rsidR="008D4B1A">
              <w:t>LOAEL of 1 mg/kg</w:t>
            </w:r>
            <w:r w:rsidR="00E32476">
              <w:t>/d</w:t>
            </w:r>
            <w:r w:rsidR="008D4B1A">
              <w:t xml:space="preserve"> for growth retardation and 0.66</w:t>
            </w:r>
            <w:r w:rsidR="00E01751">
              <w:t> </w:t>
            </w:r>
            <w:r w:rsidR="008D4B1A">
              <w:t>mg/kg</w:t>
            </w:r>
            <w:r w:rsidR="00E32476">
              <w:t>/d</w:t>
            </w:r>
            <w:r w:rsidR="008D4B1A">
              <w:t xml:space="preserve"> for fertility (males) in rats, 0.05 mg/m</w:t>
            </w:r>
            <w:r w:rsidR="008D4B1A">
              <w:rPr>
                <w:vertAlign w:val="superscript"/>
              </w:rPr>
              <w:t>3</w:t>
            </w:r>
            <w:r w:rsidR="008D4B1A">
              <w:t xml:space="preserve"> expected to be protective of critical effects (further derivation not presented or discussed)</w:t>
            </w:r>
            <w:r>
              <w:t>.</w:t>
            </w:r>
          </w:p>
          <w:p w14:paraId="6676263C" w14:textId="4B6CF2DC" w:rsidR="00723816" w:rsidRDefault="00723816" w:rsidP="003365A5">
            <w:pPr>
              <w:pStyle w:val="Tabletextprimarysource"/>
            </w:pPr>
            <w:r>
              <w:t>Human data:</w:t>
            </w:r>
          </w:p>
          <w:p w14:paraId="6E2EE52E" w14:textId="30DEC4D5" w:rsidR="00723816" w:rsidRDefault="008D4B1A" w:rsidP="008D4B1A">
            <w:pPr>
              <w:pStyle w:val="Tabletextprimarysource"/>
              <w:numPr>
                <w:ilvl w:val="0"/>
                <w:numId w:val="2"/>
              </w:numPr>
            </w:pPr>
            <w:r>
              <w:t>LD</w:t>
            </w:r>
            <w:r>
              <w:rPr>
                <w:vertAlign w:val="subscript"/>
              </w:rPr>
              <w:t>50</w:t>
            </w:r>
            <w:r w:rsidR="00CA4582">
              <w:t>:</w:t>
            </w:r>
            <w:r>
              <w:t xml:space="preserve"> </w:t>
            </w:r>
            <w:r w:rsidR="00CA4582">
              <w:t>~</w:t>
            </w:r>
            <w:r>
              <w:t>2–5 mg/kg</w:t>
            </w:r>
            <w:r w:rsidR="00CA4582">
              <w:t xml:space="preserve"> (oral)</w:t>
            </w:r>
          </w:p>
          <w:p w14:paraId="397B187D" w14:textId="56690BF2" w:rsidR="00242EB9" w:rsidRDefault="00242EB9" w:rsidP="008D4B1A">
            <w:pPr>
              <w:pStyle w:val="Tabletextprimarysource"/>
              <w:numPr>
                <w:ilvl w:val="0"/>
                <w:numId w:val="2"/>
              </w:numPr>
            </w:pPr>
            <w:r>
              <w:t>Aqueous solution absorbed readily through intact or broken skin</w:t>
            </w:r>
          </w:p>
          <w:p w14:paraId="5C13151D" w14:textId="6D31ED9A" w:rsidR="008D4B1A" w:rsidRDefault="00AC780E" w:rsidP="008D4B1A">
            <w:pPr>
              <w:pStyle w:val="Tabletextprimarysource"/>
              <w:numPr>
                <w:ilvl w:val="0"/>
                <w:numId w:val="2"/>
              </w:numPr>
            </w:pPr>
            <w:r>
              <w:t>Based on several cases of poisonings, clinical course described as initial pha</w:t>
            </w:r>
            <w:r w:rsidR="0059286F">
              <w:t>se of nausea, auditory hallucinations and nystagmus and epigastric</w:t>
            </w:r>
            <w:r w:rsidR="00781051">
              <w:t xml:space="preserve"> pain, followed by facial muscle twitching, convulsive seizures, </w:t>
            </w:r>
            <w:r w:rsidR="00BE29F6">
              <w:t>profuse sweating,</w:t>
            </w:r>
            <w:r w:rsidR="00781051">
              <w:t xml:space="preserve"> blood pressure and heart rate increase with onset of coma</w:t>
            </w:r>
            <w:r w:rsidR="00CA4582">
              <w:t>.</w:t>
            </w:r>
          </w:p>
          <w:p w14:paraId="5C4E4001" w14:textId="24FBE28C" w:rsidR="00723816" w:rsidRDefault="00723816" w:rsidP="003365A5">
            <w:pPr>
              <w:pStyle w:val="Tabletextprimarysource"/>
            </w:pPr>
            <w:r>
              <w:t>Animal data:</w:t>
            </w:r>
          </w:p>
          <w:p w14:paraId="3B979E1B" w14:textId="7FF3892E" w:rsidR="00723816" w:rsidRDefault="00723816" w:rsidP="00723816">
            <w:pPr>
              <w:pStyle w:val="Tabletextprimarysource"/>
              <w:numPr>
                <w:ilvl w:val="0"/>
                <w:numId w:val="1"/>
              </w:numPr>
            </w:pPr>
            <w:r>
              <w:t>Oral LD</w:t>
            </w:r>
            <w:r>
              <w:rPr>
                <w:vertAlign w:val="subscript"/>
              </w:rPr>
              <w:t>50</w:t>
            </w:r>
            <w:r>
              <w:t>: 0.06 mg/kg (dogs); 0.173 mg/kg (prairie dogs)</w:t>
            </w:r>
          </w:p>
          <w:p w14:paraId="7FCB7AAD" w14:textId="77777777" w:rsidR="00E32476" w:rsidRDefault="00723816" w:rsidP="00723816">
            <w:pPr>
              <w:pStyle w:val="Tabletextprimarysource"/>
              <w:numPr>
                <w:ilvl w:val="0"/>
                <w:numId w:val="1"/>
              </w:numPr>
            </w:pPr>
            <w:r>
              <w:t>Critical effects are species-specific</w:t>
            </w:r>
            <w:r w:rsidR="00E32476">
              <w:t>:</w:t>
            </w:r>
          </w:p>
          <w:p w14:paraId="602A3E5C" w14:textId="7D74BD67" w:rsidR="00E32476" w:rsidRDefault="00ED7337" w:rsidP="00E32476">
            <w:pPr>
              <w:pStyle w:val="Tabletextprimarysource"/>
              <w:numPr>
                <w:ilvl w:val="1"/>
                <w:numId w:val="1"/>
              </w:numPr>
            </w:pPr>
            <w:r>
              <w:t xml:space="preserve">only convulsions in </w:t>
            </w:r>
            <w:r w:rsidR="00723816">
              <w:t xml:space="preserve">dogs and guinea pigs </w:t>
            </w:r>
          </w:p>
          <w:p w14:paraId="5AB02378" w14:textId="0293121B" w:rsidR="00E32476" w:rsidRDefault="00ED7337" w:rsidP="00E32476">
            <w:pPr>
              <w:pStyle w:val="Tabletextprimarysource"/>
              <w:numPr>
                <w:ilvl w:val="1"/>
                <w:numId w:val="1"/>
              </w:numPr>
            </w:pPr>
            <w:r>
              <w:t xml:space="preserve">cardiac arrest in </w:t>
            </w:r>
            <w:r w:rsidR="00723816">
              <w:t xml:space="preserve">rabbits </w:t>
            </w:r>
          </w:p>
          <w:p w14:paraId="3CE2B00F" w14:textId="7433483A" w:rsidR="00723816" w:rsidRDefault="00ED7337" w:rsidP="00E32476">
            <w:pPr>
              <w:pStyle w:val="Tabletextprimarysource"/>
              <w:numPr>
                <w:ilvl w:val="1"/>
                <w:numId w:val="1"/>
              </w:numPr>
            </w:pPr>
            <w:r>
              <w:t xml:space="preserve">CNS and cardiac arrest in </w:t>
            </w:r>
            <w:r w:rsidR="00723816">
              <w:t>cats and rhesus monkeys</w:t>
            </w:r>
          </w:p>
          <w:p w14:paraId="709997A2" w14:textId="6E66C411" w:rsidR="00ED7337" w:rsidRDefault="007D151F" w:rsidP="00E32476">
            <w:pPr>
              <w:pStyle w:val="Tabletextprimarysource"/>
              <w:numPr>
                <w:ilvl w:val="1"/>
                <w:numId w:val="1"/>
              </w:numPr>
            </w:pPr>
            <w:r>
              <w:t>primates and birds least susceptible to toxic effects</w:t>
            </w:r>
          </w:p>
          <w:p w14:paraId="067CEA69" w14:textId="13473322" w:rsidR="007D151F" w:rsidRDefault="007D151F" w:rsidP="00E32476">
            <w:pPr>
              <w:pStyle w:val="Tabletextprimarysource"/>
              <w:numPr>
                <w:ilvl w:val="1"/>
                <w:numId w:val="1"/>
              </w:numPr>
            </w:pPr>
            <w:r>
              <w:t>wild rodents most susceptible</w:t>
            </w:r>
            <w:r w:rsidR="00ED7337">
              <w:t xml:space="preserve"> to toxic effects</w:t>
            </w:r>
          </w:p>
          <w:p w14:paraId="1DBB71FB" w14:textId="3C807443" w:rsidR="00AC780E" w:rsidRDefault="00AC780E" w:rsidP="007D151F">
            <w:pPr>
              <w:pStyle w:val="Tabletextprimarysource"/>
              <w:numPr>
                <w:ilvl w:val="0"/>
                <w:numId w:val="1"/>
              </w:numPr>
            </w:pPr>
            <w:r>
              <w:t>Impairs cellular respiration by inhibiting citric acid cycle</w:t>
            </w:r>
          </w:p>
          <w:p w14:paraId="59A14782" w14:textId="240F4642" w:rsidR="007D151F" w:rsidRDefault="007D151F" w:rsidP="007D151F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Transient growth </w:t>
            </w:r>
            <w:r w:rsidR="009A51DA">
              <w:t xml:space="preserve">rate </w:t>
            </w:r>
            <w:r>
              <w:t>fluctuation at 1 mg/kg/d in repeat feeding study (rats,</w:t>
            </w:r>
            <w:r w:rsidR="009A51DA">
              <w:t xml:space="preserve"> up to 4 </w:t>
            </w:r>
            <w:proofErr w:type="spellStart"/>
            <w:r w:rsidR="009A51DA">
              <w:t>wk</w:t>
            </w:r>
            <w:proofErr w:type="spellEnd"/>
            <w:r w:rsidR="00781051">
              <w:t>)</w:t>
            </w:r>
            <w:r w:rsidR="009A51DA">
              <w:t>; severe growth inhibition at 2 mg/kg/d within 1</w:t>
            </w:r>
            <w:r w:rsidR="009A51DA" w:rsidRPr="009A51DA">
              <w:rPr>
                <w:vertAlign w:val="superscript"/>
              </w:rPr>
              <w:t>st</w:t>
            </w:r>
            <w:r w:rsidR="009A51DA">
              <w:t xml:space="preserve"> </w:t>
            </w:r>
            <w:proofErr w:type="spellStart"/>
            <w:r w:rsidR="009A51DA">
              <w:t>wk</w:t>
            </w:r>
            <w:proofErr w:type="spellEnd"/>
            <w:r w:rsidR="009A51DA">
              <w:t xml:space="preserve">, effect reversed within 3–4 </w:t>
            </w:r>
            <w:proofErr w:type="spellStart"/>
            <w:r w:rsidR="009A51DA">
              <w:t>wk</w:t>
            </w:r>
            <w:proofErr w:type="spellEnd"/>
            <w:r w:rsidR="00437FCE">
              <w:t>:</w:t>
            </w:r>
          </w:p>
          <w:p w14:paraId="67FB3746" w14:textId="332B8810" w:rsidR="009A51DA" w:rsidRDefault="009A51DA" w:rsidP="00E32476">
            <w:pPr>
              <w:pStyle w:val="Tabletextprimarysource"/>
              <w:numPr>
                <w:ilvl w:val="1"/>
                <w:numId w:val="1"/>
              </w:numPr>
            </w:pPr>
            <w:r>
              <w:t xml:space="preserve">rats conditioned to 2 mg/kg/d subsequently tolerated 4 mg/kg/d </w:t>
            </w:r>
          </w:p>
          <w:p w14:paraId="3B549743" w14:textId="4E0334F4" w:rsidR="007D151F" w:rsidRDefault="007D151F" w:rsidP="007D151F">
            <w:pPr>
              <w:pStyle w:val="Tabletextprimarysource"/>
              <w:numPr>
                <w:ilvl w:val="0"/>
                <w:numId w:val="1"/>
              </w:numPr>
            </w:pPr>
            <w:r>
              <w:t>Morphological changes to spermatids</w:t>
            </w:r>
            <w:r w:rsidR="00781051">
              <w:t xml:space="preserve"> and testes</w:t>
            </w:r>
            <w:r>
              <w:t xml:space="preserve"> </w:t>
            </w:r>
            <w:r w:rsidR="008D4B1A">
              <w:t>at 0.66</w:t>
            </w:r>
            <w:r w:rsidR="009A51DA">
              <w:t>–2</w:t>
            </w:r>
            <w:r w:rsidR="008D4B1A">
              <w:t xml:space="preserve"> mg/kg/d in drinking water study (rats</w:t>
            </w:r>
            <w:r w:rsidR="00781051">
              <w:t xml:space="preserve">, </w:t>
            </w:r>
            <w:r w:rsidR="00801515">
              <w:t>no further details</w:t>
            </w:r>
            <w:r w:rsidR="008D4B1A">
              <w:t>)</w:t>
            </w:r>
            <w:r w:rsidR="00E01751">
              <w:t>:</w:t>
            </w:r>
          </w:p>
          <w:p w14:paraId="04A6B93A" w14:textId="14925D13" w:rsidR="00CF17FB" w:rsidRDefault="00CF17FB" w:rsidP="00E32476">
            <w:pPr>
              <w:pStyle w:val="Tabletextprimarysource"/>
              <w:numPr>
                <w:ilvl w:val="1"/>
                <w:numId w:val="1"/>
              </w:numPr>
            </w:pPr>
            <w:r>
              <w:t xml:space="preserve">testes appear to be most vulnerable organ to toxic effects due to citrate accumulation </w:t>
            </w:r>
          </w:p>
          <w:p w14:paraId="4E0953F4" w14:textId="0D01C513" w:rsidR="00CF17FB" w:rsidRDefault="00CF17FB" w:rsidP="00CF17FB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Weak evidence for mutagenic activity </w:t>
            </w:r>
            <w:r>
              <w:rPr>
                <w:i/>
              </w:rPr>
              <w:t>in vitro</w:t>
            </w:r>
            <w:r>
              <w:t xml:space="preserve"> in mouse lymph</w:t>
            </w:r>
            <w:r w:rsidR="00D40637">
              <w:t xml:space="preserve">osarcoma LS/BL cells, but only </w:t>
            </w:r>
            <w:r>
              <w:t>at cytotoxic concentrations</w:t>
            </w:r>
          </w:p>
          <w:p w14:paraId="299E55DC" w14:textId="29686857" w:rsidR="00CF17FB" w:rsidRDefault="00CF17FB" w:rsidP="00CF17FB">
            <w:pPr>
              <w:pStyle w:val="Tabletextprimarysource"/>
              <w:numPr>
                <w:ilvl w:val="0"/>
                <w:numId w:val="1"/>
              </w:numPr>
            </w:pPr>
            <w:r>
              <w:t>No carcinogenicity studies presented</w:t>
            </w:r>
            <w:r w:rsidR="00CA4582">
              <w:t>.</w:t>
            </w:r>
          </w:p>
          <w:p w14:paraId="76D6D538" w14:textId="77777777" w:rsidR="00E01751" w:rsidRDefault="00E01751" w:rsidP="003365A5">
            <w:pPr>
              <w:pStyle w:val="Tabletextprimarysource"/>
            </w:pPr>
          </w:p>
          <w:p w14:paraId="315CAE45" w14:textId="77777777" w:rsidR="00723816" w:rsidRDefault="00723816" w:rsidP="003365A5">
            <w:pPr>
              <w:pStyle w:val="Tabletextprimarysource"/>
            </w:pPr>
            <w:r>
              <w:t>Insufficient data to recommend a TLV-STEL or notations for carcinogenicity and sensitisation.</w:t>
            </w:r>
          </w:p>
          <w:p w14:paraId="52A718E2" w14:textId="77777777" w:rsidR="00E01751" w:rsidRDefault="00E01751" w:rsidP="003365A5">
            <w:pPr>
              <w:pStyle w:val="Tabletextprimarysource"/>
            </w:pPr>
          </w:p>
          <w:p w14:paraId="1462A08B" w14:textId="77777777" w:rsidR="003112D9" w:rsidRPr="003112D9" w:rsidRDefault="003112D9" w:rsidP="003112D9"/>
          <w:p w14:paraId="2563A5D1" w14:textId="77777777" w:rsidR="003112D9" w:rsidRPr="003112D9" w:rsidRDefault="003112D9" w:rsidP="003112D9"/>
          <w:p w14:paraId="0CE4D35D" w14:textId="79404324" w:rsidR="003112D9" w:rsidRPr="003112D9" w:rsidRDefault="003112D9" w:rsidP="003112D9"/>
        </w:tc>
      </w:tr>
      <w:tr w:rsidR="00C978F0" w:rsidRPr="00DA352E" w14:paraId="174F8B79" w14:textId="77777777" w:rsidTr="0028026D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4178536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E11EE1" w:rsidRPr="00E11EE1">
                  <w:t>2007, 2012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CF08B5">
                  <w:t>MAK: 0.05 mg/m</w:t>
                </w:r>
                <w:r w:rsidR="00CF08B5" w:rsidRPr="00CF08B5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433014F" w14:textId="77777777" w:rsidTr="0028026D">
        <w:trPr>
          <w:gridAfter w:val="1"/>
          <w:wAfter w:w="8" w:type="pct"/>
          <w:cantSplit/>
        </w:trPr>
        <w:tc>
          <w:tcPr>
            <w:tcW w:w="4992" w:type="pct"/>
          </w:tcPr>
          <w:p w14:paraId="5A41E983" w14:textId="059A9759" w:rsidR="008B6DBF" w:rsidRDefault="008B6DBF" w:rsidP="008B6DBF">
            <w:pPr>
              <w:pStyle w:val="Tabletextprimarysource"/>
            </w:pPr>
            <w:r>
              <w:t>Summary of additional information:</w:t>
            </w:r>
          </w:p>
          <w:p w14:paraId="5FD1E9B7" w14:textId="11C00B3C" w:rsidR="00C978F0" w:rsidRDefault="00823A68" w:rsidP="008B6DBF">
            <w:pPr>
              <w:pStyle w:val="Tabletextprimarysource"/>
            </w:pPr>
            <w:r>
              <w:t xml:space="preserve">Previous </w:t>
            </w:r>
            <w:r w:rsidR="00E11EE1">
              <w:t xml:space="preserve">MAK established in 2006. </w:t>
            </w:r>
            <w:r w:rsidR="00980A32">
              <w:t>In absence of suitable human exposure data, MAK derived</w:t>
            </w:r>
            <w:r w:rsidR="008B6DBF">
              <w:t xml:space="preserve"> </w:t>
            </w:r>
            <w:r w:rsidR="00980A32">
              <w:t xml:space="preserve">from </w:t>
            </w:r>
            <w:r w:rsidR="008B6DBF">
              <w:t>NOAEL of 0.075 mg/kg</w:t>
            </w:r>
            <w:r>
              <w:t>/d</w:t>
            </w:r>
            <w:r w:rsidR="008B6DBF">
              <w:t xml:space="preserve"> for </w:t>
            </w:r>
            <w:r w:rsidR="00801515">
              <w:t xml:space="preserve">decreased sperm motility </w:t>
            </w:r>
            <w:r w:rsidR="008B6DBF">
              <w:t>in a sub</w:t>
            </w:r>
            <w:r w:rsidR="00845612">
              <w:t>-</w:t>
            </w:r>
            <w:r w:rsidR="008B6DBF">
              <w:t xml:space="preserve">chronic gavage study with rats and LOAEL of 0.07 mg/kg/d for </w:t>
            </w:r>
            <w:bookmarkStart w:id="0" w:name="_Hlk37076621"/>
            <w:r w:rsidR="00801515">
              <w:t xml:space="preserve">reversible tubular degeneration in testes </w:t>
            </w:r>
            <w:bookmarkEnd w:id="0"/>
            <w:r w:rsidR="008B6DBF">
              <w:t xml:space="preserve">in </w:t>
            </w:r>
            <w:r w:rsidR="002C21B8">
              <w:t>7-d</w:t>
            </w:r>
            <w:r w:rsidR="008B6DBF">
              <w:t xml:space="preserve"> drinking water study with rats</w:t>
            </w:r>
            <w:r w:rsidR="00980A32">
              <w:t>.</w:t>
            </w:r>
            <w:r w:rsidR="008B6DBF">
              <w:t xml:space="preserve"> </w:t>
            </w:r>
            <w:r w:rsidR="00980A32">
              <w:t>A</w:t>
            </w:r>
            <w:r w:rsidR="008B6DBF">
              <w:t xml:space="preserve">n </w:t>
            </w:r>
            <w:r w:rsidR="00980A32">
              <w:t xml:space="preserve">allometric scaling factor of 1:4 (for rats) is applied to estimate exposure in humans and the oral doses are converted to equivalent </w:t>
            </w:r>
            <w:r w:rsidR="008B6DBF">
              <w:t xml:space="preserve">air concentration </w:t>
            </w:r>
            <w:r w:rsidR="00980A32">
              <w:t>(assuming</w:t>
            </w:r>
            <w:r w:rsidR="008B6DBF">
              <w:t xml:space="preserve"> a 70</w:t>
            </w:r>
            <w:r w:rsidR="00E32476">
              <w:t xml:space="preserve"> </w:t>
            </w:r>
            <w:r w:rsidR="008B6DBF">
              <w:t>kg individual with a respiratory rate of 10 m</w:t>
            </w:r>
            <w:r w:rsidR="008B6DBF">
              <w:rPr>
                <w:vertAlign w:val="superscript"/>
              </w:rPr>
              <w:t>3</w:t>
            </w:r>
            <w:r w:rsidR="008B6DBF">
              <w:t xml:space="preserve"> during an 8</w:t>
            </w:r>
            <w:r w:rsidR="00E32476">
              <w:t xml:space="preserve"> </w:t>
            </w:r>
            <w:r w:rsidR="008B6DBF">
              <w:t>h shift</w:t>
            </w:r>
            <w:r w:rsidR="00980A32">
              <w:t xml:space="preserve">) to </w:t>
            </w:r>
            <w:r>
              <w:t>obtain</w:t>
            </w:r>
            <w:r w:rsidR="00980A32">
              <w:t xml:space="preserve"> a N</w:t>
            </w:r>
            <w:r w:rsidR="00E32476">
              <w:t>O</w:t>
            </w:r>
            <w:r w:rsidR="00980A32">
              <w:t>AEC of 0.13</w:t>
            </w:r>
            <w:r w:rsidR="008B6DBF">
              <w:t xml:space="preserve"> mg/m</w:t>
            </w:r>
            <w:r w:rsidR="008B6DBF">
              <w:rPr>
                <w:vertAlign w:val="superscript"/>
              </w:rPr>
              <w:t>3</w:t>
            </w:r>
            <w:r w:rsidR="00980A32">
              <w:t xml:space="preserve"> in humans</w:t>
            </w:r>
            <w:r w:rsidR="00437FCE">
              <w:t>.</w:t>
            </w:r>
            <w:r w:rsidR="00980A32">
              <w:t xml:space="preserve"> </w:t>
            </w:r>
            <w:r w:rsidR="00437FCE">
              <w:t>T</w:t>
            </w:r>
            <w:r>
              <w:t xml:space="preserve">herefore, </w:t>
            </w:r>
            <w:r w:rsidR="00980A32">
              <w:t>previous MAK of 0.05 </w:t>
            </w:r>
            <w:r w:rsidR="008B6DBF">
              <w:t>mg/m</w:t>
            </w:r>
            <w:r w:rsidR="008B6DBF">
              <w:rPr>
                <w:vertAlign w:val="superscript"/>
              </w:rPr>
              <w:t>3</w:t>
            </w:r>
            <w:r w:rsidR="008B6DBF">
              <w:t xml:space="preserve"> considered sufficiently protective and retained.</w:t>
            </w:r>
          </w:p>
          <w:p w14:paraId="14DCEB09" w14:textId="7FBD760A" w:rsidR="008B6DBF" w:rsidRDefault="008B6DBF" w:rsidP="008B6DBF">
            <w:pPr>
              <w:pStyle w:val="Tabletextprimarysource"/>
            </w:pPr>
            <w:r>
              <w:t>Skin notation recommended due to high dermal absorption rate in animals relative to MAK value.</w:t>
            </w:r>
          </w:p>
          <w:p w14:paraId="22664F00" w14:textId="21EEFC0E" w:rsidR="008B6DBF" w:rsidRDefault="008B6DBF" w:rsidP="008B6DBF">
            <w:pPr>
              <w:pStyle w:val="Tabletextprimarysource"/>
            </w:pPr>
            <w:r>
              <w:t>Human data:</w:t>
            </w:r>
          </w:p>
          <w:p w14:paraId="62A97790" w14:textId="3306D9D0" w:rsidR="008B6DBF" w:rsidRDefault="000553A4" w:rsidP="000553A4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Following poisoning, </w:t>
            </w:r>
            <w:r w:rsidRPr="000553A4">
              <w:t xml:space="preserve">respiratory disorders occur first, </w:t>
            </w:r>
            <w:r>
              <w:t xml:space="preserve">followed by </w:t>
            </w:r>
            <w:r w:rsidR="009F22DB">
              <w:t>CNS</w:t>
            </w:r>
            <w:r>
              <w:t xml:space="preserve"> impairment</w:t>
            </w:r>
            <w:r w:rsidRPr="000553A4">
              <w:t xml:space="preserve">, gastrointestinal </w:t>
            </w:r>
            <w:r>
              <w:t>distress</w:t>
            </w:r>
            <w:r w:rsidRPr="000553A4">
              <w:t xml:space="preserve"> and electrolyte </w:t>
            </w:r>
            <w:r>
              <w:t>im</w:t>
            </w:r>
            <w:r w:rsidRPr="000553A4">
              <w:t>balance</w:t>
            </w:r>
            <w:r w:rsidR="00E01751">
              <w:t>.</w:t>
            </w:r>
          </w:p>
          <w:p w14:paraId="68486659" w14:textId="00233B60" w:rsidR="008B6DBF" w:rsidRDefault="008B6DBF" w:rsidP="008B6DBF">
            <w:pPr>
              <w:pStyle w:val="Tabletextprimarysource"/>
            </w:pPr>
            <w:r>
              <w:t>Animal data:</w:t>
            </w:r>
          </w:p>
          <w:p w14:paraId="0F98EB08" w14:textId="732179BB" w:rsidR="00217082" w:rsidRDefault="00217082" w:rsidP="00801515">
            <w:pPr>
              <w:pStyle w:val="Tabletextprimarysource"/>
              <w:numPr>
                <w:ilvl w:val="0"/>
                <w:numId w:val="1"/>
              </w:numPr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 277 mg/kg (rabbits</w:t>
            </w:r>
            <w:r w:rsidR="00CA4582">
              <w:t>, dermal</w:t>
            </w:r>
            <w:r>
              <w:t>)</w:t>
            </w:r>
          </w:p>
          <w:p w14:paraId="595B22E3" w14:textId="2A035E65" w:rsidR="00E32476" w:rsidRDefault="00801515" w:rsidP="00801515">
            <w:pPr>
              <w:pStyle w:val="Tabletextprimarysource"/>
              <w:numPr>
                <w:ilvl w:val="0"/>
                <w:numId w:val="1"/>
              </w:numPr>
            </w:pPr>
            <w:r>
              <w:t>Reversible tubular degeneration and citrate accumulation in testes at 0.07 mg/kg/d (lowest tested dose) in a</w:t>
            </w:r>
            <w:r w:rsidR="00DB02C5">
              <w:t xml:space="preserve"> 7</w:t>
            </w:r>
            <w:r w:rsidR="00DB02C5">
              <w:noBreakHyphen/>
              <w:t xml:space="preserve">d, </w:t>
            </w:r>
            <w:r>
              <w:t xml:space="preserve">drinking water study with dose groups </w:t>
            </w:r>
            <w:r w:rsidRPr="00801515">
              <w:t>0</w:t>
            </w:r>
            <w:r>
              <w:t>,</w:t>
            </w:r>
            <w:r w:rsidRPr="00801515">
              <w:t xml:space="preserve"> 0.07</w:t>
            </w:r>
            <w:r>
              <w:t>, 0.18 and 0.71 mg/</w:t>
            </w:r>
            <w:r w:rsidRPr="00801515">
              <w:t>kg</w:t>
            </w:r>
            <w:r>
              <w:t>/d (rats, also cited in ACGIH, 2018)</w:t>
            </w:r>
            <w:r w:rsidR="00E32476">
              <w:t>:</w:t>
            </w:r>
          </w:p>
          <w:p w14:paraId="56CC28E4" w14:textId="28DED3A9" w:rsidR="00E32476" w:rsidRDefault="00801515" w:rsidP="00E32476">
            <w:pPr>
              <w:pStyle w:val="Tabletextprimarysource"/>
              <w:numPr>
                <w:ilvl w:val="0"/>
                <w:numId w:val="3"/>
              </w:numPr>
            </w:pPr>
            <w:r>
              <w:t xml:space="preserve">LOAEL: 0.07 mg/kg/d, </w:t>
            </w:r>
          </w:p>
          <w:p w14:paraId="10F41E0F" w14:textId="3FF93752" w:rsidR="00801515" w:rsidRDefault="00801515" w:rsidP="00E32476">
            <w:pPr>
              <w:pStyle w:val="Tabletextprimarysource"/>
              <w:numPr>
                <w:ilvl w:val="0"/>
                <w:numId w:val="3"/>
              </w:numPr>
            </w:pPr>
            <w:r>
              <w:t>no NOAEL determined</w:t>
            </w:r>
            <w:r w:rsidRPr="00801515">
              <w:t> </w:t>
            </w:r>
          </w:p>
          <w:p w14:paraId="3183214E" w14:textId="7C2B73B8" w:rsidR="00E32476" w:rsidRDefault="00801515" w:rsidP="008B6DBF">
            <w:pPr>
              <w:pStyle w:val="Tabletextprimarysource"/>
              <w:numPr>
                <w:ilvl w:val="0"/>
                <w:numId w:val="1"/>
              </w:numPr>
            </w:pPr>
            <w:r>
              <w:t>Decreased sperm motility at 0.25 mg/kg/d in sub</w:t>
            </w:r>
            <w:r w:rsidR="0076705C">
              <w:t>-</w:t>
            </w:r>
            <w:r>
              <w:t>chronic gavage study with dose group 0</w:t>
            </w:r>
            <w:r w:rsidR="00DB02C5">
              <w:t>, </w:t>
            </w:r>
            <w:r>
              <w:t>0.075, 0.25 mg/kg/d (rats, 90 d)</w:t>
            </w:r>
            <w:r w:rsidR="0076705C">
              <w:t>:</w:t>
            </w:r>
            <w:r>
              <w:t xml:space="preserve"> </w:t>
            </w:r>
          </w:p>
          <w:p w14:paraId="372EE00B" w14:textId="7149A671" w:rsidR="003D23FD" w:rsidRDefault="00801515" w:rsidP="00E32476">
            <w:pPr>
              <w:pStyle w:val="Tabletextprimarysource"/>
              <w:numPr>
                <w:ilvl w:val="0"/>
                <w:numId w:val="4"/>
              </w:numPr>
            </w:pPr>
            <w:r>
              <w:t>NOAEL: 0.075 mg/kg/d</w:t>
            </w:r>
          </w:p>
          <w:p w14:paraId="385ACB04" w14:textId="4F8B0C1C" w:rsidR="00801515" w:rsidRDefault="00DB02C5" w:rsidP="008B6DBF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DFG </w:t>
            </w:r>
            <w:r w:rsidR="00801515">
              <w:t xml:space="preserve">speculates differences in LOAEL for </w:t>
            </w:r>
            <w:r w:rsidR="009F3B02">
              <w:t xml:space="preserve">7-d </w:t>
            </w:r>
            <w:r w:rsidR="00801515">
              <w:t>and sub</w:t>
            </w:r>
            <w:r w:rsidR="0076705C">
              <w:t>-</w:t>
            </w:r>
            <w:r w:rsidR="00801515">
              <w:t xml:space="preserve">chronic studies due to administration route; continuous exposure during </w:t>
            </w:r>
            <w:r w:rsidR="009F3B02">
              <w:t>7-d</w:t>
            </w:r>
            <w:r w:rsidR="00801515">
              <w:t xml:space="preserve"> study </w:t>
            </w:r>
            <w:r w:rsidR="00217082">
              <w:t>and</w:t>
            </w:r>
            <w:r w:rsidR="00801515">
              <w:t xml:space="preserve"> bolus dose in sub</w:t>
            </w:r>
            <w:r w:rsidR="0076705C">
              <w:t>-</w:t>
            </w:r>
            <w:r w:rsidR="00801515">
              <w:t>chronic</w:t>
            </w:r>
          </w:p>
          <w:p w14:paraId="5C04B7E2" w14:textId="26A586BE" w:rsidR="003D23FD" w:rsidRDefault="003D23FD" w:rsidP="008B6DBF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Non-mutagenic </w:t>
            </w:r>
            <w:r>
              <w:rPr>
                <w:i/>
              </w:rPr>
              <w:t>in vitro</w:t>
            </w:r>
            <w:r>
              <w:t xml:space="preserve"> in bacteria, doses were cytotoxic</w:t>
            </w:r>
          </w:p>
          <w:p w14:paraId="01F20F90" w14:textId="02A65F49" w:rsidR="00E32476" w:rsidRDefault="008B6DBF" w:rsidP="008B6DBF">
            <w:pPr>
              <w:pStyle w:val="Tabletextprimarysource"/>
              <w:numPr>
                <w:ilvl w:val="0"/>
                <w:numId w:val="1"/>
              </w:numPr>
            </w:pPr>
            <w:r>
              <w:t>Negative results in micronucleus assay with oral doses of 1.7, 3.4, 6.9, and 8.6 mg/kg (mice, observed up to 48 h)</w:t>
            </w:r>
            <w:r w:rsidR="0076705C">
              <w:t>:</w:t>
            </w:r>
            <w:r w:rsidR="003D23FD">
              <w:t xml:space="preserve"> </w:t>
            </w:r>
          </w:p>
          <w:p w14:paraId="17492B68" w14:textId="6F7F4E77" w:rsidR="008B6DBF" w:rsidRDefault="003D23FD" w:rsidP="00E32476">
            <w:pPr>
              <w:pStyle w:val="Tabletextprimarysource"/>
              <w:numPr>
                <w:ilvl w:val="0"/>
                <w:numId w:val="4"/>
              </w:numPr>
            </w:pPr>
            <w:r>
              <w:t>agency notes study is unreliable due to mortality at 6.9 and 8.6 mg/kg</w:t>
            </w:r>
            <w:r w:rsidR="00CA4582">
              <w:t>.</w:t>
            </w:r>
          </w:p>
          <w:p w14:paraId="6B271E53" w14:textId="77777777" w:rsidR="00E01751" w:rsidRDefault="00E01751" w:rsidP="008B6DBF">
            <w:pPr>
              <w:pStyle w:val="Tabletextprimarysource"/>
            </w:pPr>
          </w:p>
          <w:p w14:paraId="51BC9A6E" w14:textId="77777777" w:rsidR="008B6DBF" w:rsidRDefault="008B6DBF" w:rsidP="008B6DBF">
            <w:pPr>
              <w:pStyle w:val="Tabletextprimarysource"/>
            </w:pPr>
            <w:r>
              <w:t>Insufficient data to recommend notations for carcinogenicity and sensitisation.</w:t>
            </w:r>
          </w:p>
          <w:p w14:paraId="61A64F09" w14:textId="4EC7600C" w:rsidR="00E01751" w:rsidRPr="008B6DBF" w:rsidRDefault="00E01751" w:rsidP="008B6DBF">
            <w:pPr>
              <w:pStyle w:val="Tabletextprimarysource"/>
            </w:pPr>
          </w:p>
        </w:tc>
      </w:tr>
      <w:tr w:rsidR="00C978F0" w:rsidRPr="00DA352E" w14:paraId="0E6A0B2C" w14:textId="77777777" w:rsidTr="0028026D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6B54C04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CF08B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sdt>
                  <w:sdtPr>
                    <w:id w:val="-1078207772"/>
                    <w:placeholder>
                      <w:docPart w:val="B599A2982E664C76AE8FE83FF917F59C"/>
                    </w:placeholder>
                    <w:text/>
                  </w:sdtPr>
                  <w:sdtEndPr/>
                  <w:sdtContent>
                    <w:proofErr w:type="spellStart"/>
                    <w:r w:rsidR="00CF08B5">
                      <w:t>NA</w:t>
                    </w:r>
                    <w:proofErr w:type="spellEnd"/>
                  </w:sdtContent>
                </w:sdt>
              </w:sdtContent>
            </w:sdt>
          </w:p>
        </w:tc>
      </w:tr>
      <w:tr w:rsidR="00C978F0" w:rsidRPr="00DA352E" w14:paraId="2008D281" w14:textId="77777777" w:rsidTr="0028026D">
        <w:trPr>
          <w:gridAfter w:val="1"/>
          <w:wAfter w:w="8" w:type="pct"/>
          <w:cantSplit/>
        </w:trPr>
        <w:tc>
          <w:tcPr>
            <w:tcW w:w="4992" w:type="pct"/>
          </w:tcPr>
          <w:p w14:paraId="153B53C1" w14:textId="6F2765BD" w:rsidR="00C978F0" w:rsidRPr="00DA352E" w:rsidRDefault="00CF08B5" w:rsidP="003365A5">
            <w:pPr>
              <w:pStyle w:val="Tabletextprimarysource"/>
            </w:pPr>
            <w:r>
              <w:t>No report</w:t>
            </w:r>
            <w:r w:rsidR="00CA4582">
              <w:t>.</w:t>
            </w:r>
          </w:p>
        </w:tc>
      </w:tr>
      <w:tr w:rsidR="00DA352E" w:rsidRPr="00DA352E" w14:paraId="12BAB90D" w14:textId="77777777" w:rsidTr="0028026D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7344A52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CF08B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sdt>
                  <w:sdtPr>
                    <w:id w:val="-810562764"/>
                    <w:placeholder>
                      <w:docPart w:val="C3AE1A08A1E848C690378B7117721201"/>
                    </w:placeholder>
                    <w:text/>
                  </w:sdtPr>
                  <w:sdtEndPr/>
                  <w:sdtContent>
                    <w:proofErr w:type="spellStart"/>
                    <w:r w:rsidR="00CF08B5">
                      <w:t>NA</w:t>
                    </w:r>
                    <w:proofErr w:type="spellEnd"/>
                  </w:sdtContent>
                </w:sdt>
              </w:sdtContent>
            </w:sdt>
          </w:p>
        </w:tc>
      </w:tr>
      <w:tr w:rsidR="00DA352E" w:rsidRPr="00DA352E" w14:paraId="33AAF4A6" w14:textId="77777777" w:rsidTr="0028026D">
        <w:trPr>
          <w:gridAfter w:val="1"/>
          <w:wAfter w:w="8" w:type="pct"/>
          <w:cantSplit/>
        </w:trPr>
        <w:tc>
          <w:tcPr>
            <w:tcW w:w="4992" w:type="pct"/>
          </w:tcPr>
          <w:p w14:paraId="2059E4CB" w14:textId="55770296" w:rsidR="00DA352E" w:rsidRPr="00DA352E" w:rsidRDefault="00CF08B5" w:rsidP="003365A5">
            <w:pPr>
              <w:pStyle w:val="Tabletextprimarysource"/>
            </w:pPr>
            <w:r>
              <w:t>No report</w:t>
            </w:r>
            <w:r w:rsidR="00CA4582">
              <w:t>.</w:t>
            </w:r>
          </w:p>
        </w:tc>
      </w:tr>
      <w:tr w:rsidR="00DA352E" w:rsidRPr="00DA352E" w14:paraId="605F758C" w14:textId="77777777" w:rsidTr="0028026D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2FDA9B4F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CF08B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sdt>
                  <w:sdtPr>
                    <w:id w:val="1287937729"/>
                    <w:placeholder>
                      <w:docPart w:val="B57F3C7F158A48E196E1EE31D6EB018D"/>
                    </w:placeholder>
                    <w:text/>
                  </w:sdtPr>
                  <w:sdtEndPr/>
                  <w:sdtContent>
                    <w:proofErr w:type="spellStart"/>
                    <w:r w:rsidR="00CF08B5">
                      <w:t>NA</w:t>
                    </w:r>
                    <w:proofErr w:type="spellEnd"/>
                  </w:sdtContent>
                </w:sdt>
              </w:sdtContent>
            </w:sdt>
          </w:p>
        </w:tc>
      </w:tr>
      <w:tr w:rsidR="00DA352E" w:rsidRPr="00DA352E" w14:paraId="7050CB3E" w14:textId="77777777" w:rsidTr="0028026D">
        <w:trPr>
          <w:gridAfter w:val="1"/>
          <w:wAfter w:w="8" w:type="pct"/>
          <w:cantSplit/>
        </w:trPr>
        <w:tc>
          <w:tcPr>
            <w:tcW w:w="4992" w:type="pct"/>
          </w:tcPr>
          <w:p w14:paraId="492D7791" w14:textId="51AB294E" w:rsidR="00DA352E" w:rsidRPr="00DA352E" w:rsidRDefault="00CF08B5" w:rsidP="003365A5">
            <w:pPr>
              <w:pStyle w:val="Tabletextprimarysource"/>
            </w:pPr>
            <w:r>
              <w:t>No report</w:t>
            </w:r>
            <w:r w:rsidR="00CA4582">
              <w:t>.</w:t>
            </w: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1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87"/>
        <w:gridCol w:w="421"/>
        <w:gridCol w:w="661"/>
        <w:gridCol w:w="6457"/>
      </w:tblGrid>
      <w:tr w:rsidR="00491257" w:rsidRPr="00263255" w14:paraId="6AE89AB3" w14:textId="77777777" w:rsidTr="002802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87" w:type="dxa"/>
            <w:shd w:val="clear" w:color="auto" w:fill="BFBFBF" w:themeFill="background1" w:themeFillShade="BF"/>
            <w:vAlign w:val="center"/>
          </w:tcPr>
          <w:p w14:paraId="084A5BD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27B16D7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CC24B5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7" w:type="dxa"/>
            <w:shd w:val="clear" w:color="auto" w:fill="BFBFBF" w:themeFill="background1" w:themeFillShade="BF"/>
            <w:vAlign w:val="center"/>
          </w:tcPr>
          <w:p w14:paraId="24D06CB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1257" w:rsidRPr="004C23F4" w14:paraId="5B6AED63" w14:textId="77777777" w:rsidTr="0028026D">
        <w:tc>
          <w:tcPr>
            <w:tcW w:w="1487" w:type="dxa"/>
          </w:tcPr>
          <w:p w14:paraId="01321F42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1" w:type="dxa"/>
          </w:tcPr>
          <w:p w14:paraId="7AE5C94A" w14:textId="1F662CDD" w:rsidR="004966BF" w:rsidRPr="00CE617F" w:rsidRDefault="003112D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9125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C68236E" w14:textId="27A84761" w:rsidR="004966BF" w:rsidRPr="004C23F4" w:rsidRDefault="00491257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1991</w:t>
            </w:r>
          </w:p>
        </w:tc>
        <w:tc>
          <w:tcPr>
            <w:tcW w:w="6457" w:type="dxa"/>
          </w:tcPr>
          <w:p w14:paraId="66C9E7D6" w14:textId="43A23216" w:rsidR="00491257" w:rsidRDefault="00491257" w:rsidP="00E32476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Increased heart weight (females) and microscopic lesions in testes (males) at 0.2 mg/kg/d in sub</w:t>
            </w:r>
            <w:r w:rsidR="0076705C">
              <w:rPr>
                <w:rStyle w:val="checkbox"/>
                <w:rFonts w:ascii="Arial" w:hAnsi="Arial" w:cs="Arial"/>
              </w:rPr>
              <w:t>-</w:t>
            </w:r>
            <w:r>
              <w:rPr>
                <w:rStyle w:val="checkbox"/>
                <w:rFonts w:ascii="Arial" w:hAnsi="Arial" w:cs="Arial"/>
              </w:rPr>
              <w:t>chronic gavage study with dose groups 0, 0.05, 0.2, 0.5 mg/kg/d (rats, 13 </w:t>
            </w:r>
            <w:proofErr w:type="spellStart"/>
            <w:r>
              <w:rPr>
                <w:rStyle w:val="checkbox"/>
                <w:rFonts w:ascii="Arial" w:hAnsi="Arial" w:cs="Arial"/>
              </w:rPr>
              <w:t>wk</w:t>
            </w:r>
            <w:proofErr w:type="spellEnd"/>
            <w:r>
              <w:rPr>
                <w:rStyle w:val="checkbox"/>
                <w:rFonts w:ascii="Arial" w:hAnsi="Arial" w:cs="Arial"/>
              </w:rPr>
              <w:t>)</w:t>
            </w:r>
            <w:r w:rsidR="00E01751">
              <w:rPr>
                <w:rStyle w:val="checkbox"/>
                <w:rFonts w:ascii="Arial" w:hAnsi="Arial" w:cs="Arial"/>
              </w:rPr>
              <w:t>: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</w:p>
          <w:p w14:paraId="09FB3F14" w14:textId="7AE5BCE8" w:rsidR="00491257" w:rsidRDefault="00491257" w:rsidP="00E32476">
            <w:pPr>
              <w:pStyle w:val="Tablefont"/>
              <w:numPr>
                <w:ilvl w:val="1"/>
                <w:numId w:val="1"/>
              </w:numPr>
              <w:spacing w:before="60" w:after="60"/>
              <w:ind w:left="109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lastRenderedPageBreak/>
              <w:t xml:space="preserve">transient convulsions in females at 0.5 mg/kg/d during </w:t>
            </w:r>
            <w:proofErr w:type="spellStart"/>
            <w:r>
              <w:rPr>
                <w:rStyle w:val="checkbox"/>
                <w:rFonts w:ascii="Arial" w:hAnsi="Arial" w:cs="Arial"/>
              </w:rPr>
              <w:t>wk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12 </w:t>
            </w:r>
          </w:p>
          <w:p w14:paraId="3363767D" w14:textId="77777777" w:rsidR="004966BF" w:rsidRDefault="00491257" w:rsidP="00E32476">
            <w:pPr>
              <w:pStyle w:val="Tablefont"/>
              <w:numPr>
                <w:ilvl w:val="1"/>
                <w:numId w:val="1"/>
              </w:numPr>
              <w:spacing w:before="60" w:after="60"/>
              <w:ind w:left="109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transient fluctuation of haematological parameters in males of 0.05 and 0.5 mg/kg/d dose groups</w:t>
            </w:r>
          </w:p>
          <w:p w14:paraId="06E2E0D9" w14:textId="77777777" w:rsidR="00491257" w:rsidRDefault="00491257" w:rsidP="00E32476">
            <w:pPr>
              <w:pStyle w:val="Tablefont"/>
              <w:numPr>
                <w:ilvl w:val="1"/>
                <w:numId w:val="1"/>
              </w:numPr>
              <w:spacing w:before="60" w:after="60"/>
              <w:ind w:left="109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NOAEL: 0.05 mg/kg/d</w:t>
            </w:r>
          </w:p>
          <w:p w14:paraId="2E2B6344" w14:textId="12B2C763" w:rsidR="00491257" w:rsidRDefault="00491257" w:rsidP="00E32476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Sub</w:t>
            </w:r>
            <w:r w:rsidR="00823A68">
              <w:rPr>
                <w:rStyle w:val="checkbox"/>
                <w:rFonts w:ascii="Arial" w:hAnsi="Arial" w:cs="Arial"/>
              </w:rPr>
              <w:t>-</w:t>
            </w:r>
            <w:r>
              <w:rPr>
                <w:rStyle w:val="checkbox"/>
                <w:rFonts w:ascii="Arial" w:hAnsi="Arial" w:cs="Arial"/>
              </w:rPr>
              <w:t xml:space="preserve">chronic gavage study used principally to derive oral </w:t>
            </w:r>
            <w:proofErr w:type="spellStart"/>
            <w:r>
              <w:rPr>
                <w:rStyle w:val="checkbox"/>
                <w:rFonts w:ascii="Arial" w:hAnsi="Arial" w:cs="Arial"/>
              </w:rPr>
              <w:t>RfD</w:t>
            </w:r>
            <w:proofErr w:type="spellEnd"/>
          </w:p>
          <w:p w14:paraId="2224089B" w14:textId="70906484" w:rsidR="00491257" w:rsidRPr="004C23F4" w:rsidRDefault="00491257" w:rsidP="00E32476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Inhalation </w:t>
            </w:r>
            <w:proofErr w:type="spellStart"/>
            <w:r>
              <w:rPr>
                <w:rStyle w:val="checkbox"/>
                <w:rFonts w:ascii="Arial" w:hAnsi="Arial" w:cs="Arial"/>
              </w:rPr>
              <w:t>RfD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and carcinogenic potential not assessed</w:t>
            </w:r>
            <w:r w:rsidR="00CA4582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1257" w:rsidRPr="004C23F4" w14:paraId="20C4323A" w14:textId="77777777" w:rsidTr="0028026D">
        <w:trPr>
          <w:cantSplit/>
        </w:trPr>
        <w:tc>
          <w:tcPr>
            <w:tcW w:w="1487" w:type="dxa"/>
          </w:tcPr>
          <w:p w14:paraId="76D0E357" w14:textId="77777777" w:rsidR="004966BF" w:rsidRDefault="004966BF" w:rsidP="00224EE2">
            <w:pPr>
              <w:pStyle w:val="Tablefont"/>
            </w:pPr>
            <w:r>
              <w:lastRenderedPageBreak/>
              <w:t>US NIOSH</w:t>
            </w:r>
          </w:p>
        </w:tc>
        <w:tc>
          <w:tcPr>
            <w:tcW w:w="421" w:type="dxa"/>
          </w:tcPr>
          <w:p w14:paraId="46AE65C2" w14:textId="1E6EE9C9" w:rsidR="004966BF" w:rsidRDefault="003112D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BE29F6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B82A5B6" w14:textId="054A3830" w:rsidR="004966BF" w:rsidRPr="004C23F4" w:rsidRDefault="00BE29F6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57" w:type="dxa"/>
          </w:tcPr>
          <w:p w14:paraId="6D3D5996" w14:textId="7E3BE7E2" w:rsidR="000553A4" w:rsidRDefault="000553A4" w:rsidP="00E32476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</w:pPr>
            <w:r>
              <w:t xml:space="preserve">No </w:t>
            </w:r>
            <w:r w:rsidRPr="00CA4582">
              <w:rPr>
                <w:i/>
                <w:iCs/>
              </w:rPr>
              <w:t>in vivo</w:t>
            </w:r>
            <w:r>
              <w:t xml:space="preserve"> or </w:t>
            </w:r>
            <w:r w:rsidRPr="00CA4582">
              <w:rPr>
                <w:i/>
                <w:iCs/>
              </w:rPr>
              <w:t>in vitro</w:t>
            </w:r>
            <w:r>
              <w:t xml:space="preserve"> studies </w:t>
            </w:r>
            <w:r w:rsidR="00242EB9">
              <w:t>available to</w:t>
            </w:r>
            <w:r>
              <w:t xml:space="preserve"> estimate</w:t>
            </w:r>
            <w:r w:rsidR="00242EB9">
              <w:t xml:space="preserve"> </w:t>
            </w:r>
            <w:r>
              <w:t xml:space="preserve">degree of absorption through </w:t>
            </w:r>
            <w:r w:rsidR="00242EB9">
              <w:t>human/animal skin of humans or animals</w:t>
            </w:r>
          </w:p>
          <w:p w14:paraId="5B3BB705" w14:textId="52CF48EC" w:rsidR="00BB2C3B" w:rsidRDefault="00BB2C3B" w:rsidP="00E32476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</w:pPr>
            <w:r>
              <w:t>No signs of dermal erythema or oedema when worn as protective collar, but ingestion of the collar was lethal (lambs, 7 d)</w:t>
            </w:r>
          </w:p>
          <w:p w14:paraId="4E1BEF9D" w14:textId="585BB1F7" w:rsidR="004966BF" w:rsidRPr="004C23F4" w:rsidRDefault="00242EB9" w:rsidP="00E32476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</w:rPr>
              <w:t>I</w:t>
            </w:r>
            <w:r w:rsidR="000553A4" w:rsidRPr="000553A4">
              <w:rPr>
                <w:rFonts w:cs="Arial"/>
              </w:rPr>
              <w:t>nsufficient data</w:t>
            </w:r>
            <w:r>
              <w:rPr>
                <w:rFonts w:cs="Arial"/>
              </w:rPr>
              <w:t xml:space="preserve"> (ID</w:t>
            </w:r>
            <w:r>
              <w:rPr>
                <w:rFonts w:cs="Arial"/>
                <w:vertAlign w:val="superscript"/>
              </w:rPr>
              <w:t>SK</w:t>
            </w:r>
            <w:r>
              <w:rPr>
                <w:rFonts w:cs="Arial"/>
              </w:rPr>
              <w:t>)</w:t>
            </w:r>
            <w:r w:rsidR="000553A4" w:rsidRPr="000553A4">
              <w:rPr>
                <w:rFonts w:cs="Arial"/>
              </w:rPr>
              <w:t xml:space="preserve"> </w:t>
            </w:r>
            <w:r>
              <w:rPr>
                <w:rFonts w:cs="Arial"/>
              </w:rPr>
              <w:t>to</w:t>
            </w:r>
            <w:r w:rsidR="000553A4" w:rsidRPr="000553A4">
              <w:rPr>
                <w:rFonts w:cs="Arial"/>
              </w:rPr>
              <w:t xml:space="preserve"> assess hazards of skin exposure</w:t>
            </w:r>
            <w:r>
              <w:rPr>
                <w:rFonts w:cs="Arial"/>
              </w:rPr>
              <w:t>.</w:t>
            </w:r>
          </w:p>
        </w:tc>
      </w:tr>
    </w:tbl>
    <w:bookmarkEnd w:id="1"/>
    <w:p w14:paraId="04408E2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328EBB70" w14:textId="77777777" w:rsidTr="00BE29F6">
        <w:trPr>
          <w:trHeight w:val="454"/>
          <w:tblHeader/>
        </w:trPr>
        <w:tc>
          <w:tcPr>
            <w:tcW w:w="6597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2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B8F4675" w14:textId="3DCBDF6B" w:rsidR="002E0D61" w:rsidRDefault="00BE29F6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618A4C0" w14:textId="77777777" w:rsidTr="00BE29F6">
        <w:trPr>
          <w:trHeight w:val="454"/>
        </w:trPr>
        <w:tc>
          <w:tcPr>
            <w:tcW w:w="6597" w:type="dxa"/>
            <w:vAlign w:val="center"/>
          </w:tcPr>
          <w:p w14:paraId="28B995B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2B1B278" w14:textId="448B04DB" w:rsidR="008A36CF" w:rsidRDefault="00BE29F6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E32476" w14:paraId="4D6DDFA3" w14:textId="77777777" w:rsidTr="00C12ACE">
        <w:trPr>
          <w:trHeight w:val="454"/>
        </w:trPr>
        <w:sdt>
          <w:sdtPr>
            <w:rPr>
              <w:b/>
            </w:rPr>
            <w:id w:val="1830936485"/>
            <w:placeholder>
              <w:docPart w:val="2EE01A0C2D40475595DADD9B7B1AE62D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18F36B73" w14:textId="31158634" w:rsidR="00E32476" w:rsidRDefault="00E32476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2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2802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3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28026D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439330B2" w:rsidR="00687890" w:rsidRPr="00DD2F9B" w:rsidRDefault="00CF08B5" w:rsidP="00DD2F9B">
            <w:pPr>
              <w:pStyle w:val="Tablefont"/>
            </w:pPr>
            <w:r w:rsidRPr="00CF08B5">
              <w:t>Skin</w:t>
            </w:r>
          </w:p>
        </w:tc>
      </w:tr>
      <w:tr w:rsidR="007925F0" w:rsidRPr="004C23F4" w14:paraId="2A0C13EF" w14:textId="77777777" w:rsidTr="0028026D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73D845CF" w:rsidR="007925F0" w:rsidRPr="00DD2F9B" w:rsidRDefault="00CF08B5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4C1044B3" w14:textId="77777777" w:rsidTr="0028026D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5BD4A8B3" w:rsidR="00AF483F" w:rsidRPr="00DD2F9B" w:rsidRDefault="00CF08B5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812F0EC" w14:textId="77777777" w:rsidTr="0028026D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43532F1D" w:rsidR="00687890" w:rsidRPr="00DD2F9B" w:rsidRDefault="00A3093D" w:rsidP="00DD2F9B">
            <w:pPr>
              <w:pStyle w:val="Tablefont"/>
            </w:pPr>
            <w:r>
              <w:t>—</w:t>
            </w:r>
          </w:p>
        </w:tc>
      </w:tr>
      <w:tr w:rsidR="00E41A26" w:rsidRPr="004C23F4" w14:paraId="403F0800" w14:textId="77777777" w:rsidTr="0028026D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62248000" w:rsidR="00E41A26" w:rsidRPr="00DD2F9B" w:rsidRDefault="00A3093D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57A490EF" w14:textId="77777777" w:rsidTr="0028026D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1BD7F9A0" w:rsidR="002E0D61" w:rsidRPr="00DD2F9B" w:rsidRDefault="00CF08B5" w:rsidP="00DD2F9B">
            <w:pPr>
              <w:pStyle w:val="Tablefont"/>
            </w:pPr>
            <w:r>
              <w:t>Skin</w:t>
            </w:r>
          </w:p>
        </w:tc>
      </w:tr>
      <w:tr w:rsidR="002E0D61" w:rsidRPr="004C23F4" w14:paraId="43FA3590" w14:textId="77777777" w:rsidTr="0028026D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16A651EE" w:rsidR="002E0D61" w:rsidRPr="00DD2F9B" w:rsidRDefault="00CF08B5" w:rsidP="00DD2F9B">
            <w:pPr>
              <w:pStyle w:val="Tablefont"/>
            </w:pPr>
            <w:r w:rsidRPr="00CF08B5">
              <w:t>H (skin)</w:t>
            </w:r>
          </w:p>
        </w:tc>
      </w:tr>
      <w:tr w:rsidR="002E0D61" w:rsidRPr="004C23F4" w14:paraId="2AC7B866" w14:textId="77777777" w:rsidTr="0028026D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31E617C3" w:rsidR="002E0D61" w:rsidRPr="00DD2F9B" w:rsidRDefault="00CF08B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28026D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41F5FF4E" w:rsidR="002E0D61" w:rsidRPr="00DD2F9B" w:rsidRDefault="00CF08B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F6A6A8E" w14:textId="77777777" w:rsidTr="0028026D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6A348FB1" w:rsidR="00386093" w:rsidRPr="00DD2F9B" w:rsidRDefault="00CF08B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461DB0E" w14:textId="77777777" w:rsidTr="0028026D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5BB878CD" w:rsidR="00386093" w:rsidRPr="00DD2F9B" w:rsidRDefault="00ED7AE7" w:rsidP="00D87570">
            <w:pPr>
              <w:pStyle w:val="Tablefont"/>
              <w:keepNext/>
            </w:pPr>
            <w:r>
              <w:t xml:space="preserve"> —</w:t>
            </w:r>
          </w:p>
        </w:tc>
      </w:tr>
    </w:tbl>
    <w:bookmarkEnd w:id="3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3723"/>
              <w:gridCol w:w="1051"/>
              <w:gridCol w:w="933"/>
              <w:gridCol w:w="3103"/>
            </w:tblGrid>
            <w:tr w:rsidR="00242EB9" w:rsidRPr="00242EB9" w14:paraId="6E558AA7" w14:textId="77777777" w:rsidTr="00242EB9">
              <w:trPr>
                <w:trHeight w:val="123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52A8F0" w14:textId="77777777" w:rsidR="00242EB9" w:rsidRPr="00242EB9" w:rsidRDefault="00242EB9" w:rsidP="00242EB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42EB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5427D6C7" w14:textId="77777777" w:rsidR="00242EB9" w:rsidRPr="00242EB9" w:rsidRDefault="00242EB9" w:rsidP="00242EB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242EB9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677719" w14:textId="77777777" w:rsidR="00242EB9" w:rsidRPr="00242EB9" w:rsidRDefault="00242EB9" w:rsidP="00242EB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42EB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3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50B5A6" w14:textId="77777777" w:rsidR="00242EB9" w:rsidRPr="00242EB9" w:rsidRDefault="00242EB9" w:rsidP="00242EB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42EB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42EB9" w:rsidRPr="00242EB9" w14:paraId="7C523AD4" w14:textId="77777777" w:rsidTr="00242EB9">
              <w:trPr>
                <w:trHeight w:val="123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B5117E" w14:textId="77777777" w:rsidR="00242EB9" w:rsidRPr="00242EB9" w:rsidRDefault="00242EB9" w:rsidP="00242EB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42EB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242EB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242EB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576CED1B" w14:textId="77777777" w:rsidR="00242EB9" w:rsidRPr="00242EB9" w:rsidRDefault="00242EB9" w:rsidP="00242EB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242EB9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D118F3" w14:textId="77777777" w:rsidR="00242EB9" w:rsidRPr="00242EB9" w:rsidRDefault="00242EB9" w:rsidP="00242EB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42EB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B6EA95" w14:textId="77777777" w:rsidR="00242EB9" w:rsidRPr="00242EB9" w:rsidRDefault="00242EB9" w:rsidP="00242EB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42EB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42EB9" w:rsidRPr="00242EB9" w14:paraId="56BB1D20" w14:textId="77777777" w:rsidTr="00242EB9">
              <w:trPr>
                <w:trHeight w:val="123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A7DC03" w14:textId="77777777" w:rsidR="00242EB9" w:rsidRPr="00242EB9" w:rsidRDefault="00242EB9" w:rsidP="00242EB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42EB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B048D1" w14:textId="77777777" w:rsidR="00242EB9" w:rsidRPr="00242EB9" w:rsidRDefault="00242EB9" w:rsidP="00242EB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42EB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E638CB" w14:textId="77777777" w:rsidR="00242EB9" w:rsidRPr="00242EB9" w:rsidRDefault="00242EB9" w:rsidP="00242EB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42EB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1D866F" w14:textId="77777777" w:rsidR="00242EB9" w:rsidRPr="00242EB9" w:rsidRDefault="00242EB9" w:rsidP="00242EB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42EB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42EB9" w:rsidRPr="00242EB9" w14:paraId="70713713" w14:textId="77777777" w:rsidTr="00242EB9">
              <w:trPr>
                <w:trHeight w:val="123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5940EF" w14:textId="77777777" w:rsidR="00242EB9" w:rsidRPr="00242EB9" w:rsidRDefault="00242EB9" w:rsidP="00242EB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42EB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242EB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242EB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242EB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242EB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1CECFC" w14:textId="77777777" w:rsidR="00242EB9" w:rsidRPr="00242EB9" w:rsidRDefault="00242EB9" w:rsidP="00242EB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42EB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BC696B" w14:textId="77777777" w:rsidR="00242EB9" w:rsidRPr="00242EB9" w:rsidRDefault="00242EB9" w:rsidP="00242EB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42EB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25210A" w14:textId="77777777" w:rsidR="00242EB9" w:rsidRPr="00242EB9" w:rsidRDefault="00242EB9" w:rsidP="00242EB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42EB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42EB9" w:rsidRPr="00242EB9" w14:paraId="34F4AD6E" w14:textId="77777777" w:rsidTr="00242EB9">
              <w:trPr>
                <w:trHeight w:val="123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5AC7D1" w14:textId="77777777" w:rsidR="00242EB9" w:rsidRPr="00242EB9" w:rsidRDefault="00242EB9" w:rsidP="00242EB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242EB9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242EB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B076C4" w14:textId="77777777" w:rsidR="00242EB9" w:rsidRPr="00242EB9" w:rsidRDefault="00242EB9" w:rsidP="00242EB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42EB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C90EE1" w14:textId="77777777" w:rsidR="00242EB9" w:rsidRPr="00242EB9" w:rsidRDefault="00242EB9" w:rsidP="00242EB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42EB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4C80C3" w14:textId="77777777" w:rsidR="00242EB9" w:rsidRPr="00242EB9" w:rsidRDefault="00242EB9" w:rsidP="00242EB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42EB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42EB9" w:rsidRPr="00242EB9" w14:paraId="565ED5B0" w14:textId="77777777" w:rsidTr="00242EB9">
              <w:trPr>
                <w:trHeight w:val="123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AE20B7" w14:textId="77777777" w:rsidR="00242EB9" w:rsidRPr="00242EB9" w:rsidRDefault="00242EB9" w:rsidP="00242EB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42EB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29D876" w14:textId="77777777" w:rsidR="00242EB9" w:rsidRPr="00242EB9" w:rsidRDefault="00242EB9" w:rsidP="00242EB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42EB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61E164" w14:textId="77777777" w:rsidR="00242EB9" w:rsidRPr="00242EB9" w:rsidRDefault="00242EB9" w:rsidP="00242EB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42EB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10677B" w14:textId="77777777" w:rsidR="00242EB9" w:rsidRPr="00242EB9" w:rsidRDefault="00242EB9" w:rsidP="00242EB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42EB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42EB9" w:rsidRPr="00242EB9" w14:paraId="66BA94C3" w14:textId="77777777" w:rsidTr="00242EB9">
              <w:trPr>
                <w:trHeight w:val="123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38B275" w14:textId="77777777" w:rsidR="00242EB9" w:rsidRPr="00242EB9" w:rsidRDefault="00242EB9" w:rsidP="00242EB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42EB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22ED1A" w14:textId="77777777" w:rsidR="00242EB9" w:rsidRPr="00242EB9" w:rsidRDefault="00242EB9" w:rsidP="00242EB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42EB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EEB393" w14:textId="77777777" w:rsidR="00242EB9" w:rsidRPr="00242EB9" w:rsidRDefault="00242EB9" w:rsidP="00242EB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42EB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6BB98F" w14:textId="77777777" w:rsidR="00242EB9" w:rsidRPr="00242EB9" w:rsidRDefault="00242EB9" w:rsidP="00242EB9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242EB9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329D664C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4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23233A6D" w:rsidR="00EB3D1B" w:rsidRDefault="002D3F95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63AA6C20" w:rsidR="001B79E5" w:rsidRDefault="002D3F95" w:rsidP="001B79E5">
                <w:pPr>
                  <w:pStyle w:val="Tablefont"/>
                </w:pPr>
                <w:r w:rsidRPr="002D3F95">
                  <w:t>100</w:t>
                </w:r>
                <w:r w:rsidR="00A3093D">
                  <w:t>.02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03775343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2D3F95">
                  <w:t>4.09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2D3F95">
                  <w:t>0.24</w:t>
                </w:r>
              </w:sdtContent>
            </w:sdt>
            <w:r w:rsidRPr="002D3F95">
              <w:t xml:space="preserve"> </w:t>
            </w:r>
            <w:r>
              <w:t>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076A96E5" w:rsidR="00687890" w:rsidRPr="004C23F4" w:rsidRDefault="00D40637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3112D9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5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246C00" w14:textId="197088C5" w:rsidR="008E4F1F" w:rsidRDefault="008E4F1F" w:rsidP="008E4F1F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D40637">
        <w:t>2007</w:t>
      </w:r>
      <w:r>
        <w:t xml:space="preserve">) </w:t>
      </w:r>
      <w:proofErr w:type="spellStart"/>
      <w:r w:rsidR="002D3F95" w:rsidRPr="002D3F95">
        <w:t>Natriumfluoracetat</w:t>
      </w:r>
      <w:proofErr w:type="spellEnd"/>
      <w:r>
        <w:t xml:space="preserve"> – MAK value documentation</w:t>
      </w:r>
      <w:r w:rsidR="00D40637">
        <w:t xml:space="preserve">, German language </w:t>
      </w:r>
      <w:proofErr w:type="spellStart"/>
      <w:r w:rsidR="00D40637">
        <w:t>editon</w:t>
      </w:r>
      <w:proofErr w:type="spellEnd"/>
      <w:r>
        <w:t>.</w:t>
      </w:r>
    </w:p>
    <w:p w14:paraId="1C4BA931" w14:textId="2A243ECC" w:rsidR="00D40637" w:rsidRPr="00D40637" w:rsidRDefault="00D40637" w:rsidP="008E4F1F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Pr="002D3F95">
        <w:t>2012</w:t>
      </w:r>
      <w:r>
        <w:t xml:space="preserve">) </w:t>
      </w:r>
      <w:proofErr w:type="spellStart"/>
      <w:r w:rsidRPr="002D3F95">
        <w:t>Natriumfluoracetat</w:t>
      </w:r>
      <w:proofErr w:type="spellEnd"/>
      <w:r>
        <w:t xml:space="preserve"> – MAK value documentation, German language edition.</w:t>
      </w:r>
    </w:p>
    <w:p w14:paraId="77EFB18B" w14:textId="48785D6A" w:rsidR="008E4F1F" w:rsidRDefault="008E4F1F" w:rsidP="008E4F1F">
      <w:r w:rsidRPr="00D86E03">
        <w:t>US National Institute for Occupational Safety and Health (NIOSH)</w:t>
      </w:r>
      <w:r>
        <w:t xml:space="preserve"> (</w:t>
      </w:r>
      <w:r w:rsidR="002D3F95" w:rsidRPr="002D3F95">
        <w:t>1994</w:t>
      </w:r>
      <w:r>
        <w:t xml:space="preserve">) Immediately dangerous to life or health concentrations – </w:t>
      </w:r>
      <w:r w:rsidR="002D3F95" w:rsidRPr="002D3F95">
        <w:t>Sodium fluoroacetate</w:t>
      </w:r>
      <w:r>
        <w:t>.</w:t>
      </w:r>
    </w:p>
    <w:p w14:paraId="123045C5" w14:textId="5AB6CDE5" w:rsidR="00D40637" w:rsidRDefault="002D3F95" w:rsidP="008E4F1F">
      <w:r w:rsidRPr="00D86E03">
        <w:t>US National Institute for Occupational Safety and Health (NIOSH)</w:t>
      </w:r>
      <w:r>
        <w:t xml:space="preserve"> (</w:t>
      </w:r>
      <w:r w:rsidRPr="002D3F95">
        <w:t>2019</w:t>
      </w:r>
      <w:r>
        <w:t xml:space="preserve">) </w:t>
      </w:r>
      <w:r w:rsidRPr="006B0272">
        <w:t xml:space="preserve">NIOSH Skin Notation Profiles: </w:t>
      </w:r>
      <w:r w:rsidRPr="002D3F95">
        <w:t>Sodium Fluoroacetate</w:t>
      </w:r>
      <w:r>
        <w:t>.</w:t>
      </w:r>
    </w:p>
    <w:p w14:paraId="417B0753" w14:textId="2D3F5C69" w:rsidR="008E4F1F" w:rsidRPr="00351FE0" w:rsidRDefault="00D40637" w:rsidP="00084859">
      <w:r w:rsidRPr="00D40637">
        <w:t>US Environmental Protection Authority (US EPA) (</w:t>
      </w:r>
      <w:r>
        <w:t>1991</w:t>
      </w:r>
      <w:r w:rsidRPr="00D40637">
        <w:t>) Integrated Risk Information System (IRIS) Chemical Assessment Summary – Sodium fluoroacetate.</w:t>
      </w:r>
    </w:p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59FE5" w14:textId="77777777" w:rsidR="00CD16B4" w:rsidRDefault="00CD16B4" w:rsidP="00F43AD5">
      <w:pPr>
        <w:spacing w:after="0" w:line="240" w:lineRule="auto"/>
      </w:pPr>
      <w:r>
        <w:separator/>
      </w:r>
    </w:p>
  </w:endnote>
  <w:endnote w:type="continuationSeparator" w:id="0">
    <w:p w14:paraId="46C8EFC7" w14:textId="77777777" w:rsidR="00CD16B4" w:rsidRDefault="00CD16B4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36D8ABA8" w:rsidR="008A36CF" w:rsidRDefault="00CF08B5" w:rsidP="0034744C">
        <w:pPr>
          <w:pStyle w:val="Footer"/>
          <w:rPr>
            <w:sz w:val="18"/>
            <w:szCs w:val="18"/>
          </w:rPr>
        </w:pPr>
        <w:r w:rsidRPr="00CF08B5">
          <w:rPr>
            <w:b/>
            <w:sz w:val="18"/>
            <w:szCs w:val="18"/>
          </w:rPr>
          <w:t>Sodium fluoroacetate</w:t>
        </w:r>
        <w:r w:rsidR="008A36CF">
          <w:rPr>
            <w:b/>
            <w:sz w:val="18"/>
            <w:szCs w:val="18"/>
          </w:rPr>
          <w:t xml:space="preserve"> (</w:t>
        </w:r>
        <w:r w:rsidRPr="00CF08B5">
          <w:rPr>
            <w:b/>
            <w:sz w:val="18"/>
            <w:szCs w:val="18"/>
          </w:rPr>
          <w:t>62-74-8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9F6B34">
          <w:rPr>
            <w:sz w:val="18"/>
            <w:szCs w:val="18"/>
          </w:rPr>
          <w:t xml:space="preserve"> 2020</w:t>
        </w:r>
      </w:p>
      <w:p w14:paraId="2D517F5E" w14:textId="0CCCD6CA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1A661A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171A2" w14:textId="77777777" w:rsidR="00CD16B4" w:rsidRDefault="00CD16B4" w:rsidP="00F43AD5">
      <w:pPr>
        <w:spacing w:after="0" w:line="240" w:lineRule="auto"/>
      </w:pPr>
      <w:r>
        <w:separator/>
      </w:r>
    </w:p>
  </w:footnote>
  <w:footnote w:type="continuationSeparator" w:id="0">
    <w:p w14:paraId="2D4674CC" w14:textId="77777777" w:rsidR="00CD16B4" w:rsidRDefault="00CD16B4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4A43D" w14:textId="63BA4DF3" w:rsidR="0028026D" w:rsidRDefault="0028026D" w:rsidP="0028026D">
    <w:pPr>
      <w:pStyle w:val="Header"/>
      <w:jc w:val="right"/>
    </w:pPr>
    <w:r>
      <w:rPr>
        <w:noProof/>
        <w:lang w:eastAsia="en-AU"/>
      </w:rPr>
      <w:drawing>
        <wp:inline distT="0" distB="0" distL="0" distR="0" wp14:anchorId="25AA1F04" wp14:editId="1FC3E059">
          <wp:extent cx="2947670" cy="600710"/>
          <wp:effectExtent l="0" t="0" r="5080" b="889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600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AA8792" w14:textId="40E1BD4C" w:rsidR="008A36CF" w:rsidRPr="0028026D" w:rsidRDefault="008A36CF" w:rsidP="002802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09FB4" w14:textId="1872C8EB" w:rsidR="008A36CF" w:rsidRDefault="0028026D" w:rsidP="0028026D">
    <w:pPr>
      <w:pStyle w:val="Header"/>
      <w:jc w:val="right"/>
    </w:pPr>
    <w:r>
      <w:rPr>
        <w:noProof/>
        <w:lang w:eastAsia="en-AU"/>
      </w:rPr>
      <w:drawing>
        <wp:inline distT="0" distB="0" distL="0" distR="0" wp14:anchorId="6DDCB5A8" wp14:editId="70C93BDB">
          <wp:extent cx="2947670" cy="600710"/>
          <wp:effectExtent l="0" t="0" r="5080" b="889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600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AB685B"/>
    <w:multiLevelType w:val="hybridMultilevel"/>
    <w:tmpl w:val="8B24556C"/>
    <w:lvl w:ilvl="0" w:tplc="D2268DA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982C61"/>
    <w:multiLevelType w:val="hybridMultilevel"/>
    <w:tmpl w:val="2FC87A90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B804E18"/>
    <w:multiLevelType w:val="hybridMultilevel"/>
    <w:tmpl w:val="6F2C6EA0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5A87B17"/>
    <w:multiLevelType w:val="hybridMultilevel"/>
    <w:tmpl w:val="86588332"/>
    <w:lvl w:ilvl="0" w:tplc="4D08966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7223607">
    <w:abstractNumId w:val="3"/>
  </w:num>
  <w:num w:numId="2" w16cid:durableId="509175017">
    <w:abstractNumId w:val="0"/>
  </w:num>
  <w:num w:numId="3" w16cid:durableId="1503815469">
    <w:abstractNumId w:val="2"/>
  </w:num>
  <w:num w:numId="4" w16cid:durableId="2075736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7E52"/>
    <w:rsid w:val="00046DF5"/>
    <w:rsid w:val="00051C73"/>
    <w:rsid w:val="00052060"/>
    <w:rsid w:val="00052B9D"/>
    <w:rsid w:val="000553A4"/>
    <w:rsid w:val="0005574A"/>
    <w:rsid w:val="00055FE1"/>
    <w:rsid w:val="00056EC2"/>
    <w:rsid w:val="00057D5D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0643"/>
    <w:rsid w:val="000D291C"/>
    <w:rsid w:val="000E5A54"/>
    <w:rsid w:val="000E63D3"/>
    <w:rsid w:val="000E67CF"/>
    <w:rsid w:val="00103F0D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5999"/>
    <w:rsid w:val="00160F47"/>
    <w:rsid w:val="00177CA1"/>
    <w:rsid w:val="00183823"/>
    <w:rsid w:val="00183942"/>
    <w:rsid w:val="001915F6"/>
    <w:rsid w:val="001A009E"/>
    <w:rsid w:val="001A0821"/>
    <w:rsid w:val="001A1287"/>
    <w:rsid w:val="001A3859"/>
    <w:rsid w:val="001A3C9D"/>
    <w:rsid w:val="001A43F8"/>
    <w:rsid w:val="001A661A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17082"/>
    <w:rsid w:val="00221547"/>
    <w:rsid w:val="002216FC"/>
    <w:rsid w:val="00222533"/>
    <w:rsid w:val="00222F30"/>
    <w:rsid w:val="00224EE2"/>
    <w:rsid w:val="00227EC7"/>
    <w:rsid w:val="00242EB9"/>
    <w:rsid w:val="00244AD1"/>
    <w:rsid w:val="002463BC"/>
    <w:rsid w:val="002465CE"/>
    <w:rsid w:val="0025734A"/>
    <w:rsid w:val="00263255"/>
    <w:rsid w:val="00276494"/>
    <w:rsid w:val="00277B0C"/>
    <w:rsid w:val="0028026D"/>
    <w:rsid w:val="002B1A2C"/>
    <w:rsid w:val="002C21B8"/>
    <w:rsid w:val="002C34F2"/>
    <w:rsid w:val="002C58FF"/>
    <w:rsid w:val="002C7AFE"/>
    <w:rsid w:val="002D05D2"/>
    <w:rsid w:val="002D3F95"/>
    <w:rsid w:val="002E0D61"/>
    <w:rsid w:val="002E4C7B"/>
    <w:rsid w:val="0030740C"/>
    <w:rsid w:val="003112D9"/>
    <w:rsid w:val="0031364D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23FD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68E3"/>
    <w:rsid w:val="00417A56"/>
    <w:rsid w:val="00420957"/>
    <w:rsid w:val="00422A10"/>
    <w:rsid w:val="00430179"/>
    <w:rsid w:val="00437FCE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1257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9286F"/>
    <w:rsid w:val="005A19C5"/>
    <w:rsid w:val="005A3034"/>
    <w:rsid w:val="005A462D"/>
    <w:rsid w:val="005B253B"/>
    <w:rsid w:val="005B771D"/>
    <w:rsid w:val="005C5D16"/>
    <w:rsid w:val="005D3193"/>
    <w:rsid w:val="005D4A6E"/>
    <w:rsid w:val="005E328B"/>
    <w:rsid w:val="005E6979"/>
    <w:rsid w:val="005E75CB"/>
    <w:rsid w:val="005F1ACE"/>
    <w:rsid w:val="006013C1"/>
    <w:rsid w:val="0060669E"/>
    <w:rsid w:val="00610F2E"/>
    <w:rsid w:val="00611399"/>
    <w:rsid w:val="00624C4E"/>
    <w:rsid w:val="00625200"/>
    <w:rsid w:val="00633959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6F6BAE"/>
    <w:rsid w:val="00701053"/>
    <w:rsid w:val="00701507"/>
    <w:rsid w:val="00714021"/>
    <w:rsid w:val="00716A0F"/>
    <w:rsid w:val="00717D45"/>
    <w:rsid w:val="007208F7"/>
    <w:rsid w:val="007218AF"/>
    <w:rsid w:val="00723816"/>
    <w:rsid w:val="007365D1"/>
    <w:rsid w:val="00740E0E"/>
    <w:rsid w:val="00750212"/>
    <w:rsid w:val="00754779"/>
    <w:rsid w:val="0075716D"/>
    <w:rsid w:val="00765F14"/>
    <w:rsid w:val="0076705C"/>
    <w:rsid w:val="00770E31"/>
    <w:rsid w:val="007770F1"/>
    <w:rsid w:val="0078105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D151F"/>
    <w:rsid w:val="007E063C"/>
    <w:rsid w:val="007E2A4B"/>
    <w:rsid w:val="007E307D"/>
    <w:rsid w:val="007E6A4E"/>
    <w:rsid w:val="007E6C94"/>
    <w:rsid w:val="007F1005"/>
    <w:rsid w:val="007F25E0"/>
    <w:rsid w:val="007F5328"/>
    <w:rsid w:val="00801515"/>
    <w:rsid w:val="00804F5A"/>
    <w:rsid w:val="00810C6D"/>
    <w:rsid w:val="00812887"/>
    <w:rsid w:val="00823A68"/>
    <w:rsid w:val="00826F21"/>
    <w:rsid w:val="00834CC8"/>
    <w:rsid w:val="00835E00"/>
    <w:rsid w:val="00835E21"/>
    <w:rsid w:val="00837113"/>
    <w:rsid w:val="008414E4"/>
    <w:rsid w:val="00843E21"/>
    <w:rsid w:val="0084508E"/>
    <w:rsid w:val="00845612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6DBF"/>
    <w:rsid w:val="008B7983"/>
    <w:rsid w:val="008C2511"/>
    <w:rsid w:val="008D026D"/>
    <w:rsid w:val="008D23AB"/>
    <w:rsid w:val="008D4B1A"/>
    <w:rsid w:val="008D4B8B"/>
    <w:rsid w:val="008D5A78"/>
    <w:rsid w:val="008E4F1F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0A32"/>
    <w:rsid w:val="00984920"/>
    <w:rsid w:val="0099303A"/>
    <w:rsid w:val="009971C2"/>
    <w:rsid w:val="009A1254"/>
    <w:rsid w:val="009A51DA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22DB"/>
    <w:rsid w:val="009F3B02"/>
    <w:rsid w:val="009F6B34"/>
    <w:rsid w:val="00A01D0C"/>
    <w:rsid w:val="00A0643F"/>
    <w:rsid w:val="00A067EE"/>
    <w:rsid w:val="00A10FCE"/>
    <w:rsid w:val="00A16D91"/>
    <w:rsid w:val="00A174CC"/>
    <w:rsid w:val="00A2073D"/>
    <w:rsid w:val="00A20751"/>
    <w:rsid w:val="00A26F96"/>
    <w:rsid w:val="00A27E2D"/>
    <w:rsid w:val="00A3093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C780E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253CF"/>
    <w:rsid w:val="00B40C60"/>
    <w:rsid w:val="00B479A9"/>
    <w:rsid w:val="00B52EDF"/>
    <w:rsid w:val="00B70578"/>
    <w:rsid w:val="00B71188"/>
    <w:rsid w:val="00B76A41"/>
    <w:rsid w:val="00B87D4C"/>
    <w:rsid w:val="00B93646"/>
    <w:rsid w:val="00BA0B38"/>
    <w:rsid w:val="00BA1DBB"/>
    <w:rsid w:val="00BA4510"/>
    <w:rsid w:val="00BA529A"/>
    <w:rsid w:val="00BB2C3B"/>
    <w:rsid w:val="00BB612A"/>
    <w:rsid w:val="00BD499F"/>
    <w:rsid w:val="00BD56DE"/>
    <w:rsid w:val="00BE29F6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4582"/>
    <w:rsid w:val="00CA58FE"/>
    <w:rsid w:val="00CB1CB1"/>
    <w:rsid w:val="00CB6BC1"/>
    <w:rsid w:val="00CB6CB8"/>
    <w:rsid w:val="00CC1A68"/>
    <w:rsid w:val="00CC2123"/>
    <w:rsid w:val="00CD16B4"/>
    <w:rsid w:val="00CD2BFD"/>
    <w:rsid w:val="00CE5AD6"/>
    <w:rsid w:val="00CE617F"/>
    <w:rsid w:val="00CE78EF"/>
    <w:rsid w:val="00CF08B5"/>
    <w:rsid w:val="00CF17FB"/>
    <w:rsid w:val="00D048F7"/>
    <w:rsid w:val="00D0517E"/>
    <w:rsid w:val="00D140FC"/>
    <w:rsid w:val="00D21D8C"/>
    <w:rsid w:val="00D31357"/>
    <w:rsid w:val="00D33220"/>
    <w:rsid w:val="00D334D1"/>
    <w:rsid w:val="00D40637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B02C5"/>
    <w:rsid w:val="00DC7694"/>
    <w:rsid w:val="00DD1BF6"/>
    <w:rsid w:val="00DD2F9B"/>
    <w:rsid w:val="00DE2513"/>
    <w:rsid w:val="00DE26E8"/>
    <w:rsid w:val="00DF6F36"/>
    <w:rsid w:val="00E0084C"/>
    <w:rsid w:val="00E01751"/>
    <w:rsid w:val="00E025AB"/>
    <w:rsid w:val="00E02B23"/>
    <w:rsid w:val="00E06F40"/>
    <w:rsid w:val="00E07CE8"/>
    <w:rsid w:val="00E11EE1"/>
    <w:rsid w:val="00E26A07"/>
    <w:rsid w:val="00E32476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C52F7"/>
    <w:rsid w:val="00ED1D89"/>
    <w:rsid w:val="00ED57DA"/>
    <w:rsid w:val="00ED66BC"/>
    <w:rsid w:val="00ED7337"/>
    <w:rsid w:val="00ED7AE7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76157"/>
    <w:rsid w:val="00F867D2"/>
    <w:rsid w:val="00F87D92"/>
    <w:rsid w:val="00F90AA7"/>
    <w:rsid w:val="00F92498"/>
    <w:rsid w:val="00F9496B"/>
    <w:rsid w:val="00F970C9"/>
    <w:rsid w:val="00FA06A8"/>
    <w:rsid w:val="00FA3DF5"/>
    <w:rsid w:val="00FA741F"/>
    <w:rsid w:val="00FB141D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1D603410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D406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063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0637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66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661A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93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B599A2982E664C76AE8FE83FF917F5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263496-F4E0-4946-B496-8689AD9FBC63}"/>
      </w:docPartPr>
      <w:docPartBody>
        <w:p w:rsidR="00CA78C7" w:rsidRDefault="00353147" w:rsidP="00353147">
          <w:pPr>
            <w:pStyle w:val="B599A2982E664C76AE8FE83FF917F59C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C3AE1A08A1E848C690378B71177212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1A8B15-FCC9-4170-91C8-6AA5548D3BD6}"/>
      </w:docPartPr>
      <w:docPartBody>
        <w:p w:rsidR="00CA78C7" w:rsidRDefault="00353147" w:rsidP="00353147">
          <w:pPr>
            <w:pStyle w:val="C3AE1A08A1E848C690378B7117721201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B57F3C7F158A48E196E1EE31D6EB01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4057C5-779F-4C91-A718-22FAF3EF287B}"/>
      </w:docPartPr>
      <w:docPartBody>
        <w:p w:rsidR="00CA78C7" w:rsidRDefault="00353147" w:rsidP="00353147">
          <w:pPr>
            <w:pStyle w:val="B57F3C7F158A48E196E1EE31D6EB018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2EE01A0C2D40475595DADD9B7B1AE6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5E33A3-61EA-4A18-88D5-E2724E51059C}"/>
      </w:docPartPr>
      <w:docPartBody>
        <w:p w:rsidR="00234141" w:rsidRDefault="00B85E5D" w:rsidP="00B85E5D">
          <w:pPr>
            <w:pStyle w:val="2EE01A0C2D40475595DADD9B7B1AE62D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234141"/>
    <w:rsid w:val="0031364D"/>
    <w:rsid w:val="00347D16"/>
    <w:rsid w:val="00353147"/>
    <w:rsid w:val="003E0149"/>
    <w:rsid w:val="00747EDB"/>
    <w:rsid w:val="00755FBF"/>
    <w:rsid w:val="00B85E5D"/>
    <w:rsid w:val="00CA72D3"/>
    <w:rsid w:val="00CA78C7"/>
    <w:rsid w:val="00D21A9F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85E5D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FFDE270CB50461B826B0194984892C5">
    <w:name w:val="CFFDE270CB50461B826B0194984892C5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  <w:style w:type="paragraph" w:customStyle="1" w:styleId="B599A2982E664C76AE8FE83FF917F59C">
    <w:name w:val="B599A2982E664C76AE8FE83FF917F59C"/>
    <w:rsid w:val="00353147"/>
  </w:style>
  <w:style w:type="paragraph" w:customStyle="1" w:styleId="C3AE1A08A1E848C690378B7117721201">
    <w:name w:val="C3AE1A08A1E848C690378B7117721201"/>
    <w:rsid w:val="00353147"/>
  </w:style>
  <w:style w:type="paragraph" w:customStyle="1" w:styleId="B57F3C7F158A48E196E1EE31D6EB018D">
    <w:name w:val="B57F3C7F158A48E196E1EE31D6EB018D"/>
    <w:rsid w:val="00353147"/>
  </w:style>
  <w:style w:type="paragraph" w:customStyle="1" w:styleId="2EE01A0C2D40475595DADD9B7B1AE62D">
    <w:name w:val="2EE01A0C2D40475595DADD9B7B1AE62D"/>
    <w:rsid w:val="00B85E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1c567317-0c4d-4a62-8516-c22afd1b5354"/>
    <ds:schemaRef ds:uri="a0509f21-ed56-4150-9955-96be669e5f2d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CEE34A6-65C3-4E7D-9A25-CB82C1CE8C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488999-F79A-4EA2-98AE-07DD5C0BE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1477</Words>
  <Characters>8422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9880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5</cp:revision>
  <cp:lastPrinted>2018-10-22T22:41:00Z</cp:lastPrinted>
  <dcterms:created xsi:type="dcterms:W3CDTF">2020-04-06T05:37:00Z</dcterms:created>
  <dcterms:modified xsi:type="dcterms:W3CDTF">2026-01-09T01:13:00Z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2026-01-07T01:35:30Z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54865313-b0e4-4a4e-b476-8062d0cf030d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