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41B0F69" w:rsidR="00BD499F" w:rsidRPr="004C23F4" w:rsidRDefault="009B738C" w:rsidP="00B40C60">
          <w:pPr>
            <w:pStyle w:val="Heading1"/>
            <w:jc w:val="center"/>
            <w:rPr>
              <w:rFonts w:ascii="Arial" w:hAnsi="Arial" w:cs="Arial"/>
            </w:rPr>
          </w:pPr>
          <w:r w:rsidRPr="009B738C">
            <w:rPr>
              <w:rFonts w:ascii="Arial" w:hAnsi="Arial" w:cs="Arial"/>
            </w:rPr>
            <w:t>Silver</w:t>
          </w:r>
          <w:r w:rsidR="00423640">
            <w:rPr>
              <w:rFonts w:ascii="Arial" w:hAnsi="Arial" w:cs="Arial"/>
            </w:rPr>
            <w:t xml:space="preserve"> and its salts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189D6E38" w14:textId="77777777" w:rsidTr="004D3412">
        <w:trPr>
          <w:cantSplit/>
          <w:tblHeader/>
        </w:trPr>
        <w:tc>
          <w:tcPr>
            <w:tcW w:w="3993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3" w:type="dxa"/>
          </w:tcPr>
          <w:p w14:paraId="3EDBFD9E" w14:textId="62AC1357" w:rsidR="00F43AD5" w:rsidRPr="00717D45" w:rsidRDefault="000327C1" w:rsidP="00B76A41">
            <w:pPr>
              <w:pStyle w:val="Tablefont"/>
            </w:pPr>
            <w:r w:rsidRPr="000327C1">
              <w:t>7440-22-4</w:t>
            </w:r>
            <w:r w:rsidR="00630AE8">
              <w:t xml:space="preserve"> (silver, metal)</w:t>
            </w:r>
          </w:p>
        </w:tc>
      </w:tr>
      <w:tr w:rsidR="00F43AD5" w:rsidRPr="004C23F4" w14:paraId="562A9F51" w14:textId="77777777" w:rsidTr="004D3412">
        <w:trPr>
          <w:cantSplit/>
        </w:trPr>
        <w:tc>
          <w:tcPr>
            <w:tcW w:w="3993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3" w:type="dxa"/>
          </w:tcPr>
          <w:p w14:paraId="32648AB9" w14:textId="273C46DD" w:rsidR="00F43AD5" w:rsidRPr="00717D45" w:rsidRDefault="000327C1" w:rsidP="00B76A41">
            <w:pPr>
              <w:pStyle w:val="Tablefont"/>
            </w:pPr>
            <w:r w:rsidRPr="000327C1">
              <w:t>—</w:t>
            </w:r>
          </w:p>
        </w:tc>
      </w:tr>
      <w:tr w:rsidR="00F43AD5" w:rsidRPr="004C23F4" w14:paraId="6EE54A08" w14:textId="77777777" w:rsidTr="004D3412">
        <w:trPr>
          <w:cantSplit/>
        </w:trPr>
        <w:tc>
          <w:tcPr>
            <w:tcW w:w="3993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3" w:type="dxa"/>
          </w:tcPr>
          <w:p w14:paraId="69369B00" w14:textId="0E4D49FC" w:rsidR="00F43AD5" w:rsidRPr="00717D45" w:rsidRDefault="000327C1" w:rsidP="00B76A41">
            <w:pPr>
              <w:pStyle w:val="Tablefont"/>
            </w:pPr>
            <w:r>
              <w:t>Ag</w:t>
            </w:r>
          </w:p>
        </w:tc>
      </w:tr>
    </w:tbl>
    <w:p w14:paraId="71D72173" w14:textId="00F732A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2364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6B952B5" w14:textId="2053E5FD" w:rsidR="00630AE8" w:rsidRDefault="00630AE8" w:rsidP="00017C82">
            <w:pPr>
              <w:pStyle w:val="Tablefont"/>
              <w:rPr>
                <w:b/>
              </w:rPr>
            </w:pPr>
            <w:r w:rsidRPr="00630AE8">
              <w:rPr>
                <w:b/>
              </w:rPr>
              <w:t>0.1 mg/m</w:t>
            </w:r>
            <w:r w:rsidRPr="00630AE8">
              <w:rPr>
                <w:b/>
                <w:vertAlign w:val="superscript"/>
              </w:rPr>
              <w:t>3</w:t>
            </w:r>
            <w:r w:rsidRPr="00630AE8">
              <w:rPr>
                <w:b/>
              </w:rPr>
              <w:t xml:space="preserve"> (silver, metal) </w:t>
            </w:r>
          </w:p>
          <w:p w14:paraId="43EB6150" w14:textId="03B736AE" w:rsidR="002C7AFE" w:rsidRPr="00630AE8" w:rsidRDefault="00630AE8" w:rsidP="00017C82">
            <w:pPr>
              <w:pStyle w:val="Tablefont"/>
              <w:rPr>
                <w:b/>
              </w:rPr>
            </w:pPr>
            <w:r w:rsidRPr="00630AE8">
              <w:rPr>
                <w:b/>
              </w:rPr>
              <w:t>0.01 mg/m</w:t>
            </w:r>
            <w:r w:rsidRPr="00630AE8">
              <w:rPr>
                <w:b/>
                <w:vertAlign w:val="superscript"/>
              </w:rPr>
              <w:t>3</w:t>
            </w:r>
            <w:r w:rsidRPr="00630AE8">
              <w:rPr>
                <w:b/>
              </w:rPr>
              <w:t xml:space="preserve"> (silver salts)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2FC1544" w:rsidR="00037E52" w:rsidRPr="00B76913" w:rsidRDefault="00B76913" w:rsidP="00037E52">
            <w:pPr>
              <w:pStyle w:val="Tablefont"/>
              <w:rPr>
                <w:b/>
                <w:caps/>
              </w:rPr>
            </w:pPr>
            <w:r>
              <w:rPr>
                <w:b/>
              </w:rPr>
              <w:t>10 mg</w:t>
            </w:r>
            <w:r w:rsidR="000327C1" w:rsidRPr="000327C1">
              <w:rPr>
                <w:b/>
              </w:rPr>
              <w:t>/m</w:t>
            </w:r>
            <w:r w:rsidR="000327C1" w:rsidRPr="000327C1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as Ag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1BB8066" w:rsidR="00155999" w:rsidRPr="00EB3D1B" w:rsidRDefault="00155999" w:rsidP="00037E52">
            <w:pPr>
              <w:pStyle w:val="Tablefont"/>
              <w:rPr>
                <w:b/>
              </w:rPr>
            </w:pPr>
            <w:r w:rsidRPr="004D3412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23640" w:rsidRPr="004D341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38C3CCE3" w:rsidR="006639B4" w:rsidRPr="004C23F4" w:rsidRDefault="00423640" w:rsidP="000C139A">
      <w:pPr>
        <w:rPr>
          <w:rFonts w:cs="Arial"/>
        </w:rPr>
      </w:pPr>
      <w:r w:rsidRPr="00423640">
        <w:rPr>
          <w:rFonts w:cs="Arial"/>
        </w:rPr>
        <w:t xml:space="preserve">A TWA of </w:t>
      </w:r>
      <w:r>
        <w:rPr>
          <w:rFonts w:cs="Arial"/>
        </w:rPr>
        <w:t>0.1</w:t>
      </w:r>
      <w:r w:rsidRPr="00423640">
        <w:rPr>
          <w:rFonts w:cs="Arial"/>
        </w:rPr>
        <w:t xml:space="preserve"> mg/m</w:t>
      </w:r>
      <w:r w:rsidRPr="00423640">
        <w:rPr>
          <w:rFonts w:cs="Arial"/>
          <w:vertAlign w:val="superscript"/>
        </w:rPr>
        <w:t>3</w:t>
      </w:r>
      <w:r>
        <w:rPr>
          <w:rFonts w:cs="Arial"/>
        </w:rPr>
        <w:t xml:space="preserve"> for metallic silver and 0.01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soluble silver salts </w:t>
      </w:r>
      <w:r w:rsidRPr="00423640">
        <w:rPr>
          <w:rFonts w:cs="Arial"/>
        </w:rPr>
        <w:t xml:space="preserve">is recommended </w:t>
      </w:r>
      <w:r>
        <w:rPr>
          <w:rFonts w:cs="Arial"/>
        </w:rPr>
        <w:t xml:space="preserve">to protect for permanent skin and mucous membrane discolouration </w:t>
      </w:r>
      <w:r w:rsidRPr="00423640">
        <w:rPr>
          <w:rFonts w:cs="Arial"/>
        </w:rPr>
        <w:t>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1F0E44" w14:textId="50E4E80D" w:rsidR="00E20A71" w:rsidRDefault="00FC6F76" w:rsidP="006639B4">
      <w:pPr>
        <w:rPr>
          <w:rFonts w:cs="Arial"/>
        </w:rPr>
      </w:pPr>
      <w:r>
        <w:rPr>
          <w:rFonts w:cs="Arial"/>
        </w:rPr>
        <w:t>Silver is used in the production of alloys, jewellery, tableware, photographic</w:t>
      </w:r>
      <w:r w:rsidR="00CF29A0">
        <w:rPr>
          <w:rFonts w:cs="Arial"/>
        </w:rPr>
        <w:t>,</w:t>
      </w:r>
      <w:r>
        <w:rPr>
          <w:rFonts w:cs="Arial"/>
        </w:rPr>
        <w:t xml:space="preserve"> medical materials and electronics.</w:t>
      </w:r>
      <w:r w:rsidR="00B46F34">
        <w:rPr>
          <w:rFonts w:cs="Arial"/>
        </w:rPr>
        <w:t xml:space="preserve"> </w:t>
      </w:r>
    </w:p>
    <w:p w14:paraId="32FE6F59" w14:textId="77777777" w:rsidR="00BE3607" w:rsidRDefault="00B46F34" w:rsidP="006639B4">
      <w:pPr>
        <w:rPr>
          <w:rFonts w:cs="Arial"/>
        </w:rPr>
      </w:pPr>
      <w:r>
        <w:rPr>
          <w:rFonts w:cs="Arial"/>
        </w:rPr>
        <w:t>The critical effect of exposure is a permanent generalised or localised grey-blue discolouration of the skin, eyes and mucous membranes</w:t>
      </w:r>
      <w:r w:rsidR="00FB6C8B">
        <w:rPr>
          <w:rFonts w:cs="Arial"/>
        </w:rPr>
        <w:t xml:space="preserve"> (argyria)</w:t>
      </w:r>
      <w:r>
        <w:rPr>
          <w:rFonts w:cs="Arial"/>
        </w:rPr>
        <w:t>.</w:t>
      </w:r>
      <w:r w:rsidR="00E20A71">
        <w:rPr>
          <w:rFonts w:cs="Arial"/>
        </w:rPr>
        <w:t xml:space="preserve"> </w:t>
      </w:r>
    </w:p>
    <w:p w14:paraId="338A82CE" w14:textId="4D8E31AF" w:rsidR="00B46F34" w:rsidRDefault="00BE3607" w:rsidP="006639B4">
      <w:pPr>
        <w:rPr>
          <w:rFonts w:cs="Arial"/>
        </w:rPr>
      </w:pPr>
      <w:r>
        <w:rPr>
          <w:rFonts w:cs="Arial"/>
        </w:rPr>
        <w:t>W</w:t>
      </w:r>
      <w:r w:rsidR="00FB6C8B">
        <w:rPr>
          <w:rFonts w:cs="Arial"/>
        </w:rPr>
        <w:t xml:space="preserve">orkplace studies </w:t>
      </w:r>
      <w:r w:rsidR="00C41921">
        <w:rPr>
          <w:rFonts w:cs="Arial"/>
        </w:rPr>
        <w:t>from</w:t>
      </w:r>
      <w:r w:rsidR="00B76913">
        <w:rPr>
          <w:rFonts w:cs="Arial"/>
        </w:rPr>
        <w:t xml:space="preserve"> different industries </w:t>
      </w:r>
      <w:r w:rsidR="00FB6C8B">
        <w:rPr>
          <w:rFonts w:cs="Arial"/>
        </w:rPr>
        <w:t>indicate a threshold for argyria above 0.1 mg/m</w:t>
      </w:r>
      <w:r w:rsidR="00FB6C8B">
        <w:rPr>
          <w:rFonts w:cs="Arial"/>
          <w:vertAlign w:val="superscript"/>
        </w:rPr>
        <w:t>3</w:t>
      </w:r>
      <w:r w:rsidR="00B76913">
        <w:rPr>
          <w:rFonts w:cs="Arial"/>
        </w:rPr>
        <w:t xml:space="preserve"> as</w:t>
      </w:r>
      <w:r w:rsidR="00FB6C8B">
        <w:rPr>
          <w:rFonts w:cs="Arial"/>
        </w:rPr>
        <w:t xml:space="preserve"> metallic silver and 0.04 mg/m</w:t>
      </w:r>
      <w:r w:rsidR="00FB6C8B">
        <w:rPr>
          <w:rFonts w:cs="Arial"/>
          <w:vertAlign w:val="superscript"/>
        </w:rPr>
        <w:t>3</w:t>
      </w:r>
      <w:r w:rsidR="00FB6C8B">
        <w:rPr>
          <w:rFonts w:cs="Arial"/>
        </w:rPr>
        <w:t xml:space="preserve"> </w:t>
      </w:r>
      <w:r w:rsidR="00B76913">
        <w:rPr>
          <w:rFonts w:cs="Arial"/>
        </w:rPr>
        <w:t>as soluble silver salts</w:t>
      </w:r>
      <w:r w:rsidR="00FB6C8B">
        <w:rPr>
          <w:rFonts w:cs="Arial"/>
        </w:rPr>
        <w:t xml:space="preserve"> (ACGIH, 2018; DFG, 1996; SCOEL, 1993). A review of </w:t>
      </w:r>
      <w:r w:rsidR="00C0037E">
        <w:rPr>
          <w:rFonts w:cs="Arial"/>
        </w:rPr>
        <w:t xml:space="preserve">human </w:t>
      </w:r>
      <w:r w:rsidR="00FB6C8B">
        <w:rPr>
          <w:rFonts w:cs="Arial"/>
        </w:rPr>
        <w:t>cases from ingestion or injection of colloidal silver suggests that chronic ingestion of a total of 1.4</w:t>
      </w:r>
      <w:r w:rsidR="00C41921">
        <w:rPr>
          <w:rFonts w:cs="Arial"/>
        </w:rPr>
        <w:t xml:space="preserve"> to </w:t>
      </w:r>
      <w:r w:rsidR="00FB6C8B">
        <w:rPr>
          <w:rFonts w:cs="Arial"/>
        </w:rPr>
        <w:t xml:space="preserve">3.8 g of silver </w:t>
      </w:r>
      <w:r>
        <w:rPr>
          <w:rFonts w:cs="Arial"/>
        </w:rPr>
        <w:t xml:space="preserve">over several months </w:t>
      </w:r>
      <w:r w:rsidR="00FB6C8B">
        <w:rPr>
          <w:rFonts w:cs="Arial"/>
        </w:rPr>
        <w:t xml:space="preserve">is required to elicit argyria. </w:t>
      </w:r>
    </w:p>
    <w:p w14:paraId="7DC34A56" w14:textId="546B4D40" w:rsidR="00B76913" w:rsidRPr="00B76913" w:rsidRDefault="00BE3607" w:rsidP="006639B4">
      <w:pPr>
        <w:rPr>
          <w:rFonts w:cs="Arial"/>
        </w:rPr>
      </w:pPr>
      <w:r>
        <w:rPr>
          <w:rFonts w:cs="Arial"/>
        </w:rPr>
        <w:t xml:space="preserve">The </w:t>
      </w:r>
      <w:r w:rsidR="00B76913">
        <w:rPr>
          <w:rFonts w:cs="Arial"/>
        </w:rPr>
        <w:t>TWA of 0.1 mg/m</w:t>
      </w:r>
      <w:r w:rsidR="00B76913">
        <w:rPr>
          <w:rFonts w:cs="Arial"/>
          <w:vertAlign w:val="superscript"/>
        </w:rPr>
        <w:t>3</w:t>
      </w:r>
      <w:r w:rsidR="00B76913">
        <w:rPr>
          <w:rFonts w:cs="Arial"/>
        </w:rPr>
        <w:t xml:space="preserve"> for elemental silver and 0.01</w:t>
      </w:r>
      <w:r>
        <w:rPr>
          <w:rFonts w:cs="Arial"/>
        </w:rPr>
        <w:t xml:space="preserve"> </w:t>
      </w:r>
      <w:r w:rsidR="00B76913">
        <w:rPr>
          <w:rFonts w:cs="Arial"/>
        </w:rPr>
        <w:t>mg/m</w:t>
      </w:r>
      <w:r w:rsidR="00B76913">
        <w:rPr>
          <w:rFonts w:cs="Arial"/>
          <w:vertAlign w:val="superscript"/>
        </w:rPr>
        <w:t>3</w:t>
      </w:r>
      <w:r w:rsidR="00B76913">
        <w:rPr>
          <w:rFonts w:cs="Arial"/>
        </w:rPr>
        <w:t xml:space="preserve"> for soluble silver salts are </w:t>
      </w:r>
      <w:r>
        <w:rPr>
          <w:rFonts w:cs="Arial"/>
        </w:rPr>
        <w:t xml:space="preserve">recommended to be </w:t>
      </w:r>
      <w:r w:rsidR="00B76913">
        <w:rPr>
          <w:rFonts w:cs="Arial"/>
        </w:rPr>
        <w:t>retained</w:t>
      </w:r>
      <w:r w:rsidR="00F167F2">
        <w:rPr>
          <w:rFonts w:cs="Arial"/>
        </w:rPr>
        <w:t>. This recommendation is</w:t>
      </w:r>
      <w:r w:rsidR="00B76913">
        <w:rPr>
          <w:rFonts w:cs="Arial"/>
        </w:rPr>
        <w:t xml:space="preserve"> based on the weight of evidence </w:t>
      </w:r>
      <w:r w:rsidR="006953E9">
        <w:rPr>
          <w:rFonts w:cs="Arial"/>
        </w:rPr>
        <w:t xml:space="preserve">of </w:t>
      </w:r>
      <w:r w:rsidR="00423640">
        <w:rPr>
          <w:rFonts w:cs="Arial"/>
        </w:rPr>
        <w:t>thresholds for the development of argyria from occupational exposure to airborne</w:t>
      </w:r>
      <w:r w:rsidR="00B76913">
        <w:rPr>
          <w:rFonts w:cs="Arial"/>
        </w:rPr>
        <w:t xml:space="preserve"> metallic and soluble silver and </w:t>
      </w:r>
      <w:r w:rsidR="006953E9">
        <w:rPr>
          <w:rFonts w:cs="Arial"/>
        </w:rPr>
        <w:t xml:space="preserve">retention of </w:t>
      </w:r>
      <w:r w:rsidR="00B76913">
        <w:rPr>
          <w:rFonts w:cs="Arial"/>
        </w:rPr>
        <w:t>25</w:t>
      </w:r>
      <w:r w:rsidR="00E20A71">
        <w:rPr>
          <w:rFonts w:cs="Arial"/>
        </w:rPr>
        <w:t xml:space="preserve"> per cent</w:t>
      </w:r>
      <w:r w:rsidR="00B76913">
        <w:rPr>
          <w:rFonts w:cs="Arial"/>
        </w:rPr>
        <w:t xml:space="preserve"> </w:t>
      </w:r>
      <w:r w:rsidR="006953E9">
        <w:rPr>
          <w:rFonts w:cs="Arial"/>
        </w:rPr>
        <w:t>dose in humans following inhalation</w:t>
      </w:r>
      <w:r w:rsidR="00B76913">
        <w:rPr>
          <w:rFonts w:cs="Arial"/>
        </w:rPr>
        <w:t>.</w:t>
      </w:r>
      <w:r w:rsidR="00423640">
        <w:rPr>
          <w:rFonts w:cs="Arial"/>
        </w:rPr>
        <w:t xml:space="preserve"> The </w:t>
      </w:r>
      <w:r>
        <w:rPr>
          <w:rFonts w:cs="Arial"/>
        </w:rPr>
        <w:t>TWA for</w:t>
      </w:r>
      <w:r w:rsidR="00423640">
        <w:rPr>
          <w:rFonts w:cs="Arial"/>
        </w:rPr>
        <w:t xml:space="preserve"> both silver and its salts is </w:t>
      </w:r>
      <w:r>
        <w:rPr>
          <w:rFonts w:cs="Arial"/>
        </w:rPr>
        <w:t xml:space="preserve">the same as the </w:t>
      </w:r>
      <w:r w:rsidR="00F167F2">
        <w:rPr>
          <w:rFonts w:cs="Arial"/>
        </w:rPr>
        <w:t>o</w:t>
      </w:r>
      <w:r>
        <w:rPr>
          <w:rFonts w:cs="Arial"/>
        </w:rPr>
        <w:t xml:space="preserve">ccupational </w:t>
      </w:r>
      <w:r w:rsidR="00F167F2">
        <w:rPr>
          <w:rFonts w:cs="Arial"/>
        </w:rPr>
        <w:t>e</w:t>
      </w:r>
      <w:r>
        <w:rPr>
          <w:rFonts w:cs="Arial"/>
        </w:rPr>
        <w:t xml:space="preserve">xposure </w:t>
      </w:r>
      <w:r w:rsidR="00F167F2">
        <w:rPr>
          <w:rFonts w:cs="Arial"/>
        </w:rPr>
        <w:t>l</w:t>
      </w:r>
      <w:r>
        <w:rPr>
          <w:rFonts w:cs="Arial"/>
        </w:rPr>
        <w:t>imits</w:t>
      </w:r>
      <w:r w:rsidR="00423640">
        <w:rPr>
          <w:rFonts w:cs="Arial"/>
        </w:rPr>
        <w:t xml:space="preserve"> </w:t>
      </w:r>
      <w:r>
        <w:rPr>
          <w:rFonts w:cs="Arial"/>
        </w:rPr>
        <w:t xml:space="preserve">derived by </w:t>
      </w:r>
      <w:r w:rsidR="00423640">
        <w:rPr>
          <w:rFonts w:cs="Arial"/>
        </w:rPr>
        <w:t xml:space="preserve">ACGIH (2018) and DFG (1996, 2002). </w:t>
      </w:r>
      <w:r w:rsidR="006F1E0A">
        <w:rPr>
          <w:rFonts w:cs="Arial"/>
        </w:rPr>
        <w:t>The TWA derived by SCOEL (1993) is also the same as the retained SWA TWA.</w:t>
      </w:r>
    </w:p>
    <w:p w14:paraId="273B44AD" w14:textId="77777777" w:rsidR="004529F0" w:rsidRPr="004C23F4" w:rsidRDefault="004529F0" w:rsidP="00F167F2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423640" w:rsidRDefault="008E4F1F" w:rsidP="008E4F1F">
      <w:pPr>
        <w:rPr>
          <w:rFonts w:cs="Arial"/>
        </w:rPr>
      </w:pPr>
      <w:r w:rsidRPr="00423640">
        <w:rPr>
          <w:rFonts w:cs="Arial"/>
        </w:rPr>
        <w:t>Not classified as a carcinogen according to the Globally Harmonized System of</w:t>
      </w:r>
      <w:r w:rsidR="00155999" w:rsidRPr="00423640">
        <w:rPr>
          <w:rFonts w:cs="Arial"/>
        </w:rPr>
        <w:t xml:space="preserve"> Classification and Labelling of</w:t>
      </w:r>
      <w:r w:rsidRPr="00423640">
        <w:rPr>
          <w:rFonts w:cs="Arial"/>
        </w:rPr>
        <w:t xml:space="preserve"> Chemicals (GHS). </w:t>
      </w:r>
    </w:p>
    <w:p w14:paraId="03916CCC" w14:textId="77777777" w:rsidR="008E4F1F" w:rsidRPr="00423640" w:rsidRDefault="008E4F1F" w:rsidP="008E4F1F">
      <w:pPr>
        <w:rPr>
          <w:rFonts w:cs="Arial"/>
        </w:rPr>
      </w:pPr>
      <w:r w:rsidRPr="00423640">
        <w:rPr>
          <w:rFonts w:cs="Arial"/>
        </w:rPr>
        <w:t xml:space="preserve">Not classified as a skin </w:t>
      </w:r>
      <w:r w:rsidR="00155999" w:rsidRPr="00423640">
        <w:rPr>
          <w:rFonts w:cs="Arial"/>
        </w:rPr>
        <w:t xml:space="preserve">sensitiser </w:t>
      </w:r>
      <w:r w:rsidRPr="00423640">
        <w:rPr>
          <w:rFonts w:cs="Arial"/>
        </w:rPr>
        <w:t>or respiratory sensitiser according to the GHS.</w:t>
      </w:r>
    </w:p>
    <w:p w14:paraId="4C1F8D43" w14:textId="0D240636" w:rsidR="005E6979" w:rsidRPr="004C23F4" w:rsidRDefault="00C0037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8E4F1F" w:rsidRPr="00423640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423640">
        <w:rPr>
          <w:rFonts w:cs="Arial"/>
        </w:rPr>
        <w:t xml:space="preserve"> to recommend a skin notation.</w:t>
      </w: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53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8921"/>
      </w:tblGrid>
      <w:tr w:rsidR="00C978F0" w:rsidRPr="00DA352E" w14:paraId="257268B5" w14:textId="77777777" w:rsidTr="007E6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4D3412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3127B3A8" w14:textId="2BDE7E7D" w:rsidR="00DE26E8" w:rsidRPr="00423640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7293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72939">
                  <w:t>TWA: 0.1 mg/m</w:t>
                </w:r>
                <w:r w:rsidR="00872939" w:rsidRPr="00872939">
                  <w:rPr>
                    <w:vertAlign w:val="superscript"/>
                  </w:rPr>
                  <w:t>3</w:t>
                </w:r>
                <w:r w:rsidR="00423640">
                  <w:t xml:space="preserve"> (silver, metal); 0.01 mg/m</w:t>
                </w:r>
                <w:r w:rsidR="00423640">
                  <w:rPr>
                    <w:vertAlign w:val="superscript"/>
                  </w:rPr>
                  <w:t>3</w:t>
                </w:r>
                <w:r w:rsidR="00423640">
                  <w:t xml:space="preserve"> (silver salts)</w:t>
                </w:r>
              </w:sdtContent>
            </w:sdt>
            <w:r w:rsidR="00423640">
              <w:t xml:space="preserve"> </w:t>
            </w:r>
          </w:p>
        </w:tc>
      </w:tr>
      <w:tr w:rsidR="00C978F0" w:rsidRPr="00DA352E" w14:paraId="26087DDB" w14:textId="77777777" w:rsidTr="007E67E0">
        <w:tc>
          <w:tcPr>
            <w:tcW w:w="5000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2ED10929" w14:textId="776BEEB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7293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72939">
                  <w:t>T</w:t>
                </w:r>
                <w:r w:rsidR="001E3307">
                  <w:t xml:space="preserve">LV-TWA: </w:t>
                </w:r>
                <w:r w:rsidR="00423640">
                  <w:t>0.1 mg/m</w:t>
                </w:r>
                <w:r w:rsidR="00423640" w:rsidRPr="00872939">
                  <w:rPr>
                    <w:vertAlign w:val="superscript"/>
                  </w:rPr>
                  <w:t>3</w:t>
                </w:r>
                <w:r w:rsidR="00423640">
                  <w:t xml:space="preserve"> (silver, metal); 0.01 mg/m</w:t>
                </w:r>
                <w:r w:rsidR="00423640">
                  <w:rPr>
                    <w:vertAlign w:val="superscript"/>
                  </w:rPr>
                  <w:t>3</w:t>
                </w:r>
                <w:r w:rsidR="00423640">
                  <w:t xml:space="preserve"> (silver salts)</w:t>
                </w:r>
              </w:sdtContent>
            </w:sdt>
          </w:p>
        </w:tc>
      </w:tr>
      <w:tr w:rsidR="00C978F0" w:rsidRPr="00DA352E" w14:paraId="418D532D" w14:textId="77777777" w:rsidTr="007E67E0">
        <w:tc>
          <w:tcPr>
            <w:tcW w:w="5000" w:type="pct"/>
          </w:tcPr>
          <w:p w14:paraId="603BF87A" w14:textId="38F8B38F" w:rsidR="00C978F0" w:rsidRDefault="006422AA" w:rsidP="003365A5">
            <w:pPr>
              <w:pStyle w:val="Tabletextprimarysource"/>
            </w:pPr>
            <w:r>
              <w:t xml:space="preserve">Grouped assessment of elemental </w:t>
            </w:r>
            <w:r w:rsidR="00E20A71">
              <w:t xml:space="preserve">Ag </w:t>
            </w:r>
            <w:r>
              <w:t xml:space="preserve">and soluble </w:t>
            </w:r>
            <w:r w:rsidR="00E20A71">
              <w:t xml:space="preserve">Ag </w:t>
            </w:r>
            <w:r>
              <w:t xml:space="preserve">compounds. TLV-TWA intended to protect for </w:t>
            </w:r>
            <w:r w:rsidR="00AF3CCF">
              <w:t xml:space="preserve">permanent </w:t>
            </w:r>
            <w:r>
              <w:t xml:space="preserve">grey-blue skin </w:t>
            </w:r>
            <w:r w:rsidR="00FC6F76">
              <w:t xml:space="preserve">and mucous membrane </w:t>
            </w:r>
            <w:r>
              <w:t>discolouration (argyria)</w:t>
            </w:r>
            <w:r w:rsidR="00FC6F76">
              <w:t>.</w:t>
            </w:r>
          </w:p>
          <w:p w14:paraId="39EF9BDE" w14:textId="497E7632" w:rsidR="00FC6F76" w:rsidRDefault="00FC6F76" w:rsidP="003365A5">
            <w:pPr>
              <w:pStyle w:val="Tabletextprimarysource"/>
            </w:pPr>
            <w:r>
              <w:t>Summary of information:</w:t>
            </w:r>
          </w:p>
          <w:p w14:paraId="20CE4181" w14:textId="0599C9C9" w:rsidR="00FC6F76" w:rsidRPr="00282DC3" w:rsidRDefault="006F1E0A" w:rsidP="003365A5">
            <w:pPr>
              <w:pStyle w:val="Tabletextprimarysource"/>
            </w:pPr>
            <w:r>
              <w:t>TLV-TWA of 0.1 mg/m</w:t>
            </w:r>
            <w:r>
              <w:rPr>
                <w:vertAlign w:val="superscript"/>
              </w:rPr>
              <w:t>3</w:t>
            </w:r>
            <w:r>
              <w:t xml:space="preserve"> elemental Ag is b</w:t>
            </w:r>
            <w:r w:rsidR="00282DC3">
              <w:t>ased on lack of argyria from occupational exposures at 0.1 mg/m</w:t>
            </w:r>
            <w:r w:rsidR="00282DC3">
              <w:rPr>
                <w:vertAlign w:val="superscript"/>
              </w:rPr>
              <w:t>3</w:t>
            </w:r>
            <w:r w:rsidR="00282DC3">
              <w:t xml:space="preserve"> and 25% lung retention following inhalation</w:t>
            </w:r>
            <w:r>
              <w:t xml:space="preserve">. Exposure </w:t>
            </w:r>
            <w:r w:rsidR="00282DC3">
              <w:t xml:space="preserve">at </w:t>
            </w:r>
            <w:r>
              <w:t xml:space="preserve">this concentration is </w:t>
            </w:r>
            <w:r w:rsidR="00282DC3">
              <w:t>expected to result in maximum total ingestion of 1.5 g after 25 yr</w:t>
            </w:r>
            <w:r>
              <w:t>,</w:t>
            </w:r>
            <w:r w:rsidR="00282DC3">
              <w:t xml:space="preserve"> which is lower than the amount required to produce generalised argyria. </w:t>
            </w:r>
            <w:r w:rsidR="00E20A71">
              <w:t xml:space="preserve">Ag </w:t>
            </w:r>
            <w:r w:rsidR="00282DC3">
              <w:t xml:space="preserve">salts are considered more toxic than elemental </w:t>
            </w:r>
            <w:r w:rsidR="00E20A71">
              <w:t>Ag</w:t>
            </w:r>
            <w:r w:rsidR="00282DC3">
              <w:t>;</w:t>
            </w:r>
            <w:r w:rsidR="00E20A71">
              <w:t xml:space="preserve"> </w:t>
            </w:r>
            <w:r>
              <w:t>therefore</w:t>
            </w:r>
            <w:r w:rsidR="00F167F2">
              <w:t>,</w:t>
            </w:r>
            <w:r>
              <w:t xml:space="preserve"> a TWA of </w:t>
            </w:r>
            <w:r w:rsidR="00282DC3">
              <w:t>0.01 mg/m</w:t>
            </w:r>
            <w:r w:rsidR="00282DC3">
              <w:rPr>
                <w:vertAlign w:val="superscript"/>
              </w:rPr>
              <w:t>3</w:t>
            </w:r>
            <w:r w:rsidR="00282DC3">
              <w:t xml:space="preserve"> </w:t>
            </w:r>
            <w:r>
              <w:t xml:space="preserve">is </w:t>
            </w:r>
            <w:r w:rsidR="00282DC3">
              <w:t>expected to be protective of argyria from soluble salts (derivation for salts not discussed).</w:t>
            </w:r>
          </w:p>
          <w:p w14:paraId="13894B70" w14:textId="2D4DE81C" w:rsidR="00FC6F76" w:rsidRDefault="00FC6F76" w:rsidP="003365A5">
            <w:pPr>
              <w:pStyle w:val="Tabletextprimarysource"/>
            </w:pPr>
            <w:r>
              <w:t>Human data:</w:t>
            </w:r>
          </w:p>
          <w:p w14:paraId="37F1D087" w14:textId="2E7367B8" w:rsidR="00E20A71" w:rsidRDefault="006F1E0A" w:rsidP="00522D7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Upper respiratory tract </w:t>
            </w:r>
            <w:r w:rsidR="00680D57">
              <w:t>irritation in reclamation workers at 0.039–0.378 mg/m</w:t>
            </w:r>
            <w:r w:rsidR="00680D57">
              <w:rPr>
                <w:vertAlign w:val="superscript"/>
              </w:rPr>
              <w:t>3</w:t>
            </w:r>
            <w:r w:rsidR="00680D57">
              <w:t xml:space="preserve"> (8 h/d, 1</w:t>
            </w:r>
            <w:r>
              <w:noBreakHyphen/>
            </w:r>
            <w:r w:rsidR="00680D57">
              <w:t>10</w:t>
            </w:r>
            <w:r>
              <w:t> </w:t>
            </w:r>
            <w:r w:rsidR="00680D57">
              <w:t>yr)</w:t>
            </w:r>
            <w:r w:rsidR="00156FB7">
              <w:t>:</w:t>
            </w:r>
            <w:r w:rsidR="00680D57">
              <w:t xml:space="preserve"> </w:t>
            </w:r>
          </w:p>
          <w:p w14:paraId="21C561CA" w14:textId="1C5EC2B5" w:rsidR="00E20A71" w:rsidRDefault="00680D57" w:rsidP="00E20A71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granular </w:t>
            </w:r>
            <w:r w:rsidR="00E20A71">
              <w:t>Ag</w:t>
            </w:r>
            <w:r>
              <w:t xml:space="preserve"> deposits in conjunctiva and cornea, </w:t>
            </w:r>
          </w:p>
          <w:p w14:paraId="0E41C1C9" w14:textId="6C916B11" w:rsidR="00FC6F76" w:rsidRDefault="00680D57" w:rsidP="004D3412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no radiographic </w:t>
            </w:r>
            <w:r w:rsidR="00C0037E">
              <w:t>abnormalities</w:t>
            </w:r>
            <w:r>
              <w:t xml:space="preserve"> in chest</w:t>
            </w:r>
          </w:p>
          <w:p w14:paraId="2B35254F" w14:textId="7A604A74" w:rsidR="00680D57" w:rsidRDefault="00680D57" w:rsidP="00522D71">
            <w:pPr>
              <w:pStyle w:val="Tabletextprimarysource"/>
              <w:numPr>
                <w:ilvl w:val="0"/>
                <w:numId w:val="2"/>
              </w:numPr>
            </w:pPr>
            <w:r>
              <w:t>25% of inhaled dose accumulated in liver 2–6 d following exposure in volunteer study</w:t>
            </w:r>
          </w:p>
          <w:p w14:paraId="34868A89" w14:textId="77777777" w:rsidR="00680D57" w:rsidRDefault="00680D57" w:rsidP="00522D71">
            <w:pPr>
              <w:pStyle w:val="Tabletextprimarysource"/>
              <w:numPr>
                <w:ilvl w:val="0"/>
                <w:numId w:val="2"/>
              </w:numPr>
            </w:pPr>
            <w:r>
              <w:t>Blood levels of 0.011 µg/mL in 80% of photographic workers exposed on average at 0.001–0.1 mg/m</w:t>
            </w:r>
            <w:r>
              <w:rPr>
                <w:vertAlign w:val="superscript"/>
              </w:rPr>
              <w:t>3</w:t>
            </w:r>
          </w:p>
          <w:p w14:paraId="66B940D2" w14:textId="232C7FDB" w:rsidR="00680D57" w:rsidRDefault="00680D57" w:rsidP="00680D57">
            <w:pPr>
              <w:pStyle w:val="Tabletextprimarysource"/>
              <w:numPr>
                <w:ilvl w:val="0"/>
                <w:numId w:val="2"/>
              </w:numPr>
            </w:pPr>
            <w:r>
              <w:t>No cases of argyria reported in polishers occupationally exposed at 0.1 mg/m</w:t>
            </w:r>
            <w:r>
              <w:rPr>
                <w:vertAlign w:val="superscript"/>
              </w:rPr>
              <w:t>3</w:t>
            </w:r>
          </w:p>
          <w:p w14:paraId="7F967342" w14:textId="73D4F286" w:rsidR="00680D57" w:rsidRDefault="00680D57" w:rsidP="00680D57">
            <w:pPr>
              <w:pStyle w:val="Tabletextprimarysource"/>
              <w:numPr>
                <w:ilvl w:val="0"/>
                <w:numId w:val="2"/>
              </w:numPr>
            </w:pPr>
            <w:r>
              <w:t>12</w:t>
            </w:r>
            <w:r w:rsidR="00CC10CE">
              <w:t xml:space="preserve"> cases of argyria reported in electronics workers exposed at 1–2 mg/m</w:t>
            </w:r>
            <w:r w:rsidR="00CC10CE">
              <w:rPr>
                <w:vertAlign w:val="superscript"/>
              </w:rPr>
              <w:t>3</w:t>
            </w:r>
            <w:r w:rsidR="00CC10CE">
              <w:t xml:space="preserve"> during varnish spraying</w:t>
            </w:r>
          </w:p>
          <w:p w14:paraId="4B690267" w14:textId="5A4D7151" w:rsidR="00CC10CE" w:rsidRDefault="00CC10CE" w:rsidP="00680D5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Review of </w:t>
            </w:r>
            <w:r w:rsidR="006522EE">
              <w:t>occupational hygiene data from photographic industry associated occupational exposures to AgNO</w:t>
            </w:r>
            <w:r w:rsidR="006522EE">
              <w:rPr>
                <w:vertAlign w:val="subscript"/>
              </w:rPr>
              <w:t>3</w:t>
            </w:r>
            <w:r w:rsidR="006522EE">
              <w:t xml:space="preserve"> above 1 mg/m</w:t>
            </w:r>
            <w:r w:rsidR="006522EE">
              <w:rPr>
                <w:vertAlign w:val="superscript"/>
              </w:rPr>
              <w:t>3</w:t>
            </w:r>
            <w:r w:rsidR="006522EE">
              <w:t xml:space="preserve"> with development of generalised argyria and 0.1 mg/m</w:t>
            </w:r>
            <w:r w:rsidR="006522EE">
              <w:rPr>
                <w:vertAlign w:val="superscript"/>
              </w:rPr>
              <w:t>3</w:t>
            </w:r>
            <w:r w:rsidR="006522EE">
              <w:t xml:space="preserve"> with slight localised discolouration of mucous membranes </w:t>
            </w:r>
          </w:p>
          <w:p w14:paraId="6D5AC699" w14:textId="5C1A4B4A" w:rsidR="00CC10CE" w:rsidRDefault="00CC10CE" w:rsidP="00680D5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Argyria may occur after total ingestion of </w:t>
            </w:r>
            <w:r w:rsidR="0002310A">
              <w:t>~</w:t>
            </w:r>
            <w:r w:rsidR="006522EE">
              <w:t>1.4</w:t>
            </w:r>
            <w:r w:rsidR="00282DC3">
              <w:t>–3.8</w:t>
            </w:r>
            <w:r w:rsidR="006522EE">
              <w:t xml:space="preserve"> g over several months</w:t>
            </w:r>
          </w:p>
          <w:p w14:paraId="6613F65C" w14:textId="7D31BC69" w:rsidR="00680D57" w:rsidRDefault="00282DC3" w:rsidP="00282DC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Exposed </w:t>
            </w:r>
            <w:r w:rsidR="00680D57">
              <w:t>polishers showed increased densities in lung radiographs</w:t>
            </w:r>
          </w:p>
          <w:p w14:paraId="535CAEDC" w14:textId="7B6D80D3" w:rsidR="00680D57" w:rsidRDefault="00282DC3" w:rsidP="00282DC3">
            <w:pPr>
              <w:pStyle w:val="Tabletextprimarysource"/>
              <w:numPr>
                <w:ilvl w:val="0"/>
                <w:numId w:val="2"/>
              </w:numPr>
            </w:pPr>
            <w:r>
              <w:t>O</w:t>
            </w:r>
            <w:r w:rsidR="00680D57">
              <w:t xml:space="preserve">verexposure to heated </w:t>
            </w:r>
            <w:r w:rsidR="0002310A">
              <w:t>Ag</w:t>
            </w:r>
            <w:r w:rsidR="00680D57">
              <w:t xml:space="preserve"> vapour caused pulmonary oedema</w:t>
            </w:r>
            <w:r w:rsidR="0002310A">
              <w:t>.</w:t>
            </w:r>
          </w:p>
          <w:p w14:paraId="5EB888A5" w14:textId="65CD40F4" w:rsidR="00FC6F76" w:rsidRDefault="00FC6F76" w:rsidP="003365A5">
            <w:pPr>
              <w:pStyle w:val="Tabletextprimarysource"/>
            </w:pPr>
            <w:r>
              <w:t>Animal data:</w:t>
            </w:r>
          </w:p>
          <w:p w14:paraId="4FA8F28C" w14:textId="64D1963E" w:rsidR="00FC6F76" w:rsidRDefault="00FC6F76" w:rsidP="00FC6F76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B343DC">
              <w:t xml:space="preserve"> (AgNO</w:t>
            </w:r>
            <w:r w:rsidR="00B343DC">
              <w:rPr>
                <w:vertAlign w:val="subscript"/>
              </w:rPr>
              <w:t>3</w:t>
            </w:r>
            <w:r w:rsidR="00B343DC">
              <w:t>)</w:t>
            </w:r>
            <w:r>
              <w:t xml:space="preserve">: </w:t>
            </w:r>
            <w:r w:rsidR="00B343DC">
              <w:t>50 mg/kg (mice); LD</w:t>
            </w:r>
            <w:r w:rsidR="00B343DC">
              <w:rPr>
                <w:vertAlign w:val="subscript"/>
              </w:rPr>
              <w:t>LO</w:t>
            </w:r>
            <w:r w:rsidR="00B343DC">
              <w:t xml:space="preserve"> (Ag</w:t>
            </w:r>
            <w:r w:rsidR="00B343DC">
              <w:rPr>
                <w:vertAlign w:val="subscript"/>
              </w:rPr>
              <w:t>2</w:t>
            </w:r>
            <w:r w:rsidR="00B343DC">
              <w:t>O): 2,820 mg/kg (rats)</w:t>
            </w:r>
          </w:p>
          <w:p w14:paraId="210AEDBF" w14:textId="66D96D4A" w:rsidR="00E20A71" w:rsidRDefault="00B343DC" w:rsidP="00FC6F76">
            <w:pPr>
              <w:pStyle w:val="Tabletextprimarysource"/>
              <w:numPr>
                <w:ilvl w:val="0"/>
                <w:numId w:val="1"/>
              </w:numPr>
            </w:pPr>
            <w:r>
              <w:t>Reduced b</w:t>
            </w:r>
            <w:r w:rsidR="00E20A71">
              <w:t>w</w:t>
            </w:r>
            <w:r>
              <w:t xml:space="preserve"> gain following dermal application of 2 mL dose (0.24 M) of AgNO</w:t>
            </w:r>
            <w:r>
              <w:rPr>
                <w:vertAlign w:val="subscript"/>
              </w:rPr>
              <w:t>3</w:t>
            </w:r>
            <w:r>
              <w:t xml:space="preserve"> (guinea pigs)</w:t>
            </w:r>
            <w:r w:rsidR="00156FB7">
              <w:t>:</w:t>
            </w:r>
            <w:r>
              <w:t xml:space="preserve"> </w:t>
            </w:r>
          </w:p>
          <w:p w14:paraId="518BFEDF" w14:textId="0C6BDD06" w:rsidR="00B343DC" w:rsidRDefault="00B343DC" w:rsidP="004D3412">
            <w:pPr>
              <w:pStyle w:val="Tabletextprimarysource"/>
              <w:numPr>
                <w:ilvl w:val="0"/>
                <w:numId w:val="5"/>
              </w:numPr>
            </w:pPr>
            <w:r>
              <w:t>1% of dose absorbed (no further details provided)</w:t>
            </w:r>
          </w:p>
          <w:p w14:paraId="3021F188" w14:textId="1B4DFD00" w:rsidR="00E20A71" w:rsidRDefault="00B343DC" w:rsidP="00FC6F7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Ocular </w:t>
            </w:r>
            <w:r w:rsidR="00525966">
              <w:t>argyria, increased mortality</w:t>
            </w:r>
            <w:r w:rsidR="00E20A71">
              <w:t xml:space="preserve"> </w:t>
            </w:r>
            <w:r w:rsidR="00525966">
              <w:t>and reduced b</w:t>
            </w:r>
            <w:r w:rsidR="00E20A71">
              <w:t>w</w:t>
            </w:r>
            <w:r w:rsidR="00525966">
              <w:t xml:space="preserve"> at 222 mg/kg/d AgNO</w:t>
            </w:r>
            <w:r w:rsidR="00525966">
              <w:rPr>
                <w:vertAlign w:val="subscript"/>
              </w:rPr>
              <w:t>3</w:t>
            </w:r>
            <w:r w:rsidR="00525966">
              <w:t xml:space="preserve"> in repeat dose drinking water study (mice, 37 wk)</w:t>
            </w:r>
            <w:r w:rsidR="00156FB7">
              <w:t>:</w:t>
            </w:r>
            <w:r w:rsidR="00525966">
              <w:t xml:space="preserve"> </w:t>
            </w:r>
          </w:p>
          <w:p w14:paraId="68070E9C" w14:textId="0D2DC66D" w:rsidR="00B343DC" w:rsidRDefault="00525966" w:rsidP="004D3412">
            <w:pPr>
              <w:pStyle w:val="Tabletextprimarysource"/>
              <w:numPr>
                <w:ilvl w:val="0"/>
                <w:numId w:val="5"/>
              </w:numPr>
            </w:pPr>
            <w:r>
              <w:t>mortality began after 23 wk</w:t>
            </w:r>
          </w:p>
          <w:p w14:paraId="4B88F02D" w14:textId="19EFA82B" w:rsidR="00E20A71" w:rsidRDefault="00525966" w:rsidP="00FC6F76">
            <w:pPr>
              <w:pStyle w:val="Tabletextprimarysource"/>
              <w:numPr>
                <w:ilvl w:val="0"/>
                <w:numId w:val="1"/>
              </w:numPr>
            </w:pPr>
            <w:r>
              <w:t>Ventricular hypertrophy at 89 mg/kg/d AgNO</w:t>
            </w:r>
            <w:r>
              <w:rPr>
                <w:vertAlign w:val="subscript"/>
              </w:rPr>
              <w:t>3</w:t>
            </w:r>
            <w:r>
              <w:t xml:space="preserve"> in oral dose study (rats, 9 mo)</w:t>
            </w:r>
            <w:r w:rsidR="00156FB7">
              <w:t>:</w:t>
            </w:r>
            <w:r>
              <w:t xml:space="preserve"> </w:t>
            </w:r>
          </w:p>
          <w:p w14:paraId="5DD0E407" w14:textId="22EF25C6" w:rsidR="00525966" w:rsidRDefault="00525966" w:rsidP="004D3412">
            <w:pPr>
              <w:pStyle w:val="Tabletextprimarysource"/>
              <w:numPr>
                <w:ilvl w:val="0"/>
                <w:numId w:val="5"/>
              </w:numPr>
            </w:pPr>
            <w:r>
              <w:t>no effect on fertility or spermatogenesis</w:t>
            </w:r>
          </w:p>
          <w:p w14:paraId="5065016E" w14:textId="588F9F1B" w:rsidR="00525966" w:rsidRDefault="000578CD" w:rsidP="00FC6F76">
            <w:pPr>
              <w:pStyle w:val="Tabletextprimarysource"/>
              <w:numPr>
                <w:ilvl w:val="0"/>
                <w:numId w:val="1"/>
              </w:numPr>
            </w:pPr>
            <w:r>
              <w:t>A</w:t>
            </w:r>
            <w:r w:rsidR="00525966">
              <w:t>ccumulation in brain in drinking water study (mice, 4 mo, dose not specified)</w:t>
            </w:r>
          </w:p>
          <w:p w14:paraId="3861C7F8" w14:textId="6D6B019B" w:rsidR="00E20A71" w:rsidRDefault="00525966" w:rsidP="00FC6F76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Development of local fibrosarcomas at injection/implantation site using colloidal or metallic </w:t>
            </w:r>
            <w:r w:rsidR="000578CD">
              <w:t>Ag</w:t>
            </w:r>
            <w:r>
              <w:t xml:space="preserve"> in carcinogenicity studies (rats, dose and duration not specified)</w:t>
            </w:r>
            <w:r w:rsidR="00156FB7">
              <w:t>:</w:t>
            </w:r>
            <w:r>
              <w:t xml:space="preserve"> </w:t>
            </w:r>
          </w:p>
          <w:p w14:paraId="2A2C613D" w14:textId="1A2C811C" w:rsidR="00525966" w:rsidRDefault="000578CD" w:rsidP="004D3412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study </w:t>
            </w:r>
            <w:r w:rsidR="00525966">
              <w:t>concludes relevance of these findings to humans is uncertain</w:t>
            </w:r>
          </w:p>
          <w:p w14:paraId="5F4CE8EF" w14:textId="127A0A28" w:rsidR="00525966" w:rsidRDefault="00522D71" w:rsidP="00FC6F76">
            <w:pPr>
              <w:pStyle w:val="Tabletextprimarysource"/>
              <w:numPr>
                <w:ilvl w:val="0"/>
                <w:numId w:val="1"/>
              </w:numPr>
            </w:pPr>
            <w:r>
              <w:t>Rate of systemic absorption from lungs: 1 µg/cm</w:t>
            </w:r>
            <w:r>
              <w:rPr>
                <w:vertAlign w:val="superscript"/>
              </w:rPr>
              <w:t>2</w:t>
            </w:r>
            <w:r>
              <w:t>/d (dogs), after 225 d, 77% of dose in liver</w:t>
            </w:r>
          </w:p>
          <w:p w14:paraId="7519E83E" w14:textId="7B2B61DC" w:rsidR="00E20A71" w:rsidRDefault="00522D71" w:rsidP="00522D7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Binds DNA, but is non-mutagenic </w:t>
            </w:r>
            <w:r>
              <w:rPr>
                <w:i/>
              </w:rPr>
              <w:t>in vitro</w:t>
            </w:r>
            <w:r>
              <w:t xml:space="preserve"> in bacteria; clastogenic in Chinese hamster ovarian cells</w:t>
            </w:r>
            <w:r w:rsidR="00156FB7">
              <w:t>:</w:t>
            </w:r>
            <w:r>
              <w:t xml:space="preserve"> </w:t>
            </w:r>
          </w:p>
          <w:p w14:paraId="6EE449F7" w14:textId="1046543A" w:rsidR="00522D71" w:rsidRPr="00BE3607" w:rsidRDefault="00522D71" w:rsidP="004D3412">
            <w:pPr>
              <w:pStyle w:val="Tabletextprimarysource"/>
              <w:numPr>
                <w:ilvl w:val="0"/>
                <w:numId w:val="5"/>
              </w:numPr>
              <w:rPr>
                <w:lang w:val="it-IT"/>
              </w:rPr>
            </w:pPr>
            <w:r w:rsidRPr="00BE3607">
              <w:rPr>
                <w:lang w:val="it-IT"/>
              </w:rPr>
              <w:t xml:space="preserve">no </w:t>
            </w:r>
            <w:r w:rsidRPr="00BE3607">
              <w:rPr>
                <w:i/>
                <w:lang w:val="it-IT"/>
              </w:rPr>
              <w:t>in vivo</w:t>
            </w:r>
            <w:r w:rsidRPr="00BE3607">
              <w:rPr>
                <w:lang w:val="it-IT"/>
              </w:rPr>
              <w:t xml:space="preserve"> </w:t>
            </w:r>
            <w:r w:rsidRPr="00BE3607">
              <w:t>genotoxicity data presented</w:t>
            </w:r>
            <w:r w:rsidR="000578CD" w:rsidRPr="00BE3607">
              <w:rPr>
                <w:lang w:val="it-IT"/>
              </w:rPr>
              <w:t>.</w:t>
            </w:r>
          </w:p>
          <w:p w14:paraId="25D7393F" w14:textId="77777777" w:rsidR="00C41921" w:rsidRPr="00BE3607" w:rsidRDefault="00C41921" w:rsidP="003365A5">
            <w:pPr>
              <w:pStyle w:val="Tabletextprimarysource"/>
              <w:rPr>
                <w:lang w:val="it-IT"/>
              </w:rPr>
            </w:pPr>
          </w:p>
          <w:p w14:paraId="0C67A8C6" w14:textId="67638867" w:rsidR="00FC6F76" w:rsidRDefault="00FC6F76" w:rsidP="003365A5">
            <w:pPr>
              <w:pStyle w:val="Tabletextprimarysource"/>
            </w:pPr>
            <w:r>
              <w:t>Insufficient data to recommend a TLV-STEL or notations for carcinogenicity, skin absorption or sensitisation.</w:t>
            </w:r>
          </w:p>
          <w:p w14:paraId="0CE4D35D" w14:textId="35BF713B" w:rsidR="00C41921" w:rsidRPr="00DA352E" w:rsidRDefault="00C41921" w:rsidP="003365A5">
            <w:pPr>
              <w:pStyle w:val="Tabletextprimarysource"/>
            </w:pPr>
          </w:p>
        </w:tc>
      </w:tr>
      <w:tr w:rsidR="00C978F0" w:rsidRPr="00DA352E" w14:paraId="174F8B79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65BCCE9F" w14:textId="6061B3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E3307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17F77">
                  <w:t xml:space="preserve">MAK: </w:t>
                </w:r>
                <w:r w:rsidR="00423640">
                  <w:t>0.1 mg/m</w:t>
                </w:r>
                <w:r w:rsidR="00423640" w:rsidRPr="00872939">
                  <w:rPr>
                    <w:vertAlign w:val="superscript"/>
                  </w:rPr>
                  <w:t>3</w:t>
                </w:r>
                <w:r w:rsidR="00423640">
                  <w:t xml:space="preserve"> (silver, metal); 0.01 mg/m</w:t>
                </w:r>
                <w:r w:rsidR="00423640">
                  <w:rPr>
                    <w:vertAlign w:val="superscript"/>
                  </w:rPr>
                  <w:t>3</w:t>
                </w:r>
                <w:r w:rsidR="00423640">
                  <w:t xml:space="preserve"> (silver salts)</w:t>
                </w:r>
              </w:sdtContent>
            </w:sdt>
          </w:p>
        </w:tc>
      </w:tr>
      <w:tr w:rsidR="00C978F0" w:rsidRPr="00DA352E" w14:paraId="4433014F" w14:textId="77777777" w:rsidTr="007E67E0">
        <w:tc>
          <w:tcPr>
            <w:tcW w:w="5000" w:type="pct"/>
          </w:tcPr>
          <w:p w14:paraId="0882998B" w14:textId="32211F2A" w:rsidR="00480D63" w:rsidRDefault="00480D63" w:rsidP="003365A5">
            <w:pPr>
              <w:pStyle w:val="Tabletextprimarysource"/>
            </w:pPr>
            <w:r>
              <w:t>Summary of additional information:</w:t>
            </w:r>
          </w:p>
          <w:p w14:paraId="3A40D082" w14:textId="2F2E8E85" w:rsidR="00C978F0" w:rsidRDefault="003814C7" w:rsidP="003365A5">
            <w:pPr>
              <w:pStyle w:val="Tabletextprimarysource"/>
            </w:pPr>
            <w:r>
              <w:t>MAK</w:t>
            </w:r>
            <w:r w:rsidR="004B13F5">
              <w:t xml:space="preserve"> of 0.1 mg/m</w:t>
            </w:r>
            <w:r w:rsidR="004B13F5">
              <w:rPr>
                <w:vertAlign w:val="superscript"/>
              </w:rPr>
              <w:t>3</w:t>
            </w:r>
            <w:r>
              <w:t xml:space="preserve"> for elemental </w:t>
            </w:r>
            <w:r w:rsidR="000578CD">
              <w:t>Ag</w:t>
            </w:r>
            <w:r>
              <w:t xml:space="preserve"> adopted from ACGIH </w:t>
            </w:r>
            <w:r w:rsidR="004B13F5">
              <w:t>(1980) TLV-TWA recomm</w:t>
            </w:r>
            <w:r w:rsidR="00E72FA7">
              <w:t>endation. MAK (1973) of 0.01 mg/m</w:t>
            </w:r>
            <w:r w:rsidR="00E72FA7">
              <w:rPr>
                <w:vertAlign w:val="superscript"/>
              </w:rPr>
              <w:t>3</w:t>
            </w:r>
            <w:r w:rsidR="00E72FA7">
              <w:t xml:space="preserve"> for </w:t>
            </w:r>
            <w:r w:rsidR="00E20A71">
              <w:t>Ag</w:t>
            </w:r>
            <w:r w:rsidR="00E72FA7">
              <w:t xml:space="preserve"> salts based on workplace studies that reported no incidences of argyria while operating under air concentrations below 0.01 mg/m</w:t>
            </w:r>
            <w:r w:rsidR="00E72FA7">
              <w:rPr>
                <w:vertAlign w:val="superscript"/>
              </w:rPr>
              <w:t>3</w:t>
            </w:r>
            <w:r w:rsidR="00E72FA7">
              <w:t xml:space="preserve"> for </w:t>
            </w:r>
            <w:r w:rsidR="00E20A71">
              <w:t>Ag</w:t>
            </w:r>
            <w:r w:rsidR="00E72FA7">
              <w:t xml:space="preserve"> salts, value is retained based on more recent occupational studies, which confirm this level of protection.</w:t>
            </w:r>
          </w:p>
          <w:p w14:paraId="40BA627A" w14:textId="2626B398" w:rsidR="004B13F5" w:rsidRDefault="004B13F5" w:rsidP="004B13F5">
            <w:pPr>
              <w:pStyle w:val="Tabletextprimarysource"/>
            </w:pPr>
            <w:r>
              <w:t>Human data:</w:t>
            </w:r>
          </w:p>
          <w:p w14:paraId="1820FE0E" w14:textId="281E3EFD" w:rsidR="00AF3CCF" w:rsidRDefault="00AF3CCF" w:rsidP="004B13F5">
            <w:pPr>
              <w:pStyle w:val="Tabletextprimarysource"/>
              <w:numPr>
                <w:ilvl w:val="0"/>
                <w:numId w:val="1"/>
              </w:numPr>
            </w:pPr>
            <w:r>
              <w:t>Argyria in 17/27 workers exposed at 0.04–0.35 mg/m</w:t>
            </w:r>
            <w:r>
              <w:rPr>
                <w:vertAlign w:val="superscript"/>
              </w:rPr>
              <w:t>3</w:t>
            </w:r>
            <w:r>
              <w:t xml:space="preserve"> to </w:t>
            </w:r>
            <w:r w:rsidR="00E20A71">
              <w:t>Ag</w:t>
            </w:r>
            <w:r>
              <w:t xml:space="preserve"> compounds (median duration: 8.1 yr)</w:t>
            </w:r>
          </w:p>
          <w:p w14:paraId="5A0BF66E" w14:textId="169BEFC4" w:rsidR="004B13F5" w:rsidRDefault="004B13F5" w:rsidP="004B13F5">
            <w:pPr>
              <w:pStyle w:val="Tabletextprimarysource"/>
              <w:numPr>
                <w:ilvl w:val="0"/>
                <w:numId w:val="1"/>
              </w:numPr>
            </w:pPr>
            <w:r>
              <w:t>29% incidence of ocular argyria in reclamation workers (n=27</w:t>
            </w:r>
            <w:r w:rsidR="00C62986">
              <w:t xml:space="preserve">) exposed to </w:t>
            </w:r>
            <w:r w:rsidR="00E20A71">
              <w:t>Ag</w:t>
            </w:r>
            <w:r w:rsidR="00C62986">
              <w:t xml:space="preserve"> halide salts and Ag</w:t>
            </w:r>
            <w:r w:rsidR="00C62986">
              <w:rPr>
                <w:vertAlign w:val="subscript"/>
              </w:rPr>
              <w:t>2</w:t>
            </w:r>
            <w:r w:rsidR="00C62986">
              <w:t xml:space="preserve">O; </w:t>
            </w:r>
            <w:r w:rsidR="00AF3CCF">
              <w:t>average annual exposure</w:t>
            </w:r>
            <w:r w:rsidR="00C62986">
              <w:t xml:space="preserve"> estimated at 0.01–0.2 mg/m</w:t>
            </w:r>
            <w:r w:rsidR="00C62986">
              <w:rPr>
                <w:vertAlign w:val="superscript"/>
              </w:rPr>
              <w:t>3</w:t>
            </w:r>
            <w:r w:rsidR="00C41921">
              <w:t>:</w:t>
            </w:r>
          </w:p>
          <w:p w14:paraId="6758C41A" w14:textId="38BBE432" w:rsidR="00C62986" w:rsidRDefault="00C62986" w:rsidP="000578CD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 changes in kidney or eye function compared to control group</w:t>
            </w:r>
          </w:p>
          <w:p w14:paraId="1208AD9E" w14:textId="7074C928" w:rsidR="00E20A71" w:rsidRDefault="00C62986" w:rsidP="004B13F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incidences of argyria in workers (n=50) exposed exclusively to metallic </w:t>
            </w:r>
            <w:r w:rsidR="000578CD">
              <w:t>Ag</w:t>
            </w:r>
            <w:r>
              <w:t xml:space="preserve"> dust at 0.003–0.54 mg/m</w:t>
            </w:r>
            <w:r>
              <w:rPr>
                <w:vertAlign w:val="superscript"/>
              </w:rPr>
              <w:t>3</w:t>
            </w:r>
            <w:r w:rsidR="00156FB7">
              <w:t>:</w:t>
            </w:r>
          </w:p>
          <w:p w14:paraId="3CBDF96E" w14:textId="4FA1C708" w:rsidR="00C62986" w:rsidRDefault="00C62986" w:rsidP="004D3412">
            <w:pPr>
              <w:pStyle w:val="Tabletextprimarysource"/>
              <w:numPr>
                <w:ilvl w:val="0"/>
                <w:numId w:val="6"/>
              </w:numPr>
            </w:pPr>
            <w:r>
              <w:t>8 workers exposed to silver salts (n=23) at 0.001–0.310 mg/m</w:t>
            </w:r>
            <w:r>
              <w:rPr>
                <w:vertAlign w:val="superscript"/>
              </w:rPr>
              <w:t>3</w:t>
            </w:r>
            <w:r>
              <w:t xml:space="preserve"> developed local argyria in eyes, skin and mucous membranes</w:t>
            </w:r>
          </w:p>
          <w:p w14:paraId="0B28048B" w14:textId="744C886F" w:rsidR="00AF3CCF" w:rsidRDefault="00AF3CCF" w:rsidP="004B13F5">
            <w:pPr>
              <w:pStyle w:val="Tabletextprimarysource"/>
              <w:numPr>
                <w:ilvl w:val="0"/>
                <w:numId w:val="1"/>
              </w:numPr>
            </w:pPr>
            <w:r>
              <w:t>No a</w:t>
            </w:r>
            <w:r w:rsidR="00E20A71">
              <w:t>r</w:t>
            </w:r>
            <w:r>
              <w:t>gyria in workers (n=</w:t>
            </w:r>
            <w:r w:rsidR="00C41921">
              <w:t xml:space="preserve"> </w:t>
            </w:r>
            <w:r>
              <w:t>30–40, 20 yr) exposed on average at 0.01 mg/m</w:t>
            </w:r>
            <w:r>
              <w:rPr>
                <w:vertAlign w:val="superscript"/>
              </w:rPr>
              <w:t>3</w:t>
            </w:r>
            <w:r w:rsidR="000578CD">
              <w:t>.</w:t>
            </w:r>
          </w:p>
          <w:p w14:paraId="1F7B0ABA" w14:textId="77777777" w:rsidR="00C62986" w:rsidRDefault="00C62986" w:rsidP="00C62986">
            <w:pPr>
              <w:pStyle w:val="Tabletextprimarysource"/>
            </w:pPr>
            <w:r>
              <w:t>Animal data:</w:t>
            </w:r>
          </w:p>
          <w:p w14:paraId="59154973" w14:textId="3C4D66E4" w:rsidR="00E20A71" w:rsidRDefault="00AF3CCF" w:rsidP="00C62986">
            <w:pPr>
              <w:pStyle w:val="Tabletextprimarysource"/>
              <w:numPr>
                <w:ilvl w:val="0"/>
                <w:numId w:val="1"/>
              </w:numPr>
            </w:pPr>
            <w:r>
              <w:t>Non-carcinogenic based chronic subcutaneous injection study with dose groups 1.75 and 2.45 mg per animal (rats, n=30, 1 time/wk, 10 mo)</w:t>
            </w:r>
            <w:r w:rsidR="00156FB7">
              <w:t>:</w:t>
            </w:r>
            <w:r>
              <w:t xml:space="preserve"> </w:t>
            </w:r>
          </w:p>
          <w:p w14:paraId="5FAAD9C9" w14:textId="7C57A2FE" w:rsidR="00E20A71" w:rsidRDefault="00AF3CCF" w:rsidP="00E20A71">
            <w:pPr>
              <w:pStyle w:val="Tabletextprimarysource"/>
              <w:numPr>
                <w:ilvl w:val="0"/>
                <w:numId w:val="6"/>
              </w:numPr>
            </w:pPr>
            <w:r>
              <w:t>6/30 rats had local sarcomas, 1</w:t>
            </w:r>
            <w:r w:rsidR="000578CD">
              <w:t>:</w:t>
            </w:r>
            <w:r w:rsidR="00C41921">
              <w:t> </w:t>
            </w:r>
            <w:r>
              <w:t>leukaemia, 1</w:t>
            </w:r>
            <w:r w:rsidR="000578CD">
              <w:t>:</w:t>
            </w:r>
            <w:r>
              <w:t xml:space="preserve"> carcinoma on the jaw </w:t>
            </w:r>
          </w:p>
          <w:p w14:paraId="7AF1AC55" w14:textId="2DA6FC1A" w:rsidR="00C62986" w:rsidRDefault="00AF3CCF" w:rsidP="004D3412">
            <w:pPr>
              <w:pStyle w:val="Tabletextprimarysource"/>
              <w:numPr>
                <w:ilvl w:val="0"/>
                <w:numId w:val="6"/>
              </w:numPr>
            </w:pPr>
            <w:r>
              <w:t>survival was not reduced compared to controls</w:t>
            </w:r>
            <w:r w:rsidR="006953E9">
              <w:t xml:space="preserve"> during the last phase of 835 d</w:t>
            </w:r>
            <w:r w:rsidR="000578CD">
              <w:t>.</w:t>
            </w:r>
          </w:p>
          <w:p w14:paraId="65324385" w14:textId="77777777" w:rsidR="00C41921" w:rsidRDefault="00C41921" w:rsidP="00E72FA7">
            <w:pPr>
              <w:pStyle w:val="Tabletextprimarysource"/>
            </w:pPr>
          </w:p>
          <w:p w14:paraId="47F68494" w14:textId="77777777" w:rsidR="00E72FA7" w:rsidRDefault="00E72FA7" w:rsidP="00E72FA7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61A64F09" w14:textId="14E59E4C" w:rsidR="00C41921" w:rsidRPr="00DA352E" w:rsidRDefault="00C41921" w:rsidP="00E72FA7">
            <w:pPr>
              <w:pStyle w:val="Tabletextprimarysource"/>
            </w:pPr>
          </w:p>
        </w:tc>
      </w:tr>
      <w:tr w:rsidR="00C978F0" w:rsidRPr="00DA352E" w14:paraId="0E6A0B2C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73C602E5" w14:textId="6862262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E3307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E3307">
                  <w:t>TWA: 0.1 mg/m</w:t>
                </w:r>
                <w:r w:rsidR="001E3307" w:rsidRPr="001E3307">
                  <w:rPr>
                    <w:vertAlign w:val="superscript"/>
                  </w:rPr>
                  <w:t>3</w:t>
                </w:r>
              </w:sdtContent>
            </w:sdt>
            <w:r w:rsidR="00CA3589">
              <w:t xml:space="preserve"> (silver, metal)</w:t>
            </w:r>
          </w:p>
        </w:tc>
      </w:tr>
      <w:tr w:rsidR="00C978F0" w:rsidRPr="00DA352E" w14:paraId="2008D281" w14:textId="77777777" w:rsidTr="007E67E0">
        <w:tc>
          <w:tcPr>
            <w:tcW w:w="5000" w:type="pct"/>
          </w:tcPr>
          <w:p w14:paraId="1F70C11A" w14:textId="738CEB7A" w:rsidR="00480D63" w:rsidRDefault="00480D63" w:rsidP="003365A5">
            <w:pPr>
              <w:pStyle w:val="Tabletextprimarysource"/>
            </w:pPr>
            <w:r>
              <w:t>Summary of additional information:</w:t>
            </w:r>
          </w:p>
          <w:p w14:paraId="15788492" w14:textId="60F21510" w:rsidR="00E20A71" w:rsidRDefault="00517E6A" w:rsidP="003365A5">
            <w:pPr>
              <w:pStyle w:val="Tabletextprimarysource"/>
            </w:pPr>
            <w:r>
              <w:t>Weight of evidence of workplace studies (also cited in ACGIH, 2018 and DFG, 1996) indicate threshold for a</w:t>
            </w:r>
            <w:r w:rsidR="00E20A71">
              <w:t>r</w:t>
            </w:r>
            <w:r>
              <w:t>gyria of 0.2–0.5 mg/m</w:t>
            </w:r>
            <w:r>
              <w:rPr>
                <w:vertAlign w:val="superscript"/>
              </w:rPr>
              <w:t>3</w:t>
            </w:r>
            <w:r>
              <w:t xml:space="preserve"> as total </w:t>
            </w:r>
            <w:r w:rsidR="00B640FA">
              <w:t>Ag</w:t>
            </w:r>
            <w:r>
              <w:t xml:space="preserve"> dust. An </w:t>
            </w:r>
            <w:r w:rsidR="00B640FA">
              <w:t>UF</w:t>
            </w:r>
            <w:r>
              <w:t xml:space="preserve"> of 2–5 was applied to this threshold to account for </w:t>
            </w:r>
            <w:r w:rsidR="00480D63">
              <w:t xml:space="preserve">the absence of extended analytical determinations to arrive </w:t>
            </w:r>
            <w:r w:rsidR="00B640FA">
              <w:t>to</w:t>
            </w:r>
            <w:r w:rsidR="00480D63">
              <w:t xml:space="preserve"> the recommended TWA of 0.1 mg/m</w:t>
            </w:r>
            <w:r w:rsidR="00480D63">
              <w:rPr>
                <w:vertAlign w:val="superscript"/>
              </w:rPr>
              <w:t>3</w:t>
            </w:r>
            <w:r w:rsidR="00480D63">
              <w:t xml:space="preserve"> as total </w:t>
            </w:r>
            <w:r w:rsidR="00B640FA">
              <w:t>Ag</w:t>
            </w:r>
            <w:r w:rsidR="00480D63">
              <w:t xml:space="preserve"> dust. </w:t>
            </w:r>
          </w:p>
          <w:p w14:paraId="3AE5D923" w14:textId="57FCBA00" w:rsidR="00C978F0" w:rsidRDefault="00480D63" w:rsidP="003365A5">
            <w:pPr>
              <w:pStyle w:val="Tabletextprimarysource"/>
            </w:pPr>
            <w:r>
              <w:t>Available data do</w:t>
            </w:r>
            <w:r w:rsidR="00B640FA">
              <w:t>es</w:t>
            </w:r>
            <w:r>
              <w:t xml:space="preserve"> not warrant derivation of a STEL.</w:t>
            </w:r>
          </w:p>
          <w:p w14:paraId="153B53C1" w14:textId="6184B377" w:rsidR="00C41921" w:rsidRPr="00480D63" w:rsidRDefault="00C41921" w:rsidP="003365A5">
            <w:pPr>
              <w:pStyle w:val="Tabletextprimarysource"/>
            </w:pPr>
          </w:p>
        </w:tc>
      </w:tr>
      <w:tr w:rsidR="00DA352E" w:rsidRPr="00DA352E" w14:paraId="12BAB90D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0D806BF8" w14:textId="365EAF7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E33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E3307">
                  <w:t>NA</w:t>
                </w:r>
              </w:sdtContent>
            </w:sdt>
          </w:p>
        </w:tc>
      </w:tr>
      <w:tr w:rsidR="00DA352E" w:rsidRPr="00DA352E" w14:paraId="33AAF4A6" w14:textId="77777777" w:rsidTr="007E67E0">
        <w:tc>
          <w:tcPr>
            <w:tcW w:w="5000" w:type="pct"/>
          </w:tcPr>
          <w:p w14:paraId="2059E4CB" w14:textId="0536799D" w:rsidR="00DA352E" w:rsidRPr="00DA352E" w:rsidRDefault="001E3307" w:rsidP="003365A5">
            <w:pPr>
              <w:pStyle w:val="Tabletextprimarysource"/>
            </w:pPr>
            <w:r>
              <w:t>No report</w:t>
            </w:r>
            <w:r w:rsidR="00B640FA">
              <w:t>.</w:t>
            </w:r>
          </w:p>
        </w:tc>
      </w:tr>
      <w:tr w:rsidR="00DA352E" w:rsidRPr="00DA352E" w14:paraId="605F758C" w14:textId="77777777" w:rsidTr="007E67E0">
        <w:tc>
          <w:tcPr>
            <w:tcW w:w="5000" w:type="pct"/>
            <w:shd w:val="clear" w:color="auto" w:fill="F2F2F2" w:themeFill="background1" w:themeFillShade="F2"/>
          </w:tcPr>
          <w:p w14:paraId="407840EC" w14:textId="1A9CA4D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E33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E3307">
                  <w:t>NA</w:t>
                </w:r>
              </w:sdtContent>
            </w:sdt>
          </w:p>
        </w:tc>
      </w:tr>
      <w:tr w:rsidR="00DA352E" w:rsidRPr="00DA352E" w14:paraId="7050CB3E" w14:textId="77777777" w:rsidTr="007E67E0">
        <w:tc>
          <w:tcPr>
            <w:tcW w:w="5000" w:type="pct"/>
          </w:tcPr>
          <w:p w14:paraId="492D7791" w14:textId="15E43D4D" w:rsidR="00DA352E" w:rsidRPr="00DA352E" w:rsidRDefault="001E3307" w:rsidP="003365A5">
            <w:pPr>
              <w:pStyle w:val="Tabletextprimarysource"/>
            </w:pPr>
            <w:r>
              <w:t>No report</w:t>
            </w:r>
            <w:r w:rsidR="00B640F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AE89AB3" w14:textId="77777777" w:rsidTr="007E6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7E67E0">
        <w:trPr>
          <w:cantSplit/>
        </w:trPr>
        <w:tc>
          <w:tcPr>
            <w:tcW w:w="1492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7DAB09E" w14:textId="0B5AFDA7" w:rsidR="004966BF" w:rsidRPr="00CE617F" w:rsidRDefault="006615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0D63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4712B8BD" w:rsidR="004966BF" w:rsidRPr="004C23F4" w:rsidRDefault="00480D6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0076C2F1" w14:textId="70106E77" w:rsidR="004966BF" w:rsidRPr="004C23F4" w:rsidRDefault="00480D63" w:rsidP="004D3412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not assessed</w:t>
            </w:r>
            <w:r w:rsidR="00B640F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B6AED63" w14:textId="77777777" w:rsidTr="007E67E0">
        <w:trPr>
          <w:cantSplit/>
        </w:trPr>
        <w:tc>
          <w:tcPr>
            <w:tcW w:w="1492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AE5C94A" w14:textId="28894AF1" w:rsidR="004966BF" w:rsidRPr="00CE617F" w:rsidRDefault="006615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0D6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38A203FA" w:rsidR="004966BF" w:rsidRPr="004C23F4" w:rsidRDefault="00480D6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1" w:type="dxa"/>
          </w:tcPr>
          <w:p w14:paraId="064892B6" w14:textId="213097AA" w:rsidR="004966BF" w:rsidRDefault="00480D63" w:rsidP="004D3412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classifiable as carcinogenic in humans based on inadequate experiments with animals</w:t>
            </w:r>
          </w:p>
          <w:p w14:paraId="2224089B" w14:textId="416AAD9D" w:rsidR="00480D63" w:rsidRPr="004C23F4" w:rsidRDefault="00480D63" w:rsidP="004D3412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Available animal studies used implantation methods of solid silver, which resulted in local fibrosarcomas, but did not indicate substance-specific carcinogenicity (also cited in ACGIH, 2018)</w:t>
            </w:r>
            <w:r w:rsidR="00B640F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7E67E0">
        <w:trPr>
          <w:cantSplit/>
        </w:trPr>
        <w:tc>
          <w:tcPr>
            <w:tcW w:w="1492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3B52C85A" w:rsidR="004966BF" w:rsidRDefault="006615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0D6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1EF83B90" w:rsidR="004966BF" w:rsidRPr="004C23F4" w:rsidRDefault="00480D6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4E1BEF9D" w14:textId="42FB88A9" w:rsidR="004966BF" w:rsidRPr="004C23F4" w:rsidRDefault="00480D63" w:rsidP="004D3412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480D63">
              <w:rPr>
                <w:rFonts w:cs="Arial"/>
              </w:rPr>
              <w:t xml:space="preserve">IDLH for </w:t>
            </w:r>
            <w:r w:rsidR="00B640FA">
              <w:rPr>
                <w:rFonts w:cs="Arial"/>
              </w:rPr>
              <w:t>Ag</w:t>
            </w:r>
            <w:r w:rsidRPr="00480D63">
              <w:rPr>
                <w:rFonts w:cs="Arial"/>
              </w:rPr>
              <w:t xml:space="preserve"> (metal dust and soluble compounds) based on acute oral toxicity data in humans</w:t>
            </w:r>
            <w:r>
              <w:rPr>
                <w:rFonts w:cs="Arial"/>
              </w:rPr>
              <w:t xml:space="preserve"> and animals</w:t>
            </w:r>
            <w:r w:rsidR="00B640FA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480D63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4C4ECAB6" w:rsidR="002E0D61" w:rsidRDefault="00480D6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480D63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6927C872" w:rsidR="008A36CF" w:rsidRDefault="00480D6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480D6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6671F830" w:rsidR="008A36CF" w:rsidRPr="006901A2" w:rsidRDefault="00480D6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7E6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7E67E0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D2961F3" w:rsidR="00687890" w:rsidRPr="00DD2F9B" w:rsidRDefault="001E330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7E67E0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DE7A7BC" w:rsidR="007925F0" w:rsidRPr="00DD2F9B" w:rsidRDefault="001E330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7E67E0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5268BD96" w:rsidR="00AF483F" w:rsidRPr="00DD2F9B" w:rsidRDefault="00480D63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7E67E0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34D6FC5" w:rsidR="00687890" w:rsidRPr="00DD2F9B" w:rsidRDefault="001E330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7E67E0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42D9E1E" w:rsidR="00E41A26" w:rsidRPr="00DD2F9B" w:rsidRDefault="001E330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7E67E0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0E317F8" w:rsidR="002E0D61" w:rsidRPr="00DD2F9B" w:rsidRDefault="001E330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7E67E0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0C2D2CA" w:rsidR="002E0D61" w:rsidRPr="00DD2F9B" w:rsidRDefault="001E330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7E67E0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3B1C582" w:rsidR="002E0D61" w:rsidRPr="00DD2F9B" w:rsidRDefault="001E330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BE6EC07" w14:textId="77777777" w:rsidTr="007E67E0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8DBDDCC" w:rsidR="002E0D61" w:rsidRPr="00DD2F9B" w:rsidRDefault="001E330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7E67E0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27BB7B8" w:rsidR="00386093" w:rsidRPr="00DD2F9B" w:rsidRDefault="001E330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7E67E0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A9F8299" w14:textId="289F8A99" w:rsidR="00386093" w:rsidRPr="00DD2F9B" w:rsidRDefault="001E330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08732078" w:rsidR="00932DCE" w:rsidRPr="004C23F4" w:rsidRDefault="00480D63" w:rsidP="00F9496B">
            <w:pPr>
              <w:pStyle w:val="Tablefont"/>
            </w:pPr>
            <w:r>
              <w:t>Insufficient data to assign a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85450A9" w:rsidR="00EB3D1B" w:rsidRDefault="001E330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4"/>
        <w:gridCol w:w="5032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619DEAC" w:rsidR="001B79E5" w:rsidRDefault="00480D63" w:rsidP="001B79E5">
                <w:pPr>
                  <w:pStyle w:val="Tablefont"/>
                </w:pPr>
                <w:r>
                  <w:t>107.8682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66159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1569407" w:rsidR="008E4F1F" w:rsidRDefault="008E4F1F" w:rsidP="008E4F1F">
      <w:r w:rsidRPr="002022B6">
        <w:t>Deutsche Forschungsgemeinschaft (DFG)</w:t>
      </w:r>
      <w:r>
        <w:t xml:space="preserve"> (</w:t>
      </w:r>
      <w:r w:rsidR="00561619">
        <w:t>1973</w:t>
      </w:r>
      <w:r>
        <w:t xml:space="preserve">) </w:t>
      </w:r>
      <w:r w:rsidR="001E3307">
        <w:t>Silber</w:t>
      </w:r>
      <w:r>
        <w:t xml:space="preserve"> – MAK value documentation</w:t>
      </w:r>
      <w:r w:rsidR="00561619">
        <w:t>, German language edition</w:t>
      </w:r>
      <w:r>
        <w:t>.</w:t>
      </w:r>
    </w:p>
    <w:p w14:paraId="77A9AA30" w14:textId="77777777" w:rsidR="00561619" w:rsidRDefault="00561619" w:rsidP="00561619">
      <w:pPr>
        <w:rPr>
          <w:b/>
        </w:rPr>
      </w:pPr>
      <w:r w:rsidRPr="002022B6">
        <w:t>Deutsche Forschungsgemeinschaft (DFG)</w:t>
      </w:r>
      <w:r>
        <w:t xml:space="preserve"> (1996) Silber – MAK value documentation, German language edition.</w:t>
      </w:r>
    </w:p>
    <w:p w14:paraId="43E7FE37" w14:textId="746B55EE" w:rsidR="00561619" w:rsidRDefault="00561619" w:rsidP="008E4F1F">
      <w:pPr>
        <w:rPr>
          <w:b/>
        </w:rPr>
      </w:pPr>
      <w:r w:rsidRPr="002022B6">
        <w:t>Deutsche Forschungsgemeinschaft (DFG)</w:t>
      </w:r>
      <w:r>
        <w:t xml:space="preserve"> (2002) Silber – MAK value documentation, German language edition.</w:t>
      </w:r>
    </w:p>
    <w:p w14:paraId="3A4FF805" w14:textId="3BDCEACE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1E3307">
        <w:t>1993</w:t>
      </w:r>
      <w:r>
        <w:t xml:space="preserve">) Recommendation from the Scientific Committee on Occupational Exposure Limits for </w:t>
      </w:r>
      <w:r w:rsidR="001E3307">
        <w:t>metallic silver</w:t>
      </w:r>
      <w:r>
        <w:t>. SCOEL/</w:t>
      </w:r>
      <w:r w:rsidR="001E3307">
        <w:t>SUM/25B</w:t>
      </w:r>
      <w:r>
        <w:t>.</w:t>
      </w:r>
    </w:p>
    <w:p w14:paraId="77EFB18B" w14:textId="7053BB52" w:rsidR="008E4F1F" w:rsidRDefault="008E4F1F" w:rsidP="008E4F1F">
      <w:pPr>
        <w:rPr>
          <w:b/>
        </w:rPr>
      </w:pPr>
      <w:r w:rsidRPr="00D86E03">
        <w:lastRenderedPageBreak/>
        <w:t>US National Institute for Occupational Safety and Health (NIOSH)</w:t>
      </w:r>
      <w:r>
        <w:t xml:space="preserve"> (</w:t>
      </w:r>
      <w:r w:rsidR="001E3307" w:rsidRPr="001E3307">
        <w:t>1994</w:t>
      </w:r>
      <w:r>
        <w:t xml:space="preserve">) Immediately dangerous to life or health concentrations – </w:t>
      </w:r>
      <w:r w:rsidR="001E3307" w:rsidRPr="001E3307">
        <w:t>Silver (metal dust and soluble compounds, as Ag)</w:t>
      </w:r>
      <w:r>
        <w:t>.</w:t>
      </w:r>
    </w:p>
    <w:p w14:paraId="06332E06" w14:textId="6805A806" w:rsidR="00561619" w:rsidRDefault="00561619" w:rsidP="0056161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Silver.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CE496" w14:textId="77777777" w:rsidR="008E1F59" w:rsidRDefault="008E1F59" w:rsidP="00F43AD5">
      <w:pPr>
        <w:spacing w:after="0" w:line="240" w:lineRule="auto"/>
      </w:pPr>
      <w:r>
        <w:separator/>
      </w:r>
    </w:p>
  </w:endnote>
  <w:endnote w:type="continuationSeparator" w:id="0">
    <w:p w14:paraId="411F812C" w14:textId="77777777" w:rsidR="008E1F59" w:rsidRDefault="008E1F5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0AE409B" w14:textId="77777777" w:rsidR="000327C1" w:rsidRPr="000327C1" w:rsidRDefault="000327C1" w:rsidP="000327C1">
        <w:pPr>
          <w:pStyle w:val="Footer"/>
          <w:rPr>
            <w:b/>
            <w:sz w:val="18"/>
            <w:szCs w:val="18"/>
          </w:rPr>
        </w:pPr>
      </w:p>
      <w:p w14:paraId="39026E62" w14:textId="5E7B6D28" w:rsidR="008A36CF" w:rsidRDefault="00630AE8" w:rsidP="000327C1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Silver and its salts</w:t>
        </w:r>
        <w:r w:rsidR="000327C1" w:rsidRPr="000327C1"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 w:rsidR="000327C1" w:rsidRPr="000327C1">
          <w:rPr>
            <w:b/>
            <w:sz w:val="18"/>
            <w:szCs w:val="18"/>
          </w:rPr>
          <w:t>7440-22-4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AC5DB0">
          <w:rPr>
            <w:sz w:val="18"/>
            <w:szCs w:val="18"/>
          </w:rPr>
          <w:t>20</w:t>
        </w:r>
      </w:p>
      <w:p w14:paraId="2D517F5E" w14:textId="50D3BF4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72E4D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3F949" w14:textId="77777777" w:rsidR="008E1F59" w:rsidRDefault="008E1F59" w:rsidP="00F43AD5">
      <w:pPr>
        <w:spacing w:after="0" w:line="240" w:lineRule="auto"/>
      </w:pPr>
      <w:r>
        <w:separator/>
      </w:r>
    </w:p>
  </w:footnote>
  <w:footnote w:type="continuationSeparator" w:id="0">
    <w:p w14:paraId="2F9E0C1E" w14:textId="77777777" w:rsidR="008E1F59" w:rsidRDefault="008E1F5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3A2CCC4" w:rsidR="008A36CF" w:rsidRPr="007E67E0" w:rsidRDefault="007E67E0" w:rsidP="007E67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25CD81" wp14:editId="39B99639">
          <wp:extent cx="2943225" cy="600075"/>
          <wp:effectExtent l="0" t="0" r="9525" b="952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0416" w14:textId="1A972A01" w:rsidR="007E67E0" w:rsidRDefault="007E67E0" w:rsidP="007E67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F0FBC1" wp14:editId="453CC40B">
          <wp:extent cx="2943225" cy="600075"/>
          <wp:effectExtent l="0" t="0" r="9525" b="952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A43BBCF" w:rsidR="008A36CF" w:rsidRDefault="008A36CF" w:rsidP="007E6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770DB"/>
    <w:multiLevelType w:val="hybridMultilevel"/>
    <w:tmpl w:val="734485B6"/>
    <w:lvl w:ilvl="0" w:tplc="F7A03E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853B0"/>
    <w:multiLevelType w:val="hybridMultilevel"/>
    <w:tmpl w:val="BBCAABD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4C14AF"/>
    <w:multiLevelType w:val="hybridMultilevel"/>
    <w:tmpl w:val="289C3FE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093006"/>
    <w:multiLevelType w:val="hybridMultilevel"/>
    <w:tmpl w:val="376817DA"/>
    <w:lvl w:ilvl="0" w:tplc="470CF4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15D99"/>
    <w:multiLevelType w:val="hybridMultilevel"/>
    <w:tmpl w:val="0DB40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91D48"/>
    <w:multiLevelType w:val="hybridMultilevel"/>
    <w:tmpl w:val="0D7A4BB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0817683">
    <w:abstractNumId w:val="3"/>
  </w:num>
  <w:num w:numId="2" w16cid:durableId="2089766678">
    <w:abstractNumId w:val="0"/>
  </w:num>
  <w:num w:numId="3" w16cid:durableId="903636302">
    <w:abstractNumId w:val="4"/>
  </w:num>
  <w:num w:numId="4" w16cid:durableId="795216933">
    <w:abstractNumId w:val="1"/>
  </w:num>
  <w:num w:numId="5" w16cid:durableId="1392273227">
    <w:abstractNumId w:val="2"/>
  </w:num>
  <w:num w:numId="6" w16cid:durableId="8709934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707"/>
    <w:rsid w:val="00007B80"/>
    <w:rsid w:val="00013A22"/>
    <w:rsid w:val="00014C3F"/>
    <w:rsid w:val="00017C82"/>
    <w:rsid w:val="0002310A"/>
    <w:rsid w:val="000327C1"/>
    <w:rsid w:val="00032B88"/>
    <w:rsid w:val="00037E52"/>
    <w:rsid w:val="00046DF5"/>
    <w:rsid w:val="000476FB"/>
    <w:rsid w:val="00052060"/>
    <w:rsid w:val="0005574A"/>
    <w:rsid w:val="00055FE1"/>
    <w:rsid w:val="00056EC2"/>
    <w:rsid w:val="000578CD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56FB7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3307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2DC3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4C7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364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D6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3F5"/>
    <w:rsid w:val="004C1E3F"/>
    <w:rsid w:val="004C23F4"/>
    <w:rsid w:val="004C3475"/>
    <w:rsid w:val="004C58B6"/>
    <w:rsid w:val="004D16A3"/>
    <w:rsid w:val="004D3412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E6A"/>
    <w:rsid w:val="00517F77"/>
    <w:rsid w:val="00522D71"/>
    <w:rsid w:val="00525966"/>
    <w:rsid w:val="005272E2"/>
    <w:rsid w:val="0053108F"/>
    <w:rsid w:val="00532B56"/>
    <w:rsid w:val="00534B10"/>
    <w:rsid w:val="005446A2"/>
    <w:rsid w:val="00544D2F"/>
    <w:rsid w:val="00551BD8"/>
    <w:rsid w:val="0056161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AE8"/>
    <w:rsid w:val="006363A8"/>
    <w:rsid w:val="00636DB7"/>
    <w:rsid w:val="006422AA"/>
    <w:rsid w:val="00650905"/>
    <w:rsid w:val="006522EE"/>
    <w:rsid w:val="006532ED"/>
    <w:rsid w:val="006549F2"/>
    <w:rsid w:val="006567B7"/>
    <w:rsid w:val="00657BFB"/>
    <w:rsid w:val="0066159B"/>
    <w:rsid w:val="0066333C"/>
    <w:rsid w:val="006639B4"/>
    <w:rsid w:val="006650FE"/>
    <w:rsid w:val="0067305D"/>
    <w:rsid w:val="00677D9B"/>
    <w:rsid w:val="00680D57"/>
    <w:rsid w:val="006867F3"/>
    <w:rsid w:val="00687890"/>
    <w:rsid w:val="006901A2"/>
    <w:rsid w:val="00690368"/>
    <w:rsid w:val="0069079C"/>
    <w:rsid w:val="00690B53"/>
    <w:rsid w:val="006953E9"/>
    <w:rsid w:val="00695B72"/>
    <w:rsid w:val="006B160A"/>
    <w:rsid w:val="006B4E6C"/>
    <w:rsid w:val="006B50B6"/>
    <w:rsid w:val="006D79EA"/>
    <w:rsid w:val="006E5D05"/>
    <w:rsid w:val="006F1E0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7E0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5D0"/>
    <w:rsid w:val="00843E21"/>
    <w:rsid w:val="0084508E"/>
    <w:rsid w:val="00857A8A"/>
    <w:rsid w:val="008630EE"/>
    <w:rsid w:val="00864D13"/>
    <w:rsid w:val="00871CD5"/>
    <w:rsid w:val="00872939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1F59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F45"/>
    <w:rsid w:val="009B6543"/>
    <w:rsid w:val="009B738C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5DB0"/>
    <w:rsid w:val="00AC6D2F"/>
    <w:rsid w:val="00AE2745"/>
    <w:rsid w:val="00AE2F64"/>
    <w:rsid w:val="00AF3CCF"/>
    <w:rsid w:val="00AF42CB"/>
    <w:rsid w:val="00AF483F"/>
    <w:rsid w:val="00AF5E07"/>
    <w:rsid w:val="00AF5F06"/>
    <w:rsid w:val="00B00A25"/>
    <w:rsid w:val="00B1422A"/>
    <w:rsid w:val="00B1765C"/>
    <w:rsid w:val="00B213C4"/>
    <w:rsid w:val="00B343DC"/>
    <w:rsid w:val="00B40C60"/>
    <w:rsid w:val="00B46F34"/>
    <w:rsid w:val="00B479A9"/>
    <w:rsid w:val="00B52EDF"/>
    <w:rsid w:val="00B640FA"/>
    <w:rsid w:val="00B71188"/>
    <w:rsid w:val="00B721CC"/>
    <w:rsid w:val="00B76913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3607"/>
    <w:rsid w:val="00BE7D4E"/>
    <w:rsid w:val="00BF2406"/>
    <w:rsid w:val="00C0037E"/>
    <w:rsid w:val="00C06E43"/>
    <w:rsid w:val="00C16315"/>
    <w:rsid w:val="00C3091E"/>
    <w:rsid w:val="00C40FF1"/>
    <w:rsid w:val="00C41921"/>
    <w:rsid w:val="00C419E2"/>
    <w:rsid w:val="00C5020E"/>
    <w:rsid w:val="00C57452"/>
    <w:rsid w:val="00C61EDF"/>
    <w:rsid w:val="00C6239D"/>
    <w:rsid w:val="00C62986"/>
    <w:rsid w:val="00C653D2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589"/>
    <w:rsid w:val="00CA3D2C"/>
    <w:rsid w:val="00CA58FE"/>
    <w:rsid w:val="00CB1CB1"/>
    <w:rsid w:val="00CB6BC1"/>
    <w:rsid w:val="00CB6CB8"/>
    <w:rsid w:val="00CC10CE"/>
    <w:rsid w:val="00CC1A68"/>
    <w:rsid w:val="00CC2123"/>
    <w:rsid w:val="00CC5F10"/>
    <w:rsid w:val="00CD2BFD"/>
    <w:rsid w:val="00CE5AD6"/>
    <w:rsid w:val="00CE617F"/>
    <w:rsid w:val="00CE78EF"/>
    <w:rsid w:val="00CF29A0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2E4D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0A71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2FA7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7F2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6C8B"/>
    <w:rsid w:val="00FB755A"/>
    <w:rsid w:val="00FC60A2"/>
    <w:rsid w:val="00FC6F76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236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6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64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9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92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2707"/>
    <w:rsid w:val="00110D93"/>
    <w:rsid w:val="00347D16"/>
    <w:rsid w:val="003E0149"/>
    <w:rsid w:val="00755FBF"/>
    <w:rsid w:val="00CA3D2C"/>
    <w:rsid w:val="00CA72D3"/>
    <w:rsid w:val="00CF3D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6E47-43D0-4DD8-99B3-7532F0741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purl.org/dc/terms/"/>
    <ds:schemaRef ds:uri="a0509f21-ed56-4150-9955-96be669e5f2d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c567317-0c4d-4a62-8516-c22afd1b53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7FE68-35B3-4423-919E-034B81ED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18</cp:revision>
  <cp:lastPrinted>2018-10-22T22:41:00Z</cp:lastPrinted>
  <dcterms:created xsi:type="dcterms:W3CDTF">2019-10-08T23:59:00Z</dcterms:created>
  <dcterms:modified xsi:type="dcterms:W3CDTF">2026-01-09T01:11:00Z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2026-01-07T01:34:21Z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7b322185-90df-4b15-83b7-243a7c3c7829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