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lang w:val="it-IT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F261B91" w:rsidR="00BD499F" w:rsidRPr="008972AD" w:rsidRDefault="00744672" w:rsidP="00B40C60">
          <w:pPr>
            <w:pStyle w:val="Heading1"/>
            <w:jc w:val="center"/>
            <w:rPr>
              <w:rFonts w:ascii="Arial" w:hAnsi="Arial" w:cs="Arial"/>
              <w:lang w:val="it-IT"/>
            </w:rPr>
          </w:pPr>
          <w:r w:rsidRPr="008972AD">
            <w:rPr>
              <w:rFonts w:ascii="Arial" w:hAnsi="Arial" w:cs="Arial"/>
              <w:lang w:val="it-IT"/>
            </w:rPr>
            <w:t>Silicon carbide</w:t>
          </w:r>
          <w:r w:rsidR="0055686E" w:rsidRPr="008972AD">
            <w:rPr>
              <w:rFonts w:ascii="Arial" w:hAnsi="Arial" w:cs="Arial"/>
              <w:lang w:val="it-IT"/>
            </w:rPr>
            <w:t xml:space="preserve"> (non-fibrous dust)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51A24641" w:rsidR="00F43AD5" w:rsidRPr="00717D45" w:rsidRDefault="00744672" w:rsidP="00B76A41">
            <w:pPr>
              <w:pStyle w:val="Tablefont"/>
            </w:pPr>
            <w:r w:rsidRPr="00744672">
              <w:t>409-21-2</w:t>
            </w:r>
          </w:p>
        </w:tc>
      </w:tr>
      <w:tr w:rsidR="00F43AD5" w:rsidRPr="008972AD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5164A9D0" w:rsidR="00F43AD5" w:rsidRPr="008972AD" w:rsidRDefault="00FD2ED1" w:rsidP="00B76A41">
            <w:pPr>
              <w:pStyle w:val="Tablefont"/>
              <w:rPr>
                <w:lang w:val="it-IT"/>
              </w:rPr>
            </w:pPr>
            <w:r w:rsidRPr="008972AD">
              <w:rPr>
                <w:lang w:val="it-IT"/>
              </w:rPr>
              <w:t xml:space="preserve">Carborundum, </w:t>
            </w:r>
            <w:r w:rsidR="00092D92" w:rsidRPr="008972AD">
              <w:rPr>
                <w:lang w:val="it-IT"/>
              </w:rPr>
              <w:t xml:space="preserve">Carbonite, Electroln, </w:t>
            </w:r>
            <w:r w:rsidRPr="008972AD">
              <w:rPr>
                <w:lang w:val="it-IT"/>
              </w:rPr>
              <w:t>Moissanite, SIC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19529EC" w:rsidR="00F43AD5" w:rsidRPr="00717D45" w:rsidRDefault="00714278" w:rsidP="00B76A41">
            <w:pPr>
              <w:pStyle w:val="Tablefont"/>
            </w:pPr>
            <w:r>
              <w:t>SiC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447D38C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5686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270EC8F" w14:textId="77777777" w:rsidR="002C7AFE" w:rsidRDefault="00D97D6B" w:rsidP="00017C82">
            <w:pPr>
              <w:pStyle w:val="Tablefont"/>
              <w:rPr>
                <w:rFonts w:cs="Arial"/>
                <w:b/>
              </w:rPr>
            </w:pPr>
            <w:r w:rsidRPr="00FB636C">
              <w:rPr>
                <w:b/>
              </w:rPr>
              <w:t>3 mg/m</w:t>
            </w:r>
            <w:r w:rsidRPr="00FB636C">
              <w:rPr>
                <w:b/>
                <w:vertAlign w:val="superscript"/>
              </w:rPr>
              <w:t>3</w:t>
            </w:r>
            <w:r w:rsidRPr="00FB636C">
              <w:rPr>
                <w:b/>
              </w:rPr>
              <w:t xml:space="preserve"> </w:t>
            </w:r>
            <w:r w:rsidRPr="00FB636C">
              <w:rPr>
                <w:rFonts w:cs="Arial"/>
                <w:b/>
              </w:rPr>
              <w:t>(</w:t>
            </w:r>
            <w:r w:rsidR="00417C11" w:rsidRPr="00FB636C">
              <w:rPr>
                <w:rFonts w:cs="Arial"/>
                <w:b/>
              </w:rPr>
              <w:t>non-fibrous</w:t>
            </w:r>
            <w:r w:rsidR="0055686E" w:rsidRPr="00FB636C">
              <w:rPr>
                <w:rFonts w:cs="Arial"/>
                <w:b/>
              </w:rPr>
              <w:t>, as respirable</w:t>
            </w:r>
            <w:r w:rsidRPr="00FB636C">
              <w:rPr>
                <w:rFonts w:cs="Arial"/>
                <w:b/>
              </w:rPr>
              <w:t>)</w:t>
            </w:r>
          </w:p>
          <w:p w14:paraId="43EB6150" w14:textId="7D07D3A9" w:rsidR="004456AC" w:rsidRPr="00FB636C" w:rsidRDefault="004456A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</w:t>
            </w:r>
            <w:r w:rsidRPr="00FB636C">
              <w:rPr>
                <w:b/>
              </w:rPr>
              <w:t xml:space="preserve"> mg/m</w:t>
            </w:r>
            <w:r w:rsidRPr="00FB636C">
              <w:rPr>
                <w:b/>
                <w:vertAlign w:val="superscript"/>
              </w:rPr>
              <w:t>3</w:t>
            </w:r>
            <w:r w:rsidRPr="00FB636C">
              <w:rPr>
                <w:b/>
              </w:rPr>
              <w:t xml:space="preserve"> </w:t>
            </w:r>
            <w:r w:rsidRPr="00FB636C">
              <w:rPr>
                <w:rFonts w:cs="Arial"/>
                <w:b/>
              </w:rPr>
              <w:t xml:space="preserve">(non-fibrous, as </w:t>
            </w:r>
            <w:r>
              <w:rPr>
                <w:rFonts w:cs="Arial"/>
                <w:b/>
              </w:rPr>
              <w:t>inhalable</w:t>
            </w:r>
            <w:r w:rsidRPr="00FB636C">
              <w:rPr>
                <w:rFonts w:cs="Arial"/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511422" w:rsidRDefault="00037E52" w:rsidP="00037E52">
            <w:pPr>
              <w:pStyle w:val="Tablerowright"/>
            </w:pPr>
            <w:r w:rsidRPr="00511422">
              <w:rPr>
                <w:b w:val="0"/>
                <w:bCs/>
                <w:color w:val="000000" w:themeColor="text1"/>
              </w:rPr>
              <w:tab/>
            </w:r>
            <w:r w:rsidRPr="00511422">
              <w:t>Notations:</w:t>
            </w:r>
          </w:p>
        </w:tc>
        <w:tc>
          <w:tcPr>
            <w:tcW w:w="5016" w:type="dxa"/>
          </w:tcPr>
          <w:p w14:paraId="6E9A7528" w14:textId="0E8ADE91" w:rsidR="00037E52" w:rsidRPr="00511422" w:rsidRDefault="006F12AD" w:rsidP="00037E52">
            <w:pPr>
              <w:pStyle w:val="Tablefont"/>
              <w:rPr>
                <w:b/>
              </w:rPr>
            </w:pPr>
            <w:r w:rsidRPr="00511422"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6E7C047" w:rsidR="00155999" w:rsidRPr="00EB3D1B" w:rsidRDefault="00155999" w:rsidP="00037E52">
            <w:pPr>
              <w:pStyle w:val="Tablefont"/>
              <w:rPr>
                <w:b/>
              </w:rPr>
            </w:pPr>
            <w:r w:rsidRPr="00212A2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12A25" w:rsidRPr="00212A2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6065194F" w:rsidR="006639B4" w:rsidRDefault="00442B3C" w:rsidP="000C139A">
      <w:pPr>
        <w:rPr>
          <w:rFonts w:cs="Arial"/>
        </w:rPr>
      </w:pPr>
      <w:r w:rsidRPr="00442B3C">
        <w:rPr>
          <w:rFonts w:cs="Arial"/>
        </w:rPr>
        <w:t xml:space="preserve">A TWA of </w:t>
      </w:r>
      <w:r>
        <w:rPr>
          <w:rFonts w:cs="Arial"/>
        </w:rPr>
        <w:t>3</w:t>
      </w:r>
      <w:r w:rsidRPr="00442B3C">
        <w:rPr>
          <w:rFonts w:cs="Arial"/>
        </w:rPr>
        <w:t xml:space="preserve"> mg/m</w:t>
      </w:r>
      <w:r w:rsidRPr="00442B3C">
        <w:rPr>
          <w:rFonts w:cs="Arial"/>
          <w:vertAlign w:val="superscript"/>
        </w:rPr>
        <w:t>3</w:t>
      </w:r>
      <w:r w:rsidRPr="00442B3C">
        <w:rPr>
          <w:rFonts w:cs="Arial"/>
        </w:rPr>
        <w:t xml:space="preserve"> </w:t>
      </w:r>
      <w:r>
        <w:rPr>
          <w:rFonts w:cs="Arial"/>
        </w:rPr>
        <w:t xml:space="preserve">(respirable dust) </w:t>
      </w:r>
      <w:r w:rsidR="004456AC">
        <w:rPr>
          <w:rFonts w:cs="Arial"/>
        </w:rPr>
        <w:t>and 10</w:t>
      </w:r>
      <w:r w:rsidR="004456AC" w:rsidRPr="00442B3C">
        <w:rPr>
          <w:rFonts w:cs="Arial"/>
        </w:rPr>
        <w:t xml:space="preserve"> mg/m</w:t>
      </w:r>
      <w:r w:rsidR="004456AC" w:rsidRPr="00442B3C">
        <w:rPr>
          <w:rFonts w:cs="Arial"/>
          <w:vertAlign w:val="superscript"/>
        </w:rPr>
        <w:t>3</w:t>
      </w:r>
      <w:r w:rsidR="004456AC" w:rsidRPr="00442B3C">
        <w:rPr>
          <w:rFonts w:cs="Arial"/>
        </w:rPr>
        <w:t xml:space="preserve"> </w:t>
      </w:r>
      <w:r w:rsidR="004456AC">
        <w:rPr>
          <w:rFonts w:cs="Arial"/>
        </w:rPr>
        <w:t>(inhalable dust) is</w:t>
      </w:r>
      <w:r w:rsidR="004456AC" w:rsidRPr="00442B3C">
        <w:rPr>
          <w:rFonts w:cs="Arial"/>
        </w:rPr>
        <w:t xml:space="preserve"> </w:t>
      </w:r>
      <w:r w:rsidRPr="00442B3C">
        <w:rPr>
          <w:rFonts w:cs="Arial"/>
        </w:rPr>
        <w:t>recommended to protect for chronic respiratory conditions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F880E27" w14:textId="7CE3F011" w:rsidR="00AD7DF9" w:rsidRPr="00FB636C" w:rsidRDefault="00193F3F" w:rsidP="00FB636C">
      <w:pPr>
        <w:rPr>
          <w:rFonts w:cs="Arial"/>
        </w:rPr>
      </w:pPr>
      <w:r w:rsidRPr="00FB636C">
        <w:rPr>
          <w:rFonts w:cs="Arial"/>
        </w:rPr>
        <w:t xml:space="preserve">Silicon carbide </w:t>
      </w:r>
      <w:r w:rsidR="00511422" w:rsidRPr="00FB636C">
        <w:rPr>
          <w:rFonts w:cs="Arial"/>
        </w:rPr>
        <w:t>(</w:t>
      </w:r>
      <w:proofErr w:type="spellStart"/>
      <w:r w:rsidR="00511422" w:rsidRPr="00FB636C">
        <w:rPr>
          <w:rFonts w:cs="Arial"/>
        </w:rPr>
        <w:t>SiC</w:t>
      </w:r>
      <w:proofErr w:type="spellEnd"/>
      <w:r w:rsidR="00511422" w:rsidRPr="00FB636C">
        <w:rPr>
          <w:rFonts w:cs="Arial"/>
        </w:rPr>
        <w:t xml:space="preserve">) </w:t>
      </w:r>
      <w:r w:rsidRPr="00FB636C">
        <w:rPr>
          <w:rFonts w:cs="Arial"/>
        </w:rPr>
        <w:t>is used as an artificial abrasive and in the refractory, foundry, ceramic and filler industries.</w:t>
      </w:r>
      <w:r w:rsidR="00AD7DF9" w:rsidRPr="00FB636C">
        <w:rPr>
          <w:rFonts w:cs="Arial"/>
        </w:rPr>
        <w:t xml:space="preserve"> </w:t>
      </w:r>
    </w:p>
    <w:p w14:paraId="020CABAF" w14:textId="67574206" w:rsidR="00511422" w:rsidRPr="00FB636C" w:rsidRDefault="00AD7DF9" w:rsidP="00FB636C">
      <w:pPr>
        <w:rPr>
          <w:rFonts w:cs="Arial"/>
        </w:rPr>
      </w:pPr>
      <w:r w:rsidRPr="00FB636C">
        <w:rPr>
          <w:rFonts w:cs="Arial"/>
        </w:rPr>
        <w:t xml:space="preserve">Based on the limited data, the critical effects of exposure to non-fibrous </w:t>
      </w:r>
      <w:proofErr w:type="spellStart"/>
      <w:r w:rsidRPr="00FB636C">
        <w:rPr>
          <w:rFonts w:cs="Arial"/>
        </w:rPr>
        <w:t>SiC</w:t>
      </w:r>
      <w:proofErr w:type="spellEnd"/>
      <w:r w:rsidRPr="00FB636C">
        <w:rPr>
          <w:rFonts w:cs="Arial"/>
        </w:rPr>
        <w:t xml:space="preserve"> </w:t>
      </w:r>
      <w:r w:rsidR="00CB7B6D">
        <w:rPr>
          <w:rFonts w:cs="Arial"/>
        </w:rPr>
        <w:t>are</w:t>
      </w:r>
      <w:r w:rsidR="00CB7B6D" w:rsidRPr="00FB636C">
        <w:rPr>
          <w:rFonts w:cs="Arial"/>
        </w:rPr>
        <w:t xml:space="preserve"> </w:t>
      </w:r>
      <w:r w:rsidRPr="00FB636C">
        <w:rPr>
          <w:rFonts w:cs="Arial"/>
        </w:rPr>
        <w:t>compromised lung function and particle overload due to dust retention with evidence of lung burden disease specific to long-term silicon carbide production workers (ACGIH, 2018)</w:t>
      </w:r>
      <w:r w:rsidR="00FF5E11">
        <w:rPr>
          <w:rFonts w:cs="Arial"/>
        </w:rPr>
        <w:t>.</w:t>
      </w:r>
      <w:r>
        <w:rPr>
          <w:rFonts w:cs="Arial"/>
        </w:rPr>
        <w:t xml:space="preserve"> </w:t>
      </w:r>
      <w:r w:rsidR="00511422" w:rsidRPr="00FB636C">
        <w:rPr>
          <w:rFonts w:cs="Arial"/>
        </w:rPr>
        <w:t xml:space="preserve">Limited </w:t>
      </w:r>
      <w:r w:rsidR="00886FF6" w:rsidRPr="00FB636C">
        <w:rPr>
          <w:rFonts w:cs="Arial"/>
        </w:rPr>
        <w:t xml:space="preserve">and confounding </w:t>
      </w:r>
      <w:r w:rsidR="00511422" w:rsidRPr="00FB636C">
        <w:rPr>
          <w:rFonts w:cs="Arial"/>
        </w:rPr>
        <w:t>data from both human and animal studies indicate</w:t>
      </w:r>
      <w:r w:rsidR="00B2776B" w:rsidRPr="00FB636C">
        <w:rPr>
          <w:rFonts w:cs="Arial"/>
        </w:rPr>
        <w:t>s</w:t>
      </w:r>
      <w:r w:rsidR="00511422" w:rsidRPr="00FB636C">
        <w:rPr>
          <w:rFonts w:cs="Arial"/>
        </w:rPr>
        <w:t xml:space="preserve"> non-fibrous </w:t>
      </w:r>
      <w:r w:rsidR="00FF5E11" w:rsidRPr="00FB636C">
        <w:rPr>
          <w:rFonts w:cs="Arial"/>
        </w:rPr>
        <w:t>form</w:t>
      </w:r>
      <w:r w:rsidR="00511422" w:rsidRPr="00FB636C">
        <w:rPr>
          <w:rFonts w:cs="Arial"/>
        </w:rPr>
        <w:t xml:space="preserve"> has negligible acute, chronic and dermal toxicity (ACGIH, 20</w:t>
      </w:r>
      <w:r w:rsidR="0055686E" w:rsidRPr="00FB636C">
        <w:rPr>
          <w:rFonts w:cs="Arial"/>
        </w:rPr>
        <w:t>18</w:t>
      </w:r>
      <w:r w:rsidR="00511422" w:rsidRPr="00FB636C">
        <w:rPr>
          <w:rFonts w:cs="Arial"/>
        </w:rPr>
        <w:t xml:space="preserve">). </w:t>
      </w:r>
    </w:p>
    <w:p w14:paraId="14B2792B" w14:textId="6D1157F1" w:rsidR="00417C11" w:rsidRPr="004C23F4" w:rsidRDefault="006D3AC1" w:rsidP="00FB636C">
      <w:pPr>
        <w:rPr>
          <w:rFonts w:cs="Arial"/>
        </w:rPr>
      </w:pPr>
      <w:r w:rsidRPr="006D3AC1">
        <w:rPr>
          <w:rFonts w:cs="Arial"/>
        </w:rPr>
        <w:t xml:space="preserve">The TWA </w:t>
      </w:r>
      <w:r>
        <w:rPr>
          <w:rFonts w:cs="Arial"/>
        </w:rPr>
        <w:t>3 mg/m</w:t>
      </w:r>
      <w:r w:rsidRPr="00FB636C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6D3AC1">
        <w:rPr>
          <w:rFonts w:cs="Arial"/>
        </w:rPr>
        <w:t xml:space="preserve">for non-fibrous forms (angular particles) </w:t>
      </w:r>
      <w:r>
        <w:rPr>
          <w:rFonts w:cs="Arial"/>
        </w:rPr>
        <w:t>is</w:t>
      </w:r>
      <w:r w:rsidRPr="006D3AC1">
        <w:rPr>
          <w:rFonts w:cs="Arial"/>
        </w:rPr>
        <w:t xml:space="preserve"> recommended for respirable </w:t>
      </w:r>
      <w:r w:rsidR="00886FF6">
        <w:rPr>
          <w:rFonts w:cs="Arial"/>
        </w:rPr>
        <w:t>particles</w:t>
      </w:r>
      <w:r w:rsidR="00304DEF">
        <w:rPr>
          <w:rFonts w:cs="Arial"/>
        </w:rPr>
        <w:t xml:space="preserve">, as recommended by ACGIH (2018) </w:t>
      </w:r>
      <w:r w:rsidRPr="006D3AC1">
        <w:rPr>
          <w:rFonts w:cs="Arial"/>
        </w:rPr>
        <w:t xml:space="preserve">to reduce potential for compromised lung function </w:t>
      </w:r>
      <w:r>
        <w:rPr>
          <w:rFonts w:cs="Arial"/>
        </w:rPr>
        <w:t>due to</w:t>
      </w:r>
      <w:r w:rsidRPr="006D3AC1">
        <w:rPr>
          <w:rFonts w:cs="Arial"/>
        </w:rPr>
        <w:t xml:space="preserve"> particle overload</w:t>
      </w:r>
      <w:r>
        <w:rPr>
          <w:rFonts w:cs="Arial"/>
        </w:rPr>
        <w:t xml:space="preserve"> and to prevent </w:t>
      </w:r>
      <w:r w:rsidRPr="006D3AC1">
        <w:rPr>
          <w:rFonts w:cs="Arial"/>
        </w:rPr>
        <w:t xml:space="preserve">macrophages </w:t>
      </w:r>
      <w:r w:rsidR="00886FF6" w:rsidRPr="006D3AC1">
        <w:rPr>
          <w:rFonts w:cs="Arial"/>
        </w:rPr>
        <w:t xml:space="preserve">burden </w:t>
      </w:r>
      <w:r w:rsidRPr="006D3AC1">
        <w:rPr>
          <w:rFonts w:cs="Arial"/>
        </w:rPr>
        <w:t xml:space="preserve">in </w:t>
      </w:r>
      <w:r>
        <w:rPr>
          <w:rFonts w:cs="Arial"/>
        </w:rPr>
        <w:t xml:space="preserve">the </w:t>
      </w:r>
      <w:r w:rsidRPr="006D3AC1">
        <w:rPr>
          <w:rFonts w:cs="Arial"/>
        </w:rPr>
        <w:t>lung.</w:t>
      </w:r>
      <w:r w:rsidR="008972AD">
        <w:rPr>
          <w:rFonts w:cs="Arial"/>
        </w:rPr>
        <w:t xml:space="preserve"> The TWA of 10 mg/m</w:t>
      </w:r>
      <w:r w:rsidR="008972AD" w:rsidRPr="00FB636C">
        <w:rPr>
          <w:rFonts w:cs="Arial"/>
          <w:vertAlign w:val="superscript"/>
        </w:rPr>
        <w:t>3</w:t>
      </w:r>
      <w:r w:rsidR="008972AD">
        <w:rPr>
          <w:rFonts w:cs="Arial"/>
        </w:rPr>
        <w:t xml:space="preserve"> </w:t>
      </w:r>
      <w:r w:rsidR="008972AD" w:rsidRPr="006D3AC1">
        <w:rPr>
          <w:rFonts w:cs="Arial"/>
        </w:rPr>
        <w:t>for</w:t>
      </w:r>
      <w:r w:rsidR="008972AD">
        <w:rPr>
          <w:rFonts w:cs="Arial"/>
        </w:rPr>
        <w:t xml:space="preserve"> inhalable particles is recommended be retained.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01B1555" w14:textId="279EA976" w:rsidR="00076014" w:rsidRDefault="008E4F1F" w:rsidP="008E4F1F">
      <w:pPr>
        <w:rPr>
          <w:rFonts w:cs="Arial"/>
        </w:rPr>
      </w:pPr>
      <w:r w:rsidRPr="00A7039B">
        <w:rPr>
          <w:rFonts w:cs="Arial"/>
        </w:rPr>
        <w:t>Not classified as a carcinogen according to the Globally Harmonized System of</w:t>
      </w:r>
      <w:r w:rsidR="00155999" w:rsidRPr="00A7039B">
        <w:rPr>
          <w:rFonts w:cs="Arial"/>
        </w:rPr>
        <w:t xml:space="preserve"> Classification and Labelling of</w:t>
      </w:r>
      <w:r w:rsidRPr="00A7039B">
        <w:rPr>
          <w:rFonts w:cs="Arial"/>
        </w:rPr>
        <w:t xml:space="preserve"> Chemicals (GHS).</w:t>
      </w:r>
    </w:p>
    <w:p w14:paraId="03916CCC" w14:textId="77777777" w:rsidR="008E4F1F" w:rsidRPr="00E0286D" w:rsidRDefault="008E4F1F" w:rsidP="008E4F1F">
      <w:pPr>
        <w:rPr>
          <w:rFonts w:cs="Arial"/>
        </w:rPr>
      </w:pPr>
      <w:r w:rsidRPr="00E0286D">
        <w:rPr>
          <w:rFonts w:cs="Arial"/>
        </w:rPr>
        <w:t xml:space="preserve">Not classified as a skin </w:t>
      </w:r>
      <w:r w:rsidR="00155999" w:rsidRPr="00E0286D">
        <w:rPr>
          <w:rFonts w:cs="Arial"/>
        </w:rPr>
        <w:t xml:space="preserve">sensitiser </w:t>
      </w:r>
      <w:r w:rsidRPr="00E0286D">
        <w:rPr>
          <w:rFonts w:cs="Arial"/>
        </w:rPr>
        <w:t>or respiratory sensitiser according to the GHS.</w:t>
      </w:r>
    </w:p>
    <w:p w14:paraId="0A991D12" w14:textId="1AC965DF" w:rsidR="005E6979" w:rsidRDefault="0055686E">
      <w:pPr>
        <w:rPr>
          <w:rFonts w:cs="Arial"/>
        </w:rPr>
      </w:pPr>
      <w:r>
        <w:rPr>
          <w:rFonts w:cs="Arial"/>
        </w:rPr>
        <w:t>There are i</w:t>
      </w:r>
      <w:r w:rsidR="008E4F1F" w:rsidRPr="00E0286D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E0286D">
        <w:rPr>
          <w:rFonts w:cs="Arial"/>
        </w:rPr>
        <w:t xml:space="preserve"> to recommend a skin notation.</w:t>
      </w:r>
    </w:p>
    <w:p w14:paraId="4C1F8D43" w14:textId="01804B60" w:rsidR="00555602" w:rsidRPr="004C23F4" w:rsidRDefault="00555602">
      <w:pPr>
        <w:rPr>
          <w:rFonts w:cs="Arial"/>
        </w:rPr>
        <w:sectPr w:rsidR="00555602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4576F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4576F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7E9EFF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142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14278">
                  <w:t>TWA: 10 mg/m</w:t>
                </w:r>
                <w:r w:rsidR="00714278" w:rsidRPr="0071427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4576F4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4576F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DCAB4B8" w14:textId="77777777" w:rsidR="00C978F0" w:rsidRDefault="00DA352E" w:rsidP="007142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8790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1427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14278">
                  <w:t>TLV-TWA: 10 mg/m</w:t>
                </w:r>
                <w:r w:rsidR="00714278" w:rsidRPr="00714278">
                  <w:rPr>
                    <w:vertAlign w:val="superscript"/>
                  </w:rPr>
                  <w:t>3</w:t>
                </w:r>
                <w:r w:rsidR="00714278">
                  <w:t xml:space="preserve"> (inhalable particulate mass) </w:t>
                </w:r>
              </w:sdtContent>
            </w:sdt>
            <w:r w:rsidR="00714278">
              <w:tab/>
            </w:r>
          </w:p>
          <w:p w14:paraId="2ED10929" w14:textId="43C29C20" w:rsidR="00714278" w:rsidRPr="00DA352E" w:rsidRDefault="00714278" w:rsidP="007142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8790"/>
              </w:tabs>
            </w:pPr>
            <w:r>
              <w:t xml:space="preserve">                                                                       3 mg/m</w:t>
            </w:r>
            <w:r w:rsidRPr="00714278">
              <w:rPr>
                <w:vertAlign w:val="superscript"/>
              </w:rPr>
              <w:t>3</w:t>
            </w:r>
            <w:r>
              <w:t xml:space="preserve"> (respirable particulate mass)</w:t>
            </w:r>
          </w:p>
        </w:tc>
      </w:tr>
      <w:tr w:rsidR="00C978F0" w:rsidRPr="00DA352E" w14:paraId="418D532D" w14:textId="77777777" w:rsidTr="004576F4">
        <w:trPr>
          <w:gridAfter w:val="1"/>
          <w:wAfter w:w="8" w:type="pct"/>
        </w:trPr>
        <w:tc>
          <w:tcPr>
            <w:tcW w:w="4992" w:type="pct"/>
          </w:tcPr>
          <w:p w14:paraId="42A473E6" w14:textId="77777777" w:rsidR="004B3BFC" w:rsidRDefault="007F42CC" w:rsidP="003365A5">
            <w:pPr>
              <w:pStyle w:val="Tabletextprimarysource"/>
            </w:pPr>
            <w:r>
              <w:t xml:space="preserve">TLV-TWA for </w:t>
            </w:r>
            <w:r w:rsidR="00D7458E">
              <w:t>less toxic non-fibrous forms</w:t>
            </w:r>
            <w:r w:rsidR="00F03B95">
              <w:t xml:space="preserve"> (angular particles) are recommended for inhalable and respirable sizes </w:t>
            </w:r>
            <w:r w:rsidR="00C226CD">
              <w:t>to reduce potential for compromised lung function and particle overload</w:t>
            </w:r>
            <w:r w:rsidR="00B27FB9">
              <w:t>.</w:t>
            </w:r>
          </w:p>
          <w:p w14:paraId="158F4D88" w14:textId="305F4F21" w:rsidR="00CE01A0" w:rsidRDefault="00EA442A" w:rsidP="003365A5">
            <w:pPr>
              <w:pStyle w:val="Tabletextprimarysource"/>
            </w:pPr>
            <w:r>
              <w:t>R</w:t>
            </w:r>
            <w:r w:rsidR="00C226CD">
              <w:t>espirable fraction preferre</w:t>
            </w:r>
            <w:r w:rsidR="00B27FB9">
              <w:t>d as best represents the burden on macrophages in lung parenchyma.</w:t>
            </w:r>
          </w:p>
          <w:p w14:paraId="16705CB2" w14:textId="5BABD7DF" w:rsidR="004B3BFC" w:rsidRDefault="004B3BFC" w:rsidP="003365A5">
            <w:pPr>
              <w:pStyle w:val="Tabletextprimarysource"/>
            </w:pPr>
            <w:r>
              <w:t xml:space="preserve">Confounding data suggests potential for </w:t>
            </w:r>
            <w:r w:rsidR="00ED36AE">
              <w:t xml:space="preserve">some </w:t>
            </w:r>
            <w:r>
              <w:t xml:space="preserve">studies </w:t>
            </w:r>
            <w:r w:rsidR="00ED36AE">
              <w:t>with</w:t>
            </w:r>
            <w:r>
              <w:t xml:space="preserve"> non-fibrous materials may</w:t>
            </w:r>
            <w:r w:rsidR="00ED36AE">
              <w:t xml:space="preserve"> have </w:t>
            </w:r>
            <w:r>
              <w:t>be</w:t>
            </w:r>
            <w:r w:rsidR="00ED36AE">
              <w:t>en</w:t>
            </w:r>
            <w:r>
              <w:t xml:space="preserve"> contaminated with fibrous “whiskers</w:t>
            </w:r>
            <w:r w:rsidR="00ED36AE">
              <w:t>”.</w:t>
            </w:r>
          </w:p>
          <w:p w14:paraId="36CA2952" w14:textId="068F91A9" w:rsidR="00EA7244" w:rsidRDefault="00EA7244" w:rsidP="00EA7244">
            <w:pPr>
              <w:pStyle w:val="Tabletextprimarysource"/>
            </w:pPr>
            <w:r>
              <w:t>Summary of data:</w:t>
            </w:r>
          </w:p>
          <w:p w14:paraId="04A010B9" w14:textId="77777777" w:rsidR="00EA7244" w:rsidRDefault="00EA7244" w:rsidP="00EA7244">
            <w:pPr>
              <w:pStyle w:val="Tabletextprimarysource"/>
            </w:pPr>
            <w:r>
              <w:t>Human data:</w:t>
            </w:r>
          </w:p>
          <w:p w14:paraId="0BEB172D" w14:textId="55EDC30A" w:rsidR="00DC25DB" w:rsidRDefault="00DC25DB" w:rsidP="00C85549">
            <w:pPr>
              <w:pStyle w:val="ListBullet"/>
              <w:numPr>
                <w:ilvl w:val="0"/>
                <w:numId w:val="3"/>
              </w:numPr>
              <w:ind w:left="728" w:hanging="425"/>
            </w:pPr>
            <w:r w:rsidRPr="00DC25DB">
              <w:rPr>
                <w:i/>
              </w:rPr>
              <w:t>Carborundum pneumoconiosis</w:t>
            </w:r>
            <w:r>
              <w:t xml:space="preserve"> is recognised disease specific to long-term silicon carbide production</w:t>
            </w:r>
            <w:r w:rsidR="0065332F">
              <w:t xml:space="preserve"> workers</w:t>
            </w:r>
            <w:r w:rsidR="00C85549">
              <w:t>:</w:t>
            </w:r>
          </w:p>
          <w:p w14:paraId="17A51FFA" w14:textId="72EC04E3" w:rsidR="0065332F" w:rsidRDefault="0065332F" w:rsidP="00FB636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consists of interstitial disease including irregular, nodular lesions </w:t>
            </w:r>
          </w:p>
          <w:p w14:paraId="63845D17" w14:textId="3E04EA76" w:rsidR="0065332F" w:rsidRDefault="0065332F" w:rsidP="00FB636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accumulations of macrophage, monocytes</w:t>
            </w:r>
            <w:r w:rsidR="00C85549">
              <w:t xml:space="preserve"> and neutrophils containing particles</w:t>
            </w:r>
          </w:p>
          <w:p w14:paraId="0EE19BF5" w14:textId="5E40AD2E" w:rsidR="00C226CD" w:rsidRDefault="00794448" w:rsidP="00FB636C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>
              <w:t>Pulmonary effect studies</w:t>
            </w:r>
            <w:r w:rsidR="00766764">
              <w:t xml:space="preserve"> </w:t>
            </w:r>
            <w:r>
              <w:t>on plant workers identified “round opacities” on lung x-rays related to respirable particulates</w:t>
            </w:r>
            <w:r w:rsidR="00AD7DF9">
              <w:t>:</w:t>
            </w:r>
          </w:p>
          <w:p w14:paraId="7C42E5AF" w14:textId="6B0FF5EB" w:rsidR="00794448" w:rsidRDefault="001431C3" w:rsidP="00FB636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pulmonary effects </w:t>
            </w:r>
            <w:r w:rsidR="00766764">
              <w:t xml:space="preserve">(reduced FVC) </w:t>
            </w:r>
            <w:r>
              <w:t>observed in workers with exposures below current permissible levels s</w:t>
            </w:r>
            <w:r w:rsidR="00766764">
              <w:t>uggest</w:t>
            </w:r>
            <w:r w:rsidR="00794448">
              <w:t>s synergistic effects resulting from combined exposures to quartz</w:t>
            </w:r>
            <w:r w:rsidR="004808EB">
              <w:t xml:space="preserve"> and organic compounds</w:t>
            </w:r>
          </w:p>
          <w:p w14:paraId="6A47C440" w14:textId="77777777" w:rsidR="00AD7DF9" w:rsidRDefault="00AD7DF9" w:rsidP="0055686E">
            <w:pPr>
              <w:pStyle w:val="Tabletextprimarysource"/>
            </w:pPr>
          </w:p>
          <w:p w14:paraId="561FBB62" w14:textId="14F126F1" w:rsidR="0055686E" w:rsidRDefault="0055686E" w:rsidP="0055686E">
            <w:pPr>
              <w:pStyle w:val="Tabletextprimarysource"/>
            </w:pPr>
            <w:r>
              <w:t xml:space="preserve">There </w:t>
            </w:r>
            <w:r w:rsidR="007911B3">
              <w:t>are</w:t>
            </w:r>
            <w:r>
              <w:t xml:space="preserve"> insufficient data to determine skin or sensitiser notations.</w:t>
            </w:r>
          </w:p>
          <w:p w14:paraId="0CE4D35D" w14:textId="7E8B750A" w:rsidR="008F771E" w:rsidRPr="00DA352E" w:rsidRDefault="008F771E" w:rsidP="003365A5">
            <w:pPr>
              <w:pStyle w:val="Tabletextprimarysource"/>
            </w:pPr>
          </w:p>
        </w:tc>
      </w:tr>
      <w:tr w:rsidR="00C978F0" w:rsidRPr="00DA352E" w14:paraId="174F8B79" w14:textId="77777777" w:rsidTr="004576F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1C09E1F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23E4C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5686E">
                  <w:t>NA</w:t>
                </w:r>
              </w:sdtContent>
            </w:sdt>
          </w:p>
        </w:tc>
      </w:tr>
      <w:tr w:rsidR="00C978F0" w:rsidRPr="00DA352E" w14:paraId="4433014F" w14:textId="77777777" w:rsidTr="004576F4">
        <w:trPr>
          <w:gridAfter w:val="1"/>
          <w:wAfter w:w="8" w:type="pct"/>
        </w:trPr>
        <w:tc>
          <w:tcPr>
            <w:tcW w:w="4992" w:type="pct"/>
          </w:tcPr>
          <w:p w14:paraId="678A11B5" w14:textId="422D62A5" w:rsidR="008D1D81" w:rsidRDefault="008D1D81" w:rsidP="003365A5">
            <w:pPr>
              <w:pStyle w:val="Tabletextprimarysource"/>
            </w:pPr>
            <w:r>
              <w:t>MAK value assigned to “fibre free” exposures.</w:t>
            </w:r>
          </w:p>
          <w:p w14:paraId="2F8800D8" w14:textId="77777777" w:rsidR="00AF2DC8" w:rsidRDefault="00AF2DC8" w:rsidP="003365A5">
            <w:pPr>
              <w:pStyle w:val="Tabletextprimarysource"/>
            </w:pPr>
            <w:r>
              <w:t xml:space="preserve">No </w:t>
            </w:r>
            <w:r w:rsidR="008D1D81">
              <w:t xml:space="preserve">additional information </w:t>
            </w:r>
            <w:r w:rsidR="00554084">
              <w:t>available</w:t>
            </w:r>
            <w:r w:rsidR="0055686E">
              <w:t>.</w:t>
            </w:r>
          </w:p>
          <w:p w14:paraId="61A64F09" w14:textId="5F5A8AB4" w:rsidR="00AD7DF9" w:rsidRPr="00DA352E" w:rsidRDefault="00AD7DF9" w:rsidP="003365A5">
            <w:pPr>
              <w:pStyle w:val="Tabletextprimarysource"/>
            </w:pPr>
          </w:p>
        </w:tc>
      </w:tr>
      <w:tr w:rsidR="00C978F0" w:rsidRPr="00DA352E" w14:paraId="0E6A0B2C" w14:textId="77777777" w:rsidTr="004576F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465DD7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23E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23E4C">
                  <w:t>NA</w:t>
                </w:r>
              </w:sdtContent>
            </w:sdt>
          </w:p>
        </w:tc>
      </w:tr>
      <w:tr w:rsidR="00C978F0" w:rsidRPr="00DA352E" w14:paraId="2008D281" w14:textId="77777777" w:rsidTr="004576F4">
        <w:trPr>
          <w:gridAfter w:val="1"/>
          <w:wAfter w:w="8" w:type="pct"/>
        </w:trPr>
        <w:tc>
          <w:tcPr>
            <w:tcW w:w="4992" w:type="pct"/>
          </w:tcPr>
          <w:p w14:paraId="153B53C1" w14:textId="348CE281" w:rsidR="00C978F0" w:rsidRPr="00DA352E" w:rsidRDefault="00723E4C" w:rsidP="003365A5">
            <w:pPr>
              <w:pStyle w:val="Tabletextprimarysource"/>
            </w:pPr>
            <w:r>
              <w:t>No report</w:t>
            </w:r>
            <w:r w:rsidR="0055686E">
              <w:t>.</w:t>
            </w:r>
          </w:p>
        </w:tc>
      </w:tr>
      <w:tr w:rsidR="00DA352E" w:rsidRPr="00DA352E" w14:paraId="12BAB90D" w14:textId="77777777" w:rsidTr="004576F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DED1B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23E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23E4C">
                  <w:t>NA</w:t>
                </w:r>
              </w:sdtContent>
            </w:sdt>
          </w:p>
        </w:tc>
      </w:tr>
      <w:tr w:rsidR="00DA352E" w:rsidRPr="00DA352E" w14:paraId="33AAF4A6" w14:textId="77777777" w:rsidTr="004576F4">
        <w:trPr>
          <w:gridAfter w:val="1"/>
          <w:wAfter w:w="8" w:type="pct"/>
        </w:trPr>
        <w:tc>
          <w:tcPr>
            <w:tcW w:w="4992" w:type="pct"/>
          </w:tcPr>
          <w:p w14:paraId="2059E4CB" w14:textId="1BDA41E3" w:rsidR="00DA352E" w:rsidRPr="00DA352E" w:rsidRDefault="00723E4C" w:rsidP="003365A5">
            <w:pPr>
              <w:pStyle w:val="Tabletextprimarysource"/>
            </w:pPr>
            <w:r>
              <w:t>No report</w:t>
            </w:r>
            <w:r w:rsidR="0055686E">
              <w:t>.</w:t>
            </w:r>
          </w:p>
        </w:tc>
      </w:tr>
      <w:tr w:rsidR="00DA352E" w:rsidRPr="00DA352E" w14:paraId="605F758C" w14:textId="77777777" w:rsidTr="004576F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C885FF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23E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23E4C">
                  <w:t>NA</w:t>
                </w:r>
              </w:sdtContent>
            </w:sdt>
          </w:p>
        </w:tc>
      </w:tr>
      <w:tr w:rsidR="00DA352E" w:rsidRPr="00DA352E" w14:paraId="7050CB3E" w14:textId="77777777" w:rsidTr="004576F4">
        <w:trPr>
          <w:gridAfter w:val="1"/>
          <w:wAfter w:w="8" w:type="pct"/>
        </w:trPr>
        <w:tc>
          <w:tcPr>
            <w:tcW w:w="4992" w:type="pct"/>
          </w:tcPr>
          <w:p w14:paraId="6268F3E8" w14:textId="3526FB46" w:rsidR="0055686E" w:rsidRDefault="00A27750" w:rsidP="00A27750">
            <w:pPr>
              <w:pStyle w:val="Tabletextprimarysource"/>
            </w:pPr>
            <w:r>
              <w:t xml:space="preserve">There </w:t>
            </w:r>
            <w:r w:rsidR="007911B3">
              <w:t>are</w:t>
            </w:r>
            <w:r>
              <w:t xml:space="preserve"> insufficient data on the non-fibrous form to classify carcinogenic properties</w:t>
            </w:r>
            <w:r w:rsidR="00EA442A">
              <w:t>.</w:t>
            </w:r>
          </w:p>
          <w:p w14:paraId="3C00AAEA" w14:textId="5244CA8E" w:rsidR="00A960F7" w:rsidRDefault="004456AC" w:rsidP="00A27750">
            <w:pPr>
              <w:pStyle w:val="Tabletextprimarysource"/>
            </w:pPr>
            <w:r>
              <w:t>C</w:t>
            </w:r>
            <w:r w:rsidR="00A27750">
              <w:t>oncern</w:t>
            </w:r>
            <w:r w:rsidR="00FF5E11">
              <w:t xml:space="preserve">s </w:t>
            </w:r>
            <w:r w:rsidR="00BC0CD0">
              <w:t>whether</w:t>
            </w:r>
            <w:r>
              <w:t xml:space="preserve"> </w:t>
            </w:r>
            <w:r w:rsidR="00A27750">
              <w:t xml:space="preserve">commercial non-fibrous </w:t>
            </w:r>
            <w:proofErr w:type="spellStart"/>
            <w:r w:rsidR="00FF5E11">
              <w:t>SiC</w:t>
            </w:r>
            <w:proofErr w:type="spellEnd"/>
            <w:r w:rsidR="00A27750">
              <w:t xml:space="preserve"> material is sufficiently free of fibrous material.</w:t>
            </w:r>
          </w:p>
          <w:p w14:paraId="370B9CF9" w14:textId="231FEEF1" w:rsidR="00C77A9C" w:rsidRDefault="005F62BA" w:rsidP="005F62BA">
            <w:pPr>
              <w:pStyle w:val="Tabletextprimarysource"/>
            </w:pPr>
            <w:r>
              <w:t>Human data:</w:t>
            </w:r>
          </w:p>
          <w:p w14:paraId="369A57BA" w14:textId="27E7B13D" w:rsidR="007878E1" w:rsidRDefault="007878E1" w:rsidP="00FB636C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>
              <w:t>Absence of long term data of non-fibrous silicon carbide carcinogenicity effect</w:t>
            </w:r>
            <w:r w:rsidR="0055686E">
              <w:t>.</w:t>
            </w:r>
          </w:p>
          <w:p w14:paraId="29C57F8F" w14:textId="77777777" w:rsidR="005F62BA" w:rsidRDefault="005F62BA" w:rsidP="005F62BA">
            <w:pPr>
              <w:pStyle w:val="Tabletextprimarysource"/>
            </w:pPr>
            <w:r>
              <w:t>Animal data:</w:t>
            </w:r>
          </w:p>
          <w:p w14:paraId="59605A19" w14:textId="601C45E0" w:rsidR="005F62BA" w:rsidRDefault="005F62BA" w:rsidP="00FB636C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>
              <w:lastRenderedPageBreak/>
              <w:t>No relevant animal studies of non-fibrous SiC particles identified</w:t>
            </w:r>
          </w:p>
          <w:p w14:paraId="37B185BB" w14:textId="7E874A19" w:rsidR="008225E2" w:rsidRDefault="008225E2" w:rsidP="00FB636C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 w:rsidRPr="008225E2">
              <w:t>No data on mutagenicity of silicon carbide in prokaryotes and yeast</w:t>
            </w:r>
            <w:r>
              <w:t xml:space="preserve"> identified</w:t>
            </w:r>
            <w:r w:rsidR="0055686E">
              <w:t>.</w:t>
            </w:r>
          </w:p>
          <w:p w14:paraId="61C46BB6" w14:textId="25516671" w:rsidR="008225E2" w:rsidRDefault="008225E2" w:rsidP="00FB636C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 w:rsidRPr="008225E2">
              <w:t xml:space="preserve">No </w:t>
            </w:r>
            <w:r w:rsidRPr="008225E2">
              <w:rPr>
                <w:i/>
              </w:rPr>
              <w:t>in vivo</w:t>
            </w:r>
            <w:r w:rsidRPr="008225E2">
              <w:t xml:space="preserve"> </w:t>
            </w:r>
            <w:r w:rsidR="00F2031C">
              <w:t xml:space="preserve">genotoxicity </w:t>
            </w:r>
            <w:r w:rsidRPr="008225E2">
              <w:t>data</w:t>
            </w:r>
            <w:r>
              <w:t xml:space="preserve"> </w:t>
            </w:r>
            <w:r w:rsidR="00F2031C">
              <w:t>identified</w:t>
            </w:r>
            <w:r w:rsidR="007878E1">
              <w:t>.</w:t>
            </w:r>
          </w:p>
          <w:p w14:paraId="492D7791" w14:textId="2FE22945" w:rsidR="00A960F7" w:rsidRPr="00DA352E" w:rsidRDefault="00A960F7" w:rsidP="00A960F7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457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4576F4">
        <w:trPr>
          <w:cantSplit/>
        </w:trPr>
        <w:tc>
          <w:tcPr>
            <w:tcW w:w="1497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7DAB09E" w14:textId="5A207956" w:rsidR="004966BF" w:rsidRPr="00CE617F" w:rsidRDefault="00A94BF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5686E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74BDAF54" w:rsidR="004966BF" w:rsidRPr="004C23F4" w:rsidRDefault="007A60A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44" w:type="dxa"/>
          </w:tcPr>
          <w:p w14:paraId="0076C2F1" w14:textId="3B88231D" w:rsidR="004966BF" w:rsidRPr="007A60A0" w:rsidRDefault="0028319E" w:rsidP="00FB636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28319E">
              <w:rPr>
                <w:rStyle w:val="checkbox"/>
                <w:rFonts w:ascii="Arial" w:hAnsi="Arial" w:cs="Arial"/>
              </w:rPr>
              <w:t>Tier I Human Health Assessment</w:t>
            </w:r>
            <w:r>
              <w:rPr>
                <w:rStyle w:val="checkbox"/>
                <w:rFonts w:ascii="Arial" w:hAnsi="Arial" w:cs="Arial"/>
              </w:rPr>
              <w:t xml:space="preserve"> – domestic final</w:t>
            </w:r>
            <w:r w:rsidR="00AD7DF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4576F4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778EECF6" w:rsidR="004966BF" w:rsidRPr="00CE617F" w:rsidRDefault="00A94BF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21DFE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5DA2066" w14:textId="5AF64E45" w:rsidR="004966BF" w:rsidRPr="004C23F4" w:rsidRDefault="00A6755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44" w:type="dxa"/>
          </w:tcPr>
          <w:p w14:paraId="4C0A4B4B" w14:textId="736E0EAC" w:rsidR="004966BF" w:rsidRPr="00AD7DF9" w:rsidRDefault="00A67553" w:rsidP="00FB636C">
            <w:pPr>
              <w:pStyle w:val="ListBullet"/>
              <w:numPr>
                <w:ilvl w:val="0"/>
                <w:numId w:val="10"/>
              </w:numPr>
              <w:rPr>
                <w:rStyle w:val="checkbox"/>
                <w:rFonts w:ascii="Arial" w:hAnsi="Arial" w:cs="Arial"/>
              </w:rPr>
            </w:pPr>
            <w:r w:rsidRPr="00AD7DF9">
              <w:rPr>
                <w:rStyle w:val="checkbox"/>
                <w:rFonts w:ascii="Arial" w:hAnsi="Arial" w:cs="Arial"/>
              </w:rPr>
              <w:t>Inhalation Exposures (</w:t>
            </w:r>
            <w:r w:rsidR="00AD7DF9">
              <w:rPr>
                <w:rStyle w:val="checkbox"/>
                <w:rFonts w:ascii="Arial" w:hAnsi="Arial" w:cs="Arial"/>
              </w:rPr>
              <w:t>a</w:t>
            </w:r>
            <w:r w:rsidRPr="00AD7DF9">
              <w:rPr>
                <w:rStyle w:val="checkbox"/>
                <w:rFonts w:ascii="Arial" w:hAnsi="Arial" w:cs="Arial"/>
              </w:rPr>
              <w:t>cute/short term)</w:t>
            </w:r>
            <w:r w:rsidR="00AD7DF9">
              <w:rPr>
                <w:rStyle w:val="checkbox"/>
                <w:rFonts w:ascii="Arial" w:hAnsi="Arial" w:cs="Arial"/>
              </w:rPr>
              <w:t xml:space="preserve">: </w:t>
            </w:r>
            <w:r w:rsidRPr="00AD7DF9">
              <w:rPr>
                <w:rStyle w:val="checkbox"/>
                <w:rFonts w:ascii="Arial" w:hAnsi="Arial" w:cs="Arial"/>
              </w:rPr>
              <w:t>DNEL</w:t>
            </w:r>
            <w:r w:rsidR="004456AC">
              <w:rPr>
                <w:rStyle w:val="checkbox"/>
                <w:rFonts w:ascii="Arial" w:hAnsi="Arial" w:cs="Arial"/>
              </w:rPr>
              <w:t xml:space="preserve"> of </w:t>
            </w:r>
            <w:r w:rsidRPr="00AD7DF9">
              <w:rPr>
                <w:rStyle w:val="checkbox"/>
                <w:rFonts w:ascii="Arial" w:hAnsi="Arial" w:cs="Arial"/>
              </w:rPr>
              <w:t>94 mg/m</w:t>
            </w:r>
            <w:r w:rsidRPr="00AD7DF9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7A60A0" w:rsidRPr="00AD7DF9">
              <w:rPr>
                <w:rStyle w:val="checkbox"/>
                <w:rFonts w:ascii="Arial" w:hAnsi="Arial" w:cs="Arial"/>
                <w:vertAlign w:val="superscript"/>
              </w:rPr>
              <w:t xml:space="preserve"> </w:t>
            </w:r>
            <w:r w:rsidR="007A60A0" w:rsidRPr="00AD7DF9">
              <w:rPr>
                <w:rStyle w:val="checkbox"/>
                <w:rFonts w:ascii="Arial" w:hAnsi="Arial" w:cs="Arial"/>
                <w:szCs w:val="20"/>
              </w:rPr>
              <w:t xml:space="preserve">(form not provided) </w:t>
            </w:r>
          </w:p>
          <w:p w14:paraId="5C19B807" w14:textId="17B65A35" w:rsidR="0091063F" w:rsidRPr="00A67553" w:rsidRDefault="0091063F" w:rsidP="00FB636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B3BFC">
              <w:rPr>
                <w:rStyle w:val="checkbox"/>
                <w:rFonts w:ascii="Arial" w:hAnsi="Arial" w:cs="Arial"/>
              </w:rPr>
              <w:t>No further information</w:t>
            </w:r>
            <w:r w:rsidR="00AD7DF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C77A9C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511275B5" w:rsidR="002E0D61" w:rsidRDefault="00A16D8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C77A9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3CC97986" w:rsidR="008A36CF" w:rsidRPr="006901A2" w:rsidRDefault="00C77A9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457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4576F4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8C094AA" w:rsidR="00687890" w:rsidRPr="00DD2F9B" w:rsidRDefault="00723E4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4576F4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370FE43" w:rsidR="007925F0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4576F4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19CE32A" w:rsidR="00AF483F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4576F4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CE08934" w:rsidR="00687890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4576F4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76A02887" w:rsidR="00E41A26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4576F4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8DF4ADC" w:rsidR="002E0D61" w:rsidRPr="00DD2F9B" w:rsidRDefault="0055686E" w:rsidP="00DD2F9B">
            <w:pPr>
              <w:pStyle w:val="Tablefont"/>
            </w:pPr>
            <w:r w:rsidRPr="00144379">
              <w:t>—</w:t>
            </w:r>
          </w:p>
        </w:tc>
      </w:tr>
      <w:tr w:rsidR="002E0D61" w:rsidRPr="004C23F4" w14:paraId="43FA3590" w14:textId="77777777" w:rsidTr="004576F4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958B004" w:rsidR="002E0D61" w:rsidRPr="00DD2F9B" w:rsidRDefault="00144379" w:rsidP="00DD2F9B">
            <w:pPr>
              <w:pStyle w:val="Tablefont"/>
            </w:pPr>
            <w:r w:rsidRPr="00144379">
              <w:t>—</w:t>
            </w:r>
          </w:p>
        </w:tc>
      </w:tr>
      <w:tr w:rsidR="002E0D61" w:rsidRPr="004C23F4" w14:paraId="2AC7B866" w14:textId="77777777" w:rsidTr="004576F4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71F5799" w:rsidR="002E0D61" w:rsidRPr="00DD2F9B" w:rsidRDefault="0024311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4576F4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ADFD8FB" w:rsidR="002E0D61" w:rsidRPr="00DD2F9B" w:rsidRDefault="00243111" w:rsidP="00DD2F9B">
            <w:pPr>
              <w:pStyle w:val="Tablefont"/>
            </w:pPr>
            <w:r w:rsidRPr="00243111">
              <w:t>Carcinogenicity – category 3</w:t>
            </w:r>
            <w:r>
              <w:t xml:space="preserve"> </w:t>
            </w:r>
          </w:p>
        </w:tc>
      </w:tr>
      <w:tr w:rsidR="00386093" w:rsidRPr="004C23F4" w14:paraId="5F6A6A8E" w14:textId="77777777" w:rsidTr="004576F4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E9F483F" w:rsidR="00386093" w:rsidRPr="00DD2F9B" w:rsidRDefault="00FF5E11" w:rsidP="00DD2F9B">
            <w:pPr>
              <w:pStyle w:val="Tablefont"/>
            </w:pPr>
            <w:r w:rsidRPr="00144379">
              <w:t>—</w:t>
            </w:r>
          </w:p>
        </w:tc>
      </w:tr>
      <w:tr w:rsidR="00386093" w:rsidRPr="004C23F4" w14:paraId="7461DB0E" w14:textId="77777777" w:rsidTr="004576F4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D11009F" w:rsidR="00386093" w:rsidRPr="00DD2F9B" w:rsidRDefault="0024311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3805E8E8" w:rsidR="00932DCE" w:rsidRPr="004C23F4" w:rsidRDefault="00A7039B" w:rsidP="00F9496B">
            <w:pPr>
              <w:pStyle w:val="Tablefont"/>
            </w:pPr>
            <w:r w:rsidRPr="00EA0DA8">
              <w:t>Insufficient data to assign a skin notation</w:t>
            </w:r>
            <w:r w:rsidR="00FB636C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62092A8" w:rsidR="00EB3D1B" w:rsidRDefault="0024311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51860FA1" w:rsidR="001B79E5" w:rsidRDefault="00243111" w:rsidP="001B79E5">
                <w:pPr>
                  <w:pStyle w:val="Tablefont"/>
                </w:pPr>
                <w:r w:rsidRPr="00243111">
                  <w:t>40.11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A94BF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1E3FD7BF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243111">
        <w:t>2009</w:t>
      </w:r>
      <w:r>
        <w:t xml:space="preserve">) </w:t>
      </w:r>
      <w:proofErr w:type="spellStart"/>
      <w:r w:rsidR="00243111" w:rsidRPr="00243111">
        <w:t>Siliziumcarbid</w:t>
      </w:r>
      <w:proofErr w:type="spellEnd"/>
      <w:r w:rsidR="00243111" w:rsidRPr="00243111">
        <w:t xml:space="preserve"> (</w:t>
      </w:r>
      <w:proofErr w:type="spellStart"/>
      <w:r w:rsidR="00243111" w:rsidRPr="00243111">
        <w:t>faserfrei</w:t>
      </w:r>
      <w:proofErr w:type="spellEnd"/>
      <w:r w:rsidR="00243111" w:rsidRPr="00243111">
        <w:t>)</w:t>
      </w:r>
      <w:r>
        <w:t xml:space="preserve"> – MAK value documentation.</w:t>
      </w:r>
    </w:p>
    <w:p w14:paraId="28B96F3B" w14:textId="2CA04D19" w:rsidR="007A60A0" w:rsidRDefault="007A60A0" w:rsidP="008E4F1F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8EAA9C1" w14:textId="24991C43" w:rsidR="008E4F1F" w:rsidRDefault="008E4F1F" w:rsidP="008E4F1F">
      <w:r w:rsidRPr="002022B6">
        <w:t>Health Council of the Netherlands</w:t>
      </w:r>
      <w:r>
        <w:t xml:space="preserve"> (HCOTN) (</w:t>
      </w:r>
      <w:r w:rsidR="00431FCC" w:rsidRPr="00431FCC">
        <w:t>2012</w:t>
      </w:r>
      <w:r>
        <w:t xml:space="preserve">) </w:t>
      </w:r>
      <w:r w:rsidR="00431FCC" w:rsidRPr="00431FCC">
        <w:t>Silicon carbide</w:t>
      </w:r>
      <w:r w:rsidRPr="005F7416">
        <w:t xml:space="preserve">. Health-based calculated occupational cancer risk values. The Hague: Health Council of the Netherlands; publication no. </w:t>
      </w:r>
      <w:r w:rsidR="00431FCC" w:rsidRPr="00431FCC">
        <w:t>2012/29</w:t>
      </w:r>
      <w:r>
        <w:t>.</w:t>
      </w:r>
    </w:p>
    <w:p w14:paraId="5E51BC8E" w14:textId="3D8F1904" w:rsidR="007A60A0" w:rsidRDefault="007A60A0" w:rsidP="007A60A0">
      <w:bookmarkStart w:id="5" w:name="_Hlk33099556"/>
      <w:r w:rsidRPr="00DB0A36">
        <w:t>National Industrial Chemicals Notification and Assessment Scheme (NICNAS) (</w:t>
      </w:r>
      <w:r>
        <w:t>N.D.</w:t>
      </w:r>
      <w:r w:rsidRPr="00DB0A36">
        <w:t xml:space="preserve">) </w:t>
      </w:r>
      <w:r>
        <w:t>Silicon Carbide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bookmarkEnd w:id="5"/>
    <w:p w14:paraId="20DDF296" w14:textId="77777777" w:rsidR="007A60A0" w:rsidRDefault="007A60A0" w:rsidP="008E4F1F">
      <w:pPr>
        <w:rPr>
          <w:b/>
        </w:rPr>
      </w:pP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DED2D" w14:textId="77777777" w:rsidR="00C657F3" w:rsidRDefault="00C657F3" w:rsidP="00F43AD5">
      <w:pPr>
        <w:spacing w:after="0" w:line="240" w:lineRule="auto"/>
      </w:pPr>
      <w:r>
        <w:separator/>
      </w:r>
    </w:p>
  </w:endnote>
  <w:endnote w:type="continuationSeparator" w:id="0">
    <w:p w14:paraId="2C84E13D" w14:textId="77777777" w:rsidR="00C657F3" w:rsidRDefault="00C657F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48F78DD" w:rsidR="008A36CF" w:rsidRDefault="00714278" w:rsidP="0034744C">
        <w:pPr>
          <w:pStyle w:val="Footer"/>
          <w:rPr>
            <w:sz w:val="18"/>
            <w:szCs w:val="18"/>
          </w:rPr>
        </w:pPr>
        <w:r w:rsidRPr="00714278">
          <w:rPr>
            <w:b/>
            <w:sz w:val="18"/>
            <w:szCs w:val="18"/>
          </w:rPr>
          <w:t>Silicon carbide</w:t>
        </w:r>
        <w:r w:rsidR="008A36CF">
          <w:rPr>
            <w:b/>
            <w:sz w:val="18"/>
            <w:szCs w:val="18"/>
          </w:rPr>
          <w:t xml:space="preserve"> </w:t>
        </w:r>
        <w:r w:rsidR="0055686E">
          <w:rPr>
            <w:b/>
            <w:sz w:val="18"/>
            <w:szCs w:val="18"/>
          </w:rPr>
          <w:t xml:space="preserve">(non-fibrous dust) </w:t>
        </w:r>
        <w:r w:rsidR="008A36CF">
          <w:rPr>
            <w:b/>
            <w:sz w:val="18"/>
            <w:szCs w:val="18"/>
          </w:rPr>
          <w:t>(</w:t>
        </w:r>
        <w:r w:rsidRPr="00714278">
          <w:rPr>
            <w:b/>
            <w:sz w:val="18"/>
            <w:szCs w:val="18"/>
          </w:rPr>
          <w:t>409-21-2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732D31">
          <w:rPr>
            <w:sz w:val="18"/>
            <w:szCs w:val="18"/>
          </w:rPr>
          <w:t>2020</w:t>
        </w:r>
      </w:p>
      <w:p w14:paraId="2D517F5E" w14:textId="096DFAC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21DF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3C00A" w14:textId="77777777" w:rsidR="00C657F3" w:rsidRDefault="00C657F3" w:rsidP="00F43AD5">
      <w:pPr>
        <w:spacing w:after="0" w:line="240" w:lineRule="auto"/>
      </w:pPr>
      <w:r>
        <w:separator/>
      </w:r>
    </w:p>
  </w:footnote>
  <w:footnote w:type="continuationSeparator" w:id="0">
    <w:p w14:paraId="791CC229" w14:textId="77777777" w:rsidR="00C657F3" w:rsidRDefault="00C657F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6E868" w14:textId="72C9AD80" w:rsidR="00E45358" w:rsidRDefault="00E45358" w:rsidP="00E45358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1DECEC" wp14:editId="235CDFED">
          <wp:extent cx="2945130" cy="605790"/>
          <wp:effectExtent l="0" t="0" r="762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DED358" w14:textId="77777777" w:rsidR="00E45358" w:rsidRDefault="00E45358" w:rsidP="00E45358">
    <w:pPr>
      <w:pStyle w:val="Header"/>
    </w:pPr>
  </w:p>
  <w:p w14:paraId="4DAA8792" w14:textId="3BC6C671" w:rsidR="008A36CF" w:rsidRPr="00E45358" w:rsidRDefault="008A36CF" w:rsidP="00E45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ABABB" w14:textId="0C3694AB" w:rsidR="00E45358" w:rsidRDefault="00E45358" w:rsidP="00E45358">
    <w:pPr>
      <w:pStyle w:val="Header"/>
      <w:jc w:val="right"/>
    </w:pPr>
    <w:r>
      <w:rPr>
        <w:noProof/>
        <w:lang w:eastAsia="en-AU"/>
      </w:rPr>
      <w:drawing>
        <wp:inline distT="0" distB="0" distL="0" distR="0" wp14:anchorId="04A4A501" wp14:editId="0D53CF73">
          <wp:extent cx="2945130" cy="605790"/>
          <wp:effectExtent l="0" t="0" r="762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BA6796" w14:textId="77777777" w:rsidR="00E45358" w:rsidRDefault="00E45358" w:rsidP="00E45358">
    <w:pPr>
      <w:pStyle w:val="Header"/>
    </w:pPr>
  </w:p>
  <w:p w14:paraId="71F09FB4" w14:textId="76F5F4F3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938E8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17712"/>
    <w:multiLevelType w:val="hybridMultilevel"/>
    <w:tmpl w:val="6ECE6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532B4"/>
    <w:multiLevelType w:val="hybridMultilevel"/>
    <w:tmpl w:val="A49690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C251CC"/>
    <w:multiLevelType w:val="hybridMultilevel"/>
    <w:tmpl w:val="99421A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18383888">
    <w:abstractNumId w:val="0"/>
  </w:num>
  <w:num w:numId="2" w16cid:durableId="634483507">
    <w:abstractNumId w:val="3"/>
  </w:num>
  <w:num w:numId="3" w16cid:durableId="1538815394">
    <w:abstractNumId w:val="2"/>
  </w:num>
  <w:num w:numId="4" w16cid:durableId="974061842">
    <w:abstractNumId w:val="0"/>
  </w:num>
  <w:num w:numId="5" w16cid:durableId="221913260">
    <w:abstractNumId w:val="0"/>
  </w:num>
  <w:num w:numId="6" w16cid:durableId="341860785">
    <w:abstractNumId w:val="0"/>
  </w:num>
  <w:num w:numId="7" w16cid:durableId="887374334">
    <w:abstractNumId w:val="0"/>
  </w:num>
  <w:num w:numId="8" w16cid:durableId="54083315">
    <w:abstractNumId w:val="0"/>
  </w:num>
  <w:num w:numId="9" w16cid:durableId="1824924959">
    <w:abstractNumId w:val="0"/>
  </w:num>
  <w:num w:numId="10" w16cid:durableId="1473981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131"/>
    <w:rsid w:val="00007B80"/>
    <w:rsid w:val="00012700"/>
    <w:rsid w:val="00013A22"/>
    <w:rsid w:val="00014B9B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4D72"/>
    <w:rsid w:val="00076014"/>
    <w:rsid w:val="000803E1"/>
    <w:rsid w:val="00084513"/>
    <w:rsid w:val="00084859"/>
    <w:rsid w:val="00092D92"/>
    <w:rsid w:val="00092D94"/>
    <w:rsid w:val="000A6B77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1A6F"/>
    <w:rsid w:val="0010461E"/>
    <w:rsid w:val="00106FAA"/>
    <w:rsid w:val="00113443"/>
    <w:rsid w:val="001269A7"/>
    <w:rsid w:val="00131092"/>
    <w:rsid w:val="00140E6A"/>
    <w:rsid w:val="001431C3"/>
    <w:rsid w:val="00144379"/>
    <w:rsid w:val="00144767"/>
    <w:rsid w:val="00146545"/>
    <w:rsid w:val="00146B75"/>
    <w:rsid w:val="0015185E"/>
    <w:rsid w:val="0015266D"/>
    <w:rsid w:val="0015288A"/>
    <w:rsid w:val="00155999"/>
    <w:rsid w:val="00160F47"/>
    <w:rsid w:val="00171D72"/>
    <w:rsid w:val="00177CA1"/>
    <w:rsid w:val="00183823"/>
    <w:rsid w:val="00183942"/>
    <w:rsid w:val="001915F6"/>
    <w:rsid w:val="00193F3F"/>
    <w:rsid w:val="001A009E"/>
    <w:rsid w:val="001A1287"/>
    <w:rsid w:val="001A3859"/>
    <w:rsid w:val="001A3C9D"/>
    <w:rsid w:val="001A43F8"/>
    <w:rsid w:val="001B79E5"/>
    <w:rsid w:val="001D56F0"/>
    <w:rsid w:val="001D663B"/>
    <w:rsid w:val="001D7792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A25"/>
    <w:rsid w:val="00213640"/>
    <w:rsid w:val="00221547"/>
    <w:rsid w:val="002216FC"/>
    <w:rsid w:val="00222533"/>
    <w:rsid w:val="00222F30"/>
    <w:rsid w:val="00224EE2"/>
    <w:rsid w:val="00227EC7"/>
    <w:rsid w:val="002309A8"/>
    <w:rsid w:val="00243111"/>
    <w:rsid w:val="00244AD1"/>
    <w:rsid w:val="002463BC"/>
    <w:rsid w:val="002465CE"/>
    <w:rsid w:val="0025734A"/>
    <w:rsid w:val="00262111"/>
    <w:rsid w:val="00262220"/>
    <w:rsid w:val="00263255"/>
    <w:rsid w:val="00276494"/>
    <w:rsid w:val="00277B0C"/>
    <w:rsid w:val="0028319E"/>
    <w:rsid w:val="002B1A2C"/>
    <w:rsid w:val="002B26D2"/>
    <w:rsid w:val="002B7198"/>
    <w:rsid w:val="002C34F2"/>
    <w:rsid w:val="002C58FF"/>
    <w:rsid w:val="002C7AFE"/>
    <w:rsid w:val="002D05D2"/>
    <w:rsid w:val="002E0D61"/>
    <w:rsid w:val="002E4C7B"/>
    <w:rsid w:val="00304DE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6BDF"/>
    <w:rsid w:val="003B2D51"/>
    <w:rsid w:val="003B387D"/>
    <w:rsid w:val="003B5192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17C11"/>
    <w:rsid w:val="00420957"/>
    <w:rsid w:val="00422A10"/>
    <w:rsid w:val="00430179"/>
    <w:rsid w:val="00431FCC"/>
    <w:rsid w:val="004414B5"/>
    <w:rsid w:val="00442B3C"/>
    <w:rsid w:val="00444482"/>
    <w:rsid w:val="00444B42"/>
    <w:rsid w:val="004456AC"/>
    <w:rsid w:val="00445E44"/>
    <w:rsid w:val="004509E2"/>
    <w:rsid w:val="004515EE"/>
    <w:rsid w:val="004529F0"/>
    <w:rsid w:val="004576F4"/>
    <w:rsid w:val="00460A03"/>
    <w:rsid w:val="00472A11"/>
    <w:rsid w:val="00472AAD"/>
    <w:rsid w:val="00474E33"/>
    <w:rsid w:val="00476803"/>
    <w:rsid w:val="0047748E"/>
    <w:rsid w:val="004808EB"/>
    <w:rsid w:val="004834D5"/>
    <w:rsid w:val="00485BFD"/>
    <w:rsid w:val="004867A2"/>
    <w:rsid w:val="004873F2"/>
    <w:rsid w:val="00490D4C"/>
    <w:rsid w:val="00493A35"/>
    <w:rsid w:val="0049527A"/>
    <w:rsid w:val="004966BF"/>
    <w:rsid w:val="00497984"/>
    <w:rsid w:val="004A0D6B"/>
    <w:rsid w:val="004A5088"/>
    <w:rsid w:val="004B3BFC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4A86"/>
    <w:rsid w:val="004F581C"/>
    <w:rsid w:val="004F65E8"/>
    <w:rsid w:val="0050005E"/>
    <w:rsid w:val="00502B88"/>
    <w:rsid w:val="00511422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084"/>
    <w:rsid w:val="00555602"/>
    <w:rsid w:val="0055686E"/>
    <w:rsid w:val="00566EE7"/>
    <w:rsid w:val="00581055"/>
    <w:rsid w:val="00591E38"/>
    <w:rsid w:val="005A19C5"/>
    <w:rsid w:val="005A3034"/>
    <w:rsid w:val="005A462D"/>
    <w:rsid w:val="005B253B"/>
    <w:rsid w:val="005B771D"/>
    <w:rsid w:val="005C5D16"/>
    <w:rsid w:val="005C6CAC"/>
    <w:rsid w:val="005D3193"/>
    <w:rsid w:val="005D4A6E"/>
    <w:rsid w:val="005E381E"/>
    <w:rsid w:val="005E6979"/>
    <w:rsid w:val="005E75CB"/>
    <w:rsid w:val="005F62BA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332F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71D"/>
    <w:rsid w:val="006B160A"/>
    <w:rsid w:val="006B4E6C"/>
    <w:rsid w:val="006B50B6"/>
    <w:rsid w:val="006D3AC1"/>
    <w:rsid w:val="006D79EA"/>
    <w:rsid w:val="006E5D05"/>
    <w:rsid w:val="006F12AD"/>
    <w:rsid w:val="00701053"/>
    <w:rsid w:val="00701507"/>
    <w:rsid w:val="00714021"/>
    <w:rsid w:val="00714278"/>
    <w:rsid w:val="00716A0F"/>
    <w:rsid w:val="00717D45"/>
    <w:rsid w:val="007208F7"/>
    <w:rsid w:val="007218AF"/>
    <w:rsid w:val="00723E4C"/>
    <w:rsid w:val="00732D31"/>
    <w:rsid w:val="007365D1"/>
    <w:rsid w:val="00737F4F"/>
    <w:rsid w:val="00740E0E"/>
    <w:rsid w:val="00744672"/>
    <w:rsid w:val="00750212"/>
    <w:rsid w:val="00754779"/>
    <w:rsid w:val="0075716D"/>
    <w:rsid w:val="00765F14"/>
    <w:rsid w:val="00766764"/>
    <w:rsid w:val="00770E31"/>
    <w:rsid w:val="007770F1"/>
    <w:rsid w:val="0078089C"/>
    <w:rsid w:val="00783FB1"/>
    <w:rsid w:val="00785CDD"/>
    <w:rsid w:val="007878E1"/>
    <w:rsid w:val="007911B3"/>
    <w:rsid w:val="00791847"/>
    <w:rsid w:val="007925F0"/>
    <w:rsid w:val="007939B3"/>
    <w:rsid w:val="00794448"/>
    <w:rsid w:val="0079509C"/>
    <w:rsid w:val="00796708"/>
    <w:rsid w:val="007A60A0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2CC"/>
    <w:rsid w:val="007F5328"/>
    <w:rsid w:val="00804F5A"/>
    <w:rsid w:val="00810C6D"/>
    <w:rsid w:val="00812887"/>
    <w:rsid w:val="008225E2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FF6"/>
    <w:rsid w:val="0088798F"/>
    <w:rsid w:val="00887E4B"/>
    <w:rsid w:val="008915C8"/>
    <w:rsid w:val="008972AD"/>
    <w:rsid w:val="008A36CF"/>
    <w:rsid w:val="008A3BC4"/>
    <w:rsid w:val="008B403C"/>
    <w:rsid w:val="008B4A86"/>
    <w:rsid w:val="008B7983"/>
    <w:rsid w:val="008C2511"/>
    <w:rsid w:val="008D026D"/>
    <w:rsid w:val="008D1D81"/>
    <w:rsid w:val="008D23AB"/>
    <w:rsid w:val="008D4B8B"/>
    <w:rsid w:val="008D5A78"/>
    <w:rsid w:val="008E4F1F"/>
    <w:rsid w:val="008E7B64"/>
    <w:rsid w:val="008F5DCD"/>
    <w:rsid w:val="008F771E"/>
    <w:rsid w:val="00900951"/>
    <w:rsid w:val="0091063F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8FB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87"/>
    <w:rsid w:val="00A16D91"/>
    <w:rsid w:val="00A174CC"/>
    <w:rsid w:val="00A2073D"/>
    <w:rsid w:val="00A20751"/>
    <w:rsid w:val="00A214F9"/>
    <w:rsid w:val="00A21DFE"/>
    <w:rsid w:val="00A27750"/>
    <w:rsid w:val="00A27E2D"/>
    <w:rsid w:val="00A310CF"/>
    <w:rsid w:val="00A31D99"/>
    <w:rsid w:val="00A357BA"/>
    <w:rsid w:val="00A35ADC"/>
    <w:rsid w:val="00A402A3"/>
    <w:rsid w:val="00A53681"/>
    <w:rsid w:val="00A633D4"/>
    <w:rsid w:val="00A6461A"/>
    <w:rsid w:val="00A67553"/>
    <w:rsid w:val="00A7039B"/>
    <w:rsid w:val="00A84504"/>
    <w:rsid w:val="00A8672F"/>
    <w:rsid w:val="00A93057"/>
    <w:rsid w:val="00A94BF2"/>
    <w:rsid w:val="00A960F7"/>
    <w:rsid w:val="00A968B0"/>
    <w:rsid w:val="00AB2672"/>
    <w:rsid w:val="00AB2817"/>
    <w:rsid w:val="00AB43C4"/>
    <w:rsid w:val="00AC32E7"/>
    <w:rsid w:val="00AC3A9F"/>
    <w:rsid w:val="00AC6D2F"/>
    <w:rsid w:val="00AD7DF9"/>
    <w:rsid w:val="00AE2745"/>
    <w:rsid w:val="00AE2F64"/>
    <w:rsid w:val="00AF2DC8"/>
    <w:rsid w:val="00AF42CB"/>
    <w:rsid w:val="00AF483F"/>
    <w:rsid w:val="00AF5E07"/>
    <w:rsid w:val="00AF5F06"/>
    <w:rsid w:val="00B00A25"/>
    <w:rsid w:val="00B1422A"/>
    <w:rsid w:val="00B1765C"/>
    <w:rsid w:val="00B213C4"/>
    <w:rsid w:val="00B2776B"/>
    <w:rsid w:val="00B27FB9"/>
    <w:rsid w:val="00B40C60"/>
    <w:rsid w:val="00B479A9"/>
    <w:rsid w:val="00B52EDF"/>
    <w:rsid w:val="00B543E0"/>
    <w:rsid w:val="00B56843"/>
    <w:rsid w:val="00B71188"/>
    <w:rsid w:val="00B76A41"/>
    <w:rsid w:val="00B87D4C"/>
    <w:rsid w:val="00B93646"/>
    <w:rsid w:val="00BA0B38"/>
    <w:rsid w:val="00BA1DBB"/>
    <w:rsid w:val="00BA4510"/>
    <w:rsid w:val="00BA529A"/>
    <w:rsid w:val="00BB00A4"/>
    <w:rsid w:val="00BB20DD"/>
    <w:rsid w:val="00BB612A"/>
    <w:rsid w:val="00BC0CD0"/>
    <w:rsid w:val="00BC58CE"/>
    <w:rsid w:val="00BD499F"/>
    <w:rsid w:val="00BD56DE"/>
    <w:rsid w:val="00BD7956"/>
    <w:rsid w:val="00BF2406"/>
    <w:rsid w:val="00BF3AA1"/>
    <w:rsid w:val="00C06E43"/>
    <w:rsid w:val="00C16315"/>
    <w:rsid w:val="00C16F05"/>
    <w:rsid w:val="00C226CD"/>
    <w:rsid w:val="00C3091E"/>
    <w:rsid w:val="00C3120B"/>
    <w:rsid w:val="00C40FF1"/>
    <w:rsid w:val="00C419E2"/>
    <w:rsid w:val="00C5020E"/>
    <w:rsid w:val="00C57452"/>
    <w:rsid w:val="00C61EDF"/>
    <w:rsid w:val="00C6239D"/>
    <w:rsid w:val="00C657F3"/>
    <w:rsid w:val="00C6594B"/>
    <w:rsid w:val="00C67FFB"/>
    <w:rsid w:val="00C7155E"/>
    <w:rsid w:val="00C71D1E"/>
    <w:rsid w:val="00C71D7D"/>
    <w:rsid w:val="00C74833"/>
    <w:rsid w:val="00C77A9C"/>
    <w:rsid w:val="00C850A0"/>
    <w:rsid w:val="00C85549"/>
    <w:rsid w:val="00C85A86"/>
    <w:rsid w:val="00C978F0"/>
    <w:rsid w:val="00CA58FE"/>
    <w:rsid w:val="00CB1CB1"/>
    <w:rsid w:val="00CB452E"/>
    <w:rsid w:val="00CB6BC1"/>
    <w:rsid w:val="00CB6CB8"/>
    <w:rsid w:val="00CB7B6D"/>
    <w:rsid w:val="00CC1A68"/>
    <w:rsid w:val="00CC2123"/>
    <w:rsid w:val="00CD2BFD"/>
    <w:rsid w:val="00CD2E44"/>
    <w:rsid w:val="00CE01A0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12E4"/>
    <w:rsid w:val="00D668E6"/>
    <w:rsid w:val="00D70670"/>
    <w:rsid w:val="00D7458E"/>
    <w:rsid w:val="00D74D80"/>
    <w:rsid w:val="00D76624"/>
    <w:rsid w:val="00D87570"/>
    <w:rsid w:val="00D91CB9"/>
    <w:rsid w:val="00D97989"/>
    <w:rsid w:val="00D97D6B"/>
    <w:rsid w:val="00D97D8D"/>
    <w:rsid w:val="00DA352E"/>
    <w:rsid w:val="00DC25DB"/>
    <w:rsid w:val="00DC7694"/>
    <w:rsid w:val="00DD1BF6"/>
    <w:rsid w:val="00DD2F9B"/>
    <w:rsid w:val="00DE2513"/>
    <w:rsid w:val="00DE26E8"/>
    <w:rsid w:val="00DF6F36"/>
    <w:rsid w:val="00E0084C"/>
    <w:rsid w:val="00E025AB"/>
    <w:rsid w:val="00E0286D"/>
    <w:rsid w:val="00E02B23"/>
    <w:rsid w:val="00E06F40"/>
    <w:rsid w:val="00E07CE8"/>
    <w:rsid w:val="00E26A07"/>
    <w:rsid w:val="00E32595"/>
    <w:rsid w:val="00E37CFD"/>
    <w:rsid w:val="00E41A26"/>
    <w:rsid w:val="00E45358"/>
    <w:rsid w:val="00E46BCB"/>
    <w:rsid w:val="00E51CAF"/>
    <w:rsid w:val="00E56216"/>
    <w:rsid w:val="00E60F04"/>
    <w:rsid w:val="00E62AAC"/>
    <w:rsid w:val="00E67C2F"/>
    <w:rsid w:val="00E67EF5"/>
    <w:rsid w:val="00E804EA"/>
    <w:rsid w:val="00E80A71"/>
    <w:rsid w:val="00E82337"/>
    <w:rsid w:val="00E832F8"/>
    <w:rsid w:val="00E92499"/>
    <w:rsid w:val="00E949AF"/>
    <w:rsid w:val="00E96077"/>
    <w:rsid w:val="00EA0A06"/>
    <w:rsid w:val="00EA442A"/>
    <w:rsid w:val="00EA6243"/>
    <w:rsid w:val="00EA7244"/>
    <w:rsid w:val="00EA74AB"/>
    <w:rsid w:val="00EB3D1B"/>
    <w:rsid w:val="00ED1D89"/>
    <w:rsid w:val="00ED36AE"/>
    <w:rsid w:val="00ED57DA"/>
    <w:rsid w:val="00ED66BC"/>
    <w:rsid w:val="00EF233A"/>
    <w:rsid w:val="00EF303E"/>
    <w:rsid w:val="00EF3A40"/>
    <w:rsid w:val="00EF7F78"/>
    <w:rsid w:val="00F01B08"/>
    <w:rsid w:val="00F01C4D"/>
    <w:rsid w:val="00F03B95"/>
    <w:rsid w:val="00F053FA"/>
    <w:rsid w:val="00F10C97"/>
    <w:rsid w:val="00F11141"/>
    <w:rsid w:val="00F11C71"/>
    <w:rsid w:val="00F16019"/>
    <w:rsid w:val="00F2031C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94B"/>
    <w:rsid w:val="00FA741F"/>
    <w:rsid w:val="00FB3041"/>
    <w:rsid w:val="00FB4E07"/>
    <w:rsid w:val="00FB636C"/>
    <w:rsid w:val="00FB755A"/>
    <w:rsid w:val="00FC60A2"/>
    <w:rsid w:val="00FD1871"/>
    <w:rsid w:val="00FD2ED1"/>
    <w:rsid w:val="00FD3110"/>
    <w:rsid w:val="00FF35CD"/>
    <w:rsid w:val="00FF5C3D"/>
    <w:rsid w:val="00FF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92D9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4D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D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D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D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DE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2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56C8F"/>
    <w:rsid w:val="002309A8"/>
    <w:rsid w:val="00347D16"/>
    <w:rsid w:val="003E0149"/>
    <w:rsid w:val="00755FBF"/>
    <w:rsid w:val="00CA72D3"/>
    <w:rsid w:val="00D21A9F"/>
    <w:rsid w:val="00F1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FB510-BE86-4614-8917-1172C132C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1c567317-0c4d-4a62-8516-c22afd1b5354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a0509f21-ed56-4150-9955-96be669e5f2d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C2513A-4A44-400D-98D4-F0E22E01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18</cp:revision>
  <cp:lastPrinted>2018-10-22T22:41:00Z</cp:lastPrinted>
  <dcterms:created xsi:type="dcterms:W3CDTF">2020-02-18T00:11:00Z</dcterms:created>
  <dcterms:modified xsi:type="dcterms:W3CDTF">2026-01-09T01:10:00Z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2026-01-07T01:33:40Z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cb628820-3e42-41ac-a9c8-05134c649d68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