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2B615C9" w:rsidR="00BD499F" w:rsidRPr="004C23F4" w:rsidRDefault="00BB7F26" w:rsidP="00B40C60">
          <w:pPr>
            <w:pStyle w:val="Heading1"/>
            <w:jc w:val="center"/>
            <w:rPr>
              <w:rFonts w:ascii="Arial" w:hAnsi="Arial" w:cs="Arial"/>
            </w:rPr>
          </w:pPr>
          <w:r w:rsidRPr="00BB7F26">
            <w:rPr>
              <w:rFonts w:ascii="Arial" w:hAnsi="Arial" w:cs="Arial"/>
            </w:rPr>
            <w:t>Selenium hexafluoride (as Se)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4E0B92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44995610" w:rsidR="00F43AD5" w:rsidRPr="00717D45" w:rsidRDefault="00BB7F26" w:rsidP="00B76A41">
            <w:pPr>
              <w:pStyle w:val="Tablefont"/>
            </w:pPr>
            <w:r w:rsidRPr="00BB7F26">
              <w:t>7783-79-1</w:t>
            </w:r>
          </w:p>
        </w:tc>
      </w:tr>
      <w:tr w:rsidR="00F43AD5" w:rsidRPr="004C23F4" w14:paraId="562A9F51" w14:textId="77777777" w:rsidTr="004E0B92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795B6F76" w:rsidR="00F43AD5" w:rsidRPr="00717D45" w:rsidRDefault="00BB7F26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4E0B92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475039C4" w:rsidR="00F43AD5" w:rsidRPr="00717D45" w:rsidRDefault="00BB7F26" w:rsidP="00B76A41">
            <w:pPr>
              <w:pStyle w:val="Tablefont"/>
            </w:pPr>
            <w:r w:rsidRPr="00BB7F26">
              <w:t>SeF</w:t>
            </w:r>
            <w:r w:rsidRPr="00BB7F26">
              <w:rPr>
                <w:vertAlign w:val="subscript"/>
              </w:rPr>
              <w:t>6</w:t>
            </w:r>
          </w:p>
        </w:tc>
      </w:tr>
    </w:tbl>
    <w:p w14:paraId="71D72173" w14:textId="70B504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F6C9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D17277B" w:rsidR="002C7AFE" w:rsidRPr="00EB3D1B" w:rsidRDefault="008F6C9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BAA3006" w:rsidR="00037E52" w:rsidRPr="00EB3D1B" w:rsidRDefault="00BB7F26" w:rsidP="00037E52">
            <w:pPr>
              <w:pStyle w:val="Tablefont"/>
              <w:rPr>
                <w:b/>
              </w:rPr>
            </w:pPr>
            <w:r w:rsidRPr="00BB7F26">
              <w:rPr>
                <w:b/>
              </w:rPr>
              <w:t>2 ppm</w:t>
            </w:r>
          </w:p>
        </w:tc>
      </w:tr>
      <w:tr w:rsidR="00155999" w:rsidRPr="004C23F4" w14:paraId="27D0E012" w14:textId="77777777" w:rsidTr="00AF3CE9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011611E" w:rsidR="00155999" w:rsidRPr="00EB3D1B" w:rsidRDefault="00155999" w:rsidP="00037E52">
            <w:pPr>
              <w:pStyle w:val="Tablefont"/>
              <w:rPr>
                <w:b/>
              </w:rPr>
            </w:pPr>
            <w:r w:rsidRPr="006F44B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r w:rsidR="008F6C96" w:rsidRPr="008F6C96">
              <w:rPr>
                <w:rStyle w:val="WESstatus"/>
                <w:color w:val="auto"/>
              </w:rPr>
              <w:t>N/A</w:t>
            </w:r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DF60B0D" w14:textId="3999A5DD" w:rsidR="0052263B" w:rsidRPr="004C23F4" w:rsidRDefault="008F6C96" w:rsidP="000C139A">
      <w:pPr>
        <w:rPr>
          <w:rFonts w:cs="Arial"/>
        </w:rPr>
      </w:pPr>
      <w:r>
        <w:rPr>
          <w:rFonts w:cs="Arial"/>
        </w:rPr>
        <w:t xml:space="preserve">This chemical has been nominated for removal from the </w:t>
      </w:r>
      <w:r>
        <w:rPr>
          <w:rFonts w:cs="Arial"/>
          <w:i/>
        </w:rPr>
        <w:t xml:space="preserve">Workplace exposure standards for airborne contaminants </w:t>
      </w:r>
      <w:r>
        <w:rPr>
          <w:rFonts w:cs="Arial"/>
        </w:rPr>
        <w:t>(WES)</w:t>
      </w:r>
      <w:r>
        <w:rPr>
          <w:rFonts w:cs="Arial"/>
          <w:i/>
        </w:rPr>
        <w:t xml:space="preserve"> </w:t>
      </w:r>
      <w:r>
        <w:rPr>
          <w:rFonts w:cs="Arial"/>
        </w:rPr>
        <w:t>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DBC550" w14:textId="63B7569B" w:rsidR="00BB3C6B" w:rsidRDefault="00F97B16" w:rsidP="006639B4">
      <w:pPr>
        <w:rPr>
          <w:rFonts w:cs="Arial"/>
        </w:rPr>
      </w:pPr>
      <w:r>
        <w:rPr>
          <w:rFonts w:cs="Arial"/>
        </w:rPr>
        <w:t xml:space="preserve">Selenium hexafluoride is used as a gaseous insulator in the electronics industry. </w:t>
      </w:r>
      <w:r w:rsidR="008F6C96">
        <w:t>There is lack of evidence that this chemical is used or generated in Australian workplaces or that it presents a potential for legacy exposure.</w:t>
      </w:r>
    </w:p>
    <w:p w14:paraId="019F87F4" w14:textId="3BBFE1D4" w:rsidR="00AE49AF" w:rsidRDefault="00B90CF3" w:rsidP="006639B4">
      <w:pPr>
        <w:rPr>
          <w:rFonts w:cs="Arial"/>
        </w:rPr>
      </w:pPr>
      <w:r>
        <w:rPr>
          <w:rFonts w:cs="Arial"/>
        </w:rPr>
        <w:t>The c</w:t>
      </w:r>
      <w:r w:rsidR="00F97B16">
        <w:rPr>
          <w:rFonts w:cs="Arial"/>
        </w:rPr>
        <w:t>ritical effect</w:t>
      </w:r>
      <w:r w:rsidR="0037381C">
        <w:rPr>
          <w:rFonts w:cs="Arial"/>
        </w:rPr>
        <w:t>s</w:t>
      </w:r>
      <w:r w:rsidR="00F97B16">
        <w:rPr>
          <w:rFonts w:cs="Arial"/>
        </w:rPr>
        <w:t xml:space="preserve"> </w:t>
      </w:r>
      <w:r w:rsidR="00BB3C6B">
        <w:rPr>
          <w:rFonts w:cs="Arial"/>
        </w:rPr>
        <w:t xml:space="preserve">of exposure </w:t>
      </w:r>
      <w:r w:rsidR="0037381C">
        <w:rPr>
          <w:rFonts w:cs="Arial"/>
        </w:rPr>
        <w:t xml:space="preserve">are pulmonary oedema and selenosis, which includes haematological and gastrointestinal </w:t>
      </w:r>
      <w:r w:rsidR="00BB3C6B">
        <w:rPr>
          <w:rFonts w:cs="Arial"/>
        </w:rPr>
        <w:t xml:space="preserve">tract (GIT) </w:t>
      </w:r>
      <w:r w:rsidR="0037381C">
        <w:rPr>
          <w:rFonts w:cs="Arial"/>
        </w:rPr>
        <w:t>disturbances, central nervous system</w:t>
      </w:r>
      <w:r w:rsidR="00F908CE">
        <w:rPr>
          <w:rFonts w:cs="Arial"/>
        </w:rPr>
        <w:t xml:space="preserve"> (CNS)</w:t>
      </w:r>
      <w:r w:rsidR="0037381C">
        <w:rPr>
          <w:rFonts w:cs="Arial"/>
        </w:rPr>
        <w:t xml:space="preserve"> depression and headaches.</w:t>
      </w:r>
    </w:p>
    <w:p w14:paraId="604BC364" w14:textId="557755CD" w:rsidR="0037381C" w:rsidRPr="00AE49AF" w:rsidRDefault="0052263B" w:rsidP="006639B4">
      <w:pPr>
        <w:rPr>
          <w:rFonts w:cs="Arial"/>
        </w:rPr>
      </w:pPr>
      <w:r>
        <w:rPr>
          <w:rFonts w:cs="Arial"/>
        </w:rPr>
        <w:t xml:space="preserve">Exposure data in the available source material are limited to acute inhalation studies </w:t>
      </w:r>
      <w:r w:rsidR="0000364F">
        <w:rPr>
          <w:rFonts w:cs="Arial"/>
        </w:rPr>
        <w:t>in</w:t>
      </w:r>
      <w:r>
        <w:rPr>
          <w:rFonts w:cs="Arial"/>
        </w:rPr>
        <w:t xml:space="preserve"> animals (ACGIH, 2018). From these studies, an exposure concentration and duration product (</w:t>
      </w:r>
      <w:proofErr w:type="spellStart"/>
      <w:r>
        <w:rPr>
          <w:rFonts w:cs="Arial"/>
        </w:rPr>
        <w:t>C∙t</w:t>
      </w:r>
      <w:proofErr w:type="spellEnd"/>
      <w:r>
        <w:rPr>
          <w:rFonts w:cs="Arial"/>
        </w:rPr>
        <w:t>) of 400 </w:t>
      </w:r>
      <w:proofErr w:type="spellStart"/>
      <w:r>
        <w:rPr>
          <w:rFonts w:cs="Arial"/>
        </w:rPr>
        <w:t>ppm∙h</w:t>
      </w:r>
      <w:proofErr w:type="spellEnd"/>
      <w:r>
        <w:rPr>
          <w:rFonts w:cs="Arial"/>
        </w:rPr>
        <w:t xml:space="preserve"> is deduced, which is approximately half that of ozone with respect to acute lethal toxicity (</w:t>
      </w:r>
      <w:proofErr w:type="spellStart"/>
      <w:r>
        <w:t>C</w:t>
      </w:r>
      <w:r>
        <w:rPr>
          <w:rFonts w:cs="Arial"/>
        </w:rPr>
        <w:t>∙</w:t>
      </w:r>
      <w:r>
        <w:t>t</w:t>
      </w:r>
      <w:proofErr w:type="spellEnd"/>
      <w:r>
        <w:t xml:space="preserve">=25 </w:t>
      </w:r>
      <w:proofErr w:type="spellStart"/>
      <w:r>
        <w:t>ppm</w:t>
      </w:r>
      <w:r>
        <w:rPr>
          <w:rFonts w:cs="Arial"/>
        </w:rPr>
        <w:t>∙h</w:t>
      </w:r>
      <w:proofErr w:type="spellEnd"/>
      <w:r>
        <w:t xml:space="preserve"> of ozone). </w:t>
      </w:r>
    </w:p>
    <w:p w14:paraId="48F0033A" w14:textId="4CE3F945" w:rsidR="008F6C96" w:rsidRDefault="0052263B" w:rsidP="006639B4">
      <w:r>
        <w:t xml:space="preserve">Based on the </w:t>
      </w:r>
      <w:r w:rsidR="00AE49AF">
        <w:t>above information,</w:t>
      </w:r>
      <w:r>
        <w:t xml:space="preserve"> ACGIH (2018) </w:t>
      </w:r>
      <w:r w:rsidR="00AE49AF">
        <w:t>recommend</w:t>
      </w:r>
      <w:r w:rsidR="00A93583">
        <w:t>ed</w:t>
      </w:r>
      <w:r w:rsidR="00AE49AF">
        <w:t xml:space="preserve"> a TLV-TWA of 0.16 mg/m</w:t>
      </w:r>
      <w:r w:rsidR="00AE49AF">
        <w:rPr>
          <w:vertAlign w:val="superscript"/>
        </w:rPr>
        <w:t>3</w:t>
      </w:r>
      <w:r w:rsidR="00AE49AF">
        <w:t xml:space="preserve">, which </w:t>
      </w:r>
      <w:r w:rsidR="00B600CA">
        <w:t xml:space="preserve">was adopted by SWA </w:t>
      </w:r>
      <w:proofErr w:type="gramStart"/>
      <w:r w:rsidR="00B600CA">
        <w:t xml:space="preserve">and </w:t>
      </w:r>
      <w:r w:rsidR="00AE49AF">
        <w:t>also</w:t>
      </w:r>
      <w:proofErr w:type="gramEnd"/>
      <w:r w:rsidR="00AE49AF">
        <w:t xml:space="preserve"> accounts for the recommended maximum tolerable daily intake of selenium for</w:t>
      </w:r>
      <w:r w:rsidR="00934CE8">
        <w:t xml:space="preserve"> North American populations</w:t>
      </w:r>
      <w:r w:rsidR="00AE49AF">
        <w:t xml:space="preserve"> (500 µg/day).</w:t>
      </w:r>
      <w:r w:rsidR="00DA0B24">
        <w:t xml:space="preserve"> However, an effective daily oral dose at the TLV-TWA exceeds this guideline by approximately a factor of </w:t>
      </w:r>
      <w:r w:rsidR="00A466DB">
        <w:t>three</w:t>
      </w:r>
      <w:r w:rsidR="008F6C96">
        <w:t>.</w:t>
      </w:r>
      <w:r w:rsidR="00DA0B24">
        <w:t xml:space="preserve"> </w:t>
      </w:r>
      <w:r w:rsidR="008F6C96">
        <w:t>T</w:t>
      </w:r>
      <w:r w:rsidR="00DA0B24">
        <w:t>his discrepancy is not discussed in the available source material.</w:t>
      </w:r>
      <w:r w:rsidR="00AE49AF">
        <w:t xml:space="preserve"> </w:t>
      </w:r>
      <w:r w:rsidR="008F6C96">
        <w:t>An equivalent maximum tolerable daily selenium intake for Australian populations is not reported in the available source material.</w:t>
      </w:r>
    </w:p>
    <w:p w14:paraId="63DADEF1" w14:textId="370EFFB8" w:rsidR="00F97B16" w:rsidRPr="004C23F4" w:rsidRDefault="008F6C96" w:rsidP="006639B4">
      <w:pPr>
        <w:rPr>
          <w:rFonts w:cs="Arial"/>
        </w:rPr>
      </w:pPr>
      <w:r>
        <w:t>This chemical has been nominated for removal from the WES list. A TWA is not recommended.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37381C" w:rsidRDefault="008E4F1F" w:rsidP="008E4F1F">
      <w:pPr>
        <w:rPr>
          <w:rFonts w:cs="Arial"/>
        </w:rPr>
      </w:pPr>
      <w:r w:rsidRPr="0037381C">
        <w:rPr>
          <w:rFonts w:cs="Arial"/>
        </w:rPr>
        <w:t>Not classified as a carcinogen according to the Globally Harmonized System of</w:t>
      </w:r>
      <w:r w:rsidR="00155999" w:rsidRPr="0037381C">
        <w:rPr>
          <w:rFonts w:cs="Arial"/>
        </w:rPr>
        <w:t xml:space="preserve"> Classification and Labelling of</w:t>
      </w:r>
      <w:r w:rsidRPr="0037381C">
        <w:rPr>
          <w:rFonts w:cs="Arial"/>
        </w:rPr>
        <w:t xml:space="preserve"> Chemicals (GHS). </w:t>
      </w:r>
    </w:p>
    <w:p w14:paraId="03916CCC" w14:textId="77777777" w:rsidR="008E4F1F" w:rsidRPr="0037381C" w:rsidRDefault="008E4F1F" w:rsidP="008E4F1F">
      <w:pPr>
        <w:rPr>
          <w:rFonts w:cs="Arial"/>
        </w:rPr>
      </w:pPr>
      <w:r w:rsidRPr="0037381C">
        <w:rPr>
          <w:rFonts w:cs="Arial"/>
        </w:rPr>
        <w:t xml:space="preserve">Not classified as a skin </w:t>
      </w:r>
      <w:r w:rsidR="00155999" w:rsidRPr="0037381C">
        <w:rPr>
          <w:rFonts w:cs="Arial"/>
        </w:rPr>
        <w:t xml:space="preserve">sensitiser </w:t>
      </w:r>
      <w:r w:rsidRPr="0037381C">
        <w:rPr>
          <w:rFonts w:cs="Arial"/>
        </w:rPr>
        <w:t>or respiratory sensitiser according to the GHS.</w:t>
      </w:r>
    </w:p>
    <w:p w14:paraId="7D0772D2" w14:textId="056B43DA" w:rsidR="004529F0" w:rsidRPr="004C23F4" w:rsidRDefault="00F908CE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37381C">
        <w:rPr>
          <w:rFonts w:cs="Arial"/>
        </w:rPr>
        <w:t xml:space="preserve">nsufficient </w:t>
      </w:r>
      <w:r>
        <w:rPr>
          <w:rFonts w:cs="Arial"/>
        </w:rPr>
        <w:t>data</w:t>
      </w:r>
      <w:r w:rsidRPr="0037381C">
        <w:rPr>
          <w:rFonts w:cs="Arial"/>
        </w:rPr>
        <w:t xml:space="preserve"> </w:t>
      </w:r>
      <w:r w:rsidR="008E4F1F" w:rsidRPr="0037381C">
        <w:rPr>
          <w:rFonts w:cs="Arial"/>
        </w:rPr>
        <w:t>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093CE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093C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C23820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B7F2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B7F26">
                  <w:t>TWA: 0.05 ppm (0.16 mg/m</w:t>
                </w:r>
                <w:r w:rsidR="00BB7F26" w:rsidRPr="00BB7F26">
                  <w:rPr>
                    <w:vertAlign w:val="superscript"/>
                  </w:rPr>
                  <w:t>3</w:t>
                </w:r>
                <w:r w:rsidR="00BB7F26">
                  <w:t>)</w:t>
                </w:r>
              </w:sdtContent>
            </w:sdt>
          </w:p>
        </w:tc>
      </w:tr>
      <w:tr w:rsidR="00C978F0" w:rsidRPr="00DA352E" w14:paraId="26087DDB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093C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A3730D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B7F2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B7F26">
                  <w:t>TLV-TWA: 0.05 ppm (0.16 mg/m</w:t>
                </w:r>
                <w:r w:rsidR="00BB7F26" w:rsidRPr="00BB7F26">
                  <w:rPr>
                    <w:vertAlign w:val="superscript"/>
                  </w:rPr>
                  <w:t>3</w:t>
                </w:r>
                <w:r w:rsidR="00BB7F26">
                  <w:t>)</w:t>
                </w:r>
              </w:sdtContent>
            </w:sdt>
          </w:p>
        </w:tc>
      </w:tr>
      <w:tr w:rsidR="00C978F0" w:rsidRPr="00DA352E" w14:paraId="418D532D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7B8293F8" w14:textId="6CC15D25" w:rsidR="00C978F0" w:rsidRPr="00FA70E6" w:rsidRDefault="00F97B16" w:rsidP="00F97B16">
            <w:pPr>
              <w:pStyle w:val="Tabletextprimarysource"/>
              <w:tabs>
                <w:tab w:val="left" w:pos="1050"/>
              </w:tabs>
            </w:pPr>
            <w:r>
              <w:t xml:space="preserve">TLV-TWA intended to protect for pulmonary oedema and excess intake of </w:t>
            </w:r>
            <w:r w:rsidR="00BB3C6B">
              <w:t xml:space="preserve">Se </w:t>
            </w:r>
            <w:r>
              <w:t>(for North Americans)</w:t>
            </w:r>
            <w:r w:rsidR="00FA70E6">
              <w:t xml:space="preserve">. </w:t>
            </w:r>
            <w:r w:rsidR="00BB3C6B">
              <w:t>A</w:t>
            </w:r>
            <w:r w:rsidR="00FA70E6">
              <w:t>ssuming a respiratory volume 10 m</w:t>
            </w:r>
            <w:r w:rsidR="00FA70E6">
              <w:rPr>
                <w:vertAlign w:val="superscript"/>
              </w:rPr>
              <w:t>3</w:t>
            </w:r>
            <w:r w:rsidR="00FA70E6">
              <w:t xml:space="preserve"> during an 8</w:t>
            </w:r>
            <w:r w:rsidR="00BB3C6B">
              <w:t xml:space="preserve"> </w:t>
            </w:r>
            <w:r w:rsidR="00FA70E6">
              <w:t xml:space="preserve">h shift, a total occupational intake of 1.6 mg may be expected at the TLV-TWA, which is above the recommended </w:t>
            </w:r>
            <w:r w:rsidR="003E0D1B">
              <w:t xml:space="preserve">maximal </w:t>
            </w:r>
            <w:r w:rsidR="00FA70E6">
              <w:t xml:space="preserve">daily intake of </w:t>
            </w:r>
            <w:r w:rsidR="00BB3C6B">
              <w:t>500 </w:t>
            </w:r>
            <w:r w:rsidR="00FA70E6">
              <w:t>µg/d; this discrepancy is not discussed in the TLV documentation.</w:t>
            </w:r>
          </w:p>
          <w:p w14:paraId="7A9F1E21" w14:textId="02A2894E" w:rsidR="00F97B16" w:rsidRDefault="00F97B16" w:rsidP="00F97B16">
            <w:pPr>
              <w:pStyle w:val="Tabletextprimarysource"/>
              <w:tabs>
                <w:tab w:val="left" w:pos="1050"/>
              </w:tabs>
            </w:pPr>
            <w:r>
              <w:t>Summary of data:</w:t>
            </w:r>
          </w:p>
          <w:p w14:paraId="5F62864E" w14:textId="57536E2E" w:rsidR="00F97B16" w:rsidRDefault="00FA70E6" w:rsidP="00F97B16">
            <w:pPr>
              <w:pStyle w:val="Tabletextprimarysource"/>
              <w:tabs>
                <w:tab w:val="left" w:pos="1050"/>
              </w:tabs>
            </w:pPr>
            <w:r>
              <w:t>TLV-TWA based on acute exposure data in animals</w:t>
            </w:r>
            <w:r w:rsidR="00BB3C6B">
              <w:t>;</w:t>
            </w:r>
            <w:r>
              <w:t xml:space="preserve"> indicate</w:t>
            </w:r>
            <w:r w:rsidR="00BB3C6B">
              <w:t>s</w:t>
            </w:r>
            <w:r>
              <w:t xml:space="preserve"> the substance is approximately half as acutely toxic as </w:t>
            </w:r>
            <w:r w:rsidR="00BB3C6B">
              <w:t>O</w:t>
            </w:r>
            <w:r w:rsidR="00BB3C6B" w:rsidRPr="00BB3C6B">
              <w:rPr>
                <w:vertAlign w:val="subscript"/>
              </w:rPr>
              <w:t>3</w:t>
            </w:r>
            <w:r>
              <w:t xml:space="preserve">, the recommended daily </w:t>
            </w:r>
            <w:r w:rsidR="00BB3C6B">
              <w:t xml:space="preserve">Se </w:t>
            </w:r>
            <w:r>
              <w:t xml:space="preserve">intake for North American males (70 µg/d) and females (55 µg/d), typical daily intake of 225 µg/d in drinking water and </w:t>
            </w:r>
            <w:r w:rsidR="00BB3C6B">
              <w:t xml:space="preserve">MTDI </w:t>
            </w:r>
            <w:r>
              <w:t>of 500 µg/d.</w:t>
            </w:r>
          </w:p>
          <w:p w14:paraId="27997BF3" w14:textId="33356A72" w:rsidR="00F97B16" w:rsidRDefault="00F97B16" w:rsidP="00F97B16">
            <w:pPr>
              <w:pStyle w:val="Tabletextprimarysource"/>
              <w:tabs>
                <w:tab w:val="left" w:pos="1050"/>
              </w:tabs>
            </w:pPr>
            <w:r>
              <w:t>Human data</w:t>
            </w:r>
            <w:r w:rsidR="00096A88">
              <w:t>:</w:t>
            </w:r>
          </w:p>
          <w:p w14:paraId="68325677" w14:textId="07112CDE" w:rsidR="00F97B16" w:rsidRDefault="003E0D1B" w:rsidP="00732A49">
            <w:pPr>
              <w:pStyle w:val="Tabletextprimarysource"/>
              <w:numPr>
                <w:ilvl w:val="0"/>
                <w:numId w:val="2"/>
              </w:numPr>
              <w:tabs>
                <w:tab w:val="left" w:pos="1050"/>
              </w:tabs>
            </w:pPr>
            <w:r>
              <w:t>V</w:t>
            </w:r>
            <w:r w:rsidR="00732A49">
              <w:t xml:space="preserve">olatile </w:t>
            </w:r>
            <w:r w:rsidR="00BB3C6B">
              <w:t xml:space="preserve">Se </w:t>
            </w:r>
            <w:r w:rsidR="00732A49">
              <w:t xml:space="preserve">compounds are less toxic than </w:t>
            </w:r>
            <w:r w:rsidR="001F4D07">
              <w:t>water-</w:t>
            </w:r>
            <w:r w:rsidR="00732A49">
              <w:t xml:space="preserve">soluble </w:t>
            </w:r>
            <w:r w:rsidR="001F4D07">
              <w:t>compounds</w:t>
            </w:r>
            <w:r>
              <w:t xml:space="preserve"> and </w:t>
            </w:r>
            <w:r w:rsidR="00732A49">
              <w:t xml:space="preserve">certain halides, e.g. </w:t>
            </w:r>
            <w:r w:rsidR="00BB3C6B">
              <w:t>SeF</w:t>
            </w:r>
            <w:r w:rsidR="00BB3C6B" w:rsidRPr="00BB3C6B">
              <w:rPr>
                <w:vertAlign w:val="subscript"/>
              </w:rPr>
              <w:t>6</w:t>
            </w:r>
            <w:r w:rsidR="00732A49">
              <w:t>, are also severe irritants</w:t>
            </w:r>
            <w:r w:rsidR="000A2DAB">
              <w:t>:</w:t>
            </w:r>
          </w:p>
          <w:p w14:paraId="58ABFAFB" w14:textId="1AD80CBE" w:rsidR="00FF285A" w:rsidRDefault="00FF285A" w:rsidP="00BB3C6B">
            <w:pPr>
              <w:pStyle w:val="Tabletextprimarysource"/>
              <w:numPr>
                <w:ilvl w:val="1"/>
                <w:numId w:val="2"/>
              </w:numPr>
              <w:tabs>
                <w:tab w:val="left" w:pos="1050"/>
              </w:tabs>
              <w:ind w:left="1094" w:hanging="357"/>
            </w:pPr>
            <w:r>
              <w:t>chronic exposure expected to produce systemic effects</w:t>
            </w:r>
            <w:r w:rsidR="0037381C">
              <w:t xml:space="preserve"> (selenosis)</w:t>
            </w:r>
            <w:r>
              <w:t xml:space="preserve"> </w:t>
            </w:r>
            <w:r w:rsidR="00FD30A7">
              <w:t xml:space="preserve">comparable </w:t>
            </w:r>
            <w:r>
              <w:t xml:space="preserve">to other </w:t>
            </w:r>
            <w:r w:rsidR="00BB3C6B">
              <w:t xml:space="preserve">Se </w:t>
            </w:r>
            <w:r>
              <w:t xml:space="preserve">compounds (e.g. </w:t>
            </w:r>
            <w:r w:rsidR="00F908CE">
              <w:t>CNS</w:t>
            </w:r>
            <w:r>
              <w:t xml:space="preserve"> depression, headache </w:t>
            </w:r>
            <w:r w:rsidR="00FD30A7">
              <w:t xml:space="preserve">and </w:t>
            </w:r>
            <w:r>
              <w:t xml:space="preserve">haematological </w:t>
            </w:r>
            <w:r w:rsidR="00FD30A7">
              <w:t xml:space="preserve">and </w:t>
            </w:r>
            <w:r w:rsidR="00BB3C6B">
              <w:t xml:space="preserve">GIT </w:t>
            </w:r>
            <w:r w:rsidR="00FD30A7">
              <w:t xml:space="preserve">disturbances, cited from ACGIH, 2018 </w:t>
            </w:r>
            <w:r w:rsidR="00FD30A7" w:rsidRPr="00FD30A7">
              <w:rPr>
                <w:i/>
              </w:rPr>
              <w:t>TLV</w:t>
            </w:r>
            <w:r w:rsidR="00FD30A7">
              <w:t> </w:t>
            </w:r>
            <w:r w:rsidR="00FD30A7" w:rsidRPr="00FD30A7">
              <w:rPr>
                <w:i/>
              </w:rPr>
              <w:t>Documentation for</w:t>
            </w:r>
            <w:r w:rsidR="00FD30A7">
              <w:t xml:space="preserve"> </w:t>
            </w:r>
            <w:r w:rsidR="00FD30A7" w:rsidRPr="00FD30A7">
              <w:rPr>
                <w:i/>
              </w:rPr>
              <w:t>Selenium and Compounds</w:t>
            </w:r>
            <w:r w:rsidR="00FD30A7">
              <w:t>)</w:t>
            </w:r>
            <w:r w:rsidR="006F44B7">
              <w:t>.</w:t>
            </w:r>
          </w:p>
          <w:p w14:paraId="53708B72" w14:textId="53A6FC74" w:rsidR="00F97B16" w:rsidRDefault="00F97B16" w:rsidP="00F97B16">
            <w:pPr>
              <w:pStyle w:val="Tabletextprimarysource"/>
              <w:tabs>
                <w:tab w:val="left" w:pos="1050"/>
              </w:tabs>
            </w:pPr>
            <w:r>
              <w:t>Animal data:</w:t>
            </w:r>
          </w:p>
          <w:p w14:paraId="2B752B9C" w14:textId="6D6DA139" w:rsidR="00F97B16" w:rsidRDefault="00F97B16" w:rsidP="00F97B16">
            <w:pPr>
              <w:pStyle w:val="Tabletextprimarysource"/>
              <w:numPr>
                <w:ilvl w:val="0"/>
                <w:numId w:val="1"/>
              </w:numPr>
              <w:tabs>
                <w:tab w:val="left" w:pos="1050"/>
              </w:tabs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10 ppm (mice, rats, rabbits, guinea pigs, 4 h)</w:t>
            </w:r>
            <w:r w:rsidR="000A2DAB">
              <w:t>:</w:t>
            </w:r>
          </w:p>
          <w:p w14:paraId="362D5FF1" w14:textId="38F2F1BA" w:rsidR="00F97B16" w:rsidRDefault="00F97B16" w:rsidP="00BB3C6B">
            <w:pPr>
              <w:pStyle w:val="Tabletextprimarysource"/>
              <w:numPr>
                <w:ilvl w:val="1"/>
                <w:numId w:val="1"/>
              </w:numPr>
              <w:tabs>
                <w:tab w:val="left" w:pos="1050"/>
              </w:tabs>
              <w:ind w:left="1094" w:hanging="357"/>
            </w:pPr>
            <w:r>
              <w:t>exposure concentration and time product (</w:t>
            </w:r>
            <w:proofErr w:type="spellStart"/>
            <w:r>
              <w:t>C</w:t>
            </w:r>
            <w:r>
              <w:rPr>
                <w:rFonts w:cs="Arial"/>
              </w:rPr>
              <w:t>∙</w:t>
            </w:r>
            <w:r>
              <w:t>t</w:t>
            </w:r>
            <w:proofErr w:type="spellEnd"/>
            <w:r>
              <w:t xml:space="preserve">) of 40 </w:t>
            </w:r>
            <w:proofErr w:type="spellStart"/>
            <w:r>
              <w:t>ppm</w:t>
            </w:r>
            <w:r>
              <w:rPr>
                <w:rFonts w:cs="Arial"/>
              </w:rPr>
              <w:t>∙</w:t>
            </w:r>
            <w:r>
              <w:t>h</w:t>
            </w:r>
            <w:proofErr w:type="spellEnd"/>
            <w:r>
              <w:t xml:space="preserve"> is uniformly lethal as deduced from exposures at 1, 5, 10, 25, 50</w:t>
            </w:r>
            <w:r w:rsidR="003E0D1B">
              <w:t xml:space="preserve"> and </w:t>
            </w:r>
            <w:r>
              <w:t>100 ppm in these species</w:t>
            </w:r>
          </w:p>
          <w:p w14:paraId="6C8D57F2" w14:textId="21CEFD7F" w:rsidR="00F97B16" w:rsidRDefault="00732A49" w:rsidP="00BB3C6B">
            <w:pPr>
              <w:pStyle w:val="Tabletextprimarysource"/>
              <w:numPr>
                <w:ilvl w:val="1"/>
                <w:numId w:val="1"/>
              </w:numPr>
              <w:tabs>
                <w:tab w:val="left" w:pos="1050"/>
              </w:tabs>
              <w:ind w:left="1094" w:hanging="357"/>
            </w:pPr>
            <w:r>
              <w:t xml:space="preserve">non-lethal </w:t>
            </w:r>
            <w:r w:rsidR="00F97B16">
              <w:t>pulmonary oedema</w:t>
            </w:r>
            <w:r>
              <w:t xml:space="preserve"> at 5 ppm (4 h) or </w:t>
            </w:r>
            <w:proofErr w:type="spellStart"/>
            <w:r>
              <w:t>C</w:t>
            </w:r>
            <w:r>
              <w:rPr>
                <w:rFonts w:cs="Arial"/>
              </w:rPr>
              <w:t>∙</w:t>
            </w:r>
            <w:r>
              <w:t>t</w:t>
            </w:r>
            <w:proofErr w:type="spellEnd"/>
            <w:r>
              <w:t xml:space="preserve">= 20 </w:t>
            </w:r>
            <w:proofErr w:type="spellStart"/>
            <w:r>
              <w:t>ppm</w:t>
            </w:r>
            <w:r>
              <w:rPr>
                <w:rFonts w:cs="Arial"/>
              </w:rPr>
              <w:t>∙</w:t>
            </w:r>
            <w:r>
              <w:t>h</w:t>
            </w:r>
            <w:proofErr w:type="spellEnd"/>
          </w:p>
          <w:p w14:paraId="0EFEE4E6" w14:textId="7D84C1BA" w:rsidR="00732A49" w:rsidRDefault="00732A49" w:rsidP="00BB3C6B">
            <w:pPr>
              <w:pStyle w:val="Tabletextprimarysource"/>
              <w:numPr>
                <w:ilvl w:val="1"/>
                <w:numId w:val="1"/>
              </w:numPr>
              <w:tabs>
                <w:tab w:val="left" w:pos="1050"/>
              </w:tabs>
              <w:ind w:left="1094" w:hanging="357"/>
            </w:pPr>
            <w:r>
              <w:t>NOAEC: 1 ppm (4 h)</w:t>
            </w:r>
          </w:p>
          <w:p w14:paraId="6908FBA6" w14:textId="0C19CCB8" w:rsidR="00732A49" w:rsidRDefault="00732A49" w:rsidP="00BB3C6B">
            <w:pPr>
              <w:pStyle w:val="Tabletextprimarysource"/>
              <w:numPr>
                <w:ilvl w:val="1"/>
                <w:numId w:val="1"/>
              </w:numPr>
              <w:tabs>
                <w:tab w:val="left" w:pos="1050"/>
              </w:tabs>
              <w:ind w:left="1094" w:hanging="357"/>
            </w:pPr>
            <w:r>
              <w:t xml:space="preserve">pulmonary injury (not specified) </w:t>
            </w:r>
            <w:r w:rsidR="003E0D1B">
              <w:t xml:space="preserve">reported </w:t>
            </w:r>
            <w:r>
              <w:t>at 1 and 5 ppm (1 h/d, 5 d)</w:t>
            </w:r>
          </w:p>
          <w:p w14:paraId="78B6D527" w14:textId="4DD44903" w:rsidR="00732A49" w:rsidRDefault="00732A49" w:rsidP="00BB3C6B">
            <w:pPr>
              <w:pStyle w:val="Tabletextprimarysource"/>
              <w:numPr>
                <w:ilvl w:val="1"/>
                <w:numId w:val="1"/>
              </w:numPr>
              <w:tabs>
                <w:tab w:val="left" w:pos="1050"/>
              </w:tabs>
              <w:ind w:left="1094" w:hanging="357"/>
            </w:pPr>
            <w:r>
              <w:t>acute toxicity</w:t>
            </w:r>
            <w:r w:rsidR="00F908CE">
              <w:t xml:space="preserve">~ </w:t>
            </w:r>
            <w:r>
              <w:t>half that of ozone (</w:t>
            </w:r>
            <w:proofErr w:type="spellStart"/>
            <w:r>
              <w:t>C</w:t>
            </w:r>
            <w:r>
              <w:rPr>
                <w:rFonts w:cs="Arial"/>
              </w:rPr>
              <w:t>∙</w:t>
            </w:r>
            <w:r>
              <w:t>t</w:t>
            </w:r>
            <w:proofErr w:type="spellEnd"/>
            <w:r>
              <w:t xml:space="preserve">= 25 </w:t>
            </w:r>
            <w:proofErr w:type="spellStart"/>
            <w:r>
              <w:t>ppm</w:t>
            </w:r>
            <w:r>
              <w:rPr>
                <w:rFonts w:cs="Arial"/>
              </w:rPr>
              <w:t>∙h</w:t>
            </w:r>
            <w:proofErr w:type="spellEnd"/>
            <w:r>
              <w:t xml:space="preserve"> of ozone)</w:t>
            </w:r>
          </w:p>
          <w:p w14:paraId="7C62CD5F" w14:textId="0FA28CD3" w:rsidR="0037381C" w:rsidRDefault="0037381C" w:rsidP="00BB3C6B">
            <w:pPr>
              <w:pStyle w:val="Tabletextprimarysource"/>
              <w:numPr>
                <w:ilvl w:val="0"/>
                <w:numId w:val="1"/>
              </w:numPr>
              <w:tabs>
                <w:tab w:val="left" w:pos="1050"/>
              </w:tabs>
            </w:pPr>
            <w:r>
              <w:t>No mutagenicity or ADME data presented</w:t>
            </w:r>
            <w:r w:rsidR="006F44B7">
              <w:t>.</w:t>
            </w:r>
          </w:p>
          <w:p w14:paraId="0CDF9570" w14:textId="77777777" w:rsidR="000A2DAB" w:rsidRDefault="000A2DAB" w:rsidP="00F97B16">
            <w:pPr>
              <w:pStyle w:val="Tabletextprimarysource"/>
              <w:tabs>
                <w:tab w:val="left" w:pos="1050"/>
              </w:tabs>
            </w:pPr>
          </w:p>
          <w:p w14:paraId="20923C7B" w14:textId="77777777" w:rsidR="00F97B16" w:rsidRDefault="00F97B16" w:rsidP="00F97B16">
            <w:pPr>
              <w:pStyle w:val="Tabletextprimarysource"/>
              <w:tabs>
                <w:tab w:val="left" w:pos="1050"/>
              </w:tabs>
            </w:pPr>
            <w:r>
              <w:t>Insufficient data to recommend a TLV-STEL or notations for carcinogenicity, skin absorption or sensitisation.</w:t>
            </w:r>
          </w:p>
          <w:p w14:paraId="0CE4D35D" w14:textId="77777777" w:rsidR="000A2DAB" w:rsidRPr="00DA352E" w:rsidRDefault="000A2DAB" w:rsidP="00F97B16">
            <w:pPr>
              <w:pStyle w:val="Tabletextprimarysource"/>
              <w:tabs>
                <w:tab w:val="left" w:pos="1050"/>
              </w:tabs>
            </w:pPr>
          </w:p>
        </w:tc>
      </w:tr>
      <w:tr w:rsidR="00C978F0" w:rsidRPr="00DA352E" w14:paraId="174F8B79" w14:textId="77777777" w:rsidTr="00093C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6DD62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B7F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-706567479"/>
                    <w:placeholder>
                      <w:docPart w:val="CBD1FFDDD78B443B99EE285E1A30CB27"/>
                    </w:placeholder>
                    <w:text/>
                  </w:sdtPr>
                  <w:sdtEndPr/>
                  <w:sdtContent>
                    <w:proofErr w:type="spellStart"/>
                    <w:r w:rsidR="00BB7F26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4433014F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DA352E" w:rsidRDefault="00BB7F26" w:rsidP="003365A5">
            <w:pPr>
              <w:pStyle w:val="Tabletextprimarysource"/>
            </w:pPr>
            <w:r>
              <w:t>No report</w:t>
            </w:r>
            <w:r w:rsidR="006F44B7">
              <w:t>.</w:t>
            </w:r>
          </w:p>
        </w:tc>
      </w:tr>
      <w:tr w:rsidR="00C978F0" w:rsidRPr="00DA352E" w14:paraId="0E6A0B2C" w14:textId="77777777" w:rsidTr="00093C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14B45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B7F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1481510594"/>
                    <w:placeholder>
                      <w:docPart w:val="1A6AFBCE4326439F99D7A4F5844DA242"/>
                    </w:placeholder>
                    <w:text/>
                  </w:sdtPr>
                  <w:sdtEndPr/>
                  <w:sdtContent>
                    <w:proofErr w:type="spellStart"/>
                    <w:r w:rsidR="00BB7F26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BB7F26" w:rsidP="003365A5">
            <w:pPr>
              <w:pStyle w:val="Tabletextprimarysource"/>
            </w:pPr>
            <w:r>
              <w:t>No report</w:t>
            </w:r>
            <w:r w:rsidR="006F44B7">
              <w:t>.</w:t>
            </w:r>
          </w:p>
        </w:tc>
      </w:tr>
      <w:tr w:rsidR="00DA352E" w:rsidRPr="00DA352E" w14:paraId="12BAB90D" w14:textId="77777777" w:rsidTr="00093C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59A49B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B7F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728046422"/>
                    <w:placeholder>
                      <w:docPart w:val="BF5933D899444E3682EBCEFFCAB4F0A6"/>
                    </w:placeholder>
                    <w:text/>
                  </w:sdtPr>
                  <w:sdtEndPr/>
                  <w:sdtContent>
                    <w:proofErr w:type="spellStart"/>
                    <w:r w:rsidR="00BB7F26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BB7F26" w:rsidP="003365A5">
            <w:pPr>
              <w:pStyle w:val="Tabletextprimarysource"/>
            </w:pPr>
            <w:r>
              <w:t>No report</w:t>
            </w:r>
            <w:r w:rsidR="006F44B7">
              <w:t>.</w:t>
            </w:r>
          </w:p>
        </w:tc>
      </w:tr>
      <w:tr w:rsidR="00DA352E" w:rsidRPr="00DA352E" w14:paraId="605F758C" w14:textId="77777777" w:rsidTr="00093C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104D1C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B7F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1963336698"/>
                    <w:placeholder>
                      <w:docPart w:val="555EDA9DCEB94FCD9C4F654515B00C76"/>
                    </w:placeholder>
                    <w:text/>
                  </w:sdtPr>
                  <w:sdtEndPr/>
                  <w:sdtContent>
                    <w:proofErr w:type="spellStart"/>
                    <w:r w:rsidR="00BB7F26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093CE8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B7DEF13" w:rsidR="00DA352E" w:rsidRPr="00DA352E" w:rsidRDefault="00BB7F26" w:rsidP="003365A5">
            <w:pPr>
              <w:pStyle w:val="Tabletextprimarysource"/>
            </w:pPr>
            <w:r>
              <w:t>No report</w:t>
            </w:r>
            <w:r w:rsidR="006F44B7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6AE89AB3" w14:textId="77777777" w:rsidTr="00093C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C4323A" w14:textId="77777777" w:rsidTr="00093CE8">
        <w:trPr>
          <w:cantSplit/>
        </w:trPr>
        <w:tc>
          <w:tcPr>
            <w:tcW w:w="149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1DB94D80" w:rsidR="004966BF" w:rsidRDefault="0008084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7381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21FF3E51" w:rsidR="004966BF" w:rsidRPr="004C23F4" w:rsidRDefault="0037381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4E1BEF9D" w14:textId="342D851D" w:rsidR="004966BF" w:rsidRPr="004C23F4" w:rsidRDefault="000A2DAB" w:rsidP="00BB3C6B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</w:t>
            </w:r>
            <w:r w:rsidR="0037381C" w:rsidRPr="0037381C">
              <w:rPr>
                <w:rFonts w:cs="Arial"/>
              </w:rPr>
              <w:t>DLH based on acute inhalation toxicity data in animals</w:t>
            </w:r>
            <w:r w:rsidR="0037381C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37381C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6CA2A7F" w:rsidR="002E0D61" w:rsidRDefault="0037381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37381C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11881771" w:rsidR="008A36CF" w:rsidRDefault="0037381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B3C6B" w14:paraId="4D6DDFA3" w14:textId="77777777" w:rsidTr="00AF3CE9">
        <w:trPr>
          <w:trHeight w:val="454"/>
        </w:trPr>
        <w:sdt>
          <w:sdtPr>
            <w:rPr>
              <w:b/>
            </w:rPr>
            <w:id w:val="1830936485"/>
            <w:placeholder>
              <w:docPart w:val="97749E8EB4E543A4AD357E9EFC704C2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68C6A33F" w:rsidR="00BB3C6B" w:rsidRDefault="00BB3C6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093C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093CE8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32E8BCF" w:rsidR="00687890" w:rsidRPr="00DD2F9B" w:rsidRDefault="00BB7F26" w:rsidP="00DD2F9B">
            <w:pPr>
              <w:pStyle w:val="Tablefont"/>
            </w:pPr>
            <w:r w:rsidRPr="00BB7F26">
              <w:t>—</w:t>
            </w:r>
          </w:p>
        </w:tc>
      </w:tr>
      <w:tr w:rsidR="007925F0" w:rsidRPr="004C23F4" w14:paraId="2A0C13EF" w14:textId="77777777" w:rsidTr="00093CE8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85554F7" w:rsidR="007925F0" w:rsidRPr="00DD2F9B" w:rsidRDefault="004A02A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093CE8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7D1E6B9" w:rsidR="00AF483F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093CE8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D6130B0" w:rsidR="00687890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093CE8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9A3A043" w:rsidR="00E41A26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093CE8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667B2B7" w:rsidR="002E0D61" w:rsidRPr="00DD2F9B" w:rsidRDefault="00C7419B" w:rsidP="00DD2F9B">
            <w:pPr>
              <w:pStyle w:val="Tablefont"/>
            </w:pPr>
            <w:r w:rsidRPr="00BB7F26">
              <w:t>—</w:t>
            </w:r>
          </w:p>
        </w:tc>
      </w:tr>
      <w:tr w:rsidR="002E0D61" w:rsidRPr="004C23F4" w14:paraId="43FA3590" w14:textId="77777777" w:rsidTr="00093CE8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9C67F75" w:rsidR="002E0D61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093CE8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6D396B1" w:rsidR="002E0D61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093CE8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5D5262A" w:rsidR="002E0D61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093CE8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2DBB4DD" w:rsidR="00386093" w:rsidRPr="00DD2F9B" w:rsidRDefault="00C7419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093CE8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23E0E4C" w:rsidR="00386093" w:rsidRPr="00DD2F9B" w:rsidRDefault="00C7419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7AB0AC29" w:rsidR="00932DCE" w:rsidRPr="004C23F4" w:rsidRDefault="0037381C" w:rsidP="00F9496B">
            <w:pPr>
              <w:pStyle w:val="Tablefont"/>
            </w:pPr>
            <w:r>
              <w:t>Insufficient data to assign a skin notation</w:t>
            </w:r>
            <w:r w:rsidR="00BB3C6B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013BF57" w:rsidR="00EB3D1B" w:rsidRDefault="00C7419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BB3C6B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BB3C6B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BB3C6B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4AFAF5C" w:rsidR="001B79E5" w:rsidRDefault="00C7419B" w:rsidP="00BB3C6B">
                <w:pPr>
                  <w:pStyle w:val="Tablefont"/>
                </w:pPr>
                <w:r w:rsidRPr="00C7419B">
                  <w:t>192.95</w:t>
                </w:r>
              </w:p>
            </w:tc>
          </w:sdtContent>
        </w:sdt>
      </w:tr>
      <w:tr w:rsidR="00A31D99" w:rsidRPr="004C23F4" w14:paraId="4D7C99C9" w14:textId="77777777" w:rsidTr="00BB3C6B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BB3C6B">
            <w:pPr>
              <w:pStyle w:val="Tablefont"/>
            </w:pPr>
            <w:r>
              <w:lastRenderedPageBreak/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0A486632" w:rsidR="00A31D99" w:rsidRDefault="00A0643F" w:rsidP="00BB3C6B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7419B">
                  <w:t>7.89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</w:t>
            </w:r>
            <w:r w:rsidRPr="00C7419B">
              <w:t xml:space="preserve">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7419B">
                  <w:t>0.124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BB3C6B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BB3C6B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BB3C6B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BB3C6B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BB3C6B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BB3C6B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BB3C6B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BB3C6B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BB3C6B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BB3C6B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BB3C6B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08084D" w:rsidP="00BB3C6B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7EFB18B" w14:textId="240A2854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C7419B" w:rsidRPr="00C7419B">
        <w:t>1994</w:t>
      </w:r>
      <w:r>
        <w:t xml:space="preserve">) Immediately dangerous to life or health concentrations – </w:t>
      </w:r>
      <w:r w:rsidR="00C7419B" w:rsidRPr="00C7419B">
        <w:t>Selenium hexafluoride (as Se)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5B0A5" w14:textId="77777777" w:rsidR="0028416D" w:rsidRDefault="0028416D" w:rsidP="00F43AD5">
      <w:pPr>
        <w:spacing w:after="0" w:line="240" w:lineRule="auto"/>
      </w:pPr>
      <w:r>
        <w:separator/>
      </w:r>
    </w:p>
  </w:endnote>
  <w:endnote w:type="continuationSeparator" w:id="0">
    <w:p w14:paraId="479C18AE" w14:textId="77777777" w:rsidR="0028416D" w:rsidRDefault="0028416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63D6A57D" w:rsidR="00AF3CE9" w:rsidRDefault="00AF3CE9" w:rsidP="0034744C">
        <w:pPr>
          <w:pStyle w:val="Footer"/>
          <w:rPr>
            <w:sz w:val="18"/>
            <w:szCs w:val="18"/>
          </w:rPr>
        </w:pPr>
        <w:r w:rsidRPr="00BB7F26">
          <w:rPr>
            <w:b/>
            <w:sz w:val="18"/>
            <w:szCs w:val="18"/>
          </w:rPr>
          <w:t>Selenium hexafluoride (as Se)</w:t>
        </w:r>
        <w:r>
          <w:rPr>
            <w:b/>
            <w:sz w:val="18"/>
            <w:szCs w:val="18"/>
          </w:rPr>
          <w:t xml:space="preserve"> (</w:t>
        </w:r>
        <w:r w:rsidRPr="00BB7F26">
          <w:rPr>
            <w:b/>
            <w:sz w:val="18"/>
            <w:szCs w:val="18"/>
          </w:rPr>
          <w:t>7783-79-1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3BBDFC75" w:rsidR="00AF3CE9" w:rsidRPr="00F43AD5" w:rsidRDefault="00AF3CE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B6029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C3E49" w14:textId="77777777" w:rsidR="0028416D" w:rsidRDefault="0028416D" w:rsidP="00F43AD5">
      <w:pPr>
        <w:spacing w:after="0" w:line="240" w:lineRule="auto"/>
      </w:pPr>
      <w:r>
        <w:separator/>
      </w:r>
    </w:p>
  </w:footnote>
  <w:footnote w:type="continuationSeparator" w:id="0">
    <w:p w14:paraId="5C6BA906" w14:textId="77777777" w:rsidR="0028416D" w:rsidRDefault="0028416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C302" w14:textId="09DBE212" w:rsidR="00093CE8" w:rsidRDefault="00093CE8" w:rsidP="00093CE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B71C176" wp14:editId="09AA080F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62DE823" w:rsidR="00AF3CE9" w:rsidRPr="00093CE8" w:rsidRDefault="00AF3CE9" w:rsidP="00093C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3E096" w14:textId="732EC966" w:rsidR="00093CE8" w:rsidRDefault="00093CE8" w:rsidP="00093CE8">
    <w:pPr>
      <w:pStyle w:val="Header"/>
      <w:jc w:val="right"/>
    </w:pPr>
    <w:r>
      <w:rPr>
        <w:noProof/>
        <w:lang w:eastAsia="en-AU"/>
      </w:rPr>
      <w:drawing>
        <wp:inline distT="0" distB="0" distL="0" distR="0" wp14:anchorId="19EFD1E4" wp14:editId="7A0132D7">
          <wp:extent cx="2945130" cy="595630"/>
          <wp:effectExtent l="0" t="0" r="762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91782EF" w:rsidR="00AF3CE9" w:rsidRDefault="00AF3CE9" w:rsidP="00093C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0139"/>
    <w:multiLevelType w:val="hybridMultilevel"/>
    <w:tmpl w:val="254E97A8"/>
    <w:lvl w:ilvl="0" w:tplc="37F4E2D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E3030"/>
    <w:multiLevelType w:val="hybridMultilevel"/>
    <w:tmpl w:val="C2EEBD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D0B46"/>
    <w:multiLevelType w:val="hybridMultilevel"/>
    <w:tmpl w:val="3F565AF0"/>
    <w:lvl w:ilvl="0" w:tplc="0A28DE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845965">
    <w:abstractNumId w:val="2"/>
  </w:num>
  <w:num w:numId="2" w16cid:durableId="2051756136">
    <w:abstractNumId w:val="0"/>
  </w:num>
  <w:num w:numId="3" w16cid:durableId="546993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6E6"/>
    <w:rsid w:val="0000364F"/>
    <w:rsid w:val="000053F0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84D"/>
    <w:rsid w:val="00084513"/>
    <w:rsid w:val="00084859"/>
    <w:rsid w:val="00092D94"/>
    <w:rsid w:val="00093CE8"/>
    <w:rsid w:val="00096A88"/>
    <w:rsid w:val="000A2DAB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6029"/>
    <w:rsid w:val="001B79E5"/>
    <w:rsid w:val="001D56F0"/>
    <w:rsid w:val="001D663B"/>
    <w:rsid w:val="001D7B41"/>
    <w:rsid w:val="001E2300"/>
    <w:rsid w:val="001E46DA"/>
    <w:rsid w:val="001E7D80"/>
    <w:rsid w:val="001F4B6C"/>
    <w:rsid w:val="001F4D07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03D"/>
    <w:rsid w:val="00244AD1"/>
    <w:rsid w:val="002463BC"/>
    <w:rsid w:val="002465CE"/>
    <w:rsid w:val="0025734A"/>
    <w:rsid w:val="00263255"/>
    <w:rsid w:val="00276494"/>
    <w:rsid w:val="00277B0C"/>
    <w:rsid w:val="0028416D"/>
    <w:rsid w:val="002B1A2C"/>
    <w:rsid w:val="002C34F2"/>
    <w:rsid w:val="002C58FF"/>
    <w:rsid w:val="002C7AFE"/>
    <w:rsid w:val="002D05D2"/>
    <w:rsid w:val="002D233F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81C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0D1B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E9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2AC"/>
    <w:rsid w:val="004A5088"/>
    <w:rsid w:val="004C1E3F"/>
    <w:rsid w:val="004C23F4"/>
    <w:rsid w:val="004C3475"/>
    <w:rsid w:val="004C58B6"/>
    <w:rsid w:val="004D16A3"/>
    <w:rsid w:val="004D4AA1"/>
    <w:rsid w:val="004D6D68"/>
    <w:rsid w:val="004E0B92"/>
    <w:rsid w:val="004E5EDD"/>
    <w:rsid w:val="004F448A"/>
    <w:rsid w:val="004F493D"/>
    <w:rsid w:val="004F65E8"/>
    <w:rsid w:val="0050005E"/>
    <w:rsid w:val="00502B88"/>
    <w:rsid w:val="005142C4"/>
    <w:rsid w:val="0051509C"/>
    <w:rsid w:val="0052263B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7CE9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6A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44B7"/>
    <w:rsid w:val="00701053"/>
    <w:rsid w:val="00701507"/>
    <w:rsid w:val="00714021"/>
    <w:rsid w:val="00716A0F"/>
    <w:rsid w:val="00717D45"/>
    <w:rsid w:val="007208F7"/>
    <w:rsid w:val="007218AF"/>
    <w:rsid w:val="00732A49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6C96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CE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6DB"/>
    <w:rsid w:val="00A53681"/>
    <w:rsid w:val="00A633D4"/>
    <w:rsid w:val="00A6461A"/>
    <w:rsid w:val="00A84504"/>
    <w:rsid w:val="00A8672F"/>
    <w:rsid w:val="00A93057"/>
    <w:rsid w:val="00A93583"/>
    <w:rsid w:val="00A968B0"/>
    <w:rsid w:val="00AB2672"/>
    <w:rsid w:val="00AB2817"/>
    <w:rsid w:val="00AB43C4"/>
    <w:rsid w:val="00AC32E7"/>
    <w:rsid w:val="00AC3A9F"/>
    <w:rsid w:val="00AC6B8F"/>
    <w:rsid w:val="00AC6D2F"/>
    <w:rsid w:val="00AE2745"/>
    <w:rsid w:val="00AE2F64"/>
    <w:rsid w:val="00AE49AF"/>
    <w:rsid w:val="00AF3CE9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00CA"/>
    <w:rsid w:val="00B71188"/>
    <w:rsid w:val="00B73A94"/>
    <w:rsid w:val="00B76A41"/>
    <w:rsid w:val="00B87D4C"/>
    <w:rsid w:val="00B90CF3"/>
    <w:rsid w:val="00B93646"/>
    <w:rsid w:val="00BA0B38"/>
    <w:rsid w:val="00BA1DBB"/>
    <w:rsid w:val="00BA4510"/>
    <w:rsid w:val="00BA529A"/>
    <w:rsid w:val="00BB3C6B"/>
    <w:rsid w:val="00BB612A"/>
    <w:rsid w:val="00BB6A0A"/>
    <w:rsid w:val="00BB7F26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19B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1BE1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0B24"/>
    <w:rsid w:val="00DA352E"/>
    <w:rsid w:val="00DA6BC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96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B17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8CE"/>
    <w:rsid w:val="00F90AA7"/>
    <w:rsid w:val="00F92498"/>
    <w:rsid w:val="00F9496B"/>
    <w:rsid w:val="00F970C9"/>
    <w:rsid w:val="00F97B16"/>
    <w:rsid w:val="00FA06A8"/>
    <w:rsid w:val="00FA3DF5"/>
    <w:rsid w:val="00FA540E"/>
    <w:rsid w:val="00FA70E6"/>
    <w:rsid w:val="00FA741F"/>
    <w:rsid w:val="00FB4E07"/>
    <w:rsid w:val="00FB755A"/>
    <w:rsid w:val="00FC60A2"/>
    <w:rsid w:val="00FD1871"/>
    <w:rsid w:val="00FD30A7"/>
    <w:rsid w:val="00FD3110"/>
    <w:rsid w:val="00FF285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738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8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81C"/>
    <w:rPr>
      <w:szCs w:val="20"/>
    </w:rPr>
  </w:style>
  <w:style w:type="paragraph" w:styleId="Revision">
    <w:name w:val="Revision"/>
    <w:hidden/>
    <w:uiPriority w:val="99"/>
    <w:semiHidden/>
    <w:rsid w:val="00F908C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DA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D1FFDDD78B443B99EE285E1A30C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250D8-4941-452A-8B2F-1EB916DF4A5A}"/>
      </w:docPartPr>
      <w:docPartBody>
        <w:p w:rsidR="00BD2717" w:rsidRDefault="00583BA1" w:rsidP="00583BA1">
          <w:pPr>
            <w:pStyle w:val="CBD1FFDDD78B443B99EE285E1A30CB2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A6AFBCE4326439F99D7A4F5844DA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EBBAD-49A5-48AF-B495-B952FB5BC9EF}"/>
      </w:docPartPr>
      <w:docPartBody>
        <w:p w:rsidR="00BD2717" w:rsidRDefault="00583BA1" w:rsidP="00583BA1">
          <w:pPr>
            <w:pStyle w:val="1A6AFBCE4326439F99D7A4F5844DA24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F5933D899444E3682EBCEFFCAB4F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E896A-716C-4648-9929-F0C6BE8DC988}"/>
      </w:docPartPr>
      <w:docPartBody>
        <w:p w:rsidR="00BD2717" w:rsidRDefault="00583BA1" w:rsidP="00583BA1">
          <w:pPr>
            <w:pStyle w:val="BF5933D899444E3682EBCEFFCAB4F0A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55EDA9DCEB94FCD9C4F654515B00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B22C3-EADB-4397-AC34-658F6FC3F951}"/>
      </w:docPartPr>
      <w:docPartBody>
        <w:p w:rsidR="00BD2717" w:rsidRDefault="00583BA1" w:rsidP="00583BA1">
          <w:pPr>
            <w:pStyle w:val="555EDA9DCEB94FCD9C4F654515B00C7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7749E8EB4E543A4AD357E9EFC704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FBBD7-1433-4F4A-A2B0-234176E38FC2}"/>
      </w:docPartPr>
      <w:docPartBody>
        <w:p w:rsidR="00815061" w:rsidRDefault="00E87C2C" w:rsidP="00E87C2C">
          <w:pPr>
            <w:pStyle w:val="97749E8EB4E543A4AD357E9EFC704C2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E2300"/>
    <w:rsid w:val="00347D16"/>
    <w:rsid w:val="003E0149"/>
    <w:rsid w:val="003E46BE"/>
    <w:rsid w:val="00583BA1"/>
    <w:rsid w:val="006B1E73"/>
    <w:rsid w:val="00755FBF"/>
    <w:rsid w:val="00815061"/>
    <w:rsid w:val="00BD2717"/>
    <w:rsid w:val="00CA72D3"/>
    <w:rsid w:val="00D21A9F"/>
    <w:rsid w:val="00E87C2C"/>
    <w:rsid w:val="00FA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7C2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BD1FFDDD78B443B99EE285E1A30CB27">
    <w:name w:val="CBD1FFDDD78B443B99EE285E1A30CB27"/>
    <w:rsid w:val="00583BA1"/>
  </w:style>
  <w:style w:type="paragraph" w:customStyle="1" w:styleId="1A6AFBCE4326439F99D7A4F5844DA242">
    <w:name w:val="1A6AFBCE4326439F99D7A4F5844DA242"/>
    <w:rsid w:val="00583BA1"/>
  </w:style>
  <w:style w:type="paragraph" w:customStyle="1" w:styleId="BF5933D899444E3682EBCEFFCAB4F0A6">
    <w:name w:val="BF5933D899444E3682EBCEFFCAB4F0A6"/>
    <w:rsid w:val="00583BA1"/>
  </w:style>
  <w:style w:type="paragraph" w:customStyle="1" w:styleId="555EDA9DCEB94FCD9C4F654515B00C76">
    <w:name w:val="555EDA9DCEB94FCD9C4F654515B00C76"/>
    <w:rsid w:val="00583BA1"/>
  </w:style>
  <w:style w:type="paragraph" w:customStyle="1" w:styleId="97749E8EB4E543A4AD357E9EFC704C2E">
    <w:name w:val="97749E8EB4E543A4AD357E9EFC704C2E"/>
    <w:rsid w:val="00E87C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F2906-DEA1-4267-9266-CF435837F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BDE0EA-8086-4783-9A4B-F08D7BB303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CB3C7-A833-4415-9F48-AAB137B484DC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a0509f21-ed56-4150-9955-96be669e5f2d"/>
    <ds:schemaRef ds:uri="http://schemas.microsoft.com/office/infopath/2007/PartnerControls"/>
    <ds:schemaRef ds:uri="1c567317-0c4d-4a62-8516-c22afd1b53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749B4A-A748-4E32-9ECC-30204190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2020-03-10T04:40:00Z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2026-01-07T01:32:03Z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5d68c2d0-193b-4f4e-ac0d-e7b54ea9bc8b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