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6B26EE7" w:rsidR="00BD499F" w:rsidRPr="004C23F4" w:rsidRDefault="00F95352" w:rsidP="00B40C60">
          <w:pPr>
            <w:pStyle w:val="Heading1"/>
            <w:jc w:val="center"/>
            <w:rPr>
              <w:rFonts w:ascii="Arial" w:hAnsi="Arial" w:cs="Arial"/>
            </w:rPr>
          </w:pPr>
          <w:r w:rsidRPr="0091048A">
            <w:rPr>
              <w:rFonts w:ascii="Arial" w:hAnsi="Arial" w:cs="Arial"/>
            </w:rPr>
            <w:t xml:space="preserve">Rhodium, </w:t>
          </w:r>
          <w:r>
            <w:rPr>
              <w:rFonts w:ascii="Arial" w:hAnsi="Arial" w:cs="Arial"/>
            </w:rPr>
            <w:t>METAL and</w:t>
          </w:r>
          <w:r w:rsidRPr="0091048A">
            <w:rPr>
              <w:rFonts w:ascii="Arial" w:hAnsi="Arial" w:cs="Arial"/>
            </w:rPr>
            <w:t xml:space="preserve"> compounds (as Rh)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4"/>
        <w:gridCol w:w="5032"/>
      </w:tblGrid>
      <w:tr w:rsidR="00F43AD5" w:rsidRPr="004C23F4" w14:paraId="189D6E38" w14:textId="77777777" w:rsidTr="00B136F3">
        <w:trPr>
          <w:cantSplit/>
          <w:tblHeader/>
        </w:trPr>
        <w:tc>
          <w:tcPr>
            <w:tcW w:w="3994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2" w:type="dxa"/>
          </w:tcPr>
          <w:p w14:paraId="3EDBFD9E" w14:textId="7533FF6A" w:rsidR="00F43AD5" w:rsidRPr="00717D45" w:rsidRDefault="00EA30D9" w:rsidP="00B76A41">
            <w:pPr>
              <w:pStyle w:val="Tablefont"/>
            </w:pPr>
            <w:r w:rsidRPr="00EA30D9">
              <w:t>7440-16-6</w:t>
            </w:r>
          </w:p>
        </w:tc>
      </w:tr>
      <w:tr w:rsidR="00F43AD5" w:rsidRPr="004C23F4" w14:paraId="562A9F51" w14:textId="77777777" w:rsidTr="00B136F3">
        <w:trPr>
          <w:cantSplit/>
        </w:trPr>
        <w:tc>
          <w:tcPr>
            <w:tcW w:w="3994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2" w:type="dxa"/>
          </w:tcPr>
          <w:p w14:paraId="32648AB9" w14:textId="2B4EC360" w:rsidR="00F43AD5" w:rsidRPr="00717D45" w:rsidRDefault="00CA44A9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EE54A08" w14:textId="77777777" w:rsidTr="00B136F3">
        <w:trPr>
          <w:cantSplit/>
        </w:trPr>
        <w:tc>
          <w:tcPr>
            <w:tcW w:w="3994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2" w:type="dxa"/>
          </w:tcPr>
          <w:p w14:paraId="69369B00" w14:textId="5DF53E0D" w:rsidR="00F43AD5" w:rsidRPr="00717D45" w:rsidRDefault="00CA44A9" w:rsidP="00B76A41">
            <w:pPr>
              <w:pStyle w:val="Tablefont"/>
            </w:pPr>
            <w:r>
              <w:t>Rh</w:t>
            </w:r>
          </w:p>
        </w:tc>
      </w:tr>
    </w:tbl>
    <w:p w14:paraId="71D72173" w14:textId="06472D5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133FA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6E00531" w14:textId="24A66D16" w:rsidR="00F133FA" w:rsidRPr="00F133FA" w:rsidRDefault="00F133FA" w:rsidP="00F133FA">
            <w:pPr>
              <w:pStyle w:val="Tablefont"/>
              <w:rPr>
                <w:b/>
              </w:rPr>
            </w:pPr>
            <w:r>
              <w:rPr>
                <w:b/>
              </w:rPr>
              <w:t>Rhodium metal</w:t>
            </w:r>
            <w:r w:rsidRPr="00F133FA">
              <w:rPr>
                <w:b/>
              </w:rPr>
              <w:t>: 1 mg/m</w:t>
            </w:r>
            <w:r w:rsidRPr="00F133FA">
              <w:rPr>
                <w:b/>
                <w:vertAlign w:val="superscript"/>
              </w:rPr>
              <w:t>3</w:t>
            </w:r>
          </w:p>
          <w:p w14:paraId="7B33FC31" w14:textId="4C47091F" w:rsidR="00F133FA" w:rsidRPr="00F133FA" w:rsidRDefault="00F133FA" w:rsidP="00F133FA">
            <w:pPr>
              <w:pStyle w:val="Tablefont"/>
              <w:rPr>
                <w:b/>
              </w:rPr>
            </w:pPr>
            <w:r>
              <w:rPr>
                <w:b/>
              </w:rPr>
              <w:t>Rhodium, insoluble compounds</w:t>
            </w:r>
            <w:r w:rsidRPr="00F133FA">
              <w:rPr>
                <w:b/>
              </w:rPr>
              <w:t>: 1 mg/m</w:t>
            </w:r>
            <w:r w:rsidRPr="00F133FA">
              <w:rPr>
                <w:b/>
                <w:vertAlign w:val="superscript"/>
              </w:rPr>
              <w:t>3</w:t>
            </w:r>
          </w:p>
          <w:p w14:paraId="43EB6150" w14:textId="75D5DF74" w:rsidR="002C7AFE" w:rsidRPr="00EB3D1B" w:rsidRDefault="00F133FA" w:rsidP="00F133FA">
            <w:pPr>
              <w:pStyle w:val="Tablefont"/>
              <w:rPr>
                <w:b/>
              </w:rPr>
            </w:pPr>
            <w:r>
              <w:rPr>
                <w:b/>
              </w:rPr>
              <w:t>Rhodium, soluble compounds</w:t>
            </w:r>
            <w:r w:rsidRPr="00F133FA">
              <w:rPr>
                <w:b/>
              </w:rPr>
              <w:t>: 0.01 mg/m</w:t>
            </w:r>
            <w:r w:rsidRPr="00F133FA"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6DC4BA84" w:rsidR="00037E52" w:rsidRPr="00EB3D1B" w:rsidRDefault="00CA44A9" w:rsidP="00037E52">
            <w:pPr>
              <w:pStyle w:val="Tablefont"/>
              <w:rPr>
                <w:b/>
              </w:rPr>
            </w:pPr>
            <w:r w:rsidRPr="00CA44A9">
              <w:rPr>
                <w:b/>
                <w:vertAlign w:val="superscript"/>
              </w:rPr>
              <w:tab/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2F34580F" w:rsidR="00037E52" w:rsidRPr="00EB3D1B" w:rsidRDefault="00BB445C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100 mg Rh/m</w:t>
            </w:r>
            <w:r w:rsidRPr="00B136F3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708036C0" w:rsidR="00155999" w:rsidRPr="00EB3D1B" w:rsidRDefault="00155999" w:rsidP="00037E52">
            <w:pPr>
              <w:pStyle w:val="Tablefont"/>
              <w:rPr>
                <w:b/>
              </w:rPr>
            </w:pPr>
            <w:r w:rsidRPr="00E17B4A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F0FD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1C529268" w:rsidR="006639B4" w:rsidRPr="004C23F4" w:rsidRDefault="00550CA2" w:rsidP="000C139A">
      <w:pPr>
        <w:rPr>
          <w:rFonts w:cs="Arial"/>
        </w:rPr>
      </w:pPr>
      <w:r>
        <w:rPr>
          <w:rFonts w:cs="Arial"/>
        </w:rPr>
        <w:t xml:space="preserve">A </w:t>
      </w:r>
      <w:r>
        <w:t>TWA of 1 mg/m</w:t>
      </w:r>
      <w:r>
        <w:rPr>
          <w:vertAlign w:val="superscript"/>
        </w:rPr>
        <w:t>3</w:t>
      </w:r>
      <w:r>
        <w:t xml:space="preserve"> for rhodium metal and insoluble rhodium compounds and a TWA of 0.01 mg/m</w:t>
      </w:r>
      <w:r w:rsidRPr="00F133FA">
        <w:rPr>
          <w:vertAlign w:val="superscript"/>
        </w:rPr>
        <w:t>3</w:t>
      </w:r>
      <w:r>
        <w:t xml:space="preserve"> soluble rhodium compounds are recommended to protect for potential respiratory effects in workers.</w:t>
      </w:r>
      <w:r w:rsidR="00E17B4A">
        <w:t xml:space="preserve"> 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6D214A1" w14:textId="0DAA5207" w:rsidR="00B136F3" w:rsidRDefault="00F133FA" w:rsidP="00F133FA">
      <w:r>
        <w:t>Rhodium is use</w:t>
      </w:r>
      <w:r w:rsidR="00B64682">
        <w:t>d</w:t>
      </w:r>
      <w:r>
        <w:t xml:space="preserve"> in alloys for a range of industrial and commercial applications such as electrical contacts, scientific instruments and jewellery. </w:t>
      </w:r>
    </w:p>
    <w:p w14:paraId="122AA99A" w14:textId="77777777" w:rsidR="009B0D1A" w:rsidRDefault="00F133FA" w:rsidP="006639B4">
      <w:r>
        <w:t xml:space="preserve">Critical effects </w:t>
      </w:r>
      <w:r w:rsidR="003954BA">
        <w:t>of</w:t>
      </w:r>
      <w:r>
        <w:t xml:space="preserve"> exposure are adverse respiratory effects.</w:t>
      </w:r>
      <w:r w:rsidR="00B136F3">
        <w:t xml:space="preserve"> </w:t>
      </w:r>
    </w:p>
    <w:p w14:paraId="0518EAF0" w14:textId="77777777" w:rsidR="004B19A0" w:rsidRDefault="00F133FA" w:rsidP="006639B4">
      <w:r>
        <w:t xml:space="preserve">Limited toxicological data are available in humans </w:t>
      </w:r>
      <w:r w:rsidR="00B136F3">
        <w:t>and</w:t>
      </w:r>
      <w:r>
        <w:t xml:space="preserve"> animals. </w:t>
      </w:r>
    </w:p>
    <w:p w14:paraId="6B03815D" w14:textId="11B26D54" w:rsidR="009B0D1A" w:rsidRDefault="00F133FA" w:rsidP="006639B4">
      <w:r>
        <w:t xml:space="preserve">Rhodium metal is a member of the platinum group </w:t>
      </w:r>
      <w:proofErr w:type="gramStart"/>
      <w:r>
        <w:t>metals</w:t>
      </w:r>
      <w:proofErr w:type="gramEnd"/>
      <w:r>
        <w:t xml:space="preserve"> and </w:t>
      </w:r>
      <w:r w:rsidR="009B0D1A">
        <w:t xml:space="preserve">its </w:t>
      </w:r>
      <w:r>
        <w:t xml:space="preserve">toxicity </w:t>
      </w:r>
      <w:r w:rsidR="009B0D1A">
        <w:t xml:space="preserve">profile </w:t>
      </w:r>
      <w:r>
        <w:t xml:space="preserve">is </w:t>
      </w:r>
      <w:r w:rsidR="009B0D1A">
        <w:t>like</w:t>
      </w:r>
      <w:r>
        <w:t xml:space="preserve"> platinum</w:t>
      </w:r>
      <w:r w:rsidR="009B0D1A">
        <w:t xml:space="preserve">. </w:t>
      </w:r>
      <w:r w:rsidR="00B136F3">
        <w:t>ACGIH (2018) recommend standards analog</w:t>
      </w:r>
      <w:r w:rsidR="009B0D1A">
        <w:t>ous</w:t>
      </w:r>
      <w:r w:rsidR="00B136F3">
        <w:t xml:space="preserve"> to platinum</w:t>
      </w:r>
      <w:r w:rsidR="009B0D1A">
        <w:t xml:space="preserve"> standards</w:t>
      </w:r>
      <w:r w:rsidR="00B136F3">
        <w:t xml:space="preserve">. While </w:t>
      </w:r>
      <w:r w:rsidR="000448D7">
        <w:t>rhodium</w:t>
      </w:r>
      <w:r w:rsidR="009B0D1A">
        <w:t xml:space="preserve"> and compounds are </w:t>
      </w:r>
      <w:r w:rsidR="000448D7">
        <w:t xml:space="preserve">considered </w:t>
      </w:r>
      <w:r w:rsidR="00B136F3">
        <w:t xml:space="preserve">genotoxic, there are no positive carcinogenicity studies </w:t>
      </w:r>
      <w:r w:rsidR="009B0D1A">
        <w:t>in the primary sources</w:t>
      </w:r>
      <w:r w:rsidR="00B6603F">
        <w:t>; however, some carcinogenic effects</w:t>
      </w:r>
      <w:r w:rsidR="004B19A0">
        <w:t xml:space="preserve"> in animals</w:t>
      </w:r>
      <w:r w:rsidR="00B6603F">
        <w:t xml:space="preserve"> have been reported for rhodium compounds</w:t>
      </w:r>
      <w:r w:rsidR="00B136F3">
        <w:t>.</w:t>
      </w:r>
    </w:p>
    <w:p w14:paraId="275EAE6E" w14:textId="39AF997C" w:rsidR="00F133FA" w:rsidRDefault="00F133FA" w:rsidP="006639B4">
      <w:r>
        <w:t>No adverse human effects</w:t>
      </w:r>
      <w:r w:rsidR="000F0FDD">
        <w:t xml:space="preserve"> </w:t>
      </w:r>
      <w:r w:rsidR="00B136F3">
        <w:t>a</w:t>
      </w:r>
      <w:r w:rsidR="000F0FDD">
        <w:t>re</w:t>
      </w:r>
      <w:r>
        <w:t xml:space="preserve"> reported during the handling of highly soluble rhodium(l) carbonyl acetylacetonate</w:t>
      </w:r>
      <w:r>
        <w:rPr>
          <w:rFonts w:cs="Arial"/>
        </w:rPr>
        <w:t xml:space="preserve"> (ACGIH, 2018). </w:t>
      </w:r>
      <w:r w:rsidR="00B64682">
        <w:t>There are some i</w:t>
      </w:r>
      <w:r>
        <w:t xml:space="preserve">ndications </w:t>
      </w:r>
      <w:r w:rsidR="00B64682">
        <w:t xml:space="preserve">of </w:t>
      </w:r>
      <w:r>
        <w:t xml:space="preserve">carcinogenicity </w:t>
      </w:r>
      <w:r w:rsidR="009B0D1A">
        <w:t xml:space="preserve">attributed </w:t>
      </w:r>
      <w:r w:rsidR="00B64682">
        <w:t>to</w:t>
      </w:r>
      <w:r>
        <w:t xml:space="preserve"> rhodium trichloride based on lifetime drinking water study in rats from weaning until death</w:t>
      </w:r>
      <w:r w:rsidR="00B136F3">
        <w:t>.</w:t>
      </w:r>
      <w:r>
        <w:t xml:space="preserve"> </w:t>
      </w:r>
      <w:r w:rsidR="00B136F3">
        <w:t>H</w:t>
      </w:r>
      <w:r>
        <w:t>owever</w:t>
      </w:r>
      <w:r w:rsidR="00B136F3">
        <w:t>, this is</w:t>
      </w:r>
      <w:r>
        <w:t xml:space="preserve"> not considered relevant to human occupational exposures (DFG, 2003). </w:t>
      </w:r>
    </w:p>
    <w:p w14:paraId="0D37DBFC" w14:textId="03CFAA4E" w:rsidR="00F133FA" w:rsidRDefault="00F133FA" w:rsidP="00F133FA">
      <w:r>
        <w:t>Given the absence of data</w:t>
      </w:r>
      <w:r w:rsidR="00B64682">
        <w:t>,</w:t>
      </w:r>
      <w:r>
        <w:t xml:space="preserve"> </w:t>
      </w:r>
      <w:r w:rsidR="009B0D1A">
        <w:t xml:space="preserve">the </w:t>
      </w:r>
      <w:r>
        <w:t>TWA of 1 mg/m</w:t>
      </w:r>
      <w:r>
        <w:rPr>
          <w:vertAlign w:val="superscript"/>
        </w:rPr>
        <w:t>3</w:t>
      </w:r>
      <w:r>
        <w:t xml:space="preserve"> for rhodium metal and insoluble rhodium compounds</w:t>
      </w:r>
      <w:r w:rsidR="00B64682">
        <w:t>,</w:t>
      </w:r>
      <w:r>
        <w:t xml:space="preserve"> and a TWA of 0.01 mg/m</w:t>
      </w:r>
      <w:r w:rsidRPr="00F133FA">
        <w:rPr>
          <w:vertAlign w:val="superscript"/>
        </w:rPr>
        <w:t>3</w:t>
      </w:r>
      <w:r>
        <w:t xml:space="preserve"> soluble rhodium </w:t>
      </w:r>
      <w:r w:rsidR="00550CA2">
        <w:t xml:space="preserve">compounds </w:t>
      </w:r>
      <w:r w:rsidR="009B0D1A">
        <w:t xml:space="preserve">by SWA and ACGIH </w:t>
      </w:r>
      <w:r w:rsidR="00550CA2">
        <w:t>are</w:t>
      </w:r>
      <w:r>
        <w:t xml:space="preserve"> recommended to be retained</w:t>
      </w:r>
      <w:r w:rsidR="00550CA2">
        <w:t>.</w:t>
      </w:r>
      <w:r w:rsidR="00E17B4A">
        <w:t xml:space="preserve"> </w:t>
      </w:r>
      <w:r w:rsidR="00174473">
        <w:t xml:space="preserve">The recommended TWA is </w:t>
      </w:r>
      <w:r w:rsidR="004B19A0">
        <w:t xml:space="preserve">considered to protect for potential respiratory effects in exposed workers. </w:t>
      </w:r>
    </w:p>
    <w:p w14:paraId="273B44AD" w14:textId="77777777" w:rsidR="004529F0" w:rsidRPr="004C23F4" w:rsidRDefault="004529F0" w:rsidP="005D3A3B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F133FA" w:rsidRDefault="008E4F1F" w:rsidP="00B136F3">
      <w:pPr>
        <w:rPr>
          <w:rFonts w:cs="Arial"/>
        </w:rPr>
      </w:pPr>
      <w:r w:rsidRPr="00F133FA">
        <w:rPr>
          <w:rFonts w:cs="Arial"/>
        </w:rPr>
        <w:t>Not classified as a carcinogen according to the Globally Harmonized System of</w:t>
      </w:r>
      <w:r w:rsidR="00155999" w:rsidRPr="00F133FA">
        <w:rPr>
          <w:rFonts w:cs="Arial"/>
        </w:rPr>
        <w:t xml:space="preserve"> Classification and Labelling of</w:t>
      </w:r>
      <w:r w:rsidRPr="00F133FA">
        <w:rPr>
          <w:rFonts w:cs="Arial"/>
        </w:rPr>
        <w:t xml:space="preserve"> Chemicals (GHS). </w:t>
      </w:r>
    </w:p>
    <w:p w14:paraId="03916CCC" w14:textId="77777777" w:rsidR="008E4F1F" w:rsidRPr="00F133FA" w:rsidRDefault="008E4F1F" w:rsidP="00B136F3">
      <w:pPr>
        <w:rPr>
          <w:rFonts w:cs="Arial"/>
        </w:rPr>
      </w:pPr>
      <w:r w:rsidRPr="00F133FA">
        <w:rPr>
          <w:rFonts w:cs="Arial"/>
        </w:rPr>
        <w:t xml:space="preserve">Not classified as a skin </w:t>
      </w:r>
      <w:r w:rsidR="00155999" w:rsidRPr="00F133FA">
        <w:rPr>
          <w:rFonts w:cs="Arial"/>
        </w:rPr>
        <w:t xml:space="preserve">sensitiser </w:t>
      </w:r>
      <w:r w:rsidRPr="00F133FA">
        <w:rPr>
          <w:rFonts w:cs="Arial"/>
        </w:rPr>
        <w:t>or respiratory sensitiser according to the GHS.</w:t>
      </w:r>
    </w:p>
    <w:p w14:paraId="21CCE2A5" w14:textId="53DBBBAB" w:rsidR="0025734A" w:rsidRPr="004C23F4" w:rsidRDefault="000F0FDD">
      <w:pPr>
        <w:rPr>
          <w:rFonts w:cs="Arial"/>
        </w:rPr>
      </w:pPr>
      <w:r>
        <w:rPr>
          <w:rFonts w:cs="Arial"/>
        </w:rPr>
        <w:t>There are i</w:t>
      </w:r>
      <w:r w:rsidR="008E4F1F" w:rsidRPr="00F133FA">
        <w:rPr>
          <w:rFonts w:cs="Arial"/>
        </w:rPr>
        <w:t xml:space="preserve">nsufficient </w:t>
      </w:r>
      <w:r>
        <w:rPr>
          <w:rFonts w:cs="Arial"/>
        </w:rPr>
        <w:t>data</w:t>
      </w:r>
      <w:r w:rsidRPr="00F133FA">
        <w:rPr>
          <w:rFonts w:cs="Arial"/>
        </w:rPr>
        <w:t xml:space="preserve"> </w:t>
      </w:r>
      <w:r w:rsidR="008E4F1F" w:rsidRPr="00F133FA">
        <w:rPr>
          <w:rFonts w:cs="Arial"/>
        </w:rPr>
        <w:t>to recommend a skin notation.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64534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645342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31FCA9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A44A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C4743">
                  <w:t xml:space="preserve">Rhodium metal </w:t>
                </w:r>
                <w:r w:rsidR="00CA44A9">
                  <w:t>TWA: 1 mg/m</w:t>
                </w:r>
                <w:r w:rsidR="00CA44A9" w:rsidRPr="00CA44A9">
                  <w:rPr>
                    <w:vertAlign w:val="superscript"/>
                  </w:rPr>
                  <w:t>3</w:t>
                </w:r>
                <w:r w:rsidR="00DC4743">
                  <w:br/>
                </w:r>
                <w:r w:rsidR="00DC4743">
                  <w:tab/>
                </w:r>
                <w:r w:rsidR="00DC4743">
                  <w:tab/>
                </w:r>
                <w:r w:rsidR="00DC4743">
                  <w:tab/>
                  <w:t>Rhodium, insoluble compounds TWA: 1 mg/m</w:t>
                </w:r>
                <w:r w:rsidR="00DC4743">
                  <w:rPr>
                    <w:vertAlign w:val="superscript"/>
                  </w:rPr>
                  <w:t>3</w:t>
                </w:r>
                <w:r w:rsidR="00DC4743">
                  <w:br/>
                </w:r>
                <w:r w:rsidR="00DC4743">
                  <w:tab/>
                </w:r>
                <w:r w:rsidR="00DC4743">
                  <w:tab/>
                </w:r>
                <w:r w:rsidR="00DC4743">
                  <w:tab/>
                  <w:t>Rhodium, soluble compounds TWA: 0.01 mg/m</w:t>
                </w:r>
                <w:r w:rsidR="00DC4743">
                  <w:rPr>
                    <w:vertAlign w:val="superscript"/>
                  </w:rPr>
                  <w:t>3</w:t>
                </w:r>
                <w:r w:rsidR="00DC4743">
                  <w:rPr>
                    <w:vertAlign w:val="superscript"/>
                  </w:rPr>
                  <w:br/>
                </w:r>
              </w:sdtContent>
            </w:sdt>
          </w:p>
        </w:tc>
      </w:tr>
      <w:tr w:rsidR="00C978F0" w:rsidRPr="00DA352E" w14:paraId="26087DDB" w14:textId="77777777" w:rsidTr="00645342">
        <w:trPr>
          <w:gridAfter w:val="1"/>
          <w:wAfter w:w="8" w:type="pct"/>
          <w:cantSplit/>
        </w:trPr>
        <w:tc>
          <w:tcPr>
            <w:tcW w:w="4992" w:type="pct"/>
          </w:tcPr>
          <w:p w14:paraId="75C516A5" w14:textId="77777777" w:rsidR="00C978F0" w:rsidRDefault="00C978F0" w:rsidP="003365A5">
            <w:pPr>
              <w:pStyle w:val="Tabletextprimarysource"/>
            </w:pPr>
          </w:p>
          <w:p w14:paraId="18D7EEA3" w14:textId="77777777" w:rsidR="002E2116" w:rsidRPr="002E2116" w:rsidRDefault="002E2116" w:rsidP="002E2116"/>
          <w:p w14:paraId="7CA0480F" w14:textId="77777777" w:rsidR="002E2116" w:rsidRPr="002E2116" w:rsidRDefault="002E2116" w:rsidP="002E2116"/>
          <w:p w14:paraId="1932AD0B" w14:textId="77777777" w:rsidR="002E2116" w:rsidRPr="002E2116" w:rsidRDefault="002E2116" w:rsidP="002E2116"/>
          <w:p w14:paraId="56503AA7" w14:textId="77777777" w:rsidR="002E2116" w:rsidRPr="002E2116" w:rsidRDefault="002E2116" w:rsidP="002E2116"/>
          <w:p w14:paraId="5FEBF4A0" w14:textId="77777777" w:rsidR="002E2116" w:rsidRPr="002E2116" w:rsidRDefault="002E2116" w:rsidP="002E2116"/>
          <w:p w14:paraId="014A8DE0" w14:textId="77777777" w:rsidR="002E2116" w:rsidRPr="002E2116" w:rsidRDefault="002E2116" w:rsidP="002E2116"/>
          <w:p w14:paraId="1B7C1170" w14:textId="77777777" w:rsidR="002E2116" w:rsidRPr="002E2116" w:rsidRDefault="002E2116" w:rsidP="002E2116"/>
          <w:p w14:paraId="32F7BD0B" w14:textId="77777777" w:rsidR="002E2116" w:rsidRPr="002E2116" w:rsidRDefault="002E2116" w:rsidP="002E2116"/>
          <w:p w14:paraId="0525092D" w14:textId="77777777" w:rsidR="002E2116" w:rsidRPr="002E2116" w:rsidRDefault="002E2116" w:rsidP="002E2116"/>
          <w:p w14:paraId="6A460AA5" w14:textId="77777777" w:rsidR="002E2116" w:rsidRPr="002E2116" w:rsidRDefault="002E2116" w:rsidP="002E2116"/>
          <w:p w14:paraId="2AF9E930" w14:textId="77777777" w:rsidR="002E2116" w:rsidRPr="002E2116" w:rsidRDefault="002E2116" w:rsidP="002E2116"/>
          <w:p w14:paraId="7F1C3E08" w14:textId="77777777" w:rsidR="002E2116" w:rsidRPr="002E2116" w:rsidRDefault="002E2116" w:rsidP="002E2116"/>
          <w:p w14:paraId="76089E88" w14:textId="77777777" w:rsidR="002E2116" w:rsidRPr="002E2116" w:rsidRDefault="002E2116" w:rsidP="002E2116"/>
          <w:p w14:paraId="578FEC59" w14:textId="77777777" w:rsidR="002E2116" w:rsidRPr="002E2116" w:rsidRDefault="002E2116" w:rsidP="002E2116"/>
          <w:p w14:paraId="6BE4C64D" w14:textId="77777777" w:rsidR="002E2116" w:rsidRPr="002E2116" w:rsidRDefault="002E2116" w:rsidP="002E2116"/>
          <w:p w14:paraId="6B8CA771" w14:textId="77777777" w:rsidR="002E2116" w:rsidRPr="002E2116" w:rsidRDefault="002E2116" w:rsidP="002E2116"/>
          <w:p w14:paraId="48B19B5B" w14:textId="77777777" w:rsidR="002E2116" w:rsidRPr="002E2116" w:rsidRDefault="002E2116" w:rsidP="002E2116"/>
          <w:p w14:paraId="3BD5942E" w14:textId="77777777" w:rsidR="002E2116" w:rsidRPr="002E2116" w:rsidRDefault="002E2116" w:rsidP="002E2116"/>
          <w:p w14:paraId="76687685" w14:textId="77777777" w:rsidR="002E2116" w:rsidRPr="002E2116" w:rsidRDefault="002E2116" w:rsidP="002E2116"/>
          <w:p w14:paraId="77212394" w14:textId="77777777" w:rsidR="002E2116" w:rsidRPr="002E2116" w:rsidRDefault="002E2116" w:rsidP="002E2116"/>
          <w:p w14:paraId="4D2C6849" w14:textId="77777777" w:rsidR="002E2116" w:rsidRPr="002E2116" w:rsidRDefault="002E2116" w:rsidP="002E2116"/>
          <w:p w14:paraId="7374C430" w14:textId="77777777" w:rsidR="002E2116" w:rsidRPr="002E2116" w:rsidRDefault="002E2116" w:rsidP="002E2116"/>
          <w:p w14:paraId="03BF28D2" w14:textId="77777777" w:rsidR="002E2116" w:rsidRPr="002E2116" w:rsidRDefault="002E2116" w:rsidP="002E2116"/>
          <w:p w14:paraId="7227D885" w14:textId="77777777" w:rsidR="002E2116" w:rsidRPr="002E2116" w:rsidRDefault="002E2116" w:rsidP="002E2116"/>
          <w:p w14:paraId="0A714D6B" w14:textId="77777777" w:rsidR="002E2116" w:rsidRPr="002E2116" w:rsidRDefault="002E2116" w:rsidP="002E2116"/>
          <w:p w14:paraId="04CAE2CD" w14:textId="77777777" w:rsidR="002E2116" w:rsidRPr="002E2116" w:rsidRDefault="002E2116" w:rsidP="002E2116"/>
          <w:p w14:paraId="15075813" w14:textId="77777777" w:rsidR="002E2116" w:rsidRPr="002E2116" w:rsidRDefault="002E2116" w:rsidP="002E2116"/>
          <w:p w14:paraId="5692BFE8" w14:textId="77777777" w:rsidR="002E2116" w:rsidRPr="002E2116" w:rsidRDefault="002E2116" w:rsidP="002E2116"/>
          <w:p w14:paraId="6114F104" w14:textId="77777777" w:rsidR="002E2116" w:rsidRPr="002E2116" w:rsidRDefault="002E2116" w:rsidP="002E2116"/>
          <w:p w14:paraId="1137D58F" w14:textId="77777777" w:rsidR="002E2116" w:rsidRPr="002E2116" w:rsidRDefault="002E2116" w:rsidP="002E2116"/>
        </w:tc>
      </w:tr>
      <w:tr w:rsidR="00C978F0" w:rsidRPr="00DA352E" w14:paraId="24593221" w14:textId="77777777" w:rsidTr="0064534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245A37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A44A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A44A9">
                  <w:t>TLV-TWA: 1 mg/m</w:t>
                </w:r>
                <w:r w:rsidR="00CA44A9" w:rsidRPr="00CA44A9">
                  <w:rPr>
                    <w:vertAlign w:val="superscript"/>
                  </w:rPr>
                  <w:t>3</w:t>
                </w:r>
                <w:r w:rsidR="00DC4743">
                  <w:t>- Metal</w:t>
                </w:r>
                <w:r w:rsidR="00DC4743">
                  <w:br/>
                </w:r>
                <w:r w:rsidR="00DC4743">
                  <w:tab/>
                </w:r>
                <w:r w:rsidR="00DC4743">
                  <w:tab/>
                </w:r>
                <w:r w:rsidR="00DC4743">
                  <w:tab/>
                  <w:t>TLV-TWA: 1 mg/m</w:t>
                </w:r>
                <w:r w:rsidR="00DC4743">
                  <w:rPr>
                    <w:vertAlign w:val="superscript"/>
                  </w:rPr>
                  <w:t>3</w:t>
                </w:r>
                <w:r w:rsidR="00DC4743">
                  <w:t xml:space="preserve"> as Rh – Insoluble compounds</w:t>
                </w:r>
                <w:r w:rsidR="00DC4743">
                  <w:br/>
                </w:r>
                <w:r w:rsidR="00DC4743">
                  <w:tab/>
                </w:r>
                <w:r w:rsidR="00DC4743">
                  <w:tab/>
                </w:r>
                <w:r w:rsidR="00DC4743">
                  <w:tab/>
                  <w:t>TLV-TWA: 0.01 mg/m</w:t>
                </w:r>
                <w:r w:rsidR="00DC4743">
                  <w:rPr>
                    <w:vertAlign w:val="superscript"/>
                  </w:rPr>
                  <w:t>3</w:t>
                </w:r>
                <w:r w:rsidR="00DC4743">
                  <w:t xml:space="preserve"> as Rh – Soluble compounds</w:t>
                </w:r>
                <w:r w:rsidR="00DC4743">
                  <w:br/>
                </w:r>
              </w:sdtContent>
            </w:sdt>
          </w:p>
        </w:tc>
      </w:tr>
      <w:tr w:rsidR="00C978F0" w:rsidRPr="00DA352E" w14:paraId="418D532D" w14:textId="77777777" w:rsidTr="00645342">
        <w:trPr>
          <w:gridAfter w:val="1"/>
          <w:wAfter w:w="8" w:type="pct"/>
          <w:cantSplit/>
        </w:trPr>
        <w:tc>
          <w:tcPr>
            <w:tcW w:w="4992" w:type="pct"/>
          </w:tcPr>
          <w:p w14:paraId="071F3974" w14:textId="0F123675" w:rsidR="00C978F0" w:rsidRDefault="00DC4743" w:rsidP="003365A5">
            <w:pPr>
              <w:pStyle w:val="Tabletextprimarysource"/>
            </w:pPr>
            <w:r>
              <w:t>TLV-TWAs recommended to minimise the potential for adverse respiratory effects</w:t>
            </w:r>
            <w:r w:rsidR="005D3A3B">
              <w:t>.</w:t>
            </w:r>
          </w:p>
          <w:p w14:paraId="54DC4676" w14:textId="77777777" w:rsidR="00DC4743" w:rsidRDefault="00DC4743" w:rsidP="003365A5">
            <w:pPr>
              <w:pStyle w:val="Tabletextprimarysource"/>
            </w:pPr>
            <w:r>
              <w:t>Summary of data:</w:t>
            </w:r>
          </w:p>
          <w:p w14:paraId="4E30E2D6" w14:textId="79DFD8D7" w:rsidR="00B136F3" w:rsidRDefault="00DC4743" w:rsidP="00B136F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Toxicological data in humans and animals are limited</w:t>
            </w:r>
            <w:r w:rsidR="00B64682">
              <w:t xml:space="preserve">. </w:t>
            </w:r>
            <w:r w:rsidR="00CD1483">
              <w:t xml:space="preserve">Rh metal is a member of the </w:t>
            </w:r>
            <w:r w:rsidR="00B136F3">
              <w:t>Pt</w:t>
            </w:r>
            <w:r w:rsidR="00CD1483">
              <w:t xml:space="preserve"> metals</w:t>
            </w:r>
            <w:r w:rsidR="00B64682">
              <w:t xml:space="preserve">. </w:t>
            </w:r>
            <w:r w:rsidR="00D01AD6">
              <w:t xml:space="preserve">Toxicity of </w:t>
            </w:r>
            <w:r w:rsidR="00B136F3">
              <w:t xml:space="preserve">Rh </w:t>
            </w:r>
            <w:r w:rsidR="00D01AD6">
              <w:t xml:space="preserve">metal and its compounds </w:t>
            </w:r>
            <w:proofErr w:type="gramStart"/>
            <w:r w:rsidR="00D01AD6">
              <w:t>similar to</w:t>
            </w:r>
            <w:proofErr w:type="gramEnd"/>
            <w:r w:rsidR="00D01AD6">
              <w:t xml:space="preserve"> that of </w:t>
            </w:r>
            <w:r w:rsidR="00B136F3">
              <w:t xml:space="preserve">Pt </w:t>
            </w:r>
            <w:r w:rsidR="00D01AD6">
              <w:t>metal</w:t>
            </w:r>
            <w:r w:rsidR="00B64682">
              <w:t xml:space="preserve">. </w:t>
            </w:r>
          </w:p>
          <w:p w14:paraId="1B721EB6" w14:textId="0D20D11E" w:rsidR="00CD1483" w:rsidRDefault="005C3188" w:rsidP="00B136F3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TLV-TWA for R</w:t>
            </w:r>
            <w:r w:rsidR="00D01AD6">
              <w:t xml:space="preserve">h metal and insoluble compounds is recommended by analogy to that for </w:t>
            </w:r>
            <w:r w:rsidR="00B136F3">
              <w:t xml:space="preserve">Pt </w:t>
            </w:r>
            <w:r>
              <w:t>(TLV-TWA of 1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B64682">
              <w:t xml:space="preserve">. </w:t>
            </w:r>
            <w:r w:rsidR="00CD1483">
              <w:t>TLV–TWA of 0.01 mg /m</w:t>
            </w:r>
            <w:r w:rsidR="00CD1483" w:rsidRPr="00CD1483">
              <w:rPr>
                <w:vertAlign w:val="superscript"/>
              </w:rPr>
              <w:t>3</w:t>
            </w:r>
            <w:r w:rsidR="00CD1483">
              <w:t xml:space="preserve"> (Rh) for the soluble compounds based on evidence that none of the </w:t>
            </w:r>
            <w:r w:rsidR="00B136F3">
              <w:t>Pt</w:t>
            </w:r>
            <w:r w:rsidR="00CD1483">
              <w:t xml:space="preserve"> metals, other than </w:t>
            </w:r>
            <w:r w:rsidR="00B136F3">
              <w:t>Pt</w:t>
            </w:r>
            <w:r w:rsidR="00CD1483">
              <w:t xml:space="preserve">, </w:t>
            </w:r>
            <w:r w:rsidR="00B136F3">
              <w:t>are</w:t>
            </w:r>
            <w:r w:rsidR="00CD1483">
              <w:t xml:space="preserve"> known to produce respiratory disease and handling of significantly soluble </w:t>
            </w:r>
            <w:r w:rsidR="00B136F3">
              <w:t xml:space="preserve">Rh </w:t>
            </w:r>
            <w:r w:rsidR="00CD1483">
              <w:t xml:space="preserve">complex, </w:t>
            </w:r>
            <w:r w:rsidR="00B136F3">
              <w:t>Rh</w:t>
            </w:r>
            <w:r w:rsidR="00CD1483">
              <w:t>(l) carbonyl acetylacetonate</w:t>
            </w:r>
            <w:r w:rsidR="000F0FDD">
              <w:t>.</w:t>
            </w:r>
          </w:p>
          <w:p w14:paraId="629DE251" w14:textId="77777777" w:rsidR="00CD1483" w:rsidRDefault="00CD1483" w:rsidP="00CD1483">
            <w:pPr>
              <w:pStyle w:val="Tabletextprimarysource"/>
            </w:pPr>
            <w:r>
              <w:t>Human data:</w:t>
            </w:r>
          </w:p>
          <w:p w14:paraId="1B0967C7" w14:textId="3F03310F" w:rsidR="00CD1483" w:rsidRDefault="00CD1483" w:rsidP="000F0FD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72706C">
              <w:t>issues report</w:t>
            </w:r>
            <w:r w:rsidR="007A1D3A">
              <w:t>ed</w:t>
            </w:r>
            <w:r>
              <w:t xml:space="preserve"> during the handling of </w:t>
            </w:r>
            <w:r w:rsidR="0072706C">
              <w:t xml:space="preserve">highly soluble </w:t>
            </w:r>
            <w:r w:rsidR="00B136F3">
              <w:t>Rh</w:t>
            </w:r>
            <w:r>
              <w:t>(l) carbonyl acetylacetonate</w:t>
            </w:r>
            <w:r w:rsidR="00E17B4A">
              <w:t>.</w:t>
            </w:r>
          </w:p>
          <w:p w14:paraId="3007A750" w14:textId="77777777" w:rsidR="00B64682" w:rsidRDefault="00B64682" w:rsidP="00B6468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24C10831" w14:textId="77777777" w:rsidR="002E2116" w:rsidRPr="002E2116" w:rsidRDefault="002E2116" w:rsidP="002E2116"/>
          <w:p w14:paraId="468C0202" w14:textId="77777777" w:rsidR="002E2116" w:rsidRPr="002E2116" w:rsidRDefault="002E2116" w:rsidP="002E2116"/>
          <w:p w14:paraId="24730FA4" w14:textId="77777777" w:rsidR="002E2116" w:rsidRPr="002E2116" w:rsidRDefault="002E2116" w:rsidP="002E2116"/>
          <w:p w14:paraId="425C7372" w14:textId="77777777" w:rsidR="002E2116" w:rsidRPr="002E2116" w:rsidRDefault="002E2116" w:rsidP="002E2116"/>
          <w:p w14:paraId="10691C38" w14:textId="77777777" w:rsidR="002E2116" w:rsidRPr="002E2116" w:rsidRDefault="002E2116" w:rsidP="002E2116"/>
          <w:p w14:paraId="725EAD60" w14:textId="77777777" w:rsidR="002E2116" w:rsidRPr="002E2116" w:rsidRDefault="002E2116" w:rsidP="002E2116"/>
          <w:p w14:paraId="45BE8B50" w14:textId="77777777" w:rsidR="002E2116" w:rsidRPr="002E2116" w:rsidRDefault="002E2116" w:rsidP="002E2116"/>
          <w:p w14:paraId="450E494B" w14:textId="77777777" w:rsidR="002E2116" w:rsidRPr="002E2116" w:rsidRDefault="002E2116" w:rsidP="002E2116"/>
          <w:p w14:paraId="3E7F8A62" w14:textId="77777777" w:rsidR="002E2116" w:rsidRPr="002E2116" w:rsidRDefault="002E2116" w:rsidP="002E2116"/>
          <w:p w14:paraId="3C6E34BB" w14:textId="77777777" w:rsidR="002E2116" w:rsidRPr="002E2116" w:rsidRDefault="002E2116" w:rsidP="002E2116"/>
          <w:p w14:paraId="24367E0B" w14:textId="77777777" w:rsidR="002E2116" w:rsidRPr="002E2116" w:rsidRDefault="002E2116" w:rsidP="002E2116"/>
          <w:p w14:paraId="4122BF89" w14:textId="77777777" w:rsidR="002E2116" w:rsidRPr="002E2116" w:rsidRDefault="002E2116" w:rsidP="002E2116"/>
          <w:p w14:paraId="3842D758" w14:textId="77777777" w:rsidR="002E2116" w:rsidRPr="002E2116" w:rsidRDefault="002E2116" w:rsidP="002E2116"/>
          <w:p w14:paraId="3C7B09E9" w14:textId="77777777" w:rsidR="002E2116" w:rsidRPr="002E2116" w:rsidRDefault="002E2116" w:rsidP="002E2116"/>
          <w:p w14:paraId="1A833AB9" w14:textId="77777777" w:rsidR="002E2116" w:rsidRPr="002E2116" w:rsidRDefault="002E2116" w:rsidP="002E2116"/>
          <w:p w14:paraId="744DF380" w14:textId="77777777" w:rsidR="002E2116" w:rsidRPr="002E2116" w:rsidRDefault="002E2116" w:rsidP="002E2116"/>
          <w:p w14:paraId="63257BBA" w14:textId="77777777" w:rsidR="002E2116" w:rsidRPr="002E2116" w:rsidRDefault="002E2116" w:rsidP="002E2116"/>
          <w:p w14:paraId="51A52742" w14:textId="77777777" w:rsidR="002E2116" w:rsidRPr="002E2116" w:rsidRDefault="002E2116" w:rsidP="002E2116"/>
          <w:p w14:paraId="0CE4D35D" w14:textId="53E53404" w:rsidR="002E2116" w:rsidRPr="002E2116" w:rsidRDefault="002E2116" w:rsidP="002E2116"/>
        </w:tc>
      </w:tr>
      <w:tr w:rsidR="00C978F0" w:rsidRPr="00DA352E" w14:paraId="174F8B79" w14:textId="77777777" w:rsidTr="0064534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619CDD4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A44A9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A44A9">
                  <w:t>Not assigned</w:t>
                </w:r>
              </w:sdtContent>
            </w:sdt>
          </w:p>
        </w:tc>
      </w:tr>
      <w:tr w:rsidR="00C978F0" w:rsidRPr="00DA352E" w14:paraId="4433014F" w14:textId="77777777" w:rsidTr="00645342">
        <w:trPr>
          <w:gridAfter w:val="1"/>
          <w:wAfter w:w="8" w:type="pct"/>
          <w:cantSplit/>
        </w:trPr>
        <w:tc>
          <w:tcPr>
            <w:tcW w:w="4992" w:type="pct"/>
          </w:tcPr>
          <w:p w14:paraId="3AE2707F" w14:textId="77777777" w:rsidR="00C978F0" w:rsidRDefault="00FF04B7" w:rsidP="003365A5">
            <w:pPr>
              <w:pStyle w:val="Tabletextprimarysource"/>
            </w:pPr>
            <w:r>
              <w:t>No suitable data to establish a MAK value.</w:t>
            </w:r>
          </w:p>
          <w:p w14:paraId="412FB8BA" w14:textId="77777777" w:rsidR="00FF04B7" w:rsidRDefault="00FF04B7" w:rsidP="003365A5">
            <w:pPr>
              <w:pStyle w:val="Tabletextprimarysource"/>
            </w:pPr>
            <w:r>
              <w:t>Summary of additional data:</w:t>
            </w:r>
          </w:p>
          <w:p w14:paraId="39FBC766" w14:textId="68504F89" w:rsidR="00AC37C7" w:rsidRDefault="00AC37C7" w:rsidP="000F0FD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Indications of some carcinogenicity of </w:t>
            </w:r>
            <w:r w:rsidR="00B136F3">
              <w:t>RhCl</w:t>
            </w:r>
            <w:r w:rsidR="00B136F3" w:rsidRPr="00B136F3">
              <w:rPr>
                <w:vertAlign w:val="subscript"/>
              </w:rPr>
              <w:t>3</w:t>
            </w:r>
            <w:r>
              <w:t xml:space="preserve"> based on lifetime drinking water study in rats from weaning until death.</w:t>
            </w:r>
          </w:p>
          <w:p w14:paraId="2400898F" w14:textId="6C081EF2" w:rsidR="00FF04B7" w:rsidRDefault="00FF04B7" w:rsidP="000F0FD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DNA bonding </w:t>
            </w:r>
            <w:r w:rsidRPr="00FF04B7">
              <w:rPr>
                <w:i/>
              </w:rPr>
              <w:t xml:space="preserve">in vivo </w:t>
            </w:r>
            <w:r>
              <w:t xml:space="preserve">is assumed based on analogy to </w:t>
            </w:r>
            <w:r w:rsidR="00B136F3">
              <w:t xml:space="preserve">Pt </w:t>
            </w:r>
            <w:r>
              <w:t>compounds</w:t>
            </w:r>
          </w:p>
          <w:p w14:paraId="450EB95D" w14:textId="0395DE4C" w:rsidR="00B136F3" w:rsidRDefault="00B136F3" w:rsidP="000F0FD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RhCl</w:t>
            </w:r>
            <w:r w:rsidRPr="00C94FA8">
              <w:rPr>
                <w:vertAlign w:val="subscript"/>
              </w:rPr>
              <w:t>3</w:t>
            </w:r>
            <w:r>
              <w:t xml:space="preserve"> </w:t>
            </w:r>
            <w:r w:rsidR="00AC37C7">
              <w:t>is considered genotoxic</w:t>
            </w:r>
            <w:r w:rsidR="005D3A3B">
              <w:t>:</w:t>
            </w:r>
            <w:r w:rsidR="00FF04B7">
              <w:t xml:space="preserve"> </w:t>
            </w:r>
          </w:p>
          <w:p w14:paraId="2801880A" w14:textId="178D6E7C" w:rsidR="00B136F3" w:rsidRDefault="00FF04B7" w:rsidP="00B136F3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 xml:space="preserve">caused reverse mutations in </w:t>
            </w:r>
            <w:r w:rsidRPr="00FF04B7">
              <w:rPr>
                <w:i/>
              </w:rPr>
              <w:t>E. coli</w:t>
            </w:r>
            <w:r>
              <w:t xml:space="preserve"> WP2 and </w:t>
            </w:r>
            <w:r w:rsidRPr="00FF04B7">
              <w:rPr>
                <w:i/>
              </w:rPr>
              <w:t>S. typhimurium</w:t>
            </w:r>
            <w:r>
              <w:t xml:space="preserve"> TA98 </w:t>
            </w:r>
          </w:p>
          <w:p w14:paraId="484BFEA2" w14:textId="04243495" w:rsidR="00FF04B7" w:rsidRDefault="00FF04B7" w:rsidP="00B136F3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 xml:space="preserve">not in </w:t>
            </w:r>
            <w:r w:rsidRPr="00FF04B7">
              <w:rPr>
                <w:i/>
              </w:rPr>
              <w:t>E. coli</w:t>
            </w:r>
            <w:r>
              <w:t xml:space="preserve"> </w:t>
            </w:r>
            <w:proofErr w:type="spellStart"/>
            <w:r>
              <w:t>B/r</w:t>
            </w:r>
            <w:proofErr w:type="spellEnd"/>
            <w:r>
              <w:t xml:space="preserve"> WP2 and </w:t>
            </w:r>
            <w:r w:rsidRPr="00AC37C7">
              <w:rPr>
                <w:i/>
              </w:rPr>
              <w:t>S. typhimurium</w:t>
            </w:r>
            <w:r>
              <w:t xml:space="preserve"> TA1535, TA100, TA1537, TA1538</w:t>
            </w:r>
          </w:p>
          <w:p w14:paraId="509736B3" w14:textId="1FEB0E39" w:rsidR="00B136F3" w:rsidRDefault="00AC37C7" w:rsidP="000F0FD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Assumed the release of </w:t>
            </w:r>
            <w:r w:rsidR="00B136F3">
              <w:t xml:space="preserve">Rh </w:t>
            </w:r>
            <w:r>
              <w:t xml:space="preserve">ions is responsible for genotoxic effect in all </w:t>
            </w:r>
            <w:r w:rsidR="00B136F3">
              <w:t xml:space="preserve">Rh </w:t>
            </w:r>
            <w:r>
              <w:t>compounds and complexes</w:t>
            </w:r>
            <w:r w:rsidR="005D3A3B">
              <w:t>:</w:t>
            </w:r>
            <w:r>
              <w:t xml:space="preserve"> </w:t>
            </w:r>
          </w:p>
          <w:p w14:paraId="28A07DAD" w14:textId="5D8F08C4" w:rsidR="00AC37C7" w:rsidRDefault="00AC37C7" w:rsidP="00B136F3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 xml:space="preserve">cannot be excluded that ions are released from the metallic form as well, </w:t>
            </w:r>
            <w:r w:rsidR="00B136F3">
              <w:t xml:space="preserve">Rh </w:t>
            </w:r>
            <w:r>
              <w:t xml:space="preserve">and inorganic </w:t>
            </w:r>
            <w:r w:rsidR="00B136F3">
              <w:t xml:space="preserve">Rh </w:t>
            </w:r>
            <w:r>
              <w:t xml:space="preserve">compounds are also classified in Carcinogen category 3B, analogous to </w:t>
            </w:r>
            <w:r w:rsidR="00B136F3">
              <w:t>RhCl</w:t>
            </w:r>
            <w:r w:rsidR="00B136F3" w:rsidRPr="00C94FA8">
              <w:rPr>
                <w:vertAlign w:val="subscript"/>
              </w:rPr>
              <w:t>3</w:t>
            </w:r>
            <w:r w:rsidR="00E17B4A">
              <w:t>.</w:t>
            </w:r>
          </w:p>
          <w:p w14:paraId="31482288" w14:textId="77777777" w:rsidR="00B64682" w:rsidRDefault="00B64682" w:rsidP="00B6468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4660B656" w14:textId="77777777" w:rsidR="002E2116" w:rsidRPr="002E2116" w:rsidRDefault="002E2116" w:rsidP="002E2116"/>
          <w:p w14:paraId="3796885F" w14:textId="77777777" w:rsidR="002E2116" w:rsidRPr="002E2116" w:rsidRDefault="002E2116" w:rsidP="002E2116"/>
          <w:p w14:paraId="371EE7C4" w14:textId="77777777" w:rsidR="002E2116" w:rsidRPr="002E2116" w:rsidRDefault="002E2116" w:rsidP="002E2116"/>
          <w:p w14:paraId="2F3F04F2" w14:textId="77777777" w:rsidR="002E2116" w:rsidRPr="002E2116" w:rsidRDefault="002E2116" w:rsidP="002E2116"/>
          <w:p w14:paraId="5D4DD25B" w14:textId="77777777" w:rsidR="002E2116" w:rsidRPr="002E2116" w:rsidRDefault="002E2116" w:rsidP="002E2116"/>
          <w:p w14:paraId="4B4AFE53" w14:textId="77777777" w:rsidR="002E2116" w:rsidRPr="002E2116" w:rsidRDefault="002E2116" w:rsidP="002E2116"/>
          <w:p w14:paraId="61A64F09" w14:textId="6BDD6CB6" w:rsidR="002E2116" w:rsidRPr="002E2116" w:rsidRDefault="002E2116" w:rsidP="002E2116"/>
        </w:tc>
      </w:tr>
      <w:tr w:rsidR="00C978F0" w:rsidRPr="00DA352E" w14:paraId="0E6A0B2C" w14:textId="77777777" w:rsidTr="0064534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2A0CE1E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A44A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A44A9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645342">
        <w:trPr>
          <w:gridAfter w:val="1"/>
          <w:wAfter w:w="8" w:type="pct"/>
          <w:cantSplit/>
        </w:trPr>
        <w:tc>
          <w:tcPr>
            <w:tcW w:w="4992" w:type="pct"/>
          </w:tcPr>
          <w:p w14:paraId="3AFC83A8" w14:textId="77777777" w:rsidR="00C978F0" w:rsidRDefault="00CA44A9" w:rsidP="003365A5">
            <w:pPr>
              <w:pStyle w:val="Tabletextprimarysource"/>
            </w:pPr>
            <w:r>
              <w:t>No report</w:t>
            </w:r>
            <w:r w:rsidR="00E17B4A">
              <w:t>.</w:t>
            </w:r>
          </w:p>
          <w:p w14:paraId="4A0ECE7A" w14:textId="77777777" w:rsidR="002E2116" w:rsidRPr="002E2116" w:rsidRDefault="002E2116" w:rsidP="002E2116"/>
          <w:p w14:paraId="5B21032F" w14:textId="77777777" w:rsidR="002E2116" w:rsidRPr="002E2116" w:rsidRDefault="002E2116" w:rsidP="002E2116"/>
          <w:p w14:paraId="1177AE3F" w14:textId="77777777" w:rsidR="002E2116" w:rsidRPr="002E2116" w:rsidRDefault="002E2116" w:rsidP="002E2116"/>
          <w:p w14:paraId="231BCEBB" w14:textId="77777777" w:rsidR="002E2116" w:rsidRPr="002E2116" w:rsidRDefault="002E2116" w:rsidP="002E2116"/>
          <w:p w14:paraId="510BA100" w14:textId="77777777" w:rsidR="002E2116" w:rsidRPr="002E2116" w:rsidRDefault="002E2116" w:rsidP="002E2116"/>
          <w:p w14:paraId="153B53C1" w14:textId="3A1DBEF6" w:rsidR="002E2116" w:rsidRPr="002E2116" w:rsidRDefault="002E2116" w:rsidP="002E2116"/>
        </w:tc>
      </w:tr>
      <w:tr w:rsidR="00DA352E" w:rsidRPr="00DA352E" w14:paraId="12BAB90D" w14:textId="77777777" w:rsidTr="0064534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97EC0D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A44A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A44A9">
                  <w:t>NA</w:t>
                </w:r>
              </w:sdtContent>
            </w:sdt>
          </w:p>
        </w:tc>
      </w:tr>
      <w:tr w:rsidR="00DA352E" w:rsidRPr="00DA352E" w14:paraId="33AAF4A6" w14:textId="77777777" w:rsidTr="00645342">
        <w:trPr>
          <w:gridAfter w:val="1"/>
          <w:wAfter w:w="8" w:type="pct"/>
          <w:cantSplit/>
        </w:trPr>
        <w:tc>
          <w:tcPr>
            <w:tcW w:w="4992" w:type="pct"/>
          </w:tcPr>
          <w:p w14:paraId="0056D059" w14:textId="77777777" w:rsidR="00DA352E" w:rsidRDefault="00CA44A9" w:rsidP="003365A5">
            <w:pPr>
              <w:pStyle w:val="Tabletextprimarysource"/>
            </w:pPr>
            <w:r>
              <w:t>No report</w:t>
            </w:r>
            <w:r w:rsidR="00E17B4A">
              <w:t>.</w:t>
            </w:r>
          </w:p>
          <w:p w14:paraId="5D88022C" w14:textId="77777777" w:rsidR="002E2116" w:rsidRPr="002E2116" w:rsidRDefault="002E2116" w:rsidP="002E2116"/>
          <w:p w14:paraId="2D095B06" w14:textId="77777777" w:rsidR="002E2116" w:rsidRPr="002E2116" w:rsidRDefault="002E2116" w:rsidP="002E2116"/>
          <w:p w14:paraId="1E091E8F" w14:textId="77777777" w:rsidR="002E2116" w:rsidRPr="002E2116" w:rsidRDefault="002E2116" w:rsidP="002E2116"/>
          <w:p w14:paraId="2059E4CB" w14:textId="2233C1DB" w:rsidR="002E2116" w:rsidRPr="002E2116" w:rsidRDefault="002E2116" w:rsidP="002E2116"/>
        </w:tc>
      </w:tr>
      <w:tr w:rsidR="00DA352E" w:rsidRPr="00DA352E" w14:paraId="605F758C" w14:textId="77777777" w:rsidTr="00645342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15A1C1A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F0FDD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A1D3A">
                  <w:t>Not assigned</w:t>
                </w:r>
              </w:sdtContent>
            </w:sdt>
          </w:p>
        </w:tc>
      </w:tr>
      <w:tr w:rsidR="00DA352E" w:rsidRPr="00DA352E" w14:paraId="7050CB3E" w14:textId="77777777" w:rsidTr="00645342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43E89325" w:rsidR="00B64682" w:rsidRPr="00DA352E" w:rsidRDefault="00AC37C7" w:rsidP="003365A5">
            <w:pPr>
              <w:pStyle w:val="Tabletextprimarysource"/>
            </w:pPr>
            <w:r>
              <w:t xml:space="preserve">No </w:t>
            </w:r>
            <w:r w:rsidR="000F0FDD">
              <w:t>further information</w:t>
            </w:r>
            <w:r w:rsidR="00E17B4A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6AE89AB3" w14:textId="77777777" w:rsidTr="006453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645342">
        <w:trPr>
          <w:cantSplit/>
        </w:trPr>
        <w:tc>
          <w:tcPr>
            <w:tcW w:w="1491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030DC8C4" w:rsidR="004966BF" w:rsidRPr="00CE617F" w:rsidRDefault="002E211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37C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6994C175" w:rsidR="004966BF" w:rsidRPr="004C23F4" w:rsidRDefault="00AC37C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51" w:type="dxa"/>
          </w:tcPr>
          <w:p w14:paraId="0076C2F1" w14:textId="6BA27D64" w:rsidR="004966BF" w:rsidRPr="004C23F4" w:rsidRDefault="00AC37C7" w:rsidP="000F0FD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Human </w:t>
            </w:r>
            <w:r w:rsidRPr="000F0FDD">
              <w:t>health</w:t>
            </w:r>
            <w:r>
              <w:rPr>
                <w:rStyle w:val="checkbox"/>
                <w:rFonts w:ascii="Arial" w:hAnsi="Arial" w:cs="Arial"/>
              </w:rPr>
              <w:t xml:space="preserve"> tier 1 assessment</w:t>
            </w:r>
            <w:r w:rsidR="00E17B4A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1B5CF9D" w14:textId="77777777" w:rsidTr="00645342">
        <w:trPr>
          <w:cantSplit/>
        </w:trPr>
        <w:tc>
          <w:tcPr>
            <w:tcW w:w="1491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1B271840" w14:textId="3D482EE6" w:rsidR="004966BF" w:rsidRPr="00CE617F" w:rsidRDefault="002E211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C37C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5DA2066" w14:textId="5E05EDB7" w:rsidR="004966BF" w:rsidRPr="004C23F4" w:rsidRDefault="00AC37C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1" w:type="dxa"/>
          </w:tcPr>
          <w:p w14:paraId="5C19B807" w14:textId="53B149BB" w:rsidR="004966BF" w:rsidRPr="004C23F4" w:rsidRDefault="00AC37C7" w:rsidP="000F0FDD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No further </w:t>
            </w:r>
            <w:r w:rsidRPr="000F0FDD">
              <w:t>information</w:t>
            </w:r>
            <w:r w:rsidR="00E17B4A"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AC37C7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7BBA1674" w:rsidR="002E0D61" w:rsidRDefault="00AC37C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AC37C7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25BE665B" w:rsidR="008A36CF" w:rsidRDefault="00AC37C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AC37C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4C96BE2C" w:rsidR="008A36CF" w:rsidRPr="006901A2" w:rsidRDefault="00AC37C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6453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645342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445BB5F" w:rsidR="00687890" w:rsidRPr="00DD2F9B" w:rsidRDefault="00CA44A9" w:rsidP="00DD2F9B">
            <w:pPr>
              <w:pStyle w:val="Tablefont"/>
            </w:pPr>
            <w:r w:rsidRPr="00CA44A9">
              <w:t>—</w:t>
            </w:r>
          </w:p>
        </w:tc>
      </w:tr>
      <w:tr w:rsidR="007925F0" w:rsidRPr="004C23F4" w14:paraId="2A0C13EF" w14:textId="77777777" w:rsidTr="00645342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CD78AF0" w:rsidR="007925F0" w:rsidRPr="00DD2F9B" w:rsidRDefault="00CA44A9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1044B3" w14:textId="77777777" w:rsidTr="00645342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6897EB8" w:rsidR="00AF483F" w:rsidRPr="00DD2F9B" w:rsidRDefault="00CA44A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645342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4A4C0256" w:rsidR="00687890" w:rsidRPr="00DD2F9B" w:rsidRDefault="00CA44A9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645342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0BB98918" w:rsidR="00E41A26" w:rsidRPr="00DD2F9B" w:rsidRDefault="00F5123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A490EF" w14:textId="77777777" w:rsidTr="00645342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35986E1B" w:rsidR="002E0D61" w:rsidRPr="00DD2F9B" w:rsidRDefault="00F51236" w:rsidP="00DD2F9B">
            <w:pPr>
              <w:pStyle w:val="Tablefont"/>
            </w:pPr>
            <w:r w:rsidRPr="00F51236">
              <w:t>Carcinogenicity – A4</w:t>
            </w:r>
          </w:p>
        </w:tc>
      </w:tr>
      <w:tr w:rsidR="002E0D61" w:rsidRPr="004C23F4" w14:paraId="43FA3590" w14:textId="77777777" w:rsidTr="00645342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61B8AEB" w:rsidR="002E0D61" w:rsidRPr="00DD2F9B" w:rsidRDefault="00F51236" w:rsidP="00DD2F9B">
            <w:pPr>
              <w:pStyle w:val="Tablefont"/>
            </w:pPr>
            <w:r w:rsidRPr="00F51236">
              <w:t>Carcinogenicity – 3B</w:t>
            </w:r>
          </w:p>
        </w:tc>
      </w:tr>
      <w:tr w:rsidR="002E0D61" w:rsidRPr="004C23F4" w14:paraId="2AC7B866" w14:textId="77777777" w:rsidTr="00645342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E23A51A" w:rsidR="002E0D61" w:rsidRPr="00DD2F9B" w:rsidRDefault="00F5123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645342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07186F71" w:rsidR="002E0D61" w:rsidRPr="00DD2F9B" w:rsidRDefault="00F51236" w:rsidP="00DD2F9B">
            <w:pPr>
              <w:pStyle w:val="Tablefont"/>
            </w:pPr>
            <w:r w:rsidRPr="00F51236">
              <w:t>—</w:t>
            </w:r>
          </w:p>
        </w:tc>
      </w:tr>
      <w:tr w:rsidR="00386093" w:rsidRPr="004C23F4" w14:paraId="5F6A6A8E" w14:textId="77777777" w:rsidTr="00645342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76A3F59" w:rsidR="00386093" w:rsidRPr="00DD2F9B" w:rsidRDefault="00F5123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645342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204CA203" w:rsidR="00386093" w:rsidRPr="00DD2F9B" w:rsidRDefault="00F5123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29D664C" w14:textId="62BB2CBC" w:rsidR="00932DCE" w:rsidRPr="004C23F4" w:rsidRDefault="00E1787E" w:rsidP="00F9496B">
            <w:pPr>
              <w:pStyle w:val="Tablefont"/>
            </w:pPr>
            <w:r>
              <w:t>Insufficient data to</w:t>
            </w:r>
            <w:r w:rsidR="00F133FA">
              <w:t xml:space="preserve"> </w:t>
            </w:r>
            <w:r w:rsidR="00E17B4A">
              <w:t xml:space="preserve">assign </w:t>
            </w:r>
            <w:r w:rsidR="00F133FA">
              <w:t>a skin notation.</w:t>
            </w: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B22E4F2" w:rsidR="00EB3D1B" w:rsidRDefault="00F5123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4"/>
        <w:gridCol w:w="5032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7264A507" w:rsidR="001B79E5" w:rsidRDefault="00F51236" w:rsidP="001B79E5">
                <w:pPr>
                  <w:pStyle w:val="Tablefont"/>
                </w:pPr>
                <w:r w:rsidRPr="00F51236">
                  <w:t>102.9055 u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2E211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44B548BB" w:rsidR="008E4F1F" w:rsidRDefault="008E4F1F" w:rsidP="00F51236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F51236">
        <w:t>2007</w:t>
      </w:r>
      <w:r>
        <w:t xml:space="preserve">) </w:t>
      </w:r>
      <w:r w:rsidR="00F51236">
        <w:t>Rhodium and its inorganic</w:t>
      </w:r>
      <w:r w:rsidR="00E17B4A">
        <w:t xml:space="preserve"> </w:t>
      </w:r>
      <w:r w:rsidR="00F51236">
        <w:t>compounds</w:t>
      </w:r>
      <w:r>
        <w:t xml:space="preserve"> – MAK value documentation.</w:t>
      </w:r>
    </w:p>
    <w:p w14:paraId="656A4396" w14:textId="77777777" w:rsidR="007A1D3A" w:rsidRDefault="007A1D3A" w:rsidP="007A1D3A">
      <w:r w:rsidRPr="00E461B8">
        <w:t>European Chemicals Agency Regulation (ECHA) No 1907/2006 of the European Parliament and of the Council of 18 December 2006 concerning the Registration, Evaluation, Authorisation and Restriction of Chemicals (REACH).</w:t>
      </w:r>
    </w:p>
    <w:p w14:paraId="28EAA9C1" w14:textId="4B59C719" w:rsidR="008E4F1F" w:rsidRDefault="008E4F1F" w:rsidP="008E4F1F">
      <w:pPr>
        <w:rPr>
          <w:b/>
        </w:rPr>
      </w:pPr>
      <w:r w:rsidRPr="002022B6">
        <w:t>Health Council of the Netherlands</w:t>
      </w:r>
      <w:r>
        <w:t xml:space="preserve"> (HCOTN) (</w:t>
      </w:r>
      <w:r w:rsidR="00F51236" w:rsidRPr="00F51236">
        <w:t>2002</w:t>
      </w:r>
      <w:r>
        <w:t xml:space="preserve">) </w:t>
      </w:r>
      <w:r w:rsidR="00F51236" w:rsidRPr="00F51236">
        <w:t>Rhodium and compounds</w:t>
      </w:r>
      <w:r w:rsidRPr="005F7416">
        <w:t xml:space="preserve">. Health-based calculated occupational cancer risk values. The Hague: Health Council of the Netherlands; publication no. </w:t>
      </w:r>
      <w:r w:rsidR="00F51236" w:rsidRPr="00F51236">
        <w:t>2002/08OSH</w:t>
      </w:r>
      <w:r>
        <w:t>.</w:t>
      </w:r>
    </w:p>
    <w:p w14:paraId="507AA41E" w14:textId="30E7C133" w:rsidR="007A1D3A" w:rsidRDefault="007A1D3A" w:rsidP="007A1D3A">
      <w:r w:rsidRPr="00DB0A36">
        <w:t>National Industrial Chemicals Notification and Assessment Scheme (NICNAS) (</w:t>
      </w:r>
      <w:r>
        <w:t>No Date</w:t>
      </w:r>
      <w:r w:rsidRPr="00DB0A36">
        <w:t xml:space="preserve">) </w:t>
      </w:r>
      <w:r>
        <w:t>Rhodium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0870362A" w14:textId="51E25882" w:rsidR="007A1D3A" w:rsidRDefault="007A1D3A" w:rsidP="007A1D3A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Pr="00F51236">
        <w:t>1994</w:t>
      </w:r>
      <w:r>
        <w:t xml:space="preserve">) Immediately dangerous to life or health concentrations – </w:t>
      </w:r>
      <w:r w:rsidRPr="00F51236">
        <w:t>Rhodium (metal fume and insoluble compounds, as Rh)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C878F" w14:textId="77777777" w:rsidR="00FB2EEE" w:rsidRDefault="00FB2EEE" w:rsidP="00F43AD5">
      <w:pPr>
        <w:spacing w:after="0" w:line="240" w:lineRule="auto"/>
      </w:pPr>
      <w:r>
        <w:separator/>
      </w:r>
    </w:p>
  </w:endnote>
  <w:endnote w:type="continuationSeparator" w:id="0">
    <w:p w14:paraId="41A10FC8" w14:textId="77777777" w:rsidR="00FB2EEE" w:rsidRDefault="00FB2EE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21F903EC" w:rsidR="008A36CF" w:rsidRDefault="00CA44A9" w:rsidP="0034744C">
        <w:pPr>
          <w:pStyle w:val="Footer"/>
          <w:rPr>
            <w:sz w:val="18"/>
            <w:szCs w:val="18"/>
          </w:rPr>
        </w:pPr>
        <w:r w:rsidRPr="00CA44A9">
          <w:rPr>
            <w:b/>
            <w:sz w:val="18"/>
            <w:szCs w:val="18"/>
          </w:rPr>
          <w:t xml:space="preserve">Rhodium, </w:t>
        </w:r>
        <w:r w:rsidR="00F922C3">
          <w:rPr>
            <w:b/>
            <w:sz w:val="18"/>
            <w:szCs w:val="18"/>
          </w:rPr>
          <w:t>metal and</w:t>
        </w:r>
        <w:r w:rsidR="00F922C3" w:rsidRPr="00CA44A9">
          <w:rPr>
            <w:b/>
            <w:sz w:val="18"/>
            <w:szCs w:val="18"/>
          </w:rPr>
          <w:t xml:space="preserve"> </w:t>
        </w:r>
        <w:r w:rsidRPr="00CA44A9">
          <w:rPr>
            <w:b/>
            <w:sz w:val="18"/>
            <w:szCs w:val="18"/>
          </w:rPr>
          <w:t>compounds (as Rh)</w:t>
        </w:r>
        <w:r w:rsidR="008A36CF">
          <w:rPr>
            <w:b/>
            <w:sz w:val="18"/>
            <w:szCs w:val="18"/>
          </w:rPr>
          <w:t xml:space="preserve"> (</w:t>
        </w:r>
        <w:r w:rsidRPr="00CA44A9">
          <w:rPr>
            <w:b/>
            <w:sz w:val="18"/>
            <w:szCs w:val="18"/>
          </w:rPr>
          <w:t>7440-16-6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0F0FDD" w:rsidRPr="00F43AD5">
          <w:rPr>
            <w:sz w:val="18"/>
            <w:szCs w:val="18"/>
          </w:rPr>
          <w:t>20</w:t>
        </w:r>
        <w:r w:rsidR="000F0FDD">
          <w:rPr>
            <w:sz w:val="18"/>
            <w:szCs w:val="18"/>
          </w:rPr>
          <w:t>20</w:t>
        </w:r>
      </w:p>
      <w:p w14:paraId="2D517F5E" w14:textId="373E0EB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136F3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328DE" w14:textId="77777777" w:rsidR="00FB2EEE" w:rsidRDefault="00FB2EEE" w:rsidP="00F43AD5">
      <w:pPr>
        <w:spacing w:after="0" w:line="240" w:lineRule="auto"/>
      </w:pPr>
      <w:r>
        <w:separator/>
      </w:r>
    </w:p>
  </w:footnote>
  <w:footnote w:type="continuationSeparator" w:id="0">
    <w:p w14:paraId="0D750046" w14:textId="77777777" w:rsidR="00FB2EEE" w:rsidRDefault="00FB2EE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1A97F8A4" w:rsidR="008A36CF" w:rsidRPr="00645342" w:rsidRDefault="00645342" w:rsidP="00645342">
    <w:pPr>
      <w:pStyle w:val="Header"/>
      <w:jc w:val="right"/>
    </w:pPr>
    <w:r>
      <w:rPr>
        <w:noProof/>
        <w:lang w:eastAsia="en-AU"/>
      </w:rPr>
      <w:drawing>
        <wp:inline distT="0" distB="0" distL="0" distR="0" wp14:anchorId="5843906B" wp14:editId="183B9358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05F1D" w14:textId="6C540FF3" w:rsidR="00645342" w:rsidRDefault="00645342" w:rsidP="00645342">
    <w:pPr>
      <w:pStyle w:val="Header"/>
      <w:jc w:val="right"/>
    </w:pPr>
    <w:r>
      <w:rPr>
        <w:noProof/>
        <w:lang w:eastAsia="en-AU"/>
      </w:rPr>
      <w:drawing>
        <wp:inline distT="0" distB="0" distL="0" distR="0" wp14:anchorId="3A2A580B" wp14:editId="01DA2778">
          <wp:extent cx="2943225" cy="600075"/>
          <wp:effectExtent l="0" t="0" r="9525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1F071343" w:rsidR="008A36CF" w:rsidRDefault="008A36CF" w:rsidP="00645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9088FC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7DB6456"/>
    <w:multiLevelType w:val="hybridMultilevel"/>
    <w:tmpl w:val="0060E3C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793701F9"/>
    <w:multiLevelType w:val="hybridMultilevel"/>
    <w:tmpl w:val="D04443E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24384216">
    <w:abstractNumId w:val="0"/>
  </w:num>
  <w:num w:numId="2" w16cid:durableId="422998217">
    <w:abstractNumId w:val="0"/>
  </w:num>
  <w:num w:numId="3" w16cid:durableId="478612828">
    <w:abstractNumId w:val="0"/>
  </w:num>
  <w:num w:numId="4" w16cid:durableId="1371106680">
    <w:abstractNumId w:val="0"/>
  </w:num>
  <w:num w:numId="5" w16cid:durableId="390925992">
    <w:abstractNumId w:val="0"/>
  </w:num>
  <w:num w:numId="6" w16cid:durableId="609892082">
    <w:abstractNumId w:val="0"/>
  </w:num>
  <w:num w:numId="7" w16cid:durableId="412090424">
    <w:abstractNumId w:val="0"/>
  </w:num>
  <w:num w:numId="8" w16cid:durableId="563570696">
    <w:abstractNumId w:val="0"/>
  </w:num>
  <w:num w:numId="9" w16cid:durableId="1695499706">
    <w:abstractNumId w:val="2"/>
  </w:num>
  <w:num w:numId="10" w16cid:durableId="14673596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48D7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0F0FDD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4473"/>
    <w:rsid w:val="00177CA1"/>
    <w:rsid w:val="00183823"/>
    <w:rsid w:val="00183942"/>
    <w:rsid w:val="0018525E"/>
    <w:rsid w:val="001915F6"/>
    <w:rsid w:val="001A009E"/>
    <w:rsid w:val="001A1287"/>
    <w:rsid w:val="001A3859"/>
    <w:rsid w:val="001A3C9D"/>
    <w:rsid w:val="001A43F8"/>
    <w:rsid w:val="001A6310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2116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54BA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449C"/>
    <w:rsid w:val="004A5088"/>
    <w:rsid w:val="004B19A0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0CA2"/>
    <w:rsid w:val="00551BD8"/>
    <w:rsid w:val="00581055"/>
    <w:rsid w:val="00591E38"/>
    <w:rsid w:val="005A19C5"/>
    <w:rsid w:val="005A3034"/>
    <w:rsid w:val="005A462D"/>
    <w:rsid w:val="005B253B"/>
    <w:rsid w:val="005B771D"/>
    <w:rsid w:val="005C3188"/>
    <w:rsid w:val="005C5D16"/>
    <w:rsid w:val="005D1CDC"/>
    <w:rsid w:val="005D3193"/>
    <w:rsid w:val="005D3A3B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5342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706C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1D3A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3C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048A"/>
    <w:rsid w:val="009118A6"/>
    <w:rsid w:val="00912A09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3334"/>
    <w:rsid w:val="009B0D1A"/>
    <w:rsid w:val="009B2FF2"/>
    <w:rsid w:val="009B380C"/>
    <w:rsid w:val="009B4843"/>
    <w:rsid w:val="009B6543"/>
    <w:rsid w:val="009C1781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13E6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7C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36F3"/>
    <w:rsid w:val="00B1422A"/>
    <w:rsid w:val="00B1765C"/>
    <w:rsid w:val="00B213C4"/>
    <w:rsid w:val="00B40C60"/>
    <w:rsid w:val="00B479A9"/>
    <w:rsid w:val="00B52EDF"/>
    <w:rsid w:val="00B64682"/>
    <w:rsid w:val="00B6603F"/>
    <w:rsid w:val="00B66751"/>
    <w:rsid w:val="00B71188"/>
    <w:rsid w:val="00B76A41"/>
    <w:rsid w:val="00B87D4C"/>
    <w:rsid w:val="00B93646"/>
    <w:rsid w:val="00BA0B38"/>
    <w:rsid w:val="00BA1DBB"/>
    <w:rsid w:val="00BA4510"/>
    <w:rsid w:val="00BA529A"/>
    <w:rsid w:val="00BB445C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44A9"/>
    <w:rsid w:val="00CA58FE"/>
    <w:rsid w:val="00CB1CB1"/>
    <w:rsid w:val="00CB6BC1"/>
    <w:rsid w:val="00CB6CB8"/>
    <w:rsid w:val="00CC1A68"/>
    <w:rsid w:val="00CC2123"/>
    <w:rsid w:val="00CD1483"/>
    <w:rsid w:val="00CD2BFD"/>
    <w:rsid w:val="00CE5AD6"/>
    <w:rsid w:val="00CE617F"/>
    <w:rsid w:val="00CE78EF"/>
    <w:rsid w:val="00D01AD6"/>
    <w:rsid w:val="00D048F7"/>
    <w:rsid w:val="00D0517E"/>
    <w:rsid w:val="00D140FC"/>
    <w:rsid w:val="00D21D8C"/>
    <w:rsid w:val="00D31357"/>
    <w:rsid w:val="00D33220"/>
    <w:rsid w:val="00D334D1"/>
    <w:rsid w:val="00D43FF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4743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787E"/>
    <w:rsid w:val="00E17B4A"/>
    <w:rsid w:val="00E26A07"/>
    <w:rsid w:val="00E32595"/>
    <w:rsid w:val="00E37CFD"/>
    <w:rsid w:val="00E41A26"/>
    <w:rsid w:val="00E46BCB"/>
    <w:rsid w:val="00E51CAF"/>
    <w:rsid w:val="00E60F04"/>
    <w:rsid w:val="00E6148D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30D9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3FA"/>
    <w:rsid w:val="00F16019"/>
    <w:rsid w:val="00F20E68"/>
    <w:rsid w:val="00F22093"/>
    <w:rsid w:val="00F236DF"/>
    <w:rsid w:val="00F43AD5"/>
    <w:rsid w:val="00F4402E"/>
    <w:rsid w:val="00F51236"/>
    <w:rsid w:val="00F56DD0"/>
    <w:rsid w:val="00F6491C"/>
    <w:rsid w:val="00F67BBB"/>
    <w:rsid w:val="00F87D92"/>
    <w:rsid w:val="00F90AA7"/>
    <w:rsid w:val="00F922C3"/>
    <w:rsid w:val="00F92498"/>
    <w:rsid w:val="00F9496B"/>
    <w:rsid w:val="00F95352"/>
    <w:rsid w:val="00F970C9"/>
    <w:rsid w:val="00FA06A8"/>
    <w:rsid w:val="00FA3DF5"/>
    <w:rsid w:val="00FA741F"/>
    <w:rsid w:val="00FB2EEE"/>
    <w:rsid w:val="00FB4E07"/>
    <w:rsid w:val="00FB755A"/>
    <w:rsid w:val="00FC60A2"/>
    <w:rsid w:val="00FD1871"/>
    <w:rsid w:val="00FD3110"/>
    <w:rsid w:val="00FF04B7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6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C474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17B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7B4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7B4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7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7B4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8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E0149"/>
    <w:rsid w:val="005D1CDC"/>
    <w:rsid w:val="00755FBF"/>
    <w:rsid w:val="008123CD"/>
    <w:rsid w:val="00CA72D3"/>
    <w:rsid w:val="00D21A9F"/>
    <w:rsid w:val="00E67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55372A-DED1-4F44-81C7-CBE54A32E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documentManagement/types"/>
    <ds:schemaRef ds:uri="a0509f21-ed56-4150-9955-96be669e5f2d"/>
    <ds:schemaRef ds:uri="http://purl.org/dc/dcmitype/"/>
    <ds:schemaRef ds:uri="http://schemas.microsoft.com/office/infopath/2007/PartnerControls"/>
    <ds:schemaRef ds:uri="1c567317-0c4d-4a62-8516-c22afd1b5354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71C7598-D1AF-4B38-9729-34114C60C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1030</Words>
  <Characters>5800</Characters>
  <Application>Microsoft Office Word</Application>
  <DocSecurity>0</DocSecurity>
  <Lines>263</Lines>
  <Paragraphs>158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24</cp:revision>
  <cp:lastPrinted>2018-10-22T22:41:00Z</cp:lastPrinted>
  <dcterms:created xsi:type="dcterms:W3CDTF">2019-10-07T03:26:00Z</dcterms:created>
  <dcterms:modified xsi:type="dcterms:W3CDTF">2026-01-09T01:04:00Z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2026-01-07T01:30:31Z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f015d91f-e5be-42bb-be20-95701b88814b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