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8E79219" w14:textId="65F1B586" w:rsidR="00BD499F" w:rsidRPr="004C23F4" w:rsidRDefault="003203B8" w:rsidP="00B40C60">
          <w:pPr>
            <w:pStyle w:val="Heading1"/>
            <w:jc w:val="center"/>
            <w:rPr>
              <w:rFonts w:ascii="Arial" w:hAnsi="Arial" w:cs="Arial"/>
            </w:rPr>
          </w:pPr>
          <w:r w:rsidRPr="003203B8">
            <w:rPr>
              <w:rFonts w:ascii="Arial" w:hAnsi="Arial" w:cs="Arial"/>
            </w:rPr>
            <w:t>Propylene glycol monomethyl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06D14719" w14:textId="77777777" w:rsidTr="00563F6B">
        <w:trPr>
          <w:cantSplit/>
          <w:tblHeader/>
        </w:trPr>
        <w:tc>
          <w:tcPr>
            <w:tcW w:w="3975" w:type="dxa"/>
          </w:tcPr>
          <w:p w14:paraId="66DCCF6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400E7CA9" w14:textId="3DF0385D" w:rsidR="00F43AD5" w:rsidRPr="00717D45" w:rsidRDefault="003203B8" w:rsidP="00B76A41">
            <w:pPr>
              <w:pStyle w:val="Tablefont"/>
            </w:pPr>
            <w:r w:rsidRPr="003203B8">
              <w:t>107-98-2</w:t>
            </w:r>
          </w:p>
        </w:tc>
      </w:tr>
      <w:tr w:rsidR="00F43AD5" w:rsidRPr="004C23F4" w14:paraId="4B942F49" w14:textId="77777777" w:rsidTr="00563F6B">
        <w:trPr>
          <w:cantSplit/>
        </w:trPr>
        <w:tc>
          <w:tcPr>
            <w:tcW w:w="3975" w:type="dxa"/>
          </w:tcPr>
          <w:p w14:paraId="25A14C8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38024EC2" w14:textId="53067898" w:rsidR="00F43AD5" w:rsidRPr="00717D45" w:rsidRDefault="003203B8" w:rsidP="00B76A41">
            <w:pPr>
              <w:pStyle w:val="Tablefont"/>
            </w:pPr>
            <w:r>
              <w:t xml:space="preserve">1-Methoxy-2-hydroxypropane, 1-methoxy-2-propanol, 1-methoxypropan-2-ol, 2-propanol 1-methoxy, </w:t>
            </w:r>
            <w:proofErr w:type="spellStart"/>
            <w:r>
              <w:t>methoxyisopropanol</w:t>
            </w:r>
            <w:proofErr w:type="spellEnd"/>
            <w:r>
              <w:t xml:space="preserve">, methyl </w:t>
            </w:r>
            <w:proofErr w:type="spellStart"/>
            <w:r>
              <w:t>proxitol</w:t>
            </w:r>
            <w:proofErr w:type="spellEnd"/>
            <w:r>
              <w:t>, PGME, propylene glycol methyl ether,</w:t>
            </w:r>
          </w:p>
        </w:tc>
      </w:tr>
      <w:tr w:rsidR="00F43AD5" w:rsidRPr="004C23F4" w14:paraId="52ED3BAE" w14:textId="77777777" w:rsidTr="00563F6B">
        <w:trPr>
          <w:cantSplit/>
        </w:trPr>
        <w:tc>
          <w:tcPr>
            <w:tcW w:w="3975" w:type="dxa"/>
          </w:tcPr>
          <w:p w14:paraId="0EE6CFF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47C45B3E" w14:textId="616534BF" w:rsidR="00F43AD5" w:rsidRPr="00717D45" w:rsidRDefault="003203B8" w:rsidP="00B76A41">
            <w:pPr>
              <w:pStyle w:val="Tablefont"/>
            </w:pPr>
            <w:r>
              <w:t>C</w:t>
            </w:r>
            <w:r w:rsidRPr="003203B8">
              <w:rPr>
                <w:vertAlign w:val="subscript"/>
              </w:rPr>
              <w:t>4</w:t>
            </w:r>
            <w:r>
              <w:t>H</w:t>
            </w:r>
            <w:r w:rsidRPr="003203B8">
              <w:rPr>
                <w:vertAlign w:val="subscript"/>
              </w:rPr>
              <w:t>10</w:t>
            </w:r>
            <w:r>
              <w:t>O</w:t>
            </w:r>
            <w:r w:rsidRPr="003203B8">
              <w:rPr>
                <w:vertAlign w:val="subscript"/>
              </w:rPr>
              <w:t>2</w:t>
            </w:r>
          </w:p>
        </w:tc>
      </w:tr>
    </w:tbl>
    <w:p w14:paraId="75830A94" w14:textId="422F4A0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2299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798DF15E" w14:textId="77777777" w:rsidTr="00294D9F">
        <w:trPr>
          <w:cantSplit/>
          <w:tblHeader/>
        </w:trPr>
        <w:tc>
          <w:tcPr>
            <w:tcW w:w="4007" w:type="dxa"/>
            <w:vAlign w:val="center"/>
          </w:tcPr>
          <w:p w14:paraId="3F39D0B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2808ED8D" w14:textId="3C9E442C" w:rsidR="002C7AFE" w:rsidRPr="00EB3D1B" w:rsidRDefault="00C2299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100</w:t>
            </w:r>
            <w:r w:rsidR="009B4114">
              <w:rPr>
                <w:b/>
              </w:rPr>
              <w:t xml:space="preserve"> </w:t>
            </w:r>
            <w:r w:rsidR="00294D9F">
              <w:rPr>
                <w:b/>
              </w:rPr>
              <w:t xml:space="preserve">ppm </w:t>
            </w:r>
            <w:r w:rsidR="00294D9F" w:rsidRPr="00294D9F">
              <w:rPr>
                <w:b/>
              </w:rPr>
              <w:t>(</w:t>
            </w:r>
            <w:r>
              <w:rPr>
                <w:b/>
              </w:rPr>
              <w:t>369</w:t>
            </w:r>
            <w:r w:rsidR="009B4114" w:rsidRPr="00294D9F">
              <w:rPr>
                <w:b/>
              </w:rPr>
              <w:t xml:space="preserve"> </w:t>
            </w:r>
            <w:r w:rsidR="00294D9F" w:rsidRPr="00294D9F">
              <w:rPr>
                <w:b/>
              </w:rPr>
              <w:t>mg/m</w:t>
            </w:r>
            <w:r w:rsidR="00294D9F" w:rsidRPr="00294D9F">
              <w:rPr>
                <w:b/>
                <w:vertAlign w:val="superscript"/>
              </w:rPr>
              <w:t>3</w:t>
            </w:r>
            <w:r w:rsidR="00294D9F" w:rsidRPr="00294D9F">
              <w:rPr>
                <w:b/>
              </w:rPr>
              <w:t>)</w:t>
            </w:r>
          </w:p>
        </w:tc>
      </w:tr>
      <w:tr w:rsidR="002C7AFE" w:rsidRPr="004C23F4" w14:paraId="07CDF1E8" w14:textId="77777777" w:rsidTr="00294D9F">
        <w:trPr>
          <w:cantSplit/>
        </w:trPr>
        <w:tc>
          <w:tcPr>
            <w:tcW w:w="4007" w:type="dxa"/>
            <w:vAlign w:val="center"/>
          </w:tcPr>
          <w:p w14:paraId="5571975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01C89A23" w14:textId="7FB38A3E" w:rsidR="002C7AFE" w:rsidRPr="00EB3D1B" w:rsidRDefault="009B411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C2299F">
              <w:rPr>
                <w:b/>
              </w:rPr>
              <w:t>5</w:t>
            </w:r>
            <w:r>
              <w:rPr>
                <w:b/>
              </w:rPr>
              <w:t xml:space="preserve">0 </w:t>
            </w:r>
            <w:r w:rsidR="00294D9F">
              <w:rPr>
                <w:b/>
              </w:rPr>
              <w:t xml:space="preserve">ppm </w:t>
            </w:r>
            <w:r w:rsidR="00294D9F" w:rsidRPr="00294D9F">
              <w:rPr>
                <w:b/>
              </w:rPr>
              <w:t>(</w:t>
            </w:r>
            <w:r w:rsidR="00C2299F">
              <w:rPr>
                <w:b/>
              </w:rPr>
              <w:t>553</w:t>
            </w:r>
            <w:r w:rsidRPr="00294D9F">
              <w:rPr>
                <w:b/>
              </w:rPr>
              <w:t xml:space="preserve"> </w:t>
            </w:r>
            <w:r w:rsidR="00294D9F" w:rsidRPr="00294D9F">
              <w:rPr>
                <w:b/>
              </w:rPr>
              <w:t>mg/m</w:t>
            </w:r>
            <w:r w:rsidR="00294D9F" w:rsidRPr="00294D9F">
              <w:rPr>
                <w:b/>
                <w:vertAlign w:val="superscript"/>
              </w:rPr>
              <w:t>3</w:t>
            </w:r>
            <w:r w:rsidR="00294D9F" w:rsidRPr="00294D9F">
              <w:rPr>
                <w:b/>
              </w:rPr>
              <w:t>)</w:t>
            </w:r>
          </w:p>
        </w:tc>
      </w:tr>
      <w:tr w:rsidR="002C7AFE" w:rsidRPr="004C23F4" w14:paraId="16DB69FB" w14:textId="77777777" w:rsidTr="00294D9F">
        <w:trPr>
          <w:cantSplit/>
        </w:trPr>
        <w:tc>
          <w:tcPr>
            <w:tcW w:w="4007" w:type="dxa"/>
            <w:vAlign w:val="center"/>
          </w:tcPr>
          <w:p w14:paraId="02C605D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01D9AD56" w14:textId="7BD03CB6" w:rsidR="002C7AFE" w:rsidRPr="00EB3D1B" w:rsidRDefault="00294D9F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73B1098" w14:textId="77777777" w:rsidTr="00294D9F">
        <w:trPr>
          <w:cantSplit/>
        </w:trPr>
        <w:tc>
          <w:tcPr>
            <w:tcW w:w="4007" w:type="dxa"/>
          </w:tcPr>
          <w:p w14:paraId="7A7D8C6C" w14:textId="4189BD1B" w:rsidR="002C7AFE" w:rsidRPr="002C58FF" w:rsidRDefault="00921DE7" w:rsidP="003241A8">
            <w:pPr>
              <w:pStyle w:val="Tablerowright"/>
            </w:pPr>
            <w:r w:rsidRPr="003241A8">
              <w:t>Notations</w:t>
            </w:r>
            <w:r>
              <w:t>:</w:t>
            </w:r>
          </w:p>
        </w:tc>
        <w:tc>
          <w:tcPr>
            <w:tcW w:w="5019" w:type="dxa"/>
          </w:tcPr>
          <w:p w14:paraId="3D80F4C5" w14:textId="6C7A9359" w:rsidR="002C7AFE" w:rsidRPr="00EB3D1B" w:rsidRDefault="005408BB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82CB051" w14:textId="77777777" w:rsidTr="00294D9F">
        <w:trPr>
          <w:cantSplit/>
        </w:trPr>
        <w:tc>
          <w:tcPr>
            <w:tcW w:w="4007" w:type="dxa"/>
            <w:vAlign w:val="center"/>
          </w:tcPr>
          <w:p w14:paraId="4FF867B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07AECE4A" w14:textId="06BB4DDC" w:rsidR="002C7AFE" w:rsidRPr="00EB3D1B" w:rsidRDefault="00CE3A97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94D9F" w:rsidRPr="004C23F4" w14:paraId="699970C5" w14:textId="77777777" w:rsidTr="00A918F1">
        <w:trPr>
          <w:cantSplit/>
        </w:trPr>
        <w:tc>
          <w:tcPr>
            <w:tcW w:w="9026" w:type="dxa"/>
            <w:gridSpan w:val="2"/>
            <w:vAlign w:val="center"/>
          </w:tcPr>
          <w:p w14:paraId="20A15DD5" w14:textId="77777777" w:rsidR="00294D9F" w:rsidRPr="00EB3D1B" w:rsidRDefault="00294D9F" w:rsidP="00A918F1">
            <w:pPr>
              <w:pStyle w:val="Tablerowright"/>
              <w:jc w:val="left"/>
              <w:rPr>
                <w:b w:val="0"/>
              </w:rPr>
            </w:pPr>
            <w:r>
              <w:t xml:space="preserve">Sampling and analysis: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3865838B1BCE4FEA861476EF1C095DF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81C74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E9B6F6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C0DA53F" w14:textId="0A6432BC" w:rsidR="006639B4" w:rsidRDefault="00930ED9" w:rsidP="000C139A">
      <w:pPr>
        <w:rPr>
          <w:rFonts w:cs="Arial"/>
        </w:rPr>
      </w:pPr>
      <w:r w:rsidRPr="0097007E">
        <w:rPr>
          <w:rFonts w:cs="Arial"/>
        </w:rPr>
        <w:t xml:space="preserve">A TWA of </w:t>
      </w:r>
      <w:r w:rsidR="00C2299F">
        <w:rPr>
          <w:rFonts w:cs="Arial"/>
        </w:rPr>
        <w:t>10</w:t>
      </w:r>
      <w:r w:rsidR="001261BC">
        <w:rPr>
          <w:rFonts w:cs="Arial"/>
        </w:rPr>
        <w:t>0</w:t>
      </w:r>
      <w:r w:rsidR="001261BC" w:rsidRPr="0097007E">
        <w:rPr>
          <w:rFonts w:cs="Arial"/>
        </w:rPr>
        <w:t xml:space="preserve"> </w:t>
      </w:r>
      <w:r w:rsidRPr="0097007E">
        <w:rPr>
          <w:rFonts w:cs="Arial"/>
        </w:rPr>
        <w:t>ppm (</w:t>
      </w:r>
      <w:r w:rsidR="00C2299F">
        <w:rPr>
          <w:rFonts w:cs="Arial"/>
        </w:rPr>
        <w:t>369</w:t>
      </w:r>
      <w:r w:rsidR="009B4114" w:rsidRPr="0097007E">
        <w:rPr>
          <w:rFonts w:cs="Arial"/>
        </w:rPr>
        <w:t xml:space="preserve"> </w:t>
      </w:r>
      <w:r w:rsidRPr="0097007E">
        <w:rPr>
          <w:rFonts w:cs="Arial"/>
        </w:rPr>
        <w:t>mg/m</w:t>
      </w:r>
      <w:r w:rsidRPr="00930ED9">
        <w:rPr>
          <w:rFonts w:cs="Arial"/>
          <w:vertAlign w:val="superscript"/>
        </w:rPr>
        <w:t>3</w:t>
      </w:r>
      <w:r w:rsidRPr="0097007E">
        <w:rPr>
          <w:rFonts w:cs="Arial"/>
        </w:rPr>
        <w:t xml:space="preserve">) is recommended to protect for </w:t>
      </w:r>
      <w:r w:rsidR="00217441">
        <w:rPr>
          <w:rFonts w:cs="Arial"/>
        </w:rPr>
        <w:t xml:space="preserve">irritation of the </w:t>
      </w:r>
      <w:r>
        <w:rPr>
          <w:rFonts w:cs="Arial"/>
        </w:rPr>
        <w:t>eye</w:t>
      </w:r>
      <w:r w:rsidR="00217441">
        <w:rPr>
          <w:rFonts w:cs="Arial"/>
        </w:rPr>
        <w:t>s</w:t>
      </w:r>
      <w:r>
        <w:rPr>
          <w:rFonts w:cs="Arial"/>
        </w:rPr>
        <w:t xml:space="preserve"> and upper respiratory tract </w:t>
      </w:r>
      <w:r w:rsidRPr="0097007E">
        <w:rPr>
          <w:rFonts w:cs="Arial"/>
        </w:rPr>
        <w:t>in exposed workers</w:t>
      </w:r>
      <w:r>
        <w:rPr>
          <w:rFonts w:cs="Arial"/>
        </w:rPr>
        <w:t>.</w:t>
      </w:r>
    </w:p>
    <w:p w14:paraId="5A3F15C1" w14:textId="7981E4CC" w:rsidR="00930ED9" w:rsidRPr="004C23F4" w:rsidRDefault="00930ED9" w:rsidP="000C139A">
      <w:pPr>
        <w:rPr>
          <w:rFonts w:cs="Arial"/>
        </w:rPr>
      </w:pPr>
      <w:r>
        <w:rPr>
          <w:rFonts w:cs="Arial"/>
        </w:rPr>
        <w:t xml:space="preserve">A STEL of </w:t>
      </w:r>
      <w:r w:rsidR="009B4114">
        <w:rPr>
          <w:rFonts w:cs="Arial"/>
        </w:rPr>
        <w:t>1</w:t>
      </w:r>
      <w:r w:rsidR="00C2299F">
        <w:rPr>
          <w:rFonts w:cs="Arial"/>
        </w:rPr>
        <w:t>5</w:t>
      </w:r>
      <w:r w:rsidR="009B4114">
        <w:rPr>
          <w:rFonts w:cs="Arial"/>
        </w:rPr>
        <w:t xml:space="preserve">0 </w:t>
      </w:r>
      <w:r>
        <w:rPr>
          <w:rFonts w:cs="Arial"/>
        </w:rPr>
        <w:t>ppm (</w:t>
      </w:r>
      <w:r w:rsidR="00C2299F">
        <w:rPr>
          <w:rFonts w:cs="Arial"/>
        </w:rPr>
        <w:t>553</w:t>
      </w:r>
      <w:r w:rsidR="009B4114">
        <w:rPr>
          <w:rFonts w:cs="Arial"/>
        </w:rPr>
        <w:t xml:space="preserve"> </w:t>
      </w:r>
      <w:r>
        <w:rPr>
          <w:rFonts w:cs="Arial"/>
        </w:rPr>
        <w:t>mg/m</w:t>
      </w:r>
      <w:r w:rsidRPr="00930ED9">
        <w:rPr>
          <w:rFonts w:cs="Arial"/>
          <w:vertAlign w:val="superscript"/>
        </w:rPr>
        <w:t>3</w:t>
      </w:r>
      <w:r>
        <w:rPr>
          <w:rFonts w:cs="Arial"/>
        </w:rPr>
        <w:t>) is recommended</w:t>
      </w:r>
      <w:r w:rsidR="00950BA4">
        <w:rPr>
          <w:rFonts w:cs="Arial"/>
        </w:rPr>
        <w:t xml:space="preserve"> to</w:t>
      </w:r>
      <w:r>
        <w:rPr>
          <w:rFonts w:cs="Arial"/>
        </w:rPr>
        <w:t xml:space="preserve"> </w:t>
      </w:r>
      <w:r w:rsidR="009354DB" w:rsidRPr="0097007E">
        <w:rPr>
          <w:rFonts w:cs="Arial"/>
        </w:rPr>
        <w:t xml:space="preserve">protect for </w:t>
      </w:r>
      <w:r w:rsidR="00217441">
        <w:rPr>
          <w:rFonts w:cs="Arial"/>
        </w:rPr>
        <w:t xml:space="preserve">acute irritation of the </w:t>
      </w:r>
      <w:r w:rsidR="009354DB">
        <w:rPr>
          <w:rFonts w:cs="Arial"/>
        </w:rPr>
        <w:t>eye</w:t>
      </w:r>
      <w:r w:rsidR="00217441">
        <w:rPr>
          <w:rFonts w:cs="Arial"/>
        </w:rPr>
        <w:t>s</w:t>
      </w:r>
      <w:r w:rsidR="009354DB">
        <w:rPr>
          <w:rFonts w:cs="Arial"/>
        </w:rPr>
        <w:t xml:space="preserve"> and upper respiratory tract </w:t>
      </w:r>
      <w:r w:rsidR="00217441">
        <w:rPr>
          <w:rFonts w:cs="Arial"/>
        </w:rPr>
        <w:t>in exposed workers</w:t>
      </w:r>
      <w:r w:rsidR="009354DB">
        <w:rPr>
          <w:rFonts w:cs="Arial"/>
        </w:rPr>
        <w:t>.</w:t>
      </w:r>
      <w:r>
        <w:rPr>
          <w:rFonts w:cs="Arial"/>
        </w:rPr>
        <w:t xml:space="preserve"> </w:t>
      </w:r>
    </w:p>
    <w:p w14:paraId="1289523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75A66C9" w14:textId="6B0286D2" w:rsidR="0014177A" w:rsidRDefault="00DA3632" w:rsidP="006639B4">
      <w:pPr>
        <w:rPr>
          <w:rFonts w:cs="Arial"/>
        </w:rPr>
      </w:pPr>
      <w:r w:rsidRPr="00DA3632">
        <w:rPr>
          <w:rFonts w:cs="Arial"/>
        </w:rPr>
        <w:t xml:space="preserve">Propylene </w:t>
      </w:r>
      <w:r w:rsidR="00217441" w:rsidRPr="00DA3632">
        <w:rPr>
          <w:rFonts w:cs="Arial"/>
        </w:rPr>
        <w:t xml:space="preserve">glycol monomethyl ether </w:t>
      </w:r>
      <w:r w:rsidRPr="00DA3632">
        <w:rPr>
          <w:rFonts w:cs="Arial"/>
        </w:rPr>
        <w:t>(PGME) is used as a solvent material in paint and coating processes, inks, cosmetics and cleaning agents used in industrial and domestic applications.</w:t>
      </w:r>
      <w:r w:rsidR="007D58B5">
        <w:rPr>
          <w:rFonts w:cs="Arial"/>
        </w:rPr>
        <w:t xml:space="preserve"> </w:t>
      </w:r>
    </w:p>
    <w:p w14:paraId="4D858EE3" w14:textId="77777777" w:rsidR="008654F7" w:rsidRDefault="00F316F9" w:rsidP="005725D4">
      <w:r>
        <w:t xml:space="preserve">Critical effects </w:t>
      </w:r>
      <w:r w:rsidR="00217441">
        <w:t>of</w:t>
      </w:r>
      <w:r w:rsidR="00CE5651">
        <w:t xml:space="preserve"> exposure </w:t>
      </w:r>
      <w:r>
        <w:t>are eye and upper respiratory tract irritation</w:t>
      </w:r>
      <w:r w:rsidR="0058557A">
        <w:t xml:space="preserve"> and liver</w:t>
      </w:r>
      <w:r w:rsidR="005725D4">
        <w:t xml:space="preserve"> </w:t>
      </w:r>
      <w:r w:rsidR="0058557A">
        <w:t>and lung effects in high acute exposures</w:t>
      </w:r>
      <w:r>
        <w:t xml:space="preserve">. </w:t>
      </w:r>
    </w:p>
    <w:p w14:paraId="499DF8DC" w14:textId="083CAC44" w:rsidR="00B92F48" w:rsidRDefault="00127CD8" w:rsidP="006639B4">
      <w:pPr>
        <w:rPr>
          <w:rFonts w:cs="Arial"/>
        </w:rPr>
      </w:pPr>
      <w:r w:rsidRPr="00127CD8">
        <w:t xml:space="preserve">Human volunteers </w:t>
      </w:r>
      <w:r w:rsidR="000A78DB" w:rsidRPr="00127CD8">
        <w:t xml:space="preserve">complained of </w:t>
      </w:r>
      <w:r w:rsidR="000A78DB">
        <w:t xml:space="preserve">eye and </w:t>
      </w:r>
      <w:r w:rsidR="000A78DB" w:rsidRPr="00127CD8">
        <w:t xml:space="preserve">upper respiratory tract irritation </w:t>
      </w:r>
      <w:r w:rsidR="000A78DB">
        <w:t xml:space="preserve">at </w:t>
      </w:r>
      <w:r w:rsidR="002932F3">
        <w:t>50</w:t>
      </w:r>
      <w:r w:rsidRPr="00127CD8">
        <w:t xml:space="preserve"> to 2</w:t>
      </w:r>
      <w:r w:rsidR="002932F3">
        <w:t>,0</w:t>
      </w:r>
      <w:r w:rsidR="00086C5E">
        <w:t>0</w:t>
      </w:r>
      <w:r w:rsidR="002932F3">
        <w:t>0 ppm</w:t>
      </w:r>
      <w:r w:rsidR="00086C5E">
        <w:t xml:space="preserve"> for </w:t>
      </w:r>
      <w:r w:rsidR="000A78DB">
        <w:t xml:space="preserve">exposure </w:t>
      </w:r>
      <w:r w:rsidR="00086C5E">
        <w:t xml:space="preserve">durations of </w:t>
      </w:r>
      <w:r w:rsidR="005725D4">
        <w:t>one</w:t>
      </w:r>
      <w:r w:rsidR="00086C5E">
        <w:t xml:space="preserve"> to </w:t>
      </w:r>
      <w:r w:rsidR="005725D4">
        <w:t>seven</w:t>
      </w:r>
      <w:r w:rsidR="00086C5E">
        <w:t xml:space="preserve"> hours</w:t>
      </w:r>
      <w:r w:rsidRPr="00127CD8">
        <w:t xml:space="preserve">. Complaints became more common at </w:t>
      </w:r>
      <w:r w:rsidR="002932F3">
        <w:t>150</w:t>
      </w:r>
      <w:r w:rsidR="009B4114">
        <w:t> </w:t>
      </w:r>
      <w:proofErr w:type="gramStart"/>
      <w:r w:rsidRPr="00127CD8">
        <w:t>ppm</w:t>
      </w:r>
      <w:proofErr w:type="gramEnd"/>
      <w:r w:rsidRPr="00127CD8">
        <w:t xml:space="preserve"> and the irritation </w:t>
      </w:r>
      <w:r w:rsidR="008654F7">
        <w:t xml:space="preserve">was </w:t>
      </w:r>
      <w:r w:rsidR="0007367D">
        <w:t>in</w:t>
      </w:r>
      <w:r w:rsidRPr="00127CD8">
        <w:t xml:space="preserve">tolerable at </w:t>
      </w:r>
      <w:r w:rsidR="002932F3">
        <w:t>750</w:t>
      </w:r>
      <w:r w:rsidR="00CE5651">
        <w:t> </w:t>
      </w:r>
      <w:r w:rsidRPr="00127CD8">
        <w:t>ppm.</w:t>
      </w:r>
      <w:r w:rsidR="00482024">
        <w:t xml:space="preserve"> </w:t>
      </w:r>
      <w:r w:rsidR="00C2299F">
        <w:t>In the same study, a</w:t>
      </w:r>
      <w:r w:rsidR="00763563">
        <w:t xml:space="preserve"> LOAEC of 250 ppm </w:t>
      </w:r>
      <w:r w:rsidR="00C2299F">
        <w:t xml:space="preserve">is </w:t>
      </w:r>
      <w:r w:rsidR="00763563">
        <w:t>reported for e</w:t>
      </w:r>
      <w:r w:rsidR="00482024">
        <w:t xml:space="preserve">ye and throat irritation with nausea and headaches in </w:t>
      </w:r>
      <w:r w:rsidR="008654F7">
        <w:t xml:space="preserve">workers </w:t>
      </w:r>
      <w:r w:rsidR="00482024">
        <w:t xml:space="preserve">exposed </w:t>
      </w:r>
      <w:r w:rsidR="00331B52">
        <w:t>f</w:t>
      </w:r>
      <w:r w:rsidR="00482024">
        <w:t>or 15</w:t>
      </w:r>
      <w:r w:rsidR="0099626B">
        <w:t xml:space="preserve"> to</w:t>
      </w:r>
      <w:r w:rsidR="008654F7">
        <w:t xml:space="preserve"> </w:t>
      </w:r>
      <w:r w:rsidR="00482024">
        <w:t>30 minutes (ACGIH</w:t>
      </w:r>
      <w:r w:rsidR="008654F7">
        <w:t>, </w:t>
      </w:r>
      <w:r w:rsidR="00482024">
        <w:t xml:space="preserve">2018). </w:t>
      </w:r>
      <w:r w:rsidR="00086C5E" w:rsidRPr="005725D4">
        <w:t>A</w:t>
      </w:r>
      <w:r w:rsidR="00482024" w:rsidRPr="005725D4">
        <w:rPr>
          <w:rFonts w:cs="Arial"/>
        </w:rPr>
        <w:t xml:space="preserve"> NOAE</w:t>
      </w:r>
      <w:r w:rsidR="00963F99">
        <w:rPr>
          <w:rFonts w:cs="Arial"/>
        </w:rPr>
        <w:t>C</w:t>
      </w:r>
      <w:r w:rsidR="00086C5E" w:rsidRPr="005725D4">
        <w:rPr>
          <w:rFonts w:cs="Arial"/>
        </w:rPr>
        <w:t xml:space="preserve"> of 100 ppm </w:t>
      </w:r>
      <w:r w:rsidR="008654F7">
        <w:rPr>
          <w:rFonts w:cs="Arial"/>
        </w:rPr>
        <w:t>(concentration at which odour detected) for</w:t>
      </w:r>
      <w:r w:rsidR="00086C5E" w:rsidRPr="005725D4">
        <w:rPr>
          <w:rFonts w:cs="Arial"/>
        </w:rPr>
        <w:t xml:space="preserve"> irritant effects </w:t>
      </w:r>
      <w:r w:rsidR="008654F7">
        <w:rPr>
          <w:rFonts w:cs="Arial"/>
        </w:rPr>
        <w:t>was</w:t>
      </w:r>
      <w:r w:rsidR="008654F7" w:rsidRPr="005725D4">
        <w:rPr>
          <w:rFonts w:cs="Arial"/>
        </w:rPr>
        <w:t xml:space="preserve"> </w:t>
      </w:r>
      <w:r w:rsidR="00086C5E" w:rsidRPr="005725D4">
        <w:rPr>
          <w:rFonts w:cs="Arial"/>
        </w:rPr>
        <w:t>identified in a</w:t>
      </w:r>
      <w:r w:rsidR="00763563">
        <w:rPr>
          <w:rFonts w:cs="Arial"/>
        </w:rPr>
        <w:t xml:space="preserve">nother </w:t>
      </w:r>
      <w:r w:rsidR="00086C5E" w:rsidRPr="005725D4">
        <w:rPr>
          <w:rFonts w:cs="Arial"/>
        </w:rPr>
        <w:t xml:space="preserve">human </w:t>
      </w:r>
      <w:r w:rsidR="005725D4" w:rsidRPr="005725D4">
        <w:rPr>
          <w:rFonts w:cs="Arial"/>
        </w:rPr>
        <w:t>double-blind</w:t>
      </w:r>
      <w:r w:rsidR="00086C5E" w:rsidRPr="005725D4">
        <w:rPr>
          <w:rFonts w:cs="Arial"/>
        </w:rPr>
        <w:t xml:space="preserve"> study (</w:t>
      </w:r>
      <w:r w:rsidR="005725D4">
        <w:rPr>
          <w:rFonts w:cs="Arial"/>
        </w:rPr>
        <w:t>ACGIH, 2018</w:t>
      </w:r>
      <w:r w:rsidR="00086C5E" w:rsidRPr="005725D4">
        <w:rPr>
          <w:rFonts w:cs="Arial"/>
        </w:rPr>
        <w:t>)</w:t>
      </w:r>
      <w:r w:rsidR="00763563">
        <w:rPr>
          <w:rFonts w:cs="Arial"/>
        </w:rPr>
        <w:t xml:space="preserve"> with slight eye irritation </w:t>
      </w:r>
      <w:r w:rsidR="000A78DB">
        <w:rPr>
          <w:rFonts w:cs="Arial"/>
        </w:rPr>
        <w:t xml:space="preserve">reported </w:t>
      </w:r>
      <w:r w:rsidR="00763563">
        <w:rPr>
          <w:rFonts w:cs="Arial"/>
        </w:rPr>
        <w:t>at 150 ppm</w:t>
      </w:r>
      <w:r w:rsidR="00563F6B">
        <w:rPr>
          <w:rFonts w:cs="Arial"/>
        </w:rPr>
        <w:t>.</w:t>
      </w:r>
      <w:r w:rsidR="005725D4">
        <w:rPr>
          <w:rFonts w:cs="Arial"/>
        </w:rPr>
        <w:t xml:space="preserve"> </w:t>
      </w:r>
      <w:r w:rsidR="00563F6B">
        <w:rPr>
          <w:rFonts w:cs="Arial"/>
        </w:rPr>
        <w:t>H</w:t>
      </w:r>
      <w:r w:rsidR="005725D4">
        <w:rPr>
          <w:rFonts w:cs="Arial"/>
        </w:rPr>
        <w:t>owever</w:t>
      </w:r>
      <w:r w:rsidR="00563F6B">
        <w:rPr>
          <w:rFonts w:cs="Arial"/>
        </w:rPr>
        <w:t>,</w:t>
      </w:r>
      <w:r w:rsidR="005725D4">
        <w:rPr>
          <w:rFonts w:cs="Arial"/>
        </w:rPr>
        <w:t xml:space="preserve"> SCOEL (1999)</w:t>
      </w:r>
      <w:r w:rsidR="00086C5E" w:rsidRPr="005725D4">
        <w:rPr>
          <w:rFonts w:cs="Arial"/>
        </w:rPr>
        <w:t xml:space="preserve"> expressed concerns with this study due to potential subjective bias through odour detection in a small number of subjects. </w:t>
      </w:r>
      <w:r w:rsidR="00F316F9" w:rsidRPr="005725D4">
        <w:t>C</w:t>
      </w:r>
      <w:r w:rsidR="00217441" w:rsidRPr="005725D4">
        <w:t>entral nervous system (C</w:t>
      </w:r>
      <w:r w:rsidR="00F316F9" w:rsidRPr="005725D4">
        <w:t>NS</w:t>
      </w:r>
      <w:r w:rsidR="00217441" w:rsidRPr="005725D4">
        <w:t>)</w:t>
      </w:r>
      <w:r w:rsidR="00F316F9" w:rsidRPr="005725D4">
        <w:t xml:space="preserve"> depression is noted at </w:t>
      </w:r>
      <w:r w:rsidR="002A310C" w:rsidRPr="005725D4">
        <w:t xml:space="preserve">exposures </w:t>
      </w:r>
      <w:r w:rsidR="00C4493B">
        <w:t>of</w:t>
      </w:r>
      <w:r w:rsidR="002A310C" w:rsidRPr="005725D4">
        <w:t xml:space="preserve"> </w:t>
      </w:r>
      <w:r w:rsidR="00C4493B" w:rsidRPr="005725D4">
        <w:t>1,000 ppm</w:t>
      </w:r>
      <w:r w:rsidR="000A78DB">
        <w:t>. This concentration is</w:t>
      </w:r>
      <w:r w:rsidR="00C4493B">
        <w:t xml:space="preserve"> t</w:t>
      </w:r>
      <w:r w:rsidR="00963F99">
        <w:t xml:space="preserve">en </w:t>
      </w:r>
      <w:r w:rsidR="002A310C" w:rsidRPr="005725D4">
        <w:t xml:space="preserve">times the </w:t>
      </w:r>
      <w:r w:rsidR="00C4493B">
        <w:t xml:space="preserve">current </w:t>
      </w:r>
      <w:r w:rsidR="000A78DB">
        <w:t xml:space="preserve">SWA </w:t>
      </w:r>
      <w:r w:rsidR="002A310C" w:rsidRPr="005725D4">
        <w:t>TWA</w:t>
      </w:r>
      <w:r w:rsidR="0014177A" w:rsidRPr="005725D4">
        <w:t xml:space="preserve"> </w:t>
      </w:r>
      <w:r w:rsidR="00C4493B">
        <w:t xml:space="preserve">and </w:t>
      </w:r>
      <w:r w:rsidR="003E02A1">
        <w:t>o</w:t>
      </w:r>
      <w:r w:rsidR="00C4493B">
        <w:t xml:space="preserve">ccupational </w:t>
      </w:r>
      <w:r w:rsidR="003E02A1">
        <w:t>e</w:t>
      </w:r>
      <w:r w:rsidR="00C4493B">
        <w:t xml:space="preserve">xposure </w:t>
      </w:r>
      <w:r w:rsidR="003E02A1">
        <w:t>l</w:t>
      </w:r>
      <w:r w:rsidR="00C4493B">
        <w:t xml:space="preserve">evels by DFG (1984) and SCOEL </w:t>
      </w:r>
      <w:r w:rsidR="0014177A" w:rsidRPr="005725D4">
        <w:t>(</w:t>
      </w:r>
      <w:r w:rsidR="00C4493B">
        <w:t>1989</w:t>
      </w:r>
      <w:r w:rsidR="0014177A" w:rsidRPr="005725D4">
        <w:t>)</w:t>
      </w:r>
      <w:r w:rsidR="000A78DB">
        <w:t>.</w:t>
      </w:r>
      <w:r w:rsidR="005725D4">
        <w:t xml:space="preserve"> </w:t>
      </w:r>
      <w:r w:rsidR="000A78DB">
        <w:t>H</w:t>
      </w:r>
      <w:r w:rsidR="002A310C" w:rsidRPr="005725D4">
        <w:t>owever</w:t>
      </w:r>
      <w:r w:rsidR="000A78DB">
        <w:t>,</w:t>
      </w:r>
      <w:r w:rsidR="002A310C" w:rsidRPr="005725D4">
        <w:t xml:space="preserve"> the </w:t>
      </w:r>
      <w:r w:rsidR="009E4B1B" w:rsidRPr="005725D4">
        <w:t xml:space="preserve">irritant effects reported at concentrations </w:t>
      </w:r>
      <w:r w:rsidR="00D646B0">
        <w:t xml:space="preserve">are </w:t>
      </w:r>
      <w:r w:rsidR="00C2299F">
        <w:t xml:space="preserve">one </w:t>
      </w:r>
      <w:r w:rsidR="009E4B1B" w:rsidRPr="005725D4">
        <w:t>order of magnitude lower than this value.</w:t>
      </w:r>
    </w:p>
    <w:p w14:paraId="384418ED" w14:textId="4FE5DAD6" w:rsidR="00086C5E" w:rsidRPr="005725D4" w:rsidRDefault="00976DF4" w:rsidP="006639B4">
      <w:pPr>
        <w:rPr>
          <w:rFonts w:cs="Arial"/>
        </w:rPr>
      </w:pPr>
      <w:r>
        <w:rPr>
          <w:rFonts w:cs="Arial"/>
        </w:rPr>
        <w:lastRenderedPageBreak/>
        <w:t xml:space="preserve">The current TWA </w:t>
      </w:r>
      <w:r w:rsidR="00482024" w:rsidRPr="005725D4">
        <w:rPr>
          <w:rFonts w:cs="Arial"/>
        </w:rPr>
        <w:t>of 100 ppm</w:t>
      </w:r>
      <w:r>
        <w:rPr>
          <w:rFonts w:cs="Arial"/>
        </w:rPr>
        <w:t xml:space="preserve"> derived </w:t>
      </w:r>
      <w:r w:rsidR="00B92F48">
        <w:t xml:space="preserve">by DFG (1984) and SCOEL </w:t>
      </w:r>
      <w:r w:rsidR="00B92F48" w:rsidRPr="005725D4">
        <w:t>(</w:t>
      </w:r>
      <w:r w:rsidR="00B92F48">
        <w:t>1989</w:t>
      </w:r>
      <w:r w:rsidR="00B92F48" w:rsidRPr="005725D4">
        <w:t>)</w:t>
      </w:r>
      <w:r w:rsidR="00B92F48">
        <w:t xml:space="preserve"> is recommended </w:t>
      </w:r>
      <w:r w:rsidR="00CF42FA">
        <w:t xml:space="preserve">to </w:t>
      </w:r>
      <w:r w:rsidR="00B92F48">
        <w:t>be retained</w:t>
      </w:r>
      <w:r w:rsidR="005548AA">
        <w:t xml:space="preserve"> to protect for irritation effects in exposed workers</w:t>
      </w:r>
      <w:r w:rsidR="00CF42FA">
        <w:t>.</w:t>
      </w:r>
      <w:r w:rsidR="00B92F48">
        <w:rPr>
          <w:rFonts w:cs="Arial"/>
        </w:rPr>
        <w:t xml:space="preserve"> </w:t>
      </w:r>
      <w:r w:rsidR="00CF42FA">
        <w:rPr>
          <w:rFonts w:cs="Arial"/>
        </w:rPr>
        <w:t>A</w:t>
      </w:r>
      <w:r w:rsidR="00482024" w:rsidRPr="005725D4">
        <w:rPr>
          <w:rFonts w:cs="Arial"/>
        </w:rPr>
        <w:t xml:space="preserve"> STEL </w:t>
      </w:r>
      <w:r w:rsidR="00CF42FA">
        <w:rPr>
          <w:rFonts w:cs="Arial"/>
        </w:rPr>
        <w:t>of</w:t>
      </w:r>
      <w:r w:rsidR="00CF42FA" w:rsidRPr="005725D4">
        <w:rPr>
          <w:rFonts w:cs="Arial"/>
        </w:rPr>
        <w:t xml:space="preserve"> </w:t>
      </w:r>
      <w:r w:rsidR="00B92F48" w:rsidRPr="005725D4">
        <w:rPr>
          <w:rFonts w:cs="Arial"/>
        </w:rPr>
        <w:t>1</w:t>
      </w:r>
      <w:r w:rsidR="00B92F48">
        <w:rPr>
          <w:rFonts w:cs="Arial"/>
        </w:rPr>
        <w:t>5</w:t>
      </w:r>
      <w:r w:rsidR="00B92F48" w:rsidRPr="005725D4">
        <w:rPr>
          <w:rFonts w:cs="Arial"/>
        </w:rPr>
        <w:t xml:space="preserve">0 </w:t>
      </w:r>
      <w:r w:rsidR="00482024" w:rsidRPr="005725D4">
        <w:rPr>
          <w:rFonts w:cs="Arial"/>
        </w:rPr>
        <w:t>ppm</w:t>
      </w:r>
      <w:r w:rsidR="00B92F48">
        <w:rPr>
          <w:rFonts w:cs="Arial"/>
        </w:rPr>
        <w:t xml:space="preserve"> by </w:t>
      </w:r>
      <w:r w:rsidR="00B92F48">
        <w:t xml:space="preserve">SCOEL </w:t>
      </w:r>
      <w:r w:rsidR="00B92F48" w:rsidRPr="005725D4">
        <w:t>(</w:t>
      </w:r>
      <w:r w:rsidR="00B92F48">
        <w:t xml:space="preserve">1989) </w:t>
      </w:r>
      <w:r w:rsidR="00CF42FA">
        <w:t xml:space="preserve">is also recommended </w:t>
      </w:r>
      <w:r w:rsidR="00B92F48">
        <w:t>to protect against adverse effects at higher concentrations</w:t>
      </w:r>
      <w:r w:rsidR="00482024" w:rsidRPr="005725D4">
        <w:rPr>
          <w:rFonts w:cs="Arial"/>
        </w:rPr>
        <w:t xml:space="preserve">. </w:t>
      </w:r>
    </w:p>
    <w:p w14:paraId="20F6DB1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E442A89" w14:textId="5EEA0BB1" w:rsidR="00510989" w:rsidRPr="009475A9" w:rsidRDefault="00510989" w:rsidP="00510989">
      <w:pPr>
        <w:rPr>
          <w:rFonts w:cs="Arial"/>
        </w:rPr>
      </w:pPr>
      <w:r w:rsidRPr="009475A9">
        <w:rPr>
          <w:rFonts w:cs="Arial"/>
        </w:rPr>
        <w:t>Not classified as a carcinogen according to the Globally Harmonized System of Classification and Labelling o</w:t>
      </w:r>
      <w:r w:rsidR="00CE5651">
        <w:rPr>
          <w:rFonts w:cs="Arial"/>
        </w:rPr>
        <w:t>f</w:t>
      </w:r>
      <w:r w:rsidRPr="009475A9">
        <w:rPr>
          <w:rFonts w:cs="Arial"/>
        </w:rPr>
        <w:t xml:space="preserve"> Chemicals (GHS). </w:t>
      </w:r>
    </w:p>
    <w:p w14:paraId="382083D7" w14:textId="53CB519C" w:rsidR="00510989" w:rsidRPr="009475A9" w:rsidRDefault="00510989" w:rsidP="00510989">
      <w:pPr>
        <w:rPr>
          <w:rFonts w:cs="Arial"/>
        </w:rPr>
      </w:pPr>
      <w:r w:rsidRPr="009475A9">
        <w:rPr>
          <w:rFonts w:cs="Arial"/>
        </w:rPr>
        <w:t xml:space="preserve">Not classified as a skin </w:t>
      </w:r>
      <w:r w:rsidR="00CE5651">
        <w:rPr>
          <w:rFonts w:cs="Arial"/>
        </w:rPr>
        <w:t xml:space="preserve">sensitiser </w:t>
      </w:r>
      <w:r w:rsidRPr="009475A9">
        <w:rPr>
          <w:rFonts w:cs="Arial"/>
        </w:rPr>
        <w:t>or respiratory sensitiser according to the GHS.</w:t>
      </w:r>
    </w:p>
    <w:p w14:paraId="4B7481D5" w14:textId="77777777" w:rsidR="006E6CCE" w:rsidRDefault="006E6CCE" w:rsidP="006E6CCE">
      <w:pPr>
        <w:rPr>
          <w:rFonts w:cs="Arial"/>
        </w:rPr>
      </w:pPr>
      <w:r>
        <w:rPr>
          <w:rFonts w:cs="Arial"/>
        </w:rPr>
        <w:t>There are insufficient data to recommend a skin notation.</w:t>
      </w:r>
    </w:p>
    <w:p w14:paraId="02224A41" w14:textId="77777777" w:rsidR="0025734A" w:rsidRPr="004C23F4" w:rsidRDefault="0025734A">
      <w:pPr>
        <w:rPr>
          <w:rFonts w:cs="Arial"/>
        </w:rPr>
      </w:pPr>
    </w:p>
    <w:p w14:paraId="7A053E1B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62C84E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4F3456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26C9A2C" w14:textId="77777777" w:rsidTr="000531C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3BA055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lastRenderedPageBreak/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2FB9928" w14:textId="77777777" w:rsidTr="000531CA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B637E93" w14:textId="74C6DA2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E3A97">
                  <w:t>1991</w:t>
                </w:r>
              </w:sdtContent>
            </w:sdt>
            <w:r w:rsidRPr="003365A5"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E3A97">
                  <w:t>TWA: 100 ppm (369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>); STEL: 150 ppm (553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>)</w:t>
                </w:r>
              </w:sdtContent>
            </w:sdt>
          </w:p>
        </w:tc>
      </w:tr>
      <w:tr w:rsidR="00C978F0" w:rsidRPr="00DA352E" w14:paraId="396FDF1C" w14:textId="77777777" w:rsidTr="000531CA">
        <w:trPr>
          <w:gridAfter w:val="1"/>
          <w:wAfter w:w="8" w:type="pct"/>
          <w:cantSplit/>
        </w:trPr>
        <w:tc>
          <w:tcPr>
            <w:tcW w:w="4992" w:type="pct"/>
          </w:tcPr>
          <w:p w14:paraId="41C50159" w14:textId="77777777" w:rsidR="00C978F0" w:rsidRDefault="00C978F0" w:rsidP="003365A5">
            <w:pPr>
              <w:pStyle w:val="Tabletextprimarysource"/>
            </w:pPr>
          </w:p>
          <w:p w14:paraId="016D3EA2" w14:textId="77777777" w:rsidR="009F533E" w:rsidRPr="009F533E" w:rsidRDefault="009F533E" w:rsidP="009F533E"/>
          <w:p w14:paraId="7B4FB246" w14:textId="77777777" w:rsidR="009F533E" w:rsidRPr="009F533E" w:rsidRDefault="009F533E" w:rsidP="009F533E"/>
          <w:p w14:paraId="634CB9A3" w14:textId="77777777" w:rsidR="009F533E" w:rsidRPr="009F533E" w:rsidRDefault="009F533E" w:rsidP="009F533E"/>
          <w:p w14:paraId="2503FF18" w14:textId="77777777" w:rsidR="009F533E" w:rsidRPr="009F533E" w:rsidRDefault="009F533E" w:rsidP="009F533E"/>
          <w:p w14:paraId="2193ECFB" w14:textId="77777777" w:rsidR="009F533E" w:rsidRPr="009F533E" w:rsidRDefault="009F533E" w:rsidP="009F533E"/>
          <w:p w14:paraId="1F78E9D9" w14:textId="77777777" w:rsidR="009F533E" w:rsidRPr="009F533E" w:rsidRDefault="009F533E" w:rsidP="009F533E"/>
          <w:p w14:paraId="0279497C" w14:textId="77777777" w:rsidR="009F533E" w:rsidRPr="009F533E" w:rsidRDefault="009F533E" w:rsidP="009F533E"/>
          <w:p w14:paraId="0FD14263" w14:textId="77777777" w:rsidR="009F533E" w:rsidRPr="009F533E" w:rsidRDefault="009F533E" w:rsidP="009F533E"/>
          <w:p w14:paraId="348066F3" w14:textId="77777777" w:rsidR="009F533E" w:rsidRPr="009F533E" w:rsidRDefault="009F533E" w:rsidP="009F533E"/>
          <w:p w14:paraId="667E44FD" w14:textId="77777777" w:rsidR="009F533E" w:rsidRPr="009F533E" w:rsidRDefault="009F533E" w:rsidP="009F533E"/>
          <w:p w14:paraId="742B83AD" w14:textId="77777777" w:rsidR="009F533E" w:rsidRPr="009F533E" w:rsidRDefault="009F533E" w:rsidP="009F533E"/>
          <w:p w14:paraId="50C6498A" w14:textId="77777777" w:rsidR="009F533E" w:rsidRPr="009F533E" w:rsidRDefault="009F533E" w:rsidP="009F533E"/>
          <w:p w14:paraId="390106FB" w14:textId="77777777" w:rsidR="009F533E" w:rsidRPr="009F533E" w:rsidRDefault="009F533E" w:rsidP="009F533E"/>
          <w:p w14:paraId="75E718C1" w14:textId="77777777" w:rsidR="009F533E" w:rsidRPr="009F533E" w:rsidRDefault="009F533E" w:rsidP="009F533E"/>
          <w:p w14:paraId="4AB07BB9" w14:textId="77777777" w:rsidR="009F533E" w:rsidRPr="009F533E" w:rsidRDefault="009F533E" w:rsidP="009F533E"/>
          <w:p w14:paraId="32FAB829" w14:textId="77777777" w:rsidR="009F533E" w:rsidRPr="009F533E" w:rsidRDefault="009F533E" w:rsidP="009F533E"/>
          <w:p w14:paraId="2C057581" w14:textId="77777777" w:rsidR="009F533E" w:rsidRPr="009F533E" w:rsidRDefault="009F533E" w:rsidP="009F533E"/>
          <w:p w14:paraId="1D22F76A" w14:textId="77777777" w:rsidR="009F533E" w:rsidRPr="009F533E" w:rsidRDefault="009F533E" w:rsidP="009F533E"/>
          <w:p w14:paraId="2CC0E260" w14:textId="77777777" w:rsidR="009F533E" w:rsidRPr="009F533E" w:rsidRDefault="009F533E" w:rsidP="009F533E"/>
          <w:p w14:paraId="251894FC" w14:textId="77777777" w:rsidR="009F533E" w:rsidRPr="009F533E" w:rsidRDefault="009F533E" w:rsidP="009F533E"/>
          <w:p w14:paraId="2F297DFC" w14:textId="77777777" w:rsidR="009F533E" w:rsidRPr="009F533E" w:rsidRDefault="009F533E" w:rsidP="009F533E"/>
          <w:p w14:paraId="6BE812CA" w14:textId="77777777" w:rsidR="009F533E" w:rsidRPr="009F533E" w:rsidRDefault="009F533E" w:rsidP="009F533E"/>
          <w:p w14:paraId="60719811" w14:textId="77777777" w:rsidR="009F533E" w:rsidRPr="009F533E" w:rsidRDefault="009F533E" w:rsidP="009F533E"/>
          <w:p w14:paraId="3BC3BC7D" w14:textId="77777777" w:rsidR="009F533E" w:rsidRPr="009F533E" w:rsidRDefault="009F533E" w:rsidP="009F533E"/>
          <w:p w14:paraId="59B1FFAB" w14:textId="77777777" w:rsidR="009F533E" w:rsidRPr="009F533E" w:rsidRDefault="009F533E" w:rsidP="009F533E"/>
          <w:p w14:paraId="4581D6E7" w14:textId="77777777" w:rsidR="009F533E" w:rsidRPr="009F533E" w:rsidRDefault="009F533E" w:rsidP="009F533E"/>
          <w:p w14:paraId="1C6C02E5" w14:textId="77777777" w:rsidR="009F533E" w:rsidRPr="009F533E" w:rsidRDefault="009F533E" w:rsidP="009F533E"/>
          <w:p w14:paraId="0619C9C2" w14:textId="77777777" w:rsidR="009F533E" w:rsidRPr="009F533E" w:rsidRDefault="009F533E" w:rsidP="009F533E"/>
          <w:p w14:paraId="75CFD4DD" w14:textId="77777777" w:rsidR="009F533E" w:rsidRPr="009F533E" w:rsidRDefault="009F533E" w:rsidP="009F533E"/>
          <w:p w14:paraId="6D84B87C" w14:textId="77777777" w:rsidR="009F533E" w:rsidRPr="009F533E" w:rsidRDefault="009F533E" w:rsidP="009F533E"/>
          <w:p w14:paraId="6438FEC2" w14:textId="77777777" w:rsidR="009F533E" w:rsidRDefault="009F533E" w:rsidP="009F533E"/>
          <w:p w14:paraId="7E0D80A1" w14:textId="77777777" w:rsidR="009F533E" w:rsidRPr="009F533E" w:rsidRDefault="009F533E" w:rsidP="009F533E"/>
          <w:p w14:paraId="6B18B110" w14:textId="77777777" w:rsidR="009F533E" w:rsidRPr="009F533E" w:rsidRDefault="009F533E" w:rsidP="009F533E"/>
          <w:p w14:paraId="492F5F82" w14:textId="77777777" w:rsidR="009F533E" w:rsidRPr="009F533E" w:rsidRDefault="009F533E" w:rsidP="009F533E"/>
        </w:tc>
      </w:tr>
      <w:tr w:rsidR="00C978F0" w:rsidRPr="00DA352E" w14:paraId="08B3A0F3" w14:textId="77777777" w:rsidTr="000531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CF09B2" w14:textId="3C4EF43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E3A97">
                  <w:t>2013</w:t>
                </w:r>
              </w:sdtContent>
            </w:sdt>
            <w:r w:rsidR="00916EC0" w:rsidRPr="003365A5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E3A97">
                  <w:t>TLV-TWA: 50 ppm (184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>); TLV-STEL: 100 ppm (369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>)</w:t>
                </w:r>
              </w:sdtContent>
            </w:sdt>
          </w:p>
        </w:tc>
      </w:tr>
      <w:tr w:rsidR="00C978F0" w:rsidRPr="00DA352E" w14:paraId="1641A044" w14:textId="77777777" w:rsidTr="000531CA">
        <w:trPr>
          <w:gridAfter w:val="1"/>
          <w:wAfter w:w="8" w:type="pct"/>
          <w:cantSplit/>
        </w:trPr>
        <w:tc>
          <w:tcPr>
            <w:tcW w:w="4992" w:type="pct"/>
          </w:tcPr>
          <w:p w14:paraId="08B9E548" w14:textId="2D57D2A0" w:rsidR="00C978F0" w:rsidRDefault="001A60DD" w:rsidP="003365A5">
            <w:pPr>
              <w:pStyle w:val="Tabletextprimarysource"/>
            </w:pPr>
            <w:r>
              <w:t xml:space="preserve">TLV-TWA </w:t>
            </w:r>
            <w:r w:rsidR="000319A0">
              <w:t>recommended on data from human volunteer studies to protect from eye and upper respiratory tract irritation.</w:t>
            </w:r>
          </w:p>
          <w:p w14:paraId="631F6B9F" w14:textId="3D89DF0F" w:rsidR="000319A0" w:rsidRDefault="000319A0" w:rsidP="003365A5">
            <w:pPr>
              <w:pStyle w:val="Tabletextprimarysource"/>
            </w:pPr>
            <w:r>
              <w:t>The TLV-STEL</w:t>
            </w:r>
            <w:r w:rsidR="002B2274">
              <w:t xml:space="preserve"> is recommended to protect against liver, kidney and lung effects observed in animal inhalation studie</w:t>
            </w:r>
            <w:r w:rsidR="00647966">
              <w:t>s</w:t>
            </w:r>
            <w:r w:rsidR="002B2274">
              <w:t>.</w:t>
            </w:r>
          </w:p>
          <w:p w14:paraId="63DD7E9B" w14:textId="77777777" w:rsidR="00022D92" w:rsidRPr="00022D92" w:rsidRDefault="00022D92" w:rsidP="00022D92">
            <w:pPr>
              <w:spacing w:before="60" w:after="60"/>
            </w:pPr>
            <w:r w:rsidRPr="00022D92">
              <w:t>Human data:</w:t>
            </w:r>
          </w:p>
          <w:p w14:paraId="363F298C" w14:textId="7E7D6C18" w:rsidR="00217441" w:rsidRDefault="00217441" w:rsidP="005A250F">
            <w:pPr>
              <w:pStyle w:val="ListBullet"/>
              <w:spacing w:before="60" w:after="60"/>
              <w:ind w:left="640" w:hanging="283"/>
              <w:contextualSpacing w:val="0"/>
            </w:pPr>
            <w:r>
              <w:t>V</w:t>
            </w:r>
            <w:r w:rsidR="00022D92" w:rsidRPr="00022D92">
              <w:t>olunteers inhal</w:t>
            </w:r>
            <w:r>
              <w:t>ing</w:t>
            </w:r>
            <w:r w:rsidR="00260337">
              <w:t xml:space="preserve"> 50</w:t>
            </w:r>
            <w:r w:rsidR="00880231">
              <w:t>–</w:t>
            </w:r>
            <w:r w:rsidR="00260337">
              <w:t>2</w:t>
            </w:r>
            <w:r w:rsidR="00880231">
              <w:t>,</w:t>
            </w:r>
            <w:r w:rsidR="00260337">
              <w:t>000 ppm for 1</w:t>
            </w:r>
            <w:r w:rsidR="00880231">
              <w:t>–</w:t>
            </w:r>
            <w:r w:rsidR="00260337">
              <w:t>7 h</w:t>
            </w:r>
            <w:r w:rsidR="001365FF">
              <w:t xml:space="preserve"> </w:t>
            </w:r>
            <w:r>
              <w:t xml:space="preserve">(1970 study) </w:t>
            </w:r>
            <w:r w:rsidR="001365FF">
              <w:t xml:space="preserve">used for determining </w:t>
            </w:r>
            <w:r w:rsidR="00FC1930">
              <w:t>TLV-</w:t>
            </w:r>
            <w:r w:rsidR="001365FF">
              <w:t>TW</w:t>
            </w:r>
            <w:r w:rsidR="00FC1930">
              <w:t>A</w:t>
            </w:r>
            <w:r w:rsidR="00EC13E8">
              <w:t xml:space="preserve"> based on subjective responses</w:t>
            </w:r>
            <w:r w:rsidR="005548AA">
              <w:t>:</w:t>
            </w:r>
            <w:r w:rsidR="00691D44">
              <w:t xml:space="preserve"> </w:t>
            </w:r>
          </w:p>
          <w:p w14:paraId="4F41E435" w14:textId="49847DFD" w:rsidR="002B2274" w:rsidRDefault="00217441" w:rsidP="005A250F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o</w:t>
            </w:r>
            <w:r w:rsidR="00691D44">
              <w:t>dour tolerance</w:t>
            </w:r>
            <w:r w:rsidR="00FF1F9D">
              <w:t xml:space="preserve"> identified at 100 ppm</w:t>
            </w:r>
          </w:p>
          <w:p w14:paraId="4779D7EC" w14:textId="1B0D08C7" w:rsidR="00FC1930" w:rsidRDefault="00FC1930" w:rsidP="005A250F">
            <w:pPr>
              <w:pStyle w:val="ListBullet"/>
              <w:numPr>
                <w:ilvl w:val="0"/>
                <w:numId w:val="3"/>
              </w:numPr>
              <w:spacing w:before="60" w:after="60"/>
              <w:ind w:left="1097"/>
              <w:contextualSpacing w:val="0"/>
            </w:pPr>
            <w:r>
              <w:t>eye irritation reported by 2</w:t>
            </w:r>
            <w:r w:rsidR="00217441">
              <w:t>/</w:t>
            </w:r>
            <w:r>
              <w:t xml:space="preserve">6 volunteers after 2 </w:t>
            </w:r>
            <w:r w:rsidR="00012BD8">
              <w:t>h</w:t>
            </w:r>
            <w:r>
              <w:t xml:space="preserve"> exposure (unknown concentration)</w:t>
            </w:r>
          </w:p>
          <w:p w14:paraId="3E2A8687" w14:textId="550E2DED" w:rsidR="00FC1930" w:rsidRDefault="00012BD8" w:rsidP="005A250F">
            <w:pPr>
              <w:pStyle w:val="ListBullet"/>
              <w:numPr>
                <w:ilvl w:val="0"/>
                <w:numId w:val="3"/>
              </w:numPr>
              <w:spacing w:before="60" w:after="60"/>
              <w:ind w:left="1097"/>
              <w:contextualSpacing w:val="0"/>
            </w:pPr>
            <w:r>
              <w:t xml:space="preserve">eye and throat irritation with nausea and headaches reported </w:t>
            </w:r>
            <w:r w:rsidR="005005D4">
              <w:t xml:space="preserve">by 8 persons </w:t>
            </w:r>
            <w:r>
              <w:t>at 250 ppm (15</w:t>
            </w:r>
            <w:r w:rsidR="001E3B3A">
              <w:t>–</w:t>
            </w:r>
            <w:r>
              <w:t>30 min)</w:t>
            </w:r>
          </w:p>
          <w:p w14:paraId="1429F3D5" w14:textId="5E167BC7" w:rsidR="005005D4" w:rsidRDefault="005005D4" w:rsidP="005A250F">
            <w:pPr>
              <w:pStyle w:val="ListBullet"/>
              <w:numPr>
                <w:ilvl w:val="0"/>
                <w:numId w:val="3"/>
              </w:numPr>
              <w:spacing w:before="60" w:after="60"/>
              <w:ind w:left="1097"/>
              <w:contextualSpacing w:val="0"/>
            </w:pPr>
            <w:r>
              <w:t xml:space="preserve">extreme discomfort, lacrimation and </w:t>
            </w:r>
            <w:r w:rsidR="006A051A">
              <w:t>respiratory discomfort at 2</w:t>
            </w:r>
            <w:r w:rsidR="00EC13E8">
              <w:t>,</w:t>
            </w:r>
            <w:r w:rsidR="006A051A">
              <w:t>050 ppm</w:t>
            </w:r>
          </w:p>
          <w:p w14:paraId="11B0264E" w14:textId="1F97780E" w:rsidR="006A051A" w:rsidRDefault="00924E16" w:rsidP="009E4B1B">
            <w:pPr>
              <w:pStyle w:val="ListBullet"/>
              <w:spacing w:before="60" w:after="60"/>
              <w:ind w:left="640" w:hanging="283"/>
              <w:contextualSpacing w:val="0"/>
            </w:pPr>
            <w:r>
              <w:t>V</w:t>
            </w:r>
            <w:r w:rsidR="00F75967">
              <w:t xml:space="preserve">olunteers exposed to vapours in a double-blind test indicated no significant treatment related effects for any of three concentrations </w:t>
            </w:r>
            <w:r w:rsidR="00787B98">
              <w:t>(0, 100 and 150 ppm) with only slight eye effects reported at 150 ppm.</w:t>
            </w:r>
            <w:r w:rsidR="00F75967">
              <w:t xml:space="preserve"> </w:t>
            </w:r>
          </w:p>
          <w:p w14:paraId="79CB6B71" w14:textId="0161F59F" w:rsidR="00787B98" w:rsidRDefault="00970A0A" w:rsidP="009E4B1B">
            <w:pPr>
              <w:pStyle w:val="ListBullet"/>
              <w:spacing w:before="60" w:after="60"/>
              <w:ind w:left="640" w:hanging="283"/>
              <w:contextualSpacing w:val="0"/>
            </w:pPr>
            <w:r w:rsidRPr="00970A0A">
              <w:rPr>
                <w:i/>
              </w:rPr>
              <w:t>In vitro</w:t>
            </w:r>
            <w:r>
              <w:t xml:space="preserve"> PGME exposure</w:t>
            </w:r>
            <w:r w:rsidR="00EF1785">
              <w:t>s</w:t>
            </w:r>
            <w:r>
              <w:t xml:space="preserve"> elicited pro-inflammatory cytokines in </w:t>
            </w:r>
            <w:r w:rsidR="00EF1785">
              <w:t>nasal mucosa cells</w:t>
            </w:r>
            <w:r w:rsidR="00890A10">
              <w:t xml:space="preserve"> at 100</w:t>
            </w:r>
            <w:r w:rsidR="0058557A">
              <w:t> </w:t>
            </w:r>
            <w:r w:rsidR="00890A10">
              <w:t>ppm</w:t>
            </w:r>
          </w:p>
          <w:p w14:paraId="2114D30E" w14:textId="42A46D19" w:rsidR="00EF1785" w:rsidRPr="00EF1785" w:rsidRDefault="00235564" w:rsidP="009E4B1B">
            <w:pPr>
              <w:pStyle w:val="ListBullet"/>
              <w:spacing w:before="60" w:after="60"/>
              <w:ind w:left="640" w:hanging="283"/>
              <w:contextualSpacing w:val="0"/>
            </w:pPr>
            <w:r>
              <w:t>Multiple metabolic studies conducted with i</w:t>
            </w:r>
            <w:r w:rsidR="00EF1785" w:rsidRPr="00EF1785">
              <w:t xml:space="preserve">nhalation </w:t>
            </w:r>
            <w:r w:rsidR="00EF1785">
              <w:t xml:space="preserve">average </w:t>
            </w:r>
            <w:r w:rsidR="00EF1785" w:rsidRPr="00EF1785">
              <w:t xml:space="preserve">uptake </w:t>
            </w:r>
            <w:r w:rsidR="00EF1785">
              <w:t>in male volunteers – 81.3%</w:t>
            </w:r>
            <w:r w:rsidR="00924E16">
              <w:t>.</w:t>
            </w:r>
          </w:p>
          <w:p w14:paraId="3669C527" w14:textId="348D693B" w:rsidR="00930ED9" w:rsidRDefault="006F6B5F" w:rsidP="003365A5">
            <w:pPr>
              <w:pStyle w:val="Tabletextprimarysource"/>
            </w:pPr>
            <w:r>
              <w:t>Animal data:</w:t>
            </w:r>
          </w:p>
          <w:p w14:paraId="300ADE24" w14:textId="6998EFF4" w:rsidR="006F6B5F" w:rsidRDefault="00671F6A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NO</w:t>
            </w:r>
            <w:r w:rsidR="00217441">
              <w:t>A</w:t>
            </w:r>
            <w:r>
              <w:t>E</w:t>
            </w:r>
            <w:r w:rsidR="00217441">
              <w:t>C</w:t>
            </w:r>
            <w:r>
              <w:t xml:space="preserve"> </w:t>
            </w:r>
            <w:r w:rsidR="00924E16">
              <w:t>of</w:t>
            </w:r>
            <w:r>
              <w:t xml:space="preserve"> 1</w:t>
            </w:r>
            <w:r w:rsidR="00EC2513">
              <w:t>,</w:t>
            </w:r>
            <w:r>
              <w:t xml:space="preserve">000 ppm </w:t>
            </w:r>
            <w:r w:rsidR="007E0CAD">
              <w:t>inhaled (female mice, 13</w:t>
            </w:r>
            <w:r w:rsidR="00217441">
              <w:t xml:space="preserve"> </w:t>
            </w:r>
            <w:proofErr w:type="spellStart"/>
            <w:r w:rsidR="007E0CAD">
              <w:t>w</w:t>
            </w:r>
            <w:r w:rsidR="00B92F48">
              <w:t>k</w:t>
            </w:r>
            <w:proofErr w:type="spellEnd"/>
            <w:r w:rsidR="007E0CAD">
              <w:t>)</w:t>
            </w:r>
          </w:p>
          <w:p w14:paraId="40E91B8D" w14:textId="2FEC2A13" w:rsidR="007B1D67" w:rsidRDefault="007B1D67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LD</w:t>
            </w:r>
            <w:r w:rsidRPr="007B1D67">
              <w:rPr>
                <w:vertAlign w:val="subscript"/>
              </w:rPr>
              <w:t>50</w:t>
            </w:r>
            <w:r>
              <w:t>: 12</w:t>
            </w:r>
            <w:r w:rsidR="001E3B3A">
              <w:t>–</w:t>
            </w:r>
            <w:r>
              <w:t>15</w:t>
            </w:r>
            <w:r w:rsidR="00B92F48">
              <w:t xml:space="preserve"> </w:t>
            </w:r>
            <w:r>
              <w:t>m</w:t>
            </w:r>
            <w:r w:rsidR="00924E16">
              <w:t>L</w:t>
            </w:r>
            <w:r>
              <w:t>/kg (rabbits, dermal)</w:t>
            </w:r>
          </w:p>
          <w:p w14:paraId="6B5ECCDE" w14:textId="4E119501" w:rsidR="00647966" w:rsidRDefault="00EC2513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CNS depression at 3,000 ppm (</w:t>
            </w:r>
            <w:r w:rsidR="006E6CCE">
              <w:t xml:space="preserve">inhalation, </w:t>
            </w:r>
            <w:r>
              <w:t xml:space="preserve">rats and rabbits, </w:t>
            </w:r>
            <w:r w:rsidR="00790443">
              <w:t>6</w:t>
            </w:r>
            <w:r w:rsidR="009B4114">
              <w:t xml:space="preserve"> </w:t>
            </w:r>
            <w:r w:rsidR="00790443">
              <w:t>h/d 5</w:t>
            </w:r>
            <w:r w:rsidR="009B4114">
              <w:t xml:space="preserve"> </w:t>
            </w:r>
            <w:r w:rsidR="00790443">
              <w:t>d/w for 13 w)</w:t>
            </w:r>
            <w:r w:rsidR="00647966">
              <w:t xml:space="preserve"> with increase liver weights of 6-8%</w:t>
            </w:r>
          </w:p>
          <w:p w14:paraId="637A00F9" w14:textId="2E2E3A50" w:rsidR="00647966" w:rsidRDefault="009B4114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liver weight increases in rabbits at 1,500 and 3,000 ppm and slight lungs changes (unspecified) (female 1</w:t>
            </w:r>
            <w:r w:rsidR="003429FD">
              <w:t>,</w:t>
            </w:r>
            <w:r>
              <w:t>500 ppm; male 3,000 ppm)</w:t>
            </w:r>
            <w:r w:rsidR="00647966">
              <w:t xml:space="preserve"> (</w:t>
            </w:r>
            <w:r>
              <w:t xml:space="preserve">inhalation, </w:t>
            </w:r>
            <w:r w:rsidR="00647966">
              <w:t xml:space="preserve">130 </w:t>
            </w:r>
            <w:r w:rsidR="00FC1548" w:rsidRPr="00FC1548">
              <w:t>exposures</w:t>
            </w:r>
            <w:r w:rsidR="00FC1548">
              <w:t xml:space="preserve"> of</w:t>
            </w:r>
            <w:r w:rsidR="004F11E9">
              <w:t xml:space="preserve"> </w:t>
            </w:r>
            <w:r w:rsidR="00647966">
              <w:t>7</w:t>
            </w:r>
            <w:r>
              <w:t xml:space="preserve"> </w:t>
            </w:r>
            <w:r w:rsidR="00647966">
              <w:t>h</w:t>
            </w:r>
            <w:r>
              <w:t>/</w:t>
            </w:r>
            <w:r w:rsidR="004F11E9">
              <w:t>d</w:t>
            </w:r>
            <w:r w:rsidR="00FC1548">
              <w:t xml:space="preserve"> for</w:t>
            </w:r>
            <w:r w:rsidR="004F11E9">
              <w:t xml:space="preserve"> </w:t>
            </w:r>
            <w:r w:rsidR="00647966">
              <w:t>184 d)</w:t>
            </w:r>
          </w:p>
          <w:p w14:paraId="0ABA3F7A" w14:textId="4450EFD8" w:rsidR="00790443" w:rsidRDefault="00790443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No indication of histo</w:t>
            </w:r>
            <w:r w:rsidR="002B312F">
              <w:t>pathology or haematological effects in kidneys (also supporting NOEL of 1,000 ppm)</w:t>
            </w:r>
          </w:p>
          <w:p w14:paraId="700E01A4" w14:textId="4BD42206" w:rsidR="002B312F" w:rsidRDefault="002B312F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Cytotoxic effects</w:t>
            </w:r>
            <w:r w:rsidR="00B27BC4">
              <w:t xml:space="preserve"> </w:t>
            </w:r>
            <w:r>
              <w:t xml:space="preserve">on </w:t>
            </w:r>
            <w:r w:rsidR="00B27BC4">
              <w:t>rat liver cells reported</w:t>
            </w:r>
            <w:r w:rsidR="00C328E5">
              <w:t xml:space="preserve"> (no further details)</w:t>
            </w:r>
          </w:p>
          <w:p w14:paraId="12F967DA" w14:textId="2D6601E6" w:rsidR="00B27BC4" w:rsidRDefault="00B27BC4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 xml:space="preserve">Not mutagenic in five </w:t>
            </w:r>
            <w:r w:rsidR="00924E16">
              <w:rPr>
                <w:i/>
              </w:rPr>
              <w:t>S.</w:t>
            </w:r>
            <w:r w:rsidRPr="00B27BC4">
              <w:rPr>
                <w:i/>
              </w:rPr>
              <w:t xml:space="preserve"> typhimurium</w:t>
            </w:r>
            <w:r>
              <w:t xml:space="preserve"> strains with and without S9 activation</w:t>
            </w:r>
          </w:p>
          <w:p w14:paraId="777096E9" w14:textId="474459BD" w:rsidR="00B27BC4" w:rsidRDefault="00A7751F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 xml:space="preserve">No </w:t>
            </w:r>
            <w:r w:rsidRPr="00A7751F">
              <w:rPr>
                <w:i/>
              </w:rPr>
              <w:t xml:space="preserve">in vitro </w:t>
            </w:r>
            <w:r>
              <w:t>increase in frequency of micronuclei transformation in Syrian Hamster Embryo (SHE) cells</w:t>
            </w:r>
          </w:p>
          <w:p w14:paraId="243388B2" w14:textId="5F5E8822" w:rsidR="00A7751F" w:rsidRDefault="00A7751F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No reproductive effects observed</w:t>
            </w:r>
            <w:r w:rsidR="00FF644D">
              <w:t xml:space="preserve"> (Wistar rats, inhalation) </w:t>
            </w:r>
          </w:p>
          <w:p w14:paraId="4899644E" w14:textId="28F9AD0D" w:rsidR="0039688E" w:rsidRPr="00EF1785" w:rsidRDefault="00ED5354" w:rsidP="00881E6B">
            <w:pPr>
              <w:pStyle w:val="ListBullet"/>
              <w:spacing w:before="60" w:after="60"/>
              <w:ind w:left="732" w:hanging="335"/>
              <w:contextualSpacing w:val="0"/>
            </w:pPr>
            <w:r>
              <w:t>Slight to moderate irritation observed in scarified rabbit skin after 24</w:t>
            </w:r>
            <w:r w:rsidR="00B92F48">
              <w:t xml:space="preserve"> </w:t>
            </w:r>
            <w:r>
              <w:t>h.</w:t>
            </w:r>
          </w:p>
          <w:p w14:paraId="5A5A59D9" w14:textId="77777777" w:rsidR="00217441" w:rsidRDefault="00217441" w:rsidP="005A250F">
            <w:pPr>
              <w:pStyle w:val="Tabletextprimarysource"/>
              <w:ind w:left="357"/>
              <w:contextualSpacing/>
            </w:pPr>
          </w:p>
          <w:p w14:paraId="10FDD28B" w14:textId="77777777" w:rsidR="00930ED9" w:rsidRDefault="00924E16" w:rsidP="005A250F">
            <w:pPr>
              <w:pStyle w:val="Tabletextprimarysource"/>
              <w:contextualSpacing/>
            </w:pPr>
            <w:r>
              <w:t>There is insufficient data available to recommend Skin, DSEN or RSEN notations.</w:t>
            </w:r>
          </w:p>
          <w:p w14:paraId="3F17AB0F" w14:textId="77777777" w:rsidR="005A250F" w:rsidRDefault="005A250F" w:rsidP="005A250F">
            <w:pPr>
              <w:pStyle w:val="Tabletextprimarysource"/>
            </w:pPr>
          </w:p>
          <w:p w14:paraId="42BCDBF9" w14:textId="77777777" w:rsidR="009F533E" w:rsidRPr="009F533E" w:rsidRDefault="009F533E" w:rsidP="009F533E"/>
          <w:p w14:paraId="2625BA10" w14:textId="77777777" w:rsidR="009F533E" w:rsidRPr="009F533E" w:rsidRDefault="009F533E" w:rsidP="009F533E"/>
          <w:p w14:paraId="6E322EFD" w14:textId="16889661" w:rsidR="009F533E" w:rsidRPr="009F533E" w:rsidRDefault="009F533E" w:rsidP="009F533E"/>
        </w:tc>
      </w:tr>
      <w:tr w:rsidR="00C978F0" w:rsidRPr="00DA352E" w14:paraId="25C3604C" w14:textId="77777777" w:rsidTr="000531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AE0A05" w14:textId="65B0C9D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E3A97">
                  <w:t>1984</w:t>
                </w:r>
              </w:sdtContent>
            </w:sdt>
            <w:r w:rsidR="00916EC0" w:rsidRPr="003365A5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E3A97">
                  <w:t>MAK: 100 ppm (370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>)</w:t>
                </w:r>
              </w:sdtContent>
            </w:sdt>
          </w:p>
        </w:tc>
      </w:tr>
      <w:tr w:rsidR="00C978F0" w:rsidRPr="00DA352E" w14:paraId="0E01B051" w14:textId="77777777" w:rsidTr="000531CA">
        <w:trPr>
          <w:gridAfter w:val="1"/>
          <w:wAfter w:w="8" w:type="pct"/>
        </w:trPr>
        <w:tc>
          <w:tcPr>
            <w:tcW w:w="4992" w:type="pct"/>
          </w:tcPr>
          <w:p w14:paraId="25922230" w14:textId="3C115220" w:rsidR="00C978F0" w:rsidRDefault="00261631" w:rsidP="003365A5">
            <w:pPr>
              <w:pStyle w:val="Tabletextprimarysource"/>
            </w:pPr>
            <w:r>
              <w:t xml:space="preserve">MAK value recommended to adequately protect exposed workers from </w:t>
            </w:r>
            <w:r w:rsidR="00924E16">
              <w:t xml:space="preserve">irritation to </w:t>
            </w:r>
            <w:r>
              <w:t>eyes and respiratory tract.</w:t>
            </w:r>
          </w:p>
          <w:p w14:paraId="318A89FF" w14:textId="77777777" w:rsidR="001F4A35" w:rsidRDefault="001F4A35" w:rsidP="001F4A35">
            <w:pPr>
              <w:pStyle w:val="Tabletextprimarysource"/>
            </w:pPr>
            <w:r>
              <w:t>Summary of additional data:</w:t>
            </w:r>
          </w:p>
          <w:p w14:paraId="7AB58B35" w14:textId="3D61DA0B" w:rsidR="00261631" w:rsidRDefault="00261631" w:rsidP="003365A5">
            <w:pPr>
              <w:pStyle w:val="Tabletextprimarysource"/>
            </w:pPr>
            <w:r>
              <w:lastRenderedPageBreak/>
              <w:t xml:space="preserve">Systemic effects </w:t>
            </w:r>
            <w:r w:rsidR="006E6CCE">
              <w:t xml:space="preserve">from inhalation </w:t>
            </w:r>
            <w:r>
              <w:t xml:space="preserve">(CNS depression) not expected </w:t>
            </w:r>
            <w:r w:rsidR="00924E16">
              <w:t>&lt;</w:t>
            </w:r>
            <w:r>
              <w:t>1,000 ppm.</w:t>
            </w:r>
          </w:p>
          <w:p w14:paraId="3962F60B" w14:textId="48EB93B2" w:rsidR="00261631" w:rsidRDefault="00D92999" w:rsidP="003365A5">
            <w:pPr>
              <w:pStyle w:val="Tabletextprimarysource"/>
            </w:pPr>
            <w:r>
              <w:t>Negative results only identified in reproductive and teratogenicity studies in two animal species</w:t>
            </w:r>
            <w:r w:rsidR="00924E16">
              <w:t xml:space="preserve"> (no further information)</w:t>
            </w:r>
            <w:r>
              <w:t>.</w:t>
            </w:r>
          </w:p>
          <w:p w14:paraId="53520E76" w14:textId="699CA496" w:rsidR="00D92999" w:rsidRPr="00DA352E" w:rsidRDefault="00D92999" w:rsidP="003365A5">
            <w:pPr>
              <w:pStyle w:val="Tabletextprimarysource"/>
              <w:contextualSpacing/>
            </w:pPr>
          </w:p>
        </w:tc>
      </w:tr>
      <w:tr w:rsidR="00C978F0" w:rsidRPr="00DA352E" w14:paraId="33F3FE4B" w14:textId="77777777" w:rsidTr="000531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1D5D908" w14:textId="1143EB9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E3A97">
                  <w:t>1999</w:t>
                </w:r>
              </w:sdtContent>
            </w:sdt>
            <w:r w:rsidR="00916EC0" w:rsidRPr="003365A5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E3A97" w:rsidRPr="00CE3A97">
                  <w:t>TWA</w:t>
                </w:r>
                <w:r w:rsidR="00CE3A97">
                  <w:t>: 100 ppm (375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 xml:space="preserve">); </w:t>
                </w:r>
                <w:r w:rsidR="00CE3A97" w:rsidRPr="00CE3A97">
                  <w:t>STEL</w:t>
                </w:r>
                <w:r w:rsidR="00CE3A97">
                  <w:t>: 150 ppm</w:t>
                </w:r>
                <w:r w:rsidR="001F4A35">
                  <w:t xml:space="preserve"> </w:t>
                </w:r>
                <w:r w:rsidR="00CE3A97">
                  <w:t>(563 mg/m</w:t>
                </w:r>
                <w:r w:rsidR="00CE3A97" w:rsidRPr="00CE3A97">
                  <w:rPr>
                    <w:vertAlign w:val="superscript"/>
                  </w:rPr>
                  <w:t>3</w:t>
                </w:r>
                <w:r w:rsidR="00CE3A97">
                  <w:t>)</w:t>
                </w:r>
              </w:sdtContent>
            </w:sdt>
          </w:p>
        </w:tc>
      </w:tr>
      <w:tr w:rsidR="00C978F0" w:rsidRPr="00DA352E" w14:paraId="7547672E" w14:textId="77777777" w:rsidTr="000531CA">
        <w:trPr>
          <w:gridAfter w:val="1"/>
          <w:wAfter w:w="8" w:type="pct"/>
          <w:cantSplit/>
        </w:trPr>
        <w:tc>
          <w:tcPr>
            <w:tcW w:w="4992" w:type="pct"/>
          </w:tcPr>
          <w:p w14:paraId="03B9BAFC" w14:textId="4322A79F" w:rsidR="00C978F0" w:rsidRDefault="00F61BD7" w:rsidP="003365A5">
            <w:pPr>
              <w:pStyle w:val="Tabletextprimarysource"/>
            </w:pPr>
            <w:r>
              <w:t xml:space="preserve">TWA and STEL both recommended to reduce irritant exposures based on results of </w:t>
            </w:r>
            <w:r w:rsidR="0045780E">
              <w:t>double-blind</w:t>
            </w:r>
            <w:r>
              <w:t xml:space="preserve"> human studies (1997)</w:t>
            </w:r>
            <w:r w:rsidR="002D6D84">
              <w:t>.</w:t>
            </w:r>
          </w:p>
          <w:p w14:paraId="5267FE92" w14:textId="75B11C33" w:rsidR="0022472E" w:rsidRDefault="0022472E" w:rsidP="003365A5">
            <w:pPr>
              <w:pStyle w:val="Tabletextprimarysource"/>
            </w:pPr>
            <w:r>
              <w:t>Skin notation was recommended based on dermal exposures leading to rapid dermal absorption contributing to body burden.</w:t>
            </w:r>
          </w:p>
          <w:p w14:paraId="2693BA67" w14:textId="7CD106E1" w:rsidR="001F4A35" w:rsidRDefault="001F4A35" w:rsidP="003365A5">
            <w:pPr>
              <w:pStyle w:val="Tabletextprimarysource"/>
            </w:pPr>
            <w:r>
              <w:t>Summary of additional data:</w:t>
            </w:r>
          </w:p>
          <w:p w14:paraId="76BB027B" w14:textId="77777777" w:rsidR="00C0630D" w:rsidRPr="00022D92" w:rsidRDefault="00C0630D" w:rsidP="00C0630D">
            <w:pPr>
              <w:spacing w:before="60" w:after="60"/>
            </w:pPr>
            <w:r w:rsidRPr="00022D92">
              <w:t>Human data:</w:t>
            </w:r>
          </w:p>
          <w:p w14:paraId="5794EE96" w14:textId="7B38416C" w:rsidR="00C0630D" w:rsidRDefault="00C0630D" w:rsidP="005A250F">
            <w:pPr>
              <w:pStyle w:val="ListBullet"/>
              <w:spacing w:before="60" w:after="60"/>
              <w:ind w:left="640" w:hanging="283"/>
            </w:pPr>
            <w:r>
              <w:t xml:space="preserve">1997 study of volunteers exposed to vapours in a double-blind test </w:t>
            </w:r>
            <w:r w:rsidR="009232EF">
              <w:t>used for determining the NOAE</w:t>
            </w:r>
            <w:r w:rsidR="00C2299F">
              <w:t>C</w:t>
            </w:r>
            <w:r w:rsidR="009232EF">
              <w:t xml:space="preserve"> of 150 ppm over lower results obtained in the</w:t>
            </w:r>
            <w:r w:rsidR="00BE010A">
              <w:t xml:space="preserve"> </w:t>
            </w:r>
            <w:r w:rsidR="009232EF">
              <w:t xml:space="preserve">1970 study </w:t>
            </w:r>
            <w:r w:rsidR="00CC72D1">
              <w:t xml:space="preserve">as subjective symptoms </w:t>
            </w:r>
            <w:r w:rsidR="0067030E">
              <w:t>likely</w:t>
            </w:r>
            <w:r w:rsidR="00691D44">
              <w:t xml:space="preserve"> </w:t>
            </w:r>
            <w:r w:rsidR="005348C9">
              <w:t>biased due to odours detected.</w:t>
            </w:r>
            <w:r w:rsidR="00CC72D1">
              <w:t xml:space="preserve"> </w:t>
            </w:r>
          </w:p>
          <w:p w14:paraId="3E0B2219" w14:textId="77777777" w:rsidR="00217441" w:rsidRDefault="00217441" w:rsidP="0067030E">
            <w:pPr>
              <w:pStyle w:val="Tabletextprimarysource"/>
              <w:contextualSpacing/>
            </w:pPr>
          </w:p>
          <w:p w14:paraId="17072B3D" w14:textId="00B52D5F" w:rsidR="0067030E" w:rsidRDefault="0067030E" w:rsidP="0067030E">
            <w:pPr>
              <w:pStyle w:val="Tabletextprimarysource"/>
              <w:contextualSpacing/>
            </w:pPr>
            <w:r>
              <w:t xml:space="preserve">No reproductive, genotoxic effects identified in rats or rabbits until concentrations </w:t>
            </w:r>
            <w:r w:rsidR="005408BB">
              <w:t>&gt;</w:t>
            </w:r>
            <w:r>
              <w:t>10 times the recommended TWA.</w:t>
            </w:r>
          </w:p>
          <w:p w14:paraId="326F5CC9" w14:textId="45A5C66A" w:rsidR="00F61BD7" w:rsidRPr="00DA352E" w:rsidRDefault="00F61BD7" w:rsidP="003365A5">
            <w:pPr>
              <w:pStyle w:val="Tabletextprimarysource"/>
            </w:pPr>
          </w:p>
        </w:tc>
      </w:tr>
      <w:tr w:rsidR="00DA352E" w:rsidRPr="00DA352E" w14:paraId="0703FC4C" w14:textId="77777777" w:rsidTr="000531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4E3996" w14:textId="0D20502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E3A97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E3A97">
                  <w:t>NA</w:t>
                </w:r>
                <w:proofErr w:type="spellEnd"/>
              </w:sdtContent>
            </w:sdt>
          </w:p>
        </w:tc>
      </w:tr>
      <w:tr w:rsidR="00DA352E" w:rsidRPr="00DA352E" w14:paraId="7E72A8A2" w14:textId="77777777" w:rsidTr="000531CA">
        <w:trPr>
          <w:gridAfter w:val="1"/>
          <w:wAfter w:w="8" w:type="pct"/>
          <w:cantSplit/>
        </w:trPr>
        <w:tc>
          <w:tcPr>
            <w:tcW w:w="4992" w:type="pct"/>
          </w:tcPr>
          <w:p w14:paraId="3EF2AA0E" w14:textId="054E2DF7" w:rsidR="00DA352E" w:rsidRPr="00DA352E" w:rsidRDefault="00CE3A97" w:rsidP="003365A5">
            <w:pPr>
              <w:pStyle w:val="Tabletextprimarysource"/>
            </w:pPr>
            <w:r>
              <w:t>No report</w:t>
            </w:r>
            <w:r w:rsidR="00924E16">
              <w:t>.</w:t>
            </w:r>
          </w:p>
        </w:tc>
      </w:tr>
      <w:tr w:rsidR="00DA352E" w:rsidRPr="00DA352E" w14:paraId="462EBE09" w14:textId="77777777" w:rsidTr="000531CA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FBC4EFB" w14:textId="4D9158B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E3A97">
                  <w:t>NA</w:t>
                </w:r>
              </w:sdtContent>
            </w:sdt>
            <w:r w:rsidR="00916EC0" w:rsidRPr="003365A5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E3A97">
                  <w:t>NA</w:t>
                </w:r>
                <w:proofErr w:type="spellEnd"/>
              </w:sdtContent>
            </w:sdt>
          </w:p>
        </w:tc>
      </w:tr>
      <w:tr w:rsidR="00DA352E" w:rsidRPr="00DA352E" w14:paraId="6C683A73" w14:textId="77777777" w:rsidTr="000531CA">
        <w:trPr>
          <w:gridAfter w:val="1"/>
          <w:wAfter w:w="8" w:type="pct"/>
          <w:cantSplit/>
        </w:trPr>
        <w:tc>
          <w:tcPr>
            <w:tcW w:w="4992" w:type="pct"/>
          </w:tcPr>
          <w:p w14:paraId="0A3D4AB8" w14:textId="2345FF33" w:rsidR="00DA352E" w:rsidRPr="00DA352E" w:rsidRDefault="00CE3A97" w:rsidP="003365A5">
            <w:pPr>
              <w:pStyle w:val="Tabletextprimarysource"/>
            </w:pPr>
            <w:r>
              <w:t>No report</w:t>
            </w:r>
            <w:r w:rsidR="00924E16">
              <w:t>.</w:t>
            </w:r>
          </w:p>
        </w:tc>
      </w:tr>
    </w:tbl>
    <w:p w14:paraId="7597442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A458DD7" w14:textId="77777777" w:rsidTr="00053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471ED8C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056FE65A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0E4AED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50132A2B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D170F71" w14:textId="77777777" w:rsidTr="000531CA">
        <w:trPr>
          <w:cantSplit/>
        </w:trPr>
        <w:tc>
          <w:tcPr>
            <w:tcW w:w="1497" w:type="dxa"/>
          </w:tcPr>
          <w:p w14:paraId="027E3408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3E9EC73C" w14:textId="5C3C0D4E" w:rsidR="004966BF" w:rsidRPr="00CE617F" w:rsidRDefault="009F533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7030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C4E28B4" w14:textId="39B3BA71" w:rsidR="004966BF" w:rsidRPr="004C23F4" w:rsidRDefault="00993C4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4" w:type="dxa"/>
          </w:tcPr>
          <w:p w14:paraId="2A258AC9" w14:textId="68DD68F0" w:rsidR="004966BF" w:rsidRDefault="00993C4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>
              <w:rPr>
                <w:rStyle w:val="checkbox"/>
                <w:rFonts w:ascii="Arial" w:hAnsi="Arial" w:cs="Arial"/>
              </w:rPr>
              <w:t>RfC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only</w:t>
            </w:r>
            <w:r w:rsidR="005548AA">
              <w:rPr>
                <w:rStyle w:val="checkbox"/>
                <w:rFonts w:ascii="Arial" w:hAnsi="Arial" w:cs="Arial"/>
              </w:rPr>
              <w:t>:</w:t>
            </w:r>
          </w:p>
          <w:p w14:paraId="54E010AE" w14:textId="276769C4" w:rsidR="00993C43" w:rsidRDefault="00993C43" w:rsidP="00881E6B">
            <w:pPr>
              <w:pStyle w:val="ListBullet"/>
              <w:tabs>
                <w:tab w:val="clear" w:pos="360"/>
              </w:tabs>
              <w:spacing w:before="60" w:after="60"/>
              <w:ind w:left="56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NOAEL: 1</w:t>
            </w:r>
            <w:r w:rsidR="00344638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>000 ppm (rats and rabbits, inhalation)</w:t>
            </w:r>
          </w:p>
          <w:p w14:paraId="0D7C856B" w14:textId="72875E42" w:rsidR="00993C43" w:rsidRPr="004C23F4" w:rsidRDefault="00993C43" w:rsidP="00881E6B">
            <w:pPr>
              <w:pStyle w:val="ListBullet"/>
              <w:tabs>
                <w:tab w:val="clear" w:pos="360"/>
              </w:tabs>
              <w:spacing w:before="60" w:after="60"/>
              <w:ind w:left="56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LOAEL: 3</w:t>
            </w:r>
            <w:r w:rsidR="00344638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000 ppm </w:t>
            </w:r>
            <w:r w:rsidR="004F11E9" w:rsidRPr="004F11E9">
              <w:rPr>
                <w:rStyle w:val="checkbox"/>
                <w:rFonts w:ascii="Arial" w:hAnsi="Arial" w:cs="Arial"/>
              </w:rPr>
              <w:t>narcot</w:t>
            </w:r>
            <w:r w:rsidR="004F11E9" w:rsidRPr="00881E6B">
              <w:rPr>
                <w:rStyle w:val="checkbox"/>
                <w:rFonts w:ascii="Arial" w:hAnsi="Arial" w:cs="Arial"/>
              </w:rPr>
              <w:t>ic</w:t>
            </w:r>
            <w:r w:rsidR="004F11E9">
              <w:rPr>
                <w:rStyle w:val="checkbox"/>
                <w:rFonts w:ascii="Arial" w:hAnsi="Arial" w:cs="Arial"/>
              </w:rPr>
              <w:t xml:space="preserve"> </w:t>
            </w:r>
            <w:r w:rsidR="00DE51FB">
              <w:rPr>
                <w:rStyle w:val="checkbox"/>
                <w:rFonts w:ascii="Arial" w:hAnsi="Arial" w:cs="Arial"/>
              </w:rPr>
              <w:t xml:space="preserve">effect </w:t>
            </w:r>
            <w:r w:rsidR="006E6CCE">
              <w:rPr>
                <w:rStyle w:val="checkbox"/>
                <w:rFonts w:ascii="Arial" w:hAnsi="Arial" w:cs="Arial"/>
              </w:rPr>
              <w:t>&gt;</w:t>
            </w:r>
            <w:r w:rsidR="00DE51FB">
              <w:rPr>
                <w:rStyle w:val="checkbox"/>
                <w:rFonts w:ascii="Arial" w:hAnsi="Arial" w:cs="Arial"/>
              </w:rPr>
              <w:t xml:space="preserve">2 </w:t>
            </w:r>
            <w:proofErr w:type="spellStart"/>
            <w:r w:rsidR="006E6CCE">
              <w:rPr>
                <w:rStyle w:val="checkbox"/>
                <w:rFonts w:ascii="Arial" w:hAnsi="Arial" w:cs="Arial"/>
              </w:rPr>
              <w:t>w</w:t>
            </w:r>
            <w:r w:rsidR="004F11E9">
              <w:rPr>
                <w:rStyle w:val="checkbox"/>
                <w:rFonts w:ascii="Arial" w:hAnsi="Arial" w:cs="Arial"/>
              </w:rPr>
              <w:t>k</w:t>
            </w:r>
            <w:proofErr w:type="spellEnd"/>
            <w:r w:rsidR="00DE51FB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(rats and rabbits, inhalation)</w:t>
            </w:r>
            <w:r w:rsidR="00924E1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50D0814" w14:textId="77777777" w:rsidTr="000531CA">
        <w:trPr>
          <w:cantSplit/>
        </w:trPr>
        <w:tc>
          <w:tcPr>
            <w:tcW w:w="1497" w:type="dxa"/>
          </w:tcPr>
          <w:p w14:paraId="78B85D61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4" w:type="dxa"/>
          </w:tcPr>
          <w:p w14:paraId="53E351D7" w14:textId="21D33C4D" w:rsidR="004966BF" w:rsidRPr="00CE617F" w:rsidRDefault="009F533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503F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2C78BD5" w14:textId="2BFAE238" w:rsidR="004966BF" w:rsidRPr="004C23F4" w:rsidRDefault="00A503F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44" w:type="dxa"/>
          </w:tcPr>
          <w:p w14:paraId="4CE9DA21" w14:textId="0A044E3D" w:rsidR="00A503FB" w:rsidRDefault="00A503F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 w:rsidRPr="00A503FB">
              <w:rPr>
                <w:rStyle w:val="checkbox"/>
                <w:rFonts w:ascii="Arial" w:hAnsi="Arial" w:cs="Arial"/>
              </w:rPr>
              <w:t>DN(M)EL</w:t>
            </w:r>
            <w:r>
              <w:rPr>
                <w:rStyle w:val="checkbox"/>
                <w:rFonts w:ascii="Arial" w:hAnsi="Arial" w:cs="Arial"/>
              </w:rPr>
              <w:t>:</w:t>
            </w:r>
          </w:p>
          <w:p w14:paraId="58E52C33" w14:textId="77777777" w:rsidR="00A503FB" w:rsidRDefault="00A503FB" w:rsidP="00881E6B">
            <w:pPr>
              <w:pStyle w:val="ListBullet"/>
              <w:tabs>
                <w:tab w:val="clear" w:pos="360"/>
              </w:tabs>
              <w:spacing w:before="60" w:after="60"/>
              <w:ind w:left="567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Long term: 100 ppm</w:t>
            </w:r>
          </w:p>
          <w:p w14:paraId="4C4C4557" w14:textId="2E38D69C" w:rsidR="004966BF" w:rsidRPr="004C23F4" w:rsidRDefault="00A503FB" w:rsidP="00881E6B">
            <w:pPr>
              <w:pStyle w:val="ListBullet"/>
              <w:tabs>
                <w:tab w:val="clear" w:pos="360"/>
              </w:tabs>
              <w:spacing w:before="60" w:after="60"/>
              <w:ind w:left="567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Acute / short term: 150 ppm</w:t>
            </w:r>
            <w:r w:rsidR="00924E1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C4BBDCB" w14:textId="77777777" w:rsidTr="000531CA">
        <w:trPr>
          <w:cantSplit/>
        </w:trPr>
        <w:tc>
          <w:tcPr>
            <w:tcW w:w="1497" w:type="dxa"/>
          </w:tcPr>
          <w:p w14:paraId="7FFBA933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4" w:type="dxa"/>
          </w:tcPr>
          <w:p w14:paraId="749703BC" w14:textId="78C6B77C" w:rsidR="004966BF" w:rsidRPr="00CE617F" w:rsidRDefault="009F533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43D68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0772706" w14:textId="2C09577E" w:rsidR="004966BF" w:rsidRPr="004C23F4" w:rsidRDefault="00A503FB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4" w:type="dxa"/>
          </w:tcPr>
          <w:p w14:paraId="56210864" w14:textId="4F5C1048" w:rsidR="004966BF" w:rsidRPr="004C23F4" w:rsidRDefault="00543D68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data</w:t>
            </w:r>
            <w:r w:rsidR="00924E16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7D07AB50" w14:textId="77777777" w:rsidR="007E2A4B" w:rsidRDefault="007E2A4B" w:rsidP="00563F6B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FC41E2E" w14:textId="77777777" w:rsidTr="009232EF">
        <w:trPr>
          <w:trHeight w:val="454"/>
          <w:tblHeader/>
        </w:trPr>
        <w:tc>
          <w:tcPr>
            <w:tcW w:w="6603" w:type="dxa"/>
            <w:vAlign w:val="center"/>
          </w:tcPr>
          <w:p w14:paraId="2A44287B" w14:textId="77777777" w:rsidR="002E0D61" w:rsidRDefault="00B1422A" w:rsidP="00563F6B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3D1B973" w14:textId="58A97E0F" w:rsidR="002E0D61" w:rsidRDefault="009232EF" w:rsidP="00563F6B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A446D74" w14:textId="77777777" w:rsidTr="009232E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600E53C4" w14:textId="53849B4B" w:rsidR="008A36CF" w:rsidRPr="006901A2" w:rsidRDefault="009232EF" w:rsidP="00563F6B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0B065F7" w14:textId="77777777" w:rsidR="008A36CF" w:rsidRDefault="008A36CF" w:rsidP="00563F6B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2482E51" w14:textId="77777777" w:rsidR="00687890" w:rsidRPr="004C23F4" w:rsidRDefault="00B479A9" w:rsidP="00474E33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4AB5B08" w14:textId="77777777" w:rsidTr="00053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6259810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B47985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46C4C1F" w14:textId="77777777" w:rsidTr="000531CA">
        <w:trPr>
          <w:cantSplit/>
        </w:trPr>
        <w:tc>
          <w:tcPr>
            <w:tcW w:w="3227" w:type="dxa"/>
          </w:tcPr>
          <w:p w14:paraId="5CD0023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2F10C29" w14:textId="40C23DA6" w:rsidR="00687890" w:rsidRPr="00DD2F9B" w:rsidRDefault="00CE3A97" w:rsidP="00DD2F9B">
            <w:pPr>
              <w:pStyle w:val="Tablefont"/>
            </w:pPr>
            <w:r w:rsidRPr="00CE3A97">
              <w:t>—</w:t>
            </w:r>
          </w:p>
        </w:tc>
      </w:tr>
      <w:tr w:rsidR="007925F0" w:rsidRPr="004C23F4" w14:paraId="0900C9BC" w14:textId="77777777" w:rsidTr="000531CA">
        <w:trPr>
          <w:cantSplit/>
        </w:trPr>
        <w:tc>
          <w:tcPr>
            <w:tcW w:w="3227" w:type="dxa"/>
          </w:tcPr>
          <w:p w14:paraId="29B1293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C85EDCF" w14:textId="6CE3BD37" w:rsidR="007925F0" w:rsidRPr="00DD2F9B" w:rsidRDefault="00CE3A97" w:rsidP="00DD2F9B">
            <w:pPr>
              <w:pStyle w:val="Tablefont"/>
            </w:pPr>
            <w:r w:rsidRPr="00CE3A97">
              <w:t>—</w:t>
            </w:r>
          </w:p>
        </w:tc>
      </w:tr>
      <w:tr w:rsidR="00AF483F" w:rsidRPr="004C23F4" w14:paraId="36FE4690" w14:textId="77777777" w:rsidTr="000531CA">
        <w:trPr>
          <w:cantSplit/>
        </w:trPr>
        <w:tc>
          <w:tcPr>
            <w:tcW w:w="3227" w:type="dxa"/>
          </w:tcPr>
          <w:p w14:paraId="7E47F939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A310E4C" w14:textId="5ECD77C1" w:rsidR="00AF483F" w:rsidRPr="00DD2F9B" w:rsidRDefault="001B4A1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ED9D1F9" w14:textId="77777777" w:rsidTr="000531CA">
        <w:trPr>
          <w:cantSplit/>
        </w:trPr>
        <w:tc>
          <w:tcPr>
            <w:tcW w:w="3227" w:type="dxa"/>
          </w:tcPr>
          <w:p w14:paraId="53E5CAB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19DD3F9" w14:textId="4E64127C" w:rsidR="00687890" w:rsidRPr="00DD2F9B" w:rsidRDefault="001B4A1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B4483E8" w14:textId="77777777" w:rsidTr="000531CA">
        <w:trPr>
          <w:cantSplit/>
        </w:trPr>
        <w:tc>
          <w:tcPr>
            <w:tcW w:w="3227" w:type="dxa"/>
          </w:tcPr>
          <w:p w14:paraId="5559011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28CB690" w14:textId="348394FB" w:rsidR="00E41A26" w:rsidRPr="00DD2F9B" w:rsidRDefault="001B4A1C" w:rsidP="00DD2F9B">
            <w:pPr>
              <w:pStyle w:val="Tablefont"/>
            </w:pPr>
            <w:r w:rsidRPr="00CE3A97">
              <w:t>—</w:t>
            </w:r>
          </w:p>
        </w:tc>
      </w:tr>
      <w:tr w:rsidR="002E0D61" w:rsidRPr="004C23F4" w14:paraId="395CFA0F" w14:textId="77777777" w:rsidTr="000531CA">
        <w:trPr>
          <w:cantSplit/>
        </w:trPr>
        <w:tc>
          <w:tcPr>
            <w:tcW w:w="3227" w:type="dxa"/>
          </w:tcPr>
          <w:p w14:paraId="0E85541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BF6E286" w14:textId="08A7D585" w:rsidR="002E0D61" w:rsidRPr="00DD2F9B" w:rsidRDefault="001B4A1C" w:rsidP="00DD2F9B">
            <w:pPr>
              <w:pStyle w:val="Tablefont"/>
            </w:pPr>
            <w:r w:rsidRPr="001B4A1C">
              <w:t>Carcinogenicity – A4</w:t>
            </w:r>
          </w:p>
        </w:tc>
      </w:tr>
      <w:tr w:rsidR="002E0D61" w:rsidRPr="004C23F4" w14:paraId="68BCD710" w14:textId="77777777" w:rsidTr="000531CA">
        <w:trPr>
          <w:cantSplit/>
        </w:trPr>
        <w:tc>
          <w:tcPr>
            <w:tcW w:w="3227" w:type="dxa"/>
          </w:tcPr>
          <w:p w14:paraId="3EF1E0F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04F9966" w14:textId="06A8C11A" w:rsidR="002E0D61" w:rsidRPr="00DD2F9B" w:rsidRDefault="001B4A1C" w:rsidP="00DD2F9B">
            <w:pPr>
              <w:pStyle w:val="Tablefont"/>
            </w:pPr>
            <w:r w:rsidRPr="00CE3A97">
              <w:t>—</w:t>
            </w:r>
          </w:p>
        </w:tc>
      </w:tr>
      <w:tr w:rsidR="002E0D61" w:rsidRPr="004C23F4" w14:paraId="7B490F6C" w14:textId="77777777" w:rsidTr="000531CA">
        <w:trPr>
          <w:cantSplit/>
        </w:trPr>
        <w:tc>
          <w:tcPr>
            <w:tcW w:w="3227" w:type="dxa"/>
          </w:tcPr>
          <w:p w14:paraId="2F93681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50C1331" w14:textId="595F52F4" w:rsidR="002E0D61" w:rsidRPr="00DD2F9B" w:rsidRDefault="001B4A1C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35F2DBC" w14:textId="77777777" w:rsidTr="000531CA">
        <w:trPr>
          <w:cantSplit/>
        </w:trPr>
        <w:tc>
          <w:tcPr>
            <w:tcW w:w="3227" w:type="dxa"/>
          </w:tcPr>
          <w:p w14:paraId="3CE18D2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3F1192A" w14:textId="3ACBC3D6" w:rsidR="002E0D61" w:rsidRPr="00DD2F9B" w:rsidRDefault="001B4A1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AD834A1" w14:textId="77777777" w:rsidTr="000531CA">
        <w:trPr>
          <w:cantSplit/>
        </w:trPr>
        <w:tc>
          <w:tcPr>
            <w:tcW w:w="3227" w:type="dxa"/>
          </w:tcPr>
          <w:p w14:paraId="356A581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BC25F8B" w14:textId="7C4DFF32" w:rsidR="00386093" w:rsidRPr="00DD2F9B" w:rsidRDefault="001B4A1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5F6EAF1" w14:textId="77777777" w:rsidTr="000531CA">
        <w:trPr>
          <w:cantSplit/>
        </w:trPr>
        <w:tc>
          <w:tcPr>
            <w:tcW w:w="3227" w:type="dxa"/>
          </w:tcPr>
          <w:p w14:paraId="5367FC3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743FABC" w14:textId="5E73937A" w:rsidR="00386093" w:rsidRPr="00DD2F9B" w:rsidRDefault="001B4A1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CA007E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25CE9E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D6401E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1866F2E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C11FA7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0A95AEC" w14:textId="691F81D9" w:rsidR="00932DCE" w:rsidRPr="004C23F4" w:rsidRDefault="006E6CCE" w:rsidP="00F9496B">
            <w:pPr>
              <w:pStyle w:val="Tablefont"/>
            </w:pPr>
            <w:r w:rsidRPr="00EA0DA8">
              <w:t>Insufficient data to assign a skin notation</w:t>
            </w:r>
            <w:r>
              <w:t>.</w:t>
            </w:r>
          </w:p>
        </w:tc>
      </w:tr>
    </w:tbl>
    <w:bookmarkEnd w:id="3"/>
    <w:p w14:paraId="28C140F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72B6EB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8E689B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F3D2118" w14:textId="1AD195F5" w:rsidR="00EB3D1B" w:rsidRDefault="001B4A1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843F40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D23AA6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F62A5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BC3AF2A" w14:textId="6C40E830" w:rsidR="001B79E5" w:rsidRDefault="001B4A1C" w:rsidP="001B79E5">
                <w:pPr>
                  <w:pStyle w:val="Tablefont"/>
                </w:pPr>
                <w:r w:rsidRPr="001B4A1C">
                  <w:t>90.1</w:t>
                </w:r>
                <w:r>
                  <w:t>0</w:t>
                </w:r>
              </w:p>
            </w:tc>
          </w:sdtContent>
        </w:sdt>
      </w:tr>
      <w:tr w:rsidR="00A31D99" w:rsidRPr="004C23F4" w14:paraId="0CC106F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4C606C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91BDB84" w14:textId="04EAD14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B4A1C">
                  <w:t>3.69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B4A1C">
                  <w:t>0.27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F0BF66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435B594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B83EC44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51EB9AB" w14:textId="77777777" w:rsidTr="00EA6243">
        <w:trPr>
          <w:cantSplit/>
        </w:trPr>
        <w:tc>
          <w:tcPr>
            <w:tcW w:w="4077" w:type="dxa"/>
            <w:vAlign w:val="center"/>
          </w:tcPr>
          <w:p w14:paraId="58F961AD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2251EE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75FEE38" w14:textId="77777777" w:rsidTr="00EA6243">
        <w:trPr>
          <w:cantSplit/>
        </w:trPr>
        <w:tc>
          <w:tcPr>
            <w:tcW w:w="4077" w:type="dxa"/>
            <w:vAlign w:val="center"/>
          </w:tcPr>
          <w:p w14:paraId="56C5887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10678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103AABA" w14:textId="77777777" w:rsidTr="00EA6243">
        <w:trPr>
          <w:cantSplit/>
        </w:trPr>
        <w:tc>
          <w:tcPr>
            <w:tcW w:w="4077" w:type="dxa"/>
            <w:vAlign w:val="center"/>
          </w:tcPr>
          <w:p w14:paraId="1642CE4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BEF93BE" w14:textId="28C4A445" w:rsidR="00E06F40" w:rsidRPr="00A006A0" w:rsidRDefault="009F533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CB1F50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4B97F15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5D069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B4D167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7643BF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EBB2D2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AD28780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9A51FA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DBFAD2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D615F72" w14:textId="1FA6F9B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3C626F6" w14:textId="4E37FDBE" w:rsidR="001B4A1C" w:rsidRDefault="001B4A1C" w:rsidP="001B4A1C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(2008) Propylene glycol 1-methyl ether (1</w:t>
      </w:r>
      <w:r w:rsidR="004F11E9">
        <w:noBreakHyphen/>
      </w:r>
      <w:r>
        <w:t>methoxypropanol-2) – MAK value documentation.</w:t>
      </w:r>
    </w:p>
    <w:p w14:paraId="558051D3" w14:textId="2D24325B" w:rsidR="001B4A1C" w:rsidRDefault="001B4A1C" w:rsidP="00084859">
      <w:r>
        <w:t xml:space="preserve">European Chemicals Agency (ECHA) (2019) </w:t>
      </w:r>
      <w:r w:rsidRPr="001B4A1C">
        <w:t>Propylene glycol monomethyl ether</w:t>
      </w:r>
      <w:r>
        <w:t xml:space="preserve"> – REACH assessment.</w:t>
      </w:r>
    </w:p>
    <w:p w14:paraId="76E52F3F" w14:textId="12FA0C24" w:rsidR="001B4A1C" w:rsidRDefault="001B4A1C" w:rsidP="00084859">
      <w:r w:rsidRPr="002022B6">
        <w:t>EU Scientific Committee on Occupational Exposure Limits (SCOEL)</w:t>
      </w:r>
      <w:r>
        <w:t xml:space="preserve"> (</w:t>
      </w:r>
      <w:r w:rsidRPr="001B4A1C">
        <w:t>1999</w:t>
      </w:r>
      <w:r>
        <w:t xml:space="preserve">) Recommendation from the Scientific Committee on Occupational Exposure Limits for </w:t>
      </w:r>
      <w:r w:rsidRPr="001B4A1C">
        <w:t>1-Methoxypropan-2-ol</w:t>
      </w:r>
      <w:r>
        <w:t>. SCOEL/</w:t>
      </w:r>
      <w:r w:rsidRPr="001B4A1C">
        <w:t>SUM/38</w:t>
      </w:r>
      <w:r>
        <w:t>.</w:t>
      </w:r>
    </w:p>
    <w:p w14:paraId="0ECAC9A8" w14:textId="1D3999B7" w:rsidR="005408BB" w:rsidRPr="00B929CC" w:rsidRDefault="005408BB" w:rsidP="005408BB">
      <w:r w:rsidRPr="00E819F5">
        <w:t>Organisation for Economic Cooperation and Development (OECD</w:t>
      </w:r>
      <w:r w:rsidRPr="00FA568C">
        <w:t>) (200</w:t>
      </w:r>
      <w:r w:rsidR="00FA568C" w:rsidRPr="00FA568C">
        <w:t>1</w:t>
      </w:r>
      <w:r w:rsidRPr="00FA568C">
        <w:t>) SIDS</w:t>
      </w:r>
      <w:r w:rsidRPr="00E819F5">
        <w:t xml:space="preserve"> initial assessment profile –</w:t>
      </w:r>
      <w:r w:rsidR="00FA568C">
        <w:t xml:space="preserve"> </w:t>
      </w:r>
      <w:r w:rsidR="00FA568C" w:rsidRPr="00FA568C">
        <w:t>1-Methoxypropan-2-ol (PGME)</w:t>
      </w:r>
      <w:r w:rsidR="00FA568C">
        <w:t>.</w:t>
      </w:r>
      <w:r w:rsidRPr="00E819F5">
        <w:t xml:space="preserve"> </w:t>
      </w:r>
    </w:p>
    <w:p w14:paraId="2C7328DC" w14:textId="03336569" w:rsidR="00FA568C" w:rsidRDefault="00FA568C" w:rsidP="00FA568C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</w:t>
      </w:r>
      <w:r w:rsidRPr="00FA568C">
        <w:t xml:space="preserve"> Propylene glycol monomethyl ether</w:t>
      </w:r>
      <w:r>
        <w:t>.</w:t>
      </w:r>
    </w:p>
    <w:p w14:paraId="0F41CB73" w14:textId="1323E4A5" w:rsidR="006E6CCE" w:rsidRPr="00351FE0" w:rsidRDefault="006E6CCE" w:rsidP="00084859"/>
    <w:sectPr w:rsidR="006E6CC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141EC" w14:textId="77777777" w:rsidR="00186B97" w:rsidRDefault="00186B97" w:rsidP="00F43AD5">
      <w:pPr>
        <w:spacing w:after="0" w:line="240" w:lineRule="auto"/>
      </w:pPr>
      <w:r>
        <w:separator/>
      </w:r>
    </w:p>
  </w:endnote>
  <w:endnote w:type="continuationSeparator" w:id="0">
    <w:p w14:paraId="2346E240" w14:textId="77777777" w:rsidR="00186B97" w:rsidRDefault="00186B9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AB8081F" w14:textId="786C8ABF" w:rsidR="008A36CF" w:rsidRDefault="00CE3A97" w:rsidP="0034744C">
        <w:pPr>
          <w:pStyle w:val="Footer"/>
          <w:rPr>
            <w:sz w:val="18"/>
            <w:szCs w:val="18"/>
          </w:rPr>
        </w:pPr>
        <w:r w:rsidRPr="00CE3A97">
          <w:rPr>
            <w:b/>
            <w:sz w:val="18"/>
            <w:szCs w:val="18"/>
          </w:rPr>
          <w:t>Propylene glycol monomethyl ether</w:t>
        </w:r>
        <w:r w:rsidR="008A36CF">
          <w:rPr>
            <w:b/>
            <w:sz w:val="18"/>
            <w:szCs w:val="18"/>
          </w:rPr>
          <w:t xml:space="preserve"> (</w:t>
        </w:r>
        <w:r w:rsidRPr="00CE3A97">
          <w:rPr>
            <w:b/>
            <w:sz w:val="18"/>
            <w:szCs w:val="18"/>
          </w:rPr>
          <w:t>107-98-2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CE5651">
          <w:rPr>
            <w:sz w:val="18"/>
            <w:szCs w:val="18"/>
          </w:rPr>
          <w:t>20</w:t>
        </w:r>
      </w:p>
      <w:p w14:paraId="411C696C" w14:textId="2B715616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E030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40767" w14:textId="77777777" w:rsidR="00186B97" w:rsidRDefault="00186B97" w:rsidP="00F43AD5">
      <w:pPr>
        <w:spacing w:after="0" w:line="240" w:lineRule="auto"/>
      </w:pPr>
      <w:r>
        <w:separator/>
      </w:r>
    </w:p>
  </w:footnote>
  <w:footnote w:type="continuationSeparator" w:id="0">
    <w:p w14:paraId="61E92EC9" w14:textId="77777777" w:rsidR="00186B97" w:rsidRDefault="00186B9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B42BBF" w14:textId="6FE8329A" w:rsidR="008A36CF" w:rsidRPr="000531CA" w:rsidRDefault="000531CA" w:rsidP="000531CA">
    <w:pPr>
      <w:pStyle w:val="Header"/>
      <w:jc w:val="right"/>
    </w:pPr>
    <w:r>
      <w:rPr>
        <w:noProof/>
        <w:lang w:eastAsia="en-AU"/>
      </w:rPr>
      <w:drawing>
        <wp:inline distT="0" distB="0" distL="0" distR="0" wp14:anchorId="3CE6E841" wp14:editId="5CA8E34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584324" w14:textId="14D985C1" w:rsidR="000531CA" w:rsidRDefault="000531CA" w:rsidP="000531CA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85BAB2" wp14:editId="25139FE4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9A87493" w14:textId="77ECF3CF" w:rsidR="008A36CF" w:rsidRDefault="009F533E" w:rsidP="000531CA">
    <w:pPr>
      <w:pStyle w:val="Header"/>
    </w:pPr>
    <w:r>
      <w:pict w14:anchorId="065B598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6146" type="#_x0000_t136" style="position:absolute;margin-left:561.7pt;margin-top:286.5pt;width:454.5pt;height:181.8pt;rotation:315;z-index:-251658752;mso-position-horizontal-relative:margin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E427C5A"/>
    <w:lvl w:ilvl="0">
      <w:start w:val="1"/>
      <w:numFmt w:val="bullet"/>
      <w:pStyle w:val="ListBullet"/>
      <w:lvlText w:val=""/>
      <w:lvlJc w:val="left"/>
      <w:pPr>
        <w:tabs>
          <w:tab w:val="num" w:pos="764"/>
        </w:tabs>
        <w:ind w:left="764" w:hanging="360"/>
      </w:pPr>
      <w:rPr>
        <w:rFonts w:ascii="Symbol" w:hAnsi="Symbol" w:hint="default"/>
      </w:rPr>
    </w:lvl>
  </w:abstractNum>
  <w:abstractNum w:abstractNumId="1" w15:restartNumberingAfterBreak="0">
    <w:nsid w:val="50465396"/>
    <w:multiLevelType w:val="hybridMultilevel"/>
    <w:tmpl w:val="EA185DC4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5F13861"/>
    <w:multiLevelType w:val="hybridMultilevel"/>
    <w:tmpl w:val="5EB247F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108887233">
    <w:abstractNumId w:val="0"/>
  </w:num>
  <w:num w:numId="2" w16cid:durableId="1813523828">
    <w:abstractNumId w:val="0"/>
  </w:num>
  <w:num w:numId="3" w16cid:durableId="544174626">
    <w:abstractNumId w:val="1"/>
  </w:num>
  <w:num w:numId="4" w16cid:durableId="2149731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BD8"/>
    <w:rsid w:val="00013A22"/>
    <w:rsid w:val="00014C3F"/>
    <w:rsid w:val="00017C82"/>
    <w:rsid w:val="00022D92"/>
    <w:rsid w:val="000319A0"/>
    <w:rsid w:val="00032B88"/>
    <w:rsid w:val="00046DF5"/>
    <w:rsid w:val="00052060"/>
    <w:rsid w:val="000531CA"/>
    <w:rsid w:val="0005574A"/>
    <w:rsid w:val="00055FE1"/>
    <w:rsid w:val="00056EC2"/>
    <w:rsid w:val="00060B48"/>
    <w:rsid w:val="00064806"/>
    <w:rsid w:val="00067F32"/>
    <w:rsid w:val="00071807"/>
    <w:rsid w:val="0007367D"/>
    <w:rsid w:val="000803E1"/>
    <w:rsid w:val="00084513"/>
    <w:rsid w:val="00084859"/>
    <w:rsid w:val="00086C5E"/>
    <w:rsid w:val="00092D94"/>
    <w:rsid w:val="00097713"/>
    <w:rsid w:val="000A78DB"/>
    <w:rsid w:val="000B0868"/>
    <w:rsid w:val="000B1F17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5C05"/>
    <w:rsid w:val="000E63D3"/>
    <w:rsid w:val="000E67CF"/>
    <w:rsid w:val="0010461E"/>
    <w:rsid w:val="00106FAA"/>
    <w:rsid w:val="00113443"/>
    <w:rsid w:val="001220E4"/>
    <w:rsid w:val="001261BC"/>
    <w:rsid w:val="00126526"/>
    <w:rsid w:val="001269A7"/>
    <w:rsid w:val="00127CD8"/>
    <w:rsid w:val="00131092"/>
    <w:rsid w:val="001365FF"/>
    <w:rsid w:val="00140E6A"/>
    <w:rsid w:val="0014177A"/>
    <w:rsid w:val="00146545"/>
    <w:rsid w:val="00146B75"/>
    <w:rsid w:val="0015266D"/>
    <w:rsid w:val="0015288A"/>
    <w:rsid w:val="00160F47"/>
    <w:rsid w:val="001736F4"/>
    <w:rsid w:val="00177CA1"/>
    <w:rsid w:val="00183823"/>
    <w:rsid w:val="00183942"/>
    <w:rsid w:val="00186B97"/>
    <w:rsid w:val="001A009E"/>
    <w:rsid w:val="001A1287"/>
    <w:rsid w:val="001A3859"/>
    <w:rsid w:val="001A3C9D"/>
    <w:rsid w:val="001A43F8"/>
    <w:rsid w:val="001A60DD"/>
    <w:rsid w:val="001B1D37"/>
    <w:rsid w:val="001B4A1C"/>
    <w:rsid w:val="001B79E5"/>
    <w:rsid w:val="001D56F0"/>
    <w:rsid w:val="001D663B"/>
    <w:rsid w:val="001D7B41"/>
    <w:rsid w:val="001E3B3A"/>
    <w:rsid w:val="001E46DA"/>
    <w:rsid w:val="001E7D80"/>
    <w:rsid w:val="001F446E"/>
    <w:rsid w:val="001F4A35"/>
    <w:rsid w:val="001F4B6C"/>
    <w:rsid w:val="001F62CB"/>
    <w:rsid w:val="001F6ED0"/>
    <w:rsid w:val="001F72E6"/>
    <w:rsid w:val="001F73C5"/>
    <w:rsid w:val="002046A6"/>
    <w:rsid w:val="00204956"/>
    <w:rsid w:val="00213640"/>
    <w:rsid w:val="00217441"/>
    <w:rsid w:val="00221547"/>
    <w:rsid w:val="002216FC"/>
    <w:rsid w:val="00222533"/>
    <w:rsid w:val="00222F30"/>
    <w:rsid w:val="0022472E"/>
    <w:rsid w:val="00224EE2"/>
    <w:rsid w:val="00227EC7"/>
    <w:rsid w:val="00231A6C"/>
    <w:rsid w:val="00235564"/>
    <w:rsid w:val="00244AD1"/>
    <w:rsid w:val="002463BC"/>
    <w:rsid w:val="002465CE"/>
    <w:rsid w:val="0025734A"/>
    <w:rsid w:val="00260337"/>
    <w:rsid w:val="00261631"/>
    <w:rsid w:val="00263255"/>
    <w:rsid w:val="00276494"/>
    <w:rsid w:val="00277B0C"/>
    <w:rsid w:val="002932F3"/>
    <w:rsid w:val="00294D9F"/>
    <w:rsid w:val="002A310C"/>
    <w:rsid w:val="002B1A2C"/>
    <w:rsid w:val="002B2274"/>
    <w:rsid w:val="002B312F"/>
    <w:rsid w:val="002C34F2"/>
    <w:rsid w:val="002C58FF"/>
    <w:rsid w:val="002C7AFE"/>
    <w:rsid w:val="002D05D2"/>
    <w:rsid w:val="002D6D84"/>
    <w:rsid w:val="002E0D61"/>
    <w:rsid w:val="002E4C7B"/>
    <w:rsid w:val="0030740C"/>
    <w:rsid w:val="00311771"/>
    <w:rsid w:val="003141AB"/>
    <w:rsid w:val="00315833"/>
    <w:rsid w:val="003203B8"/>
    <w:rsid w:val="003215EE"/>
    <w:rsid w:val="003224BF"/>
    <w:rsid w:val="003241A8"/>
    <w:rsid w:val="003253F0"/>
    <w:rsid w:val="00331B52"/>
    <w:rsid w:val="003337DA"/>
    <w:rsid w:val="00334EFB"/>
    <w:rsid w:val="00335CDE"/>
    <w:rsid w:val="003365A5"/>
    <w:rsid w:val="003429FD"/>
    <w:rsid w:val="00344638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688E"/>
    <w:rsid w:val="003A0E32"/>
    <w:rsid w:val="003A2B94"/>
    <w:rsid w:val="003B387D"/>
    <w:rsid w:val="003C0D58"/>
    <w:rsid w:val="003D4FA3"/>
    <w:rsid w:val="003E02A1"/>
    <w:rsid w:val="003E0302"/>
    <w:rsid w:val="003E0807"/>
    <w:rsid w:val="003E51FB"/>
    <w:rsid w:val="003E6B39"/>
    <w:rsid w:val="003F07E1"/>
    <w:rsid w:val="003F7516"/>
    <w:rsid w:val="00401C07"/>
    <w:rsid w:val="004030BC"/>
    <w:rsid w:val="00403F7D"/>
    <w:rsid w:val="00406785"/>
    <w:rsid w:val="004079B4"/>
    <w:rsid w:val="00417A56"/>
    <w:rsid w:val="00420957"/>
    <w:rsid w:val="00422A10"/>
    <w:rsid w:val="00430179"/>
    <w:rsid w:val="00433582"/>
    <w:rsid w:val="004414B5"/>
    <w:rsid w:val="00444482"/>
    <w:rsid w:val="00444B42"/>
    <w:rsid w:val="00445E44"/>
    <w:rsid w:val="004509E2"/>
    <w:rsid w:val="004515EE"/>
    <w:rsid w:val="004529F0"/>
    <w:rsid w:val="0045780E"/>
    <w:rsid w:val="00460A03"/>
    <w:rsid w:val="00472A11"/>
    <w:rsid w:val="00472AAD"/>
    <w:rsid w:val="00474E33"/>
    <w:rsid w:val="00476803"/>
    <w:rsid w:val="00482024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114D"/>
    <w:rsid w:val="004E5EDD"/>
    <w:rsid w:val="004F11E9"/>
    <w:rsid w:val="004F448A"/>
    <w:rsid w:val="004F493D"/>
    <w:rsid w:val="004F65E8"/>
    <w:rsid w:val="0050005E"/>
    <w:rsid w:val="005005D4"/>
    <w:rsid w:val="00502B88"/>
    <w:rsid w:val="00510989"/>
    <w:rsid w:val="005142C4"/>
    <w:rsid w:val="0051509C"/>
    <w:rsid w:val="005272E2"/>
    <w:rsid w:val="0053108F"/>
    <w:rsid w:val="00532B56"/>
    <w:rsid w:val="005348C9"/>
    <w:rsid w:val="00534B10"/>
    <w:rsid w:val="005408BB"/>
    <w:rsid w:val="00543D68"/>
    <w:rsid w:val="005446A2"/>
    <w:rsid w:val="00544D2F"/>
    <w:rsid w:val="00551BD8"/>
    <w:rsid w:val="005548AA"/>
    <w:rsid w:val="00563F6B"/>
    <w:rsid w:val="00571335"/>
    <w:rsid w:val="005725D4"/>
    <w:rsid w:val="00581055"/>
    <w:rsid w:val="0058557A"/>
    <w:rsid w:val="00591E38"/>
    <w:rsid w:val="005A19C5"/>
    <w:rsid w:val="005A250F"/>
    <w:rsid w:val="005A3034"/>
    <w:rsid w:val="005A462D"/>
    <w:rsid w:val="005B253B"/>
    <w:rsid w:val="005B771D"/>
    <w:rsid w:val="005C15F2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7966"/>
    <w:rsid w:val="00650905"/>
    <w:rsid w:val="006532ED"/>
    <w:rsid w:val="006549F2"/>
    <w:rsid w:val="006567B7"/>
    <w:rsid w:val="00657BFB"/>
    <w:rsid w:val="0066333C"/>
    <w:rsid w:val="006639B4"/>
    <w:rsid w:val="006650FE"/>
    <w:rsid w:val="0067030E"/>
    <w:rsid w:val="00671F6A"/>
    <w:rsid w:val="0067305D"/>
    <w:rsid w:val="00677D9B"/>
    <w:rsid w:val="006867F3"/>
    <w:rsid w:val="00687890"/>
    <w:rsid w:val="006901A2"/>
    <w:rsid w:val="00690368"/>
    <w:rsid w:val="0069079C"/>
    <w:rsid w:val="00690B53"/>
    <w:rsid w:val="00691D44"/>
    <w:rsid w:val="00695B72"/>
    <w:rsid w:val="006A051A"/>
    <w:rsid w:val="006B160A"/>
    <w:rsid w:val="006B4E6C"/>
    <w:rsid w:val="006B50B6"/>
    <w:rsid w:val="006D79EA"/>
    <w:rsid w:val="006E5D05"/>
    <w:rsid w:val="006E6CCE"/>
    <w:rsid w:val="006F6B5F"/>
    <w:rsid w:val="00701053"/>
    <w:rsid w:val="00701507"/>
    <w:rsid w:val="00706BC4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3563"/>
    <w:rsid w:val="00765F14"/>
    <w:rsid w:val="00770E31"/>
    <w:rsid w:val="007770F1"/>
    <w:rsid w:val="00783FB1"/>
    <w:rsid w:val="00785CDD"/>
    <w:rsid w:val="00787B98"/>
    <w:rsid w:val="00790443"/>
    <w:rsid w:val="00791847"/>
    <w:rsid w:val="007925F0"/>
    <w:rsid w:val="007939B3"/>
    <w:rsid w:val="0079509C"/>
    <w:rsid w:val="00796708"/>
    <w:rsid w:val="007B1B42"/>
    <w:rsid w:val="007B1D67"/>
    <w:rsid w:val="007C30EB"/>
    <w:rsid w:val="007D58B5"/>
    <w:rsid w:val="007E063C"/>
    <w:rsid w:val="007E0CAD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5C73"/>
    <w:rsid w:val="00857A8A"/>
    <w:rsid w:val="008630EE"/>
    <w:rsid w:val="00864D13"/>
    <w:rsid w:val="008654F7"/>
    <w:rsid w:val="00871CD5"/>
    <w:rsid w:val="008745A2"/>
    <w:rsid w:val="008768A8"/>
    <w:rsid w:val="00880231"/>
    <w:rsid w:val="00881E6B"/>
    <w:rsid w:val="0088798F"/>
    <w:rsid w:val="00887E4B"/>
    <w:rsid w:val="00890A10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DFF"/>
    <w:rsid w:val="00916EC0"/>
    <w:rsid w:val="00920467"/>
    <w:rsid w:val="00921DE7"/>
    <w:rsid w:val="009232EF"/>
    <w:rsid w:val="00924E16"/>
    <w:rsid w:val="0093041A"/>
    <w:rsid w:val="00930714"/>
    <w:rsid w:val="00930ED9"/>
    <w:rsid w:val="00931B03"/>
    <w:rsid w:val="009323B9"/>
    <w:rsid w:val="00932DCE"/>
    <w:rsid w:val="0093327E"/>
    <w:rsid w:val="00934028"/>
    <w:rsid w:val="009354DB"/>
    <w:rsid w:val="0093760E"/>
    <w:rsid w:val="009423B5"/>
    <w:rsid w:val="00946044"/>
    <w:rsid w:val="0094660B"/>
    <w:rsid w:val="00946A33"/>
    <w:rsid w:val="00950BA4"/>
    <w:rsid w:val="009524F2"/>
    <w:rsid w:val="0095260E"/>
    <w:rsid w:val="009578DD"/>
    <w:rsid w:val="00961124"/>
    <w:rsid w:val="009621B6"/>
    <w:rsid w:val="00963F99"/>
    <w:rsid w:val="00970A0A"/>
    <w:rsid w:val="00974F2D"/>
    <w:rsid w:val="00976DF4"/>
    <w:rsid w:val="00977524"/>
    <w:rsid w:val="00977D45"/>
    <w:rsid w:val="00977E88"/>
    <w:rsid w:val="00984920"/>
    <w:rsid w:val="0099303A"/>
    <w:rsid w:val="00993C43"/>
    <w:rsid w:val="0099626B"/>
    <w:rsid w:val="009971C2"/>
    <w:rsid w:val="009A1254"/>
    <w:rsid w:val="009A2FFE"/>
    <w:rsid w:val="009B2FF2"/>
    <w:rsid w:val="009B380C"/>
    <w:rsid w:val="009B4114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4B1B"/>
    <w:rsid w:val="009E63E2"/>
    <w:rsid w:val="009F04D2"/>
    <w:rsid w:val="009F05CF"/>
    <w:rsid w:val="009F0F3A"/>
    <w:rsid w:val="009F533E"/>
    <w:rsid w:val="00A01D0C"/>
    <w:rsid w:val="00A03229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03FB"/>
    <w:rsid w:val="00A53681"/>
    <w:rsid w:val="00A633D4"/>
    <w:rsid w:val="00A6461A"/>
    <w:rsid w:val="00A70EAB"/>
    <w:rsid w:val="00A7751F"/>
    <w:rsid w:val="00A84504"/>
    <w:rsid w:val="00A8672F"/>
    <w:rsid w:val="00A93057"/>
    <w:rsid w:val="00A968B0"/>
    <w:rsid w:val="00AB2672"/>
    <w:rsid w:val="00AB2817"/>
    <w:rsid w:val="00AB43C4"/>
    <w:rsid w:val="00AB6164"/>
    <w:rsid w:val="00AB721A"/>
    <w:rsid w:val="00AC32E7"/>
    <w:rsid w:val="00AC3A9F"/>
    <w:rsid w:val="00AC6D2F"/>
    <w:rsid w:val="00AE2745"/>
    <w:rsid w:val="00AE2F64"/>
    <w:rsid w:val="00AE4BDE"/>
    <w:rsid w:val="00AF42CB"/>
    <w:rsid w:val="00AF483F"/>
    <w:rsid w:val="00AF5E07"/>
    <w:rsid w:val="00AF5F06"/>
    <w:rsid w:val="00B00A25"/>
    <w:rsid w:val="00B13966"/>
    <w:rsid w:val="00B1422A"/>
    <w:rsid w:val="00B1765C"/>
    <w:rsid w:val="00B213C4"/>
    <w:rsid w:val="00B27BC4"/>
    <w:rsid w:val="00B40C60"/>
    <w:rsid w:val="00B479A9"/>
    <w:rsid w:val="00B52EDF"/>
    <w:rsid w:val="00B71188"/>
    <w:rsid w:val="00B76A41"/>
    <w:rsid w:val="00B87D4C"/>
    <w:rsid w:val="00B92F48"/>
    <w:rsid w:val="00B93646"/>
    <w:rsid w:val="00BA0B38"/>
    <w:rsid w:val="00BA1DBB"/>
    <w:rsid w:val="00BA4510"/>
    <w:rsid w:val="00BA529A"/>
    <w:rsid w:val="00BB612A"/>
    <w:rsid w:val="00BD499F"/>
    <w:rsid w:val="00BD56DE"/>
    <w:rsid w:val="00BE010A"/>
    <w:rsid w:val="00BF2406"/>
    <w:rsid w:val="00BF4314"/>
    <w:rsid w:val="00C0630D"/>
    <w:rsid w:val="00C06E43"/>
    <w:rsid w:val="00C16315"/>
    <w:rsid w:val="00C2299F"/>
    <w:rsid w:val="00C3091E"/>
    <w:rsid w:val="00C328E5"/>
    <w:rsid w:val="00C40FF1"/>
    <w:rsid w:val="00C419E2"/>
    <w:rsid w:val="00C4493B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1F50"/>
    <w:rsid w:val="00CB6460"/>
    <w:rsid w:val="00CB6BC1"/>
    <w:rsid w:val="00CB6CB8"/>
    <w:rsid w:val="00CC1A68"/>
    <w:rsid w:val="00CC2123"/>
    <w:rsid w:val="00CC72D1"/>
    <w:rsid w:val="00CD2BFD"/>
    <w:rsid w:val="00CE3A97"/>
    <w:rsid w:val="00CE5651"/>
    <w:rsid w:val="00CE5AD6"/>
    <w:rsid w:val="00CE617F"/>
    <w:rsid w:val="00CE76D9"/>
    <w:rsid w:val="00CE78EF"/>
    <w:rsid w:val="00CF0FC8"/>
    <w:rsid w:val="00CF42FA"/>
    <w:rsid w:val="00D048F7"/>
    <w:rsid w:val="00D0517E"/>
    <w:rsid w:val="00D140FC"/>
    <w:rsid w:val="00D21D8C"/>
    <w:rsid w:val="00D31357"/>
    <w:rsid w:val="00D33220"/>
    <w:rsid w:val="00D334D1"/>
    <w:rsid w:val="00D4492E"/>
    <w:rsid w:val="00D44C89"/>
    <w:rsid w:val="00D516CD"/>
    <w:rsid w:val="00D646B0"/>
    <w:rsid w:val="00D668E6"/>
    <w:rsid w:val="00D70670"/>
    <w:rsid w:val="00D74D80"/>
    <w:rsid w:val="00D76624"/>
    <w:rsid w:val="00D87570"/>
    <w:rsid w:val="00D91CB9"/>
    <w:rsid w:val="00D92999"/>
    <w:rsid w:val="00D97989"/>
    <w:rsid w:val="00D97D8D"/>
    <w:rsid w:val="00DA352E"/>
    <w:rsid w:val="00DA3632"/>
    <w:rsid w:val="00DC7694"/>
    <w:rsid w:val="00DD0002"/>
    <w:rsid w:val="00DD1BF6"/>
    <w:rsid w:val="00DD2F9B"/>
    <w:rsid w:val="00DE2513"/>
    <w:rsid w:val="00DE26E8"/>
    <w:rsid w:val="00DE51FB"/>
    <w:rsid w:val="00DF6F36"/>
    <w:rsid w:val="00E0084C"/>
    <w:rsid w:val="00E025AB"/>
    <w:rsid w:val="00E02B23"/>
    <w:rsid w:val="00E06F40"/>
    <w:rsid w:val="00E07CE8"/>
    <w:rsid w:val="00E26A07"/>
    <w:rsid w:val="00E32595"/>
    <w:rsid w:val="00E32E71"/>
    <w:rsid w:val="00E37CFD"/>
    <w:rsid w:val="00E41A26"/>
    <w:rsid w:val="00E46BCB"/>
    <w:rsid w:val="00E51CAF"/>
    <w:rsid w:val="00E60F04"/>
    <w:rsid w:val="00E62AAC"/>
    <w:rsid w:val="00E67C2F"/>
    <w:rsid w:val="00E67EF5"/>
    <w:rsid w:val="00E7133E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13E8"/>
    <w:rsid w:val="00EC2513"/>
    <w:rsid w:val="00ED1D89"/>
    <w:rsid w:val="00ED5354"/>
    <w:rsid w:val="00ED66BC"/>
    <w:rsid w:val="00EF1785"/>
    <w:rsid w:val="00EF233A"/>
    <w:rsid w:val="00EF303E"/>
    <w:rsid w:val="00EF380F"/>
    <w:rsid w:val="00EF3A40"/>
    <w:rsid w:val="00EF7F78"/>
    <w:rsid w:val="00F01B08"/>
    <w:rsid w:val="00F01C4D"/>
    <w:rsid w:val="00F053FA"/>
    <w:rsid w:val="00F10C97"/>
    <w:rsid w:val="00F11C71"/>
    <w:rsid w:val="00F12E1C"/>
    <w:rsid w:val="00F16019"/>
    <w:rsid w:val="00F20E68"/>
    <w:rsid w:val="00F22093"/>
    <w:rsid w:val="00F236DF"/>
    <w:rsid w:val="00F2442B"/>
    <w:rsid w:val="00F316F9"/>
    <w:rsid w:val="00F43AD5"/>
    <w:rsid w:val="00F4402E"/>
    <w:rsid w:val="00F56DD0"/>
    <w:rsid w:val="00F61BD7"/>
    <w:rsid w:val="00F61D40"/>
    <w:rsid w:val="00F6491C"/>
    <w:rsid w:val="00F67BBB"/>
    <w:rsid w:val="00F75967"/>
    <w:rsid w:val="00F76416"/>
    <w:rsid w:val="00F87D92"/>
    <w:rsid w:val="00F90AA7"/>
    <w:rsid w:val="00F92498"/>
    <w:rsid w:val="00F925D9"/>
    <w:rsid w:val="00F9496B"/>
    <w:rsid w:val="00F970C9"/>
    <w:rsid w:val="00FA06A8"/>
    <w:rsid w:val="00FA3DF5"/>
    <w:rsid w:val="00FA568C"/>
    <w:rsid w:val="00FA741F"/>
    <w:rsid w:val="00FB4E07"/>
    <w:rsid w:val="00FB755A"/>
    <w:rsid w:val="00FC1548"/>
    <w:rsid w:val="00FC1930"/>
    <w:rsid w:val="00FC60A2"/>
    <w:rsid w:val="00FD1871"/>
    <w:rsid w:val="00FD3110"/>
    <w:rsid w:val="00FF1F9D"/>
    <w:rsid w:val="00FF5C3D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022D92"/>
    <w:pPr>
      <w:numPr>
        <w:numId w:val="1"/>
      </w:numPr>
      <w:tabs>
        <w:tab w:val="clear" w:pos="764"/>
        <w:tab w:val="num" w:pos="360"/>
      </w:tabs>
      <w:ind w:left="36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71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133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133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33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56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865838B1BCE4FEA861476EF1C095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566E7E-48BF-4379-AC04-E3A591592CDB}"/>
      </w:docPartPr>
      <w:docPartBody>
        <w:p w:rsidR="00C87D0A" w:rsidRDefault="009B3F5B" w:rsidP="009B3F5B">
          <w:pPr>
            <w:pStyle w:val="3865838B1BCE4FEA861476EF1C095DF0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F446E"/>
    <w:rsid w:val="003B643B"/>
    <w:rsid w:val="00433582"/>
    <w:rsid w:val="00612D60"/>
    <w:rsid w:val="00807DE9"/>
    <w:rsid w:val="009B3F5B"/>
    <w:rsid w:val="00C87D0A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B3F5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865838B1BCE4FEA861476EF1C095DF0">
    <w:name w:val="3865838B1BCE4FEA861476EF1C095DF0"/>
    <w:rsid w:val="009B3F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97442-F8D6-4839-9699-57160DFA6D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06F7B-1E93-475B-A9A4-3D08A9429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D3EF7D-97F6-4927-9792-0EE901F66927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customXml/itemProps4.xml><?xml version="1.0" encoding="utf-8"?>
<ds:datastoreItem xmlns:ds="http://schemas.openxmlformats.org/officeDocument/2006/customXml" ds:itemID="{8E44B179-D531-4E3B-93A7-737B6C194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1260</Words>
  <Characters>7104</Characters>
  <Application>Microsoft Office Word</Application>
  <DocSecurity>0</DocSecurity>
  <Lines>257</Lines>
  <Paragraphs>148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2020-03-25T22:31:00Z</dcterms:created>
  <dcterms:modified xsi:type="dcterms:W3CDTF">2026-01-09T00:59:00Z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2026-01-07T01:28:40Z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e1a3eaea-5d7e-487e-88f9-0fddf6a1bafe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