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A102747" w14:textId="7F0816A6" w:rsidR="00BD499F" w:rsidRPr="004C23F4" w:rsidRDefault="00474DEA" w:rsidP="00B40C60">
          <w:pPr>
            <w:pStyle w:val="Heading1"/>
            <w:jc w:val="center"/>
            <w:rPr>
              <w:rFonts w:ascii="Arial" w:hAnsi="Arial" w:cs="Arial"/>
            </w:rPr>
          </w:pPr>
          <w:r w:rsidRPr="00474DEA">
            <w:rPr>
              <w:rFonts w:ascii="Arial" w:hAnsi="Arial" w:cs="Arial"/>
            </w:rPr>
            <w:t>Propylene glycol dinitrate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7862C72A" w14:textId="77777777" w:rsidTr="00A10552">
        <w:trPr>
          <w:cantSplit/>
          <w:tblHeader/>
        </w:trPr>
        <w:tc>
          <w:tcPr>
            <w:tcW w:w="3987" w:type="dxa"/>
          </w:tcPr>
          <w:p w14:paraId="18BF909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9" w:type="dxa"/>
          </w:tcPr>
          <w:p w14:paraId="081A6A0A" w14:textId="5AF47868" w:rsidR="00F43AD5" w:rsidRPr="00717D45" w:rsidRDefault="00474DEA" w:rsidP="00B76A41">
            <w:pPr>
              <w:pStyle w:val="Tablefont"/>
            </w:pPr>
            <w:r w:rsidRPr="00474DEA">
              <w:t>6423-43-4</w:t>
            </w:r>
          </w:p>
        </w:tc>
      </w:tr>
      <w:tr w:rsidR="00F43AD5" w:rsidRPr="00C82899" w14:paraId="7E8705E2" w14:textId="77777777" w:rsidTr="00A10552">
        <w:trPr>
          <w:cantSplit/>
        </w:trPr>
        <w:tc>
          <w:tcPr>
            <w:tcW w:w="3987" w:type="dxa"/>
          </w:tcPr>
          <w:p w14:paraId="007F85AE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9" w:type="dxa"/>
          </w:tcPr>
          <w:p w14:paraId="37381B95" w14:textId="22CA59B4" w:rsidR="00F43AD5" w:rsidRPr="00B816C0" w:rsidRDefault="00474DEA" w:rsidP="00B76A41">
            <w:pPr>
              <w:pStyle w:val="Tablefont"/>
              <w:rPr>
                <w:lang w:val="it-IT"/>
              </w:rPr>
            </w:pPr>
            <w:r w:rsidRPr="00B816C0">
              <w:rPr>
                <w:lang w:val="it-IT"/>
              </w:rPr>
              <w:t>PGDN, 1,2-propanediol dinitrate, propylene dinitrate, 1,2-propylene glycol dinitrate</w:t>
            </w:r>
            <w:r w:rsidR="002C10ED" w:rsidRPr="00B816C0">
              <w:rPr>
                <w:lang w:val="it-IT"/>
              </w:rPr>
              <w:t xml:space="preserve">; </w:t>
            </w:r>
            <w:r w:rsidR="00454EE4" w:rsidRPr="00B816C0">
              <w:rPr>
                <w:lang w:val="it-IT"/>
              </w:rPr>
              <w:t xml:space="preserve">Otto </w:t>
            </w:r>
            <w:r w:rsidR="002C10ED" w:rsidRPr="00B816C0">
              <w:rPr>
                <w:lang w:val="it-IT"/>
              </w:rPr>
              <w:t>fuel</w:t>
            </w:r>
          </w:p>
        </w:tc>
      </w:tr>
      <w:tr w:rsidR="00F43AD5" w:rsidRPr="004C23F4" w14:paraId="556E3D96" w14:textId="77777777" w:rsidTr="00A10552">
        <w:trPr>
          <w:cantSplit/>
        </w:trPr>
        <w:tc>
          <w:tcPr>
            <w:tcW w:w="3987" w:type="dxa"/>
          </w:tcPr>
          <w:p w14:paraId="1CF9A3D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9" w:type="dxa"/>
          </w:tcPr>
          <w:p w14:paraId="300F48F2" w14:textId="5A62B813" w:rsidR="00F43AD5" w:rsidRPr="00717D45" w:rsidRDefault="00474DEA" w:rsidP="00B76A41">
            <w:pPr>
              <w:pStyle w:val="Tablefont"/>
            </w:pPr>
            <w:r>
              <w:t>C</w:t>
            </w:r>
            <w:r w:rsidRPr="00474DEA">
              <w:rPr>
                <w:vertAlign w:val="subscript"/>
              </w:rPr>
              <w:t>3</w:t>
            </w:r>
            <w:r>
              <w:t>H</w:t>
            </w:r>
            <w:r w:rsidRPr="00474DEA">
              <w:rPr>
                <w:vertAlign w:val="subscript"/>
              </w:rPr>
              <w:t>6</w:t>
            </w:r>
            <w:r>
              <w:t>N</w:t>
            </w:r>
            <w:r w:rsidRPr="00474DEA">
              <w:rPr>
                <w:vertAlign w:val="subscript"/>
              </w:rPr>
              <w:t>2</w:t>
            </w:r>
            <w:r>
              <w:t>O</w:t>
            </w:r>
            <w:r w:rsidRPr="00474DEA">
              <w:rPr>
                <w:vertAlign w:val="subscript"/>
              </w:rPr>
              <w:t>6</w:t>
            </w:r>
          </w:p>
        </w:tc>
      </w:tr>
    </w:tbl>
    <w:p w14:paraId="1B90408C" w14:textId="61F379B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81C74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A74B6CD" w14:textId="77777777" w:rsidTr="00481C74">
        <w:trPr>
          <w:cantSplit/>
          <w:tblHeader/>
        </w:trPr>
        <w:tc>
          <w:tcPr>
            <w:tcW w:w="3997" w:type="dxa"/>
            <w:vAlign w:val="center"/>
          </w:tcPr>
          <w:p w14:paraId="080903FE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5CEAE58A" w14:textId="63339F73" w:rsidR="002C7AFE" w:rsidRPr="00EB3D1B" w:rsidRDefault="00481C7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0.01 ppm </w:t>
            </w:r>
            <w:r w:rsidRPr="00481C74">
              <w:rPr>
                <w:b/>
              </w:rPr>
              <w:t>(0.069 mg/m</w:t>
            </w:r>
            <w:r w:rsidRPr="00481C74">
              <w:rPr>
                <w:b/>
                <w:vertAlign w:val="superscript"/>
              </w:rPr>
              <w:t>3</w:t>
            </w:r>
            <w:r w:rsidRPr="00481C74">
              <w:rPr>
                <w:b/>
              </w:rPr>
              <w:t>)</w:t>
            </w:r>
          </w:p>
        </w:tc>
      </w:tr>
      <w:tr w:rsidR="002C7AFE" w:rsidRPr="004C23F4" w14:paraId="6C8D4A95" w14:textId="77777777" w:rsidTr="00481C74">
        <w:trPr>
          <w:cantSplit/>
        </w:trPr>
        <w:tc>
          <w:tcPr>
            <w:tcW w:w="3997" w:type="dxa"/>
            <w:vAlign w:val="center"/>
          </w:tcPr>
          <w:p w14:paraId="2A959DE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48D69E8C" w14:textId="622C38C6" w:rsidR="002C7AFE" w:rsidRPr="00EB3D1B" w:rsidRDefault="00481C74" w:rsidP="00017C82">
            <w:pPr>
              <w:pStyle w:val="Tablefont"/>
              <w:rPr>
                <w:b/>
              </w:rPr>
            </w:pPr>
            <w:r w:rsidRPr="00474DEA">
              <w:t>—</w:t>
            </w:r>
          </w:p>
        </w:tc>
      </w:tr>
      <w:tr w:rsidR="002C7AFE" w:rsidRPr="004C23F4" w14:paraId="4B8C63D3" w14:textId="77777777" w:rsidTr="00481C74">
        <w:trPr>
          <w:cantSplit/>
        </w:trPr>
        <w:tc>
          <w:tcPr>
            <w:tcW w:w="3997" w:type="dxa"/>
            <w:vAlign w:val="center"/>
          </w:tcPr>
          <w:p w14:paraId="03731B4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71EA7B62" w14:textId="4A97D60E" w:rsidR="002C7AFE" w:rsidRPr="00EB3D1B" w:rsidRDefault="00481C74" w:rsidP="00017C82">
            <w:pPr>
              <w:pStyle w:val="Tablefont"/>
              <w:rPr>
                <w:b/>
              </w:rPr>
            </w:pPr>
            <w:r w:rsidRPr="00474DEA">
              <w:t>—</w:t>
            </w:r>
          </w:p>
        </w:tc>
      </w:tr>
      <w:tr w:rsidR="002C7AFE" w:rsidRPr="004C23F4" w14:paraId="7F4BD6FD" w14:textId="77777777" w:rsidTr="00481C74">
        <w:trPr>
          <w:cantSplit/>
        </w:trPr>
        <w:tc>
          <w:tcPr>
            <w:tcW w:w="3997" w:type="dxa"/>
          </w:tcPr>
          <w:p w14:paraId="63DE6DF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672E8908" w14:textId="292E3CF3" w:rsidR="002C7AFE" w:rsidRPr="00EB3D1B" w:rsidRDefault="00481C74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49D07A86" w14:textId="77777777" w:rsidTr="00481C74">
        <w:trPr>
          <w:cantSplit/>
        </w:trPr>
        <w:tc>
          <w:tcPr>
            <w:tcW w:w="3997" w:type="dxa"/>
            <w:vAlign w:val="center"/>
          </w:tcPr>
          <w:p w14:paraId="1B83950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21F83330" w14:textId="6FE34661" w:rsidR="002C7AFE" w:rsidRPr="00EB3D1B" w:rsidRDefault="00481C74" w:rsidP="00017C82">
            <w:pPr>
              <w:pStyle w:val="Tablefont"/>
              <w:rPr>
                <w:b/>
              </w:rPr>
            </w:pPr>
            <w:r w:rsidRPr="00474DEA">
              <w:t>—</w:t>
            </w:r>
          </w:p>
        </w:tc>
      </w:tr>
      <w:tr w:rsidR="00481C74" w:rsidRPr="004C23F4" w14:paraId="088D3EB7" w14:textId="77777777" w:rsidTr="00461457">
        <w:trPr>
          <w:cantSplit/>
        </w:trPr>
        <w:tc>
          <w:tcPr>
            <w:tcW w:w="9026" w:type="dxa"/>
            <w:gridSpan w:val="2"/>
            <w:vAlign w:val="center"/>
          </w:tcPr>
          <w:p w14:paraId="3F5DB248" w14:textId="46062673" w:rsidR="00481C74" w:rsidRPr="00EB3D1B" w:rsidRDefault="00481C74" w:rsidP="00481C74">
            <w:pPr>
              <w:pStyle w:val="Tablerowright"/>
              <w:jc w:val="left"/>
              <w:rPr>
                <w:b w:val="0"/>
              </w:rPr>
            </w:pPr>
            <w:r>
              <w:t xml:space="preserve">Sampling and analysis: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A1D6049286C848C8856F9955B7AE54B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81C74"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DAB9BB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B80AB65" w14:textId="240D94B8" w:rsidR="006639B4" w:rsidRPr="004C23F4" w:rsidRDefault="0097007E" w:rsidP="000C139A">
      <w:pPr>
        <w:rPr>
          <w:rFonts w:cs="Arial"/>
        </w:rPr>
      </w:pPr>
      <w:r w:rsidRPr="0097007E">
        <w:rPr>
          <w:rFonts w:cs="Arial"/>
        </w:rPr>
        <w:t>A TWA of 0.01 ppm (0.063 mg/m</w:t>
      </w:r>
      <w:r w:rsidRPr="002C10ED">
        <w:rPr>
          <w:rFonts w:cs="Arial"/>
          <w:vertAlign w:val="superscript"/>
        </w:rPr>
        <w:t>3</w:t>
      </w:r>
      <w:r w:rsidRPr="0097007E">
        <w:rPr>
          <w:rFonts w:cs="Arial"/>
        </w:rPr>
        <w:t xml:space="preserve">) is recommended to protect for adverse cardiovascular effects </w:t>
      </w:r>
      <w:r>
        <w:rPr>
          <w:rFonts w:cs="Arial"/>
        </w:rPr>
        <w:t xml:space="preserve">resulting in headaches </w:t>
      </w:r>
      <w:r w:rsidRPr="0097007E">
        <w:rPr>
          <w:rFonts w:cs="Arial"/>
        </w:rPr>
        <w:t>in exposed workers</w:t>
      </w:r>
      <w:r>
        <w:rPr>
          <w:rFonts w:cs="Arial"/>
        </w:rPr>
        <w:t>.</w:t>
      </w:r>
    </w:p>
    <w:p w14:paraId="023C103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14A4660" w14:textId="77777777" w:rsidR="00383327" w:rsidRDefault="0097007E" w:rsidP="006639B4">
      <w:pPr>
        <w:rPr>
          <w:rFonts w:cs="Arial"/>
        </w:rPr>
      </w:pPr>
      <w:r>
        <w:rPr>
          <w:rFonts w:cs="Arial"/>
        </w:rPr>
        <w:t xml:space="preserve">Propylene glycol dinitrate (PGDN) is used in propellants in torpedo manufacture. </w:t>
      </w:r>
    </w:p>
    <w:p w14:paraId="67D61693" w14:textId="77777777" w:rsidR="002F3281" w:rsidRDefault="0097007E" w:rsidP="006639B4">
      <w:r>
        <w:rPr>
          <w:rFonts w:cs="Arial"/>
        </w:rPr>
        <w:t xml:space="preserve">Critical effects </w:t>
      </w:r>
      <w:r w:rsidR="002C10ED">
        <w:rPr>
          <w:rFonts w:cs="Arial"/>
        </w:rPr>
        <w:t xml:space="preserve">of exposure </w:t>
      </w:r>
      <w:r>
        <w:rPr>
          <w:rFonts w:cs="Arial"/>
        </w:rPr>
        <w:t>are to the cardiovascular system</w:t>
      </w:r>
      <w:r w:rsidR="00E202E2">
        <w:rPr>
          <w:rFonts w:cs="Arial"/>
        </w:rPr>
        <w:t>.</w:t>
      </w:r>
      <w:r w:rsidR="00E202E2" w:rsidRPr="00E202E2">
        <w:t xml:space="preserve"> </w:t>
      </w:r>
    </w:p>
    <w:p w14:paraId="5546F59B" w14:textId="74BD43B2" w:rsidR="006639B4" w:rsidRDefault="00E202E2" w:rsidP="006639B4">
      <w:pPr>
        <w:rPr>
          <w:rFonts w:cs="Arial"/>
        </w:rPr>
      </w:pPr>
      <w:r>
        <w:t>Vasodilation and subsequent</w:t>
      </w:r>
      <w:r w:rsidR="00C82899">
        <w:t xml:space="preserve"> decrease in</w:t>
      </w:r>
      <w:r w:rsidR="0097007E">
        <w:rPr>
          <w:rFonts w:cs="Arial"/>
        </w:rPr>
        <w:t xml:space="preserve"> blood pressure and headaches in human volunteers</w:t>
      </w:r>
      <w:r w:rsidR="00383327">
        <w:rPr>
          <w:rFonts w:cs="Arial"/>
        </w:rPr>
        <w:t xml:space="preserve"> are</w:t>
      </w:r>
      <w:r w:rsidR="0097007E">
        <w:rPr>
          <w:rFonts w:cs="Arial"/>
        </w:rPr>
        <w:t xml:space="preserve"> </w:t>
      </w:r>
      <w:r w:rsidR="00CE61BA">
        <w:rPr>
          <w:rFonts w:cs="Arial"/>
        </w:rPr>
        <w:t xml:space="preserve">reported at </w:t>
      </w:r>
      <w:r w:rsidR="0097007E">
        <w:rPr>
          <w:rFonts w:cs="Arial"/>
        </w:rPr>
        <w:t>levels greater than 0.03 ppm (</w:t>
      </w:r>
      <w:r w:rsidR="009D2917">
        <w:rPr>
          <w:rFonts w:cs="Arial"/>
        </w:rPr>
        <w:t>DFG</w:t>
      </w:r>
      <w:r w:rsidR="0097007E">
        <w:rPr>
          <w:rFonts w:cs="Arial"/>
        </w:rPr>
        <w:t>,</w:t>
      </w:r>
      <w:r w:rsidR="009D2917">
        <w:rPr>
          <w:rFonts w:cs="Arial"/>
        </w:rPr>
        <w:t xml:space="preserve"> </w:t>
      </w:r>
      <w:r w:rsidR="0097007E">
        <w:rPr>
          <w:rFonts w:cs="Arial"/>
        </w:rPr>
        <w:t xml:space="preserve">2017). </w:t>
      </w:r>
      <w:r w:rsidR="0097007E">
        <w:t xml:space="preserve">A </w:t>
      </w:r>
      <w:r w:rsidR="009D26A8">
        <w:t xml:space="preserve">NOAEC </w:t>
      </w:r>
      <w:r w:rsidR="0097007E">
        <w:t xml:space="preserve">of 0.01 ppm for the onset of headaches with a corresponding LOAEL of 0.03 ppm are reported for workers exposed to </w:t>
      </w:r>
      <w:proofErr w:type="spellStart"/>
      <w:r w:rsidR="0097007E">
        <w:t>nitroglycerin</w:t>
      </w:r>
      <w:r w:rsidR="00454EE4">
        <w:t>e</w:t>
      </w:r>
      <w:proofErr w:type="spellEnd"/>
      <w:r w:rsidR="0097007E">
        <w:t xml:space="preserve"> (DFG, 2017).</w:t>
      </w:r>
      <w:r w:rsidR="00383327">
        <w:t xml:space="preserve"> </w:t>
      </w:r>
      <w:r w:rsidR="00383327">
        <w:rPr>
          <w:rFonts w:cs="Arial"/>
        </w:rPr>
        <w:t>No substance-specific carcinogenicity studies are available</w:t>
      </w:r>
      <w:r w:rsidR="00A10552">
        <w:rPr>
          <w:rFonts w:cs="Arial"/>
        </w:rPr>
        <w:t>. PGDN</w:t>
      </w:r>
      <w:r w:rsidR="00383327">
        <w:rPr>
          <w:rFonts w:cs="Arial"/>
        </w:rPr>
        <w:t xml:space="preserve"> is expected to be non-genotoxic by analogy to the structurally related </w:t>
      </w:r>
      <w:proofErr w:type="spellStart"/>
      <w:r w:rsidR="00383327">
        <w:rPr>
          <w:rFonts w:cs="Arial"/>
        </w:rPr>
        <w:t>nitroglycerine</w:t>
      </w:r>
      <w:proofErr w:type="spellEnd"/>
      <w:r w:rsidR="00383327">
        <w:rPr>
          <w:rFonts w:cs="Arial"/>
        </w:rPr>
        <w:t xml:space="preserve">, which has similar toxic effects (DFG, 2017). </w:t>
      </w:r>
    </w:p>
    <w:p w14:paraId="50A247F8" w14:textId="6140CB45" w:rsidR="0097007E" w:rsidRDefault="002F3281" w:rsidP="006639B4">
      <w:r>
        <w:t xml:space="preserve">The </w:t>
      </w:r>
      <w:r w:rsidR="0097007E">
        <w:t xml:space="preserve">TWA of 0.01 ppm </w:t>
      </w:r>
      <w:r w:rsidR="002C10ED" w:rsidRPr="0097007E">
        <w:rPr>
          <w:rFonts w:cs="Arial"/>
        </w:rPr>
        <w:t>(0.063 mg/m</w:t>
      </w:r>
      <w:r w:rsidR="002C10ED" w:rsidRPr="002C10ED">
        <w:rPr>
          <w:rFonts w:cs="Arial"/>
          <w:vertAlign w:val="superscript"/>
        </w:rPr>
        <w:t>3</w:t>
      </w:r>
      <w:r w:rsidR="002C10ED" w:rsidRPr="0097007E">
        <w:rPr>
          <w:rFonts w:cs="Arial"/>
        </w:rPr>
        <w:t xml:space="preserve">) </w:t>
      </w:r>
      <w:r>
        <w:rPr>
          <w:rFonts w:cs="Arial"/>
        </w:rPr>
        <w:t xml:space="preserve">by </w:t>
      </w:r>
      <w:r>
        <w:t>DFG (2017)</w:t>
      </w:r>
      <w:r w:rsidR="00C95CC0">
        <w:t xml:space="preserve"> </w:t>
      </w:r>
      <w:r w:rsidR="0097007E">
        <w:t xml:space="preserve">is recommended based on a weight of evidence from analogous </w:t>
      </w:r>
      <w:proofErr w:type="spellStart"/>
      <w:r w:rsidR="0097007E">
        <w:t>nitroglycerine</w:t>
      </w:r>
      <w:proofErr w:type="spellEnd"/>
      <w:r w:rsidR="0097007E">
        <w:t xml:space="preserve"> data, which indicate adverse cardiovascular effects are not expected below this concentration. </w:t>
      </w:r>
    </w:p>
    <w:p w14:paraId="1E491D2B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86A3006" w14:textId="7B6CB2C6" w:rsidR="00474DEA" w:rsidRPr="009475A9" w:rsidRDefault="00474DEA" w:rsidP="00474DEA">
      <w:pPr>
        <w:rPr>
          <w:rFonts w:cs="Arial"/>
        </w:rPr>
      </w:pPr>
      <w:r w:rsidRPr="009475A9">
        <w:rPr>
          <w:rFonts w:cs="Arial"/>
        </w:rPr>
        <w:t>Not classified as a carcinogen according to the Globally Harmonized System of Classification and Labelling o</w:t>
      </w:r>
      <w:r w:rsidR="002C10ED">
        <w:rPr>
          <w:rFonts w:cs="Arial"/>
        </w:rPr>
        <w:t>f</w:t>
      </w:r>
      <w:r w:rsidRPr="009475A9">
        <w:rPr>
          <w:rFonts w:cs="Arial"/>
        </w:rPr>
        <w:t xml:space="preserve"> Chemicals (GHS). </w:t>
      </w:r>
    </w:p>
    <w:p w14:paraId="3CC10FA6" w14:textId="1BC1C7EB" w:rsidR="00474DEA" w:rsidRPr="009475A9" w:rsidRDefault="00474DEA" w:rsidP="00474DEA">
      <w:pPr>
        <w:rPr>
          <w:rFonts w:cs="Arial"/>
        </w:rPr>
      </w:pPr>
      <w:r w:rsidRPr="009475A9">
        <w:rPr>
          <w:rFonts w:cs="Arial"/>
        </w:rPr>
        <w:t>Not classified as a skin</w:t>
      </w:r>
      <w:r w:rsidR="002C10ED">
        <w:rPr>
          <w:rFonts w:cs="Arial"/>
        </w:rPr>
        <w:t xml:space="preserve"> sensitiser</w:t>
      </w:r>
      <w:r w:rsidRPr="009475A9">
        <w:rPr>
          <w:rFonts w:cs="Arial"/>
        </w:rPr>
        <w:t xml:space="preserve"> or respiratory sensitiser according to the GHS.</w:t>
      </w:r>
    </w:p>
    <w:p w14:paraId="1315CFFE" w14:textId="2383CFC6" w:rsidR="005E6979" w:rsidRPr="004C23F4" w:rsidRDefault="009475A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45121A">
        <w:rPr>
          <w:rFonts w:cs="Arial"/>
        </w:rPr>
        <w:t xml:space="preserve">A skin notation </w:t>
      </w:r>
      <w:r>
        <w:rPr>
          <w:rFonts w:cs="Arial"/>
        </w:rPr>
        <w:t>is</w:t>
      </w:r>
      <w:r w:rsidRPr="0045121A">
        <w:rPr>
          <w:rFonts w:cs="Arial"/>
        </w:rPr>
        <w:t xml:space="preserve"> recommended based on evidence </w:t>
      </w:r>
      <w:r>
        <w:rPr>
          <w:rFonts w:cs="Arial"/>
        </w:rPr>
        <w:t>for</w:t>
      </w:r>
      <w:r w:rsidRPr="0045121A">
        <w:rPr>
          <w:rFonts w:cs="Arial"/>
        </w:rPr>
        <w:t xml:space="preserve"> dermal absorption and adverse systemic effects in </w:t>
      </w:r>
      <w:r>
        <w:rPr>
          <w:rFonts w:cs="Arial"/>
        </w:rPr>
        <w:t xml:space="preserve">humans and </w:t>
      </w:r>
      <w:r w:rsidRPr="0045121A">
        <w:rPr>
          <w:rFonts w:cs="Arial"/>
        </w:rPr>
        <w:t>animals</w:t>
      </w:r>
      <w:r>
        <w:rPr>
          <w:rFonts w:cs="Arial"/>
        </w:rPr>
        <w:t>.</w:t>
      </w:r>
    </w:p>
    <w:p w14:paraId="46D90330" w14:textId="0639C8F8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</w:t>
      </w:r>
      <w:r w:rsidR="002C10ED">
        <w:rPr>
          <w:rFonts w:ascii="Arial" w:hAnsi="Arial" w:cs="Arial"/>
        </w:rPr>
        <w:t>IX</w:t>
      </w:r>
    </w:p>
    <w:p w14:paraId="0E5C1FF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CEC0F03" w14:textId="77777777" w:rsidTr="00B1778B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F42B37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24286F7" w14:textId="77777777" w:rsidTr="00B1778B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708A8DA" w14:textId="0EB53D4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74DE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74DEA">
                  <w:t xml:space="preserve">TWA: </w:t>
                </w:r>
                <w:r w:rsidR="00003A34">
                  <w:t>0.05 ppm (0.34 mg/m</w:t>
                </w:r>
                <w:r w:rsidR="00003A34" w:rsidRPr="00003A34">
                  <w:rPr>
                    <w:vertAlign w:val="superscript"/>
                  </w:rPr>
                  <w:t>3</w:t>
                </w:r>
                <w:r w:rsidR="00003A34">
                  <w:t>)</w:t>
                </w:r>
              </w:sdtContent>
            </w:sdt>
          </w:p>
        </w:tc>
      </w:tr>
      <w:tr w:rsidR="00C978F0" w:rsidRPr="00DA352E" w14:paraId="70A46CCB" w14:textId="77777777" w:rsidTr="00B1778B">
        <w:trPr>
          <w:gridAfter w:val="1"/>
          <w:wAfter w:w="8" w:type="pct"/>
          <w:cantSplit/>
        </w:trPr>
        <w:tc>
          <w:tcPr>
            <w:tcW w:w="4992" w:type="pct"/>
          </w:tcPr>
          <w:p w14:paraId="3D408E6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423ED3B" w14:textId="77777777" w:rsidTr="00B1778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EEA459" w14:textId="49EEB69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03A3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03A34">
                  <w:t>TLV-TWA: 0.05 ppm (0.34 mg/m</w:t>
                </w:r>
                <w:r w:rsidR="00003A34" w:rsidRPr="00003A34">
                  <w:rPr>
                    <w:vertAlign w:val="superscript"/>
                  </w:rPr>
                  <w:t>3</w:t>
                </w:r>
                <w:r w:rsidR="00003A34">
                  <w:t>)</w:t>
                </w:r>
              </w:sdtContent>
            </w:sdt>
          </w:p>
        </w:tc>
      </w:tr>
      <w:tr w:rsidR="00C978F0" w:rsidRPr="00DA352E" w14:paraId="154F9B61" w14:textId="77777777" w:rsidTr="00B1778B">
        <w:trPr>
          <w:gridAfter w:val="1"/>
          <w:wAfter w:w="8" w:type="pct"/>
          <w:cantSplit/>
        </w:trPr>
        <w:tc>
          <w:tcPr>
            <w:tcW w:w="4992" w:type="pct"/>
          </w:tcPr>
          <w:p w14:paraId="143E01BB" w14:textId="31C8020F" w:rsidR="009D6F6B" w:rsidRDefault="009D6F6B" w:rsidP="009D6F6B">
            <w:pPr>
              <w:pStyle w:val="Tabletextprimarysource"/>
            </w:pPr>
            <w:r>
              <w:t xml:space="preserve">TLV-TWA recommended to minimise potential for headaches due to vasodilation and subsequent reduced blood pressure. </w:t>
            </w:r>
          </w:p>
          <w:p w14:paraId="29D50C85" w14:textId="77777777" w:rsidR="009D6F6B" w:rsidRDefault="009D6F6B" w:rsidP="009D6F6B">
            <w:pPr>
              <w:pStyle w:val="Tabletextprimarysource"/>
            </w:pPr>
            <w:r>
              <w:t>Summary of data:</w:t>
            </w:r>
          </w:p>
          <w:p w14:paraId="727AC3E2" w14:textId="2759AC53" w:rsidR="00640BEA" w:rsidRDefault="009D6F6B" w:rsidP="009D6F6B">
            <w:pPr>
              <w:pStyle w:val="Tabletextprimarysource"/>
            </w:pPr>
            <w:r>
              <w:t xml:space="preserve">TLV-TWA based on human case studies, primarily from workers employed in a torpedo manufacturing industry and by direct analogy to the ethylene glycol dinitrate (EGDN). TLV-TWA expected to be protective of effects from vasodilation observed </w:t>
            </w:r>
            <w:r w:rsidR="004F3AC0">
              <w:t>&gt;</w:t>
            </w:r>
            <w:r>
              <w:t>0.2 ppm.</w:t>
            </w:r>
            <w:r w:rsidR="00A25AB9">
              <w:t xml:space="preserve"> </w:t>
            </w:r>
          </w:p>
          <w:p w14:paraId="5B51677F" w14:textId="7CB3B3BA" w:rsidR="00A25AB9" w:rsidRDefault="00A25AB9" w:rsidP="009D6F6B">
            <w:pPr>
              <w:pStyle w:val="Tabletextprimarysource"/>
            </w:pPr>
            <w:r>
              <w:t>Human data:</w:t>
            </w:r>
          </w:p>
          <w:p w14:paraId="0D622B53" w14:textId="2B8D240B" w:rsidR="00D048E0" w:rsidRDefault="00D048E0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Volunteers inhaled 0.2 ppm experienced headaches and disruption in visual evoked response tests</w:t>
            </w:r>
          </w:p>
          <w:p w14:paraId="60AC7EDB" w14:textId="5ECBC26F" w:rsidR="00DD3F3A" w:rsidRDefault="00DD3F3A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Tolerance to headaches acquired from repeated exposure (8 h) at 0.2 ppm</w:t>
            </w:r>
          </w:p>
          <w:p w14:paraId="7807BE86" w14:textId="2019E23A" w:rsidR="00D048E0" w:rsidRDefault="00D048E0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Exposures to 0.5 ppm </w:t>
            </w:r>
            <w:r w:rsidR="00DD3F3A">
              <w:t xml:space="preserve">for </w:t>
            </w:r>
            <w:r w:rsidR="002C10ED">
              <w:t>&gt;</w:t>
            </w:r>
            <w:r w:rsidR="00DD3F3A">
              <w:t>6.5</w:t>
            </w:r>
            <w:r w:rsidR="00383327">
              <w:t xml:space="preserve"> </w:t>
            </w:r>
            <w:r w:rsidR="00DD3F3A">
              <w:t xml:space="preserve">h produced </w:t>
            </w:r>
            <w:r w:rsidR="00383327">
              <w:t xml:space="preserve">balance </w:t>
            </w:r>
            <w:r w:rsidR="00DD3F3A">
              <w:t>impairment</w:t>
            </w:r>
          </w:p>
          <w:p w14:paraId="7424824A" w14:textId="67A3692D" w:rsidR="00DD3F3A" w:rsidRDefault="00DD3F3A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Ocular irritation occurred with 40 min exposures </w:t>
            </w:r>
            <w:r w:rsidR="00383327">
              <w:t>at</w:t>
            </w:r>
            <w:r>
              <w:t xml:space="preserve"> 1.5 ppm</w:t>
            </w:r>
          </w:p>
          <w:p w14:paraId="477ACBDE" w14:textId="77777777" w:rsidR="00C95CC0" w:rsidRDefault="00DD3F3A" w:rsidP="00C95CC0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 xml:space="preserve">No biochemical or haematological effects observed in male volunteers exposed </w:t>
            </w:r>
            <w:r w:rsidR="00383327">
              <w:t>at</w:t>
            </w:r>
            <w:r>
              <w:t xml:space="preserve"> </w:t>
            </w:r>
          </w:p>
          <w:p w14:paraId="1E6F334D" w14:textId="501B6EE9" w:rsidR="00DD3F3A" w:rsidRDefault="00DD3F3A" w:rsidP="00C95CC0">
            <w:pPr>
              <w:pStyle w:val="ListBullet"/>
              <w:numPr>
                <w:ilvl w:val="0"/>
                <w:numId w:val="0"/>
              </w:numPr>
              <w:spacing w:before="60" w:after="60"/>
              <w:ind w:left="720"/>
              <w:contextualSpacing w:val="0"/>
            </w:pPr>
            <w:r>
              <w:t>0.3</w:t>
            </w:r>
            <w:r w:rsidR="00C95CC0">
              <w:t>–</w:t>
            </w:r>
            <w:r>
              <w:t>1.5</w:t>
            </w:r>
            <w:r w:rsidR="00B816C0">
              <w:t> </w:t>
            </w:r>
            <w:r>
              <w:t>ppm</w:t>
            </w:r>
          </w:p>
          <w:p w14:paraId="1502E580" w14:textId="46BC3EC5" w:rsidR="00A25AB9" w:rsidRDefault="00A25AB9" w:rsidP="00454EE4">
            <w:pPr>
              <w:pStyle w:val="ListBullet"/>
              <w:spacing w:before="60" w:after="60"/>
              <w:ind w:left="714" w:hanging="357"/>
              <w:contextualSpacing w:val="0"/>
            </w:pPr>
            <w:r w:rsidRPr="00A25AB9">
              <w:t xml:space="preserve">No </w:t>
            </w:r>
            <w:r>
              <w:t>chronic neurotoxicity</w:t>
            </w:r>
            <w:r w:rsidRPr="00A25AB9">
              <w:t xml:space="preserve"> effects noted in </w:t>
            </w:r>
            <w:r>
              <w:t xml:space="preserve">torpedo </w:t>
            </w:r>
            <w:r w:rsidRPr="00A25AB9">
              <w:t>industr</w:t>
            </w:r>
            <w:r>
              <w:t>y workplace t</w:t>
            </w:r>
            <w:r w:rsidRPr="00A25AB9">
              <w:t xml:space="preserve">hat maintained </w:t>
            </w:r>
            <w:r w:rsidR="00AB5098">
              <w:t xml:space="preserve">peak </w:t>
            </w:r>
            <w:r>
              <w:t xml:space="preserve">exposures </w:t>
            </w:r>
            <w:r w:rsidR="004F3AC0">
              <w:rPr>
                <w:rFonts w:cs="Arial"/>
              </w:rPr>
              <w:t>≤</w:t>
            </w:r>
            <w:r w:rsidRPr="00A25AB9">
              <w:t>0.1 ppm</w:t>
            </w:r>
            <w:r>
              <w:t xml:space="preserve"> (90% of the time)</w:t>
            </w:r>
          </w:p>
          <w:p w14:paraId="6B686E1C" w14:textId="428333FB" w:rsidR="00DD3F3A" w:rsidRDefault="00DD3F3A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One c</w:t>
            </w:r>
            <w:r w:rsidR="00AB5098">
              <w:t>ase study suggests dermal absorption</w:t>
            </w:r>
            <w:r>
              <w:t xml:space="preserve"> from liquid spill </w:t>
            </w:r>
            <w:proofErr w:type="gramStart"/>
            <w:r>
              <w:t>lead</w:t>
            </w:r>
            <w:proofErr w:type="gramEnd"/>
            <w:r>
              <w:t xml:space="preserve"> to headache</w:t>
            </w:r>
            <w:r w:rsidR="00052DC4">
              <w:t>.</w:t>
            </w:r>
          </w:p>
          <w:p w14:paraId="7AAEB381" w14:textId="77777777" w:rsidR="00DD3F3A" w:rsidRDefault="00DD3F3A" w:rsidP="00DD3F3A">
            <w:pPr>
              <w:pStyle w:val="Tabletextprimarysource"/>
            </w:pPr>
            <w:r>
              <w:t>Animal data:</w:t>
            </w:r>
          </w:p>
          <w:p w14:paraId="679696BE" w14:textId="62DCA10E" w:rsidR="00DD3F3A" w:rsidRDefault="00DD3F3A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Limited </w:t>
            </w:r>
            <w:r w:rsidR="0069384F">
              <w:t xml:space="preserve">acute </w:t>
            </w:r>
            <w:r>
              <w:t>animal inhalation data</w:t>
            </w:r>
          </w:p>
          <w:p w14:paraId="451B7C23" w14:textId="353B649C" w:rsidR="0069384F" w:rsidRDefault="0069384F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</w:t>
            </w:r>
            <w:r w:rsidR="00383327">
              <w:t>C</w:t>
            </w:r>
            <w:r>
              <w:t xml:space="preserve"> 10 ppm inhaled 7h/d</w:t>
            </w:r>
            <w:r w:rsidR="00481C74">
              <w:t xml:space="preserve"> 5d/w</w:t>
            </w:r>
            <w:r>
              <w:t xml:space="preserve"> (rats, 30 d)</w:t>
            </w:r>
            <w:r w:rsidR="00481C74">
              <w:t xml:space="preserve"> </w:t>
            </w:r>
          </w:p>
          <w:p w14:paraId="50DDDB5E" w14:textId="3EC0DD50" w:rsidR="00984416" w:rsidRDefault="00984416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984416">
              <w:rPr>
                <w:vertAlign w:val="subscript"/>
              </w:rPr>
              <w:t>50</w:t>
            </w:r>
            <w:r w:rsidR="004F3AC0">
              <w:t>:</w:t>
            </w:r>
            <w:r>
              <w:t xml:space="preserve"> &gt;1,200 mg/kg (mouse, subcutaneous)</w:t>
            </w:r>
          </w:p>
          <w:p w14:paraId="4B391123" w14:textId="5E9D3A99" w:rsidR="00052DC4" w:rsidRDefault="0069384F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Subacute dermal toxicity indicates skin irritation leading to cyanosis and profound dyspnoea at 2g/kg (rabbits, 20 d)</w:t>
            </w:r>
            <w:r w:rsidR="00052DC4">
              <w:t xml:space="preserve"> </w:t>
            </w:r>
          </w:p>
          <w:p w14:paraId="2EF92C12" w14:textId="229D274A" w:rsidR="0069384F" w:rsidRDefault="00052DC4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ADME, mutagenicity or carcinogenicity data presented.</w:t>
            </w:r>
          </w:p>
          <w:p w14:paraId="2CD4B606" w14:textId="77777777" w:rsidR="00383327" w:rsidRDefault="00383327" w:rsidP="00640BEA">
            <w:pPr>
              <w:pStyle w:val="Tabletextprimarysource"/>
            </w:pPr>
          </w:p>
          <w:p w14:paraId="7246A389" w14:textId="77777777" w:rsidR="00383327" w:rsidRDefault="00640BEA" w:rsidP="00640BEA">
            <w:pPr>
              <w:pStyle w:val="Tabletextprimarysource"/>
            </w:pPr>
            <w:r>
              <w:t xml:space="preserve">Insufficient data to recommend a TLV-STEL or notations for carcinogenicity and sensitisation. </w:t>
            </w:r>
          </w:p>
          <w:p w14:paraId="4175421A" w14:textId="77777777" w:rsidR="00A25AB9" w:rsidRDefault="00640BEA" w:rsidP="00640BEA">
            <w:pPr>
              <w:pStyle w:val="Tabletextprimarysource"/>
            </w:pPr>
            <w:r>
              <w:t>Due to case studies and analogous link to EGDN a skin notation is warranted due to systemic effects observed following skin absorption.</w:t>
            </w:r>
          </w:p>
          <w:p w14:paraId="0150D6DD" w14:textId="336EEC8A" w:rsidR="00383327" w:rsidRPr="00DA352E" w:rsidRDefault="00383327" w:rsidP="00640BEA">
            <w:pPr>
              <w:pStyle w:val="Tabletextprimarysource"/>
            </w:pPr>
          </w:p>
        </w:tc>
      </w:tr>
      <w:tr w:rsidR="00C978F0" w:rsidRPr="00DA352E" w14:paraId="248E8C89" w14:textId="77777777" w:rsidTr="00B1778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088978" w14:textId="2C5D146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03A34">
                  <w:t>2017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03A34">
                  <w:t>MAK: 0.01 ppm (0.069 mg/m</w:t>
                </w:r>
                <w:r w:rsidR="00003A34" w:rsidRPr="00003A34">
                  <w:rPr>
                    <w:vertAlign w:val="superscript"/>
                  </w:rPr>
                  <w:t>3</w:t>
                </w:r>
                <w:r w:rsidR="00003A34">
                  <w:t>)</w:t>
                </w:r>
              </w:sdtContent>
            </w:sdt>
          </w:p>
        </w:tc>
      </w:tr>
      <w:tr w:rsidR="00C978F0" w:rsidRPr="00DA352E" w14:paraId="4D9B064F" w14:textId="77777777" w:rsidTr="00B1778B">
        <w:trPr>
          <w:gridAfter w:val="1"/>
          <w:wAfter w:w="8" w:type="pct"/>
        </w:trPr>
        <w:tc>
          <w:tcPr>
            <w:tcW w:w="4992" w:type="pct"/>
          </w:tcPr>
          <w:p w14:paraId="64856DFD" w14:textId="29B6A6A7" w:rsidR="00C978F0" w:rsidRDefault="0069384F" w:rsidP="003365A5">
            <w:pPr>
              <w:pStyle w:val="Tabletextprimarysource"/>
            </w:pPr>
            <w:r w:rsidRPr="0069384F">
              <w:t xml:space="preserve">MAK based on analogy to </w:t>
            </w:r>
            <w:proofErr w:type="spellStart"/>
            <w:r w:rsidR="00052DC4" w:rsidRPr="0069384F">
              <w:t>nitroglycerine</w:t>
            </w:r>
            <w:proofErr w:type="spellEnd"/>
            <w:r>
              <w:t xml:space="preserve"> and </w:t>
            </w:r>
            <w:r w:rsidR="00383327">
              <w:t>EGDN</w:t>
            </w:r>
            <w:r w:rsidRPr="0069384F">
              <w:t xml:space="preserve">, which </w:t>
            </w:r>
            <w:r>
              <w:t>have</w:t>
            </w:r>
            <w:r w:rsidRPr="0069384F">
              <w:t xml:space="preserve"> the</w:t>
            </w:r>
            <w:r w:rsidR="00052DC4">
              <w:t xml:space="preserve"> same mechanism of action and with </w:t>
            </w:r>
            <w:r w:rsidR="009D26A8">
              <w:t>N</w:t>
            </w:r>
            <w:r w:rsidR="009D26A8" w:rsidRPr="0069384F">
              <w:t>OAE</w:t>
            </w:r>
            <w:r w:rsidR="009D26A8">
              <w:t>C</w:t>
            </w:r>
            <w:r w:rsidR="009D26A8" w:rsidRPr="0069384F">
              <w:t xml:space="preserve"> </w:t>
            </w:r>
            <w:r w:rsidRPr="0069384F">
              <w:t>of 0.0</w:t>
            </w:r>
            <w:r>
              <w:t>3</w:t>
            </w:r>
            <w:r w:rsidRPr="0069384F">
              <w:t xml:space="preserve"> ppm in volunteers exposed. </w:t>
            </w:r>
            <w:r w:rsidR="00052DC4">
              <w:t xml:space="preserve">True </w:t>
            </w:r>
            <w:r w:rsidRPr="0069384F">
              <w:t>NOAE</w:t>
            </w:r>
            <w:r w:rsidR="00B816C0">
              <w:t>C</w:t>
            </w:r>
            <w:r w:rsidRPr="0069384F">
              <w:t xml:space="preserve"> expected to be near 0.01 ppm due to </w:t>
            </w:r>
            <w:r w:rsidR="00052DC4">
              <w:t>potential dermal</w:t>
            </w:r>
            <w:r w:rsidRPr="0069384F">
              <w:t xml:space="preserve"> </w:t>
            </w:r>
            <w:r w:rsidR="00052DC4">
              <w:t>absorption</w:t>
            </w:r>
            <w:r w:rsidRPr="0069384F">
              <w:t xml:space="preserve"> </w:t>
            </w:r>
            <w:r w:rsidR="00052DC4">
              <w:t xml:space="preserve">(skin and respiratory tract) </w:t>
            </w:r>
            <w:r w:rsidRPr="0069384F">
              <w:t>and is supported by a</w:t>
            </w:r>
            <w:r w:rsidR="00052DC4">
              <w:t>nalogy to</w:t>
            </w:r>
            <w:r w:rsidRPr="0069384F">
              <w:t xml:space="preserve"> </w:t>
            </w:r>
            <w:r w:rsidR="009D26A8" w:rsidRPr="0069384F">
              <w:t>NOAE</w:t>
            </w:r>
            <w:r w:rsidR="009D26A8">
              <w:t>C</w:t>
            </w:r>
            <w:r w:rsidR="009D26A8" w:rsidRPr="0069384F">
              <w:t xml:space="preserve"> </w:t>
            </w:r>
            <w:r w:rsidRPr="0069384F">
              <w:t xml:space="preserve">of 0.01 ppm in workers exposed to </w:t>
            </w:r>
            <w:proofErr w:type="spellStart"/>
            <w:r w:rsidR="00052DC4" w:rsidRPr="0069384F">
              <w:t>nitroglycerine</w:t>
            </w:r>
            <w:proofErr w:type="spellEnd"/>
            <w:r w:rsidRPr="0069384F">
              <w:t>.</w:t>
            </w:r>
          </w:p>
          <w:p w14:paraId="617B7ADF" w14:textId="77777777" w:rsidR="00052DC4" w:rsidRDefault="00052DC4" w:rsidP="00052DC4">
            <w:pPr>
              <w:pStyle w:val="Tabletextprimarysource"/>
            </w:pPr>
            <w:r>
              <w:t>Human data:</w:t>
            </w:r>
          </w:p>
          <w:p w14:paraId="59259820" w14:textId="0F21D90F" w:rsidR="00052DC4" w:rsidRDefault="00052DC4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Vasodilation identified as the critical effect</w:t>
            </w:r>
            <w:r w:rsidR="005F41F9">
              <w:t>:</w:t>
            </w:r>
          </w:p>
          <w:p w14:paraId="2090C142" w14:textId="14B4A00A" w:rsidR="005F41F9" w:rsidRDefault="005F41F9" w:rsidP="005F41F9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as indicated by headache after 8 h exposure at 0.1 ppm</w:t>
            </w:r>
          </w:p>
          <w:p w14:paraId="632FC730" w14:textId="6EF77933" w:rsidR="005F41F9" w:rsidRDefault="005F41F9" w:rsidP="005F41F9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lastRenderedPageBreak/>
              <w:t>headache in most volunteers after 4 h exposure at 0.2 ppm</w:t>
            </w:r>
          </w:p>
          <w:p w14:paraId="26F1802E" w14:textId="5755B1ED" w:rsidR="005F41F9" w:rsidRDefault="005F41F9" w:rsidP="00F62B16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 xml:space="preserve">no </w:t>
            </w:r>
            <w:r w:rsidR="00F62B16">
              <w:t>effects at 0.03 ppm</w:t>
            </w:r>
          </w:p>
          <w:p w14:paraId="3BBDFD02" w14:textId="525A3924" w:rsidR="008F1745" w:rsidRDefault="008F1745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Assigned as pregnancy risk (Group C) based on analogy to </w:t>
            </w:r>
            <w:proofErr w:type="spellStart"/>
            <w:r w:rsidRPr="0069384F">
              <w:t>nitroglycerine</w:t>
            </w:r>
            <w:proofErr w:type="spellEnd"/>
            <w:r>
              <w:t xml:space="preserve"> and </w:t>
            </w:r>
            <w:r w:rsidR="00383327">
              <w:t>EGDN</w:t>
            </w:r>
            <w:r>
              <w:t xml:space="preserve"> only, with no studies identified</w:t>
            </w:r>
          </w:p>
          <w:p w14:paraId="06D321ED" w14:textId="67F47C63" w:rsidR="008F1745" w:rsidRDefault="008F1745" w:rsidP="00454EE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data available for genotoxicity or carcinogenicity</w:t>
            </w:r>
            <w:r w:rsidR="004F3AC0">
              <w:t>.</w:t>
            </w:r>
          </w:p>
          <w:p w14:paraId="5A372C4D" w14:textId="77777777" w:rsidR="008F1745" w:rsidRDefault="008F1745" w:rsidP="008F1745">
            <w:pPr>
              <w:pStyle w:val="Tabletextprimarysource"/>
            </w:pPr>
            <w:r>
              <w:t>Animal data:</w:t>
            </w:r>
          </w:p>
          <w:p w14:paraId="25073556" w14:textId="18AB9C53" w:rsidR="008F1745" w:rsidRDefault="008F1745" w:rsidP="00454EE4">
            <w:pPr>
              <w:pStyle w:val="ListBullet"/>
              <w:ind w:left="717"/>
            </w:pPr>
            <w:r>
              <w:t>Limited animal data suggests sensitisation is not expected.</w:t>
            </w:r>
          </w:p>
          <w:p w14:paraId="0BB22DFD" w14:textId="7E999210" w:rsidR="00052DC4" w:rsidRPr="00DA352E" w:rsidRDefault="00052DC4" w:rsidP="003365A5">
            <w:pPr>
              <w:pStyle w:val="Tabletextprimarysource"/>
            </w:pPr>
          </w:p>
        </w:tc>
      </w:tr>
      <w:tr w:rsidR="00C978F0" w:rsidRPr="00DA352E" w14:paraId="78B6FD68" w14:textId="77777777" w:rsidTr="00B1778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4DDA28" w14:textId="523CB0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03A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03A34">
                  <w:t>NA</w:t>
                </w:r>
                <w:proofErr w:type="spellEnd"/>
              </w:sdtContent>
            </w:sdt>
          </w:p>
        </w:tc>
      </w:tr>
      <w:tr w:rsidR="00C978F0" w:rsidRPr="00DA352E" w14:paraId="527F4574" w14:textId="77777777" w:rsidTr="00B1778B">
        <w:trPr>
          <w:gridAfter w:val="1"/>
          <w:wAfter w:w="8" w:type="pct"/>
          <w:cantSplit/>
        </w:trPr>
        <w:tc>
          <w:tcPr>
            <w:tcW w:w="4992" w:type="pct"/>
          </w:tcPr>
          <w:p w14:paraId="1F24668F" w14:textId="07F7266D" w:rsidR="00C978F0" w:rsidRPr="00DA352E" w:rsidRDefault="00003A34" w:rsidP="003365A5">
            <w:pPr>
              <w:pStyle w:val="Tabletextprimarysource"/>
            </w:pPr>
            <w:r>
              <w:t>No report</w:t>
            </w:r>
            <w:r w:rsidR="004F3AC0">
              <w:t>.</w:t>
            </w:r>
          </w:p>
        </w:tc>
      </w:tr>
      <w:tr w:rsidR="00DA352E" w:rsidRPr="00DA352E" w14:paraId="29E4DE50" w14:textId="77777777" w:rsidTr="00B1778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98543F" w14:textId="4399B5D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03A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03A34">
                  <w:t>NA</w:t>
                </w:r>
                <w:proofErr w:type="spellEnd"/>
              </w:sdtContent>
            </w:sdt>
          </w:p>
        </w:tc>
      </w:tr>
      <w:tr w:rsidR="00DA352E" w:rsidRPr="00DA352E" w14:paraId="1F19180B" w14:textId="77777777" w:rsidTr="00B1778B">
        <w:trPr>
          <w:gridAfter w:val="1"/>
          <w:wAfter w:w="8" w:type="pct"/>
          <w:cantSplit/>
        </w:trPr>
        <w:tc>
          <w:tcPr>
            <w:tcW w:w="4992" w:type="pct"/>
          </w:tcPr>
          <w:p w14:paraId="4C316C6B" w14:textId="2F89C757" w:rsidR="00DA352E" w:rsidRPr="00DA352E" w:rsidRDefault="00003A34" w:rsidP="003365A5">
            <w:pPr>
              <w:pStyle w:val="Tabletextprimarysource"/>
            </w:pPr>
            <w:r>
              <w:t>No report</w:t>
            </w:r>
            <w:r w:rsidR="004F3AC0">
              <w:t>.</w:t>
            </w:r>
          </w:p>
        </w:tc>
      </w:tr>
      <w:tr w:rsidR="00DA352E" w:rsidRPr="00DA352E" w14:paraId="6D893780" w14:textId="77777777" w:rsidTr="00B1778B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BC294D" w14:textId="4C4F494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003A3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003A34">
                  <w:t>NA</w:t>
                </w:r>
                <w:proofErr w:type="spellEnd"/>
              </w:sdtContent>
            </w:sdt>
          </w:p>
        </w:tc>
      </w:tr>
      <w:tr w:rsidR="00DA352E" w:rsidRPr="00DA352E" w14:paraId="1306BB85" w14:textId="77777777" w:rsidTr="00B1778B">
        <w:trPr>
          <w:gridAfter w:val="1"/>
          <w:wAfter w:w="8" w:type="pct"/>
          <w:cantSplit/>
        </w:trPr>
        <w:tc>
          <w:tcPr>
            <w:tcW w:w="4992" w:type="pct"/>
          </w:tcPr>
          <w:p w14:paraId="4423231C" w14:textId="53B120BB" w:rsidR="00DA352E" w:rsidRPr="00DA352E" w:rsidRDefault="00003A34" w:rsidP="003365A5">
            <w:pPr>
              <w:pStyle w:val="Tabletextprimarysource"/>
            </w:pPr>
            <w:r>
              <w:t>No report</w:t>
            </w:r>
            <w:r w:rsidR="004F3AC0">
              <w:t>.</w:t>
            </w:r>
          </w:p>
        </w:tc>
      </w:tr>
    </w:tbl>
    <w:p w14:paraId="0454A8B3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2662743F" w14:textId="77777777" w:rsidTr="00B177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3ED8842A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3530E6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45B983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0" w:type="dxa"/>
            <w:shd w:val="clear" w:color="auto" w:fill="BFBFBF" w:themeFill="background1" w:themeFillShade="BF"/>
            <w:vAlign w:val="center"/>
          </w:tcPr>
          <w:p w14:paraId="78EC902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2983B02" w14:textId="77777777" w:rsidTr="00B1778B">
        <w:trPr>
          <w:cantSplit/>
        </w:trPr>
        <w:tc>
          <w:tcPr>
            <w:tcW w:w="1492" w:type="dxa"/>
          </w:tcPr>
          <w:p w14:paraId="5127C29B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7D619171" w14:textId="3B292693" w:rsidR="004966BF" w:rsidRPr="00CE617F" w:rsidRDefault="00C75A4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7215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31593CA" w14:textId="1B140A73" w:rsidR="004966BF" w:rsidRPr="004C23F4" w:rsidRDefault="00F7215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50" w:type="dxa"/>
          </w:tcPr>
          <w:p w14:paraId="2B51B0C4" w14:textId="77777777" w:rsidR="00F7215A" w:rsidRDefault="00F7215A" w:rsidP="00F7215A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F7215A">
              <w:rPr>
                <w:rStyle w:val="checkbox"/>
                <w:rFonts w:ascii="Arial" w:hAnsi="Arial" w:cs="Arial"/>
              </w:rPr>
              <w:t>Nomination Summary for Propylene glycol dinitrate (N91217)</w:t>
            </w:r>
          </w:p>
          <w:p w14:paraId="0DD36A0D" w14:textId="4D4194C1" w:rsidR="004966BF" w:rsidRPr="004C23F4" w:rsidRDefault="00F7215A" w:rsidP="00F7215A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Nominated by private individual - </w:t>
            </w:r>
            <w:r w:rsidRPr="00F7215A">
              <w:rPr>
                <w:rStyle w:val="checkbox"/>
                <w:rFonts w:ascii="Arial" w:hAnsi="Arial"/>
              </w:rPr>
              <w:t>suspicion of neurotoxicity observed in employees of an incineration plant (no further information</w:t>
            </w:r>
            <w:r>
              <w:rPr>
                <w:rStyle w:val="checkbox"/>
                <w:rFonts w:ascii="Arial" w:hAnsi="Arial"/>
              </w:rPr>
              <w:t xml:space="preserve"> available)</w:t>
            </w:r>
            <w:r w:rsidR="004F3AC0">
              <w:rPr>
                <w:rStyle w:val="checkbox"/>
                <w:rFonts w:ascii="Arial" w:hAnsi="Arial"/>
              </w:rPr>
              <w:t>.</w:t>
            </w:r>
          </w:p>
        </w:tc>
      </w:tr>
    </w:tbl>
    <w:bookmarkEnd w:id="0"/>
    <w:p w14:paraId="07FA4A8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A83220F" w14:textId="77777777" w:rsidTr="009475A9">
        <w:trPr>
          <w:trHeight w:val="454"/>
          <w:tblHeader/>
        </w:trPr>
        <w:tc>
          <w:tcPr>
            <w:tcW w:w="6597" w:type="dxa"/>
            <w:vAlign w:val="center"/>
          </w:tcPr>
          <w:p w14:paraId="280A5C7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08ADE69" w14:textId="48CF161F" w:rsidR="002E0D61" w:rsidRDefault="009475A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D29E170" w14:textId="77777777" w:rsidTr="009475A9">
        <w:trPr>
          <w:trHeight w:val="454"/>
        </w:trPr>
        <w:tc>
          <w:tcPr>
            <w:tcW w:w="6597" w:type="dxa"/>
            <w:vAlign w:val="center"/>
          </w:tcPr>
          <w:p w14:paraId="73BE70F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C009390" w14:textId="2D370E43" w:rsidR="008A36CF" w:rsidRDefault="009475A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383327" w14:paraId="34D68874" w14:textId="77777777" w:rsidTr="00BB41BA">
        <w:trPr>
          <w:trHeight w:val="454"/>
        </w:trPr>
        <w:sdt>
          <w:sdtPr>
            <w:rPr>
              <w:b/>
            </w:rPr>
            <w:id w:val="1830936485"/>
            <w:placeholder>
              <w:docPart w:val="83A6BFE2DEEB42BFB1BD4744308BC5F5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E426982" w14:textId="330BD01D" w:rsidR="00383327" w:rsidRDefault="0038332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6171FD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4467193" w14:textId="77777777" w:rsidTr="00B177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02E119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26693F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E076788" w14:textId="77777777" w:rsidTr="00B1778B">
        <w:trPr>
          <w:cantSplit/>
        </w:trPr>
        <w:tc>
          <w:tcPr>
            <w:tcW w:w="3227" w:type="dxa"/>
          </w:tcPr>
          <w:p w14:paraId="6D7FD2E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BCA6166" w14:textId="0D70D924" w:rsidR="00687890" w:rsidRPr="00DD2F9B" w:rsidRDefault="00003A34" w:rsidP="00DD2F9B">
            <w:pPr>
              <w:pStyle w:val="Tablefont"/>
            </w:pPr>
            <w:r w:rsidRPr="00003A34">
              <w:t>Skin</w:t>
            </w:r>
          </w:p>
        </w:tc>
      </w:tr>
      <w:tr w:rsidR="007925F0" w:rsidRPr="004C23F4" w14:paraId="2563F7D5" w14:textId="77777777" w:rsidTr="00B1778B">
        <w:trPr>
          <w:cantSplit/>
        </w:trPr>
        <w:tc>
          <w:tcPr>
            <w:tcW w:w="3227" w:type="dxa"/>
          </w:tcPr>
          <w:p w14:paraId="7D1BD8A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0541986" w14:textId="76C21569" w:rsidR="007925F0" w:rsidRPr="00DD2F9B" w:rsidRDefault="00003A34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3FF5591" w14:textId="77777777" w:rsidTr="00B1778B">
        <w:trPr>
          <w:cantSplit/>
        </w:trPr>
        <w:tc>
          <w:tcPr>
            <w:tcW w:w="3227" w:type="dxa"/>
          </w:tcPr>
          <w:p w14:paraId="07276B2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E46FA5C" w14:textId="070175B1" w:rsidR="00AF483F" w:rsidRPr="00DD2F9B" w:rsidRDefault="00003A34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4E75823" w14:textId="77777777" w:rsidTr="00B1778B">
        <w:trPr>
          <w:cantSplit/>
        </w:trPr>
        <w:tc>
          <w:tcPr>
            <w:tcW w:w="3227" w:type="dxa"/>
          </w:tcPr>
          <w:p w14:paraId="058273B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89E1DBA" w14:textId="0B73C24C" w:rsidR="00687890" w:rsidRPr="00DD2F9B" w:rsidRDefault="00003A3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DD7D458" w14:textId="77777777" w:rsidTr="00B1778B">
        <w:trPr>
          <w:cantSplit/>
        </w:trPr>
        <w:tc>
          <w:tcPr>
            <w:tcW w:w="3227" w:type="dxa"/>
          </w:tcPr>
          <w:p w14:paraId="1A2D226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08D0A7A" w14:textId="6832191A" w:rsidR="00E41A26" w:rsidRPr="00DD2F9B" w:rsidRDefault="00003A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ED2C446" w14:textId="77777777" w:rsidTr="00B1778B">
        <w:trPr>
          <w:cantSplit/>
        </w:trPr>
        <w:tc>
          <w:tcPr>
            <w:tcW w:w="3227" w:type="dxa"/>
          </w:tcPr>
          <w:p w14:paraId="6BFA0EA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3102E72" w14:textId="2867BA53" w:rsidR="002E0D61" w:rsidRPr="00DD2F9B" w:rsidRDefault="00003A34" w:rsidP="00DD2F9B">
            <w:pPr>
              <w:pStyle w:val="Tablefont"/>
            </w:pPr>
            <w:r w:rsidRPr="00003A34">
              <w:t>Skin</w:t>
            </w:r>
          </w:p>
        </w:tc>
      </w:tr>
      <w:tr w:rsidR="002E0D61" w:rsidRPr="004C23F4" w14:paraId="75A85BB4" w14:textId="77777777" w:rsidTr="00B1778B">
        <w:trPr>
          <w:cantSplit/>
        </w:trPr>
        <w:tc>
          <w:tcPr>
            <w:tcW w:w="3227" w:type="dxa"/>
          </w:tcPr>
          <w:p w14:paraId="06C08AD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39A6884" w14:textId="1D1D0A76" w:rsidR="002E0D61" w:rsidRPr="00DD2F9B" w:rsidRDefault="00003A34" w:rsidP="00DD2F9B">
            <w:pPr>
              <w:pStyle w:val="Tablefont"/>
            </w:pPr>
            <w:r w:rsidRPr="00003A34">
              <w:t>H (skin)</w:t>
            </w:r>
          </w:p>
        </w:tc>
      </w:tr>
      <w:tr w:rsidR="002E0D61" w:rsidRPr="004C23F4" w14:paraId="7F69BE2F" w14:textId="77777777" w:rsidTr="00B1778B">
        <w:trPr>
          <w:cantSplit/>
        </w:trPr>
        <w:tc>
          <w:tcPr>
            <w:tcW w:w="3227" w:type="dxa"/>
          </w:tcPr>
          <w:p w14:paraId="56D2FABB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76E9B8F6" w14:textId="4854FD56" w:rsidR="002E0D61" w:rsidRPr="00DD2F9B" w:rsidRDefault="00003A3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045926C" w14:textId="77777777" w:rsidTr="00B1778B">
        <w:trPr>
          <w:cantSplit/>
        </w:trPr>
        <w:tc>
          <w:tcPr>
            <w:tcW w:w="3227" w:type="dxa"/>
          </w:tcPr>
          <w:p w14:paraId="16B204FE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67637C0" w14:textId="0407B268" w:rsidR="002E0D61" w:rsidRPr="00DD2F9B" w:rsidRDefault="00003A3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F461273" w14:textId="77777777" w:rsidTr="00B1778B">
        <w:trPr>
          <w:cantSplit/>
        </w:trPr>
        <w:tc>
          <w:tcPr>
            <w:tcW w:w="3227" w:type="dxa"/>
          </w:tcPr>
          <w:p w14:paraId="480F12A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54A525B" w14:textId="02E75613" w:rsidR="00386093" w:rsidRPr="00DD2F9B" w:rsidRDefault="00003A3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CD70028" w14:textId="77777777" w:rsidTr="00B1778B">
        <w:trPr>
          <w:cantSplit/>
        </w:trPr>
        <w:tc>
          <w:tcPr>
            <w:tcW w:w="3227" w:type="dxa"/>
          </w:tcPr>
          <w:p w14:paraId="0E3E91C2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16A7A00" w14:textId="60B11BA0" w:rsidR="00386093" w:rsidRPr="00DD2F9B" w:rsidRDefault="00003A3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F2DD42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C318D6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4B8221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40B689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EE6663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4006"/>
              <w:gridCol w:w="768"/>
              <w:gridCol w:w="650"/>
              <w:gridCol w:w="3386"/>
            </w:tblGrid>
            <w:tr w:rsidR="009475A9" w:rsidRPr="00E06A85" w14:paraId="69E82AD6" w14:textId="77777777" w:rsidTr="006F1BFC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33F4EF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6485CAD" w14:textId="77777777" w:rsidR="009475A9" w:rsidRPr="00E06A85" w:rsidRDefault="009475A9" w:rsidP="009475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18293E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F32BE7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75A9" w:rsidRPr="00E06A85" w14:paraId="657A60E6" w14:textId="77777777" w:rsidTr="006F1BFC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C03F91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535FC4" w14:textId="77777777" w:rsidR="009475A9" w:rsidRPr="00E06A85" w:rsidRDefault="009475A9" w:rsidP="009475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8D9D9E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E4B82C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75A9" w:rsidRPr="00E06A85" w14:paraId="793BC086" w14:textId="77777777" w:rsidTr="006F1BFC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E44D7E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7DB0DE" w14:textId="77777777" w:rsidR="009475A9" w:rsidRPr="00E06A85" w:rsidRDefault="009475A9" w:rsidP="009475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F7032D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41969D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75A9" w:rsidRPr="00E06A85" w14:paraId="673A418C" w14:textId="77777777" w:rsidTr="006F1BFC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55DD6E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1C651A" w14:textId="77777777" w:rsidR="009475A9" w:rsidRPr="00E06A85" w:rsidRDefault="009475A9" w:rsidP="009475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5F93B9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B31505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75A9" w:rsidRPr="00E06A85" w14:paraId="42E8854C" w14:textId="77777777" w:rsidTr="006F1BFC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F184E1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839098" w14:textId="77777777" w:rsidR="009475A9" w:rsidRPr="00E06A85" w:rsidRDefault="009475A9" w:rsidP="009475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4EDD6E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918002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75A9" w:rsidRPr="00E06A85" w14:paraId="0D8BE48C" w14:textId="77777777" w:rsidTr="006F1BFC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4E93C4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A87BA44" w14:textId="77777777" w:rsidR="009475A9" w:rsidRPr="00E06A85" w:rsidRDefault="009475A9" w:rsidP="009475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01AA7B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F5FA31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75A9" w:rsidRPr="00E06A85" w14:paraId="7A5C2D87" w14:textId="77777777" w:rsidTr="006F1BFC">
              <w:trPr>
                <w:trHeight w:val="120"/>
              </w:trPr>
              <w:tc>
                <w:tcPr>
                  <w:tcW w:w="40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CB91EB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6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A9D403" w14:textId="77777777" w:rsidR="009475A9" w:rsidRPr="00E06A85" w:rsidRDefault="009475A9" w:rsidP="009475A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3769A8" w14:textId="77777777" w:rsidR="009475A9" w:rsidRPr="00E06A85" w:rsidRDefault="009475A9" w:rsidP="009475A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3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DD2187" w14:textId="77777777" w:rsidR="009475A9" w:rsidRPr="00E06A85" w:rsidRDefault="009475A9" w:rsidP="009475A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7011098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7EB50E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239A872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98A6A8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E24BB7F" w14:textId="08C2D5D6" w:rsidR="00EB3D1B" w:rsidRDefault="00003A3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8FFBE7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26AB6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63A6C5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A5A39DE" w14:textId="40B92732" w:rsidR="001B79E5" w:rsidRDefault="00003A34" w:rsidP="001B79E5">
                <w:pPr>
                  <w:pStyle w:val="Tablefont"/>
                </w:pPr>
                <w:r w:rsidRPr="00003A34">
                  <w:t>166.11</w:t>
                </w:r>
              </w:p>
            </w:tc>
          </w:sdtContent>
        </w:sdt>
      </w:tr>
      <w:tr w:rsidR="00A31D99" w:rsidRPr="004C23F4" w14:paraId="408E262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E2066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41BFB8E" w14:textId="1D987BC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03A34">
                  <w:t>6.79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03A34">
                  <w:t>0.147</w:t>
                </w:r>
              </w:sdtContent>
            </w:sdt>
            <w:r w:rsidRPr="00003A34">
              <w:t xml:space="preserve"> </w:t>
            </w:r>
            <w:r>
              <w:t>ppm</w:t>
            </w:r>
          </w:p>
        </w:tc>
      </w:tr>
      <w:tr w:rsidR="00687890" w:rsidRPr="004C23F4" w14:paraId="6980435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85B003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23E11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5FB1BEE" w14:textId="77777777" w:rsidTr="00EA6243">
        <w:trPr>
          <w:cantSplit/>
        </w:trPr>
        <w:tc>
          <w:tcPr>
            <w:tcW w:w="4077" w:type="dxa"/>
            <w:vAlign w:val="center"/>
          </w:tcPr>
          <w:p w14:paraId="78A5569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9F70EA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36BE010" w14:textId="77777777" w:rsidTr="00EA6243">
        <w:trPr>
          <w:cantSplit/>
        </w:trPr>
        <w:tc>
          <w:tcPr>
            <w:tcW w:w="4077" w:type="dxa"/>
            <w:vAlign w:val="center"/>
          </w:tcPr>
          <w:p w14:paraId="5D6B308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31BEA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B27C498" w14:textId="77777777" w:rsidTr="00EA6243">
        <w:trPr>
          <w:cantSplit/>
        </w:trPr>
        <w:tc>
          <w:tcPr>
            <w:tcW w:w="4077" w:type="dxa"/>
            <w:vAlign w:val="center"/>
          </w:tcPr>
          <w:p w14:paraId="4C7FA61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813D037" w14:textId="65BDBA98" w:rsidR="00E06F40" w:rsidRPr="00A006A0" w:rsidRDefault="00C75A4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707A17">
                  <w:rPr>
                    <w:rFonts w:ascii="MS Gothic" w:eastAsia="MS Gothic" w:hAnsi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FADC34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4BCDCD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82A30C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59DE09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37E221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C70E67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247471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8EF31D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B58ACC6" w14:textId="67666E3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F9EC882" w14:textId="505BB2B5" w:rsidR="00003A34" w:rsidRDefault="00003A34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(2018) </w:t>
      </w:r>
      <w:proofErr w:type="spellStart"/>
      <w:r w:rsidRPr="00003A34">
        <w:t>Propylenglykoldinitrat</w:t>
      </w:r>
      <w:proofErr w:type="spellEnd"/>
      <w:r>
        <w:t xml:space="preserve"> – MAK value documentation.</w:t>
      </w:r>
    </w:p>
    <w:p w14:paraId="68E3A58A" w14:textId="53EDD9FE" w:rsidR="00F7215A" w:rsidRDefault="00F7215A" w:rsidP="00084859">
      <w:r w:rsidRPr="00F7215A">
        <w:lastRenderedPageBreak/>
        <w:t>National Toxicology Program (NTP) (199</w:t>
      </w:r>
      <w:r>
        <w:t>0</w:t>
      </w:r>
      <w:r w:rsidRPr="00F7215A">
        <w:t>)</w:t>
      </w:r>
      <w:r>
        <w:t xml:space="preserve"> </w:t>
      </w:r>
      <w:r w:rsidRPr="00F7215A">
        <w:t>Nomination Summary for Propylene glycol dinitrate (N91217)</w:t>
      </w:r>
    </w:p>
    <w:sectPr w:rsidR="00F7215A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20D99" w14:textId="77777777" w:rsidR="00210F94" w:rsidRDefault="00210F94" w:rsidP="00F43AD5">
      <w:pPr>
        <w:spacing w:after="0" w:line="240" w:lineRule="auto"/>
      </w:pPr>
      <w:r>
        <w:separator/>
      </w:r>
    </w:p>
  </w:endnote>
  <w:endnote w:type="continuationSeparator" w:id="0">
    <w:p w14:paraId="50CDE025" w14:textId="77777777" w:rsidR="00210F94" w:rsidRDefault="00210F9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E7DD5F8" w14:textId="311E77ED" w:rsidR="008A36CF" w:rsidRDefault="00474DEA" w:rsidP="0034744C">
        <w:pPr>
          <w:pStyle w:val="Footer"/>
          <w:rPr>
            <w:sz w:val="18"/>
            <w:szCs w:val="18"/>
          </w:rPr>
        </w:pPr>
        <w:r w:rsidRPr="00474DEA">
          <w:rPr>
            <w:b/>
            <w:sz w:val="18"/>
            <w:szCs w:val="18"/>
          </w:rPr>
          <w:t>Propylene glycol dinitrate</w:t>
        </w:r>
        <w:r w:rsidR="008A36CF">
          <w:rPr>
            <w:b/>
            <w:sz w:val="18"/>
            <w:szCs w:val="18"/>
          </w:rPr>
          <w:t xml:space="preserve"> (</w:t>
        </w:r>
        <w:r w:rsidRPr="00474DEA">
          <w:rPr>
            <w:b/>
            <w:sz w:val="18"/>
            <w:szCs w:val="18"/>
          </w:rPr>
          <w:t>6423-43-4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2C10ED">
          <w:rPr>
            <w:sz w:val="18"/>
            <w:szCs w:val="18"/>
          </w:rPr>
          <w:t>20</w:t>
        </w:r>
      </w:p>
      <w:p w14:paraId="0C863116" w14:textId="5197CF1C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83327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236EE" w14:textId="77777777" w:rsidR="00210F94" w:rsidRDefault="00210F94" w:rsidP="00F43AD5">
      <w:pPr>
        <w:spacing w:after="0" w:line="240" w:lineRule="auto"/>
      </w:pPr>
      <w:r>
        <w:separator/>
      </w:r>
    </w:p>
  </w:footnote>
  <w:footnote w:type="continuationSeparator" w:id="0">
    <w:p w14:paraId="7B59E23E" w14:textId="77777777" w:rsidR="00210F94" w:rsidRDefault="00210F9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0B8F" w14:textId="038DA595" w:rsidR="00B1778B" w:rsidRDefault="00B1778B" w:rsidP="00B1778B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E88AB4" wp14:editId="4D06219B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01EF53" w14:textId="2923BB6D" w:rsidR="008A36CF" w:rsidRPr="00B1778B" w:rsidRDefault="008A36CF" w:rsidP="00B177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ED59CD" w14:textId="4409D0BC" w:rsidR="00B1778B" w:rsidRDefault="00B1778B" w:rsidP="00B1778B">
    <w:pPr>
      <w:pStyle w:val="Header"/>
      <w:jc w:val="right"/>
    </w:pPr>
    <w:r>
      <w:rPr>
        <w:noProof/>
        <w:lang w:eastAsia="en-AU"/>
      </w:rPr>
      <w:drawing>
        <wp:inline distT="0" distB="0" distL="0" distR="0" wp14:anchorId="25786CA9" wp14:editId="0A3FA8CF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8B8489" w14:textId="6C0198C9" w:rsidR="008A36CF" w:rsidRDefault="008A36CF" w:rsidP="00B177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26683C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31C2A2C"/>
    <w:multiLevelType w:val="hybridMultilevel"/>
    <w:tmpl w:val="2C9222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32FA1"/>
    <w:multiLevelType w:val="hybridMultilevel"/>
    <w:tmpl w:val="CD4458C4"/>
    <w:lvl w:ilvl="0" w:tplc="E7368DC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2B25F8"/>
    <w:multiLevelType w:val="hybridMultilevel"/>
    <w:tmpl w:val="25CA198E"/>
    <w:lvl w:ilvl="0" w:tplc="D2E0794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1250D0"/>
    <w:multiLevelType w:val="hybridMultilevel"/>
    <w:tmpl w:val="EE4090FA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1477458091">
    <w:abstractNumId w:val="0"/>
  </w:num>
  <w:num w:numId="2" w16cid:durableId="242222311">
    <w:abstractNumId w:val="2"/>
  </w:num>
  <w:num w:numId="3" w16cid:durableId="659698905">
    <w:abstractNumId w:val="3"/>
  </w:num>
  <w:num w:numId="4" w16cid:durableId="845024543">
    <w:abstractNumId w:val="0"/>
  </w:num>
  <w:num w:numId="5" w16cid:durableId="161354099">
    <w:abstractNumId w:val="0"/>
  </w:num>
  <w:num w:numId="6" w16cid:durableId="1849325849">
    <w:abstractNumId w:val="1"/>
  </w:num>
  <w:num w:numId="7" w16cid:durableId="1994065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A34"/>
    <w:rsid w:val="00007B80"/>
    <w:rsid w:val="00013A22"/>
    <w:rsid w:val="00014C3F"/>
    <w:rsid w:val="00017C82"/>
    <w:rsid w:val="00032B88"/>
    <w:rsid w:val="00046DF5"/>
    <w:rsid w:val="00052060"/>
    <w:rsid w:val="00052DC4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25F6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0F94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751"/>
    <w:rsid w:val="00277B0C"/>
    <w:rsid w:val="002B1A2C"/>
    <w:rsid w:val="002C10ED"/>
    <w:rsid w:val="002C34F2"/>
    <w:rsid w:val="002C58FF"/>
    <w:rsid w:val="002C7AFE"/>
    <w:rsid w:val="002D05D2"/>
    <w:rsid w:val="002E0D61"/>
    <w:rsid w:val="002E4C7B"/>
    <w:rsid w:val="002F3281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6303"/>
    <w:rsid w:val="00370DBF"/>
    <w:rsid w:val="00383327"/>
    <w:rsid w:val="00386093"/>
    <w:rsid w:val="00386A57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4EE4"/>
    <w:rsid w:val="00460A03"/>
    <w:rsid w:val="004706BA"/>
    <w:rsid w:val="00472A11"/>
    <w:rsid w:val="00472AAD"/>
    <w:rsid w:val="00474DEA"/>
    <w:rsid w:val="00474E33"/>
    <w:rsid w:val="00476803"/>
    <w:rsid w:val="00481C74"/>
    <w:rsid w:val="00485BFD"/>
    <w:rsid w:val="004867A2"/>
    <w:rsid w:val="004873F2"/>
    <w:rsid w:val="00490D4C"/>
    <w:rsid w:val="00493A35"/>
    <w:rsid w:val="0049527A"/>
    <w:rsid w:val="004966BF"/>
    <w:rsid w:val="00497984"/>
    <w:rsid w:val="004A17DF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3AC0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41F9"/>
    <w:rsid w:val="006013C1"/>
    <w:rsid w:val="0060669E"/>
    <w:rsid w:val="00610F2E"/>
    <w:rsid w:val="00611399"/>
    <w:rsid w:val="00624C4E"/>
    <w:rsid w:val="00625200"/>
    <w:rsid w:val="006363A8"/>
    <w:rsid w:val="00636DB7"/>
    <w:rsid w:val="00640BEA"/>
    <w:rsid w:val="00650905"/>
    <w:rsid w:val="006532ED"/>
    <w:rsid w:val="006549F2"/>
    <w:rsid w:val="006567B7"/>
    <w:rsid w:val="00657BFB"/>
    <w:rsid w:val="0066333C"/>
    <w:rsid w:val="006639B4"/>
    <w:rsid w:val="006650FE"/>
    <w:rsid w:val="006704D4"/>
    <w:rsid w:val="0067305D"/>
    <w:rsid w:val="00677D9B"/>
    <w:rsid w:val="006867F3"/>
    <w:rsid w:val="00687890"/>
    <w:rsid w:val="006901A2"/>
    <w:rsid w:val="00690368"/>
    <w:rsid w:val="0069079C"/>
    <w:rsid w:val="00690B53"/>
    <w:rsid w:val="0069384F"/>
    <w:rsid w:val="00695B72"/>
    <w:rsid w:val="006B160A"/>
    <w:rsid w:val="006B4E6C"/>
    <w:rsid w:val="006B50B6"/>
    <w:rsid w:val="006D79EA"/>
    <w:rsid w:val="006E5D05"/>
    <w:rsid w:val="00701053"/>
    <w:rsid w:val="00701507"/>
    <w:rsid w:val="00707A1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58A6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1745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5A9"/>
    <w:rsid w:val="0095260E"/>
    <w:rsid w:val="009578DD"/>
    <w:rsid w:val="00961124"/>
    <w:rsid w:val="009621B6"/>
    <w:rsid w:val="0097007E"/>
    <w:rsid w:val="00974F2D"/>
    <w:rsid w:val="00977524"/>
    <w:rsid w:val="00977E88"/>
    <w:rsid w:val="00984416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26A8"/>
    <w:rsid w:val="009D2917"/>
    <w:rsid w:val="009D3B5A"/>
    <w:rsid w:val="009D6F6B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552"/>
    <w:rsid w:val="00A10FCE"/>
    <w:rsid w:val="00A16D91"/>
    <w:rsid w:val="00A174CC"/>
    <w:rsid w:val="00A2073D"/>
    <w:rsid w:val="00A20751"/>
    <w:rsid w:val="00A25AB9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5098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1778B"/>
    <w:rsid w:val="00B213C4"/>
    <w:rsid w:val="00B22BF5"/>
    <w:rsid w:val="00B40C60"/>
    <w:rsid w:val="00B479A9"/>
    <w:rsid w:val="00B52EDF"/>
    <w:rsid w:val="00B71188"/>
    <w:rsid w:val="00B76A41"/>
    <w:rsid w:val="00B816C0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A4B"/>
    <w:rsid w:val="00C82899"/>
    <w:rsid w:val="00C850A0"/>
    <w:rsid w:val="00C85A86"/>
    <w:rsid w:val="00C95CC0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61BA"/>
    <w:rsid w:val="00CE78EF"/>
    <w:rsid w:val="00D048E0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75B4"/>
    <w:rsid w:val="00D63ECF"/>
    <w:rsid w:val="00D668E6"/>
    <w:rsid w:val="00D70670"/>
    <w:rsid w:val="00D74D80"/>
    <w:rsid w:val="00D76624"/>
    <w:rsid w:val="00D87570"/>
    <w:rsid w:val="00D91CB9"/>
    <w:rsid w:val="00D97989"/>
    <w:rsid w:val="00D97D8D"/>
    <w:rsid w:val="00DA104B"/>
    <w:rsid w:val="00DA352E"/>
    <w:rsid w:val="00DC7694"/>
    <w:rsid w:val="00DD1BF6"/>
    <w:rsid w:val="00DD2F9B"/>
    <w:rsid w:val="00DD3F3A"/>
    <w:rsid w:val="00DE2513"/>
    <w:rsid w:val="00DE26E8"/>
    <w:rsid w:val="00DF6F36"/>
    <w:rsid w:val="00E0084C"/>
    <w:rsid w:val="00E025AB"/>
    <w:rsid w:val="00E02B23"/>
    <w:rsid w:val="00E06F40"/>
    <w:rsid w:val="00E07CE8"/>
    <w:rsid w:val="00E12BA5"/>
    <w:rsid w:val="00E202E2"/>
    <w:rsid w:val="00E25643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2B16"/>
    <w:rsid w:val="00F6491C"/>
    <w:rsid w:val="00F67BBB"/>
    <w:rsid w:val="00F7215A"/>
    <w:rsid w:val="00F87D92"/>
    <w:rsid w:val="00F90AA7"/>
    <w:rsid w:val="00F92498"/>
    <w:rsid w:val="00F9496B"/>
    <w:rsid w:val="00F970C9"/>
    <w:rsid w:val="00FA06A8"/>
    <w:rsid w:val="00FA26D0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25AB9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700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007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007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9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91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1D6049286C848C8856F9955B7AE54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A0C24-9BED-47A7-BE1F-053A03547E6C}"/>
      </w:docPartPr>
      <w:docPartBody>
        <w:p w:rsidR="00785961" w:rsidRDefault="006C388E" w:rsidP="006C388E">
          <w:pPr>
            <w:pStyle w:val="A1D6049286C848C8856F9955B7AE54B1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3A6BFE2DEEB42BFB1BD4744308BC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B1521-1F0B-4331-B300-BB9FC91D4406}"/>
      </w:docPartPr>
      <w:docPartBody>
        <w:p w:rsidR="00AD70F3" w:rsidRDefault="001E307C" w:rsidP="001E307C">
          <w:pPr>
            <w:pStyle w:val="83A6BFE2DEEB42BFB1BD4744308BC5F5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E307C"/>
    <w:rsid w:val="003B1741"/>
    <w:rsid w:val="004A17DF"/>
    <w:rsid w:val="005D0CBE"/>
    <w:rsid w:val="006C388E"/>
    <w:rsid w:val="00785961"/>
    <w:rsid w:val="00AD70F3"/>
    <w:rsid w:val="00C256AC"/>
    <w:rsid w:val="00D21A9F"/>
    <w:rsid w:val="00DA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307C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599BE4318CD4CC0836196E577CC2921">
    <w:name w:val="0599BE4318CD4CC0836196E577CC2921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1D6049286C848C8856F9955B7AE54B1">
    <w:name w:val="A1D6049286C848C8856F9955B7AE54B1"/>
    <w:rsid w:val="006C388E"/>
  </w:style>
  <w:style w:type="paragraph" w:customStyle="1" w:styleId="83A6BFE2DEEB42BFB1BD4744308BC5F5">
    <w:name w:val="83A6BFE2DEEB42BFB1BD4744308BC5F5"/>
    <w:rsid w:val="001E30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70E2ED-6142-4ECD-A553-649CFA70B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www.w3.org/XML/1998/namespace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a0509f21-ed56-4150-9955-96be669e5f2d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BF1BF8D-61F8-48E3-9115-E2916070C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5</Pages>
  <Words>1011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29</cp:revision>
  <cp:lastPrinted>2018-10-22T22:41:00Z</cp:lastPrinted>
  <dcterms:created xsi:type="dcterms:W3CDTF">2019-10-03T04:00:00Z</dcterms:created>
  <dcterms:modified xsi:type="dcterms:W3CDTF">2026-01-09T00:59:00Z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2026-01-07T01:28:20Z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8a0e72c7-0ca2-49cd-b853-6ca44789b949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