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7D60760" w14:textId="2C5BDC15" w:rsidR="00BD499F" w:rsidRPr="004C23F4" w:rsidRDefault="00E53F72" w:rsidP="00E53F72">
          <w:pPr>
            <w:pStyle w:val="Heading1"/>
            <w:jc w:val="center"/>
            <w:rPr>
              <w:rFonts w:ascii="Arial" w:hAnsi="Arial" w:cs="Arial"/>
            </w:rPr>
          </w:pPr>
          <w:r w:rsidRPr="00E53F72">
            <w:rPr>
              <w:rFonts w:ascii="Arial" w:hAnsi="Arial" w:cs="Arial"/>
            </w:rPr>
            <w:t>Propylene dichloride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0B65438A" w14:textId="77777777" w:rsidTr="00AC539E">
        <w:trPr>
          <w:cantSplit/>
          <w:tblHeader/>
        </w:trPr>
        <w:tc>
          <w:tcPr>
            <w:tcW w:w="3981" w:type="dxa"/>
          </w:tcPr>
          <w:p w14:paraId="68E5F2D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58A34A46" w14:textId="334F7E83" w:rsidR="00F43AD5" w:rsidRPr="00717D45" w:rsidRDefault="008A58E2" w:rsidP="00B76A41">
            <w:pPr>
              <w:pStyle w:val="Tablefont"/>
            </w:pPr>
            <w:r w:rsidRPr="008A58E2">
              <w:t>78-87-5</w:t>
            </w:r>
          </w:p>
        </w:tc>
      </w:tr>
      <w:tr w:rsidR="00F43AD5" w:rsidRPr="004C23F4" w14:paraId="579B2DBA" w14:textId="77777777" w:rsidTr="00AC539E">
        <w:trPr>
          <w:cantSplit/>
        </w:trPr>
        <w:tc>
          <w:tcPr>
            <w:tcW w:w="3981" w:type="dxa"/>
          </w:tcPr>
          <w:p w14:paraId="46DCAC0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1AC02013" w14:textId="2F55E7FA" w:rsidR="00F43AD5" w:rsidRPr="00717D45" w:rsidRDefault="00B2651C" w:rsidP="00B76A41">
            <w:pPr>
              <w:pStyle w:val="Tablefont"/>
            </w:pPr>
            <w:r>
              <w:t>1,2-Dichloropropane</w:t>
            </w:r>
          </w:p>
        </w:tc>
      </w:tr>
      <w:tr w:rsidR="00F43AD5" w:rsidRPr="004C23F4" w14:paraId="22318539" w14:textId="77777777" w:rsidTr="00AC539E">
        <w:trPr>
          <w:cantSplit/>
        </w:trPr>
        <w:tc>
          <w:tcPr>
            <w:tcW w:w="3981" w:type="dxa"/>
          </w:tcPr>
          <w:p w14:paraId="77361494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70C07410" w14:textId="201B449C" w:rsidR="00F43AD5" w:rsidRPr="00717D45" w:rsidRDefault="00B2651C" w:rsidP="00B76A41">
            <w:pPr>
              <w:pStyle w:val="Tablefont"/>
            </w:pPr>
            <w:r>
              <w:t>C</w:t>
            </w:r>
            <w:r w:rsidRPr="00B2651C">
              <w:rPr>
                <w:vertAlign w:val="subscript"/>
              </w:rPr>
              <w:t>3</w:t>
            </w:r>
            <w:r>
              <w:t>H</w:t>
            </w:r>
            <w:r w:rsidRPr="00B2651C">
              <w:rPr>
                <w:vertAlign w:val="subscript"/>
              </w:rPr>
              <w:t>6</w:t>
            </w:r>
            <w:r>
              <w:t>Cl</w:t>
            </w:r>
            <w:r w:rsidRPr="00B2651C">
              <w:rPr>
                <w:vertAlign w:val="subscript"/>
              </w:rPr>
              <w:t>2</w:t>
            </w:r>
          </w:p>
        </w:tc>
      </w:tr>
    </w:tbl>
    <w:p w14:paraId="76E4108C" w14:textId="3878825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6488F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4EC420AE" w14:textId="77777777" w:rsidTr="008C38BD">
        <w:trPr>
          <w:cantSplit/>
          <w:tblHeader/>
        </w:trPr>
        <w:tc>
          <w:tcPr>
            <w:tcW w:w="4007" w:type="dxa"/>
            <w:vAlign w:val="center"/>
          </w:tcPr>
          <w:p w14:paraId="265BC81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2A16FBBC" w14:textId="3405D707" w:rsidR="002C7AFE" w:rsidRPr="0026488F" w:rsidRDefault="00BD2BF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10 ppm (46 </w:t>
            </w:r>
            <w:r w:rsidR="0026488F">
              <w:rPr>
                <w:b/>
              </w:rPr>
              <w:t>mg/m</w:t>
            </w:r>
            <w:r w:rsidR="0026488F">
              <w:rPr>
                <w:b/>
                <w:vertAlign w:val="superscript"/>
              </w:rPr>
              <w:t>3</w:t>
            </w:r>
            <w:r w:rsidR="0026488F">
              <w:rPr>
                <w:b/>
              </w:rPr>
              <w:t>)</w:t>
            </w:r>
          </w:p>
        </w:tc>
      </w:tr>
      <w:tr w:rsidR="002C7AFE" w:rsidRPr="004C23F4" w14:paraId="14FD15EE" w14:textId="77777777" w:rsidTr="008C38BD">
        <w:trPr>
          <w:cantSplit/>
        </w:trPr>
        <w:tc>
          <w:tcPr>
            <w:tcW w:w="4007" w:type="dxa"/>
            <w:vAlign w:val="center"/>
          </w:tcPr>
          <w:p w14:paraId="552694B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9" w:type="dxa"/>
          </w:tcPr>
          <w:p w14:paraId="44233034" w14:textId="47340A3B" w:rsidR="002C7AFE" w:rsidRPr="00EB3D1B" w:rsidRDefault="0026488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636BE80" w14:textId="77777777" w:rsidTr="008C38BD">
        <w:trPr>
          <w:cantSplit/>
        </w:trPr>
        <w:tc>
          <w:tcPr>
            <w:tcW w:w="4007" w:type="dxa"/>
            <w:vAlign w:val="center"/>
          </w:tcPr>
          <w:p w14:paraId="4C3F1989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2BC380F3" w14:textId="2C017201" w:rsidR="002C7AFE" w:rsidRPr="00EB3D1B" w:rsidRDefault="0026488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3D50121" w14:textId="77777777" w:rsidTr="008C38BD">
        <w:trPr>
          <w:cantSplit/>
        </w:trPr>
        <w:tc>
          <w:tcPr>
            <w:tcW w:w="4007" w:type="dxa"/>
          </w:tcPr>
          <w:p w14:paraId="7D36EE44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9" w:type="dxa"/>
          </w:tcPr>
          <w:p w14:paraId="3F5FA8A1" w14:textId="2F947B10" w:rsidR="002C7AFE" w:rsidRPr="00EB3D1B" w:rsidRDefault="008C38BD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1B</w:t>
            </w:r>
            <w:r w:rsidR="003B1DAB">
              <w:rPr>
                <w:b/>
              </w:rPr>
              <w:t>, Sk.</w:t>
            </w:r>
          </w:p>
        </w:tc>
      </w:tr>
      <w:tr w:rsidR="002C7AFE" w:rsidRPr="004C23F4" w14:paraId="099EE400" w14:textId="77777777" w:rsidTr="008C38BD">
        <w:trPr>
          <w:cantSplit/>
        </w:trPr>
        <w:tc>
          <w:tcPr>
            <w:tcW w:w="4007" w:type="dxa"/>
            <w:vAlign w:val="center"/>
          </w:tcPr>
          <w:p w14:paraId="2D992442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6710C693" w14:textId="5362E74A" w:rsidR="002C7AFE" w:rsidRPr="00EB3D1B" w:rsidRDefault="00711E9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400 ppm </w:t>
            </w:r>
          </w:p>
        </w:tc>
      </w:tr>
      <w:tr w:rsidR="008C38BD" w:rsidRPr="004C23F4" w14:paraId="61DC7FFA" w14:textId="77777777" w:rsidTr="00F96E6E">
        <w:trPr>
          <w:cantSplit/>
        </w:trPr>
        <w:tc>
          <w:tcPr>
            <w:tcW w:w="9026" w:type="dxa"/>
            <w:gridSpan w:val="2"/>
            <w:vAlign w:val="center"/>
          </w:tcPr>
          <w:p w14:paraId="49F89E44" w14:textId="59890DE2" w:rsidR="008C38BD" w:rsidRPr="00EB3D1B" w:rsidRDefault="008C38BD" w:rsidP="00017C82">
            <w:pPr>
              <w:pStyle w:val="Tablefont"/>
              <w:rPr>
                <w:b/>
              </w:rPr>
            </w:pPr>
            <w:r w:rsidRPr="008C38BD">
              <w:rPr>
                <w:b/>
              </w:rPr>
              <w:t>Sampling and analysis:</w:t>
            </w:r>
            <w:r w:rsidRPr="008C38BD">
              <w:t xml:space="preserve"> </w:t>
            </w:r>
            <w:sdt>
              <w:sdtPr>
                <w:id w:val="-2105258949"/>
                <w:placeholder>
                  <w:docPart w:val="21F56B16DC554358A5982B7B06B1D37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3267B8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65DBE7C" w14:textId="4A7050AF" w:rsidR="006639B4" w:rsidRDefault="00B817BD" w:rsidP="000C139A">
      <w:pPr>
        <w:rPr>
          <w:rFonts w:cs="Arial"/>
        </w:rPr>
      </w:pPr>
      <w:r w:rsidRPr="00B817BD">
        <w:rPr>
          <w:rFonts w:cs="Arial"/>
        </w:rPr>
        <w:t>A</w:t>
      </w:r>
      <w:r w:rsidR="006D6135">
        <w:rPr>
          <w:rFonts w:cs="Arial"/>
        </w:rPr>
        <w:t>n interim</w:t>
      </w:r>
      <w:r w:rsidRPr="00B817BD">
        <w:rPr>
          <w:rFonts w:cs="Arial"/>
        </w:rPr>
        <w:t xml:space="preserve"> TWA of </w:t>
      </w:r>
      <w:r>
        <w:rPr>
          <w:rFonts w:cs="Arial"/>
        </w:rPr>
        <w:t>10</w:t>
      </w:r>
      <w:r w:rsidRPr="00B817BD">
        <w:rPr>
          <w:rFonts w:cs="Arial"/>
        </w:rPr>
        <w:t xml:space="preserve"> ppm (</w:t>
      </w:r>
      <w:r>
        <w:rPr>
          <w:rFonts w:cs="Arial"/>
        </w:rPr>
        <w:t xml:space="preserve">46 </w:t>
      </w:r>
      <w:r w:rsidRPr="00B817BD">
        <w:rPr>
          <w:rFonts w:cs="Arial"/>
        </w:rPr>
        <w:t>mg/m</w:t>
      </w:r>
      <w:r w:rsidRPr="00B817BD">
        <w:rPr>
          <w:rFonts w:cs="Arial"/>
          <w:vertAlign w:val="superscript"/>
        </w:rPr>
        <w:t>3</w:t>
      </w:r>
      <w:r w:rsidRPr="00B817BD">
        <w:rPr>
          <w:rFonts w:cs="Arial"/>
        </w:rPr>
        <w:t xml:space="preserve">) is recommended to protect for </w:t>
      </w:r>
      <w:r>
        <w:rPr>
          <w:rFonts w:cs="Arial"/>
        </w:rPr>
        <w:t xml:space="preserve">irritation and potential liver damage and cancer </w:t>
      </w:r>
      <w:r w:rsidRPr="00B817BD">
        <w:rPr>
          <w:rFonts w:cs="Arial"/>
        </w:rPr>
        <w:t>in exposed workers</w:t>
      </w:r>
      <w:r>
        <w:rPr>
          <w:rFonts w:cs="Arial"/>
        </w:rPr>
        <w:t>.</w:t>
      </w:r>
    </w:p>
    <w:p w14:paraId="3636AD21" w14:textId="1BDFBF53" w:rsidR="00B817BD" w:rsidRPr="004C23F4" w:rsidRDefault="00D55DE4" w:rsidP="000C139A">
      <w:pPr>
        <w:rPr>
          <w:rFonts w:cs="Arial"/>
        </w:rPr>
      </w:pPr>
      <w:r w:rsidRPr="00D55DE4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65619015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D7FDE15" w14:textId="0E7D5D11" w:rsidR="006D6135" w:rsidRDefault="00435892" w:rsidP="006639B4">
      <w:pPr>
        <w:rPr>
          <w:rFonts w:cs="Arial"/>
        </w:rPr>
      </w:pPr>
      <w:r>
        <w:rPr>
          <w:rFonts w:cs="Arial"/>
        </w:rPr>
        <w:t xml:space="preserve">Propylene dichloride is used as a solvent in dry cleaning, paint removers and petrol </w:t>
      </w:r>
      <w:r w:rsidR="00B817BD">
        <w:rPr>
          <w:rFonts w:cs="Arial"/>
        </w:rPr>
        <w:t xml:space="preserve">production. </w:t>
      </w:r>
    </w:p>
    <w:p w14:paraId="25B64D29" w14:textId="77777777" w:rsidR="001878B9" w:rsidRDefault="00435892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6D6135">
        <w:rPr>
          <w:rFonts w:cs="Arial"/>
        </w:rPr>
        <w:t>of</w:t>
      </w:r>
      <w:r w:rsidR="003B1DAB">
        <w:rPr>
          <w:rFonts w:cs="Arial"/>
        </w:rPr>
        <w:t xml:space="preserve"> exposure </w:t>
      </w:r>
      <w:r>
        <w:rPr>
          <w:rFonts w:cs="Arial"/>
        </w:rPr>
        <w:t xml:space="preserve">are respiratory tract </w:t>
      </w:r>
      <w:r w:rsidR="007A238D">
        <w:rPr>
          <w:rFonts w:cs="Arial"/>
        </w:rPr>
        <w:t xml:space="preserve">and liver </w:t>
      </w:r>
      <w:r>
        <w:rPr>
          <w:rFonts w:cs="Arial"/>
        </w:rPr>
        <w:t xml:space="preserve">damage, </w:t>
      </w:r>
      <w:r w:rsidR="00D55DE4">
        <w:rPr>
          <w:rFonts w:cs="Arial"/>
        </w:rPr>
        <w:t xml:space="preserve">respiratory tract irritation </w:t>
      </w:r>
      <w:r w:rsidR="007A238D">
        <w:rPr>
          <w:rFonts w:cs="Arial"/>
        </w:rPr>
        <w:t xml:space="preserve">and </w:t>
      </w:r>
      <w:r w:rsidR="00B817BD">
        <w:rPr>
          <w:rFonts w:cs="Arial"/>
        </w:rPr>
        <w:t xml:space="preserve">potential </w:t>
      </w:r>
      <w:r w:rsidR="007A238D">
        <w:rPr>
          <w:rFonts w:cs="Arial"/>
        </w:rPr>
        <w:t xml:space="preserve">bile duct </w:t>
      </w:r>
      <w:r w:rsidR="00B817BD">
        <w:rPr>
          <w:rFonts w:cs="Arial"/>
        </w:rPr>
        <w:t>carcinogenicity</w:t>
      </w:r>
      <w:r w:rsidR="007A238D">
        <w:rPr>
          <w:rFonts w:cs="Arial"/>
        </w:rPr>
        <w:t>.</w:t>
      </w:r>
      <w:r w:rsidR="006D6135">
        <w:rPr>
          <w:rFonts w:cs="Arial"/>
        </w:rPr>
        <w:t xml:space="preserve"> </w:t>
      </w:r>
    </w:p>
    <w:p w14:paraId="0E0C5C11" w14:textId="1B844C8B" w:rsidR="00435892" w:rsidRDefault="007A238D" w:rsidP="006639B4">
      <w:pPr>
        <w:rPr>
          <w:rFonts w:cs="Arial"/>
        </w:rPr>
      </w:pPr>
      <w:r>
        <w:rPr>
          <w:rFonts w:cs="Arial"/>
        </w:rPr>
        <w:t xml:space="preserve">Several case studies associated </w:t>
      </w:r>
      <w:r w:rsidR="003B1DAB">
        <w:rPr>
          <w:rFonts w:cs="Arial"/>
        </w:rPr>
        <w:t xml:space="preserve">with </w:t>
      </w:r>
      <w:r w:rsidR="00B817BD">
        <w:rPr>
          <w:rFonts w:cs="Arial"/>
        </w:rPr>
        <w:t>occupational exposure</w:t>
      </w:r>
      <w:r w:rsidR="003B1DAB">
        <w:rPr>
          <w:rFonts w:cs="Arial"/>
        </w:rPr>
        <w:t xml:space="preserve"> indicated</w:t>
      </w:r>
      <w:r w:rsidR="00B817BD">
        <w:rPr>
          <w:rFonts w:cs="Arial"/>
        </w:rPr>
        <w:t xml:space="preserve"> </w:t>
      </w:r>
      <w:r>
        <w:rPr>
          <w:rFonts w:cs="Arial"/>
        </w:rPr>
        <w:t>increased risk of bile duct cancers</w:t>
      </w:r>
      <w:r w:rsidR="00AC539E">
        <w:rPr>
          <w:rFonts w:cs="Arial"/>
        </w:rPr>
        <w:t>;</w:t>
      </w:r>
      <w:r>
        <w:rPr>
          <w:rFonts w:cs="Arial"/>
        </w:rPr>
        <w:t xml:space="preserve"> but are confounded by mixed exposures (</w:t>
      </w:r>
      <w:r w:rsidR="008608B5">
        <w:rPr>
          <w:rFonts w:cs="Arial"/>
        </w:rPr>
        <w:t xml:space="preserve">NICNAS, 2017; </w:t>
      </w:r>
      <w:r>
        <w:rPr>
          <w:rFonts w:cs="Arial"/>
        </w:rPr>
        <w:t>IARC, 201</w:t>
      </w:r>
      <w:r w:rsidR="00C60038">
        <w:rPr>
          <w:rFonts w:cs="Arial"/>
        </w:rPr>
        <w:t>7</w:t>
      </w:r>
      <w:r>
        <w:rPr>
          <w:rFonts w:cs="Arial"/>
        </w:rPr>
        <w:t xml:space="preserve">). Average time-weighted exposures </w:t>
      </w:r>
      <w:r w:rsidR="006070CD">
        <w:rPr>
          <w:rFonts w:cs="Arial"/>
        </w:rPr>
        <w:t xml:space="preserve">estimated </w:t>
      </w:r>
      <w:r>
        <w:rPr>
          <w:rFonts w:cs="Arial"/>
        </w:rPr>
        <w:t>in these workplace</w:t>
      </w:r>
      <w:r w:rsidR="00B817BD">
        <w:rPr>
          <w:rFonts w:cs="Arial"/>
        </w:rPr>
        <w:t xml:space="preserve">s </w:t>
      </w:r>
      <w:r>
        <w:rPr>
          <w:rFonts w:cs="Arial"/>
        </w:rPr>
        <w:t xml:space="preserve">were </w:t>
      </w:r>
      <w:r w:rsidR="008608B5">
        <w:rPr>
          <w:rFonts w:cs="Arial"/>
        </w:rPr>
        <w:t>above 60</w:t>
      </w:r>
      <w:r w:rsidR="00E033FE">
        <w:rPr>
          <w:rFonts w:cs="Arial"/>
        </w:rPr>
        <w:t> </w:t>
      </w:r>
      <w:r w:rsidR="008608B5">
        <w:rPr>
          <w:rFonts w:cs="Arial"/>
        </w:rPr>
        <w:t>ppm (IARC, 201</w:t>
      </w:r>
      <w:r w:rsidR="00C60038">
        <w:rPr>
          <w:rFonts w:cs="Arial"/>
        </w:rPr>
        <w:t>7</w:t>
      </w:r>
      <w:r w:rsidR="008608B5">
        <w:rPr>
          <w:rFonts w:cs="Arial"/>
        </w:rPr>
        <w:t xml:space="preserve">). Chronic inhalation </w:t>
      </w:r>
      <w:r w:rsidR="00C36BE6">
        <w:rPr>
          <w:rFonts w:cs="Arial"/>
        </w:rPr>
        <w:t xml:space="preserve">induces nasal </w:t>
      </w:r>
      <w:r w:rsidR="006070CD">
        <w:rPr>
          <w:rFonts w:cs="Arial"/>
        </w:rPr>
        <w:t>tumours in rats</w:t>
      </w:r>
      <w:r w:rsidR="007709DB">
        <w:rPr>
          <w:rFonts w:cs="Arial"/>
        </w:rPr>
        <w:t xml:space="preserve"> at 500 ppm</w:t>
      </w:r>
      <w:r w:rsidR="00C36BE6">
        <w:rPr>
          <w:rFonts w:cs="Arial"/>
        </w:rPr>
        <w:t xml:space="preserve"> and</w:t>
      </w:r>
      <w:r w:rsidR="006070CD">
        <w:rPr>
          <w:rFonts w:cs="Arial"/>
        </w:rPr>
        <w:t xml:space="preserve"> bronchoalveolar tumours in mice </w:t>
      </w:r>
      <w:r w:rsidR="007709DB">
        <w:rPr>
          <w:rFonts w:cs="Arial"/>
        </w:rPr>
        <w:t>at 32</w:t>
      </w:r>
      <w:r w:rsidR="003B1DAB">
        <w:rPr>
          <w:rFonts w:cs="Arial"/>
        </w:rPr>
        <w:t> </w:t>
      </w:r>
      <w:r w:rsidR="007709DB">
        <w:rPr>
          <w:rFonts w:cs="Arial"/>
        </w:rPr>
        <w:t xml:space="preserve">ppm </w:t>
      </w:r>
      <w:r w:rsidR="006070CD">
        <w:rPr>
          <w:rFonts w:cs="Arial"/>
        </w:rPr>
        <w:t>(</w:t>
      </w:r>
      <w:r w:rsidR="00096A33">
        <w:rPr>
          <w:rFonts w:cs="Arial"/>
        </w:rPr>
        <w:t>IARC, 201</w:t>
      </w:r>
      <w:r w:rsidR="00C60038">
        <w:rPr>
          <w:rFonts w:cs="Arial"/>
        </w:rPr>
        <w:t>7</w:t>
      </w:r>
      <w:r w:rsidR="00096A33">
        <w:rPr>
          <w:rFonts w:cs="Arial"/>
        </w:rPr>
        <w:t xml:space="preserve">). </w:t>
      </w:r>
      <w:r w:rsidR="001878B9">
        <w:rPr>
          <w:rFonts w:cs="Arial"/>
        </w:rPr>
        <w:t>Equivocal genotoxicity reported</w:t>
      </w:r>
      <w:r w:rsidR="00B817BD">
        <w:rPr>
          <w:rFonts w:cs="Arial"/>
        </w:rPr>
        <w:t xml:space="preserve"> </w:t>
      </w:r>
      <w:r w:rsidR="00096A33">
        <w:rPr>
          <w:rFonts w:cs="Arial"/>
          <w:i/>
        </w:rPr>
        <w:t>in vitro</w:t>
      </w:r>
      <w:r w:rsidR="00096A33">
        <w:rPr>
          <w:rFonts w:cs="Arial"/>
        </w:rPr>
        <w:t xml:space="preserve"> and </w:t>
      </w:r>
      <w:r w:rsidR="00096A33">
        <w:rPr>
          <w:rFonts w:cs="Arial"/>
          <w:i/>
        </w:rPr>
        <w:t>in vivo</w:t>
      </w:r>
      <w:r w:rsidR="007709DB">
        <w:rPr>
          <w:rFonts w:cs="Arial"/>
          <w:i/>
        </w:rPr>
        <w:t xml:space="preserve"> </w:t>
      </w:r>
      <w:r w:rsidR="007709DB">
        <w:rPr>
          <w:rFonts w:cs="Arial"/>
        </w:rPr>
        <w:t>(ACGIH, 2018; DFG, 1998</w:t>
      </w:r>
      <w:r w:rsidR="000B114E">
        <w:rPr>
          <w:rFonts w:cs="Arial"/>
        </w:rPr>
        <w:t>;</w:t>
      </w:r>
      <w:r w:rsidR="000B114E" w:rsidRPr="000B114E">
        <w:rPr>
          <w:rFonts w:cs="Arial"/>
        </w:rPr>
        <w:t xml:space="preserve"> </w:t>
      </w:r>
      <w:r w:rsidR="000B114E">
        <w:rPr>
          <w:rFonts w:cs="Arial"/>
        </w:rPr>
        <w:t>IARC, 2017</w:t>
      </w:r>
      <w:r w:rsidR="007709DB">
        <w:rPr>
          <w:rFonts w:cs="Arial"/>
        </w:rPr>
        <w:t>)</w:t>
      </w:r>
      <w:r w:rsidR="000B114E">
        <w:rPr>
          <w:rFonts w:cs="Arial"/>
        </w:rPr>
        <w:t xml:space="preserve">. </w:t>
      </w:r>
      <w:r w:rsidR="006070CD">
        <w:rPr>
          <w:rFonts w:cs="Arial"/>
        </w:rPr>
        <w:t>A NOAEC of 15 ppm fo</w:t>
      </w:r>
      <w:r w:rsidR="00096A33">
        <w:rPr>
          <w:rFonts w:cs="Arial"/>
        </w:rPr>
        <w:t xml:space="preserve">r nasal tissue damage </w:t>
      </w:r>
      <w:r w:rsidR="00273FBB">
        <w:rPr>
          <w:rFonts w:cs="Arial"/>
        </w:rPr>
        <w:t xml:space="preserve">and irritation </w:t>
      </w:r>
      <w:r w:rsidR="00096A33">
        <w:rPr>
          <w:rFonts w:cs="Arial"/>
        </w:rPr>
        <w:t>with a corresponding LOAEC of 5</w:t>
      </w:r>
      <w:r w:rsidR="00EC4701">
        <w:rPr>
          <w:rFonts w:cs="Arial"/>
        </w:rPr>
        <w:t>0</w:t>
      </w:r>
      <w:r w:rsidR="000B114E">
        <w:rPr>
          <w:rFonts w:cs="Arial"/>
        </w:rPr>
        <w:t> </w:t>
      </w:r>
      <w:r w:rsidR="00096A33">
        <w:rPr>
          <w:rFonts w:cs="Arial"/>
        </w:rPr>
        <w:t>ppm is reported in rats</w:t>
      </w:r>
      <w:r w:rsidR="00AC539E">
        <w:rPr>
          <w:rFonts w:cs="Arial"/>
        </w:rPr>
        <w:t>.</w:t>
      </w:r>
      <w:r w:rsidR="00096A33">
        <w:rPr>
          <w:rFonts w:cs="Arial"/>
        </w:rPr>
        <w:t xml:space="preserve"> NOAEC for this endpoint </w:t>
      </w:r>
      <w:r w:rsidR="007709DB">
        <w:rPr>
          <w:rFonts w:cs="Arial"/>
        </w:rPr>
        <w:t>in mice or</w:t>
      </w:r>
      <w:r w:rsidR="00096A33">
        <w:rPr>
          <w:rFonts w:cs="Arial"/>
        </w:rPr>
        <w:t xml:space="preserve"> haematological changes </w:t>
      </w:r>
      <w:r w:rsidR="007709DB">
        <w:rPr>
          <w:rFonts w:cs="Arial"/>
        </w:rPr>
        <w:t xml:space="preserve">in rabbits </w:t>
      </w:r>
      <w:r w:rsidR="00096A33">
        <w:rPr>
          <w:rFonts w:cs="Arial"/>
        </w:rPr>
        <w:t>are considerably higher at 150 ppm (ACGIH, 2018; US EPA, 1991)</w:t>
      </w:r>
      <w:r w:rsidR="007709DB">
        <w:rPr>
          <w:rFonts w:cs="Arial"/>
        </w:rPr>
        <w:t>.</w:t>
      </w:r>
    </w:p>
    <w:p w14:paraId="46D5DBCA" w14:textId="77777777" w:rsidR="001878B9" w:rsidRDefault="00390E9D" w:rsidP="006639B4">
      <w:pPr>
        <w:rPr>
          <w:rFonts w:cs="Arial"/>
        </w:rPr>
      </w:pPr>
      <w:r>
        <w:rPr>
          <w:rFonts w:cs="Arial"/>
        </w:rPr>
        <w:t xml:space="preserve">A threshold for carcinogenicity is not determined in the available dataset. However, workplace exposures </w:t>
      </w:r>
      <w:r w:rsidR="008C38BD">
        <w:rPr>
          <w:rFonts w:cs="Arial"/>
        </w:rPr>
        <w:t>of</w:t>
      </w:r>
      <w:r>
        <w:rPr>
          <w:rFonts w:cs="Arial"/>
        </w:rPr>
        <w:t xml:space="preserve"> 60 ppm </w:t>
      </w:r>
      <w:r w:rsidR="008C38BD">
        <w:rPr>
          <w:rFonts w:cs="Arial"/>
        </w:rPr>
        <w:t xml:space="preserve">and above </w:t>
      </w:r>
      <w:r w:rsidR="006D6135">
        <w:rPr>
          <w:rFonts w:cs="Arial"/>
        </w:rPr>
        <w:t>a</w:t>
      </w:r>
      <w:r>
        <w:rPr>
          <w:rFonts w:cs="Arial"/>
        </w:rPr>
        <w:t xml:space="preserve">re associated with increased incidences of biliary cancers. </w:t>
      </w:r>
    </w:p>
    <w:p w14:paraId="580483D6" w14:textId="33D13878" w:rsidR="000E1834" w:rsidRDefault="001878B9" w:rsidP="006639B4">
      <w:pPr>
        <w:rPr>
          <w:rFonts w:cs="Arial"/>
        </w:rPr>
      </w:pPr>
      <w:r>
        <w:rPr>
          <w:rFonts w:cs="Arial"/>
        </w:rPr>
        <w:t>The</w:t>
      </w:r>
      <w:r w:rsidR="00390E9D">
        <w:rPr>
          <w:rFonts w:cs="Arial"/>
        </w:rPr>
        <w:t xml:space="preserve"> TWA of 10 ppm </w:t>
      </w:r>
      <w:r>
        <w:rPr>
          <w:rFonts w:cs="Arial"/>
        </w:rPr>
        <w:t>by ACGIH (201</w:t>
      </w:r>
      <w:r w:rsidR="000E1834">
        <w:rPr>
          <w:rFonts w:cs="Arial"/>
        </w:rPr>
        <w:t>4</w:t>
      </w:r>
      <w:r>
        <w:rPr>
          <w:rFonts w:cs="Arial"/>
        </w:rPr>
        <w:t xml:space="preserve">) </w:t>
      </w:r>
      <w:r w:rsidR="00390E9D">
        <w:rPr>
          <w:rFonts w:cs="Arial"/>
        </w:rPr>
        <w:t>is</w:t>
      </w:r>
      <w:r w:rsidR="008C38BD">
        <w:rPr>
          <w:rFonts w:cs="Arial"/>
        </w:rPr>
        <w:t xml:space="preserve"> recommended</w:t>
      </w:r>
      <w:r w:rsidR="006A038C">
        <w:rPr>
          <w:rFonts w:cs="Arial"/>
        </w:rPr>
        <w:t xml:space="preserve"> to</w:t>
      </w:r>
      <w:r w:rsidR="008C38BD">
        <w:rPr>
          <w:rFonts w:cs="Arial"/>
        </w:rPr>
        <w:t xml:space="preserve"> </w:t>
      </w:r>
      <w:r>
        <w:rPr>
          <w:rFonts w:cs="Arial"/>
        </w:rPr>
        <w:t xml:space="preserve">be adopted </w:t>
      </w:r>
      <w:r w:rsidR="008C38BD">
        <w:rPr>
          <w:rFonts w:cs="Arial"/>
        </w:rPr>
        <w:t xml:space="preserve">in the interim. This </w:t>
      </w:r>
      <w:r w:rsidR="00476D6F">
        <w:rPr>
          <w:rFonts w:cs="Arial"/>
        </w:rPr>
        <w:t xml:space="preserve">TWA </w:t>
      </w:r>
      <w:r w:rsidR="008C38BD">
        <w:rPr>
          <w:rFonts w:cs="Arial"/>
        </w:rPr>
        <w:t>is</w:t>
      </w:r>
      <w:r w:rsidR="00390E9D">
        <w:rPr>
          <w:rFonts w:cs="Arial"/>
        </w:rPr>
        <w:t xml:space="preserve"> expected to </w:t>
      </w:r>
      <w:r w:rsidR="00B817BD">
        <w:rPr>
          <w:rFonts w:cs="Arial"/>
        </w:rPr>
        <w:t xml:space="preserve">be protective of irritation and potential systemic </w:t>
      </w:r>
      <w:r w:rsidR="00116575">
        <w:rPr>
          <w:rFonts w:cs="Arial"/>
        </w:rPr>
        <w:t>effects and</w:t>
      </w:r>
      <w:r w:rsidR="00B817BD">
        <w:rPr>
          <w:rFonts w:cs="Arial"/>
        </w:rPr>
        <w:t xml:space="preserve"> </w:t>
      </w:r>
      <w:r w:rsidR="008C38BD">
        <w:rPr>
          <w:rFonts w:cs="Arial"/>
        </w:rPr>
        <w:t>minimise the risk of cancer</w:t>
      </w:r>
      <w:r w:rsidR="00273FBB">
        <w:rPr>
          <w:rFonts w:cs="Arial"/>
        </w:rPr>
        <w:t xml:space="preserve"> in </w:t>
      </w:r>
      <w:r w:rsidR="006A038C">
        <w:rPr>
          <w:rFonts w:cs="Arial"/>
        </w:rPr>
        <w:t xml:space="preserve">exposed </w:t>
      </w:r>
      <w:r>
        <w:rPr>
          <w:rFonts w:cs="Arial"/>
        </w:rPr>
        <w:t>workers</w:t>
      </w:r>
      <w:r w:rsidR="00390E9D">
        <w:rPr>
          <w:rFonts w:cs="Arial"/>
        </w:rPr>
        <w:t>.</w:t>
      </w:r>
      <w:r w:rsidR="008C38BD">
        <w:rPr>
          <w:rFonts w:cs="Arial"/>
        </w:rPr>
        <w:t xml:space="preserve"> </w:t>
      </w:r>
    </w:p>
    <w:p w14:paraId="0DC0FF4B" w14:textId="497FABFE" w:rsidR="00390E9D" w:rsidRPr="004C23F4" w:rsidRDefault="008C38BD" w:rsidP="006639B4">
      <w:pPr>
        <w:rPr>
          <w:rFonts w:cs="Arial"/>
        </w:rPr>
      </w:pPr>
      <w:r>
        <w:rPr>
          <w:rFonts w:cs="Arial"/>
        </w:rPr>
        <w:lastRenderedPageBreak/>
        <w:t>Given the equivocal evidence for genotoxicity in humans</w:t>
      </w:r>
      <w:r w:rsidR="000B114E">
        <w:rPr>
          <w:rFonts w:cs="Arial"/>
        </w:rPr>
        <w:t xml:space="preserve"> </w:t>
      </w:r>
      <w:r w:rsidR="000E1834">
        <w:rPr>
          <w:rFonts w:cs="Arial"/>
        </w:rPr>
        <w:t>(ACGIH, 2014</w:t>
      </w:r>
      <w:r w:rsidR="000B114E">
        <w:rPr>
          <w:rFonts w:cs="Arial"/>
        </w:rPr>
        <w:t>; DFG, 1993</w:t>
      </w:r>
      <w:r w:rsidR="000E1834">
        <w:rPr>
          <w:rFonts w:cs="Arial"/>
        </w:rPr>
        <w:t>)</w:t>
      </w:r>
      <w:r>
        <w:rPr>
          <w:rFonts w:cs="Arial"/>
        </w:rPr>
        <w:t xml:space="preserve">, further assessment of additional sources is recommended during subsequent reviews to assess the suitability of the interim </w:t>
      </w:r>
      <w:r w:rsidR="009C76A3">
        <w:rPr>
          <w:rFonts w:cs="Arial"/>
        </w:rPr>
        <w:t>TWA</w:t>
      </w:r>
      <w:r>
        <w:rPr>
          <w:rFonts w:cs="Arial"/>
        </w:rPr>
        <w:t>.</w:t>
      </w:r>
    </w:p>
    <w:p w14:paraId="64DA106A" w14:textId="77777777" w:rsidR="004529F0" w:rsidRPr="00116575" w:rsidRDefault="004529F0" w:rsidP="004529F0">
      <w:pPr>
        <w:pStyle w:val="Heading2"/>
      </w:pPr>
      <w:r w:rsidRPr="00116575">
        <w:t>Recommendation for notations</w:t>
      </w:r>
    </w:p>
    <w:p w14:paraId="71F9C8A5" w14:textId="2B660338" w:rsidR="00211A0A" w:rsidRPr="00116575" w:rsidRDefault="00211A0A" w:rsidP="00211A0A">
      <w:pPr>
        <w:rPr>
          <w:rFonts w:cs="Arial"/>
        </w:rPr>
      </w:pPr>
      <w:r w:rsidRPr="00116575">
        <w:rPr>
          <w:rFonts w:cs="Arial"/>
        </w:rPr>
        <w:t xml:space="preserve">Classified as a category 1B carcinogen according to the Globally Harmonized System of Classification and Labelling of Chemicals (GHS). </w:t>
      </w:r>
    </w:p>
    <w:p w14:paraId="3BB55591" w14:textId="13318FE6" w:rsidR="00711E99" w:rsidRPr="00116575" w:rsidRDefault="00711E99" w:rsidP="00711E99">
      <w:pPr>
        <w:rPr>
          <w:rFonts w:cs="Arial"/>
        </w:rPr>
      </w:pPr>
      <w:r w:rsidRPr="00116575">
        <w:rPr>
          <w:rFonts w:cs="Arial"/>
        </w:rPr>
        <w:t xml:space="preserve">Not classified as a skin </w:t>
      </w:r>
      <w:r w:rsidR="00185E14" w:rsidRPr="00116575">
        <w:rPr>
          <w:rFonts w:cs="Arial"/>
        </w:rPr>
        <w:t xml:space="preserve">sensitiser </w:t>
      </w:r>
      <w:r w:rsidRPr="00116575">
        <w:rPr>
          <w:rFonts w:cs="Arial"/>
        </w:rPr>
        <w:t>or respiratory sensitiser according to the GHS.</w:t>
      </w:r>
      <w:r w:rsidR="00116575">
        <w:rPr>
          <w:rFonts w:cs="Arial"/>
        </w:rPr>
        <w:t xml:space="preserve"> </w:t>
      </w:r>
      <w:r w:rsidR="00B82E1A">
        <w:rPr>
          <w:rFonts w:cs="Arial"/>
        </w:rPr>
        <w:t xml:space="preserve">There is evidence of positive patch test results </w:t>
      </w:r>
      <w:r w:rsidR="00B71B47">
        <w:rPr>
          <w:rFonts w:cs="Arial"/>
        </w:rPr>
        <w:t>and dermal sensitisation in an</w:t>
      </w:r>
      <w:r w:rsidR="00A84170">
        <w:rPr>
          <w:rFonts w:cs="Arial"/>
        </w:rPr>
        <w:t xml:space="preserve">imals </w:t>
      </w:r>
      <w:r w:rsidR="00F4283D">
        <w:rPr>
          <w:rFonts w:cs="Arial"/>
        </w:rPr>
        <w:t xml:space="preserve">in primary sources </w:t>
      </w:r>
      <w:r w:rsidR="00B82E1A">
        <w:rPr>
          <w:rFonts w:cs="Arial"/>
        </w:rPr>
        <w:t>(ACGIH, 2014; DFG, 1993). However, it is not considered a skin sensitiser</w:t>
      </w:r>
      <w:r w:rsidR="00F4283D">
        <w:rPr>
          <w:rFonts w:cs="Arial"/>
        </w:rPr>
        <w:t xml:space="preserve"> by</w:t>
      </w:r>
      <w:r w:rsidR="00B82E1A">
        <w:rPr>
          <w:rFonts w:cs="Arial"/>
        </w:rPr>
        <w:t xml:space="preserve"> NICNAS (2017) based on negative results in </w:t>
      </w:r>
      <w:r w:rsidR="00B82E1A" w:rsidRPr="003B1DAB">
        <w:rPr>
          <w:rFonts w:cs="Arial"/>
        </w:rPr>
        <w:t>standard LLNA</w:t>
      </w:r>
      <w:r w:rsidR="00D502BD">
        <w:rPr>
          <w:rFonts w:cs="Arial"/>
        </w:rPr>
        <w:t xml:space="preserve"> test</w:t>
      </w:r>
      <w:r w:rsidR="00B82E1A">
        <w:rPr>
          <w:rFonts w:cs="Arial"/>
        </w:rPr>
        <w:t>.</w:t>
      </w:r>
      <w:r w:rsidR="00EC4701">
        <w:rPr>
          <w:rFonts w:cs="Arial"/>
        </w:rPr>
        <w:t xml:space="preserve"> </w:t>
      </w:r>
      <w:r w:rsidR="00B82E1A">
        <w:rPr>
          <w:rFonts w:cs="Arial"/>
        </w:rPr>
        <w:t xml:space="preserve">Further review of additional data sources is recommended to investigate </w:t>
      </w:r>
      <w:r w:rsidR="000613CD">
        <w:rPr>
          <w:rFonts w:cs="Arial"/>
        </w:rPr>
        <w:t xml:space="preserve">skin sensitiser </w:t>
      </w:r>
      <w:r w:rsidR="00B82E1A">
        <w:rPr>
          <w:rFonts w:cs="Arial"/>
        </w:rPr>
        <w:t>notation.</w:t>
      </w:r>
    </w:p>
    <w:p w14:paraId="1EFD820B" w14:textId="70211ADE" w:rsidR="00116575" w:rsidRPr="00116575" w:rsidRDefault="00116575" w:rsidP="00116575">
      <w:pPr>
        <w:rPr>
          <w:rFonts w:cs="Arial"/>
        </w:rPr>
      </w:pPr>
      <w:r w:rsidRPr="00116575">
        <w:rPr>
          <w:rFonts w:cs="Arial"/>
        </w:rPr>
        <w:t xml:space="preserve">A skin notation is warranted as evidence indicates </w:t>
      </w:r>
      <w:r>
        <w:rPr>
          <w:rFonts w:cs="Arial"/>
        </w:rPr>
        <w:t>contact dermatitis in humans</w:t>
      </w:r>
      <w:r w:rsidRPr="00116575">
        <w:rPr>
          <w:rFonts w:cs="Arial"/>
        </w:rPr>
        <w:t xml:space="preserve"> and reports of </w:t>
      </w:r>
      <w:r>
        <w:rPr>
          <w:rFonts w:cs="Arial"/>
        </w:rPr>
        <w:t>systemic effects in animals</w:t>
      </w:r>
      <w:r w:rsidRPr="00116575">
        <w:rPr>
          <w:rFonts w:cs="Arial"/>
        </w:rPr>
        <w:t>.</w:t>
      </w:r>
    </w:p>
    <w:p w14:paraId="352CA9E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D7F431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63E5F7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B39105E" w14:textId="77777777" w:rsidTr="007545B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1E221D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571E5CF" w14:textId="77777777" w:rsidTr="007545B1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735C922" w14:textId="6EDD1BE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11E9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11E99">
                  <w:t>TWA: 75 ppm (347 mg/m</w:t>
                </w:r>
                <w:r w:rsidR="00711E99" w:rsidRPr="00711E99">
                  <w:rPr>
                    <w:vertAlign w:val="superscript"/>
                  </w:rPr>
                  <w:t>3</w:t>
                </w:r>
                <w:r w:rsidR="00711E99">
                  <w:t>); STEL: 110 ppm (508 mg/m</w:t>
                </w:r>
                <w:r w:rsidR="00711E99" w:rsidRPr="00711E99">
                  <w:rPr>
                    <w:vertAlign w:val="superscript"/>
                  </w:rPr>
                  <w:t>3</w:t>
                </w:r>
                <w:r w:rsidR="00711E99">
                  <w:t>)</w:t>
                </w:r>
              </w:sdtContent>
            </w:sdt>
          </w:p>
        </w:tc>
      </w:tr>
      <w:tr w:rsidR="00C978F0" w:rsidRPr="00DA352E" w14:paraId="528DD8B6" w14:textId="77777777" w:rsidTr="007545B1">
        <w:trPr>
          <w:gridAfter w:val="1"/>
          <w:wAfter w:w="8" w:type="pct"/>
          <w:cantSplit/>
        </w:trPr>
        <w:tc>
          <w:tcPr>
            <w:tcW w:w="4992" w:type="pct"/>
          </w:tcPr>
          <w:p w14:paraId="1D8A027B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1B0A719" w14:textId="77777777" w:rsidTr="007545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BFA884" w14:textId="2F29C4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11E99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11E99">
                  <w:t>TLV-TWA: 10 ppm (46 mg/m</w:t>
                </w:r>
                <w:r w:rsidR="00711E99" w:rsidRPr="00116444">
                  <w:rPr>
                    <w:vertAlign w:val="superscript"/>
                  </w:rPr>
                  <w:t>3</w:t>
                </w:r>
                <w:r w:rsidR="00711E99">
                  <w:t>)</w:t>
                </w:r>
              </w:sdtContent>
            </w:sdt>
          </w:p>
        </w:tc>
      </w:tr>
      <w:tr w:rsidR="00C978F0" w:rsidRPr="00DA352E" w14:paraId="5A72D832" w14:textId="77777777" w:rsidTr="007545B1">
        <w:trPr>
          <w:gridAfter w:val="1"/>
          <w:wAfter w:w="8" w:type="pct"/>
        </w:trPr>
        <w:tc>
          <w:tcPr>
            <w:tcW w:w="4992" w:type="pct"/>
          </w:tcPr>
          <w:p w14:paraId="65ECA52F" w14:textId="77777777" w:rsidR="006D6135" w:rsidRDefault="00435892" w:rsidP="003365A5">
            <w:pPr>
              <w:pStyle w:val="Tabletextprimarysource"/>
            </w:pPr>
            <w:r>
              <w:t xml:space="preserve">TLV-TWA intended to protect for respiratory tract </w:t>
            </w:r>
            <w:proofErr w:type="gramStart"/>
            <w:r>
              <w:t>damage</w:t>
            </w:r>
            <w:proofErr w:type="gramEnd"/>
            <w:r>
              <w:t xml:space="preserve"> and, at higher concentrations, liver damage as observed in animals. </w:t>
            </w:r>
          </w:p>
          <w:p w14:paraId="387174C6" w14:textId="325D693C" w:rsidR="00435892" w:rsidRDefault="00435892" w:rsidP="003365A5">
            <w:pPr>
              <w:pStyle w:val="Tabletextprimarysource"/>
            </w:pPr>
            <w:r>
              <w:t xml:space="preserve">Summary of </w:t>
            </w:r>
            <w:r w:rsidR="00503E0E">
              <w:t>data</w:t>
            </w:r>
            <w:r>
              <w:t>:</w:t>
            </w:r>
          </w:p>
          <w:p w14:paraId="5D2D4909" w14:textId="11AB01CF" w:rsidR="00435892" w:rsidRDefault="0038094B" w:rsidP="00503E0E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TLV-TWA based on lowest </w:t>
            </w:r>
            <w:r w:rsidR="00D55DE4">
              <w:t xml:space="preserve">NOAEC </w:t>
            </w:r>
            <w:r>
              <w:t xml:space="preserve">of 15 ppm for slight nasal tissue damage in rats; </w:t>
            </w:r>
            <w:r w:rsidR="000E1834">
              <w:t xml:space="preserve">ACGIH </w:t>
            </w:r>
            <w:r>
              <w:t xml:space="preserve">notes </w:t>
            </w:r>
            <w:r w:rsidR="00042E17">
              <w:t>this</w:t>
            </w:r>
            <w:r>
              <w:t xml:space="preserve"> value is likely </w:t>
            </w:r>
            <w:r w:rsidR="000B114E">
              <w:t xml:space="preserve">to be </w:t>
            </w:r>
            <w:r>
              <w:t xml:space="preserve">conservative since </w:t>
            </w:r>
            <w:r w:rsidR="00042E17">
              <w:t>these</w:t>
            </w:r>
            <w:r>
              <w:t xml:space="preserve"> endpoints </w:t>
            </w:r>
            <w:r w:rsidR="00042E17">
              <w:t xml:space="preserve">only </w:t>
            </w:r>
            <w:r>
              <w:t>observed at 150 ppm in other species.</w:t>
            </w:r>
          </w:p>
          <w:p w14:paraId="30117F06" w14:textId="77777777" w:rsidR="00503E0E" w:rsidRDefault="00503E0E" w:rsidP="00503E0E">
            <w:pPr>
              <w:pStyle w:val="Tabletextprimarysource"/>
              <w:numPr>
                <w:ilvl w:val="0"/>
                <w:numId w:val="7"/>
              </w:numPr>
            </w:pPr>
            <w:r>
              <w:t>Not classifiable as a carcinogen in humans based on negative or equivocal evidence for carcinogenicity in chronic oral dose studies with rats and mice.</w:t>
            </w:r>
          </w:p>
          <w:p w14:paraId="2A42C98B" w14:textId="77777777" w:rsidR="00503E0E" w:rsidRDefault="00503E0E" w:rsidP="00503E0E">
            <w:pPr>
              <w:pStyle w:val="Tabletextprimarysource"/>
              <w:numPr>
                <w:ilvl w:val="0"/>
                <w:numId w:val="7"/>
              </w:numPr>
            </w:pPr>
            <w:r>
              <w:t>Skin notation not warranted, dermal sensitiser notation recommended based on animal studies and positive patch test results in humans.</w:t>
            </w:r>
          </w:p>
          <w:p w14:paraId="65C17007" w14:textId="0577508E" w:rsidR="00435892" w:rsidRDefault="0038094B" w:rsidP="0038094B">
            <w:pPr>
              <w:pStyle w:val="Tabletextprimarysource"/>
            </w:pPr>
            <w:r>
              <w:t>Human data:</w:t>
            </w:r>
          </w:p>
          <w:p w14:paraId="21D7B1DB" w14:textId="616A9354" w:rsidR="0037504C" w:rsidRDefault="0037504C" w:rsidP="001F16EF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Liver and kidney main target organs from occupational exposures to 60–98% solutions</w:t>
            </w:r>
          </w:p>
          <w:p w14:paraId="482CEB08" w14:textId="1CB5B393" w:rsidR="006D6135" w:rsidRDefault="0037504C" w:rsidP="001F16EF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10 cases of allergic dermatitis on hands of engineering workers occupationally exposed to 10–40% solutions</w:t>
            </w:r>
            <w:r w:rsidR="00B834D9">
              <w:t>:</w:t>
            </w:r>
            <w:r w:rsidR="0038094B">
              <w:t xml:space="preserve"> </w:t>
            </w:r>
          </w:p>
          <w:p w14:paraId="50A2EBF6" w14:textId="0D531A84" w:rsidR="0037504C" w:rsidRDefault="0038094B" w:rsidP="006D6135">
            <w:pPr>
              <w:pStyle w:val="Tabletextprimarysource"/>
              <w:numPr>
                <w:ilvl w:val="0"/>
                <w:numId w:val="3"/>
              </w:numPr>
            </w:pPr>
            <w:r>
              <w:t xml:space="preserve">positive patch test results when challenged with </w:t>
            </w:r>
            <w:r>
              <w:rPr>
                <w:rFonts w:cs="Arial"/>
              </w:rPr>
              <w:t>≥</w:t>
            </w:r>
            <w:r>
              <w:t>2% solution compared to 120 controls</w:t>
            </w:r>
          </w:p>
          <w:p w14:paraId="66C2CBD9" w14:textId="5FD8F120" w:rsidR="006D6135" w:rsidRDefault="0038094B" w:rsidP="001F16EF">
            <w:pPr>
              <w:pStyle w:val="Tabletextprimarysource"/>
              <w:numPr>
                <w:ilvl w:val="0"/>
                <w:numId w:val="2"/>
              </w:numPr>
              <w:ind w:left="717"/>
            </w:pPr>
            <w:r>
              <w:t>Positive patch test results in 2 workers with dermatitis exposed to aerosols for 4–6 yr</w:t>
            </w:r>
            <w:r w:rsidR="00B834D9">
              <w:t>:</w:t>
            </w:r>
            <w:r>
              <w:t xml:space="preserve"> </w:t>
            </w:r>
          </w:p>
          <w:p w14:paraId="3382C1B3" w14:textId="556A36BD" w:rsidR="0038094B" w:rsidRDefault="0038094B" w:rsidP="006D6135">
            <w:pPr>
              <w:pStyle w:val="Tabletextprimarysource"/>
              <w:numPr>
                <w:ilvl w:val="0"/>
                <w:numId w:val="3"/>
              </w:numPr>
            </w:pPr>
            <w:r>
              <w:t>aerosols contained 7.4–12.7% propylene dichloride</w:t>
            </w:r>
            <w:r w:rsidR="00185E14">
              <w:t>.</w:t>
            </w:r>
          </w:p>
          <w:p w14:paraId="7B7C0332" w14:textId="22919581" w:rsidR="00435892" w:rsidRDefault="00435892" w:rsidP="003365A5">
            <w:pPr>
              <w:pStyle w:val="Tabletextprimarysource"/>
            </w:pPr>
            <w:r>
              <w:t>Animal data:</w:t>
            </w:r>
          </w:p>
          <w:p w14:paraId="1CBA4775" w14:textId="2395566D" w:rsidR="00435892" w:rsidRDefault="006E008C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3,000 ppm (rats, 8 h); 720 ppm (mice, 10 h)</w:t>
            </w:r>
          </w:p>
          <w:p w14:paraId="33216BCA" w14:textId="0549E590" w:rsidR="006E008C" w:rsidRDefault="006E008C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Dermal LD</w:t>
            </w:r>
            <w:r>
              <w:rPr>
                <w:vertAlign w:val="subscript"/>
              </w:rPr>
              <w:t>50</w:t>
            </w:r>
            <w:r>
              <w:t>: 10,141 mg/kg (rabbits), 2,340 mg/kg (rats); oral LD</w:t>
            </w:r>
            <w:r>
              <w:rPr>
                <w:vertAlign w:val="subscript"/>
              </w:rPr>
              <w:t>50</w:t>
            </w:r>
            <w:r>
              <w:t>: 487 mg/kg (rats)</w:t>
            </w:r>
          </w:p>
          <w:p w14:paraId="7EF888D2" w14:textId="2731D031" w:rsidR="00FD53B4" w:rsidRDefault="00FD53B4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Positive dermal sensitisation in a Magnusson and Kligman maximisation test (guinea pigs)</w:t>
            </w:r>
          </w:p>
          <w:p w14:paraId="56874D36" w14:textId="20A74E7E" w:rsidR="006E008C" w:rsidRDefault="006E008C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No histopathological changes </w:t>
            </w:r>
            <w:r w:rsidR="006D6135">
              <w:t>in</w:t>
            </w:r>
            <w:r>
              <w:t xml:space="preserve"> liver at 400 ppm in sub</w:t>
            </w:r>
            <w:r w:rsidR="00B834D9">
              <w:t>-</w:t>
            </w:r>
            <w:r>
              <w:t>chronic inhalation study (rats, guinea pigs, dogs, 7 h/d, 5 d/</w:t>
            </w:r>
            <w:proofErr w:type="spellStart"/>
            <w:r>
              <w:t>wk</w:t>
            </w:r>
            <w:proofErr w:type="spellEnd"/>
            <w:r>
              <w:t>, 128–140 d); mortality and hepatomas in mice at this dose</w:t>
            </w:r>
          </w:p>
          <w:p w14:paraId="58C8CA8E" w14:textId="06202DA8" w:rsidR="006E008C" w:rsidRDefault="006E008C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NOAE</w:t>
            </w:r>
            <w:r w:rsidR="006D6135">
              <w:t>C</w:t>
            </w:r>
            <w:r>
              <w:t>: 15 ppm for nasal tissue damage in sub</w:t>
            </w:r>
            <w:r w:rsidR="00EC4701">
              <w:t>-</w:t>
            </w:r>
            <w:r>
              <w:t>chronic inhalation study with dose groups 0, 15, 50, and 150 ppm (rats, 6 h/d, 5 d/</w:t>
            </w:r>
            <w:proofErr w:type="spellStart"/>
            <w:r>
              <w:t>wk</w:t>
            </w:r>
            <w:proofErr w:type="spellEnd"/>
            <w:r>
              <w:t xml:space="preserve">, 13 </w:t>
            </w:r>
            <w:proofErr w:type="spellStart"/>
            <w:r>
              <w:t>wk</w:t>
            </w:r>
            <w:proofErr w:type="spellEnd"/>
            <w:r>
              <w:t>);</w:t>
            </w:r>
            <w:r w:rsidR="00760E69">
              <w:t xml:space="preserve"> effects were minimal above 50 </w:t>
            </w:r>
            <w:r>
              <w:t>ppm</w:t>
            </w:r>
            <w:r w:rsidR="00B834D9">
              <w:t>:</w:t>
            </w:r>
          </w:p>
          <w:p w14:paraId="26178C21" w14:textId="48E73385" w:rsidR="00FD53B4" w:rsidRDefault="00FD53B4" w:rsidP="001F16EF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 xml:space="preserve">no effects observed in </w:t>
            </w:r>
            <w:r w:rsidR="00E647C0">
              <w:t>mice under same exposure regime (mice, 6 h/d, 5 d/</w:t>
            </w:r>
            <w:proofErr w:type="spellStart"/>
            <w:r w:rsidR="00E647C0">
              <w:t>wk</w:t>
            </w:r>
            <w:proofErr w:type="spellEnd"/>
            <w:r w:rsidR="00E647C0">
              <w:t>, 13 </w:t>
            </w:r>
            <w:proofErr w:type="spellStart"/>
            <w:r w:rsidR="00E647C0">
              <w:t>wk</w:t>
            </w:r>
            <w:proofErr w:type="spellEnd"/>
            <w:r w:rsidR="00E647C0">
              <w:t>); NOAE</w:t>
            </w:r>
            <w:r w:rsidR="006D6135">
              <w:t>C</w:t>
            </w:r>
            <w:r w:rsidR="00E647C0">
              <w:t>: 150 ppm</w:t>
            </w:r>
          </w:p>
          <w:p w14:paraId="401A5D59" w14:textId="4DEECB84" w:rsidR="00760E69" w:rsidRDefault="00042E17" w:rsidP="001F16EF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 xml:space="preserve">no irritational effects in rabbits up to 1,000 ppm, haematological changes at 150 ppm (lowest tested dose) in males (rabbits, </w:t>
            </w:r>
            <w:r w:rsidRPr="00042E17">
              <w:t>6 h/d, 5 d/</w:t>
            </w:r>
            <w:proofErr w:type="spellStart"/>
            <w:r w:rsidRPr="00042E17">
              <w:t>wk</w:t>
            </w:r>
            <w:proofErr w:type="spellEnd"/>
            <w:r w:rsidRPr="00042E17">
              <w:t xml:space="preserve">, 13 </w:t>
            </w:r>
            <w:proofErr w:type="spellStart"/>
            <w:r w:rsidRPr="00042E17">
              <w:t>wk</w:t>
            </w:r>
            <w:proofErr w:type="spellEnd"/>
            <w:r>
              <w:t>)</w:t>
            </w:r>
          </w:p>
          <w:p w14:paraId="4545C7DA" w14:textId="54E15831" w:rsidR="006E008C" w:rsidRDefault="00B11FE8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NOAEL: 100 mg/kg</w:t>
            </w:r>
            <w:r w:rsidR="006D6135">
              <w:t>/d</w:t>
            </w:r>
            <w:r>
              <w:t xml:space="preserve"> for histopathological liver damage determined from </w:t>
            </w:r>
            <w:proofErr w:type="spellStart"/>
            <w:r>
              <w:t>subchronic</w:t>
            </w:r>
            <w:proofErr w:type="spellEnd"/>
            <w:r>
              <w:t xml:space="preserve"> gavage studies (mice, </w:t>
            </w:r>
            <w:r w:rsidR="00E86D07">
              <w:t>rats, 5 d/</w:t>
            </w:r>
            <w:proofErr w:type="spellStart"/>
            <w:r w:rsidR="00E86D07">
              <w:t>wk</w:t>
            </w:r>
            <w:proofErr w:type="spellEnd"/>
            <w:r w:rsidR="00E86D07">
              <w:t xml:space="preserve">, 13 </w:t>
            </w:r>
            <w:proofErr w:type="spellStart"/>
            <w:r w:rsidR="00E86D07">
              <w:t>wk</w:t>
            </w:r>
            <w:proofErr w:type="spellEnd"/>
            <w:r w:rsidR="00E86D07">
              <w:t>); LOAEL: 250 mg/kg</w:t>
            </w:r>
            <w:r w:rsidR="006D6135">
              <w:t>/d</w:t>
            </w:r>
            <w:r w:rsidR="00B834D9">
              <w:t>:</w:t>
            </w:r>
          </w:p>
          <w:p w14:paraId="730A845C" w14:textId="6401351A" w:rsidR="00E86D07" w:rsidRDefault="00E86D07" w:rsidP="001F16EF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agency notes 100 mg/kg</w:t>
            </w:r>
            <w:r w:rsidR="006D6135">
              <w:t>/d</w:t>
            </w:r>
            <w:r>
              <w:t xml:space="preserve"> in rodents equates to an inhalational dose </w:t>
            </w:r>
            <w:r>
              <w:rPr>
                <w:rFonts w:cs="Arial"/>
              </w:rPr>
              <w:t>≈</w:t>
            </w:r>
            <w:r>
              <w:t xml:space="preserve">150 ppm in humans assuming 100% absorption, 70 kg </w:t>
            </w:r>
            <w:r w:rsidR="000E1834">
              <w:t>body weight</w:t>
            </w:r>
            <w:r>
              <w:t>, and 10 m</w:t>
            </w:r>
            <w:r>
              <w:rPr>
                <w:vertAlign w:val="superscript"/>
              </w:rPr>
              <w:t>3</w:t>
            </w:r>
            <w:r>
              <w:t xml:space="preserve"> respiratory volume</w:t>
            </w:r>
          </w:p>
          <w:p w14:paraId="388A552E" w14:textId="774A91F0" w:rsidR="006D6135" w:rsidRDefault="00FD53B4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Slight increased incidence of mammary gland tumours and reduced </w:t>
            </w:r>
            <w:r w:rsidR="000E1834">
              <w:t xml:space="preserve">body weight </w:t>
            </w:r>
            <w:r>
              <w:t>and survival at 250</w:t>
            </w:r>
            <w:r w:rsidR="00BA118D">
              <w:t> </w:t>
            </w:r>
            <w:r>
              <w:t>mg/kg/d (females) in chronic oral dose study with dose groups 0, 62/125, and 125/250</w:t>
            </w:r>
            <w:r w:rsidR="00BA118D">
              <w:t> </w:t>
            </w:r>
            <w:r>
              <w:t>mg/kg/d (males/females) (rats, 5 d/</w:t>
            </w:r>
            <w:proofErr w:type="spellStart"/>
            <w:r>
              <w:t>wk</w:t>
            </w:r>
            <w:proofErr w:type="spellEnd"/>
            <w:r>
              <w:t>, 2 yr)</w:t>
            </w:r>
            <w:r w:rsidR="00B834D9">
              <w:t>:</w:t>
            </w:r>
            <w:r>
              <w:t xml:space="preserve"> </w:t>
            </w:r>
          </w:p>
          <w:p w14:paraId="273F3575" w14:textId="7AF60C39" w:rsidR="002C1799" w:rsidRDefault="00FD53B4" w:rsidP="006D6135">
            <w:pPr>
              <w:pStyle w:val="Tabletextprimarysource"/>
              <w:numPr>
                <w:ilvl w:val="0"/>
                <w:numId w:val="4"/>
              </w:numPr>
            </w:pPr>
            <w:r>
              <w:t xml:space="preserve">no carcinogenicity in males </w:t>
            </w:r>
          </w:p>
          <w:p w14:paraId="12EA4B13" w14:textId="02CDABA9" w:rsidR="00FD53B4" w:rsidRDefault="00FD53B4" w:rsidP="006D6135">
            <w:pPr>
              <w:pStyle w:val="Tabletextprimarysource"/>
              <w:numPr>
                <w:ilvl w:val="0"/>
                <w:numId w:val="4"/>
              </w:numPr>
            </w:pPr>
            <w:r>
              <w:t>evidence for carcinogenicity in females considered equivocal by cited article (NTP)</w:t>
            </w:r>
          </w:p>
          <w:p w14:paraId="0349D491" w14:textId="36D1331D" w:rsidR="006D6135" w:rsidRDefault="00FD53B4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lastRenderedPageBreak/>
              <w:t>Hepatocellular adenomas coincident with hepatic necrosis and non-significant incidence of carcinomas in chronic oral dose study with dose groups 0, 125, 250 mg/kg/d (mice, 5 d/</w:t>
            </w:r>
            <w:proofErr w:type="spellStart"/>
            <w:r>
              <w:t>wk</w:t>
            </w:r>
            <w:proofErr w:type="spellEnd"/>
            <w:r>
              <w:t>, 2 yr)</w:t>
            </w:r>
            <w:r w:rsidR="002C1799">
              <w:t>:</w:t>
            </w:r>
            <w:r w:rsidR="00D674E7">
              <w:t xml:space="preserve"> </w:t>
            </w:r>
          </w:p>
          <w:p w14:paraId="79B9355A" w14:textId="46E611E8" w:rsidR="00FD53B4" w:rsidRDefault="00D674E7" w:rsidP="006D6135">
            <w:pPr>
              <w:pStyle w:val="Tabletextprimarysource"/>
              <w:numPr>
                <w:ilvl w:val="0"/>
                <w:numId w:val="4"/>
              </w:numPr>
            </w:pPr>
            <w:r>
              <w:t>cited article (NTP) concluded limited evidence for carcinogenicity in animals</w:t>
            </w:r>
          </w:p>
          <w:p w14:paraId="62B566CE" w14:textId="6F6A0FE3" w:rsidR="0038094B" w:rsidRDefault="0038094B" w:rsidP="001F16EF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Mutagenic </w:t>
            </w:r>
            <w:r>
              <w:rPr>
                <w:i/>
              </w:rPr>
              <w:t xml:space="preserve">in vitro </w:t>
            </w:r>
            <w:r>
              <w:t xml:space="preserve">in bacteria, but not </w:t>
            </w:r>
            <w:r>
              <w:rPr>
                <w:i/>
              </w:rPr>
              <w:t>in vivo</w:t>
            </w:r>
            <w:r>
              <w:t xml:space="preserve"> in dominant lethal mutation assays with </w:t>
            </w:r>
            <w:r w:rsidRPr="0038094B">
              <w:rPr>
                <w:i/>
              </w:rPr>
              <w:t>Drosophila</w:t>
            </w:r>
            <w:r>
              <w:rPr>
                <w:i/>
              </w:rPr>
              <w:t xml:space="preserve"> melanogaster</w:t>
            </w:r>
            <w:r>
              <w:t xml:space="preserve"> and rats</w:t>
            </w:r>
            <w:r w:rsidR="00185E14">
              <w:t>.</w:t>
            </w:r>
          </w:p>
          <w:p w14:paraId="17ACD5D7" w14:textId="77777777" w:rsidR="006D6135" w:rsidRDefault="006D6135" w:rsidP="00503E0E">
            <w:pPr>
              <w:pStyle w:val="Tabletextprimarysource"/>
              <w:contextualSpacing/>
            </w:pPr>
          </w:p>
          <w:p w14:paraId="5C58D358" w14:textId="39668EAF" w:rsidR="00435892" w:rsidRDefault="00435892" w:rsidP="00503E0E">
            <w:pPr>
              <w:pStyle w:val="Tabletextprimarysource"/>
              <w:contextualSpacing/>
            </w:pPr>
            <w:r>
              <w:t>Insufficient data to recommend a TLV-STEL or respiratory sensitiser notation.</w:t>
            </w:r>
          </w:p>
          <w:p w14:paraId="11072714" w14:textId="4348D67A" w:rsidR="006D6135" w:rsidRPr="00DA352E" w:rsidRDefault="006D6135" w:rsidP="00503E0E">
            <w:pPr>
              <w:pStyle w:val="Tabletextprimarysource"/>
            </w:pPr>
          </w:p>
        </w:tc>
      </w:tr>
      <w:tr w:rsidR="00C978F0" w:rsidRPr="00DA352E" w14:paraId="6E215124" w14:textId="77777777" w:rsidTr="007545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DCDD45" w14:textId="62FBC23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16444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16444">
                  <w:t>Not assigned</w:t>
                </w:r>
              </w:sdtContent>
            </w:sdt>
          </w:p>
        </w:tc>
      </w:tr>
      <w:tr w:rsidR="00C978F0" w:rsidRPr="00DA352E" w14:paraId="2B949E97" w14:textId="77777777" w:rsidTr="007545B1">
        <w:trPr>
          <w:gridAfter w:val="1"/>
          <w:wAfter w:w="8" w:type="pct"/>
          <w:cantSplit/>
        </w:trPr>
        <w:tc>
          <w:tcPr>
            <w:tcW w:w="4992" w:type="pct"/>
          </w:tcPr>
          <w:p w14:paraId="009D9044" w14:textId="576CE43E" w:rsidR="00FF325A" w:rsidRDefault="00FF325A" w:rsidP="003365A5">
            <w:pPr>
              <w:pStyle w:val="Tabletextprimarysource"/>
            </w:pPr>
            <w:r>
              <w:t xml:space="preserve">Summary of additional </w:t>
            </w:r>
            <w:r w:rsidR="00503E0E">
              <w:t>data</w:t>
            </w:r>
            <w:r>
              <w:t>:</w:t>
            </w:r>
          </w:p>
          <w:p w14:paraId="1351E4DE" w14:textId="4EB6EA89" w:rsidR="005B0CE2" w:rsidRDefault="00FF325A" w:rsidP="003365A5">
            <w:pPr>
              <w:pStyle w:val="Tabletextprimarysource"/>
            </w:pPr>
            <w:r>
              <w:t>MAK not assigned due to genotoxic potential and carcinogenic activity</w:t>
            </w:r>
            <w:r w:rsidR="007A238D">
              <w:t xml:space="preserve"> observed</w:t>
            </w:r>
            <w:r>
              <w:t xml:space="preserve"> in animals.</w:t>
            </w:r>
            <w:r w:rsidR="00644AF9">
              <w:t xml:space="preserve"> Carcinogenicity – group 3b assigned due to evidence for carcinogenic activity in rats and mice.</w:t>
            </w:r>
          </w:p>
          <w:p w14:paraId="1ACF51A4" w14:textId="74548420" w:rsidR="004A5AE1" w:rsidRDefault="004A5AE1" w:rsidP="003365A5">
            <w:pPr>
              <w:pStyle w:val="Tabletextprimarysource"/>
            </w:pPr>
            <w:r>
              <w:t>Human data:</w:t>
            </w:r>
          </w:p>
          <w:p w14:paraId="59425FAD" w14:textId="6A3DB79C" w:rsidR="004A5AE1" w:rsidRDefault="004A5AE1" w:rsidP="006D613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Equivocal sensitisation data in human patch test studies</w:t>
            </w:r>
            <w:r w:rsidR="00156144">
              <w:t>:</w:t>
            </w:r>
          </w:p>
          <w:p w14:paraId="5ECE7767" w14:textId="77777777" w:rsidR="002C1799" w:rsidRDefault="004A5AE1" w:rsidP="006D6135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 xml:space="preserve">positive patch-test reactions using 1, 2, 5, 10, and 20% solutions in petrolatum </w:t>
            </w:r>
          </w:p>
          <w:p w14:paraId="695DB7CF" w14:textId="11D2CB50" w:rsidR="004A5AE1" w:rsidRDefault="004A5AE1" w:rsidP="00156144">
            <w:pPr>
              <w:pStyle w:val="Tabletextprimarysource"/>
              <w:ind w:left="1097"/>
            </w:pPr>
            <w:r>
              <w:t>(n=6</w:t>
            </w:r>
            <w:r w:rsidR="002C1799">
              <w:t>–</w:t>
            </w:r>
            <w:r>
              <w:t>10/dose, 48 h)</w:t>
            </w:r>
          </w:p>
          <w:p w14:paraId="0BD4D451" w14:textId="52F05799" w:rsidR="004A5AE1" w:rsidRDefault="004A5AE1" w:rsidP="006D6135">
            <w:pPr>
              <w:pStyle w:val="Tabletextprimarysource"/>
              <w:numPr>
                <w:ilvl w:val="1"/>
                <w:numId w:val="1"/>
              </w:numPr>
              <w:ind w:left="1097"/>
            </w:pPr>
            <w:r>
              <w:t>overall negative results at these concentrations in second patch test (n=120, no details on duration); 2 positive reactions at 20%</w:t>
            </w:r>
            <w:r w:rsidR="00185E14">
              <w:t>.</w:t>
            </w:r>
          </w:p>
          <w:p w14:paraId="7884AA08" w14:textId="276209F2" w:rsidR="000F3D12" w:rsidRDefault="000F3D12" w:rsidP="003365A5">
            <w:pPr>
              <w:pStyle w:val="Tabletextprimarysource"/>
            </w:pPr>
            <w:r>
              <w:t>Animal data:</w:t>
            </w:r>
          </w:p>
          <w:p w14:paraId="2C46951E" w14:textId="77777777" w:rsidR="006D6135" w:rsidRDefault="000F3D12" w:rsidP="006D613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>Increased incidence of hepatic tumours in chronic gavage study at 125 and 250 mg/kg</w:t>
            </w:r>
            <w:r w:rsidR="006D6135">
              <w:t>/d</w:t>
            </w:r>
            <w:r>
              <w:t xml:space="preserve"> (mice, 5 d/</w:t>
            </w:r>
            <w:proofErr w:type="spellStart"/>
            <w:r>
              <w:t>wk</w:t>
            </w:r>
            <w:proofErr w:type="spellEnd"/>
            <w:r>
              <w:t>, 2 yr, also cited in ACGIH, 2018</w:t>
            </w:r>
            <w:proofErr w:type="gramStart"/>
            <w:r>
              <w:t>);</w:t>
            </w:r>
            <w:proofErr w:type="gramEnd"/>
            <w:r>
              <w:t xml:space="preserve"> </w:t>
            </w:r>
          </w:p>
          <w:p w14:paraId="77245B08" w14:textId="60C9797D" w:rsidR="000F3D12" w:rsidRDefault="000F3D12" w:rsidP="006D6135">
            <w:pPr>
              <w:pStyle w:val="Tabletextprimarysource"/>
              <w:numPr>
                <w:ilvl w:val="0"/>
                <w:numId w:val="5"/>
              </w:numPr>
            </w:pPr>
            <w:r>
              <w:t>study used to support carcinogenicity notation</w:t>
            </w:r>
          </w:p>
          <w:p w14:paraId="6CEB61F0" w14:textId="695D6438" w:rsidR="006070CD" w:rsidRDefault="00096A33" w:rsidP="006D6135">
            <w:pPr>
              <w:pStyle w:val="Tabletextprimarysource"/>
              <w:numPr>
                <w:ilvl w:val="0"/>
                <w:numId w:val="1"/>
              </w:numPr>
              <w:ind w:left="717"/>
            </w:pPr>
            <w:r>
              <w:t xml:space="preserve">Evidence for mutagenicity is equivocal based on several </w:t>
            </w:r>
            <w:r>
              <w:rPr>
                <w:i/>
              </w:rPr>
              <w:t xml:space="preserve">in vitro </w:t>
            </w:r>
            <w:r>
              <w:t xml:space="preserve">studies in bacteria and mammalian cell lines, and </w:t>
            </w:r>
            <w:r>
              <w:rPr>
                <w:i/>
              </w:rPr>
              <w:t>in vivo</w:t>
            </w:r>
            <w:r>
              <w:t xml:space="preserve"> in a recessive lethal mutation assay with </w:t>
            </w:r>
            <w:r>
              <w:rPr>
                <w:i/>
              </w:rPr>
              <w:t>Drosophila melanogaster</w:t>
            </w:r>
            <w:r w:rsidR="00185E14" w:rsidRPr="00116575">
              <w:t>.</w:t>
            </w:r>
          </w:p>
          <w:p w14:paraId="10DF9A04" w14:textId="77777777" w:rsidR="006D6135" w:rsidRDefault="006D6135" w:rsidP="00503E0E">
            <w:pPr>
              <w:pStyle w:val="Tabletextprimarysource"/>
              <w:contextualSpacing/>
            </w:pPr>
          </w:p>
          <w:p w14:paraId="762851AB" w14:textId="77777777" w:rsidR="00FF325A" w:rsidRDefault="005B0CE2" w:rsidP="00503E0E">
            <w:pPr>
              <w:pStyle w:val="Tabletextprimarysource"/>
              <w:contextualSpacing/>
            </w:pPr>
            <w:r>
              <w:t>Insufficient data to assign notations for skin absorption or</w:t>
            </w:r>
            <w:r w:rsidR="00644AF9">
              <w:t xml:space="preserve"> sensitisation</w:t>
            </w:r>
            <w:r>
              <w:t>.</w:t>
            </w:r>
          </w:p>
          <w:p w14:paraId="0F32D150" w14:textId="10B7CC61" w:rsidR="006D6135" w:rsidRPr="00DA352E" w:rsidRDefault="006D6135" w:rsidP="003365A5">
            <w:pPr>
              <w:pStyle w:val="Tabletextprimarysource"/>
            </w:pPr>
          </w:p>
        </w:tc>
      </w:tr>
      <w:tr w:rsidR="00C978F0" w:rsidRPr="00DA352E" w14:paraId="09A2EAB3" w14:textId="77777777" w:rsidTr="007545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94C6FE" w14:textId="0063CD7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1644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116444">
                  <w:t>NA</w:t>
                </w:r>
                <w:proofErr w:type="spellEnd"/>
              </w:sdtContent>
            </w:sdt>
          </w:p>
        </w:tc>
      </w:tr>
      <w:tr w:rsidR="00C978F0" w:rsidRPr="00DA352E" w14:paraId="431A1966" w14:textId="77777777" w:rsidTr="007545B1">
        <w:trPr>
          <w:gridAfter w:val="1"/>
          <w:wAfter w:w="8" w:type="pct"/>
          <w:cantSplit/>
        </w:trPr>
        <w:tc>
          <w:tcPr>
            <w:tcW w:w="4992" w:type="pct"/>
          </w:tcPr>
          <w:p w14:paraId="4A128235" w14:textId="3EDA97CE" w:rsidR="00C978F0" w:rsidRPr="00DA352E" w:rsidRDefault="00116444" w:rsidP="003365A5">
            <w:pPr>
              <w:pStyle w:val="Tabletextprimarysource"/>
            </w:pPr>
            <w:r>
              <w:t>No report</w:t>
            </w:r>
            <w:r w:rsidR="00185E14">
              <w:t>.</w:t>
            </w:r>
          </w:p>
        </w:tc>
      </w:tr>
      <w:tr w:rsidR="00DA352E" w:rsidRPr="00DA352E" w14:paraId="3C775D16" w14:textId="77777777" w:rsidTr="007545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4D3858" w14:textId="4A2782F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1644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16444">
                  <w:t>NA</w:t>
                </w:r>
                <w:proofErr w:type="spellEnd"/>
              </w:sdtContent>
            </w:sdt>
          </w:p>
        </w:tc>
      </w:tr>
      <w:tr w:rsidR="00DA352E" w:rsidRPr="00DA352E" w14:paraId="53E31C4A" w14:textId="77777777" w:rsidTr="007545B1">
        <w:trPr>
          <w:gridAfter w:val="1"/>
          <w:wAfter w:w="8" w:type="pct"/>
          <w:cantSplit/>
        </w:trPr>
        <w:tc>
          <w:tcPr>
            <w:tcW w:w="4992" w:type="pct"/>
          </w:tcPr>
          <w:p w14:paraId="4A3AFC05" w14:textId="62FE7D0B" w:rsidR="00DA352E" w:rsidRPr="00DA352E" w:rsidRDefault="00116444" w:rsidP="003365A5">
            <w:pPr>
              <w:pStyle w:val="Tabletextprimarysource"/>
            </w:pPr>
            <w:r>
              <w:t>No report</w:t>
            </w:r>
            <w:r w:rsidR="00185E14">
              <w:t>.</w:t>
            </w:r>
          </w:p>
        </w:tc>
      </w:tr>
      <w:tr w:rsidR="00DA352E" w:rsidRPr="00DA352E" w14:paraId="6DF07172" w14:textId="77777777" w:rsidTr="007545B1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C11FDE" w14:textId="1A6485C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1644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16444">
                  <w:t>NA</w:t>
                </w:r>
                <w:proofErr w:type="spellEnd"/>
              </w:sdtContent>
            </w:sdt>
          </w:p>
        </w:tc>
      </w:tr>
      <w:tr w:rsidR="00DA352E" w:rsidRPr="00DA352E" w14:paraId="0D637BCF" w14:textId="77777777" w:rsidTr="007545B1">
        <w:trPr>
          <w:gridAfter w:val="1"/>
          <w:wAfter w:w="8" w:type="pct"/>
          <w:cantSplit/>
        </w:trPr>
        <w:tc>
          <w:tcPr>
            <w:tcW w:w="4992" w:type="pct"/>
          </w:tcPr>
          <w:p w14:paraId="3C3D0E89" w14:textId="58100C93" w:rsidR="00DA352E" w:rsidRPr="00DA352E" w:rsidRDefault="00116444" w:rsidP="003365A5">
            <w:pPr>
              <w:pStyle w:val="Tabletextprimarysource"/>
            </w:pPr>
            <w:r>
              <w:t>No report</w:t>
            </w:r>
            <w:r w:rsidR="00185E14">
              <w:t>.</w:t>
            </w:r>
          </w:p>
        </w:tc>
      </w:tr>
    </w:tbl>
    <w:p w14:paraId="3C91661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5"/>
        <w:gridCol w:w="421"/>
        <w:gridCol w:w="661"/>
        <w:gridCol w:w="6459"/>
      </w:tblGrid>
      <w:tr w:rsidR="008663F2" w:rsidRPr="00263255" w14:paraId="2C515F00" w14:textId="77777777" w:rsidTr="007545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3"/>
          <w:tblHeader/>
        </w:trPr>
        <w:tc>
          <w:tcPr>
            <w:tcW w:w="1485" w:type="dxa"/>
            <w:shd w:val="clear" w:color="auto" w:fill="BFBFBF" w:themeFill="background1" w:themeFillShade="BF"/>
            <w:vAlign w:val="center"/>
          </w:tcPr>
          <w:p w14:paraId="3106CC3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1" w:type="dxa"/>
            <w:shd w:val="clear" w:color="auto" w:fill="BFBFBF" w:themeFill="background1" w:themeFillShade="BF"/>
            <w:vAlign w:val="center"/>
          </w:tcPr>
          <w:p w14:paraId="6CD5FD0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857D5B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14:paraId="0CAEE34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0055FDA" w14:textId="77777777" w:rsidTr="007545B1">
        <w:tc>
          <w:tcPr>
            <w:tcW w:w="1485" w:type="dxa"/>
          </w:tcPr>
          <w:p w14:paraId="1727BA4B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1" w:type="dxa"/>
          </w:tcPr>
          <w:p w14:paraId="6A2293F4" w14:textId="0DBE23BF" w:rsidR="004966BF" w:rsidRPr="00CE617F" w:rsidRDefault="003B12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B0CE2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92E722" w14:textId="276DF26B" w:rsidR="004966BF" w:rsidRPr="004C23F4" w:rsidRDefault="005B0CE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59" w:type="dxa"/>
          </w:tcPr>
          <w:p w14:paraId="3097A619" w14:textId="5C248C5F" w:rsidR="00C14A66" w:rsidRPr="003B1DAB" w:rsidRDefault="00C14A66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>
              <w:rPr>
                <w:rFonts w:cs="Arial"/>
              </w:rPr>
              <w:t xml:space="preserve">Not considered a skin sensitiser based on negative results in </w:t>
            </w:r>
            <w:r w:rsidRPr="003B1DAB">
              <w:rPr>
                <w:rFonts w:cs="Arial"/>
              </w:rPr>
              <w:t>standard LLNA with mice and modelled data that do not predict sensitisation in humans and guinea pigs</w:t>
            </w:r>
          </w:p>
          <w:p w14:paraId="667E1D86" w14:textId="012A0310" w:rsidR="00316BB7" w:rsidRPr="003B1DAB" w:rsidRDefault="00316BB7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 w:rsidRPr="00116575">
              <w:rPr>
                <w:rFonts w:cs="Arial"/>
              </w:rPr>
              <w:t>Carcinogenic in standardised animal studies and may induce bile duct cancers in humans</w:t>
            </w:r>
          </w:p>
          <w:p w14:paraId="35ACD3B7" w14:textId="43C43B87" w:rsidR="00316BB7" w:rsidRPr="003B1DAB" w:rsidRDefault="00316BB7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 w:rsidRPr="003B1DAB">
              <w:rPr>
                <w:rFonts w:cs="Arial"/>
              </w:rPr>
              <w:lastRenderedPageBreak/>
              <w:t>Increased incidence of cholangiocarcinoma in Japanese printing workers (also cited in IARC</w:t>
            </w:r>
            <w:r w:rsidR="0026488F" w:rsidRPr="003B1DAB">
              <w:rPr>
                <w:rFonts w:cs="Arial"/>
              </w:rPr>
              <w:t>,</w:t>
            </w:r>
            <w:r w:rsidRPr="003B1DAB">
              <w:rPr>
                <w:rFonts w:cs="Arial"/>
              </w:rPr>
              <w:t xml:space="preserve"> 201</w:t>
            </w:r>
            <w:r w:rsidR="00C60038" w:rsidRPr="003B1DAB">
              <w:rPr>
                <w:rFonts w:cs="Arial"/>
              </w:rPr>
              <w:t>7</w:t>
            </w:r>
            <w:r w:rsidRPr="003B1DAB">
              <w:rPr>
                <w:rFonts w:cs="Arial"/>
              </w:rPr>
              <w:t>)</w:t>
            </w:r>
            <w:r w:rsidR="00156144">
              <w:rPr>
                <w:rFonts w:cs="Arial"/>
              </w:rPr>
              <w:t>,</w:t>
            </w:r>
            <w:r w:rsidRPr="003B1DAB">
              <w:rPr>
                <w:rFonts w:cs="Arial"/>
              </w:rPr>
              <w:t xml:space="preserve"> also demonstrated in other countries; however, exposure estimates not included </w:t>
            </w:r>
          </w:p>
          <w:p w14:paraId="3F1EFFFB" w14:textId="77777777" w:rsidR="004966BF" w:rsidRPr="003B1DAB" w:rsidRDefault="00316BB7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 w:rsidRPr="003B1DAB">
              <w:rPr>
                <w:rFonts w:cs="Arial"/>
              </w:rPr>
              <w:t>Human carcinogenicity data are limited, no epidemiological studies available to assess the impact of confounders in available workplace data</w:t>
            </w:r>
          </w:p>
          <w:p w14:paraId="4A167CB8" w14:textId="77777777" w:rsidR="0001550C" w:rsidRPr="003B1DAB" w:rsidRDefault="00316BB7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 w:rsidRPr="003B1DAB">
              <w:rPr>
                <w:rFonts w:cs="Arial"/>
              </w:rPr>
              <w:t xml:space="preserve">Not clastogenic based on weight of evidence from </w:t>
            </w:r>
            <w:r w:rsidRPr="003B1DAB">
              <w:rPr>
                <w:rFonts w:cs="Arial"/>
                <w:i/>
              </w:rPr>
              <w:t>in</w:t>
            </w:r>
            <w:r w:rsidRPr="003B1DAB">
              <w:rPr>
                <w:rFonts w:cs="Arial"/>
              </w:rPr>
              <w:t xml:space="preserve"> </w:t>
            </w:r>
            <w:r w:rsidRPr="003B1DAB">
              <w:rPr>
                <w:rFonts w:cs="Arial"/>
                <w:i/>
              </w:rPr>
              <w:t>vitro</w:t>
            </w:r>
            <w:r w:rsidRPr="003B1DAB">
              <w:rPr>
                <w:rFonts w:cs="Arial"/>
              </w:rPr>
              <w:t xml:space="preserve"> and </w:t>
            </w:r>
            <w:r w:rsidRPr="003B1DAB">
              <w:rPr>
                <w:rFonts w:cs="Arial"/>
                <w:i/>
              </w:rPr>
              <w:t>in</w:t>
            </w:r>
            <w:r w:rsidRPr="003B1DAB">
              <w:rPr>
                <w:rFonts w:cs="Arial"/>
              </w:rPr>
              <w:t xml:space="preserve"> </w:t>
            </w:r>
            <w:r w:rsidRPr="003B1DAB">
              <w:rPr>
                <w:rFonts w:cs="Arial"/>
                <w:i/>
              </w:rPr>
              <w:t>vivo</w:t>
            </w:r>
            <w:r w:rsidR="0001550C" w:rsidRPr="003B1DAB">
              <w:rPr>
                <w:rFonts w:cs="Arial"/>
              </w:rPr>
              <w:t xml:space="preserve"> genotoxicity studies</w:t>
            </w:r>
          </w:p>
          <w:p w14:paraId="5629A65B" w14:textId="78FD3009" w:rsidR="0001550C" w:rsidRPr="003B1DAB" w:rsidRDefault="0001550C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Fonts w:cs="Arial"/>
              </w:rPr>
            </w:pPr>
            <w:r w:rsidRPr="003B1DAB">
              <w:rPr>
                <w:rFonts w:cs="Arial"/>
              </w:rPr>
              <w:t>Equivocal evidence for mutagenicity</w:t>
            </w:r>
            <w:r w:rsidR="00156144">
              <w:rPr>
                <w:rFonts w:cs="Arial"/>
              </w:rPr>
              <w:t>:</w:t>
            </w:r>
          </w:p>
          <w:p w14:paraId="4CEC2FD4" w14:textId="3CB4185E" w:rsidR="0001550C" w:rsidRPr="003B1DAB" w:rsidRDefault="00316BB7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Fonts w:cs="Arial"/>
              </w:rPr>
            </w:pPr>
            <w:r w:rsidRPr="003B1DAB">
              <w:rPr>
                <w:rFonts w:cs="Arial"/>
              </w:rPr>
              <w:t xml:space="preserve">point mutations </w:t>
            </w:r>
            <w:r w:rsidRPr="003B1DAB">
              <w:rPr>
                <w:rFonts w:cs="Arial"/>
                <w:i/>
              </w:rPr>
              <w:t>in</w:t>
            </w:r>
            <w:r w:rsidR="0001550C" w:rsidRPr="003B1DAB">
              <w:rPr>
                <w:rFonts w:cs="Arial"/>
                <w:i/>
              </w:rPr>
              <w:t xml:space="preserve"> vitro</w:t>
            </w:r>
            <w:r w:rsidR="0001550C" w:rsidRPr="003B1DAB">
              <w:rPr>
                <w:rFonts w:cs="Arial"/>
              </w:rPr>
              <w:t xml:space="preserve"> in bacteria</w:t>
            </w:r>
            <w:r w:rsidRPr="003B1DAB">
              <w:rPr>
                <w:rFonts w:cs="Arial"/>
              </w:rPr>
              <w:t xml:space="preserve"> and </w:t>
            </w:r>
            <w:r w:rsidRPr="003B1DAB">
              <w:rPr>
                <w:rFonts w:cs="Arial"/>
                <w:i/>
              </w:rPr>
              <w:t>in</w:t>
            </w:r>
            <w:r w:rsidRPr="003B1DAB">
              <w:rPr>
                <w:rFonts w:cs="Arial"/>
              </w:rPr>
              <w:t xml:space="preserve"> </w:t>
            </w:r>
            <w:r w:rsidRPr="003B1DAB">
              <w:rPr>
                <w:rFonts w:cs="Arial"/>
                <w:i/>
              </w:rPr>
              <w:t>vivo</w:t>
            </w:r>
            <w:r w:rsidRPr="003B1DAB">
              <w:rPr>
                <w:rFonts w:cs="Arial"/>
              </w:rPr>
              <w:t xml:space="preserve"> </w:t>
            </w:r>
            <w:r w:rsidR="0001550C" w:rsidRPr="003B1DAB">
              <w:rPr>
                <w:rFonts w:cs="Arial"/>
              </w:rPr>
              <w:t xml:space="preserve">in </w:t>
            </w:r>
            <w:r w:rsidRPr="003B1DAB">
              <w:rPr>
                <w:rFonts w:cs="Arial"/>
              </w:rPr>
              <w:t>comet assay following inhalation</w:t>
            </w:r>
            <w:r w:rsidR="0001550C" w:rsidRPr="003B1DAB">
              <w:rPr>
                <w:rFonts w:cs="Arial"/>
              </w:rPr>
              <w:t xml:space="preserve"> at 150–600 ppm (mice, 6</w:t>
            </w:r>
            <w:r w:rsidR="00185E14" w:rsidRPr="003B1DAB">
              <w:rPr>
                <w:rFonts w:cs="Arial"/>
              </w:rPr>
              <w:t> </w:t>
            </w:r>
            <w:proofErr w:type="spellStart"/>
            <w:r w:rsidR="0001550C" w:rsidRPr="003B1DAB">
              <w:rPr>
                <w:rFonts w:cs="Arial"/>
              </w:rPr>
              <w:t>wk</w:t>
            </w:r>
            <w:proofErr w:type="spellEnd"/>
            <w:r w:rsidR="0001550C" w:rsidRPr="003B1DAB">
              <w:rPr>
                <w:rFonts w:cs="Arial"/>
              </w:rPr>
              <w:t>, no further details provided)</w:t>
            </w:r>
            <w:r w:rsidRPr="003B1DAB">
              <w:rPr>
                <w:rFonts w:cs="Arial"/>
              </w:rPr>
              <w:t xml:space="preserve"> </w:t>
            </w:r>
          </w:p>
          <w:p w14:paraId="276D374C" w14:textId="77777777" w:rsidR="00316BB7" w:rsidRPr="003B1DAB" w:rsidRDefault="0001550C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Fonts w:cs="Arial"/>
              </w:rPr>
            </w:pPr>
            <w:r>
              <w:rPr>
                <w:rFonts w:cs="Arial"/>
              </w:rPr>
              <w:t xml:space="preserve">no </w:t>
            </w:r>
            <w:r w:rsidRPr="003B1DAB">
              <w:rPr>
                <w:rFonts w:cs="Arial"/>
              </w:rPr>
              <w:t xml:space="preserve">excess micronucleus formation </w:t>
            </w:r>
            <w:r w:rsidRPr="003B1DAB">
              <w:rPr>
                <w:rFonts w:cs="Arial"/>
                <w:i/>
              </w:rPr>
              <w:t>in vivo</w:t>
            </w:r>
            <w:r w:rsidRPr="003B1DAB">
              <w:rPr>
                <w:rFonts w:cs="Arial"/>
              </w:rPr>
              <w:t xml:space="preserve"> at inhalational dose 150–600 ppm (mice, 6 </w:t>
            </w:r>
            <w:proofErr w:type="spellStart"/>
            <w:r w:rsidRPr="003B1DAB">
              <w:rPr>
                <w:rFonts w:cs="Arial"/>
              </w:rPr>
              <w:t>wk</w:t>
            </w:r>
            <w:proofErr w:type="spellEnd"/>
            <w:r w:rsidRPr="003B1DAB">
              <w:rPr>
                <w:rFonts w:cs="Arial"/>
              </w:rPr>
              <w:t>, no further details provided)</w:t>
            </w:r>
          </w:p>
          <w:p w14:paraId="5DB9E7FB" w14:textId="7ABF4DB9" w:rsidR="008663F2" w:rsidRPr="00316BB7" w:rsidRDefault="005B0CE2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Style w:val="checkbox"/>
                <w:rFonts w:ascii="Arial" w:hAnsi="Arial" w:cs="Arial"/>
              </w:rPr>
            </w:pPr>
            <w:r w:rsidRPr="00116575">
              <w:rPr>
                <w:rFonts w:cs="Arial"/>
              </w:rPr>
              <w:t>no</w:t>
            </w:r>
            <w:r w:rsidR="008663F2" w:rsidRPr="00116575">
              <w:rPr>
                <w:rFonts w:cs="Arial"/>
              </w:rPr>
              <w:t xml:space="preserve"> significant increase in mutation rates of human bile duct tumour cells exposed at cytotoxic concentrations in single and repeat dose experiments (no </w:t>
            </w:r>
            <w:r w:rsidRPr="00116575">
              <w:rPr>
                <w:rFonts w:cs="Arial"/>
              </w:rPr>
              <w:t xml:space="preserve">further </w:t>
            </w:r>
            <w:r w:rsidR="008663F2" w:rsidRPr="00116575">
              <w:rPr>
                <w:rFonts w:cs="Arial"/>
              </w:rPr>
              <w:t>exposure details provided)</w:t>
            </w:r>
            <w:r w:rsidR="00185E14" w:rsidRPr="00116575">
              <w:rPr>
                <w:rFonts w:cs="Arial"/>
              </w:rPr>
              <w:t>.</w:t>
            </w:r>
          </w:p>
        </w:tc>
      </w:tr>
      <w:tr w:rsidR="004966BF" w:rsidRPr="004C23F4" w14:paraId="586FA1EE" w14:textId="77777777" w:rsidTr="007545B1">
        <w:tc>
          <w:tcPr>
            <w:tcW w:w="1485" w:type="dxa"/>
          </w:tcPr>
          <w:p w14:paraId="0FC87619" w14:textId="77777777" w:rsidR="004966BF" w:rsidRPr="004C23F4" w:rsidRDefault="004966BF" w:rsidP="00224EE2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421" w:type="dxa"/>
          </w:tcPr>
          <w:p w14:paraId="18674EE9" w14:textId="71604A2A" w:rsidR="004966BF" w:rsidRPr="00CE617F" w:rsidRDefault="003B12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647C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E4B1277" w14:textId="455EDB0A" w:rsidR="004966BF" w:rsidRPr="004C23F4" w:rsidRDefault="00E647C0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59" w:type="dxa"/>
          </w:tcPr>
          <w:p w14:paraId="22E6A433" w14:textId="2E490460" w:rsidR="0064717E" w:rsidRDefault="00663607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17 cases of </w:t>
            </w:r>
            <w:r w:rsidR="004A5AE1">
              <w:rPr>
                <w:rStyle w:val="checkbox"/>
                <w:rFonts w:ascii="Arial" w:hAnsi="Arial" w:cs="Arial"/>
              </w:rPr>
              <w:t xml:space="preserve">biliary cancer </w:t>
            </w:r>
            <w:r>
              <w:rPr>
                <w:rStyle w:val="checkbox"/>
                <w:rFonts w:ascii="Arial" w:hAnsi="Arial" w:cs="Arial"/>
              </w:rPr>
              <w:t>reported in case studies</w:t>
            </w:r>
            <w:r w:rsidR="004A5AE1">
              <w:rPr>
                <w:rStyle w:val="checkbox"/>
                <w:rFonts w:ascii="Arial" w:hAnsi="Arial" w:cs="Arial"/>
              </w:rPr>
              <w:t xml:space="preserve"> of </w:t>
            </w:r>
            <w:r>
              <w:rPr>
                <w:rStyle w:val="checkbox"/>
                <w:rFonts w:ascii="Arial" w:hAnsi="Arial" w:cs="Arial"/>
              </w:rPr>
              <w:t xml:space="preserve">printing press workers in Japan </w:t>
            </w:r>
            <w:r w:rsidR="00942645">
              <w:rPr>
                <w:rStyle w:val="checkbox"/>
                <w:rFonts w:ascii="Arial" w:hAnsi="Arial" w:cs="Arial"/>
              </w:rPr>
              <w:t xml:space="preserve">exposed to solvent mixtures </w:t>
            </w:r>
            <w:r>
              <w:rPr>
                <w:rStyle w:val="checkbox"/>
                <w:rFonts w:ascii="Arial" w:hAnsi="Arial" w:cs="Arial"/>
              </w:rPr>
              <w:t>(n=100)</w:t>
            </w:r>
            <w:r w:rsidR="00156144">
              <w:rPr>
                <w:rStyle w:val="checkbox"/>
                <w:rFonts w:ascii="Arial" w:hAnsi="Arial" w:cs="Arial"/>
              </w:rPr>
              <w:t>:</w:t>
            </w:r>
          </w:p>
          <w:p w14:paraId="5F4C29FD" w14:textId="572AE62B" w:rsidR="00942645" w:rsidRDefault="0064717E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estimated 8-h average exposure of these workers was 60–210 ppm and 130–160 </w:t>
            </w:r>
            <w:r w:rsidR="00942645">
              <w:rPr>
                <w:rStyle w:val="checkbox"/>
                <w:rFonts w:ascii="Arial" w:hAnsi="Arial" w:cs="Arial"/>
              </w:rPr>
              <w:t>ppm dichloromethane</w:t>
            </w:r>
          </w:p>
          <w:p w14:paraId="23CCEE24" w14:textId="172FB776" w:rsidR="008341B6" w:rsidRPr="00942645" w:rsidRDefault="008341B6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carcinogenic action of dichloromethane cannot be separated from the information available from these studies; however, </w:t>
            </w:r>
            <w:r w:rsidR="000B114E" w:rsidRPr="00BE341C">
              <w:rPr>
                <w:rStyle w:val="checkbox"/>
                <w:rFonts w:ascii="Arial" w:hAnsi="Arial" w:cs="Arial"/>
              </w:rPr>
              <w:t>I</w:t>
            </w:r>
            <w:r w:rsidR="000B114E" w:rsidRPr="00156144">
              <w:rPr>
                <w:rStyle w:val="checkbox"/>
                <w:rFonts w:ascii="Arial" w:hAnsi="Arial" w:cs="Arial"/>
              </w:rPr>
              <w:t>ARC</w:t>
            </w:r>
            <w:r w:rsidR="000B114E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considers evidence sufficient to classify propylene dichloride as a human carcinogen</w:t>
            </w:r>
          </w:p>
          <w:p w14:paraId="3219FF2A" w14:textId="738E12A8" w:rsidR="00663607" w:rsidRDefault="00663607" w:rsidP="006D613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Dose-dependent increased incidence of bronchoalveolar</w:t>
            </w:r>
            <w:r w:rsidR="0027778C">
              <w:rPr>
                <w:rStyle w:val="checkbox"/>
                <w:rFonts w:ascii="Arial" w:hAnsi="Arial" w:cs="Arial"/>
              </w:rPr>
              <w:t xml:space="preserve"> (females)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27778C">
              <w:rPr>
                <w:rStyle w:val="checkbox"/>
                <w:rFonts w:ascii="Arial" w:hAnsi="Arial" w:cs="Arial"/>
              </w:rPr>
              <w:t>and</w:t>
            </w:r>
            <w:r w:rsidR="0027778C">
              <w:t xml:space="preserve"> Harderian gland (males) tumours in chronic inhalation study with dose groups 0, 32, 80, and 200 ppm (</w:t>
            </w:r>
            <w:r w:rsidR="0064717E">
              <w:t>mice</w:t>
            </w:r>
            <w:r w:rsidR="0027778C">
              <w:t xml:space="preserve">, </w:t>
            </w:r>
            <w:r w:rsidR="0064717E">
              <w:t>6 h/d, 5 d/</w:t>
            </w:r>
            <w:proofErr w:type="spellStart"/>
            <w:r w:rsidR="0064717E">
              <w:t>wk</w:t>
            </w:r>
            <w:proofErr w:type="spellEnd"/>
            <w:r w:rsidR="0064717E">
              <w:t xml:space="preserve">, </w:t>
            </w:r>
            <w:r w:rsidR="0027778C">
              <w:t xml:space="preserve">104 </w:t>
            </w:r>
            <w:proofErr w:type="spellStart"/>
            <w:r w:rsidR="0064717E">
              <w:t>wk</w:t>
            </w:r>
            <w:proofErr w:type="spellEnd"/>
            <w:r w:rsidR="0027778C">
              <w:t>)</w:t>
            </w:r>
            <w:r w:rsidR="0027778C">
              <w:rPr>
                <w:rStyle w:val="checkbox"/>
                <w:rFonts w:ascii="Arial" w:hAnsi="Arial" w:cs="Arial"/>
              </w:rPr>
              <w:t>; dose-dependent increase of nasal epithelial lesions in females</w:t>
            </w:r>
          </w:p>
          <w:p w14:paraId="6843C761" w14:textId="77777777" w:rsidR="0064717E" w:rsidRDefault="0064717E" w:rsidP="006D613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Increased incidence of nasal cavity tumours at 500 ppm in chronic inhalation study with dose groups 0, 80, 200, 500 ppm (rats, 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104 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>); no tumours detected in other dose groups</w:t>
            </w:r>
          </w:p>
          <w:p w14:paraId="2D4F417B" w14:textId="5156CDDB" w:rsidR="008341B6" w:rsidRDefault="008341B6" w:rsidP="006D613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Metabolism </w:t>
            </w:r>
            <w:r w:rsidRPr="006D6135">
              <w:rPr>
                <w:rStyle w:val="checkbox"/>
                <w:rFonts w:ascii="Arial" w:hAnsi="Arial" w:cs="Arial"/>
                <w:i/>
              </w:rPr>
              <w:t>via</w:t>
            </w:r>
            <w:r>
              <w:rPr>
                <w:rStyle w:val="checkbox"/>
                <w:rFonts w:ascii="Arial" w:hAnsi="Arial" w:cs="Arial"/>
              </w:rPr>
              <w:t xml:space="preserve"> glutathione, as observed with other chlorinated solvents, plausibly forms genotoxic metabolites, but not direct evidence available</w:t>
            </w:r>
          </w:p>
          <w:p w14:paraId="55563AD9" w14:textId="77777777" w:rsidR="00942645" w:rsidRDefault="00942645" w:rsidP="006D613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Available </w:t>
            </w:r>
            <w:r w:rsidRPr="00942645">
              <w:rPr>
                <w:rStyle w:val="checkbox"/>
                <w:rFonts w:ascii="Arial" w:hAnsi="Arial" w:cs="Arial"/>
                <w:i/>
              </w:rPr>
              <w:t>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42645">
              <w:rPr>
                <w:rStyle w:val="checkbox"/>
                <w:rFonts w:ascii="Arial" w:hAnsi="Arial" w:cs="Arial"/>
                <w:i/>
              </w:rPr>
              <w:t>vitro</w:t>
            </w:r>
            <w:r>
              <w:rPr>
                <w:rStyle w:val="checkbox"/>
                <w:rFonts w:ascii="Arial" w:hAnsi="Arial" w:cs="Arial"/>
              </w:rPr>
              <w:t xml:space="preserve"> and </w:t>
            </w:r>
            <w:r w:rsidRPr="00942645">
              <w:rPr>
                <w:rStyle w:val="checkbox"/>
                <w:rFonts w:ascii="Arial" w:hAnsi="Arial" w:cs="Arial"/>
                <w:i/>
              </w:rPr>
              <w:t>in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942645">
              <w:rPr>
                <w:rStyle w:val="checkbox"/>
                <w:rFonts w:ascii="Arial" w:hAnsi="Arial" w:cs="Arial"/>
                <w:i/>
              </w:rPr>
              <w:t>vivo</w:t>
            </w:r>
            <w:r>
              <w:rPr>
                <w:rStyle w:val="checkbox"/>
                <w:rFonts w:ascii="Arial" w:hAnsi="Arial" w:cs="Arial"/>
              </w:rPr>
              <w:t xml:space="preserve"> genotoxicity data are equivocal and limited; no</w:t>
            </w:r>
            <w:r w:rsidR="008341B6">
              <w:rPr>
                <w:rStyle w:val="checkbox"/>
                <w:rFonts w:ascii="Arial" w:hAnsi="Arial" w:cs="Arial"/>
              </w:rPr>
              <w:t xml:space="preserve"> human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  <w:i/>
              </w:rPr>
              <w:t xml:space="preserve">in vivo </w:t>
            </w:r>
            <w:r>
              <w:rPr>
                <w:rStyle w:val="checkbox"/>
                <w:rFonts w:ascii="Arial" w:hAnsi="Arial" w:cs="Arial"/>
              </w:rPr>
              <w:t>genotoxicity data are available</w:t>
            </w:r>
          </w:p>
          <w:p w14:paraId="3110468F" w14:textId="5B768A29" w:rsidR="008341B6" w:rsidRPr="004C23F4" w:rsidRDefault="00E647C0" w:rsidP="006D6135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Sufficient evidence in humans and animals to classify substance as carcinogenic in humans (Group 1)</w:t>
            </w:r>
            <w:r w:rsidR="00185E1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EB9230D" w14:textId="77777777" w:rsidTr="007545B1">
        <w:tc>
          <w:tcPr>
            <w:tcW w:w="1485" w:type="dxa"/>
          </w:tcPr>
          <w:p w14:paraId="20404D61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1" w:type="dxa"/>
          </w:tcPr>
          <w:p w14:paraId="5DE5429A" w14:textId="52AF924A" w:rsidR="004966BF" w:rsidRPr="00CE617F" w:rsidRDefault="003B12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42E1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F38E8E9" w14:textId="47BE32EA" w:rsidR="004966BF" w:rsidRPr="004C23F4" w:rsidRDefault="00042E1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9" w:type="dxa"/>
          </w:tcPr>
          <w:p w14:paraId="63B8B889" w14:textId="368898D5" w:rsidR="004966BF" w:rsidRDefault="00E647C0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 w:rsidR="00760E69">
              <w:rPr>
                <w:rStyle w:val="checkbox"/>
                <w:rFonts w:ascii="Arial" w:hAnsi="Arial" w:cs="Arial"/>
              </w:rPr>
              <w:t>RfD</w:t>
            </w:r>
            <w:proofErr w:type="spellEnd"/>
            <w:r w:rsidR="00760E69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 xml:space="preserve">principally </w:t>
            </w:r>
            <w:r w:rsidR="00760E69">
              <w:rPr>
                <w:rStyle w:val="checkbox"/>
                <w:rFonts w:ascii="Arial" w:hAnsi="Arial" w:cs="Arial"/>
              </w:rPr>
              <w:t>based on 13</w:t>
            </w:r>
            <w:r w:rsidR="00185E14">
              <w:rPr>
                <w:rStyle w:val="checkbox"/>
                <w:rFonts w:ascii="Arial" w:hAnsi="Arial" w:cs="Arial"/>
              </w:rPr>
              <w:t xml:space="preserve"> </w:t>
            </w:r>
            <w:proofErr w:type="spellStart"/>
            <w:r w:rsidR="00760E69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760E69">
              <w:rPr>
                <w:rStyle w:val="checkbox"/>
                <w:rFonts w:ascii="Arial" w:hAnsi="Arial" w:cs="Arial"/>
              </w:rPr>
              <w:t xml:space="preserve"> inhalation experiments with rats, mice, and rabbits (studies also cited in ACGIH, 2018)</w:t>
            </w:r>
            <w:r w:rsidR="00156144">
              <w:rPr>
                <w:rStyle w:val="checkbox"/>
                <w:rFonts w:ascii="Arial" w:hAnsi="Arial" w:cs="Arial"/>
              </w:rPr>
              <w:t>:</w:t>
            </w:r>
          </w:p>
          <w:p w14:paraId="7B65776E" w14:textId="71320404" w:rsidR="00760E69" w:rsidRDefault="00760E69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slight epithelial hyperplasia in nasal cavity</w:t>
            </w:r>
            <w:r w:rsidR="007709DB">
              <w:rPr>
                <w:rStyle w:val="checkbox"/>
                <w:rFonts w:ascii="Arial" w:hAnsi="Arial" w:cs="Arial"/>
              </w:rPr>
              <w:t xml:space="preserve"> at 15 ppm</w:t>
            </w:r>
            <w:r>
              <w:rPr>
                <w:rStyle w:val="checkbox"/>
                <w:rFonts w:ascii="Arial" w:hAnsi="Arial" w:cs="Arial"/>
              </w:rPr>
              <w:t xml:space="preserve"> (2/9 female rats) regarded as LOAE</w:t>
            </w:r>
            <w:r w:rsidR="006D6135">
              <w:rPr>
                <w:rStyle w:val="checkbox"/>
                <w:rFonts w:ascii="Arial" w:hAnsi="Arial" w:cs="Arial"/>
              </w:rPr>
              <w:t>C</w:t>
            </w:r>
            <w:r>
              <w:rPr>
                <w:rStyle w:val="checkbox"/>
                <w:rFonts w:ascii="Arial" w:hAnsi="Arial" w:cs="Arial"/>
              </w:rPr>
              <w:t xml:space="preserve"> for these studies and used to derive inhalation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</w:p>
          <w:p w14:paraId="6B427E7E" w14:textId="315BE7A4" w:rsidR="00760E69" w:rsidRDefault="00760E69" w:rsidP="006D6135">
            <w:pPr>
              <w:pStyle w:val="Tablefont"/>
              <w:numPr>
                <w:ilvl w:val="1"/>
                <w:numId w:val="1"/>
              </w:numPr>
              <w:ind w:left="109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concludes that mice and rabbits are 10 and 1,000 times less sensitive to these nasal effects than rats, respectively</w:t>
            </w:r>
          </w:p>
          <w:p w14:paraId="054BF9C1" w14:textId="6D9F2946" w:rsidR="005B0CE2" w:rsidRPr="004C23F4" w:rsidRDefault="005B0CE2" w:rsidP="006D6135">
            <w:pPr>
              <w:pStyle w:val="Tablefont"/>
              <w:numPr>
                <w:ilvl w:val="0"/>
                <w:numId w:val="1"/>
              </w:numPr>
              <w:ind w:left="71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Carcinogenic potential not evaluated</w:t>
            </w:r>
            <w:r w:rsidR="00185E14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1810ECEC" w14:textId="77777777" w:rsidTr="007545B1">
        <w:tc>
          <w:tcPr>
            <w:tcW w:w="1485" w:type="dxa"/>
          </w:tcPr>
          <w:p w14:paraId="3CE586FC" w14:textId="77777777" w:rsidR="004966BF" w:rsidRDefault="004966BF" w:rsidP="00224EE2">
            <w:pPr>
              <w:pStyle w:val="Tablefont"/>
            </w:pPr>
            <w:r>
              <w:lastRenderedPageBreak/>
              <w:t>US NIOSH</w:t>
            </w:r>
          </w:p>
        </w:tc>
        <w:tc>
          <w:tcPr>
            <w:tcW w:w="421" w:type="dxa"/>
          </w:tcPr>
          <w:p w14:paraId="4C78459E" w14:textId="742E0161" w:rsidR="004966BF" w:rsidRDefault="003B120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11A0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D139098" w14:textId="3996EE33" w:rsidR="004966BF" w:rsidRPr="004C23F4" w:rsidRDefault="00211A0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59" w:type="dxa"/>
          </w:tcPr>
          <w:p w14:paraId="329EFB06" w14:textId="2DFF016E" w:rsidR="004966BF" w:rsidRPr="004C23F4" w:rsidRDefault="00AB6716" w:rsidP="00156144">
            <w:pPr>
              <w:pStyle w:val="Tablefont"/>
              <w:numPr>
                <w:ilvl w:val="0"/>
                <w:numId w:val="6"/>
              </w:numPr>
              <w:rPr>
                <w:rStyle w:val="checkbox"/>
                <w:rFonts w:ascii="Arial" w:hAnsi="Arial" w:cs="Arial"/>
              </w:rPr>
            </w:pPr>
            <w:r w:rsidRPr="00AB6716">
              <w:rPr>
                <w:rFonts w:cs="Arial"/>
              </w:rPr>
              <w:t>IDLH based on inhalation toxicity data in animals</w:t>
            </w:r>
            <w:r>
              <w:rPr>
                <w:rFonts w:cs="Arial"/>
              </w:rPr>
              <w:t>.</w:t>
            </w:r>
          </w:p>
        </w:tc>
      </w:tr>
    </w:tbl>
    <w:bookmarkEnd w:id="0"/>
    <w:p w14:paraId="199E53D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3C79740" w14:textId="77777777" w:rsidTr="005B0CE2">
        <w:trPr>
          <w:trHeight w:val="454"/>
          <w:tblHeader/>
        </w:trPr>
        <w:tc>
          <w:tcPr>
            <w:tcW w:w="6597" w:type="dxa"/>
            <w:vAlign w:val="center"/>
          </w:tcPr>
          <w:p w14:paraId="6A04090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7DAE673" w14:textId="4DB1EE32" w:rsidR="002E0D61" w:rsidRDefault="005B0CE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3F12C3A" w14:textId="77777777" w:rsidTr="005B0CE2">
        <w:trPr>
          <w:trHeight w:val="454"/>
        </w:trPr>
        <w:tc>
          <w:tcPr>
            <w:tcW w:w="6597" w:type="dxa"/>
            <w:vAlign w:val="center"/>
          </w:tcPr>
          <w:p w14:paraId="7B026B68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6DF69F9" w14:textId="24BC99AF" w:rsidR="008A36CF" w:rsidRDefault="005B0CE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D6135" w14:paraId="33F88931" w14:textId="77777777" w:rsidTr="0061350B">
        <w:trPr>
          <w:trHeight w:val="454"/>
        </w:trPr>
        <w:sdt>
          <w:sdtPr>
            <w:rPr>
              <w:b/>
            </w:rPr>
            <w:id w:val="1830936485"/>
            <w:placeholder>
              <w:docPart w:val="90D4A7A50D2F4413B90F2CD8EFCD40C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2D156B8" w14:textId="32E48131" w:rsidR="006D6135" w:rsidRDefault="006D613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D4F73A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CCF5D33" w14:textId="77777777" w:rsidTr="007545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C156EA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D43603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3E050C" w14:textId="77777777" w:rsidTr="007545B1">
        <w:trPr>
          <w:cantSplit/>
        </w:trPr>
        <w:tc>
          <w:tcPr>
            <w:tcW w:w="3227" w:type="dxa"/>
          </w:tcPr>
          <w:p w14:paraId="5A3735F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31ED0D4" w14:textId="01278236" w:rsidR="00687890" w:rsidRPr="00DD2F9B" w:rsidRDefault="00B2651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E296CBC" w14:textId="77777777" w:rsidTr="007545B1">
        <w:trPr>
          <w:cantSplit/>
        </w:trPr>
        <w:tc>
          <w:tcPr>
            <w:tcW w:w="3227" w:type="dxa"/>
          </w:tcPr>
          <w:p w14:paraId="0654616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E2936D5" w14:textId="71CC2BF1" w:rsidR="007925F0" w:rsidRPr="00DD2F9B" w:rsidRDefault="00B2651C" w:rsidP="00DD2F9B">
            <w:pPr>
              <w:pStyle w:val="Tablefont"/>
            </w:pPr>
            <w:r w:rsidRPr="00B2651C">
              <w:t>Carcinogenicity – category 1B</w:t>
            </w:r>
          </w:p>
        </w:tc>
      </w:tr>
      <w:tr w:rsidR="00AF483F" w:rsidRPr="004C23F4" w14:paraId="4910893A" w14:textId="77777777" w:rsidTr="007545B1">
        <w:trPr>
          <w:cantSplit/>
        </w:trPr>
        <w:tc>
          <w:tcPr>
            <w:tcW w:w="3227" w:type="dxa"/>
          </w:tcPr>
          <w:p w14:paraId="563D3CB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65013B4" w14:textId="748E5339" w:rsidR="00AF483F" w:rsidRPr="00DD2F9B" w:rsidRDefault="00C14A66" w:rsidP="00DD2F9B">
            <w:pPr>
              <w:pStyle w:val="Tablefont"/>
            </w:pPr>
            <w:proofErr w:type="spellStart"/>
            <w:r>
              <w:t>Carc</w:t>
            </w:r>
            <w:proofErr w:type="spellEnd"/>
            <w:r>
              <w:t>. Cat. 1B</w:t>
            </w:r>
          </w:p>
        </w:tc>
      </w:tr>
      <w:tr w:rsidR="00687890" w:rsidRPr="004C23F4" w14:paraId="2AAB1225" w14:textId="77777777" w:rsidTr="007545B1">
        <w:trPr>
          <w:cantSplit/>
        </w:trPr>
        <w:tc>
          <w:tcPr>
            <w:tcW w:w="3227" w:type="dxa"/>
          </w:tcPr>
          <w:p w14:paraId="1A6D4FB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E96CFB4" w14:textId="6F8FC0E0" w:rsidR="00687890" w:rsidRPr="00DD2F9B" w:rsidRDefault="005B4D45" w:rsidP="00DD2F9B">
            <w:pPr>
              <w:pStyle w:val="Tablefont"/>
            </w:pPr>
            <w:r w:rsidRPr="00B2651C">
              <w:t>Carcinogenicity – category 1B</w:t>
            </w:r>
          </w:p>
        </w:tc>
      </w:tr>
      <w:tr w:rsidR="00E41A26" w:rsidRPr="004C23F4" w14:paraId="17F616ED" w14:textId="77777777" w:rsidTr="007545B1">
        <w:trPr>
          <w:cantSplit/>
        </w:trPr>
        <w:tc>
          <w:tcPr>
            <w:tcW w:w="3227" w:type="dxa"/>
          </w:tcPr>
          <w:p w14:paraId="7FE3E2B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47C848E" w14:textId="264CA0BD" w:rsidR="00E41A26" w:rsidRPr="00DD2F9B" w:rsidRDefault="00B2651C" w:rsidP="00DD2F9B">
            <w:pPr>
              <w:pStyle w:val="Tablefont"/>
            </w:pPr>
            <w:proofErr w:type="spellStart"/>
            <w:r w:rsidRPr="00B2651C">
              <w:t>Carc</w:t>
            </w:r>
            <w:proofErr w:type="spellEnd"/>
            <w:r w:rsidRPr="00B2651C">
              <w:t>. 1B</w:t>
            </w:r>
          </w:p>
        </w:tc>
      </w:tr>
      <w:tr w:rsidR="002E0D61" w:rsidRPr="004C23F4" w14:paraId="158612CA" w14:textId="77777777" w:rsidTr="007545B1">
        <w:trPr>
          <w:cantSplit/>
        </w:trPr>
        <w:tc>
          <w:tcPr>
            <w:tcW w:w="3227" w:type="dxa"/>
          </w:tcPr>
          <w:p w14:paraId="56DA45A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EB01E46" w14:textId="1DA60B27" w:rsidR="002E0D61" w:rsidRPr="00DD2F9B" w:rsidRDefault="00B2651C" w:rsidP="00DD2F9B">
            <w:pPr>
              <w:pStyle w:val="Tablefont"/>
            </w:pPr>
            <w:r w:rsidRPr="00B2651C">
              <w:t>Carcinogenicity – A4</w:t>
            </w:r>
            <w:r>
              <w:t xml:space="preserve">, </w:t>
            </w:r>
            <w:r w:rsidRPr="00B2651C">
              <w:t>DSEN</w:t>
            </w:r>
          </w:p>
        </w:tc>
      </w:tr>
      <w:tr w:rsidR="002E0D61" w:rsidRPr="004C23F4" w14:paraId="0F83B2FC" w14:textId="77777777" w:rsidTr="007545B1">
        <w:trPr>
          <w:cantSplit/>
        </w:trPr>
        <w:tc>
          <w:tcPr>
            <w:tcW w:w="3227" w:type="dxa"/>
          </w:tcPr>
          <w:p w14:paraId="538B7B1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8FD110C" w14:textId="2F3A1756" w:rsidR="002E0D61" w:rsidRPr="00DD2F9B" w:rsidRDefault="00B2651C" w:rsidP="00DD2F9B">
            <w:pPr>
              <w:pStyle w:val="Tablefont"/>
            </w:pPr>
            <w:r w:rsidRPr="00B2651C">
              <w:t>Carcinogenicity – 3B</w:t>
            </w:r>
          </w:p>
        </w:tc>
      </w:tr>
      <w:tr w:rsidR="002E0D61" w:rsidRPr="004C23F4" w14:paraId="0D9A7C69" w14:textId="77777777" w:rsidTr="007545B1">
        <w:trPr>
          <w:cantSplit/>
        </w:trPr>
        <w:tc>
          <w:tcPr>
            <w:tcW w:w="3227" w:type="dxa"/>
          </w:tcPr>
          <w:p w14:paraId="4A7614C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F0929EF" w14:textId="49F7AF48" w:rsidR="002E0D61" w:rsidRPr="00DD2F9B" w:rsidRDefault="001943F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F055CF" w14:textId="77777777" w:rsidTr="007545B1">
        <w:trPr>
          <w:cantSplit/>
        </w:trPr>
        <w:tc>
          <w:tcPr>
            <w:tcW w:w="3227" w:type="dxa"/>
          </w:tcPr>
          <w:p w14:paraId="7AA37FA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D658D73" w14:textId="18E284BD" w:rsidR="002E0D61" w:rsidRPr="00DD2F9B" w:rsidRDefault="001943F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E6B91FE" w14:textId="77777777" w:rsidTr="007545B1">
        <w:trPr>
          <w:cantSplit/>
        </w:trPr>
        <w:tc>
          <w:tcPr>
            <w:tcW w:w="3227" w:type="dxa"/>
          </w:tcPr>
          <w:p w14:paraId="7E18C8B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7D98261" w14:textId="409D146E" w:rsidR="00386093" w:rsidRPr="00DD2F9B" w:rsidRDefault="001943FC" w:rsidP="00DD2F9B">
            <w:pPr>
              <w:pStyle w:val="Tablefont"/>
            </w:pPr>
            <w:r w:rsidRPr="001943FC">
              <w:t>Carcinogenicity – Group 1</w:t>
            </w:r>
          </w:p>
        </w:tc>
      </w:tr>
      <w:tr w:rsidR="00386093" w:rsidRPr="004C23F4" w14:paraId="305C8EFC" w14:textId="77777777" w:rsidTr="007545B1">
        <w:trPr>
          <w:cantSplit/>
        </w:trPr>
        <w:tc>
          <w:tcPr>
            <w:tcW w:w="3227" w:type="dxa"/>
          </w:tcPr>
          <w:p w14:paraId="4FCC6D14" w14:textId="77777777" w:rsidR="004079B4" w:rsidRDefault="00386093" w:rsidP="00156144">
            <w:r>
              <w:t>US NIOSH</w:t>
            </w:r>
          </w:p>
        </w:tc>
        <w:tc>
          <w:tcPr>
            <w:tcW w:w="6015" w:type="dxa"/>
          </w:tcPr>
          <w:p w14:paraId="70816DC2" w14:textId="5B1C84E1" w:rsidR="00386093" w:rsidRPr="00DD2F9B" w:rsidRDefault="001943F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9E6156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AD0625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72D436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75A885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5B7B11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62"/>
              <w:gridCol w:w="1082"/>
              <w:gridCol w:w="1082"/>
              <w:gridCol w:w="2984"/>
            </w:tblGrid>
            <w:tr w:rsidR="00503212" w:rsidRPr="0026488F" w14:paraId="74DD7E68" w14:textId="77777777" w:rsidTr="00DF5160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0E71E3" w14:textId="46AD3B30" w:rsidR="00503212" w:rsidRPr="0026488F" w:rsidRDefault="00503212" w:rsidP="00503212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233DD5F" w14:textId="09B03B39" w:rsidR="00503212" w:rsidRPr="0026488F" w:rsidRDefault="00503212" w:rsidP="00503212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06A8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C0390F" w14:textId="53AD7ACA" w:rsidR="00503212" w:rsidRPr="0026488F" w:rsidRDefault="00503212" w:rsidP="00503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59F373" w14:textId="414C82E8" w:rsidR="00503212" w:rsidRPr="0026488F" w:rsidRDefault="00503212" w:rsidP="00503212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3AB1E2DC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4750E4" w14:textId="5D74E991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7376E" w14:textId="69313850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1679DC" w14:textId="204A50B2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4DD359" w14:textId="5E068B43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5EDE1583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58F08E" w14:textId="381AE98F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11613C" w14:textId="7B7EF5B4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CC18FB" w14:textId="50A4E3AA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73B63" w14:textId="60BED28A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7C195950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EC268C" w14:textId="1221547A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8F882C" w14:textId="23B28558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67EC7B" w14:textId="12B23D37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E8051F" w14:textId="5AE31BF4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1DFF14AA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845735" w14:textId="0077F98E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283EA" w14:textId="15AD6BF2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5B84FE" w14:textId="3912CE99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9EE13" w14:textId="218CA4F4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289629FB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C8755A" w14:textId="2BA0ECE0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4AF55A" w14:textId="57AC04BF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380F8" w14:textId="7D3EF624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678CED" w14:textId="7375AC59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16575" w:rsidRPr="0026488F" w14:paraId="57062D1F" w14:textId="77777777" w:rsidTr="00116575">
              <w:trPr>
                <w:trHeight w:val="231"/>
              </w:trPr>
              <w:tc>
                <w:tcPr>
                  <w:tcW w:w="366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D53968" w14:textId="0461DA7B" w:rsidR="00116575" w:rsidRPr="0026488F" w:rsidRDefault="00116575" w:rsidP="0011657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081F9A" w14:textId="390755CF" w:rsidR="00116575" w:rsidRPr="0026488F" w:rsidRDefault="00116575" w:rsidP="0011657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B12219" w14:textId="6973B7B8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75FA0A" w14:textId="175BFFAA" w:rsidR="00116575" w:rsidRPr="0026488F" w:rsidRDefault="00116575" w:rsidP="0011657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56B3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E8093ED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3113F21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519B5D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7AFC04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C708E8F" w14:textId="695D7331" w:rsidR="00EB3D1B" w:rsidRDefault="001943FC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566244F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440E3E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FD5AC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C8F6479" w14:textId="4DFA2D42" w:rsidR="001B79E5" w:rsidRDefault="00154A4D" w:rsidP="001B79E5">
                <w:pPr>
                  <w:pStyle w:val="Tablefont"/>
                </w:pPr>
                <w:r w:rsidRPr="00154A4D">
                  <w:t>112.98</w:t>
                </w:r>
              </w:p>
            </w:tc>
          </w:sdtContent>
        </w:sdt>
      </w:tr>
      <w:tr w:rsidR="00A31D99" w:rsidRPr="004C23F4" w14:paraId="47DDACF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9153E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F4BBEA5" w14:textId="763382C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54A4D">
                  <w:t>4.62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54A4D">
                  <w:t>0.216</w:t>
                </w:r>
              </w:sdtContent>
            </w:sdt>
            <w:r w:rsidRPr="00154A4D">
              <w:t xml:space="preserve"> </w:t>
            </w:r>
            <w:r>
              <w:t>ppm</w:t>
            </w:r>
          </w:p>
        </w:tc>
      </w:tr>
      <w:tr w:rsidR="00687890" w:rsidRPr="004C23F4" w14:paraId="38141A4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413E4C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7FFB6C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F77F74C" w14:textId="77777777" w:rsidTr="00EA6243">
        <w:trPr>
          <w:cantSplit/>
        </w:trPr>
        <w:tc>
          <w:tcPr>
            <w:tcW w:w="4077" w:type="dxa"/>
            <w:vAlign w:val="center"/>
          </w:tcPr>
          <w:p w14:paraId="764201A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45F294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AEDB0A" w14:textId="77777777" w:rsidTr="00EA6243">
        <w:trPr>
          <w:cantSplit/>
        </w:trPr>
        <w:tc>
          <w:tcPr>
            <w:tcW w:w="4077" w:type="dxa"/>
            <w:vAlign w:val="center"/>
          </w:tcPr>
          <w:p w14:paraId="18570F2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EED1E4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6879C20" w14:textId="77777777" w:rsidTr="00EA6243">
        <w:trPr>
          <w:cantSplit/>
        </w:trPr>
        <w:tc>
          <w:tcPr>
            <w:tcW w:w="4077" w:type="dxa"/>
            <w:vAlign w:val="center"/>
          </w:tcPr>
          <w:p w14:paraId="5415DB4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58A5263" w14:textId="77777777" w:rsidR="00E06F40" w:rsidRPr="00A006A0" w:rsidRDefault="003B120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B7D2A4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371F0E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BCBB78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14D097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0AF1C15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532B3D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52B141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8D54E6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A2CEFFF" w14:textId="66C954E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4CAE0DB" w14:textId="7210FD3E" w:rsidR="00154A4D" w:rsidRDefault="00154A4D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(1998) </w:t>
      </w:r>
      <w:r w:rsidRPr="00154A4D">
        <w:t>1,2-Dichloropropane</w:t>
      </w:r>
      <w:r>
        <w:t xml:space="preserve"> – MAK value documentation.</w:t>
      </w:r>
    </w:p>
    <w:p w14:paraId="20750E0F" w14:textId="03FE252F" w:rsidR="00154A4D" w:rsidRDefault="00154A4D" w:rsidP="00084859">
      <w:r>
        <w:t xml:space="preserve">European Chemicals Agency (ECHA) (2019) </w:t>
      </w:r>
      <w:r w:rsidRPr="00154A4D">
        <w:t>Propylene dichloride</w:t>
      </w:r>
      <w:r>
        <w:t xml:space="preserve"> – REACH assessment.</w:t>
      </w:r>
    </w:p>
    <w:p w14:paraId="3143496F" w14:textId="13A5E5A7" w:rsidR="00154A4D" w:rsidRDefault="00154A4D" w:rsidP="00084859">
      <w:r w:rsidRPr="002022B6">
        <w:t>International Agency for Research on Cancer</w:t>
      </w:r>
      <w:r>
        <w:t xml:space="preserve"> (IARC) (</w:t>
      </w:r>
      <w:r w:rsidRPr="00154A4D">
        <w:t>2017</w:t>
      </w:r>
      <w:r>
        <w:t xml:space="preserve">) </w:t>
      </w:r>
      <w:r w:rsidRPr="00154A4D">
        <w:t>1,2-Dichloropropane</w:t>
      </w:r>
      <w:r>
        <w:t>. IARC Monographs on the evaluation of the carcinogenic risk to humans.</w:t>
      </w:r>
    </w:p>
    <w:p w14:paraId="675C1A4C" w14:textId="4C67496E" w:rsidR="00154A4D" w:rsidRDefault="00154A4D" w:rsidP="00084859">
      <w:r w:rsidRPr="002022B6">
        <w:t>National Industrial Chemicals Notification and Assessment Scheme (NICNAS)</w:t>
      </w:r>
      <w:r>
        <w:t xml:space="preserve"> (</w:t>
      </w:r>
      <w:r w:rsidR="00AF3A3B" w:rsidRPr="00AF3A3B">
        <w:t>2017</w:t>
      </w:r>
      <w:r>
        <w:t xml:space="preserve">) </w:t>
      </w:r>
      <w:r w:rsidRPr="00154A4D">
        <w:t>Propane, 1,2-dichloro</w:t>
      </w:r>
      <w:r w:rsidRPr="0071660C">
        <w:t xml:space="preserve">: Human health </w:t>
      </w:r>
      <w:r w:rsidRPr="00154A4D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9E7EF6F" w14:textId="1BF23581" w:rsidR="00154A4D" w:rsidRDefault="00154A4D" w:rsidP="00084859">
      <w:r w:rsidRPr="00D86E03">
        <w:t>US National Institute for Occupational Safety and Health (NIOSH)</w:t>
      </w:r>
      <w:r>
        <w:t xml:space="preserve"> (</w:t>
      </w:r>
      <w:r w:rsidR="00AF3A3B" w:rsidRPr="00AF3A3B">
        <w:t>1994</w:t>
      </w:r>
      <w:r>
        <w:t xml:space="preserve">) Immediately dangerous to life or health concentrations – </w:t>
      </w:r>
      <w:r w:rsidR="00AF3A3B" w:rsidRPr="00AF3A3B">
        <w:t>Propylene dichloride</w:t>
      </w:r>
      <w:r>
        <w:t>.</w:t>
      </w:r>
    </w:p>
    <w:p w14:paraId="35FB5FBE" w14:textId="77EA330A" w:rsidR="00C30AF1" w:rsidRPr="00351FE0" w:rsidRDefault="00C30AF1" w:rsidP="00084859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Pr="00C30AF1">
        <w:t>1,2-Dichloropropane</w:t>
      </w:r>
      <w:r>
        <w:t>.</w:t>
      </w:r>
    </w:p>
    <w:sectPr w:rsidR="00C30AF1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5A0014" w14:textId="77777777" w:rsidR="00D85E7C" w:rsidRDefault="00D85E7C" w:rsidP="00F43AD5">
      <w:pPr>
        <w:spacing w:after="0" w:line="240" w:lineRule="auto"/>
      </w:pPr>
      <w:r>
        <w:separator/>
      </w:r>
    </w:p>
  </w:endnote>
  <w:endnote w:type="continuationSeparator" w:id="0">
    <w:p w14:paraId="7DC1945C" w14:textId="77777777" w:rsidR="00D85E7C" w:rsidRDefault="00D85E7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578A6" w14:textId="77777777" w:rsidR="007545B1" w:rsidRDefault="00754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699A7CD" w14:textId="0271B81E" w:rsidR="008A36CF" w:rsidRDefault="00154A4D" w:rsidP="0034744C">
        <w:pPr>
          <w:pStyle w:val="Footer"/>
          <w:rPr>
            <w:sz w:val="18"/>
            <w:szCs w:val="18"/>
          </w:rPr>
        </w:pPr>
        <w:r w:rsidRPr="00154A4D">
          <w:rPr>
            <w:b/>
            <w:sz w:val="18"/>
            <w:szCs w:val="18"/>
          </w:rPr>
          <w:t>Propylene dichloride</w:t>
        </w:r>
        <w:r w:rsidR="008A36CF">
          <w:rPr>
            <w:b/>
            <w:sz w:val="18"/>
            <w:szCs w:val="18"/>
          </w:rPr>
          <w:t xml:space="preserve"> (</w:t>
        </w:r>
        <w:r w:rsidRPr="00154A4D">
          <w:rPr>
            <w:b/>
            <w:sz w:val="18"/>
            <w:szCs w:val="18"/>
          </w:rPr>
          <w:t>78-87-5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5B0CE2">
          <w:rPr>
            <w:sz w:val="18"/>
            <w:szCs w:val="18"/>
          </w:rPr>
          <w:t>20</w:t>
        </w:r>
      </w:p>
      <w:p w14:paraId="1FC7203E" w14:textId="3178EE6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033FE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A5004" w14:textId="77777777" w:rsidR="007545B1" w:rsidRDefault="00754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4F1765" w14:textId="77777777" w:rsidR="00D85E7C" w:rsidRDefault="00D85E7C" w:rsidP="00F43AD5">
      <w:pPr>
        <w:spacing w:after="0" w:line="240" w:lineRule="auto"/>
      </w:pPr>
      <w:r>
        <w:separator/>
      </w:r>
    </w:p>
  </w:footnote>
  <w:footnote w:type="continuationSeparator" w:id="0">
    <w:p w14:paraId="2AF34329" w14:textId="77777777" w:rsidR="00D85E7C" w:rsidRDefault="00D85E7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003EC" w14:textId="77777777" w:rsidR="007545B1" w:rsidRDefault="00754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B5A7B" w14:textId="0009EF69" w:rsidR="008A36CF" w:rsidRPr="007545B1" w:rsidRDefault="007545B1" w:rsidP="007545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47DD09" wp14:editId="673FD307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A6D78" w14:textId="77777777" w:rsidR="007545B1" w:rsidRDefault="007545B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0E188" w14:textId="429FDEF5" w:rsidR="007545B1" w:rsidRDefault="007545B1" w:rsidP="007545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5AC764BF" wp14:editId="79A6092F">
          <wp:extent cx="2943225" cy="600075"/>
          <wp:effectExtent l="0" t="0" r="9525" b="0"/>
          <wp:docPr id="4" name="Picture 4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1ED36E" w14:textId="4F41D66B" w:rsidR="008A36CF" w:rsidRDefault="008A36CF" w:rsidP="00754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E7F0C"/>
    <w:multiLevelType w:val="hybridMultilevel"/>
    <w:tmpl w:val="D95073D0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66A65FB"/>
    <w:multiLevelType w:val="hybridMultilevel"/>
    <w:tmpl w:val="2542D7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BE734C"/>
    <w:multiLevelType w:val="hybridMultilevel"/>
    <w:tmpl w:val="E6BE8E4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48AD579A"/>
    <w:multiLevelType w:val="hybridMultilevel"/>
    <w:tmpl w:val="D83628DC"/>
    <w:lvl w:ilvl="0" w:tplc="378C44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396A29"/>
    <w:multiLevelType w:val="hybridMultilevel"/>
    <w:tmpl w:val="C5362F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BE635E"/>
    <w:multiLevelType w:val="hybridMultilevel"/>
    <w:tmpl w:val="C26088E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79341E3B"/>
    <w:multiLevelType w:val="hybridMultilevel"/>
    <w:tmpl w:val="8AE6035C"/>
    <w:lvl w:ilvl="0" w:tplc="3DC6543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656141">
    <w:abstractNumId w:val="3"/>
  </w:num>
  <w:num w:numId="2" w16cid:durableId="1875921700">
    <w:abstractNumId w:val="6"/>
  </w:num>
  <w:num w:numId="3" w16cid:durableId="551962530">
    <w:abstractNumId w:val="2"/>
  </w:num>
  <w:num w:numId="4" w16cid:durableId="1831798232">
    <w:abstractNumId w:val="0"/>
  </w:num>
  <w:num w:numId="5" w16cid:durableId="1952514486">
    <w:abstractNumId w:val="5"/>
  </w:num>
  <w:num w:numId="6" w16cid:durableId="737091868">
    <w:abstractNumId w:val="1"/>
  </w:num>
  <w:num w:numId="7" w16cid:durableId="1466738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550C"/>
    <w:rsid w:val="00017C82"/>
    <w:rsid w:val="00032B88"/>
    <w:rsid w:val="00042E17"/>
    <w:rsid w:val="00046DF5"/>
    <w:rsid w:val="00052060"/>
    <w:rsid w:val="0005574A"/>
    <w:rsid w:val="00055FE1"/>
    <w:rsid w:val="00056EC2"/>
    <w:rsid w:val="00060B48"/>
    <w:rsid w:val="000613CD"/>
    <w:rsid w:val="00067F32"/>
    <w:rsid w:val="00071807"/>
    <w:rsid w:val="000803E1"/>
    <w:rsid w:val="00084513"/>
    <w:rsid w:val="00084859"/>
    <w:rsid w:val="00092D94"/>
    <w:rsid w:val="00096A33"/>
    <w:rsid w:val="000B0868"/>
    <w:rsid w:val="000B114E"/>
    <w:rsid w:val="000B3E12"/>
    <w:rsid w:val="000B3E78"/>
    <w:rsid w:val="000B7B48"/>
    <w:rsid w:val="000C096D"/>
    <w:rsid w:val="000C139A"/>
    <w:rsid w:val="000C2053"/>
    <w:rsid w:val="000C248C"/>
    <w:rsid w:val="000D291C"/>
    <w:rsid w:val="000E1834"/>
    <w:rsid w:val="000E5A54"/>
    <w:rsid w:val="000E63D3"/>
    <w:rsid w:val="000E67CF"/>
    <w:rsid w:val="000F3D12"/>
    <w:rsid w:val="0010461E"/>
    <w:rsid w:val="00106FAA"/>
    <w:rsid w:val="00113443"/>
    <w:rsid w:val="00116444"/>
    <w:rsid w:val="00116575"/>
    <w:rsid w:val="001269A7"/>
    <w:rsid w:val="00131092"/>
    <w:rsid w:val="00140E6A"/>
    <w:rsid w:val="00146545"/>
    <w:rsid w:val="00146B75"/>
    <w:rsid w:val="0015266D"/>
    <w:rsid w:val="0015288A"/>
    <w:rsid w:val="00154A4D"/>
    <w:rsid w:val="00156144"/>
    <w:rsid w:val="00160F47"/>
    <w:rsid w:val="00177CA1"/>
    <w:rsid w:val="00183823"/>
    <w:rsid w:val="00183942"/>
    <w:rsid w:val="00185E14"/>
    <w:rsid w:val="001878B9"/>
    <w:rsid w:val="001943FC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16EF"/>
    <w:rsid w:val="001F4B6C"/>
    <w:rsid w:val="001F62CB"/>
    <w:rsid w:val="001F6ED0"/>
    <w:rsid w:val="001F72E6"/>
    <w:rsid w:val="001F73C5"/>
    <w:rsid w:val="002046A6"/>
    <w:rsid w:val="00204956"/>
    <w:rsid w:val="00211A0A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88F"/>
    <w:rsid w:val="00273FBB"/>
    <w:rsid w:val="00276494"/>
    <w:rsid w:val="0027778C"/>
    <w:rsid w:val="00277B0C"/>
    <w:rsid w:val="002B1A2C"/>
    <w:rsid w:val="002C1799"/>
    <w:rsid w:val="002C34F2"/>
    <w:rsid w:val="002C58FF"/>
    <w:rsid w:val="002C7AFE"/>
    <w:rsid w:val="002D05D2"/>
    <w:rsid w:val="002E0D61"/>
    <w:rsid w:val="002E4C7B"/>
    <w:rsid w:val="0030740C"/>
    <w:rsid w:val="00315833"/>
    <w:rsid w:val="00316BB7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504C"/>
    <w:rsid w:val="0038094B"/>
    <w:rsid w:val="00386093"/>
    <w:rsid w:val="003904A4"/>
    <w:rsid w:val="00390E9D"/>
    <w:rsid w:val="00391841"/>
    <w:rsid w:val="00391B6D"/>
    <w:rsid w:val="00394922"/>
    <w:rsid w:val="003A0E32"/>
    <w:rsid w:val="003A2B94"/>
    <w:rsid w:val="003B1203"/>
    <w:rsid w:val="003B1DAB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5892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6D6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AE1"/>
    <w:rsid w:val="004C1E3F"/>
    <w:rsid w:val="004C23F4"/>
    <w:rsid w:val="004C3475"/>
    <w:rsid w:val="004C58B6"/>
    <w:rsid w:val="004D16A3"/>
    <w:rsid w:val="004D4AA1"/>
    <w:rsid w:val="004D6D68"/>
    <w:rsid w:val="004E5EDD"/>
    <w:rsid w:val="004F374D"/>
    <w:rsid w:val="004F448A"/>
    <w:rsid w:val="004F493D"/>
    <w:rsid w:val="004F65E8"/>
    <w:rsid w:val="0050005E"/>
    <w:rsid w:val="00502B88"/>
    <w:rsid w:val="00503212"/>
    <w:rsid w:val="00503E0E"/>
    <w:rsid w:val="005142C4"/>
    <w:rsid w:val="0051509C"/>
    <w:rsid w:val="005272E2"/>
    <w:rsid w:val="0053108F"/>
    <w:rsid w:val="00532B56"/>
    <w:rsid w:val="00534B10"/>
    <w:rsid w:val="005446A2"/>
    <w:rsid w:val="00544D2F"/>
    <w:rsid w:val="00550A89"/>
    <w:rsid w:val="00551BD8"/>
    <w:rsid w:val="005661B4"/>
    <w:rsid w:val="00581055"/>
    <w:rsid w:val="00591E38"/>
    <w:rsid w:val="005A19C5"/>
    <w:rsid w:val="005A3034"/>
    <w:rsid w:val="005A462D"/>
    <w:rsid w:val="005A79BE"/>
    <w:rsid w:val="005B0CE2"/>
    <w:rsid w:val="005B253B"/>
    <w:rsid w:val="005B4D45"/>
    <w:rsid w:val="005B771D"/>
    <w:rsid w:val="005C5D16"/>
    <w:rsid w:val="005D3193"/>
    <w:rsid w:val="005D4A6E"/>
    <w:rsid w:val="005E6979"/>
    <w:rsid w:val="005E75CB"/>
    <w:rsid w:val="006013C1"/>
    <w:rsid w:val="0060669E"/>
    <w:rsid w:val="006070CD"/>
    <w:rsid w:val="00610F2E"/>
    <w:rsid w:val="00611399"/>
    <w:rsid w:val="00624C4E"/>
    <w:rsid w:val="00625200"/>
    <w:rsid w:val="006363A8"/>
    <w:rsid w:val="00636DB7"/>
    <w:rsid w:val="00644AF9"/>
    <w:rsid w:val="0064717E"/>
    <w:rsid w:val="00650905"/>
    <w:rsid w:val="006532ED"/>
    <w:rsid w:val="006549F2"/>
    <w:rsid w:val="006567B7"/>
    <w:rsid w:val="00657BFB"/>
    <w:rsid w:val="0066333C"/>
    <w:rsid w:val="00663607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38C"/>
    <w:rsid w:val="006B160A"/>
    <w:rsid w:val="006B4E6C"/>
    <w:rsid w:val="006B50B6"/>
    <w:rsid w:val="006D6135"/>
    <w:rsid w:val="006D79EA"/>
    <w:rsid w:val="006E008C"/>
    <w:rsid w:val="006E5D05"/>
    <w:rsid w:val="00701053"/>
    <w:rsid w:val="00701507"/>
    <w:rsid w:val="00711E99"/>
    <w:rsid w:val="00714021"/>
    <w:rsid w:val="00716A0F"/>
    <w:rsid w:val="00717D45"/>
    <w:rsid w:val="007208F7"/>
    <w:rsid w:val="007218AF"/>
    <w:rsid w:val="007365D1"/>
    <w:rsid w:val="00740E0E"/>
    <w:rsid w:val="00750212"/>
    <w:rsid w:val="007545B1"/>
    <w:rsid w:val="00754779"/>
    <w:rsid w:val="0075716D"/>
    <w:rsid w:val="00760E69"/>
    <w:rsid w:val="00765F14"/>
    <w:rsid w:val="007709DB"/>
    <w:rsid w:val="00770E31"/>
    <w:rsid w:val="007770F1"/>
    <w:rsid w:val="00782E07"/>
    <w:rsid w:val="00783FB1"/>
    <w:rsid w:val="00785CDD"/>
    <w:rsid w:val="00791847"/>
    <w:rsid w:val="007925F0"/>
    <w:rsid w:val="007939B3"/>
    <w:rsid w:val="0079509C"/>
    <w:rsid w:val="00796708"/>
    <w:rsid w:val="007A238D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1B6"/>
    <w:rsid w:val="00834CC8"/>
    <w:rsid w:val="00835E00"/>
    <w:rsid w:val="00837113"/>
    <w:rsid w:val="008414E4"/>
    <w:rsid w:val="00843E21"/>
    <w:rsid w:val="0084508E"/>
    <w:rsid w:val="00857A8A"/>
    <w:rsid w:val="008608B5"/>
    <w:rsid w:val="008630EE"/>
    <w:rsid w:val="00864D13"/>
    <w:rsid w:val="008663F2"/>
    <w:rsid w:val="00871CD5"/>
    <w:rsid w:val="008745A2"/>
    <w:rsid w:val="008768A8"/>
    <w:rsid w:val="0088798F"/>
    <w:rsid w:val="00887E4B"/>
    <w:rsid w:val="008915C8"/>
    <w:rsid w:val="008A36CF"/>
    <w:rsid w:val="008A3BC4"/>
    <w:rsid w:val="008A58E2"/>
    <w:rsid w:val="008B403C"/>
    <w:rsid w:val="008B7983"/>
    <w:rsid w:val="008C2511"/>
    <w:rsid w:val="008C38BD"/>
    <w:rsid w:val="008D026D"/>
    <w:rsid w:val="008D23AB"/>
    <w:rsid w:val="008D4B8B"/>
    <w:rsid w:val="008D5A78"/>
    <w:rsid w:val="008E684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645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38B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C76A3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E38"/>
    <w:rsid w:val="00A27E2D"/>
    <w:rsid w:val="00A31D99"/>
    <w:rsid w:val="00A357BA"/>
    <w:rsid w:val="00A35ADC"/>
    <w:rsid w:val="00A402A3"/>
    <w:rsid w:val="00A50E28"/>
    <w:rsid w:val="00A53681"/>
    <w:rsid w:val="00A633D4"/>
    <w:rsid w:val="00A6461A"/>
    <w:rsid w:val="00A84170"/>
    <w:rsid w:val="00A84504"/>
    <w:rsid w:val="00A8672F"/>
    <w:rsid w:val="00A93057"/>
    <w:rsid w:val="00A968B0"/>
    <w:rsid w:val="00AB2672"/>
    <w:rsid w:val="00AB2817"/>
    <w:rsid w:val="00AB43C4"/>
    <w:rsid w:val="00AB6716"/>
    <w:rsid w:val="00AC32E7"/>
    <w:rsid w:val="00AC3A9F"/>
    <w:rsid w:val="00AC539E"/>
    <w:rsid w:val="00AC6D2F"/>
    <w:rsid w:val="00AE2745"/>
    <w:rsid w:val="00AE2F64"/>
    <w:rsid w:val="00AF3A3B"/>
    <w:rsid w:val="00AF42CB"/>
    <w:rsid w:val="00AF483F"/>
    <w:rsid w:val="00AF5E07"/>
    <w:rsid w:val="00AF5F06"/>
    <w:rsid w:val="00B00A25"/>
    <w:rsid w:val="00B11FE8"/>
    <w:rsid w:val="00B12F77"/>
    <w:rsid w:val="00B1422A"/>
    <w:rsid w:val="00B1765C"/>
    <w:rsid w:val="00B213C4"/>
    <w:rsid w:val="00B2651C"/>
    <w:rsid w:val="00B40C60"/>
    <w:rsid w:val="00B479A9"/>
    <w:rsid w:val="00B52EDF"/>
    <w:rsid w:val="00B71188"/>
    <w:rsid w:val="00B71B47"/>
    <w:rsid w:val="00B76A41"/>
    <w:rsid w:val="00B817BD"/>
    <w:rsid w:val="00B82E1A"/>
    <w:rsid w:val="00B834D9"/>
    <w:rsid w:val="00B87D4C"/>
    <w:rsid w:val="00B93646"/>
    <w:rsid w:val="00BA0B38"/>
    <w:rsid w:val="00BA118D"/>
    <w:rsid w:val="00BA1DBB"/>
    <w:rsid w:val="00BA4510"/>
    <w:rsid w:val="00BA529A"/>
    <w:rsid w:val="00BB612A"/>
    <w:rsid w:val="00BD2BFC"/>
    <w:rsid w:val="00BD499F"/>
    <w:rsid w:val="00BD56DE"/>
    <w:rsid w:val="00BE341C"/>
    <w:rsid w:val="00BE53BE"/>
    <w:rsid w:val="00BF2406"/>
    <w:rsid w:val="00C06E43"/>
    <w:rsid w:val="00C14A66"/>
    <w:rsid w:val="00C16315"/>
    <w:rsid w:val="00C3091E"/>
    <w:rsid w:val="00C30AF1"/>
    <w:rsid w:val="00C36BE6"/>
    <w:rsid w:val="00C40FF1"/>
    <w:rsid w:val="00C419E2"/>
    <w:rsid w:val="00C5020E"/>
    <w:rsid w:val="00C57452"/>
    <w:rsid w:val="00C60038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02BD"/>
    <w:rsid w:val="00D516CD"/>
    <w:rsid w:val="00D55DE4"/>
    <w:rsid w:val="00D668E6"/>
    <w:rsid w:val="00D674E7"/>
    <w:rsid w:val="00D70670"/>
    <w:rsid w:val="00D74D80"/>
    <w:rsid w:val="00D76624"/>
    <w:rsid w:val="00D85E7C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33FE"/>
    <w:rsid w:val="00E06F40"/>
    <w:rsid w:val="00E07CE8"/>
    <w:rsid w:val="00E26A07"/>
    <w:rsid w:val="00E32595"/>
    <w:rsid w:val="00E37CFD"/>
    <w:rsid w:val="00E41A26"/>
    <w:rsid w:val="00E46BCB"/>
    <w:rsid w:val="00E51CAF"/>
    <w:rsid w:val="00E53F72"/>
    <w:rsid w:val="00E60F04"/>
    <w:rsid w:val="00E62AAC"/>
    <w:rsid w:val="00E647C0"/>
    <w:rsid w:val="00E66416"/>
    <w:rsid w:val="00E66D91"/>
    <w:rsid w:val="00E67C2F"/>
    <w:rsid w:val="00E67EF5"/>
    <w:rsid w:val="00E804EA"/>
    <w:rsid w:val="00E80A71"/>
    <w:rsid w:val="00E82337"/>
    <w:rsid w:val="00E86D07"/>
    <w:rsid w:val="00E92499"/>
    <w:rsid w:val="00E949AF"/>
    <w:rsid w:val="00E96077"/>
    <w:rsid w:val="00EA0A06"/>
    <w:rsid w:val="00EA6243"/>
    <w:rsid w:val="00EA74AB"/>
    <w:rsid w:val="00EB3D1B"/>
    <w:rsid w:val="00EC4701"/>
    <w:rsid w:val="00ED1D89"/>
    <w:rsid w:val="00ED66BC"/>
    <w:rsid w:val="00EE625D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283D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D53B4"/>
    <w:rsid w:val="00FF325A"/>
    <w:rsid w:val="00FF55A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B817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17B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17BD"/>
    <w:rPr>
      <w:szCs w:val="20"/>
    </w:rPr>
  </w:style>
  <w:style w:type="paragraph" w:styleId="Revision">
    <w:name w:val="Revision"/>
    <w:hidden/>
    <w:uiPriority w:val="99"/>
    <w:semiHidden/>
    <w:rsid w:val="003B1DAB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61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613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4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F56B16DC554358A5982B7B06B1D3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A4BA27-309F-4C6C-A01D-D30774E8AC3E}"/>
      </w:docPartPr>
      <w:docPartBody>
        <w:p w:rsidR="003C148C" w:rsidRDefault="00652346" w:rsidP="00652346">
          <w:pPr>
            <w:pStyle w:val="21F56B16DC554358A5982B7B06B1D376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90D4A7A50D2F4413B90F2CD8EFCD40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FBBB4-3DA5-41D1-89E8-4D0BCBA6BD7E}"/>
      </w:docPartPr>
      <w:docPartBody>
        <w:p w:rsidR="00590A51" w:rsidRDefault="00063555" w:rsidP="00063555">
          <w:pPr>
            <w:pStyle w:val="90D4A7A50D2F4413B90F2CD8EFCD40C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63555"/>
    <w:rsid w:val="003C148C"/>
    <w:rsid w:val="005661B4"/>
    <w:rsid w:val="00590A51"/>
    <w:rsid w:val="00652346"/>
    <w:rsid w:val="009838B8"/>
    <w:rsid w:val="00B04FDE"/>
    <w:rsid w:val="00BA6A36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6355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1F56B16DC554358A5982B7B06B1D376">
    <w:name w:val="21F56B16DC554358A5982B7B06B1D376"/>
    <w:rsid w:val="00652346"/>
  </w:style>
  <w:style w:type="paragraph" w:customStyle="1" w:styleId="90D4A7A50D2F4413B90F2CD8EFCD40C4">
    <w:name w:val="90D4A7A50D2F4413B90F2CD8EFCD40C4"/>
    <w:rsid w:val="000635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elements/1.1/"/>
    <ds:schemaRef ds:uri="1c567317-0c4d-4a62-8516-c22afd1b5354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terms/"/>
    <ds:schemaRef ds:uri="a0509f21-ed56-4150-9955-96be669e5f2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FE1AB0F-38B8-4DC3-AE04-FA287AC51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CA48D-1E70-4085-829A-9EC54661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771</TotalTime>
  <Pages>7</Pages>
  <Words>1956</Words>
  <Characters>10867</Characters>
  <Application>Microsoft Office Word</Application>
  <DocSecurity>0</DocSecurity>
  <Lines>314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43</cp:revision>
  <cp:lastPrinted>2018-10-22T22:41:00Z</cp:lastPrinted>
  <dcterms:created xsi:type="dcterms:W3CDTF">2019-10-02T05:58:00Z</dcterms:created>
  <dcterms:modified xsi:type="dcterms:W3CDTF">2026-01-09T00:58:00Z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2026-01-07T01:28:01Z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657adfbf-8b59-4ba3-84aa-57f523b50dcb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