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C7A474" w14:textId="0DAFA317" w:rsidR="00BD499F" w:rsidRPr="004C23F4" w:rsidRDefault="00E648C7" w:rsidP="00B40C60">
      <w:pPr>
        <w:pStyle w:val="Heading1"/>
        <w:jc w:val="center"/>
        <w:rPr>
          <w:rFonts w:ascii="Arial" w:hAnsi="Arial" w:cs="Arial"/>
        </w:rPr>
      </w:pPr>
      <w:sdt>
        <w:sdtPr>
          <w:rPr>
            <w:rFonts w:ascii="Arial" w:hAnsi="Arial" w:cs="Arial"/>
          </w:rPr>
          <w:alias w:val="NameofChemical"/>
          <w:tag w:val="NameofChemical"/>
          <w:id w:val="1425919599"/>
          <w:lock w:val="sdtLocked"/>
          <w:placeholder>
            <w:docPart w:val="CE1736E50B02464986D1BEC8B7ACDE96"/>
          </w:placeholder>
          <w:text/>
        </w:sdtPr>
        <w:sdtEndPr/>
        <w:sdtContent>
          <w:r w:rsidR="0052000D" w:rsidRPr="0052000D">
            <w:rPr>
              <w:rFonts w:ascii="Arial" w:hAnsi="Arial" w:cs="Arial"/>
            </w:rPr>
            <w:t>Propyl acetate</w:t>
          </w:r>
        </w:sdtContent>
      </w:sdt>
      <w:r w:rsidR="00F74FD7">
        <w:rPr>
          <w:rFonts w:ascii="Arial" w:hAnsi="Arial" w:cs="Arial"/>
        </w:rPr>
        <w:t>s</w:t>
      </w:r>
      <w:r w:rsidR="007E4D68">
        <w:rPr>
          <w:rFonts w:ascii="Arial" w:hAnsi="Arial" w:cs="Arial"/>
        </w:rPr>
        <w:t xml:space="preserve"> (all isomers)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DC7802" w14:paraId="657C7E19" w14:textId="77777777" w:rsidTr="0072610B">
        <w:trPr>
          <w:cantSplit/>
          <w:tblHeader/>
        </w:trPr>
        <w:tc>
          <w:tcPr>
            <w:tcW w:w="3989" w:type="dxa"/>
          </w:tcPr>
          <w:p w14:paraId="02FCC38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36D12F2C" w14:textId="77777777" w:rsidR="00F43AD5" w:rsidRPr="007F2D44" w:rsidRDefault="004316CA" w:rsidP="00B76A41">
            <w:pPr>
              <w:pStyle w:val="Tablefont"/>
              <w:rPr>
                <w:lang w:val="it-IT"/>
              </w:rPr>
            </w:pPr>
            <w:r w:rsidRPr="007F2D44">
              <w:rPr>
                <w:lang w:val="it-IT"/>
              </w:rPr>
              <w:t>109-60-4</w:t>
            </w:r>
            <w:r w:rsidR="00F74FD7" w:rsidRPr="007F2D44">
              <w:rPr>
                <w:lang w:val="it-IT"/>
              </w:rPr>
              <w:t xml:space="preserve"> (n-propyl acetate)</w:t>
            </w:r>
          </w:p>
          <w:p w14:paraId="35E67753" w14:textId="20A73B33" w:rsidR="00F74FD7" w:rsidRPr="007F2D44" w:rsidRDefault="006B25A4" w:rsidP="00B76A41">
            <w:pPr>
              <w:pStyle w:val="Tablefont"/>
              <w:rPr>
                <w:lang w:val="it-IT"/>
              </w:rPr>
            </w:pPr>
            <w:r w:rsidRPr="007F2D44">
              <w:rPr>
                <w:lang w:val="it-IT"/>
              </w:rPr>
              <w:t xml:space="preserve">108-21-4 </w:t>
            </w:r>
            <w:r w:rsidR="00F74FD7" w:rsidRPr="007F2D44">
              <w:rPr>
                <w:lang w:val="it-IT"/>
              </w:rPr>
              <w:t>(isopropyl acetate)</w:t>
            </w:r>
          </w:p>
        </w:tc>
      </w:tr>
      <w:tr w:rsidR="00F43AD5" w:rsidRPr="004C23F4" w14:paraId="2DE06E57" w14:textId="77777777" w:rsidTr="0072610B">
        <w:trPr>
          <w:cantSplit/>
        </w:trPr>
        <w:tc>
          <w:tcPr>
            <w:tcW w:w="3989" w:type="dxa"/>
          </w:tcPr>
          <w:p w14:paraId="73FE78D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046EE8AA" w14:textId="218FA590" w:rsidR="00F43AD5" w:rsidRPr="00717D45" w:rsidRDefault="00727B51" w:rsidP="00B76A41">
            <w:pPr>
              <w:pStyle w:val="Tablefont"/>
            </w:pPr>
            <w:r>
              <w:t xml:space="preserve">Acetic acid </w:t>
            </w:r>
            <w:r w:rsidR="0061424E">
              <w:t>propyl ester,</w:t>
            </w:r>
            <w:r>
              <w:t xml:space="preserve"> propyl ethanoate</w:t>
            </w:r>
          </w:p>
        </w:tc>
      </w:tr>
      <w:tr w:rsidR="00F43AD5" w:rsidRPr="004C23F4" w14:paraId="582D931E" w14:textId="77777777" w:rsidTr="0072610B">
        <w:trPr>
          <w:cantSplit/>
        </w:trPr>
        <w:tc>
          <w:tcPr>
            <w:tcW w:w="3989" w:type="dxa"/>
          </w:tcPr>
          <w:p w14:paraId="15F5DC5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1413D70C" w14:textId="37D9CAB7" w:rsidR="00F43AD5" w:rsidRPr="00717D45" w:rsidRDefault="00727B51" w:rsidP="00B76A41">
            <w:pPr>
              <w:pStyle w:val="Tablefont"/>
            </w:pPr>
            <w:r>
              <w:t>C</w:t>
            </w:r>
            <w:r w:rsidRPr="00727B51">
              <w:rPr>
                <w:vertAlign w:val="subscript"/>
              </w:rPr>
              <w:t>5</w:t>
            </w:r>
            <w:r>
              <w:t>H</w:t>
            </w:r>
            <w:r w:rsidRPr="00727B51">
              <w:rPr>
                <w:vertAlign w:val="subscript"/>
              </w:rPr>
              <w:t>10</w:t>
            </w:r>
            <w:r>
              <w:t>O</w:t>
            </w:r>
            <w:r w:rsidRPr="00727B51">
              <w:rPr>
                <w:vertAlign w:val="subscript"/>
              </w:rPr>
              <w:t>5</w:t>
            </w:r>
          </w:p>
        </w:tc>
      </w:tr>
    </w:tbl>
    <w:p w14:paraId="21E52A68" w14:textId="7EA6FB5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1424E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999D041" w14:textId="77777777" w:rsidTr="00893CFF">
        <w:trPr>
          <w:cantSplit/>
          <w:tblHeader/>
        </w:trPr>
        <w:tc>
          <w:tcPr>
            <w:tcW w:w="3997" w:type="dxa"/>
            <w:vAlign w:val="center"/>
          </w:tcPr>
          <w:p w14:paraId="6F9889C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49E9CE3D" w14:textId="649F59C3" w:rsidR="002C7AFE" w:rsidRPr="00EB3D1B" w:rsidRDefault="0061424E" w:rsidP="00017C82">
            <w:pPr>
              <w:pStyle w:val="Tablefont"/>
              <w:rPr>
                <w:b/>
              </w:rPr>
            </w:pPr>
            <w:r w:rsidRPr="0061424E">
              <w:rPr>
                <w:b/>
              </w:rPr>
              <w:t>100 ppm (417 mg/m</w:t>
            </w:r>
            <w:r w:rsidRPr="0061424E">
              <w:rPr>
                <w:b/>
                <w:vertAlign w:val="superscript"/>
              </w:rPr>
              <w:t>3</w:t>
            </w:r>
            <w:r w:rsidRPr="0061424E">
              <w:rPr>
                <w:b/>
              </w:rPr>
              <w:t>)</w:t>
            </w:r>
          </w:p>
        </w:tc>
      </w:tr>
      <w:tr w:rsidR="002C7AFE" w:rsidRPr="004C23F4" w14:paraId="6AE6B576" w14:textId="77777777" w:rsidTr="00893CFF">
        <w:trPr>
          <w:cantSplit/>
        </w:trPr>
        <w:tc>
          <w:tcPr>
            <w:tcW w:w="3997" w:type="dxa"/>
            <w:vAlign w:val="center"/>
          </w:tcPr>
          <w:p w14:paraId="0CD71C2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335F5257" w14:textId="7BD76FDC" w:rsidR="002C7AFE" w:rsidRPr="00EB3D1B" w:rsidRDefault="0061424E" w:rsidP="00017C82">
            <w:pPr>
              <w:pStyle w:val="Tablefont"/>
              <w:rPr>
                <w:b/>
              </w:rPr>
            </w:pPr>
            <w:r w:rsidRPr="0061424E">
              <w:rPr>
                <w:b/>
              </w:rPr>
              <w:t>150 ppm (626 mg/m</w:t>
            </w:r>
            <w:r w:rsidRPr="0061424E">
              <w:rPr>
                <w:b/>
                <w:vertAlign w:val="superscript"/>
              </w:rPr>
              <w:t>3</w:t>
            </w:r>
            <w:r w:rsidRPr="0061424E">
              <w:rPr>
                <w:b/>
              </w:rPr>
              <w:t>)</w:t>
            </w:r>
          </w:p>
        </w:tc>
      </w:tr>
      <w:tr w:rsidR="002C7AFE" w:rsidRPr="004C23F4" w14:paraId="520E1465" w14:textId="77777777" w:rsidTr="00893CFF">
        <w:trPr>
          <w:cantSplit/>
        </w:trPr>
        <w:tc>
          <w:tcPr>
            <w:tcW w:w="3997" w:type="dxa"/>
            <w:vAlign w:val="center"/>
          </w:tcPr>
          <w:p w14:paraId="2FCC524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4C7C27C2" w14:textId="4F2D0DDC" w:rsidR="002C7AFE" w:rsidRPr="00EB3D1B" w:rsidRDefault="006142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5CDC046" w14:textId="77777777" w:rsidTr="00893CFF">
        <w:trPr>
          <w:cantSplit/>
        </w:trPr>
        <w:tc>
          <w:tcPr>
            <w:tcW w:w="3997" w:type="dxa"/>
          </w:tcPr>
          <w:p w14:paraId="0131352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57D086BC" w14:textId="584738BD" w:rsidR="002C7AFE" w:rsidRPr="00EB3D1B" w:rsidRDefault="0061424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73290259" w14:textId="77777777" w:rsidTr="00893CFF">
        <w:trPr>
          <w:cantSplit/>
        </w:trPr>
        <w:tc>
          <w:tcPr>
            <w:tcW w:w="3997" w:type="dxa"/>
            <w:vAlign w:val="center"/>
          </w:tcPr>
          <w:p w14:paraId="71562AE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11B8A1EF" w14:textId="3E42FFAB" w:rsidR="002C7AFE" w:rsidRPr="00EB3D1B" w:rsidRDefault="00727B5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9C28EF">
              <w:rPr>
                <w:b/>
              </w:rPr>
              <w:t>,</w:t>
            </w:r>
            <w:r>
              <w:rPr>
                <w:b/>
              </w:rPr>
              <w:t>700 ppm</w:t>
            </w:r>
          </w:p>
        </w:tc>
      </w:tr>
      <w:tr w:rsidR="00893CFF" w:rsidRPr="004C23F4" w14:paraId="7BA1CCF1" w14:textId="77777777" w:rsidTr="006F6B99">
        <w:trPr>
          <w:cantSplit/>
        </w:trPr>
        <w:tc>
          <w:tcPr>
            <w:tcW w:w="9026" w:type="dxa"/>
            <w:gridSpan w:val="2"/>
            <w:vAlign w:val="center"/>
          </w:tcPr>
          <w:p w14:paraId="084935CE" w14:textId="264120EE" w:rsidR="00893CFF" w:rsidRPr="00EB3D1B" w:rsidRDefault="00893CFF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A9890F88C354B249D7E109EBA57918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120D4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94020B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95DE14F" w14:textId="571EF8C1" w:rsidR="0061424E" w:rsidRDefault="0061424E" w:rsidP="0061424E">
      <w:pPr>
        <w:rPr>
          <w:rFonts w:cs="Arial"/>
        </w:rPr>
      </w:pPr>
      <w:r w:rsidRPr="0061424E">
        <w:rPr>
          <w:rFonts w:cs="Arial"/>
        </w:rPr>
        <w:t xml:space="preserve">A TWA of </w:t>
      </w:r>
      <w:r>
        <w:rPr>
          <w:rFonts w:cs="Arial"/>
        </w:rPr>
        <w:t>100</w:t>
      </w:r>
      <w:r w:rsidRPr="0061424E">
        <w:rPr>
          <w:rFonts w:cs="Arial"/>
        </w:rPr>
        <w:t xml:space="preserve"> ppm (</w:t>
      </w:r>
      <w:r>
        <w:rPr>
          <w:rFonts w:cs="Arial"/>
        </w:rPr>
        <w:t>417</w:t>
      </w:r>
      <w:r w:rsidRPr="0061424E">
        <w:rPr>
          <w:rFonts w:cs="Arial"/>
        </w:rPr>
        <w:t xml:space="preserve"> mg/m</w:t>
      </w:r>
      <w:r w:rsidRPr="0061424E">
        <w:rPr>
          <w:rFonts w:cs="Arial"/>
          <w:vertAlign w:val="superscript"/>
        </w:rPr>
        <w:t>3</w:t>
      </w:r>
      <w:r w:rsidRPr="0061424E">
        <w:rPr>
          <w:rFonts w:cs="Arial"/>
        </w:rPr>
        <w:t xml:space="preserve">) </w:t>
      </w:r>
      <w:r w:rsidR="001F7989">
        <w:rPr>
          <w:rFonts w:cs="Arial"/>
        </w:rPr>
        <w:t>is</w:t>
      </w:r>
      <w:r w:rsidRPr="0061424E">
        <w:rPr>
          <w:rFonts w:cs="Arial"/>
        </w:rPr>
        <w:t xml:space="preserve"> </w:t>
      </w:r>
      <w:r>
        <w:rPr>
          <w:rFonts w:cs="Arial"/>
        </w:rPr>
        <w:t xml:space="preserve">recommended </w:t>
      </w:r>
      <w:r w:rsidRPr="0061424E">
        <w:rPr>
          <w:rFonts w:cs="Arial"/>
        </w:rPr>
        <w:t>to protect for</w:t>
      </w:r>
      <w:r>
        <w:rPr>
          <w:rFonts w:cs="Arial"/>
        </w:rPr>
        <w:t xml:space="preserve"> eye and upper respiratory tract irritation and potential narcosis </w:t>
      </w:r>
      <w:r w:rsidRPr="0061424E">
        <w:rPr>
          <w:rFonts w:cs="Arial"/>
        </w:rPr>
        <w:t>in exposed workers.</w:t>
      </w:r>
    </w:p>
    <w:p w14:paraId="5F90F4DA" w14:textId="5CDDBC5B" w:rsidR="001F7989" w:rsidRPr="0061424E" w:rsidRDefault="001F7989" w:rsidP="0061424E">
      <w:pPr>
        <w:rPr>
          <w:rFonts w:cs="Arial"/>
        </w:rPr>
      </w:pPr>
      <w:r w:rsidRPr="0061424E">
        <w:rPr>
          <w:rFonts w:cs="Arial"/>
        </w:rPr>
        <w:t xml:space="preserve">A </w:t>
      </w:r>
      <w:r>
        <w:rPr>
          <w:rFonts w:cs="Arial"/>
        </w:rPr>
        <w:t>STEL of 150 ppm (626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</w:t>
      </w:r>
      <w:r w:rsidRPr="0061424E">
        <w:rPr>
          <w:rFonts w:cs="Arial"/>
        </w:rPr>
        <w:t xml:space="preserve"> </w:t>
      </w:r>
      <w:r>
        <w:rPr>
          <w:rFonts w:cs="Arial"/>
        </w:rPr>
        <w:t xml:space="preserve">recommended </w:t>
      </w:r>
      <w:r w:rsidRPr="0061424E">
        <w:rPr>
          <w:rFonts w:cs="Arial"/>
        </w:rPr>
        <w:t>to protect for</w:t>
      </w:r>
      <w:r>
        <w:rPr>
          <w:rFonts w:cs="Arial"/>
        </w:rPr>
        <w:t xml:space="preserve"> </w:t>
      </w:r>
      <w:r w:rsidR="004A2B54">
        <w:rPr>
          <w:rFonts w:cs="Arial"/>
        </w:rPr>
        <w:t xml:space="preserve">acute </w:t>
      </w:r>
      <w:r>
        <w:rPr>
          <w:rFonts w:cs="Arial"/>
        </w:rPr>
        <w:t xml:space="preserve">eye and upper respiratory tract irritation and potential narcosis </w:t>
      </w:r>
      <w:r w:rsidRPr="0061424E">
        <w:rPr>
          <w:rFonts w:cs="Arial"/>
        </w:rPr>
        <w:t xml:space="preserve">in </w:t>
      </w:r>
      <w:r w:rsidR="004A2B54">
        <w:rPr>
          <w:rFonts w:cs="Arial"/>
        </w:rPr>
        <w:t>exposed workers</w:t>
      </w:r>
      <w:r w:rsidRPr="0061424E">
        <w:rPr>
          <w:rFonts w:cs="Arial"/>
        </w:rPr>
        <w:t xml:space="preserve">. </w:t>
      </w:r>
    </w:p>
    <w:p w14:paraId="00091AC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A0E3E4" w14:textId="77777777" w:rsidR="004A2B54" w:rsidRDefault="007B3EDB" w:rsidP="006639B4">
      <w:pPr>
        <w:rPr>
          <w:rFonts w:cs="Arial"/>
        </w:rPr>
      </w:pPr>
      <w:r>
        <w:rPr>
          <w:rFonts w:cs="Arial"/>
        </w:rPr>
        <w:t xml:space="preserve">Propyl acetates are used as solvents and flavouring agents. </w:t>
      </w:r>
    </w:p>
    <w:p w14:paraId="19D08A43" w14:textId="7F8EB5BB" w:rsidR="00DC7802" w:rsidRDefault="007B3EDB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4A2B54">
        <w:rPr>
          <w:rFonts w:cs="Arial"/>
        </w:rPr>
        <w:t>of</w:t>
      </w:r>
      <w:r w:rsidR="001F7989">
        <w:rPr>
          <w:rFonts w:cs="Arial"/>
        </w:rPr>
        <w:t xml:space="preserve"> exposure </w:t>
      </w:r>
      <w:r>
        <w:rPr>
          <w:rFonts w:cs="Arial"/>
        </w:rPr>
        <w:t>are irritation of the eyes</w:t>
      </w:r>
      <w:r w:rsidR="009A7DED">
        <w:rPr>
          <w:rFonts w:cs="Arial"/>
        </w:rPr>
        <w:t xml:space="preserve"> followed by</w:t>
      </w:r>
      <w:r>
        <w:rPr>
          <w:rFonts w:cs="Arial"/>
        </w:rPr>
        <w:t xml:space="preserve"> upper respiratory tract</w:t>
      </w:r>
      <w:r w:rsidR="009A7DED">
        <w:rPr>
          <w:rFonts w:cs="Arial"/>
        </w:rPr>
        <w:t xml:space="preserve"> irritation as evidenced in humans</w:t>
      </w:r>
      <w:r>
        <w:rPr>
          <w:rFonts w:cs="Arial"/>
        </w:rPr>
        <w:t xml:space="preserve"> and</w:t>
      </w:r>
      <w:r w:rsidR="009A7DED">
        <w:rPr>
          <w:rFonts w:cs="Arial"/>
        </w:rPr>
        <w:t xml:space="preserve"> subsequent</w:t>
      </w:r>
      <w:r>
        <w:rPr>
          <w:rFonts w:cs="Arial"/>
        </w:rPr>
        <w:t xml:space="preserve"> narcos</w:t>
      </w:r>
      <w:r w:rsidR="009A7DED">
        <w:rPr>
          <w:rFonts w:cs="Arial"/>
        </w:rPr>
        <w:t xml:space="preserve">is </w:t>
      </w:r>
      <w:r>
        <w:rPr>
          <w:rFonts w:cs="Arial"/>
        </w:rPr>
        <w:t>as observed in animals.</w:t>
      </w:r>
      <w:r w:rsidR="004A2B54">
        <w:rPr>
          <w:rFonts w:cs="Arial"/>
        </w:rPr>
        <w:t xml:space="preserve"> </w:t>
      </w:r>
    </w:p>
    <w:p w14:paraId="3F940CA1" w14:textId="479457E1" w:rsidR="002A600C" w:rsidRDefault="00A769AE" w:rsidP="006639B4">
      <w:pPr>
        <w:rPr>
          <w:rFonts w:cs="Arial"/>
        </w:rPr>
      </w:pPr>
      <w:r>
        <w:rPr>
          <w:rFonts w:cs="Arial"/>
        </w:rPr>
        <w:t>L</w:t>
      </w:r>
      <w:r w:rsidR="007B3EDB">
        <w:rPr>
          <w:rFonts w:cs="Arial"/>
        </w:rPr>
        <w:t xml:space="preserve">imited substance-specific human exposure data indicate concentrations of 100 ppm are </w:t>
      </w:r>
      <w:r w:rsidR="000F17D3">
        <w:rPr>
          <w:rFonts w:cs="Arial"/>
        </w:rPr>
        <w:t xml:space="preserve">tolerable </w:t>
      </w:r>
      <w:r w:rsidR="007B3EDB">
        <w:rPr>
          <w:rFonts w:cs="Arial"/>
        </w:rPr>
        <w:t xml:space="preserve">over an </w:t>
      </w:r>
      <w:r w:rsidR="00DC7802">
        <w:rPr>
          <w:rFonts w:cs="Arial"/>
        </w:rPr>
        <w:t>eight-hour</w:t>
      </w:r>
      <w:r w:rsidR="007B3EDB">
        <w:rPr>
          <w:rFonts w:cs="Arial"/>
        </w:rPr>
        <w:t xml:space="preserve"> period (ACGIH, 2018).</w:t>
      </w:r>
      <w:r w:rsidR="00D948C5">
        <w:rPr>
          <w:rFonts w:cs="Arial"/>
        </w:rPr>
        <w:t xml:space="preserve"> However, due to extensive similarities in their metabolism and acute toxicity,</w:t>
      </w:r>
      <w:r w:rsidR="009E61E6">
        <w:rPr>
          <w:rFonts w:cs="Arial"/>
        </w:rPr>
        <w:t xml:space="preserve"> subchronic and chronic exposure</w:t>
      </w:r>
      <w:r w:rsidR="00D948C5">
        <w:rPr>
          <w:rFonts w:cs="Arial"/>
        </w:rPr>
        <w:t xml:space="preserve"> data for other structurally related acetate esters are inclu</w:t>
      </w:r>
      <w:r w:rsidR="009E61E6">
        <w:rPr>
          <w:rFonts w:cs="Arial"/>
        </w:rPr>
        <w:t>ded in the assessments of the available sources (ACGIH, 2018; DFG, 2013; NICNAS, 2014)</w:t>
      </w:r>
      <w:r w:rsidR="00D948C5">
        <w:rPr>
          <w:rFonts w:cs="Arial"/>
        </w:rPr>
        <w:t xml:space="preserve">. </w:t>
      </w:r>
      <w:r w:rsidR="009E61E6">
        <w:rPr>
          <w:rFonts w:cs="Arial"/>
        </w:rPr>
        <w:t>Principally, a sub</w:t>
      </w:r>
      <w:r w:rsidR="00DC7802">
        <w:rPr>
          <w:rFonts w:cs="Arial"/>
        </w:rPr>
        <w:t>-</w:t>
      </w:r>
      <w:r w:rsidR="009E61E6">
        <w:rPr>
          <w:rFonts w:cs="Arial"/>
        </w:rPr>
        <w:t xml:space="preserve">chronic </w:t>
      </w:r>
      <w:r w:rsidR="00DC7802">
        <w:rPr>
          <w:rFonts w:cs="Arial"/>
        </w:rPr>
        <w:t xml:space="preserve">NOAEC </w:t>
      </w:r>
      <w:r w:rsidR="009E61E6">
        <w:rPr>
          <w:rFonts w:cs="Arial"/>
        </w:rPr>
        <w:t xml:space="preserve">of 500 ppm with a corresponding </w:t>
      </w:r>
      <w:r w:rsidR="00DC7802">
        <w:rPr>
          <w:rFonts w:cs="Arial"/>
        </w:rPr>
        <w:t xml:space="preserve">LOAEC </w:t>
      </w:r>
      <w:r w:rsidR="009E61E6">
        <w:rPr>
          <w:rFonts w:cs="Arial"/>
        </w:rPr>
        <w:t xml:space="preserve">of 1,500 ppm for n-butyl acetate in rats is used to support the evaluation </w:t>
      </w:r>
      <w:r w:rsidR="00DC7802">
        <w:rPr>
          <w:rFonts w:cs="Arial"/>
        </w:rPr>
        <w:t xml:space="preserve">as published </w:t>
      </w:r>
      <w:r w:rsidR="009E61E6">
        <w:rPr>
          <w:rFonts w:cs="Arial"/>
        </w:rPr>
        <w:t>by ACGIH (2018)</w:t>
      </w:r>
      <w:r>
        <w:rPr>
          <w:rFonts w:cs="Arial"/>
        </w:rPr>
        <w:t xml:space="preserve">. </w:t>
      </w:r>
    </w:p>
    <w:p w14:paraId="353F40A8" w14:textId="37FED360" w:rsidR="004A2B54" w:rsidRDefault="00A769AE" w:rsidP="006639B4">
      <w:pPr>
        <w:rPr>
          <w:rFonts w:cs="Arial"/>
        </w:rPr>
      </w:pPr>
      <w:r>
        <w:rPr>
          <w:rFonts w:cs="Arial"/>
        </w:rPr>
        <w:t xml:space="preserve">A TWA of 100 ppm </w:t>
      </w:r>
      <w:r w:rsidR="00DC7802">
        <w:rPr>
          <w:rFonts w:cs="Arial"/>
        </w:rPr>
        <w:t xml:space="preserve">as derived by ACGIH (2018) and DFG (1999) </w:t>
      </w:r>
      <w:r>
        <w:rPr>
          <w:rFonts w:cs="Arial"/>
        </w:rPr>
        <w:t>is recommended</w:t>
      </w:r>
      <w:r w:rsidR="00B03D6E">
        <w:rPr>
          <w:rFonts w:cs="Arial"/>
        </w:rPr>
        <w:t xml:space="preserve"> be adopted</w:t>
      </w:r>
      <w:r w:rsidR="00FA3168">
        <w:rPr>
          <w:rFonts w:cs="Arial"/>
        </w:rPr>
        <w:t xml:space="preserve"> to protect for </w:t>
      </w:r>
      <w:r w:rsidR="00DB42B6">
        <w:rPr>
          <w:rFonts w:cs="Arial"/>
        </w:rPr>
        <w:t>irritation effects and potential narcosis in exposed workers</w:t>
      </w:r>
      <w:r w:rsidR="009E61E6">
        <w:rPr>
          <w:rFonts w:cs="Arial"/>
        </w:rPr>
        <w:t>.</w:t>
      </w:r>
      <w:r w:rsidR="0065582A">
        <w:rPr>
          <w:rFonts w:cs="Arial"/>
        </w:rPr>
        <w:t xml:space="preserve"> </w:t>
      </w:r>
    </w:p>
    <w:p w14:paraId="7924F53D" w14:textId="57883DFF" w:rsidR="007B3EDB" w:rsidRPr="004C23F4" w:rsidRDefault="00B71CC2" w:rsidP="006639B4">
      <w:pPr>
        <w:rPr>
          <w:rFonts w:cs="Arial"/>
        </w:rPr>
      </w:pPr>
      <w:r>
        <w:rPr>
          <w:rFonts w:cs="Arial"/>
        </w:rPr>
        <w:t>The STEL of 150 ppm is derived from the substance-specific LOAEC of 200 ppm in humans and is expected to protect for acute eye and upper respiratory tract irritation (ACGIH, 2018).</w:t>
      </w:r>
      <w:r w:rsidR="00DB42B6" w:rsidRPr="00DB42B6">
        <w:rPr>
          <w:rFonts w:cs="Arial"/>
        </w:rPr>
        <w:t xml:space="preserve"> </w:t>
      </w:r>
      <w:r w:rsidR="00EA2F98">
        <w:rPr>
          <w:rFonts w:cs="Arial"/>
        </w:rPr>
        <w:t xml:space="preserve">A </w:t>
      </w:r>
      <w:r w:rsidR="00DB42B6">
        <w:rPr>
          <w:rFonts w:cs="Arial"/>
        </w:rPr>
        <w:t xml:space="preserve">STEL </w:t>
      </w:r>
      <w:r w:rsidR="0063237D">
        <w:rPr>
          <w:rFonts w:cs="Arial"/>
        </w:rPr>
        <w:t xml:space="preserve">of </w:t>
      </w:r>
      <w:r w:rsidR="00EA2F98">
        <w:rPr>
          <w:rFonts w:cs="Arial"/>
        </w:rPr>
        <w:t>1</w:t>
      </w:r>
      <w:r w:rsidR="0063237D">
        <w:rPr>
          <w:rFonts w:cs="Arial"/>
        </w:rPr>
        <w:t>50</w:t>
      </w:r>
      <w:r w:rsidR="00CD6B75">
        <w:rPr>
          <w:rFonts w:cs="Arial"/>
        </w:rPr>
        <w:t> </w:t>
      </w:r>
      <w:r w:rsidR="0063237D">
        <w:rPr>
          <w:rFonts w:cs="Arial"/>
        </w:rPr>
        <w:t xml:space="preserve">ppm </w:t>
      </w:r>
      <w:r>
        <w:rPr>
          <w:rFonts w:cs="Arial"/>
        </w:rPr>
        <w:t xml:space="preserve">by ACGIH (2018) </w:t>
      </w:r>
      <w:r w:rsidR="0063237D">
        <w:rPr>
          <w:rFonts w:cs="Arial"/>
        </w:rPr>
        <w:t xml:space="preserve">is recommended </w:t>
      </w:r>
      <w:r w:rsidR="00DB42B6">
        <w:rPr>
          <w:rFonts w:cs="Arial"/>
        </w:rPr>
        <w:t>to protect for acute irritation</w:t>
      </w:r>
      <w:r w:rsidR="00E8798E">
        <w:rPr>
          <w:rFonts w:cs="Arial"/>
        </w:rPr>
        <w:t xml:space="preserve"> effects in exposed workers</w:t>
      </w:r>
      <w:r w:rsidR="00CD6B75">
        <w:rPr>
          <w:rFonts w:cs="Arial"/>
        </w:rPr>
        <w:t>.</w:t>
      </w:r>
    </w:p>
    <w:p w14:paraId="13136F3A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881AC41" w14:textId="53D8A87F" w:rsidR="00CB7ACF" w:rsidRPr="0061424E" w:rsidRDefault="00CB7ACF" w:rsidP="00CB7ACF">
      <w:pPr>
        <w:rPr>
          <w:rFonts w:cs="Arial"/>
        </w:rPr>
      </w:pPr>
      <w:r w:rsidRPr="0061424E">
        <w:rPr>
          <w:rFonts w:cs="Arial"/>
        </w:rPr>
        <w:t>Not classified as a carcinogen according to the Globally Harmonized System of Classification and Labelling o</w:t>
      </w:r>
      <w:r w:rsidR="00893CFF">
        <w:rPr>
          <w:rFonts w:cs="Arial"/>
        </w:rPr>
        <w:t>f</w:t>
      </w:r>
      <w:r w:rsidRPr="0061424E">
        <w:rPr>
          <w:rFonts w:cs="Arial"/>
        </w:rPr>
        <w:t xml:space="preserve"> Chemicals (GHS). </w:t>
      </w:r>
    </w:p>
    <w:p w14:paraId="21BA25E3" w14:textId="4C49643B" w:rsidR="00CB7ACF" w:rsidRPr="0061424E" w:rsidRDefault="00CB7ACF" w:rsidP="00CB7ACF">
      <w:pPr>
        <w:rPr>
          <w:rFonts w:cs="Arial"/>
        </w:rPr>
      </w:pPr>
      <w:r w:rsidRPr="0061424E">
        <w:rPr>
          <w:rFonts w:cs="Arial"/>
        </w:rPr>
        <w:t xml:space="preserve">Not classified as a skin </w:t>
      </w:r>
      <w:r w:rsidR="00893CFF" w:rsidRPr="0061424E">
        <w:rPr>
          <w:rFonts w:cs="Arial"/>
        </w:rPr>
        <w:t xml:space="preserve">sensitiser </w:t>
      </w:r>
      <w:r w:rsidRPr="0061424E">
        <w:rPr>
          <w:rFonts w:cs="Arial"/>
        </w:rPr>
        <w:t>or respiratory sensitiser according to the GHS.</w:t>
      </w:r>
    </w:p>
    <w:p w14:paraId="44AEF39D" w14:textId="6C494A09" w:rsidR="0025734A" w:rsidRPr="004C23F4" w:rsidRDefault="0061424E">
      <w:pPr>
        <w:rPr>
          <w:rFonts w:cs="Arial"/>
        </w:rPr>
      </w:pPr>
      <w:r w:rsidRPr="0061424E">
        <w:rPr>
          <w:rFonts w:cs="Arial"/>
        </w:rPr>
        <w:t xml:space="preserve">A skin notation is not </w:t>
      </w:r>
      <w:r w:rsidR="004A2B54">
        <w:rPr>
          <w:rFonts w:cs="Arial"/>
        </w:rPr>
        <w:t>recommend</w:t>
      </w:r>
      <w:r w:rsidRPr="0061424E">
        <w:rPr>
          <w:rFonts w:cs="Arial"/>
        </w:rPr>
        <w:t>ed based on the available evidence.</w:t>
      </w:r>
    </w:p>
    <w:p w14:paraId="0207760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348905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1D6154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1A8C19D" w14:textId="77777777" w:rsidTr="000223A7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CFA1948" w14:textId="77777777" w:rsidR="00C978F0" w:rsidRPr="00DA352E" w:rsidRDefault="00C978F0" w:rsidP="00893CFF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EC4A183" w14:textId="77777777" w:rsidTr="000223A7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2187170" w14:textId="14130DCC" w:rsidR="00DE26E8" w:rsidRPr="003365A5" w:rsidRDefault="00DE26E8" w:rsidP="001F798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B7AC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B7ACF">
                  <w:t>TWA: 200 ppm (835 mg/m</w:t>
                </w:r>
                <w:r w:rsidR="00CB7ACF" w:rsidRPr="00CB7ACF">
                  <w:rPr>
                    <w:vertAlign w:val="superscript"/>
                  </w:rPr>
                  <w:t>3</w:t>
                </w:r>
                <w:r w:rsidR="00CB7ACF">
                  <w:t>); STEL: 250 ppm (1</w:t>
                </w:r>
                <w:r w:rsidR="009C28EF">
                  <w:t>,</w:t>
                </w:r>
                <w:r w:rsidR="00CB7ACF">
                  <w:t>040 mg/m</w:t>
                </w:r>
                <w:r w:rsidR="00CB7ACF" w:rsidRPr="00CB7ACF">
                  <w:rPr>
                    <w:vertAlign w:val="superscript"/>
                  </w:rPr>
                  <w:t>3</w:t>
                </w:r>
                <w:r w:rsidR="00CB7ACF">
                  <w:t>)</w:t>
                </w:r>
              </w:sdtContent>
            </w:sdt>
          </w:p>
        </w:tc>
      </w:tr>
      <w:tr w:rsidR="00C978F0" w:rsidRPr="00DA352E" w14:paraId="0F22AF65" w14:textId="77777777" w:rsidTr="000223A7">
        <w:trPr>
          <w:gridAfter w:val="1"/>
          <w:wAfter w:w="8" w:type="pct"/>
          <w:cantSplit/>
        </w:trPr>
        <w:tc>
          <w:tcPr>
            <w:tcW w:w="4992" w:type="pct"/>
          </w:tcPr>
          <w:p w14:paraId="087517E7" w14:textId="77777777" w:rsidR="00C978F0" w:rsidRPr="00DA352E" w:rsidRDefault="00C978F0" w:rsidP="00893CFF">
            <w:pPr>
              <w:pStyle w:val="Tabletextprimarysource"/>
            </w:pPr>
          </w:p>
        </w:tc>
      </w:tr>
      <w:tr w:rsidR="00C978F0" w:rsidRPr="00DA352E" w14:paraId="24B004CE" w14:textId="77777777" w:rsidTr="00022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AF6B31" w14:textId="7775D4E5" w:rsidR="00C978F0" w:rsidRPr="00DA352E" w:rsidRDefault="00DA352E" w:rsidP="001F798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B7ACF">
                  <w:t>2018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B7ACF">
                  <w:t>TLV-TWA: 100 ppm (417 mg/m</w:t>
                </w:r>
                <w:r w:rsidR="00CB7ACF" w:rsidRPr="00CB7ACF">
                  <w:rPr>
                    <w:vertAlign w:val="superscript"/>
                  </w:rPr>
                  <w:t>3</w:t>
                </w:r>
                <w:r w:rsidR="00CB7ACF">
                  <w:t>); TLV-STEL: 150 ppm (626 mg/m</w:t>
                </w:r>
                <w:r w:rsidR="00CB7ACF" w:rsidRPr="00CB7ACF">
                  <w:rPr>
                    <w:vertAlign w:val="superscript"/>
                  </w:rPr>
                  <w:t>3</w:t>
                </w:r>
                <w:r w:rsidR="00CB7ACF">
                  <w:t>)</w:t>
                </w:r>
              </w:sdtContent>
            </w:sdt>
          </w:p>
        </w:tc>
      </w:tr>
      <w:tr w:rsidR="00C978F0" w:rsidRPr="00DA352E" w14:paraId="2F4156EB" w14:textId="77777777" w:rsidTr="000223A7">
        <w:trPr>
          <w:gridAfter w:val="1"/>
          <w:wAfter w:w="8" w:type="pct"/>
        </w:trPr>
        <w:tc>
          <w:tcPr>
            <w:tcW w:w="4992" w:type="pct"/>
          </w:tcPr>
          <w:p w14:paraId="312BCEA7" w14:textId="0D9F4456" w:rsidR="00C978F0" w:rsidRDefault="009C28EF" w:rsidP="00893CFF">
            <w:pPr>
              <w:pStyle w:val="Tabletextprimarysource"/>
            </w:pPr>
            <w:r>
              <w:t xml:space="preserve">TLV-TWA </w:t>
            </w:r>
            <w:r w:rsidR="00290602">
              <w:t xml:space="preserve">and TLV-STEL </w:t>
            </w:r>
            <w:r>
              <w:t xml:space="preserve">intended to protect eye and respiratory tract irritation and central nervous system impairment at higher concentrations. </w:t>
            </w:r>
          </w:p>
          <w:p w14:paraId="1E115C44" w14:textId="77777777" w:rsidR="009C28EF" w:rsidRDefault="009C28EF" w:rsidP="00893CFF">
            <w:pPr>
              <w:pStyle w:val="Tabletextprimarysource"/>
            </w:pPr>
            <w:r>
              <w:t>Summary of data:</w:t>
            </w:r>
          </w:p>
          <w:p w14:paraId="536D2C54" w14:textId="77777777" w:rsidR="00DB42B6" w:rsidRDefault="00B03D6E" w:rsidP="00893CFF">
            <w:pPr>
              <w:pStyle w:val="Tabletextprimarysource"/>
            </w:pPr>
            <w:r>
              <w:t>Grouped assessment for both propyl acetate esters</w:t>
            </w:r>
            <w:r w:rsidR="0087670C">
              <w:t xml:space="preserve">. </w:t>
            </w:r>
          </w:p>
          <w:p w14:paraId="1EECA641" w14:textId="2E8C3229" w:rsidR="00290602" w:rsidRDefault="00290602" w:rsidP="00893CFF">
            <w:pPr>
              <w:pStyle w:val="Tabletextprimarysource"/>
            </w:pPr>
            <w:r>
              <w:t>TLV-TWA based on limited substance-specific database and NOAEL of 500 ppm for sedation and olfactory irritation with n-butyl acetate in rats. TLV-STEL supported by acute volunteer inhalation study report</w:t>
            </w:r>
            <w:r w:rsidR="001F7989">
              <w:t>ing</w:t>
            </w:r>
            <w:r>
              <w:t xml:space="preserve"> eye irritation </w:t>
            </w:r>
            <w:r w:rsidR="00B03D6E">
              <w:rPr>
                <w:rFonts w:cs="Arial"/>
              </w:rPr>
              <w:t>≥</w:t>
            </w:r>
            <w:r>
              <w:t>200 ppm over 15</w:t>
            </w:r>
            <w:r w:rsidR="00893CFF">
              <w:t> </w:t>
            </w:r>
            <w:r>
              <w:t xml:space="preserve">min. </w:t>
            </w:r>
            <w:r w:rsidR="006C22DB">
              <w:t>Human nasal pungency threshold data s</w:t>
            </w:r>
            <w:r>
              <w:t>uggest increasing potency with increasing carbon chain length, i.e. propyl congeners are less irritating than butyl- and more irritating than ethyl acetates.</w:t>
            </w:r>
          </w:p>
          <w:p w14:paraId="411E14B1" w14:textId="6320B5DA" w:rsidR="0087670C" w:rsidRDefault="002B7F28" w:rsidP="00893CFF">
            <w:pPr>
              <w:pStyle w:val="Tabletextprimarysource"/>
            </w:pPr>
            <w:r>
              <w:t>S</w:t>
            </w:r>
            <w:r w:rsidR="0087670C">
              <w:t>kin notation not warranted based on high dermal LD</w:t>
            </w:r>
            <w:r w:rsidR="0087670C">
              <w:rPr>
                <w:vertAlign w:val="subscript"/>
              </w:rPr>
              <w:t>50</w:t>
            </w:r>
            <w:r w:rsidR="0087670C">
              <w:t xml:space="preserve"> values in animals</w:t>
            </w:r>
            <w:r>
              <w:t>.</w:t>
            </w:r>
          </w:p>
          <w:p w14:paraId="6EC99D7A" w14:textId="67E492A3" w:rsidR="0087670C" w:rsidRDefault="0087670C" w:rsidP="00893CFF">
            <w:pPr>
              <w:pStyle w:val="Tabletextprimarysource"/>
            </w:pPr>
            <w:r>
              <w:t>Human data:</w:t>
            </w:r>
          </w:p>
          <w:p w14:paraId="21D8EFED" w14:textId="2564CE89" w:rsidR="004A2B54" w:rsidRDefault="006C22DB" w:rsidP="00893CFF">
            <w:pPr>
              <w:pStyle w:val="Tabletextprimarysource"/>
              <w:numPr>
                <w:ilvl w:val="0"/>
                <w:numId w:val="2"/>
              </w:numPr>
            </w:pPr>
            <w:r>
              <w:t>Eye irritation at 200 ppm in volunteers (15 min)</w:t>
            </w:r>
            <w:r w:rsidR="00FA3168">
              <w:t>:</w:t>
            </w:r>
            <w:r>
              <w:t xml:space="preserve"> </w:t>
            </w:r>
          </w:p>
          <w:p w14:paraId="4D000814" w14:textId="031CB892" w:rsidR="004A2B54" w:rsidRDefault="006C22DB" w:rsidP="00543920">
            <w:pPr>
              <w:pStyle w:val="Tabletextprimarysource"/>
              <w:numPr>
                <w:ilvl w:val="1"/>
                <w:numId w:val="2"/>
              </w:numPr>
            </w:pPr>
            <w:r>
              <w:t xml:space="preserve">higher concentrations (not specified) caused throat and nose irritation </w:t>
            </w:r>
          </w:p>
          <w:p w14:paraId="65CF6B22" w14:textId="04CAE41E" w:rsidR="006C22DB" w:rsidRDefault="00166CD6" w:rsidP="00543920">
            <w:pPr>
              <w:pStyle w:val="Tabletextprimarysource"/>
              <w:numPr>
                <w:ilvl w:val="1"/>
                <w:numId w:val="2"/>
              </w:numPr>
            </w:pPr>
            <w:r>
              <w:t xml:space="preserve">cited study considered </w:t>
            </w:r>
            <w:r w:rsidR="006C22DB">
              <w:t>100 ppm acceptable for 8</w:t>
            </w:r>
            <w:r w:rsidR="00893CFF">
              <w:t xml:space="preserve"> </w:t>
            </w:r>
            <w:r w:rsidR="006C22DB">
              <w:t>h exposure</w:t>
            </w:r>
          </w:p>
          <w:p w14:paraId="6D0885E5" w14:textId="32E02F76" w:rsidR="00166CD6" w:rsidRDefault="00166CD6" w:rsidP="00D950BA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Mild irritation of eyes, nose and throat at 236 ppm, mild lachrymation and dryness in throat at </w:t>
            </w:r>
            <w:r w:rsidR="006C22DB">
              <w:t xml:space="preserve">3,500 ppm </w:t>
            </w:r>
            <w:r>
              <w:t xml:space="preserve">in volunteer inhalation study </w:t>
            </w:r>
            <w:r w:rsidR="006C22DB">
              <w:t>(5 min)</w:t>
            </w:r>
          </w:p>
          <w:p w14:paraId="4125BF4D" w14:textId="5D899423" w:rsidR="006C22DB" w:rsidRDefault="00166CD6" w:rsidP="00D950BA">
            <w:pPr>
              <w:pStyle w:val="Tabletextprimarysource"/>
              <w:numPr>
                <w:ilvl w:val="0"/>
                <w:numId w:val="2"/>
              </w:numPr>
            </w:pPr>
            <w:r>
              <w:t>O</w:t>
            </w:r>
            <w:r w:rsidR="006C22DB">
              <w:t>verexposure (not specified) causes weakness, drowsiness and unconsciousness</w:t>
            </w:r>
            <w:r>
              <w:t xml:space="preserve"> (no further details provided)</w:t>
            </w:r>
          </w:p>
          <w:p w14:paraId="42EC4B02" w14:textId="71A75DFD" w:rsidR="006C22DB" w:rsidRDefault="006C22DB" w:rsidP="00893CFF">
            <w:pPr>
              <w:pStyle w:val="Tabletextprimarysource"/>
              <w:numPr>
                <w:ilvl w:val="0"/>
                <w:numId w:val="2"/>
              </w:numPr>
            </w:pPr>
            <w:r>
              <w:t xml:space="preserve">Upper respiratory tract and eye irritation reported </w:t>
            </w:r>
            <w:r w:rsidR="004A2B54">
              <w:t>by</w:t>
            </w:r>
            <w:r>
              <w:t xml:space="preserve"> exposed workers (concentrations and durations not specified)</w:t>
            </w:r>
            <w:r w:rsidR="001F7989">
              <w:t xml:space="preserve">; </w:t>
            </w:r>
            <w:r>
              <w:t>no systemic effects</w:t>
            </w:r>
            <w:r w:rsidR="002458AA">
              <w:t xml:space="preserve"> reported</w:t>
            </w:r>
          </w:p>
          <w:p w14:paraId="59EBB157" w14:textId="71DBDA0B" w:rsidR="006C22DB" w:rsidRDefault="006C22DB" w:rsidP="00893CFF">
            <w:pPr>
              <w:pStyle w:val="Tabletextprimarysource"/>
              <w:numPr>
                <w:ilvl w:val="0"/>
                <w:numId w:val="2"/>
              </w:numPr>
            </w:pPr>
            <w:r>
              <w:t>Repeated skin contact can cause defatting and cracking</w:t>
            </w:r>
            <w:r w:rsidR="00893CFF">
              <w:t>.</w:t>
            </w:r>
          </w:p>
          <w:p w14:paraId="46DA7325" w14:textId="7629817C" w:rsidR="0087670C" w:rsidRDefault="0087670C" w:rsidP="00893CFF">
            <w:pPr>
              <w:pStyle w:val="Tabletextprimarysource"/>
            </w:pPr>
            <w:r>
              <w:t>Animal data:</w:t>
            </w:r>
          </w:p>
          <w:p w14:paraId="297FC428" w14:textId="135E8C7D" w:rsidR="0087670C" w:rsidRDefault="0087670C" w:rsidP="00893CFF">
            <w:pPr>
              <w:pStyle w:val="Tabletextprimarysource"/>
              <w:numPr>
                <w:ilvl w:val="0"/>
                <w:numId w:val="1"/>
              </w:numPr>
            </w:pPr>
            <w:r>
              <w:t>Dermal LD</w:t>
            </w:r>
            <w:r>
              <w:rPr>
                <w:vertAlign w:val="subscript"/>
              </w:rPr>
              <w:t>50</w:t>
            </w:r>
            <w:r w:rsidR="001F7989">
              <w:t>:</w:t>
            </w:r>
            <w:r>
              <w:t xml:space="preserve"> &gt;17,760 mg/kg (rabbits), &gt;8,880 mg/kg </w:t>
            </w:r>
            <w:r w:rsidR="002B7F28">
              <w:t>(</w:t>
            </w:r>
            <w:r>
              <w:t>guinea pigs)</w:t>
            </w:r>
          </w:p>
          <w:p w14:paraId="269AD791" w14:textId="032E61A6" w:rsidR="004A2B54" w:rsidRDefault="0087670C" w:rsidP="00893CFF">
            <w:pPr>
              <w:pStyle w:val="Tabletextprimarysource"/>
              <w:numPr>
                <w:ilvl w:val="0"/>
                <w:numId w:val="1"/>
              </w:numPr>
            </w:pPr>
            <w:r>
              <w:t>Limiting narcotic concentration (5 h): 9,000 ppm (cats), 6,000 ppm (mice)</w:t>
            </w:r>
            <w:r w:rsidR="00FA3168">
              <w:t>:</w:t>
            </w:r>
            <w:r>
              <w:t xml:space="preserve"> </w:t>
            </w:r>
          </w:p>
          <w:p w14:paraId="43A1E57A" w14:textId="4E261906" w:rsidR="0087670C" w:rsidRDefault="0087670C" w:rsidP="00543920">
            <w:pPr>
              <w:pStyle w:val="Tabletextprimarysource"/>
              <w:numPr>
                <w:ilvl w:val="0"/>
                <w:numId w:val="4"/>
              </w:numPr>
            </w:pPr>
            <w:r>
              <w:t>salivation and lachrymation above 2,600 ppm (cats)</w:t>
            </w:r>
          </w:p>
          <w:p w14:paraId="1EF1E24B" w14:textId="2D404D23" w:rsidR="0087670C" w:rsidRDefault="0087670C" w:rsidP="00893CFF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 w:rsidR="001F7989">
              <w:t>:</w:t>
            </w:r>
            <w:r>
              <w:t xml:space="preserve"> &lt;8,000 ppm (rats, 4 h)</w:t>
            </w:r>
          </w:p>
          <w:p w14:paraId="007A5B7E" w14:textId="3A7CCFEF" w:rsidR="0087670C" w:rsidRDefault="0087670C" w:rsidP="00893CFF">
            <w:pPr>
              <w:pStyle w:val="Tabletextprimarysource"/>
              <w:numPr>
                <w:ilvl w:val="0"/>
                <w:numId w:val="1"/>
              </w:numPr>
            </w:pPr>
            <w:r>
              <w:t>RD</w:t>
            </w:r>
            <w:r>
              <w:rPr>
                <w:vertAlign w:val="subscript"/>
              </w:rPr>
              <w:t>50</w:t>
            </w:r>
            <w:r>
              <w:t xml:space="preserve"> in mice: 793 ppm (n-propyl), 4,259 ppm (isopropyl)</w:t>
            </w:r>
          </w:p>
          <w:p w14:paraId="7D8F1835" w14:textId="02AEF951" w:rsidR="00CE1D35" w:rsidRDefault="00CE1D35" w:rsidP="00893CF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Metabolism of related acetates, e.g. sec-butyl acetate, suggest that propyl acetates are hydrolysed enzymatically </w:t>
            </w:r>
            <w:r w:rsidR="00B03D6E">
              <w:t xml:space="preserve">on </w:t>
            </w:r>
            <w:r>
              <w:t xml:space="preserve">absorption to corresponding alcohols and acetic acid </w:t>
            </w:r>
          </w:p>
          <w:p w14:paraId="78EDA6FA" w14:textId="1EFF74F5" w:rsidR="0087670C" w:rsidRDefault="002B7F28">
            <w:pPr>
              <w:pStyle w:val="Tabletextprimarysource"/>
              <w:numPr>
                <w:ilvl w:val="0"/>
                <w:numId w:val="1"/>
              </w:numPr>
            </w:pPr>
            <w:r>
              <w:t>No sub</w:t>
            </w:r>
            <w:r w:rsidR="00DB42B6">
              <w:t>-</w:t>
            </w:r>
            <w:r>
              <w:t>chronic inhalation studies available for assessment, studies of n-butyl acetate summarised as supporting analogy</w:t>
            </w:r>
            <w:r w:rsidR="004A7E34">
              <w:t>:</w:t>
            </w:r>
          </w:p>
          <w:p w14:paraId="3D8B98FD" w14:textId="77777777" w:rsidR="004A2B54" w:rsidRDefault="009C6927" w:rsidP="00543920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t</w:t>
            </w:r>
            <w:r w:rsidR="002B7F28">
              <w:t>ransient sedation</w:t>
            </w:r>
            <w:r>
              <w:t>,</w:t>
            </w:r>
            <w:r w:rsidR="002B7F28">
              <w:t xml:space="preserve"> </w:t>
            </w:r>
            <w:r>
              <w:t xml:space="preserve">changes to relative organ weights and testes, </w:t>
            </w:r>
            <w:r w:rsidR="002B7F28">
              <w:t>at 1,500 and 3,000</w:t>
            </w:r>
            <w:r w:rsidR="00893CFF">
              <w:t> </w:t>
            </w:r>
            <w:r w:rsidR="002B7F28">
              <w:t>pp</w:t>
            </w:r>
            <w:r>
              <w:t xml:space="preserve">m (rats, 6 h/d, 5 d/wk, 13 wk); </w:t>
            </w:r>
          </w:p>
          <w:p w14:paraId="39F2E951" w14:textId="5CBC440D" w:rsidR="002B7F28" w:rsidRDefault="009C6927" w:rsidP="00543920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d</w:t>
            </w:r>
            <w:r w:rsidR="002B7F28">
              <w:t>egeneration of olfactory epithelia at</w:t>
            </w:r>
            <w:r>
              <w:t xml:space="preserve"> 3,000 ppm</w:t>
            </w:r>
          </w:p>
          <w:p w14:paraId="7D53017E" w14:textId="1A48DB33" w:rsidR="009C6927" w:rsidRDefault="009C6927" w:rsidP="00543920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NOAEL: 500 ppm</w:t>
            </w:r>
            <w:r w:rsidR="00893CFF">
              <w:t>.</w:t>
            </w:r>
          </w:p>
          <w:p w14:paraId="34FA7D95" w14:textId="37DBA92E" w:rsidR="009C6927" w:rsidRDefault="009C6927" w:rsidP="00893CFF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 chronic inhalation data available for assessment, </w:t>
            </w:r>
            <w:r w:rsidR="00CE1D35">
              <w:t xml:space="preserve">chronic </w:t>
            </w:r>
            <w:r>
              <w:t xml:space="preserve">study of isopropanol, </w:t>
            </w:r>
            <w:r w:rsidR="00C22664">
              <w:t>a</w:t>
            </w:r>
            <w:r w:rsidR="00CE1D35">
              <w:t xml:space="preserve"> major metabolite of isopropyl acetate, summarised as supporting analogy</w:t>
            </w:r>
            <w:r w:rsidR="004A7E34">
              <w:t>:</w:t>
            </w:r>
          </w:p>
          <w:p w14:paraId="29B2FE1A" w14:textId="07206792" w:rsidR="00CE1D35" w:rsidRDefault="00CE1D35" w:rsidP="00543920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no evidence for carcinogenicity up to highest tested dose of 5,000 ppm (mice, 2 yr)</w:t>
            </w:r>
          </w:p>
          <w:p w14:paraId="6A6C59A5" w14:textId="00F615D8" w:rsidR="00C22664" w:rsidRDefault="00C22664" w:rsidP="00893CFF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No reproductive toxicity data available; major metabolite</w:t>
            </w:r>
            <w:r w:rsidR="006C22DB">
              <w:t>,</w:t>
            </w:r>
            <w:r>
              <w:t xml:space="preserve"> isopropanol</w:t>
            </w:r>
            <w:r w:rsidR="006C22DB">
              <w:t>,</w:t>
            </w:r>
            <w:r>
              <w:t xml:space="preserve"> showed no reproductive toxicity </w:t>
            </w:r>
            <w:r w:rsidR="004A2B54">
              <w:rPr>
                <w:rFonts w:cs="Arial"/>
              </w:rPr>
              <w:t>≤</w:t>
            </w:r>
            <w:r>
              <w:t xml:space="preserve">400 mg/kg/d in rodents </w:t>
            </w:r>
            <w:r>
              <w:rPr>
                <w:rFonts w:cs="Arial"/>
              </w:rPr>
              <w:t>≡</w:t>
            </w:r>
            <w:r>
              <w:t>1,400 ppm</w:t>
            </w:r>
          </w:p>
          <w:p w14:paraId="2057D0B6" w14:textId="7BB0A18F" w:rsidR="00CE1D35" w:rsidRDefault="00CE1D35" w:rsidP="00893CFF">
            <w:pPr>
              <w:pStyle w:val="Tabletextprimarysource"/>
              <w:numPr>
                <w:ilvl w:val="0"/>
                <w:numId w:val="1"/>
              </w:numPr>
              <w:contextualSpacing/>
            </w:pPr>
            <w:r>
              <w:t xml:space="preserve">Cytotoxic concentrations of n-propyl acetate (1.23%) are slightly clastogenic in </w:t>
            </w:r>
            <w:r>
              <w:rPr>
                <w:i/>
              </w:rPr>
              <w:t>Saccharomyces cerevisiae</w:t>
            </w:r>
            <w:r w:rsidR="00032673">
              <w:t>,</w:t>
            </w:r>
            <w:r>
              <w:t xml:space="preserve"> otherwise non-mutagenic </w:t>
            </w:r>
            <w:r>
              <w:rPr>
                <w:i/>
              </w:rPr>
              <w:t>in vitro</w:t>
            </w:r>
            <w:r w:rsidR="00893CFF">
              <w:t>.</w:t>
            </w:r>
          </w:p>
          <w:p w14:paraId="0708254C" w14:textId="77777777" w:rsidR="004A7E34" w:rsidRDefault="004A7E34" w:rsidP="00893CFF">
            <w:pPr>
              <w:pStyle w:val="Tabletextprimarysource"/>
              <w:contextualSpacing/>
            </w:pPr>
          </w:p>
          <w:p w14:paraId="47F2C409" w14:textId="77777777" w:rsidR="0087670C" w:rsidRDefault="0087670C" w:rsidP="00DB42B6">
            <w:pPr>
              <w:pStyle w:val="Tabletextprimarysource"/>
              <w:spacing w:before="0"/>
              <w:contextualSpacing/>
            </w:pPr>
            <w:r>
              <w:t>Insufficient data to recommend notations for carcinogenicity or sensitisation.</w:t>
            </w:r>
          </w:p>
          <w:p w14:paraId="0FB509B0" w14:textId="361E6AC4" w:rsidR="004A7E34" w:rsidRPr="0087670C" w:rsidRDefault="004A7E34" w:rsidP="00893CFF">
            <w:pPr>
              <w:pStyle w:val="Tabletextprimarysource"/>
            </w:pPr>
          </w:p>
        </w:tc>
      </w:tr>
      <w:tr w:rsidR="00C978F0" w:rsidRPr="00DA352E" w14:paraId="19FEF44A" w14:textId="77777777" w:rsidTr="00022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8B02EC3" w14:textId="5211143B" w:rsidR="00C978F0" w:rsidRPr="00DA352E" w:rsidRDefault="00DA352E" w:rsidP="001F798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B7ACF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B7ACF">
                  <w:t>MAK: 100 ppm (420 mg/m</w:t>
                </w:r>
                <w:r w:rsidR="00CB7ACF" w:rsidRPr="00CB7ACF">
                  <w:rPr>
                    <w:vertAlign w:val="superscript"/>
                  </w:rPr>
                  <w:t>3</w:t>
                </w:r>
                <w:r w:rsidR="00CB7ACF">
                  <w:t>)</w:t>
                </w:r>
              </w:sdtContent>
            </w:sdt>
          </w:p>
        </w:tc>
      </w:tr>
      <w:tr w:rsidR="00C978F0" w:rsidRPr="00DC7802" w14:paraId="2CF22FBB" w14:textId="77777777" w:rsidTr="000223A7">
        <w:trPr>
          <w:gridAfter w:val="1"/>
          <w:wAfter w:w="8" w:type="pct"/>
        </w:trPr>
        <w:tc>
          <w:tcPr>
            <w:tcW w:w="4992" w:type="pct"/>
          </w:tcPr>
          <w:p w14:paraId="4BA70EED" w14:textId="245DE65B" w:rsidR="005A3211" w:rsidRDefault="005A3211" w:rsidP="00893CFF">
            <w:pPr>
              <w:pStyle w:val="Tabletextprimarysource"/>
            </w:pPr>
            <w:r>
              <w:t>Summary of additional data:</w:t>
            </w:r>
          </w:p>
          <w:p w14:paraId="300DFC56" w14:textId="77777777" w:rsidR="004A2B54" w:rsidRDefault="002458AA" w:rsidP="00893CFF">
            <w:pPr>
              <w:pStyle w:val="Tabletextprimarysource"/>
            </w:pPr>
            <w:r>
              <w:t xml:space="preserve">Grouped assessment for both propyl acetate esters. </w:t>
            </w:r>
          </w:p>
          <w:p w14:paraId="1927BBE4" w14:textId="77777777" w:rsidR="004A2B54" w:rsidRDefault="002458AA" w:rsidP="00893CFF">
            <w:pPr>
              <w:pStyle w:val="Tabletextprimarysource"/>
            </w:pPr>
            <w:r>
              <w:t xml:space="preserve">Critical effects are eye and upper respiratory tract irritation. </w:t>
            </w:r>
          </w:p>
          <w:p w14:paraId="3CB1B74D" w14:textId="20FC1B45" w:rsidR="0065582A" w:rsidRDefault="002458AA" w:rsidP="00893CFF">
            <w:pPr>
              <w:pStyle w:val="Tabletextprimarysource"/>
            </w:pPr>
            <w:r>
              <w:t xml:space="preserve">MAK based on acute exposure studies </w:t>
            </w:r>
            <w:r w:rsidR="004A2B54">
              <w:t>in</w:t>
            </w:r>
            <w:r>
              <w:t xml:space="preserve"> volunteers report</w:t>
            </w:r>
            <w:r w:rsidR="001F7989">
              <w:t>ing</w:t>
            </w:r>
            <w:r>
              <w:t xml:space="preserve"> weak irritation responses </w:t>
            </w:r>
            <w:r w:rsidR="00B03D6E">
              <w:rPr>
                <w:rFonts w:cs="Arial"/>
              </w:rPr>
              <w:t>≥</w:t>
            </w:r>
            <w:r>
              <w:t xml:space="preserve">200 ppm (also cited in ACGIH, 2018). These studies do not meet modern standards, but are supported by analogies to other structurally related acetate esters. Other data gaps are </w:t>
            </w:r>
            <w:r w:rsidR="004A2B54">
              <w:t>c</w:t>
            </w:r>
            <w:r>
              <w:t xml:space="preserve">losed by analogies to these compounds. No systemic toxicity is expected based on toxicological profiles of the major metabolites, </w:t>
            </w:r>
            <w:r w:rsidR="005A3211">
              <w:t>propyl</w:t>
            </w:r>
            <w:r>
              <w:t xml:space="preserve"> alcohols and acetic acid.</w:t>
            </w:r>
            <w:r w:rsidR="00A769AE">
              <w:t xml:space="preserve"> MAK of 100 ppm is considered protective of critical effects based on weight of evidence including substance-specific acute exposure data </w:t>
            </w:r>
            <w:r w:rsidR="0065582A">
              <w:t xml:space="preserve">in humans </w:t>
            </w:r>
            <w:r w:rsidR="00A769AE">
              <w:t>and</w:t>
            </w:r>
            <w:r w:rsidR="0065582A">
              <w:t xml:space="preserve"> MAKs of </w:t>
            </w:r>
            <w:r w:rsidR="00A769AE">
              <w:t>structurally related acetate esters</w:t>
            </w:r>
            <w:r w:rsidR="0065582A">
              <w:t>.</w:t>
            </w:r>
          </w:p>
          <w:p w14:paraId="213F41A3" w14:textId="7EC09219" w:rsidR="002458AA" w:rsidRDefault="002458AA" w:rsidP="00893CFF">
            <w:pPr>
              <w:pStyle w:val="Tabletextprimarysource"/>
            </w:pPr>
            <w:r>
              <w:t>Skin notation not warranted based on absence of systemic toxicity in dermally exposed rabbits.</w:t>
            </w:r>
          </w:p>
          <w:p w14:paraId="276E7FD4" w14:textId="77777777" w:rsidR="002458AA" w:rsidRDefault="002458AA" w:rsidP="00893CFF">
            <w:pPr>
              <w:pStyle w:val="Tabletextprimarysource"/>
            </w:pPr>
            <w:r>
              <w:t>No carcinogenic potential expected from structure of compounds and their metabolites.</w:t>
            </w:r>
          </w:p>
          <w:p w14:paraId="620CEC7F" w14:textId="77777777" w:rsidR="002458AA" w:rsidRDefault="002458AA" w:rsidP="00893CFF">
            <w:pPr>
              <w:pStyle w:val="Tabletextprimarysource"/>
            </w:pPr>
            <w:r>
              <w:t>No evidence for sensitisation of either isomer; therefore, no sensitiser notation is assigned.</w:t>
            </w:r>
          </w:p>
          <w:p w14:paraId="098B1F65" w14:textId="18A43DAF" w:rsidR="005A3211" w:rsidRDefault="005A3211" w:rsidP="00893CFF">
            <w:pPr>
              <w:pStyle w:val="Tabletextprimarysource"/>
            </w:pPr>
            <w:r>
              <w:t>Human data:</w:t>
            </w:r>
          </w:p>
          <w:p w14:paraId="6F6F2581" w14:textId="77777777" w:rsidR="005A3211" w:rsidRDefault="005A3211" w:rsidP="00893CFF">
            <w:pPr>
              <w:pStyle w:val="Tabletextprimarysource"/>
              <w:numPr>
                <w:ilvl w:val="0"/>
                <w:numId w:val="1"/>
              </w:numPr>
            </w:pPr>
            <w:r>
              <w:t>Calculated skin penetration rate: 0.09–1.2 mg/cm</w:t>
            </w:r>
            <w:r>
              <w:rPr>
                <w:vertAlign w:val="superscript"/>
              </w:rPr>
              <w:t>2</w:t>
            </w:r>
            <w:r>
              <w:t>/h</w:t>
            </w:r>
          </w:p>
          <w:p w14:paraId="6FDF3358" w14:textId="5A88F778" w:rsidR="005A3211" w:rsidRDefault="005A3211" w:rsidP="00893CFF">
            <w:pPr>
              <w:pStyle w:val="Tabletextprimarysource"/>
              <w:numPr>
                <w:ilvl w:val="0"/>
                <w:numId w:val="1"/>
              </w:numPr>
            </w:pPr>
            <w:r>
              <w:t>Distributed evenly in the body, highest accumulation in adipose tissue</w:t>
            </w:r>
          </w:p>
          <w:p w14:paraId="538A966D" w14:textId="591D0C0A" w:rsidR="005A3211" w:rsidRDefault="005A3211">
            <w:pPr>
              <w:pStyle w:val="Tabletextprimarysource"/>
              <w:numPr>
                <w:ilvl w:val="0"/>
                <w:numId w:val="1"/>
              </w:numPr>
            </w:pPr>
            <w:r>
              <w:t>No data for narcotic thresholds in humans</w:t>
            </w:r>
            <w:r w:rsidR="00893CFF">
              <w:t>.</w:t>
            </w:r>
          </w:p>
          <w:p w14:paraId="1249CF74" w14:textId="14A68F0C" w:rsidR="005A3211" w:rsidRDefault="002458AA">
            <w:pPr>
              <w:pStyle w:val="Tabletextprimarysource"/>
            </w:pPr>
            <w:r>
              <w:t>Animal data:</w:t>
            </w:r>
          </w:p>
          <w:p w14:paraId="54CA8232" w14:textId="0F6E49D4" w:rsidR="005A3211" w:rsidRDefault="005A3211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Adverse </w:t>
            </w:r>
            <w:r w:rsidR="004A2B54">
              <w:t>CNS</w:t>
            </w:r>
            <w:r>
              <w:t xml:space="preserve"> effects above 1,439 ppm (mice, 4 h)</w:t>
            </w:r>
          </w:p>
          <w:p w14:paraId="3556BD21" w14:textId="2B142F3D" w:rsidR="004A2B54" w:rsidRDefault="005A3211">
            <w:pPr>
              <w:pStyle w:val="Tabletextprimarysource"/>
              <w:numPr>
                <w:ilvl w:val="0"/>
                <w:numId w:val="1"/>
              </w:numPr>
            </w:pPr>
            <w:r>
              <w:t>Irritational effects likely caused by the formation of acetic acid upon hydrolysis</w:t>
            </w:r>
            <w:r w:rsidR="00DB42B6">
              <w:t>:</w:t>
            </w:r>
            <w:r>
              <w:t xml:space="preserve"> </w:t>
            </w:r>
          </w:p>
          <w:p w14:paraId="13258EBC" w14:textId="1512F3FA" w:rsidR="005A3211" w:rsidRDefault="004A2B54" w:rsidP="00543920">
            <w:pPr>
              <w:pStyle w:val="Tabletextprimarysource"/>
              <w:numPr>
                <w:ilvl w:val="1"/>
                <w:numId w:val="2"/>
              </w:numPr>
            </w:pPr>
            <w:r>
              <w:t>CNS</w:t>
            </w:r>
            <w:r w:rsidR="005A3211">
              <w:t xml:space="preserve"> depression results from hydrophobic interactions of the substances and their metabolites with neuronal membranes (mice, intraperitoneal injection)</w:t>
            </w:r>
          </w:p>
          <w:p w14:paraId="3C987F46" w14:textId="77777777" w:rsidR="002458AA" w:rsidRPr="00FA3168" w:rsidRDefault="002458AA">
            <w:pPr>
              <w:pStyle w:val="Tabletextprimarysource"/>
              <w:numPr>
                <w:ilvl w:val="0"/>
                <w:numId w:val="1"/>
              </w:numPr>
              <w:rPr>
                <w:lang w:val="it-IT"/>
              </w:rPr>
            </w:pPr>
            <w:r w:rsidRPr="00FA3168">
              <w:rPr>
                <w:lang w:val="it-IT"/>
              </w:rPr>
              <w:t xml:space="preserve">Non-mutagenic </w:t>
            </w:r>
            <w:r w:rsidRPr="00FA3168">
              <w:rPr>
                <w:i/>
                <w:lang w:val="it-IT"/>
              </w:rPr>
              <w:t>in vitro</w:t>
            </w:r>
            <w:r w:rsidRPr="00FA3168">
              <w:rPr>
                <w:lang w:val="it-IT"/>
              </w:rPr>
              <w:t xml:space="preserve"> in bacteria</w:t>
            </w:r>
            <w:r w:rsidR="00893CFF" w:rsidRPr="00FA3168">
              <w:rPr>
                <w:lang w:val="it-IT"/>
              </w:rPr>
              <w:t>.</w:t>
            </w:r>
          </w:p>
          <w:p w14:paraId="64EE81B0" w14:textId="404545EE" w:rsidR="004A7E34" w:rsidRPr="00FA3168" w:rsidRDefault="004A7E34" w:rsidP="00543920">
            <w:pPr>
              <w:pStyle w:val="Tabletextprimarysource"/>
              <w:rPr>
                <w:lang w:val="it-IT"/>
              </w:rPr>
            </w:pPr>
          </w:p>
        </w:tc>
      </w:tr>
      <w:tr w:rsidR="00C978F0" w:rsidRPr="00DA352E" w14:paraId="2DCA17B6" w14:textId="77777777" w:rsidTr="00022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1DD6E6" w14:textId="5AE08984" w:rsidR="00C978F0" w:rsidRPr="00DA352E" w:rsidRDefault="00DA352E" w:rsidP="001F798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B7A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B7ACF">
                  <w:t>NA</w:t>
                </w:r>
                <w:proofErr w:type="spellEnd"/>
              </w:sdtContent>
            </w:sdt>
          </w:p>
        </w:tc>
      </w:tr>
      <w:tr w:rsidR="00C978F0" w:rsidRPr="00DA352E" w14:paraId="3CBB1E0A" w14:textId="77777777" w:rsidTr="000223A7">
        <w:trPr>
          <w:gridAfter w:val="1"/>
          <w:wAfter w:w="8" w:type="pct"/>
          <w:cantSplit/>
        </w:trPr>
        <w:tc>
          <w:tcPr>
            <w:tcW w:w="4992" w:type="pct"/>
          </w:tcPr>
          <w:p w14:paraId="3CFC7902" w14:textId="6D557EB7" w:rsidR="00C978F0" w:rsidRPr="00DA352E" w:rsidRDefault="00D643D1" w:rsidP="00893CFF">
            <w:pPr>
              <w:pStyle w:val="Tabletextprimarysource"/>
            </w:pPr>
            <w:r>
              <w:t>No report</w:t>
            </w:r>
            <w:r w:rsidR="00893CFF">
              <w:t>.</w:t>
            </w:r>
          </w:p>
        </w:tc>
      </w:tr>
      <w:tr w:rsidR="00DA352E" w:rsidRPr="00DA352E" w14:paraId="4559E51D" w14:textId="77777777" w:rsidTr="00022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7C3714" w14:textId="5AA01395" w:rsidR="00DA352E" w:rsidRPr="00DA352E" w:rsidRDefault="00DA352E" w:rsidP="001F798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643D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643D1">
                  <w:t>NA</w:t>
                </w:r>
                <w:proofErr w:type="spellEnd"/>
              </w:sdtContent>
            </w:sdt>
          </w:p>
        </w:tc>
      </w:tr>
      <w:tr w:rsidR="00DA352E" w:rsidRPr="00DA352E" w14:paraId="2A8EA9FF" w14:textId="77777777" w:rsidTr="000223A7">
        <w:trPr>
          <w:gridAfter w:val="1"/>
          <w:wAfter w:w="8" w:type="pct"/>
          <w:cantSplit/>
        </w:trPr>
        <w:tc>
          <w:tcPr>
            <w:tcW w:w="4992" w:type="pct"/>
          </w:tcPr>
          <w:p w14:paraId="24B76446" w14:textId="03EB1A69" w:rsidR="00DA352E" w:rsidRPr="00DA352E" w:rsidRDefault="00D643D1" w:rsidP="00893CFF">
            <w:pPr>
              <w:pStyle w:val="Tabletextprimarysource"/>
            </w:pPr>
            <w:r>
              <w:t>No report</w:t>
            </w:r>
            <w:r w:rsidR="00893CFF">
              <w:t>.</w:t>
            </w:r>
          </w:p>
        </w:tc>
      </w:tr>
      <w:tr w:rsidR="00DA352E" w:rsidRPr="00DA352E" w14:paraId="6318EEE8" w14:textId="77777777" w:rsidTr="000223A7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E1C69F0" w14:textId="0507D8FD" w:rsidR="00DA352E" w:rsidRPr="00DA352E" w:rsidRDefault="00DA352E" w:rsidP="001F798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643D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D643D1">
                  <w:t>NA</w:t>
                </w:r>
                <w:proofErr w:type="spellEnd"/>
              </w:sdtContent>
            </w:sdt>
          </w:p>
        </w:tc>
      </w:tr>
      <w:tr w:rsidR="00DA352E" w:rsidRPr="00DA352E" w14:paraId="582897C1" w14:textId="77777777" w:rsidTr="000223A7">
        <w:trPr>
          <w:gridAfter w:val="1"/>
          <w:wAfter w:w="8" w:type="pct"/>
          <w:cantSplit/>
        </w:trPr>
        <w:tc>
          <w:tcPr>
            <w:tcW w:w="4992" w:type="pct"/>
          </w:tcPr>
          <w:p w14:paraId="4E922880" w14:textId="6D60DF38" w:rsidR="00DA352E" w:rsidRPr="00DA352E" w:rsidRDefault="00D643D1" w:rsidP="00893CFF">
            <w:pPr>
              <w:pStyle w:val="Tabletextprimarysource"/>
            </w:pPr>
            <w:r>
              <w:t>No report</w:t>
            </w:r>
            <w:r w:rsidR="00893CFF">
              <w:t>.</w:t>
            </w:r>
          </w:p>
        </w:tc>
      </w:tr>
    </w:tbl>
    <w:p w14:paraId="2852BE7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2"/>
        <w:gridCol w:w="661"/>
        <w:gridCol w:w="6454"/>
      </w:tblGrid>
      <w:tr w:rsidR="004966BF" w:rsidRPr="00263255" w14:paraId="27492009" w14:textId="77777777" w:rsidTr="00022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9620F5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11F4096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A187041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7697594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FA67C65" w14:textId="77777777" w:rsidTr="000223A7">
        <w:tc>
          <w:tcPr>
            <w:tcW w:w="1489" w:type="dxa"/>
          </w:tcPr>
          <w:p w14:paraId="6D23D1BE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123247E2" w14:textId="7BA7E8F9" w:rsidR="004966BF" w:rsidRPr="00CE617F" w:rsidRDefault="00E648C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A532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DFC6545" w14:textId="5A290AB5" w:rsidR="004966BF" w:rsidRPr="004C23F4" w:rsidRDefault="006A532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4" w:type="dxa"/>
          </w:tcPr>
          <w:p w14:paraId="4802D680" w14:textId="4064F101" w:rsidR="004A2B54" w:rsidRDefault="006A5320" w:rsidP="001F7989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>Grouped assessment of C</w:t>
            </w:r>
            <w:r w:rsidRPr="006A5320">
              <w:rPr>
                <w:rFonts w:cs="Arial"/>
                <w:vertAlign w:val="subscript"/>
              </w:rPr>
              <w:t>2</w:t>
            </w:r>
            <w:r>
              <w:rPr>
                <w:rFonts w:cs="Arial"/>
              </w:rPr>
              <w:t>–C</w:t>
            </w:r>
            <w:r w:rsidRPr="006A5320">
              <w:rPr>
                <w:rFonts w:cs="Arial"/>
                <w:vertAlign w:val="subscript"/>
              </w:rPr>
              <w:t>4</w:t>
            </w:r>
            <w:r>
              <w:rPr>
                <w:rFonts w:cs="Arial"/>
              </w:rPr>
              <w:t xml:space="preserve"> </w:t>
            </w:r>
            <w:r w:rsidRPr="006A5320">
              <w:rPr>
                <w:rFonts w:cs="Arial"/>
              </w:rPr>
              <w:t>alkyl acetates</w:t>
            </w:r>
            <w:r w:rsidR="00DB42B6">
              <w:rPr>
                <w:rFonts w:cs="Arial"/>
              </w:rPr>
              <w:t>:</w:t>
            </w:r>
          </w:p>
          <w:p w14:paraId="63354217" w14:textId="6DC81CB3" w:rsidR="006A5320" w:rsidRPr="006A5320" w:rsidRDefault="004A2B54" w:rsidP="00543920">
            <w:pPr>
              <w:pStyle w:val="Tabletextprimarysource"/>
              <w:numPr>
                <w:ilvl w:val="1"/>
                <w:numId w:val="2"/>
              </w:numPr>
              <w:rPr>
                <w:rFonts w:cs="Arial"/>
              </w:rPr>
            </w:pPr>
            <w:r>
              <w:rPr>
                <w:rFonts w:cs="Arial"/>
              </w:rPr>
              <w:t>s</w:t>
            </w:r>
            <w:r w:rsidR="006A5320" w:rsidRPr="006A5320">
              <w:rPr>
                <w:rFonts w:cs="Arial"/>
              </w:rPr>
              <w:t xml:space="preserve">imilar hazard profiles expected due to similar </w:t>
            </w:r>
            <w:r>
              <w:rPr>
                <w:rFonts w:cs="Arial"/>
              </w:rPr>
              <w:t>ADME</w:t>
            </w:r>
            <w:r w:rsidR="006A5320">
              <w:rPr>
                <w:rFonts w:cs="Arial"/>
              </w:rPr>
              <w:t xml:space="preserve"> kinetics</w:t>
            </w:r>
          </w:p>
          <w:p w14:paraId="0D355ACE" w14:textId="138725B3" w:rsidR="006A5320" w:rsidRPr="006A5320" w:rsidRDefault="006A5320" w:rsidP="001F7989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 w:rsidRPr="006A5320">
              <w:rPr>
                <w:rFonts w:cs="Arial"/>
              </w:rPr>
              <w:lastRenderedPageBreak/>
              <w:t xml:space="preserve">Data </w:t>
            </w:r>
            <w:r w:rsidRPr="00893CFF">
              <w:t>gaps</w:t>
            </w:r>
            <w:r w:rsidRPr="006A532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closed</w:t>
            </w:r>
            <w:r w:rsidRPr="006A5320">
              <w:rPr>
                <w:rFonts w:cs="Arial"/>
              </w:rPr>
              <w:t xml:space="preserve"> with exposure data from corresponding alcohols, which are the major metabolites</w:t>
            </w:r>
          </w:p>
          <w:p w14:paraId="7D998E68" w14:textId="13244EEA" w:rsidR="004966BF" w:rsidRDefault="001F7989" w:rsidP="001F7989">
            <w:pPr>
              <w:pStyle w:val="Tabletextprimarysource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Propyl acetates </w:t>
            </w:r>
            <w:r w:rsidR="006A5320" w:rsidRPr="006A5320">
              <w:rPr>
                <w:rFonts w:cs="Arial"/>
              </w:rPr>
              <w:t>have similar uses</w:t>
            </w:r>
          </w:p>
          <w:p w14:paraId="46C5DC70" w14:textId="78967BBA" w:rsidR="006A5320" w:rsidRPr="004C23F4" w:rsidRDefault="006A5320" w:rsidP="001F7989">
            <w:pPr>
              <w:pStyle w:val="Tabletextprimarysource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6A5320">
              <w:rPr>
                <w:rFonts w:cs="Arial"/>
              </w:rPr>
              <w:t xml:space="preserve">Overall, </w:t>
            </w:r>
            <w:r w:rsidRPr="00893CFF">
              <w:t>chemicals</w:t>
            </w:r>
            <w:r>
              <w:rPr>
                <w:rFonts w:cs="Arial"/>
              </w:rPr>
              <w:t xml:space="preserve"> </w:t>
            </w:r>
            <w:r w:rsidRPr="006A5320">
              <w:rPr>
                <w:rFonts w:cs="Arial"/>
              </w:rPr>
              <w:t>of this group have genotoxic potential.</w:t>
            </w:r>
          </w:p>
        </w:tc>
      </w:tr>
      <w:tr w:rsidR="004966BF" w:rsidRPr="004C23F4" w14:paraId="4E379482" w14:textId="77777777" w:rsidTr="000223A7">
        <w:tc>
          <w:tcPr>
            <w:tcW w:w="1489" w:type="dxa"/>
          </w:tcPr>
          <w:p w14:paraId="58AEE899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2" w:type="dxa"/>
          </w:tcPr>
          <w:p w14:paraId="491E1F9B" w14:textId="5B1C4336" w:rsidR="004966BF" w:rsidRPr="00CE617F" w:rsidRDefault="00E648C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74FD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3AF57F9" w14:textId="5E717D19" w:rsidR="004966BF" w:rsidRPr="004C23F4" w:rsidRDefault="00F74FD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54" w:type="dxa"/>
          </w:tcPr>
          <w:p w14:paraId="25A9DA34" w14:textId="20F4F161" w:rsidR="009E3549" w:rsidRDefault="00F74FD7" w:rsidP="0054392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Short- and long-term DNELs for worker exposures are adopted from the DFG (2013) interpretation of the available toxicological dataset</w:t>
            </w:r>
            <w:r w:rsidR="004A7E34">
              <w:rPr>
                <w:rStyle w:val="checkbox"/>
                <w:rFonts w:ascii="Arial" w:hAnsi="Arial" w:cs="Arial"/>
              </w:rPr>
              <w:t>:</w:t>
            </w:r>
          </w:p>
          <w:p w14:paraId="7BC8A115" w14:textId="77777777" w:rsidR="009E3549" w:rsidRDefault="00F74FD7" w:rsidP="00543920">
            <w:pPr>
              <w:pStyle w:val="Tablefont"/>
              <w:numPr>
                <w:ilvl w:val="1"/>
                <w:numId w:val="3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long-term DNEL: 100 ppm (analogous to MAK) </w:t>
            </w:r>
          </w:p>
          <w:p w14:paraId="18CEBD0F" w14:textId="78F29C24" w:rsidR="004966BF" w:rsidRPr="004C23F4" w:rsidRDefault="00F74FD7" w:rsidP="00543920">
            <w:pPr>
              <w:pStyle w:val="Tablefont"/>
              <w:numPr>
                <w:ilvl w:val="1"/>
                <w:numId w:val="3"/>
              </w:numPr>
              <w:spacing w:before="60" w:after="60"/>
              <w:ind w:left="109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short-term DNEL: 200 ppm (analogous to peak limitation with excursion factor of 1)</w:t>
            </w:r>
            <w:r w:rsidR="004A7E3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7F1A1CF" w14:textId="77777777" w:rsidTr="000223A7">
        <w:tc>
          <w:tcPr>
            <w:tcW w:w="1489" w:type="dxa"/>
          </w:tcPr>
          <w:p w14:paraId="430C832D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52111B54" w14:textId="3872940E" w:rsidR="004966BF" w:rsidRDefault="00E648C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74FD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5525861" w14:textId="12D55874" w:rsidR="004966BF" w:rsidRPr="004C23F4" w:rsidRDefault="00F74FD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323ADBE8" w14:textId="43F58F4A" w:rsidR="004966BF" w:rsidRDefault="006A5320" w:rsidP="0054392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6A5320">
              <w:rPr>
                <w:rStyle w:val="checkbox"/>
                <w:rFonts w:ascii="Arial" w:hAnsi="Arial" w:cs="Arial"/>
              </w:rPr>
              <w:t>IDLH for n-propyl acetate is 1,700 ppm based on acute inhalation toxicity data in animals</w:t>
            </w:r>
          </w:p>
          <w:p w14:paraId="2FB71F48" w14:textId="77777777" w:rsidR="00F74FD7" w:rsidRDefault="006A5320" w:rsidP="0054392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Fonts w:cs="Arial"/>
              </w:rPr>
            </w:pPr>
            <w:r w:rsidRPr="006A5320">
              <w:rPr>
                <w:rFonts w:cs="Arial"/>
              </w:rPr>
              <w:t>IDLH for isopropyl acetate is 1,800 ppm based on analogies to ethyl acetate and n-propyl acetate</w:t>
            </w:r>
          </w:p>
          <w:p w14:paraId="73156C88" w14:textId="5CF9C86D" w:rsidR="00F74FD7" w:rsidRPr="004C23F4" w:rsidRDefault="00F74FD7" w:rsidP="00543920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</w:rPr>
              <w:t>IDLH for n-propyl acetate is adopted conservatively due to its lower value and basis on experimental results</w:t>
            </w:r>
            <w:r w:rsidR="004A7E34">
              <w:rPr>
                <w:rFonts w:cs="Arial"/>
              </w:rPr>
              <w:t>.</w:t>
            </w:r>
          </w:p>
        </w:tc>
      </w:tr>
    </w:tbl>
    <w:bookmarkEnd w:id="0"/>
    <w:p w14:paraId="46B3821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0D0E88F" w14:textId="77777777" w:rsidTr="00F74FD7">
        <w:trPr>
          <w:trHeight w:val="454"/>
          <w:tblHeader/>
        </w:trPr>
        <w:tc>
          <w:tcPr>
            <w:tcW w:w="6603" w:type="dxa"/>
            <w:vAlign w:val="center"/>
          </w:tcPr>
          <w:p w14:paraId="6F9324E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AFB2BEC" w14:textId="4293B6DD" w:rsidR="002E0D61" w:rsidRDefault="00F74FD7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48C8D4A7" w14:textId="77777777" w:rsidTr="00F74FD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7F1EDA78" w14:textId="65D8F80C" w:rsidR="008A36CF" w:rsidRPr="006901A2" w:rsidRDefault="00F74FD7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DB0200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C63CB9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2387DC3" w14:textId="77777777" w:rsidTr="000223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B85FA6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DE340C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3DC15F" w14:textId="77777777" w:rsidTr="000223A7">
        <w:trPr>
          <w:cantSplit/>
        </w:trPr>
        <w:tc>
          <w:tcPr>
            <w:tcW w:w="3227" w:type="dxa"/>
          </w:tcPr>
          <w:p w14:paraId="0C3D84A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F17845D" w14:textId="20CA3E0C" w:rsidR="00687890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 xml:space="preserve">: </w:t>
            </w:r>
            <w:r w:rsidR="00D643D1">
              <w:t>—</w:t>
            </w:r>
          </w:p>
        </w:tc>
      </w:tr>
      <w:tr w:rsidR="007925F0" w:rsidRPr="004C23F4" w14:paraId="074E99DE" w14:textId="77777777" w:rsidTr="000223A7">
        <w:trPr>
          <w:cantSplit/>
        </w:trPr>
        <w:tc>
          <w:tcPr>
            <w:tcW w:w="3227" w:type="dxa"/>
          </w:tcPr>
          <w:p w14:paraId="40302E5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36E3E09" w14:textId="5B402FD3" w:rsidR="007925F0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 xml:space="preserve">: </w:t>
            </w:r>
            <w:r w:rsidR="00D643D1">
              <w:t>—</w:t>
            </w:r>
          </w:p>
        </w:tc>
      </w:tr>
      <w:tr w:rsidR="00AF483F" w:rsidRPr="004C23F4" w14:paraId="7E1A1497" w14:textId="77777777" w:rsidTr="000223A7">
        <w:trPr>
          <w:cantSplit/>
        </w:trPr>
        <w:tc>
          <w:tcPr>
            <w:tcW w:w="3227" w:type="dxa"/>
          </w:tcPr>
          <w:p w14:paraId="6D718EC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87F1374" w14:textId="3B9A8C4F" w:rsidR="00AF483F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 xml:space="preserve">: </w:t>
            </w:r>
            <w:r w:rsidR="00D643D1">
              <w:t>—</w:t>
            </w:r>
          </w:p>
        </w:tc>
      </w:tr>
      <w:tr w:rsidR="00687890" w:rsidRPr="004C23F4" w14:paraId="57AE9B50" w14:textId="77777777" w:rsidTr="000223A7">
        <w:trPr>
          <w:cantSplit/>
        </w:trPr>
        <w:tc>
          <w:tcPr>
            <w:tcW w:w="3227" w:type="dxa"/>
          </w:tcPr>
          <w:p w14:paraId="4994E1B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FA2E817" w14:textId="3BA9FB19" w:rsidR="00687890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>: —</w:t>
            </w:r>
          </w:p>
        </w:tc>
      </w:tr>
      <w:tr w:rsidR="00E41A26" w:rsidRPr="004C23F4" w14:paraId="0371C7A0" w14:textId="77777777" w:rsidTr="000223A7">
        <w:trPr>
          <w:cantSplit/>
        </w:trPr>
        <w:tc>
          <w:tcPr>
            <w:tcW w:w="3227" w:type="dxa"/>
          </w:tcPr>
          <w:p w14:paraId="608927B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8C4DD7D" w14:textId="4366B999" w:rsidR="00E41A26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 xml:space="preserve">: </w:t>
            </w:r>
            <w:r w:rsidR="00D643D1">
              <w:t>—</w:t>
            </w:r>
          </w:p>
        </w:tc>
      </w:tr>
      <w:tr w:rsidR="002E0D61" w:rsidRPr="004C23F4" w14:paraId="27C1F59E" w14:textId="77777777" w:rsidTr="000223A7">
        <w:trPr>
          <w:cantSplit/>
        </w:trPr>
        <w:tc>
          <w:tcPr>
            <w:tcW w:w="3227" w:type="dxa"/>
          </w:tcPr>
          <w:p w14:paraId="3F03F5F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6006225" w14:textId="0A58F172" w:rsidR="002E0D61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 xml:space="preserve">: </w:t>
            </w:r>
            <w:r w:rsidR="00D643D1">
              <w:t>—</w:t>
            </w:r>
          </w:p>
        </w:tc>
      </w:tr>
      <w:tr w:rsidR="002E0D61" w:rsidRPr="004C23F4" w14:paraId="4B4B0DD9" w14:textId="77777777" w:rsidTr="000223A7">
        <w:trPr>
          <w:cantSplit/>
        </w:trPr>
        <w:tc>
          <w:tcPr>
            <w:tcW w:w="3227" w:type="dxa"/>
          </w:tcPr>
          <w:p w14:paraId="56F86F8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3DAC883" w14:textId="1EBB46D1" w:rsidR="002E0D61" w:rsidRPr="00DD2F9B" w:rsidRDefault="006A5320" w:rsidP="00DD2F9B">
            <w:pPr>
              <w:pStyle w:val="Tablefont"/>
            </w:pPr>
            <w:r w:rsidRPr="006A5320">
              <w:rPr>
                <w:i/>
              </w:rPr>
              <w:t>All isomers</w:t>
            </w:r>
            <w:r>
              <w:t xml:space="preserve">: </w:t>
            </w:r>
            <w:r w:rsidR="00D643D1">
              <w:t>—</w:t>
            </w:r>
          </w:p>
        </w:tc>
      </w:tr>
      <w:tr w:rsidR="002E0D61" w:rsidRPr="004C23F4" w14:paraId="2822A25B" w14:textId="77777777" w:rsidTr="000223A7">
        <w:trPr>
          <w:cantSplit/>
        </w:trPr>
        <w:tc>
          <w:tcPr>
            <w:tcW w:w="3227" w:type="dxa"/>
          </w:tcPr>
          <w:p w14:paraId="195F29E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2D673BA" w14:textId="6F4DE624" w:rsidR="002E0D61" w:rsidRPr="00DD2F9B" w:rsidRDefault="00D722F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BC0B181" w14:textId="77777777" w:rsidTr="000223A7">
        <w:trPr>
          <w:cantSplit/>
        </w:trPr>
        <w:tc>
          <w:tcPr>
            <w:tcW w:w="3227" w:type="dxa"/>
          </w:tcPr>
          <w:p w14:paraId="53BB333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FA944C9" w14:textId="7BD40BEC" w:rsidR="002E0D61" w:rsidRPr="00DD2F9B" w:rsidRDefault="00D722F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DCBE878" w14:textId="77777777" w:rsidTr="000223A7">
        <w:trPr>
          <w:cantSplit/>
        </w:trPr>
        <w:tc>
          <w:tcPr>
            <w:tcW w:w="3227" w:type="dxa"/>
          </w:tcPr>
          <w:p w14:paraId="1A667D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8EC56D4" w14:textId="6E85214A" w:rsidR="00386093" w:rsidRPr="00DD2F9B" w:rsidRDefault="00D722F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B69334E" w14:textId="77777777" w:rsidTr="000223A7">
        <w:trPr>
          <w:cantSplit/>
        </w:trPr>
        <w:tc>
          <w:tcPr>
            <w:tcW w:w="3227" w:type="dxa"/>
          </w:tcPr>
          <w:p w14:paraId="22A21B3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FF9C0E0" w14:textId="4277C235" w:rsidR="00386093" w:rsidRPr="00DD2F9B" w:rsidRDefault="00D722FA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DE220B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70CC267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5B673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F8AA15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DCAB00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104" w:type="dxa"/>
              <w:tblLook w:val="04A0" w:firstRow="1" w:lastRow="0" w:firstColumn="1" w:lastColumn="0" w:noHBand="0" w:noVBand="1"/>
            </w:tblPr>
            <w:tblGrid>
              <w:gridCol w:w="3661"/>
              <w:gridCol w:w="1083"/>
              <w:gridCol w:w="1083"/>
              <w:gridCol w:w="2983"/>
            </w:tblGrid>
            <w:tr w:rsidR="00306E53" w:rsidRPr="00306E53" w14:paraId="4886E7A4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9DDF88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954ECF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FD0BFA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C1592D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06E53" w:rsidRPr="00306E53" w14:paraId="7FCEBD33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7165AD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69BA6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9E2E9B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6EE186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06E53" w:rsidRPr="00306E53" w14:paraId="1745005F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3D408B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E1E770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78B6CF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0A1E9B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06E53" w:rsidRPr="00306E53" w14:paraId="34E7236B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2BEABE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D957A3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03CF2C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2FA558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06E53" w:rsidRPr="00306E53" w14:paraId="4E36A94D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46A2DA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25D04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17116F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04A4E4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06E53" w:rsidRPr="00306E53" w14:paraId="5C909BC8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9CD29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105DBB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8C5D9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FAD380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06E53" w:rsidRPr="00306E53" w14:paraId="43F4D5D6" w14:textId="77777777" w:rsidTr="00306E53">
              <w:trPr>
                <w:trHeight w:val="231"/>
              </w:trPr>
              <w:tc>
                <w:tcPr>
                  <w:tcW w:w="37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B53008" w14:textId="77777777" w:rsidR="00306E53" w:rsidRPr="00306E53" w:rsidRDefault="00306E53" w:rsidP="00306E5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007DB8" w14:textId="77777777" w:rsidR="00306E53" w:rsidRPr="00306E53" w:rsidRDefault="00306E53" w:rsidP="00306E5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E3DB60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63E27E" w14:textId="77777777" w:rsidR="00306E53" w:rsidRPr="00306E53" w:rsidRDefault="00306E53" w:rsidP="00306E5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06E5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71943539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3D02B8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22E1D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2421AC5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ADE1D9D" w14:textId="00C4C3E7" w:rsidR="00EB3D1B" w:rsidRDefault="00D722FA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33F75E3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3FAC3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49A4B86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E502726" w14:textId="3CC7AE03" w:rsidR="001B79E5" w:rsidRDefault="00D722FA" w:rsidP="001B79E5">
                <w:pPr>
                  <w:pStyle w:val="Tablefont"/>
                </w:pPr>
                <w:r w:rsidRPr="00D722FA">
                  <w:t>102.13</w:t>
                </w:r>
              </w:p>
            </w:tc>
          </w:sdtContent>
        </w:sdt>
      </w:tr>
      <w:tr w:rsidR="00A31D99" w:rsidRPr="004C23F4" w14:paraId="09D278F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63D529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99665F7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27DA0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786DF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91F26F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7BB6806" w14:textId="77777777" w:rsidTr="00EA6243">
        <w:trPr>
          <w:cantSplit/>
        </w:trPr>
        <w:tc>
          <w:tcPr>
            <w:tcW w:w="4077" w:type="dxa"/>
            <w:vAlign w:val="center"/>
          </w:tcPr>
          <w:p w14:paraId="32E527A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C2DE51E" w14:textId="56249237" w:rsidR="00687890" w:rsidRPr="004C23F4" w:rsidRDefault="006A5320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3714990C" w14:textId="77777777" w:rsidTr="00EA6243">
        <w:trPr>
          <w:cantSplit/>
        </w:trPr>
        <w:tc>
          <w:tcPr>
            <w:tcW w:w="4077" w:type="dxa"/>
            <w:vAlign w:val="center"/>
          </w:tcPr>
          <w:p w14:paraId="5B92638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01187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C44633" w14:textId="77777777" w:rsidTr="00EA6243">
        <w:trPr>
          <w:cantSplit/>
        </w:trPr>
        <w:tc>
          <w:tcPr>
            <w:tcW w:w="4077" w:type="dxa"/>
            <w:vAlign w:val="center"/>
          </w:tcPr>
          <w:p w14:paraId="2C4038F4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6D5A914" w14:textId="77777777" w:rsidR="00E06F40" w:rsidRPr="00A006A0" w:rsidRDefault="00E648C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DC5D58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742BB9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99CEB4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3FA600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5508E52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62381E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B3B199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E708D9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EF3F334" w14:textId="4D91199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28EC024" w14:textId="4C9B955B" w:rsidR="00D722FA" w:rsidRDefault="00D722FA" w:rsidP="00084859">
      <w:r w:rsidRPr="002022B6">
        <w:t>Deutsche Forschungsgemeinschaft (DFG)</w:t>
      </w:r>
      <w:r>
        <w:t xml:space="preserve"> (2013) </w:t>
      </w:r>
      <w:r w:rsidRPr="00D722FA">
        <w:t>n-Propyl acetate and Isopropyl acetate</w:t>
      </w:r>
      <w:r>
        <w:t xml:space="preserve"> – MAK value documentation.</w:t>
      </w:r>
    </w:p>
    <w:p w14:paraId="58614BDF" w14:textId="0697F432" w:rsidR="00D722FA" w:rsidRDefault="00D722FA" w:rsidP="00084859">
      <w:r>
        <w:t xml:space="preserve">European Chemicals Agency (ECHA) (2019) </w:t>
      </w:r>
      <w:r w:rsidRPr="00D722FA">
        <w:t>n-Propyl acetate</w:t>
      </w:r>
      <w:r>
        <w:t xml:space="preserve"> – REACH assessment.</w:t>
      </w:r>
    </w:p>
    <w:p w14:paraId="71F608DD" w14:textId="3257C768" w:rsidR="00D722FA" w:rsidRDefault="00D722FA" w:rsidP="00084859">
      <w:r w:rsidRPr="002022B6">
        <w:t>National Industrial Chemicals Notification and Assessment Scheme (NICNAS)</w:t>
      </w:r>
      <w:r>
        <w:t xml:space="preserve"> (</w:t>
      </w:r>
      <w:r w:rsidR="001B2E99" w:rsidRPr="001B2E99">
        <w:t>2014</w:t>
      </w:r>
      <w:r>
        <w:t xml:space="preserve">) </w:t>
      </w:r>
      <w:r w:rsidRPr="00D722FA">
        <w:t>Acetate esters (C2-C4)</w:t>
      </w:r>
      <w:r w:rsidRPr="0071660C">
        <w:t xml:space="preserve">: Human health </w:t>
      </w:r>
      <w:r w:rsidR="001B2E99" w:rsidRPr="001B2E99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3D56F9A4" w14:textId="076D5571" w:rsidR="00D722FA" w:rsidRPr="00351FE0" w:rsidRDefault="00D722FA" w:rsidP="00084859">
      <w:r w:rsidRPr="00D86E03">
        <w:t>US National Institute for Occupational Safety and Health (NIOSH)</w:t>
      </w:r>
      <w:r>
        <w:t xml:space="preserve"> (</w:t>
      </w:r>
      <w:r w:rsidR="001B2E99" w:rsidRPr="001B2E99">
        <w:t>1994</w:t>
      </w:r>
      <w:r>
        <w:t xml:space="preserve">) Immediately dangerous to life or health concentrations – </w:t>
      </w:r>
      <w:r w:rsidR="001B2E99" w:rsidRPr="001B2E99">
        <w:t>n-Propyl acetate</w:t>
      </w:r>
      <w:r>
        <w:t>.</w:t>
      </w:r>
    </w:p>
    <w:sectPr w:rsidR="00D722FA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0359A" w14:textId="77777777" w:rsidR="0094382A" w:rsidRDefault="0094382A" w:rsidP="00F43AD5">
      <w:pPr>
        <w:spacing w:after="0" w:line="240" w:lineRule="auto"/>
      </w:pPr>
      <w:r>
        <w:separator/>
      </w:r>
    </w:p>
  </w:endnote>
  <w:endnote w:type="continuationSeparator" w:id="0">
    <w:p w14:paraId="044EAAC7" w14:textId="77777777" w:rsidR="0094382A" w:rsidRDefault="0094382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639DA97" w14:textId="454DFB3A" w:rsidR="001F7989" w:rsidRDefault="00CB7ACF" w:rsidP="0034744C">
        <w:pPr>
          <w:pStyle w:val="Footer"/>
          <w:rPr>
            <w:sz w:val="18"/>
            <w:szCs w:val="18"/>
          </w:rPr>
        </w:pPr>
        <w:r w:rsidRPr="00CB7ACF">
          <w:rPr>
            <w:b/>
            <w:sz w:val="18"/>
            <w:szCs w:val="18"/>
          </w:rPr>
          <w:t>Propyl acetate</w:t>
        </w:r>
        <w:r w:rsidR="006B25A4">
          <w:rPr>
            <w:b/>
            <w:sz w:val="18"/>
            <w:szCs w:val="18"/>
          </w:rPr>
          <w:t>s</w:t>
        </w:r>
        <w:r w:rsidR="007E4D68">
          <w:rPr>
            <w:b/>
            <w:sz w:val="18"/>
            <w:szCs w:val="18"/>
          </w:rPr>
          <w:t xml:space="preserve"> (all isomers)</w:t>
        </w:r>
        <w:r w:rsidR="008A36CF">
          <w:rPr>
            <w:b/>
            <w:sz w:val="18"/>
            <w:szCs w:val="18"/>
          </w:rPr>
          <w:t xml:space="preserve"> (</w:t>
        </w:r>
        <w:r w:rsidRPr="00CB7ACF">
          <w:rPr>
            <w:b/>
            <w:sz w:val="18"/>
            <w:szCs w:val="18"/>
          </w:rPr>
          <w:t>109-60-4</w:t>
        </w:r>
        <w:r w:rsidR="006B25A4">
          <w:rPr>
            <w:b/>
            <w:sz w:val="18"/>
            <w:szCs w:val="18"/>
          </w:rPr>
          <w:t>, 108-21-4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1F7989">
          <w:rPr>
            <w:sz w:val="18"/>
            <w:szCs w:val="18"/>
          </w:rPr>
          <w:t>20</w:t>
        </w:r>
      </w:p>
      <w:p w14:paraId="19AC4CB5" w14:textId="5170645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278C1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3BAD4E" w14:textId="77777777" w:rsidR="0094382A" w:rsidRDefault="0094382A" w:rsidP="00F43AD5">
      <w:pPr>
        <w:spacing w:after="0" w:line="240" w:lineRule="auto"/>
      </w:pPr>
      <w:r>
        <w:separator/>
      </w:r>
    </w:p>
  </w:footnote>
  <w:footnote w:type="continuationSeparator" w:id="0">
    <w:p w14:paraId="0399B2A6" w14:textId="77777777" w:rsidR="0094382A" w:rsidRDefault="0094382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87090" w14:textId="324AFA26" w:rsidR="008A36CF" w:rsidRPr="00690F29" w:rsidRDefault="00690F29" w:rsidP="00690F29">
    <w:pPr>
      <w:pStyle w:val="Header"/>
      <w:jc w:val="right"/>
    </w:pPr>
    <w:r>
      <w:rPr>
        <w:noProof/>
        <w:lang w:eastAsia="en-AU"/>
      </w:rPr>
      <w:drawing>
        <wp:inline distT="0" distB="0" distL="0" distR="0" wp14:anchorId="363C223E" wp14:editId="615BC147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51F5B" w14:textId="0E9365A7" w:rsidR="00690F29" w:rsidRDefault="00690F29" w:rsidP="00690F29">
    <w:pPr>
      <w:pStyle w:val="Header"/>
      <w:jc w:val="right"/>
    </w:pPr>
    <w:r>
      <w:rPr>
        <w:noProof/>
        <w:lang w:eastAsia="en-AU"/>
      </w:rPr>
      <w:drawing>
        <wp:inline distT="0" distB="0" distL="0" distR="0" wp14:anchorId="69E1AADF" wp14:editId="02CF8B7F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7D72C42" w14:textId="314C297E" w:rsidR="008A36CF" w:rsidRDefault="008A36CF" w:rsidP="00690F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C10AD"/>
    <w:multiLevelType w:val="hybridMultilevel"/>
    <w:tmpl w:val="F0105F30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662C3"/>
    <w:multiLevelType w:val="hybridMultilevel"/>
    <w:tmpl w:val="BD68D7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907802"/>
    <w:multiLevelType w:val="hybridMultilevel"/>
    <w:tmpl w:val="7430B0AE"/>
    <w:lvl w:ilvl="0" w:tplc="7E18EC36">
      <w:start w:val="1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E413EC"/>
    <w:multiLevelType w:val="hybridMultilevel"/>
    <w:tmpl w:val="4BBE50D4"/>
    <w:lvl w:ilvl="0" w:tplc="04A81B24">
      <w:start w:val="1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5546740">
    <w:abstractNumId w:val="2"/>
  </w:num>
  <w:num w:numId="2" w16cid:durableId="891308966">
    <w:abstractNumId w:val="3"/>
  </w:num>
  <w:num w:numId="3" w16cid:durableId="152378313">
    <w:abstractNumId w:val="1"/>
  </w:num>
  <w:num w:numId="4" w16cid:durableId="1420977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23A7"/>
    <w:rsid w:val="00032673"/>
    <w:rsid w:val="00032B88"/>
    <w:rsid w:val="00046DF5"/>
    <w:rsid w:val="00052060"/>
    <w:rsid w:val="00052A0F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17D3"/>
    <w:rsid w:val="0010461E"/>
    <w:rsid w:val="00106FAA"/>
    <w:rsid w:val="00113443"/>
    <w:rsid w:val="00120D48"/>
    <w:rsid w:val="001269A7"/>
    <w:rsid w:val="00131092"/>
    <w:rsid w:val="00140E6A"/>
    <w:rsid w:val="00146545"/>
    <w:rsid w:val="00146B75"/>
    <w:rsid w:val="0015266D"/>
    <w:rsid w:val="0015288A"/>
    <w:rsid w:val="00160F47"/>
    <w:rsid w:val="00166CD6"/>
    <w:rsid w:val="00177CA1"/>
    <w:rsid w:val="00183823"/>
    <w:rsid w:val="00183942"/>
    <w:rsid w:val="001A009E"/>
    <w:rsid w:val="001A1287"/>
    <w:rsid w:val="001A3859"/>
    <w:rsid w:val="001A3C9D"/>
    <w:rsid w:val="001A43F8"/>
    <w:rsid w:val="001B2E99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1F7989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58AA"/>
    <w:rsid w:val="002463BC"/>
    <w:rsid w:val="002465CE"/>
    <w:rsid w:val="0025734A"/>
    <w:rsid w:val="00263255"/>
    <w:rsid w:val="00276494"/>
    <w:rsid w:val="00277B0C"/>
    <w:rsid w:val="00283246"/>
    <w:rsid w:val="00290602"/>
    <w:rsid w:val="002A600C"/>
    <w:rsid w:val="002B1801"/>
    <w:rsid w:val="002B1A2C"/>
    <w:rsid w:val="002B7F28"/>
    <w:rsid w:val="002C34F2"/>
    <w:rsid w:val="002C58FF"/>
    <w:rsid w:val="002C7AFE"/>
    <w:rsid w:val="002D05D2"/>
    <w:rsid w:val="002E0D61"/>
    <w:rsid w:val="002E4C7B"/>
    <w:rsid w:val="00306E53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16CA"/>
    <w:rsid w:val="004414B5"/>
    <w:rsid w:val="00444482"/>
    <w:rsid w:val="00444B42"/>
    <w:rsid w:val="00445E44"/>
    <w:rsid w:val="004509E2"/>
    <w:rsid w:val="004515EE"/>
    <w:rsid w:val="004529F0"/>
    <w:rsid w:val="00460A03"/>
    <w:rsid w:val="00464868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2B54"/>
    <w:rsid w:val="004A5088"/>
    <w:rsid w:val="004A7E34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00D"/>
    <w:rsid w:val="005272E2"/>
    <w:rsid w:val="0053108F"/>
    <w:rsid w:val="00532B56"/>
    <w:rsid w:val="00534B10"/>
    <w:rsid w:val="00543920"/>
    <w:rsid w:val="005446A2"/>
    <w:rsid w:val="00544D2F"/>
    <w:rsid w:val="00551BD8"/>
    <w:rsid w:val="00581055"/>
    <w:rsid w:val="00591E38"/>
    <w:rsid w:val="00594E9F"/>
    <w:rsid w:val="005A19C5"/>
    <w:rsid w:val="005A3034"/>
    <w:rsid w:val="005A3211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424E"/>
    <w:rsid w:val="00624C4E"/>
    <w:rsid w:val="00625200"/>
    <w:rsid w:val="0063237D"/>
    <w:rsid w:val="006363A8"/>
    <w:rsid w:val="00636DB7"/>
    <w:rsid w:val="00650905"/>
    <w:rsid w:val="006532ED"/>
    <w:rsid w:val="006549F2"/>
    <w:rsid w:val="0065582A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0F29"/>
    <w:rsid w:val="00695B72"/>
    <w:rsid w:val="006A5320"/>
    <w:rsid w:val="006B160A"/>
    <w:rsid w:val="006B25A4"/>
    <w:rsid w:val="006B4E6C"/>
    <w:rsid w:val="006B50B6"/>
    <w:rsid w:val="006C22DB"/>
    <w:rsid w:val="006D79EA"/>
    <w:rsid w:val="006E0A93"/>
    <w:rsid w:val="006E5D05"/>
    <w:rsid w:val="00701053"/>
    <w:rsid w:val="00701507"/>
    <w:rsid w:val="00714021"/>
    <w:rsid w:val="00716A0F"/>
    <w:rsid w:val="00717D45"/>
    <w:rsid w:val="007208F7"/>
    <w:rsid w:val="007218AF"/>
    <w:rsid w:val="0072610B"/>
    <w:rsid w:val="00727B51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B3EDB"/>
    <w:rsid w:val="007C30EB"/>
    <w:rsid w:val="007E063C"/>
    <w:rsid w:val="007E2A4B"/>
    <w:rsid w:val="007E307D"/>
    <w:rsid w:val="007E4D68"/>
    <w:rsid w:val="007E6A4E"/>
    <w:rsid w:val="007E6C94"/>
    <w:rsid w:val="007F1005"/>
    <w:rsid w:val="007F25E0"/>
    <w:rsid w:val="007F2D44"/>
    <w:rsid w:val="007F5328"/>
    <w:rsid w:val="00804F5A"/>
    <w:rsid w:val="008067A8"/>
    <w:rsid w:val="00810C6D"/>
    <w:rsid w:val="00812887"/>
    <w:rsid w:val="00826F21"/>
    <w:rsid w:val="008278C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70C"/>
    <w:rsid w:val="008768A8"/>
    <w:rsid w:val="0088798F"/>
    <w:rsid w:val="00887E4B"/>
    <w:rsid w:val="008915C8"/>
    <w:rsid w:val="00893CFF"/>
    <w:rsid w:val="008A36CF"/>
    <w:rsid w:val="008A3BC4"/>
    <w:rsid w:val="008B12D3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382A"/>
    <w:rsid w:val="00946044"/>
    <w:rsid w:val="0094660B"/>
    <w:rsid w:val="00946A33"/>
    <w:rsid w:val="0095260E"/>
    <w:rsid w:val="009578DD"/>
    <w:rsid w:val="00961124"/>
    <w:rsid w:val="009621B6"/>
    <w:rsid w:val="009702C3"/>
    <w:rsid w:val="00974F2D"/>
    <w:rsid w:val="00977524"/>
    <w:rsid w:val="00977E88"/>
    <w:rsid w:val="00984920"/>
    <w:rsid w:val="0099303A"/>
    <w:rsid w:val="009971C2"/>
    <w:rsid w:val="009A1254"/>
    <w:rsid w:val="009A7DED"/>
    <w:rsid w:val="009B2FF2"/>
    <w:rsid w:val="009B380C"/>
    <w:rsid w:val="009B4843"/>
    <w:rsid w:val="009B6543"/>
    <w:rsid w:val="009C199D"/>
    <w:rsid w:val="009C278F"/>
    <w:rsid w:val="009C28EF"/>
    <w:rsid w:val="009C2B94"/>
    <w:rsid w:val="009C5874"/>
    <w:rsid w:val="009C6927"/>
    <w:rsid w:val="009D3B5A"/>
    <w:rsid w:val="009E0C05"/>
    <w:rsid w:val="009E0D1C"/>
    <w:rsid w:val="009E2214"/>
    <w:rsid w:val="009E3549"/>
    <w:rsid w:val="009E355A"/>
    <w:rsid w:val="009E61E6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69AE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03D6E"/>
    <w:rsid w:val="00B1422A"/>
    <w:rsid w:val="00B1765C"/>
    <w:rsid w:val="00B213C4"/>
    <w:rsid w:val="00B40C60"/>
    <w:rsid w:val="00B479A9"/>
    <w:rsid w:val="00B52EDF"/>
    <w:rsid w:val="00B71188"/>
    <w:rsid w:val="00B71CC2"/>
    <w:rsid w:val="00B76A41"/>
    <w:rsid w:val="00B824DC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22664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B7ACF"/>
    <w:rsid w:val="00CC1A68"/>
    <w:rsid w:val="00CC2123"/>
    <w:rsid w:val="00CD2BFD"/>
    <w:rsid w:val="00CD6B75"/>
    <w:rsid w:val="00CE1D35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43D1"/>
    <w:rsid w:val="00D668E6"/>
    <w:rsid w:val="00D70670"/>
    <w:rsid w:val="00D722FA"/>
    <w:rsid w:val="00D74D80"/>
    <w:rsid w:val="00D76624"/>
    <w:rsid w:val="00D87570"/>
    <w:rsid w:val="00D91CB9"/>
    <w:rsid w:val="00D948C5"/>
    <w:rsid w:val="00D950BA"/>
    <w:rsid w:val="00D97989"/>
    <w:rsid w:val="00D97D8D"/>
    <w:rsid w:val="00DA352E"/>
    <w:rsid w:val="00DB42B6"/>
    <w:rsid w:val="00DC7694"/>
    <w:rsid w:val="00DC7802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56B9"/>
    <w:rsid w:val="00E26A07"/>
    <w:rsid w:val="00E32595"/>
    <w:rsid w:val="00E37CFD"/>
    <w:rsid w:val="00E41A26"/>
    <w:rsid w:val="00E46BCB"/>
    <w:rsid w:val="00E51CAF"/>
    <w:rsid w:val="00E60F04"/>
    <w:rsid w:val="00E62AAC"/>
    <w:rsid w:val="00E648C7"/>
    <w:rsid w:val="00E67C2F"/>
    <w:rsid w:val="00E67EF5"/>
    <w:rsid w:val="00E804EA"/>
    <w:rsid w:val="00E80A71"/>
    <w:rsid w:val="00E82337"/>
    <w:rsid w:val="00E8798E"/>
    <w:rsid w:val="00E92499"/>
    <w:rsid w:val="00E949AF"/>
    <w:rsid w:val="00E96077"/>
    <w:rsid w:val="00EA0A06"/>
    <w:rsid w:val="00EA2F98"/>
    <w:rsid w:val="00EA5671"/>
    <w:rsid w:val="00EA6243"/>
    <w:rsid w:val="00EA74AB"/>
    <w:rsid w:val="00EB3D1B"/>
    <w:rsid w:val="00ED1D89"/>
    <w:rsid w:val="00ED66BC"/>
    <w:rsid w:val="00EE35EB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3412"/>
    <w:rsid w:val="00F74FD7"/>
    <w:rsid w:val="00F87D92"/>
    <w:rsid w:val="00F90AA7"/>
    <w:rsid w:val="00F92498"/>
    <w:rsid w:val="00F9496B"/>
    <w:rsid w:val="00F970C9"/>
    <w:rsid w:val="00FA06A8"/>
    <w:rsid w:val="00FA316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142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24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24E"/>
    <w:rPr>
      <w:szCs w:val="20"/>
    </w:rPr>
  </w:style>
  <w:style w:type="paragraph" w:styleId="Revision">
    <w:name w:val="Revision"/>
    <w:hidden/>
    <w:uiPriority w:val="99"/>
    <w:semiHidden/>
    <w:rsid w:val="001F798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60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600C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9890F88C354B249D7E109EBA579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BF685-AC89-43FF-BF7C-835B9D5C247D}"/>
      </w:docPartPr>
      <w:docPartBody>
        <w:p w:rsidR="007F1F66" w:rsidRDefault="006B675D" w:rsidP="006B675D">
          <w:pPr>
            <w:pStyle w:val="4A9890F88C354B249D7E109EBA57918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52A0F"/>
    <w:rsid w:val="0056739C"/>
    <w:rsid w:val="00620E15"/>
    <w:rsid w:val="006B675D"/>
    <w:rsid w:val="006E0A93"/>
    <w:rsid w:val="007F1F66"/>
    <w:rsid w:val="008F6EAE"/>
    <w:rsid w:val="00D21A9F"/>
    <w:rsid w:val="00F9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B675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4A9890F88C354B249D7E109EBA57918E">
    <w:name w:val="4A9890F88C354B249D7E109EBA57918E"/>
    <w:rsid w:val="006B67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D6480-71AD-4223-A86B-8EB4AB405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a0509f21-ed56-4150-9955-96be669e5f2d"/>
    <ds:schemaRef ds:uri="http://schemas.microsoft.com/office/2006/metadata/properties"/>
    <ds:schemaRef ds:uri="http://purl.org/dc/dcmitype/"/>
    <ds:schemaRef ds:uri="http://schemas.microsoft.com/office/infopath/2007/PartnerControls"/>
    <ds:schemaRef ds:uri="1c567317-0c4d-4a62-8516-c22afd1b5354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6BAE5A2-9E2A-42F0-9AB9-C399749B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6</Pages>
  <Words>1532</Words>
  <Characters>8736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38</cp:revision>
  <cp:lastPrinted>2018-10-22T22:41:00Z</cp:lastPrinted>
  <dcterms:created xsi:type="dcterms:W3CDTF">2019-10-02T02:21:00Z</dcterms:created>
  <dcterms:modified xsi:type="dcterms:W3CDTF">2026-01-09T00:55:00Z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2026-01-07T01:27:29Z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e86ce06f-e3c6-402a-8674-0a37d22045ac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