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65B087E" w14:textId="35321FBD" w:rsidR="00BD499F" w:rsidRPr="004C23F4" w:rsidRDefault="00063856" w:rsidP="00B40C60">
          <w:pPr>
            <w:pStyle w:val="Heading1"/>
            <w:jc w:val="center"/>
            <w:rPr>
              <w:rFonts w:ascii="Arial" w:hAnsi="Arial" w:cs="Arial"/>
            </w:rPr>
          </w:pPr>
          <w:r w:rsidRPr="00B11DF3">
            <w:rPr>
              <w:rFonts w:ascii="Arial" w:hAnsi="Arial" w:cs="Arial"/>
            </w:rPr>
            <w:t xml:space="preserve">Propane-1,2-diol </w:t>
          </w:r>
          <w:r>
            <w:rPr>
              <w:rFonts w:ascii="Arial" w:hAnsi="Arial" w:cs="Arial"/>
            </w:rPr>
            <w:t>(</w:t>
          </w:r>
          <w:r w:rsidRPr="00B11DF3">
            <w:rPr>
              <w:rFonts w:ascii="Arial" w:hAnsi="Arial" w:cs="Arial"/>
            </w:rPr>
            <w:t>total</w:t>
          </w:r>
          <w:r>
            <w:rPr>
              <w:rFonts w:ascii="Arial" w:hAnsi="Arial" w:cs="Arial"/>
            </w:rPr>
            <w:t>;</w:t>
          </w:r>
          <w:r w:rsidRPr="00B11DF3">
            <w:rPr>
              <w:rFonts w:ascii="Arial" w:hAnsi="Arial" w:cs="Arial"/>
            </w:rPr>
            <w:t xml:space="preserve"> vapour &amp; particulates)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8"/>
        <w:gridCol w:w="5048"/>
      </w:tblGrid>
      <w:tr w:rsidR="00F43AD5" w:rsidRPr="004C23F4" w14:paraId="5EE2A851" w14:textId="77777777" w:rsidTr="00063856">
        <w:trPr>
          <w:cantSplit/>
          <w:tblHeader/>
        </w:trPr>
        <w:tc>
          <w:tcPr>
            <w:tcW w:w="3978" w:type="dxa"/>
          </w:tcPr>
          <w:p w14:paraId="1D61BA9E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8" w:type="dxa"/>
          </w:tcPr>
          <w:p w14:paraId="49410827" w14:textId="45E3E60B" w:rsidR="00F43AD5" w:rsidRPr="00717D45" w:rsidRDefault="0008436F" w:rsidP="00B76A41">
            <w:pPr>
              <w:pStyle w:val="Tablefont"/>
            </w:pPr>
            <w:r w:rsidRPr="0008436F">
              <w:t>57-55-6</w:t>
            </w:r>
          </w:p>
        </w:tc>
      </w:tr>
      <w:tr w:rsidR="00F43AD5" w:rsidRPr="00561492" w14:paraId="3681A45E" w14:textId="77777777" w:rsidTr="00063856">
        <w:trPr>
          <w:cantSplit/>
        </w:trPr>
        <w:tc>
          <w:tcPr>
            <w:tcW w:w="3978" w:type="dxa"/>
          </w:tcPr>
          <w:p w14:paraId="386017B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8" w:type="dxa"/>
          </w:tcPr>
          <w:p w14:paraId="55034EF3" w14:textId="3132951C" w:rsidR="0087644C" w:rsidRPr="0046213C" w:rsidRDefault="0087644C" w:rsidP="00B76A41">
            <w:pPr>
              <w:pStyle w:val="Tablefont"/>
              <w:rPr>
                <w:lang w:val="it-IT"/>
              </w:rPr>
            </w:pPr>
            <w:r w:rsidRPr="0046213C">
              <w:rPr>
                <w:lang w:val="it-IT"/>
              </w:rPr>
              <w:t xml:space="preserve">Propylene glycol, </w:t>
            </w:r>
            <w:r w:rsidR="00BC7F88" w:rsidRPr="0046213C">
              <w:rPr>
                <w:lang w:val="it-IT"/>
              </w:rPr>
              <w:t xml:space="preserve">1,2-Dihydroxypropane, </w:t>
            </w:r>
          </w:p>
          <w:p w14:paraId="5979F38F" w14:textId="7D3F1ADE" w:rsidR="00F43AD5" w:rsidRPr="0046213C" w:rsidRDefault="00BC7F88" w:rsidP="00B76A41">
            <w:pPr>
              <w:pStyle w:val="Tablefont"/>
              <w:rPr>
                <w:lang w:val="it-IT"/>
              </w:rPr>
            </w:pPr>
            <w:r w:rsidRPr="0046213C">
              <w:rPr>
                <w:lang w:val="it-IT"/>
              </w:rPr>
              <w:t>1,2-Propane-diol,</w:t>
            </w:r>
            <w:r w:rsidR="0087644C" w:rsidRPr="0046213C">
              <w:rPr>
                <w:lang w:val="it-IT"/>
              </w:rPr>
              <w:t xml:space="preserve"> </w:t>
            </w:r>
            <w:r w:rsidRPr="0046213C">
              <w:rPr>
                <w:lang w:val="it-IT"/>
              </w:rPr>
              <w:t xml:space="preserve">2-Propanediol, </w:t>
            </w:r>
          </w:p>
        </w:tc>
      </w:tr>
      <w:tr w:rsidR="00F43AD5" w:rsidRPr="004C23F4" w14:paraId="7C9B0FF0" w14:textId="77777777" w:rsidTr="00063856">
        <w:trPr>
          <w:cantSplit/>
        </w:trPr>
        <w:tc>
          <w:tcPr>
            <w:tcW w:w="3978" w:type="dxa"/>
          </w:tcPr>
          <w:p w14:paraId="268B87D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8" w:type="dxa"/>
          </w:tcPr>
          <w:p w14:paraId="51E5EBFC" w14:textId="720860BB" w:rsidR="00F43AD5" w:rsidRPr="00717D45" w:rsidRDefault="00BC7F88" w:rsidP="00B76A41">
            <w:pPr>
              <w:pStyle w:val="Tablefont"/>
            </w:pPr>
            <w:r w:rsidRPr="00BC7F88">
              <w:t>C</w:t>
            </w:r>
            <w:r w:rsidRPr="00BC7F88">
              <w:rPr>
                <w:vertAlign w:val="subscript"/>
              </w:rPr>
              <w:t>3</w:t>
            </w:r>
            <w:r w:rsidRPr="00BC7F88">
              <w:t>H</w:t>
            </w:r>
            <w:r w:rsidRPr="00BC7F88">
              <w:rPr>
                <w:vertAlign w:val="subscript"/>
              </w:rPr>
              <w:t>8</w:t>
            </w:r>
            <w:r w:rsidRPr="00BC7F88">
              <w:t>O</w:t>
            </w:r>
            <w:r w:rsidRPr="00BC7F88">
              <w:rPr>
                <w:vertAlign w:val="subscript"/>
              </w:rPr>
              <w:t>2</w:t>
            </w:r>
          </w:p>
        </w:tc>
      </w:tr>
    </w:tbl>
    <w:p w14:paraId="6C8A2DB8" w14:textId="6B332545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413A3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426AFE5D" w14:textId="77777777" w:rsidTr="00E413A3">
        <w:trPr>
          <w:cantSplit/>
          <w:tblHeader/>
        </w:trPr>
        <w:tc>
          <w:tcPr>
            <w:tcW w:w="4005" w:type="dxa"/>
            <w:vAlign w:val="center"/>
          </w:tcPr>
          <w:p w14:paraId="0C08D77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4A3DDD98" w14:textId="0F816F49" w:rsidR="002C7AFE" w:rsidRPr="00E413A3" w:rsidRDefault="00AE7068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5</w:t>
            </w:r>
            <w:r w:rsidR="00E413A3">
              <w:rPr>
                <w:b/>
              </w:rPr>
              <w:t>0 mg/m</w:t>
            </w:r>
            <w:r w:rsidR="00E413A3">
              <w:rPr>
                <w:b/>
                <w:vertAlign w:val="superscript"/>
              </w:rPr>
              <w:t>3</w:t>
            </w:r>
          </w:p>
        </w:tc>
      </w:tr>
      <w:tr w:rsidR="00E413A3" w:rsidRPr="004C23F4" w14:paraId="45456CD8" w14:textId="77777777" w:rsidTr="00E413A3">
        <w:trPr>
          <w:cantSplit/>
        </w:trPr>
        <w:tc>
          <w:tcPr>
            <w:tcW w:w="4005" w:type="dxa"/>
            <w:vAlign w:val="center"/>
          </w:tcPr>
          <w:p w14:paraId="1DAD1013" w14:textId="77777777" w:rsidR="00E413A3" w:rsidRPr="002C58FF" w:rsidRDefault="00E413A3" w:rsidP="00E413A3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1" w:type="dxa"/>
          </w:tcPr>
          <w:p w14:paraId="134E7E06" w14:textId="4AB57B43" w:rsidR="00E413A3" w:rsidRPr="00EB3D1B" w:rsidRDefault="00E413A3" w:rsidP="00E413A3">
            <w:pPr>
              <w:pStyle w:val="Tablefont"/>
              <w:rPr>
                <w:b/>
              </w:rPr>
            </w:pPr>
            <w:r w:rsidRPr="00ED030B">
              <w:t>—</w:t>
            </w:r>
          </w:p>
        </w:tc>
      </w:tr>
      <w:tr w:rsidR="00E413A3" w:rsidRPr="004C23F4" w14:paraId="5F327D91" w14:textId="77777777" w:rsidTr="00E413A3">
        <w:trPr>
          <w:cantSplit/>
        </w:trPr>
        <w:tc>
          <w:tcPr>
            <w:tcW w:w="4005" w:type="dxa"/>
            <w:vAlign w:val="center"/>
          </w:tcPr>
          <w:p w14:paraId="136D6AF2" w14:textId="77777777" w:rsidR="00E413A3" w:rsidRPr="002C58FF" w:rsidRDefault="00E413A3" w:rsidP="00E413A3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67AC7C89" w14:textId="2F4683AC" w:rsidR="00E413A3" w:rsidRPr="00EB3D1B" w:rsidRDefault="00E413A3" w:rsidP="00E413A3">
            <w:pPr>
              <w:pStyle w:val="Tablefont"/>
              <w:rPr>
                <w:b/>
              </w:rPr>
            </w:pPr>
            <w:r w:rsidRPr="00ED030B">
              <w:t>—</w:t>
            </w:r>
          </w:p>
        </w:tc>
      </w:tr>
      <w:tr w:rsidR="00E413A3" w:rsidRPr="004C23F4" w14:paraId="7DDDFAD5" w14:textId="77777777" w:rsidTr="00E413A3">
        <w:trPr>
          <w:cantSplit/>
        </w:trPr>
        <w:tc>
          <w:tcPr>
            <w:tcW w:w="4005" w:type="dxa"/>
          </w:tcPr>
          <w:p w14:paraId="2F080FCC" w14:textId="77777777" w:rsidR="00E413A3" w:rsidRPr="002C58FF" w:rsidRDefault="00E413A3" w:rsidP="00E413A3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21" w:type="dxa"/>
          </w:tcPr>
          <w:p w14:paraId="6352E311" w14:textId="3F361827" w:rsidR="00E413A3" w:rsidRPr="00EB3D1B" w:rsidRDefault="00E413A3" w:rsidP="00E413A3">
            <w:pPr>
              <w:pStyle w:val="Tablefont"/>
              <w:rPr>
                <w:b/>
              </w:rPr>
            </w:pPr>
            <w:r w:rsidRPr="00ED030B">
              <w:t>—</w:t>
            </w:r>
          </w:p>
        </w:tc>
      </w:tr>
      <w:tr w:rsidR="002C7AFE" w:rsidRPr="004C23F4" w14:paraId="1B1E5D62" w14:textId="77777777" w:rsidTr="00E413A3">
        <w:trPr>
          <w:cantSplit/>
        </w:trPr>
        <w:tc>
          <w:tcPr>
            <w:tcW w:w="4005" w:type="dxa"/>
            <w:vAlign w:val="center"/>
          </w:tcPr>
          <w:p w14:paraId="47ECC0A7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60A7A97F" w14:textId="3CBD4523" w:rsidR="002C7AFE" w:rsidRPr="00EB3D1B" w:rsidRDefault="00975729" w:rsidP="00017C82">
            <w:pPr>
              <w:pStyle w:val="Tablefont"/>
              <w:rPr>
                <w:b/>
              </w:rPr>
            </w:pPr>
            <w:r w:rsidRPr="00975729">
              <w:t>—</w:t>
            </w:r>
          </w:p>
        </w:tc>
      </w:tr>
      <w:tr w:rsidR="00B26FB7" w:rsidRPr="004C23F4" w14:paraId="17679B1D" w14:textId="77777777" w:rsidTr="0082305D">
        <w:trPr>
          <w:cantSplit/>
        </w:trPr>
        <w:tc>
          <w:tcPr>
            <w:tcW w:w="9026" w:type="dxa"/>
            <w:gridSpan w:val="2"/>
            <w:vAlign w:val="center"/>
          </w:tcPr>
          <w:p w14:paraId="1DC48679" w14:textId="00854F51" w:rsidR="00B26FB7" w:rsidRPr="00EB3D1B" w:rsidRDefault="00B26FB7" w:rsidP="00017C8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88B805BCF1AC4949BEDE165F4CFE9D93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E33DD7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CB66220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F11C5C7" w14:textId="2910B54C" w:rsidR="00E413A3" w:rsidRPr="00E413A3" w:rsidRDefault="00E413A3" w:rsidP="00E413A3">
      <w:r w:rsidRPr="00E413A3">
        <w:t xml:space="preserve">A TWA of </w:t>
      </w:r>
      <w:r w:rsidR="00A24DC1">
        <w:t>5</w:t>
      </w:r>
      <w:r>
        <w:t>0</w:t>
      </w:r>
      <w:r w:rsidRPr="00E413A3">
        <w:t xml:space="preserve"> mg/m</w:t>
      </w:r>
      <w:r w:rsidRPr="00E413A3">
        <w:rPr>
          <w:vertAlign w:val="superscript"/>
        </w:rPr>
        <w:t>3</w:t>
      </w:r>
      <w:r w:rsidRPr="00E413A3">
        <w:t xml:space="preserve"> </w:t>
      </w:r>
      <w:r w:rsidR="00163141">
        <w:t xml:space="preserve">(vapour and particulates) </w:t>
      </w:r>
      <w:r w:rsidRPr="00E413A3">
        <w:t xml:space="preserve">is recommended </w:t>
      </w:r>
      <w:r>
        <w:t>to protect for eye and nose irritation</w:t>
      </w:r>
      <w:r w:rsidRPr="00E413A3">
        <w:t xml:space="preserve"> </w:t>
      </w:r>
      <w:r>
        <w:t>in exposed workers.</w:t>
      </w:r>
    </w:p>
    <w:p w14:paraId="449184EB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1F017DE" w14:textId="44BAA14D" w:rsidR="00A5522E" w:rsidRDefault="008D59D4" w:rsidP="006639B4">
      <w:r w:rsidRPr="008D59D4">
        <w:t xml:space="preserve">Propane-1,2-diol </w:t>
      </w:r>
      <w:r w:rsidR="007653BD">
        <w:t xml:space="preserve">is used in products such </w:t>
      </w:r>
      <w:r w:rsidR="00C83CBC">
        <w:t xml:space="preserve">as </w:t>
      </w:r>
      <w:r w:rsidR="00A70404">
        <w:t xml:space="preserve">coolants, </w:t>
      </w:r>
      <w:r w:rsidR="007653BD">
        <w:t xml:space="preserve">brake fluids, solvents and as artificial mist in the </w:t>
      </w:r>
      <w:r w:rsidR="00A70404">
        <w:t>entertainment industry and those atten</w:t>
      </w:r>
      <w:r w:rsidR="007653BD">
        <w:t xml:space="preserve">ding emergency training. </w:t>
      </w:r>
    </w:p>
    <w:p w14:paraId="6F88C8D8" w14:textId="49D6718F" w:rsidR="007F6464" w:rsidRDefault="008F021B" w:rsidP="006639B4">
      <w:r>
        <w:t>The c</w:t>
      </w:r>
      <w:r w:rsidR="007653BD">
        <w:t xml:space="preserve">ritical effects </w:t>
      </w:r>
      <w:r w:rsidR="00A5522E">
        <w:t>of</w:t>
      </w:r>
      <w:r w:rsidR="007653BD">
        <w:t xml:space="preserve"> exposure are eye and nose irritation.</w:t>
      </w:r>
      <w:r>
        <w:t xml:space="preserve"> </w:t>
      </w:r>
      <w:r w:rsidR="007653BD">
        <w:t xml:space="preserve">Limited toxicological data are available. </w:t>
      </w:r>
      <w:r w:rsidR="0046213C">
        <w:t xml:space="preserve">An increase in the </w:t>
      </w:r>
      <w:r w:rsidR="007653BD">
        <w:t xml:space="preserve">incidence of eye and nasal irritation and cough </w:t>
      </w:r>
      <w:r w:rsidR="00A5522E">
        <w:t>with</w:t>
      </w:r>
      <w:r w:rsidR="007653BD">
        <w:t xml:space="preserve"> a decrease in the FEV</w:t>
      </w:r>
      <w:r w:rsidR="007653BD">
        <w:rPr>
          <w:vertAlign w:val="subscript"/>
        </w:rPr>
        <w:t>1</w:t>
      </w:r>
      <w:r w:rsidR="007653BD">
        <w:t>/FVC ratio</w:t>
      </w:r>
      <w:r w:rsidR="0046213C">
        <w:t xml:space="preserve"> reported in </w:t>
      </w:r>
      <w:r w:rsidR="00E413A3">
        <w:t>volunteers exposed at 850</w:t>
      </w:r>
      <w:r w:rsidR="00B26FB7">
        <w:t> </w:t>
      </w:r>
      <w:r w:rsidR="00E413A3">
        <w:t>mg/m</w:t>
      </w:r>
      <w:r w:rsidR="00E413A3">
        <w:rPr>
          <w:vertAlign w:val="superscript"/>
        </w:rPr>
        <w:t>3</w:t>
      </w:r>
      <w:r w:rsidR="00E413A3">
        <w:t xml:space="preserve"> for </w:t>
      </w:r>
      <w:r w:rsidR="00B26FB7">
        <w:t>one</w:t>
      </w:r>
      <w:r w:rsidR="00E413A3">
        <w:t xml:space="preserve"> minute. </w:t>
      </w:r>
      <w:r w:rsidR="00063856">
        <w:t>N</w:t>
      </w:r>
      <w:r w:rsidR="00E413A3">
        <w:t>o increase in the incidence of eye and respiratory tract irritation</w:t>
      </w:r>
      <w:r w:rsidR="00063856">
        <w:t xml:space="preserve"> is reported</w:t>
      </w:r>
      <w:r w:rsidR="00E413A3">
        <w:t xml:space="preserve"> in exposed performers when used in theatrical productions as an artificial mist </w:t>
      </w:r>
      <w:r w:rsidR="00A5522E">
        <w:t>(n</w:t>
      </w:r>
      <w:r w:rsidR="00E413A3">
        <w:t>o further details provided</w:t>
      </w:r>
      <w:r w:rsidR="00A5522E">
        <w:t xml:space="preserve">; </w:t>
      </w:r>
      <w:r w:rsidR="00E413A3">
        <w:t xml:space="preserve">OARS, 2004). A NOAEC of </w:t>
      </w:r>
      <w:r w:rsidR="00A5522E">
        <w:t>160 </w:t>
      </w:r>
      <w:r w:rsidR="00E413A3">
        <w:t>mg/m</w:t>
      </w:r>
      <w:r w:rsidR="00E413A3">
        <w:rPr>
          <w:vertAlign w:val="superscript"/>
        </w:rPr>
        <w:t>3</w:t>
      </w:r>
      <w:r w:rsidR="00E413A3" w:rsidRPr="00E413A3">
        <w:t xml:space="preserve"> </w:t>
      </w:r>
      <w:r w:rsidR="0046213C">
        <w:t xml:space="preserve">for </w:t>
      </w:r>
      <w:r w:rsidR="008D59D4" w:rsidRPr="00E413A3">
        <w:t>goblet cell changes</w:t>
      </w:r>
      <w:r w:rsidR="008D59D4">
        <w:t xml:space="preserve"> </w:t>
      </w:r>
      <w:r w:rsidR="0046213C">
        <w:t>and</w:t>
      </w:r>
      <w:r w:rsidR="0046213C" w:rsidRPr="00E413A3">
        <w:t xml:space="preserve"> </w:t>
      </w:r>
      <w:r w:rsidR="008D59D4">
        <w:t xml:space="preserve">eye irritation </w:t>
      </w:r>
      <w:r w:rsidR="00E413A3">
        <w:t>reported in a 90</w:t>
      </w:r>
      <w:r w:rsidR="008D59D4">
        <w:t>-</w:t>
      </w:r>
      <w:r w:rsidR="00E413A3">
        <w:t>day inhalation study in rats (</w:t>
      </w:r>
      <w:r w:rsidR="00501986">
        <w:t xml:space="preserve">HCOTN, 2007; </w:t>
      </w:r>
      <w:r w:rsidR="00E413A3">
        <w:t xml:space="preserve">OARS, 2004). </w:t>
      </w:r>
      <w:r w:rsidR="00E413A3" w:rsidRPr="00E413A3">
        <w:t xml:space="preserve">No ocular or nasal discharge </w:t>
      </w:r>
      <w:r w:rsidR="00A5522E">
        <w:t xml:space="preserve">reported </w:t>
      </w:r>
      <w:r w:rsidR="00E413A3" w:rsidRPr="00E413A3">
        <w:t xml:space="preserve">in rats or monkeys at </w:t>
      </w:r>
      <w:r w:rsidR="00A5522E">
        <w:t xml:space="preserve">concentrations </w:t>
      </w:r>
      <w:r w:rsidR="00E413A3">
        <w:t>greater than 330</w:t>
      </w:r>
      <w:r w:rsidR="00E413A3" w:rsidRPr="00E413A3">
        <w:t xml:space="preserve"> mg/m</w:t>
      </w:r>
      <w:r w:rsidR="00E413A3" w:rsidRPr="00E413A3">
        <w:rPr>
          <w:vertAlign w:val="superscript"/>
        </w:rPr>
        <w:t>3</w:t>
      </w:r>
      <w:r w:rsidR="00E413A3" w:rsidRPr="00E413A3">
        <w:t xml:space="preserve"> for 12</w:t>
      </w:r>
      <w:r w:rsidR="00A5522E">
        <w:t xml:space="preserve"> to </w:t>
      </w:r>
      <w:r w:rsidR="00E413A3" w:rsidRPr="00E413A3">
        <w:t>18 mo</w:t>
      </w:r>
      <w:r w:rsidR="00E413A3">
        <w:t>nths (OARS, 2004).</w:t>
      </w:r>
      <w:r w:rsidR="00B320EC">
        <w:t xml:space="preserve"> </w:t>
      </w:r>
      <w:r w:rsidR="00163141">
        <w:t>It may exist as a vapour and as aerosol particles i</w:t>
      </w:r>
      <w:r w:rsidR="00CE39FB">
        <w:t>n ambient air at room temperature and atmospheric pressure</w:t>
      </w:r>
      <w:r w:rsidR="00063856">
        <w:t>.</w:t>
      </w:r>
      <w:r w:rsidR="00CE39FB">
        <w:t xml:space="preserve"> </w:t>
      </w:r>
      <w:r w:rsidR="00063856">
        <w:t>H</w:t>
      </w:r>
      <w:r w:rsidR="00CE39FB">
        <w:t xml:space="preserve">owever, </w:t>
      </w:r>
      <w:r w:rsidR="00163141">
        <w:t xml:space="preserve">vapour concentrations are expected to be low </w:t>
      </w:r>
      <w:r w:rsidR="00CE39FB">
        <w:t xml:space="preserve">due to the low vapour pressure. </w:t>
      </w:r>
      <w:r w:rsidR="007B1B11">
        <w:t>Human data indicate</w:t>
      </w:r>
      <w:r w:rsidR="007F6464">
        <w:t xml:space="preserve"> </w:t>
      </w:r>
      <w:r w:rsidR="007B1B11">
        <w:t xml:space="preserve">that </w:t>
      </w:r>
      <w:r w:rsidR="00EF21A6">
        <w:t xml:space="preserve">acute exposure </w:t>
      </w:r>
      <w:r w:rsidR="007B1B11">
        <w:t xml:space="preserve">may </w:t>
      </w:r>
      <w:r w:rsidR="00EF21A6">
        <w:t>result in</w:t>
      </w:r>
      <w:r w:rsidR="007B1B11">
        <w:t xml:space="preserve"> minimal irritant and respiratory effects in some individuals. The key evidence for the recommendation </w:t>
      </w:r>
      <w:r w:rsidR="00CE39FB">
        <w:t>of a T</w:t>
      </w:r>
      <w:r w:rsidR="007B1B11">
        <w:t>WA is the eye irritation threshold in animals of 160 mg/m</w:t>
      </w:r>
      <w:r w:rsidR="007B1B11">
        <w:rPr>
          <w:vertAlign w:val="superscript"/>
        </w:rPr>
        <w:t>3</w:t>
      </w:r>
      <w:r w:rsidR="00EF21A6">
        <w:t xml:space="preserve"> (HCOTN, 2007)</w:t>
      </w:r>
      <w:r w:rsidR="007B1B11">
        <w:t>.</w:t>
      </w:r>
    </w:p>
    <w:p w14:paraId="64E52F6C" w14:textId="2758CED4" w:rsidR="007653BD" w:rsidRPr="00E413A3" w:rsidRDefault="007B1B11" w:rsidP="006639B4">
      <w:r>
        <w:t xml:space="preserve"> Based on this</w:t>
      </w:r>
      <w:r w:rsidR="00063856">
        <w:t>,</w:t>
      </w:r>
      <w:r>
        <w:t xml:space="preserve"> a</w:t>
      </w:r>
      <w:r w:rsidR="00E413A3" w:rsidRPr="00E413A3">
        <w:t xml:space="preserve"> TWA of </w:t>
      </w:r>
      <w:r w:rsidR="0080024F">
        <w:t>5</w:t>
      </w:r>
      <w:r w:rsidR="00E413A3">
        <w:t>0</w:t>
      </w:r>
      <w:r w:rsidR="00E413A3" w:rsidRPr="00E413A3">
        <w:t xml:space="preserve"> mg/m</w:t>
      </w:r>
      <w:r w:rsidR="00E413A3" w:rsidRPr="00E413A3">
        <w:rPr>
          <w:vertAlign w:val="superscript"/>
        </w:rPr>
        <w:t>3</w:t>
      </w:r>
      <w:r w:rsidR="00E413A3" w:rsidRPr="00E413A3">
        <w:t xml:space="preserve"> </w:t>
      </w:r>
      <w:r w:rsidR="00CE39FB">
        <w:t xml:space="preserve">(vapour and particulates) </w:t>
      </w:r>
      <w:r w:rsidR="00E413A3" w:rsidRPr="00E413A3">
        <w:t xml:space="preserve">is recommended as </w:t>
      </w:r>
      <w:r w:rsidR="00CE39FB">
        <w:t>derived</w:t>
      </w:r>
      <w:r w:rsidR="00CE39FB" w:rsidRPr="00E413A3">
        <w:t xml:space="preserve"> </w:t>
      </w:r>
      <w:r w:rsidR="00E413A3" w:rsidRPr="00E413A3">
        <w:t xml:space="preserve">by </w:t>
      </w:r>
      <w:r w:rsidR="00CE39FB">
        <w:t>HC</w:t>
      </w:r>
      <w:r w:rsidR="00163141">
        <w:t>O</w:t>
      </w:r>
      <w:r w:rsidR="00CE39FB">
        <w:t xml:space="preserve">TN </w:t>
      </w:r>
      <w:r w:rsidR="00E413A3">
        <w:t>(200</w:t>
      </w:r>
      <w:r w:rsidR="00CE39FB">
        <w:t>7</w:t>
      </w:r>
      <w:r w:rsidR="00E413A3" w:rsidRPr="00E413A3">
        <w:t>)</w:t>
      </w:r>
      <w:r w:rsidR="007F6464">
        <w:t>.</w:t>
      </w:r>
      <w:r w:rsidR="00E413A3" w:rsidRPr="00E413A3">
        <w:t xml:space="preserve"> This TWA is expected to be protective of </w:t>
      </w:r>
      <w:r w:rsidR="00E413A3">
        <w:t>eye and nose irritation</w:t>
      </w:r>
      <w:r w:rsidR="00E413A3" w:rsidRPr="00E413A3">
        <w:t xml:space="preserve"> </w:t>
      </w:r>
      <w:r w:rsidR="007F6464">
        <w:t xml:space="preserve">in </w:t>
      </w:r>
      <w:r w:rsidR="00163141">
        <w:t xml:space="preserve">exposed </w:t>
      </w:r>
      <w:r w:rsidR="007F6464">
        <w:t>workers</w:t>
      </w:r>
      <w:r w:rsidR="00E413A3" w:rsidRPr="00E413A3">
        <w:t>.</w:t>
      </w:r>
    </w:p>
    <w:p w14:paraId="5DAC06F6" w14:textId="77777777" w:rsidR="004529F0" w:rsidRPr="004C23F4" w:rsidRDefault="004529F0" w:rsidP="00B26FB7">
      <w:pPr>
        <w:pStyle w:val="Heading2"/>
      </w:pPr>
      <w:r>
        <w:lastRenderedPageBreak/>
        <w:t>Recommendation for notations</w:t>
      </w:r>
    </w:p>
    <w:p w14:paraId="703373E5" w14:textId="32CA8A5C" w:rsidR="00975729" w:rsidRPr="00E413A3" w:rsidRDefault="00975729" w:rsidP="006514A9">
      <w:pPr>
        <w:keepNext/>
        <w:rPr>
          <w:rFonts w:cs="Arial"/>
        </w:rPr>
      </w:pPr>
      <w:r w:rsidRPr="00E413A3">
        <w:rPr>
          <w:rFonts w:cs="Arial"/>
        </w:rPr>
        <w:t>Not classified as a carcinogen according to the Globally Harmonized System of Classification and Labelling o</w:t>
      </w:r>
      <w:r w:rsidR="00B26FB7">
        <w:rPr>
          <w:rFonts w:cs="Arial"/>
        </w:rPr>
        <w:t>f</w:t>
      </w:r>
      <w:r w:rsidRPr="00E413A3">
        <w:rPr>
          <w:rFonts w:cs="Arial"/>
        </w:rPr>
        <w:t xml:space="preserve"> Chemicals (GHS). </w:t>
      </w:r>
    </w:p>
    <w:p w14:paraId="00F20B10" w14:textId="3FBE4EE6" w:rsidR="00975729" w:rsidRPr="00E413A3" w:rsidRDefault="00975729" w:rsidP="006514A9">
      <w:pPr>
        <w:keepNext/>
        <w:rPr>
          <w:rFonts w:cs="Arial"/>
        </w:rPr>
      </w:pPr>
      <w:r w:rsidRPr="00E413A3">
        <w:rPr>
          <w:rFonts w:cs="Arial"/>
        </w:rPr>
        <w:t>Not classified as a skin</w:t>
      </w:r>
      <w:r w:rsidR="00B26FB7" w:rsidRPr="00B26FB7">
        <w:rPr>
          <w:rFonts w:cs="Arial"/>
        </w:rPr>
        <w:t xml:space="preserve"> </w:t>
      </w:r>
      <w:r w:rsidR="00B26FB7" w:rsidRPr="00E413A3">
        <w:rPr>
          <w:rFonts w:cs="Arial"/>
        </w:rPr>
        <w:t>sensitiser</w:t>
      </w:r>
      <w:r w:rsidRPr="00E413A3">
        <w:rPr>
          <w:rFonts w:cs="Arial"/>
        </w:rPr>
        <w:t xml:space="preserve"> or respiratory sensitiser according to the GHS.</w:t>
      </w:r>
    </w:p>
    <w:p w14:paraId="609F0375" w14:textId="436BF4B7" w:rsidR="00975729" w:rsidRPr="004C23F4" w:rsidRDefault="006514A9" w:rsidP="006514A9">
      <w:pPr>
        <w:keepNext/>
        <w:rPr>
          <w:rFonts w:cs="Arial"/>
        </w:rPr>
      </w:pPr>
      <w:r>
        <w:rPr>
          <w:rFonts w:cs="Arial"/>
        </w:rPr>
        <w:t>There are i</w:t>
      </w:r>
      <w:r w:rsidR="00975729" w:rsidRPr="00E413A3">
        <w:rPr>
          <w:rFonts w:cs="Arial"/>
        </w:rPr>
        <w:t xml:space="preserve">nsufficient </w:t>
      </w:r>
      <w:r>
        <w:rPr>
          <w:rFonts w:cs="Arial"/>
        </w:rPr>
        <w:t>data</w:t>
      </w:r>
      <w:r w:rsidRPr="00E413A3">
        <w:rPr>
          <w:rFonts w:cs="Arial"/>
        </w:rPr>
        <w:t xml:space="preserve"> </w:t>
      </w:r>
      <w:r w:rsidR="00975729" w:rsidRPr="00E413A3">
        <w:rPr>
          <w:rFonts w:cs="Arial"/>
        </w:rPr>
        <w:t>to recommend a skin notation.</w:t>
      </w:r>
    </w:p>
    <w:p w14:paraId="66C3D1C8" w14:textId="77777777" w:rsidR="0025734A" w:rsidRPr="004C23F4" w:rsidRDefault="0025734A">
      <w:pPr>
        <w:rPr>
          <w:rFonts w:cs="Arial"/>
        </w:rPr>
      </w:pPr>
    </w:p>
    <w:p w14:paraId="2FAEB7BC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CCB7F9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5E9901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1A08506" w14:textId="77777777" w:rsidTr="00DD3FA4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C4A18A6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1019951" w14:textId="77777777" w:rsidTr="00DD3FA4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61C2699" w14:textId="4CBA61C9" w:rsidR="00DE26E8" w:rsidRPr="003365A5" w:rsidRDefault="00DE26E8" w:rsidP="00A85EC9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8" w:hanging="2858"/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7572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75729" w:rsidRPr="000A7E06">
                  <w:rPr>
                    <w:rFonts w:cs="Arial"/>
                    <w:szCs w:val="20"/>
                  </w:rPr>
                  <w:t>TWA: 150 ppm (474 mg/m</w:t>
                </w:r>
                <w:r w:rsidR="00975729" w:rsidRPr="000A7E06">
                  <w:rPr>
                    <w:rFonts w:cs="Arial"/>
                    <w:szCs w:val="20"/>
                    <w:vertAlign w:val="superscript"/>
                  </w:rPr>
                  <w:t>3</w:t>
                </w:r>
                <w:r w:rsidR="00975729" w:rsidRPr="000A7E06">
                  <w:rPr>
                    <w:rFonts w:cs="Arial"/>
                    <w:szCs w:val="20"/>
                  </w:rPr>
                  <w:t>)</w:t>
                </w:r>
                <w:r w:rsidR="00A85EC9">
                  <w:t xml:space="preserve"> </w:t>
                </w:r>
                <w:r w:rsidR="00A85EC9" w:rsidRPr="00A85EC9">
                  <w:rPr>
                    <w:rFonts w:cs="Arial"/>
                    <w:szCs w:val="20"/>
                  </w:rPr>
                  <w:t>(vapour &amp; particulates)</w:t>
                </w:r>
                <w:r w:rsidR="00A85EC9">
                  <w:rPr>
                    <w:rFonts w:cs="Arial"/>
                    <w:szCs w:val="20"/>
                  </w:rPr>
                  <w:t xml:space="preserve">;          </w:t>
                </w:r>
                <w:r w:rsidR="00A85EC9" w:rsidRPr="00A85EC9">
                  <w:rPr>
                    <w:rFonts w:cs="Arial"/>
                    <w:szCs w:val="20"/>
                  </w:rPr>
                  <w:t>TWA: 10 mg/m</w:t>
                </w:r>
                <w:r w:rsidR="00A85EC9" w:rsidRPr="00A85EC9">
                  <w:rPr>
                    <w:rFonts w:cs="Arial"/>
                    <w:szCs w:val="20"/>
                    <w:vertAlign w:val="superscript"/>
                  </w:rPr>
                  <w:t>3</w:t>
                </w:r>
                <w:r w:rsidR="00A85EC9" w:rsidRPr="00A85EC9">
                  <w:rPr>
                    <w:rFonts w:cs="Arial"/>
                    <w:szCs w:val="20"/>
                  </w:rPr>
                  <w:t xml:space="preserve"> (particulates only)</w:t>
                </w:r>
              </w:sdtContent>
            </w:sdt>
          </w:p>
        </w:tc>
      </w:tr>
      <w:tr w:rsidR="00C978F0" w:rsidRPr="00DA352E" w14:paraId="39451D23" w14:textId="77777777" w:rsidTr="00DD3FA4">
        <w:trPr>
          <w:gridAfter w:val="1"/>
          <w:wAfter w:w="8" w:type="pct"/>
          <w:cantSplit/>
        </w:trPr>
        <w:tc>
          <w:tcPr>
            <w:tcW w:w="4992" w:type="pct"/>
          </w:tcPr>
          <w:p w14:paraId="192F7CF4" w14:textId="77777777" w:rsidR="00AE1A6B" w:rsidRDefault="00AE1A6B" w:rsidP="00C34932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  <w:rPr>
                <w:rFonts w:cs="Arial"/>
                <w:szCs w:val="20"/>
                <w:shd w:val="clear" w:color="auto" w:fill="FFFFFF"/>
              </w:rPr>
            </w:pPr>
            <w:r w:rsidRPr="006514A9">
              <w:rPr>
                <w:szCs w:val="20"/>
              </w:rPr>
              <w:t xml:space="preserve">This exposure standard was established/revised as part of the second batch of Source A updates declared by NOHSC in April 2002. </w:t>
            </w:r>
            <w:r w:rsidRPr="00DB29C6">
              <w:rPr>
                <w:rFonts w:cs="Arial"/>
                <w:szCs w:val="20"/>
                <w:shd w:val="clear" w:color="auto" w:fill="FFFFFF"/>
              </w:rPr>
              <w:t>The NES is sourced from the HSE.</w:t>
            </w:r>
          </w:p>
          <w:p w14:paraId="65639B2E" w14:textId="31D02530" w:rsidR="00C747B6" w:rsidRPr="006514A9" w:rsidRDefault="00C747B6" w:rsidP="00C34932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  <w:rPr>
                <w:szCs w:val="20"/>
              </w:rPr>
            </w:pPr>
          </w:p>
        </w:tc>
      </w:tr>
      <w:tr w:rsidR="00C978F0" w:rsidRPr="00DA352E" w14:paraId="3E7652D7" w14:textId="77777777" w:rsidTr="00DD3FA4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B7B90FF" w14:textId="76F1B3C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7572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975729">
                  <w:t>NA</w:t>
                </w:r>
              </w:sdtContent>
            </w:sdt>
          </w:p>
        </w:tc>
      </w:tr>
      <w:tr w:rsidR="00C978F0" w:rsidRPr="00DA352E" w14:paraId="3CF71690" w14:textId="77777777" w:rsidTr="00DD3FA4">
        <w:trPr>
          <w:gridAfter w:val="1"/>
          <w:wAfter w:w="8" w:type="pct"/>
          <w:cantSplit/>
        </w:trPr>
        <w:tc>
          <w:tcPr>
            <w:tcW w:w="4992" w:type="pct"/>
          </w:tcPr>
          <w:p w14:paraId="5C54D187" w14:textId="77777777" w:rsidR="00C978F0" w:rsidRPr="00DA352E" w:rsidRDefault="00975729" w:rsidP="003365A5">
            <w:pPr>
              <w:pStyle w:val="Tabletextprimarysource"/>
            </w:pPr>
            <w:r>
              <w:t>No report</w:t>
            </w:r>
            <w:r w:rsidR="00B26FB7">
              <w:t>.</w:t>
            </w:r>
          </w:p>
        </w:tc>
      </w:tr>
      <w:tr w:rsidR="00C978F0" w:rsidRPr="00DA352E" w14:paraId="45B10B24" w14:textId="77777777" w:rsidTr="00DD3FA4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E296914" w14:textId="27DCD66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E1A6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E1A6B">
                  <w:t>NA</w:t>
                </w:r>
              </w:sdtContent>
            </w:sdt>
          </w:p>
        </w:tc>
      </w:tr>
      <w:tr w:rsidR="00C978F0" w:rsidRPr="00DA352E" w14:paraId="4A69D7EB" w14:textId="77777777" w:rsidTr="00DD3FA4">
        <w:trPr>
          <w:gridAfter w:val="1"/>
          <w:wAfter w:w="8" w:type="pct"/>
          <w:cantSplit/>
        </w:trPr>
        <w:tc>
          <w:tcPr>
            <w:tcW w:w="4992" w:type="pct"/>
          </w:tcPr>
          <w:p w14:paraId="34054D0E" w14:textId="77777777" w:rsidR="00C978F0" w:rsidRPr="00DA352E" w:rsidRDefault="00AE1A6B" w:rsidP="003365A5">
            <w:pPr>
              <w:pStyle w:val="Tabletextprimarysource"/>
            </w:pPr>
            <w:r>
              <w:t>No report</w:t>
            </w:r>
            <w:r w:rsidR="00B26FB7">
              <w:t>.</w:t>
            </w:r>
          </w:p>
        </w:tc>
      </w:tr>
      <w:tr w:rsidR="00C978F0" w:rsidRPr="00DA352E" w14:paraId="198F5227" w14:textId="77777777" w:rsidTr="00DD3FA4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98D374C" w14:textId="2098F3D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7572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975729">
                  <w:t>NA</w:t>
                </w:r>
              </w:sdtContent>
            </w:sdt>
          </w:p>
        </w:tc>
      </w:tr>
      <w:tr w:rsidR="00C978F0" w:rsidRPr="00DA352E" w14:paraId="4119A6AA" w14:textId="77777777" w:rsidTr="00DD3FA4">
        <w:trPr>
          <w:gridAfter w:val="1"/>
          <w:wAfter w:w="8" w:type="pct"/>
          <w:cantSplit/>
        </w:trPr>
        <w:tc>
          <w:tcPr>
            <w:tcW w:w="4992" w:type="pct"/>
          </w:tcPr>
          <w:p w14:paraId="2A4F5918" w14:textId="77777777" w:rsidR="00C978F0" w:rsidRPr="00DA352E" w:rsidRDefault="00975729" w:rsidP="003365A5">
            <w:pPr>
              <w:pStyle w:val="Tabletextprimarysource"/>
            </w:pPr>
            <w:r>
              <w:t>No report</w:t>
            </w:r>
            <w:r w:rsidR="00B26FB7">
              <w:t>.</w:t>
            </w:r>
          </w:p>
        </w:tc>
      </w:tr>
      <w:tr w:rsidR="00DA352E" w:rsidRPr="00DA352E" w14:paraId="0F583927" w14:textId="77777777" w:rsidTr="00DD3FA4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01BA366" w14:textId="26F9664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75729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975729">
                  <w:t>TWA: 10 mg/m</w:t>
                </w:r>
                <w:r w:rsidR="00975729" w:rsidRPr="007F040D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69397074" w14:textId="77777777" w:rsidTr="00DD3FA4">
        <w:trPr>
          <w:gridAfter w:val="1"/>
          <w:wAfter w:w="8" w:type="pct"/>
          <w:cantSplit/>
        </w:trPr>
        <w:tc>
          <w:tcPr>
            <w:tcW w:w="4992" w:type="pct"/>
          </w:tcPr>
          <w:p w14:paraId="4DF72C75" w14:textId="316C1189" w:rsidR="00DA352E" w:rsidRDefault="00B51067" w:rsidP="003365A5">
            <w:pPr>
              <w:pStyle w:val="Tabletextprimarysource"/>
            </w:pPr>
            <w:r>
              <w:t>TWA is recommended to minimise the risk of nose and eye irritation following exposure to the aerosol o</w:t>
            </w:r>
            <w:r w:rsidR="006514A9">
              <w:t>r</w:t>
            </w:r>
            <w:r>
              <w:t xml:space="preserve"> vapour.</w:t>
            </w:r>
          </w:p>
          <w:p w14:paraId="33D13B9A" w14:textId="77777777" w:rsidR="00B51067" w:rsidRDefault="00B51067" w:rsidP="003365A5">
            <w:pPr>
              <w:pStyle w:val="Tabletextprimarysource"/>
            </w:pPr>
            <w:r>
              <w:t>Summary of data:</w:t>
            </w:r>
          </w:p>
          <w:p w14:paraId="73521C7B" w14:textId="77777777" w:rsidR="00B51067" w:rsidRDefault="009140E4" w:rsidP="00DB29C6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No suitable human data to derive TWA value</w:t>
            </w:r>
          </w:p>
          <w:p w14:paraId="7573DDFF" w14:textId="55F86471" w:rsidR="009140E4" w:rsidRDefault="009140E4" w:rsidP="00DB29C6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TWA based on evidence that 160 mg/m</w:t>
            </w:r>
            <w:r>
              <w:rPr>
                <w:vertAlign w:val="superscript"/>
              </w:rPr>
              <w:t>3</w:t>
            </w:r>
            <w:r>
              <w:t xml:space="preserve"> is considered a threshold for eye irritation as seen in a study in rats, support</w:t>
            </w:r>
            <w:r w:rsidR="00063856">
              <w:t>ed</w:t>
            </w:r>
            <w:r>
              <w:t xml:space="preserve"> by observations of no ocular or nasal discharge in rats or monkeys at &gt;330</w:t>
            </w:r>
            <w:r w:rsidR="00B26FB7">
              <w:t>–</w:t>
            </w:r>
            <w:r>
              <w:t>414 mg/m</w:t>
            </w:r>
            <w:r>
              <w:rPr>
                <w:vertAlign w:val="superscript"/>
              </w:rPr>
              <w:t>3</w:t>
            </w:r>
            <w:r>
              <w:t xml:space="preserve"> for 12</w:t>
            </w:r>
            <w:r w:rsidR="00B26FB7">
              <w:t>–</w:t>
            </w:r>
            <w:r>
              <w:t>18 mo</w:t>
            </w:r>
            <w:r w:rsidR="00B26FB7">
              <w:t>.</w:t>
            </w:r>
          </w:p>
          <w:p w14:paraId="107D162C" w14:textId="77777777" w:rsidR="009140E4" w:rsidRDefault="009140E4" w:rsidP="009140E4">
            <w:pPr>
              <w:pStyle w:val="Tabletextprimarysource"/>
            </w:pPr>
            <w:r>
              <w:t>Human data:</w:t>
            </w:r>
          </w:p>
          <w:p w14:paraId="2C4E6985" w14:textId="0EE2B15D" w:rsidR="009140E4" w:rsidRDefault="009140E4" w:rsidP="00DB29C6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In 1,226 patients, 5% in Vaseline or water produced dermal irritation in 195 subjects and sensitisation in 13 subjects; no further information</w:t>
            </w:r>
          </w:p>
          <w:p w14:paraId="3F95C3A2" w14:textId="603C1B40" w:rsidR="009140E4" w:rsidRDefault="009140E4" w:rsidP="00DB29C6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No increase in the incidence of eye and respiratory</w:t>
            </w:r>
            <w:r w:rsidR="006C05E9">
              <w:t xml:space="preserve"> tract irritation in exposed performers when used as in theatrical productions as a mist, smoke or fog; no further information</w:t>
            </w:r>
          </w:p>
          <w:p w14:paraId="7E2259C2" w14:textId="5BDBFB9C" w:rsidR="006C05E9" w:rsidRDefault="006C05E9" w:rsidP="00DB29C6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Increase in the incidence of eye and nasal irritation and cough and a decrease in the FEV</w:t>
            </w:r>
            <w:r>
              <w:rPr>
                <w:vertAlign w:val="subscript"/>
              </w:rPr>
              <w:t>1</w:t>
            </w:r>
            <w:r w:rsidR="00E413A3">
              <w:t>/FVC ratio</w:t>
            </w:r>
            <w:r>
              <w:t xml:space="preserve"> in 27 healthy volunteers exposed at 850 mg/m</w:t>
            </w:r>
            <w:r w:rsidR="00A84BEE">
              <w:rPr>
                <w:vertAlign w:val="superscript"/>
              </w:rPr>
              <w:t>3</w:t>
            </w:r>
            <w:r w:rsidR="00A84BEE">
              <w:t xml:space="preserve"> for 1 min</w:t>
            </w:r>
          </w:p>
          <w:p w14:paraId="3EC61936" w14:textId="00EAB049" w:rsidR="00A84BEE" w:rsidRDefault="00A84BEE" w:rsidP="00DB29C6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No abnormal irritant response in a repeat insult patch test in 100 volunteers; 1 subject responded with irritant hypersensitive reaction</w:t>
            </w:r>
            <w:r w:rsidR="00B26FB7">
              <w:t>.</w:t>
            </w:r>
          </w:p>
          <w:p w14:paraId="1DDE9E9E" w14:textId="77777777" w:rsidR="00A84BEE" w:rsidRDefault="00A84BEE" w:rsidP="00A84BEE">
            <w:pPr>
              <w:pStyle w:val="Tabletextprimarysource"/>
            </w:pPr>
            <w:r>
              <w:t>Animal data:</w:t>
            </w:r>
          </w:p>
          <w:p w14:paraId="1545FA73" w14:textId="69578B6D" w:rsidR="00A84BEE" w:rsidRDefault="00A84BEE" w:rsidP="00DB29C6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Undiluted minimally irritating to the rabbit eye; minimal signs of dermal irritation in 4h studies</w:t>
            </w:r>
          </w:p>
          <w:p w14:paraId="5A56D18D" w14:textId="571B1B34" w:rsidR="00A84BEE" w:rsidRDefault="00A84BEE" w:rsidP="00DB29C6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6514A9">
              <w:t xml:space="preserve">: </w:t>
            </w:r>
            <w:r>
              <w:t>21,000 mg/kg</w:t>
            </w:r>
            <w:r w:rsidR="006514A9">
              <w:t xml:space="preserve"> (</w:t>
            </w:r>
            <w:r w:rsidR="00456F75">
              <w:t>rabbit, dermal)</w:t>
            </w:r>
          </w:p>
          <w:p w14:paraId="29BB83EF" w14:textId="59F3FE34" w:rsidR="00A84BEE" w:rsidRDefault="00A84BEE" w:rsidP="00DB29C6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Not sensitising to mouse ear</w:t>
            </w:r>
          </w:p>
          <w:p w14:paraId="0B12E74F" w14:textId="721C2621" w:rsidR="00C747B6" w:rsidRDefault="00A84BEE" w:rsidP="00DB29C6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Reported NOAE</w:t>
            </w:r>
            <w:r w:rsidR="00F84F5C">
              <w:t>C</w:t>
            </w:r>
            <w:r w:rsidR="00BD3799">
              <w:t xml:space="preserve"> of 160 mg/m</w:t>
            </w:r>
            <w:r w:rsidR="00BD3799">
              <w:rPr>
                <w:vertAlign w:val="superscript"/>
              </w:rPr>
              <w:t>3</w:t>
            </w:r>
            <w:r>
              <w:t xml:space="preserve"> for nasal irritation in the rat </w:t>
            </w:r>
            <w:r w:rsidR="00C747B6">
              <w:t>(</w:t>
            </w:r>
            <w:r>
              <w:t>6-h nose only exposure</w:t>
            </w:r>
            <w:r w:rsidR="00C747B6">
              <w:t>)</w:t>
            </w:r>
            <w:r w:rsidR="00CA52B8">
              <w:t>:</w:t>
            </w:r>
            <w:r>
              <w:t xml:space="preserve"> </w:t>
            </w:r>
          </w:p>
          <w:p w14:paraId="05C78A44" w14:textId="1367AADF" w:rsidR="00A84BEE" w:rsidRDefault="00A84BEE" w:rsidP="00C34932">
            <w:pPr>
              <w:pStyle w:val="ListBullet"/>
              <w:numPr>
                <w:ilvl w:val="0"/>
                <w:numId w:val="22"/>
              </w:numPr>
              <w:spacing w:before="60" w:after="60"/>
              <w:contextualSpacing w:val="0"/>
            </w:pPr>
            <w:r>
              <w:t>considered threshold; no further information</w:t>
            </w:r>
          </w:p>
          <w:p w14:paraId="565D3BCD" w14:textId="77777777" w:rsidR="00A84BEE" w:rsidRDefault="002425F2" w:rsidP="00DB29C6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No ocular or nasal discharge in rats or monkeys at &gt;330</w:t>
            </w:r>
            <w:r w:rsidR="00B26FB7">
              <w:t>–</w:t>
            </w:r>
            <w:r>
              <w:t>414 mg/m</w:t>
            </w:r>
            <w:r>
              <w:rPr>
                <w:vertAlign w:val="superscript"/>
              </w:rPr>
              <w:t>3</w:t>
            </w:r>
            <w:r>
              <w:t xml:space="preserve"> for 12</w:t>
            </w:r>
            <w:r w:rsidR="00B26FB7">
              <w:t>–</w:t>
            </w:r>
            <w:r>
              <w:t>18 mo; concluded little potential to cause mucosal irritation</w:t>
            </w:r>
            <w:r w:rsidR="00B26FB7">
              <w:t>.</w:t>
            </w:r>
          </w:p>
          <w:p w14:paraId="46955061" w14:textId="7C3347FA" w:rsidR="000032C2" w:rsidRPr="00DA352E" w:rsidRDefault="000032C2" w:rsidP="000032C2">
            <w:pPr>
              <w:pStyle w:val="ListBullet"/>
              <w:numPr>
                <w:ilvl w:val="0"/>
                <w:numId w:val="0"/>
              </w:numPr>
              <w:spacing w:before="60" w:after="60"/>
              <w:ind w:left="1077"/>
              <w:contextualSpacing w:val="0"/>
            </w:pPr>
          </w:p>
        </w:tc>
      </w:tr>
      <w:tr w:rsidR="00DA352E" w:rsidRPr="00DA352E" w14:paraId="0A313168" w14:textId="77777777" w:rsidTr="00DD3FA4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B9BFC76" w14:textId="6968E7A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75729">
                  <w:t>2007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975729">
                  <w:t>TWA: 50 mg/m</w:t>
                </w:r>
                <w:r w:rsidR="00975729" w:rsidRPr="007F040D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0A0ADC1D" w14:textId="77777777" w:rsidTr="00DD3FA4">
        <w:trPr>
          <w:gridAfter w:val="1"/>
          <w:wAfter w:w="8" w:type="pct"/>
          <w:cantSplit/>
        </w:trPr>
        <w:tc>
          <w:tcPr>
            <w:tcW w:w="4992" w:type="pct"/>
          </w:tcPr>
          <w:p w14:paraId="2DD3A7AE" w14:textId="77777777" w:rsidR="00DA352E" w:rsidRDefault="002425F2" w:rsidP="003365A5">
            <w:pPr>
              <w:pStyle w:val="Tabletextprimarysource"/>
            </w:pPr>
            <w:r>
              <w:t>Summary of additional data:</w:t>
            </w:r>
          </w:p>
          <w:p w14:paraId="33C5F438" w14:textId="634C5C55" w:rsidR="002425F2" w:rsidRDefault="00BD3799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No studies of chronic </w:t>
            </w:r>
            <w:r w:rsidR="000A7E06">
              <w:t xml:space="preserve">inhalation </w:t>
            </w:r>
            <w:r>
              <w:t>exposure in humans identified</w:t>
            </w:r>
          </w:p>
          <w:p w14:paraId="037F2603" w14:textId="13E6029C" w:rsidR="00CE39FB" w:rsidRDefault="00CE39FB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It may exist in air as a vapour, although it must be heated or briskly shaken to produce a vapour and as an aerosol</w:t>
            </w:r>
          </w:p>
          <w:p w14:paraId="13E6F99D" w14:textId="4D88BC52" w:rsidR="00CE39FB" w:rsidRDefault="00CE39FB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Inhalation of vapours at room temperature is minimal due to its low vapour pressure</w:t>
            </w:r>
          </w:p>
          <w:p w14:paraId="40323DA0" w14:textId="2011900B" w:rsidR="00BD3799" w:rsidRDefault="00BD3799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Acute </w:t>
            </w:r>
            <w:r w:rsidR="000A7E06">
              <w:t xml:space="preserve">inhalation </w:t>
            </w:r>
            <w:r>
              <w:t>exposure resulted in acute irritative effects on the upper respiratory tract in humans</w:t>
            </w:r>
          </w:p>
          <w:p w14:paraId="5E57282B" w14:textId="5CCFC44B" w:rsidR="00BD3799" w:rsidRDefault="00BD3799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Nasal haemorrhaging, thickening of the respiratory epithelium and increase in the number of goblet cells in both male and female rats found in nose-only inhalation study; 160, 1,000 and 2,200 mg/m</w:t>
            </w:r>
            <w:r w:rsidRPr="00BD3799">
              <w:rPr>
                <w:vertAlign w:val="superscript"/>
              </w:rPr>
              <w:t>3</w:t>
            </w:r>
            <w:r>
              <w:t xml:space="preserve"> 6 h/d, 5 d/wk for 90 d (cited by OARS/AIHA, 2004)</w:t>
            </w:r>
          </w:p>
          <w:p w14:paraId="52A6291E" w14:textId="39EFA3CB" w:rsidR="00BD3799" w:rsidRDefault="00B26FB7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N</w:t>
            </w:r>
            <w:r w:rsidR="00BD3799">
              <w:t xml:space="preserve">ose bleed effect not considered in derivation as this effect is only found in nose-only study, rats are obligatory nose breathers and no robust dose response </w:t>
            </w:r>
          </w:p>
          <w:p w14:paraId="0DCCED54" w14:textId="09BE06BD" w:rsidR="00253A6A" w:rsidRDefault="00B26FB7" w:rsidP="00C34932">
            <w:pPr>
              <w:pStyle w:val="ListBullet"/>
              <w:spacing w:before="60" w:after="60"/>
              <w:ind w:left="1080"/>
              <w:contextualSpacing w:val="0"/>
            </w:pPr>
            <w:r>
              <w:t>N</w:t>
            </w:r>
            <w:r w:rsidR="00253A6A">
              <w:t>umber of goblet cells increased at the dose level of 1,000 mg/m</w:t>
            </w:r>
            <w:r w:rsidR="00253A6A">
              <w:rPr>
                <w:vertAlign w:val="superscript"/>
              </w:rPr>
              <w:t>3</w:t>
            </w:r>
            <w:r w:rsidR="00253A6A">
              <w:t xml:space="preserve"> not at 160</w:t>
            </w:r>
            <w:r>
              <w:t> </w:t>
            </w:r>
            <w:r w:rsidR="00253A6A">
              <w:t>mg/m</w:t>
            </w:r>
            <w:r w:rsidR="00253A6A" w:rsidRPr="00253A6A">
              <w:rPr>
                <w:vertAlign w:val="superscript"/>
              </w:rPr>
              <w:t>3</w:t>
            </w:r>
          </w:p>
          <w:p w14:paraId="1EC74D71" w14:textId="5A153B8D" w:rsidR="00BD3799" w:rsidRDefault="00BD3799">
            <w:pPr>
              <w:pStyle w:val="ListBullet"/>
              <w:spacing w:before="60" w:after="60"/>
              <w:ind w:left="1077" w:hanging="357"/>
              <w:contextualSpacing w:val="0"/>
            </w:pPr>
            <w:r>
              <w:t>NOAEC of 160 mg/m</w:t>
            </w:r>
            <w:r>
              <w:rPr>
                <w:vertAlign w:val="superscript"/>
              </w:rPr>
              <w:t>3</w:t>
            </w:r>
            <w:r>
              <w:t xml:space="preserve"> for goblet cell changes as the starting point for the derivation of the </w:t>
            </w:r>
            <w:r w:rsidR="00253A6A">
              <w:t>OEL</w:t>
            </w:r>
            <w:r w:rsidR="00456667">
              <w:t xml:space="preserve">; </w:t>
            </w:r>
            <w:r w:rsidR="00456F75">
              <w:t>UF of</w:t>
            </w:r>
            <w:r w:rsidR="00456667">
              <w:t xml:space="preserve"> 3 applied</w:t>
            </w:r>
            <w:r w:rsidR="00F47C10">
              <w:t xml:space="preserve"> for intraspecies and interspecies variation and the difference between the experimental conditions and the exposure pattern of the worker</w:t>
            </w:r>
          </w:p>
          <w:p w14:paraId="14EB784C" w14:textId="5D53D993" w:rsidR="00BD3799" w:rsidRDefault="00F47C10">
            <w:pPr>
              <w:pStyle w:val="ListBullet"/>
              <w:spacing w:before="60" w:after="60"/>
              <w:ind w:left="1077" w:hanging="357"/>
              <w:contextualSpacing w:val="0"/>
            </w:pPr>
            <w:r>
              <w:t xml:space="preserve">Concludes exposure to an aerosol can have effects comparable to exposure to inhalable and respirable dust; OEL to be applied </w:t>
            </w:r>
            <w:r w:rsidR="0080024F">
              <w:t>to the sum of the concentrations existing as a vapour and as an aerosol</w:t>
            </w:r>
            <w:r w:rsidR="000032C2">
              <w:t>.</w:t>
            </w:r>
          </w:p>
          <w:p w14:paraId="1C4123E5" w14:textId="7299E4CD" w:rsidR="00C747B6" w:rsidRPr="00DA352E" w:rsidRDefault="00C747B6" w:rsidP="00C34932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5DAB08CB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3"/>
        <w:gridCol w:w="661"/>
        <w:gridCol w:w="6450"/>
      </w:tblGrid>
      <w:tr w:rsidR="004966BF" w:rsidRPr="00263255" w14:paraId="514A4ED3" w14:textId="77777777" w:rsidTr="00DD3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057D3FCC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310525BD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2D859914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9" w:type="dxa"/>
            <w:shd w:val="clear" w:color="auto" w:fill="BFBFBF" w:themeFill="background1" w:themeFillShade="BF"/>
            <w:vAlign w:val="center"/>
          </w:tcPr>
          <w:p w14:paraId="794E70CD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2284D0D" w14:textId="77777777" w:rsidTr="00DD3FA4">
        <w:trPr>
          <w:cantSplit/>
        </w:trPr>
        <w:tc>
          <w:tcPr>
            <w:tcW w:w="1494" w:type="dxa"/>
          </w:tcPr>
          <w:p w14:paraId="2ABED34A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423" w:type="dxa"/>
          </w:tcPr>
          <w:p w14:paraId="75BC812A" w14:textId="1F8B7A93" w:rsidR="004966BF" w:rsidRPr="00CE617F" w:rsidRDefault="007C71F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47C10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5BB42CCE" w14:textId="5D838CBD" w:rsidR="004966BF" w:rsidRPr="004C23F4" w:rsidRDefault="00DB29C6" w:rsidP="00717D45">
            <w:pPr>
              <w:pStyle w:val="Tablefont"/>
            </w:pPr>
            <w:r>
              <w:t>2002</w:t>
            </w:r>
          </w:p>
        </w:tc>
        <w:tc>
          <w:tcPr>
            <w:tcW w:w="6459" w:type="dxa"/>
          </w:tcPr>
          <w:p w14:paraId="5CE9F47A" w14:textId="77777777" w:rsidR="004966BF" w:rsidRDefault="00F47C10" w:rsidP="00DB29C6">
            <w:pPr>
              <w:pStyle w:val="ListBullet"/>
              <w:spacing w:before="60" w:after="60"/>
              <w:ind w:left="732" w:hanging="357"/>
              <w:contextualSpacing w:val="0"/>
            </w:pPr>
            <w:r>
              <w:t>Recommends TWA: 150 ppm (474 mg/m</w:t>
            </w:r>
            <w:r w:rsidRPr="00DB29C6">
              <w:rPr>
                <w:vertAlign w:val="superscript"/>
              </w:rPr>
              <w:t>3</w:t>
            </w:r>
            <w:r>
              <w:t>) (vapour &amp; particulates) and TWA: 10 mg/m</w:t>
            </w:r>
            <w:r w:rsidRPr="00F47C10">
              <w:rPr>
                <w:vertAlign w:val="superscript"/>
              </w:rPr>
              <w:t>3</w:t>
            </w:r>
            <w:r>
              <w:t xml:space="preserve"> (particulates only)</w:t>
            </w:r>
          </w:p>
          <w:p w14:paraId="01A58ED9" w14:textId="77777777" w:rsidR="00F47C10" w:rsidRDefault="00F47C10" w:rsidP="00DB29C6">
            <w:pPr>
              <w:pStyle w:val="ListBullet"/>
              <w:spacing w:before="60" w:after="60"/>
              <w:ind w:left="732" w:hanging="357"/>
              <w:contextualSpacing w:val="0"/>
            </w:pPr>
            <w:r>
              <w:t>Based on NOEC of 320 ppm for nasal and eye irritation; no further information</w:t>
            </w:r>
          </w:p>
          <w:p w14:paraId="2A27C11D" w14:textId="23C5C561" w:rsidR="00F47C10" w:rsidRPr="004C23F4" w:rsidRDefault="00F47C10" w:rsidP="00DB29C6">
            <w:pPr>
              <w:pStyle w:val="ListBullet"/>
              <w:spacing w:before="60" w:after="60"/>
              <w:ind w:left="732" w:hanging="357"/>
              <w:contextualSpacing w:val="0"/>
            </w:pPr>
            <w:r>
              <w:t>Vapour limit set below the saturated vapour concentration (170 ppm at 25 degrees)</w:t>
            </w:r>
            <w:r w:rsidR="00B26FB7">
              <w:t>.</w:t>
            </w:r>
            <w:r>
              <w:t xml:space="preserve"> </w:t>
            </w:r>
          </w:p>
        </w:tc>
      </w:tr>
    </w:tbl>
    <w:bookmarkEnd w:id="0"/>
    <w:p w14:paraId="50ECB019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98BB0F6" w14:textId="77777777" w:rsidTr="00F47C10">
        <w:trPr>
          <w:trHeight w:val="454"/>
          <w:tblHeader/>
        </w:trPr>
        <w:tc>
          <w:tcPr>
            <w:tcW w:w="6603" w:type="dxa"/>
            <w:vAlign w:val="center"/>
          </w:tcPr>
          <w:p w14:paraId="232C9909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00F7B29C" w14:textId="23FA3D5E" w:rsidR="002E0D61" w:rsidRDefault="00F47C10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CD8801F" w14:textId="77777777" w:rsidTr="00F47C10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62D0E21" w14:textId="52909759" w:rsidR="008A36CF" w:rsidRPr="006901A2" w:rsidRDefault="00F47C10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983B58B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BC22548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C87ADEE" w14:textId="77777777" w:rsidTr="00DD3F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21D244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305B1ED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A215A24" w14:textId="77777777" w:rsidTr="00DD3FA4">
        <w:trPr>
          <w:cantSplit/>
        </w:trPr>
        <w:tc>
          <w:tcPr>
            <w:tcW w:w="3227" w:type="dxa"/>
          </w:tcPr>
          <w:p w14:paraId="2C2885B0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99D7F17" w14:textId="32E7E47E" w:rsidR="00687890" w:rsidRPr="00DD2F9B" w:rsidRDefault="007F040D" w:rsidP="00DD2F9B">
            <w:pPr>
              <w:pStyle w:val="Tablefont"/>
            </w:pPr>
            <w:r w:rsidRPr="007F040D">
              <w:t>—</w:t>
            </w:r>
          </w:p>
        </w:tc>
      </w:tr>
      <w:tr w:rsidR="007925F0" w:rsidRPr="004C23F4" w14:paraId="57256E99" w14:textId="77777777" w:rsidTr="00DD3FA4">
        <w:trPr>
          <w:cantSplit/>
        </w:trPr>
        <w:tc>
          <w:tcPr>
            <w:tcW w:w="3227" w:type="dxa"/>
          </w:tcPr>
          <w:p w14:paraId="0C8BE72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E3089DA" w14:textId="5F4FD0FB" w:rsidR="007925F0" w:rsidRPr="00DD2F9B" w:rsidRDefault="007F040D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54E9029E" w14:textId="77777777" w:rsidTr="00DD3FA4">
        <w:trPr>
          <w:cantSplit/>
        </w:trPr>
        <w:tc>
          <w:tcPr>
            <w:tcW w:w="3227" w:type="dxa"/>
          </w:tcPr>
          <w:p w14:paraId="5210CDE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9B80D74" w14:textId="248880EB" w:rsidR="00AF483F" w:rsidRPr="00DD2F9B" w:rsidRDefault="007F040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5402169" w14:textId="77777777" w:rsidTr="00DD3FA4">
        <w:trPr>
          <w:cantSplit/>
        </w:trPr>
        <w:tc>
          <w:tcPr>
            <w:tcW w:w="3227" w:type="dxa"/>
          </w:tcPr>
          <w:p w14:paraId="0A163B52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1EE7D0D" w14:textId="18A76D0F" w:rsidR="00687890" w:rsidRPr="00DD2F9B" w:rsidRDefault="007F040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8C680DF" w14:textId="77777777" w:rsidTr="00DD3FA4">
        <w:trPr>
          <w:cantSplit/>
        </w:trPr>
        <w:tc>
          <w:tcPr>
            <w:tcW w:w="3227" w:type="dxa"/>
          </w:tcPr>
          <w:p w14:paraId="084E69C7" w14:textId="77777777" w:rsidR="00E41A26" w:rsidRDefault="00E41A26" w:rsidP="00F4402E">
            <w:pPr>
              <w:pStyle w:val="Tablefont"/>
            </w:pPr>
            <w:r>
              <w:lastRenderedPageBreak/>
              <w:t>ECHA</w:t>
            </w:r>
          </w:p>
        </w:tc>
        <w:tc>
          <w:tcPr>
            <w:tcW w:w="6015" w:type="dxa"/>
          </w:tcPr>
          <w:p w14:paraId="433CA659" w14:textId="58E6A486" w:rsidR="00E41A26" w:rsidRPr="00DD2F9B" w:rsidRDefault="007F040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99F59C3" w14:textId="77777777" w:rsidTr="00DD3FA4">
        <w:trPr>
          <w:cantSplit/>
        </w:trPr>
        <w:tc>
          <w:tcPr>
            <w:tcW w:w="3227" w:type="dxa"/>
          </w:tcPr>
          <w:p w14:paraId="424AAB0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58EFD7C" w14:textId="08D7F6ED" w:rsidR="002E0D61" w:rsidRPr="00DD2F9B" w:rsidRDefault="007F040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980201B" w14:textId="77777777" w:rsidTr="00DD3FA4">
        <w:trPr>
          <w:cantSplit/>
        </w:trPr>
        <w:tc>
          <w:tcPr>
            <w:tcW w:w="3227" w:type="dxa"/>
          </w:tcPr>
          <w:p w14:paraId="11434DE8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E107C5F" w14:textId="1677581F" w:rsidR="002E0D61" w:rsidRPr="00DD2F9B" w:rsidRDefault="007F040D" w:rsidP="00DD2F9B">
            <w:pPr>
              <w:pStyle w:val="Tablefont"/>
            </w:pPr>
            <w:r w:rsidRPr="007F040D">
              <w:t>—</w:t>
            </w:r>
          </w:p>
        </w:tc>
      </w:tr>
      <w:tr w:rsidR="002E0D61" w:rsidRPr="004C23F4" w14:paraId="35C0D147" w14:textId="77777777" w:rsidTr="00DD3FA4">
        <w:trPr>
          <w:cantSplit/>
        </w:trPr>
        <w:tc>
          <w:tcPr>
            <w:tcW w:w="3227" w:type="dxa"/>
          </w:tcPr>
          <w:p w14:paraId="035C6C4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BB18ED2" w14:textId="10FC6053" w:rsidR="002E0D61" w:rsidRPr="00DD2F9B" w:rsidRDefault="007F040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992FE68" w14:textId="77777777" w:rsidTr="00DD3FA4">
        <w:trPr>
          <w:cantSplit/>
        </w:trPr>
        <w:tc>
          <w:tcPr>
            <w:tcW w:w="3227" w:type="dxa"/>
          </w:tcPr>
          <w:p w14:paraId="4129531B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9660321" w14:textId="7F27CB12" w:rsidR="002E0D61" w:rsidRPr="00DD2F9B" w:rsidRDefault="007F040D" w:rsidP="00DD2F9B">
            <w:pPr>
              <w:pStyle w:val="Tablefont"/>
            </w:pPr>
            <w:r w:rsidRPr="007F040D">
              <w:t>—</w:t>
            </w:r>
          </w:p>
        </w:tc>
      </w:tr>
      <w:tr w:rsidR="00386093" w:rsidRPr="004C23F4" w14:paraId="69B0945B" w14:textId="77777777" w:rsidTr="00DD3FA4">
        <w:trPr>
          <w:cantSplit/>
        </w:trPr>
        <w:tc>
          <w:tcPr>
            <w:tcW w:w="3227" w:type="dxa"/>
          </w:tcPr>
          <w:p w14:paraId="6736811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1036118" w14:textId="0030E98F" w:rsidR="00386093" w:rsidRPr="00DD2F9B" w:rsidRDefault="007F040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96FA7CA" w14:textId="77777777" w:rsidTr="00DD3FA4">
        <w:trPr>
          <w:cantSplit/>
        </w:trPr>
        <w:tc>
          <w:tcPr>
            <w:tcW w:w="3227" w:type="dxa"/>
          </w:tcPr>
          <w:p w14:paraId="36386191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C03D0D8" w14:textId="1A8D5C1A" w:rsidR="00386093" w:rsidRPr="00DD2F9B" w:rsidRDefault="007F040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B84C88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00CA15A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AE1823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F96E525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2E7D8B5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84CBC7D" w14:textId="59E5A46A" w:rsidR="00932DCE" w:rsidRPr="004C23F4" w:rsidRDefault="00F47C10" w:rsidP="00F9496B">
            <w:pPr>
              <w:pStyle w:val="Tablefont"/>
            </w:pPr>
            <w:r>
              <w:t xml:space="preserve">Insufficient data to </w:t>
            </w:r>
            <w:r w:rsidR="00B26FB7">
              <w:t xml:space="preserve">assign </w:t>
            </w:r>
            <w:r>
              <w:t>a skin notation</w:t>
            </w:r>
            <w:r w:rsidR="00C747B6">
              <w:t>.</w:t>
            </w:r>
          </w:p>
        </w:tc>
      </w:tr>
    </w:tbl>
    <w:bookmarkEnd w:id="3"/>
    <w:p w14:paraId="537174A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FA40BE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2958097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C72EABB" w14:textId="7A2BBA67" w:rsidR="00EB3D1B" w:rsidRDefault="007F040D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368B1FF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11B68E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28155C2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6C3D050" w14:textId="73AAE6BD" w:rsidR="001B79E5" w:rsidRDefault="007F040D" w:rsidP="001B79E5">
                <w:pPr>
                  <w:pStyle w:val="Tablefont"/>
                </w:pPr>
                <w:r w:rsidRPr="007F040D">
                  <w:t>76.09</w:t>
                </w:r>
              </w:p>
            </w:tc>
          </w:sdtContent>
        </w:sdt>
      </w:tr>
      <w:tr w:rsidR="00A31D99" w:rsidRPr="004C23F4" w14:paraId="218C2B9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3951A18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A170E4B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04F08F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970F941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E16EB5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DF72C2D" w14:textId="77777777" w:rsidTr="00EA6243">
        <w:trPr>
          <w:cantSplit/>
        </w:trPr>
        <w:tc>
          <w:tcPr>
            <w:tcW w:w="4077" w:type="dxa"/>
            <w:vAlign w:val="center"/>
          </w:tcPr>
          <w:p w14:paraId="2318244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034A051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6C91A37" w14:textId="77777777" w:rsidTr="00EA6243">
        <w:trPr>
          <w:cantSplit/>
        </w:trPr>
        <w:tc>
          <w:tcPr>
            <w:tcW w:w="4077" w:type="dxa"/>
            <w:vAlign w:val="center"/>
          </w:tcPr>
          <w:p w14:paraId="7E6691C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FF3CB40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996A8EB" w14:textId="77777777" w:rsidTr="00EA6243">
        <w:trPr>
          <w:cantSplit/>
        </w:trPr>
        <w:tc>
          <w:tcPr>
            <w:tcW w:w="4077" w:type="dxa"/>
            <w:vAlign w:val="center"/>
          </w:tcPr>
          <w:p w14:paraId="6BFF59CA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E2481DC" w14:textId="77777777" w:rsidR="00E06F40" w:rsidRPr="00A006A0" w:rsidRDefault="007C71F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3DB0A9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187D21E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532778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C1F8D9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0F4007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29490D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884FD3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BC310B4" w14:textId="77777777" w:rsidR="00F87D92" w:rsidRDefault="00F87D92" w:rsidP="00C34932">
      <w:pPr>
        <w:pStyle w:val="Heading2"/>
        <w:keepNext w:val="0"/>
        <w:tabs>
          <w:tab w:val="right" w:pos="8505"/>
        </w:tabs>
      </w:pPr>
      <w:r>
        <w:t>References</w:t>
      </w:r>
      <w:r w:rsidR="00EF7F78">
        <w:tab/>
      </w:r>
    </w:p>
    <w:p w14:paraId="25648EB4" w14:textId="7054AA61" w:rsidR="007F1005" w:rsidRDefault="006650FE" w:rsidP="00C34932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B194FA2" w14:textId="4B1AE047" w:rsidR="007F040D" w:rsidRDefault="007F040D" w:rsidP="00C34932">
      <w:r w:rsidRPr="002022B6">
        <w:t>Deutsche Forschungsgemeinschaft (DFG)</w:t>
      </w:r>
      <w:r>
        <w:t xml:space="preserve"> (1998) Propylene glycol – MAK value documentation.</w:t>
      </w:r>
    </w:p>
    <w:p w14:paraId="0A0BF6A6" w14:textId="3AB06CD6" w:rsidR="007F040D" w:rsidRDefault="007F040D" w:rsidP="00C34932">
      <w:r w:rsidRPr="002022B6">
        <w:lastRenderedPageBreak/>
        <w:t>Health Council of the Netherlands</w:t>
      </w:r>
      <w:r>
        <w:t xml:space="preserve"> (HCOTN) (</w:t>
      </w:r>
      <w:r w:rsidRPr="007F040D">
        <w:t>2007</w:t>
      </w:r>
      <w:r>
        <w:t xml:space="preserve">) </w:t>
      </w:r>
      <w:r w:rsidRPr="007F040D">
        <w:t>Propylene glycol (1,2-Propanediol)</w:t>
      </w:r>
      <w:r w:rsidRPr="005F7416">
        <w:t xml:space="preserve">. Health-based calculated occupational cancer risk values. The Hague: Health Council of the Netherlands; publication no. </w:t>
      </w:r>
      <w:r w:rsidRPr="007F040D">
        <w:t>2007/02OSH</w:t>
      </w:r>
      <w:r>
        <w:t>.</w:t>
      </w:r>
    </w:p>
    <w:p w14:paraId="69830DF5" w14:textId="5D361AD7" w:rsidR="007F040D" w:rsidRDefault="007F040D" w:rsidP="00C34932">
      <w:r w:rsidRPr="00DA129F">
        <w:t>Occupational Alliance for Risk Science</w:t>
      </w:r>
      <w:r>
        <w:t xml:space="preserve"> (OARS) (</w:t>
      </w:r>
      <w:r w:rsidRPr="007F040D">
        <w:t>2004</w:t>
      </w:r>
      <w:r>
        <w:t xml:space="preserve">) Workplace environmental exposure level – </w:t>
      </w:r>
      <w:r w:rsidRPr="007F040D">
        <w:t>Propylene Glycol</w:t>
      </w:r>
      <w:r>
        <w:t>.</w:t>
      </w:r>
    </w:p>
    <w:p w14:paraId="7FB0A296" w14:textId="6990FECB" w:rsidR="00DB29C6" w:rsidRPr="00351FE0" w:rsidRDefault="00DB29C6" w:rsidP="00C34932">
      <w:r w:rsidRPr="00D86E03">
        <w:t>UK Health and Safety Executive</w:t>
      </w:r>
      <w:r>
        <w:t xml:space="preserve"> (HSE) (2002) propylene glycol</w:t>
      </w:r>
      <w:r w:rsidRPr="00262278">
        <w:rPr>
          <w:color w:val="00B050"/>
        </w:rPr>
        <w:t xml:space="preserve"> </w:t>
      </w:r>
      <w:r>
        <w:t>– EH64: Summary criteria for occupational exposure limits.</w:t>
      </w:r>
    </w:p>
    <w:sectPr w:rsidR="00DB29C6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FB0B7" w14:textId="77777777" w:rsidR="008F3D99" w:rsidRDefault="008F3D99" w:rsidP="00F43AD5">
      <w:pPr>
        <w:spacing w:after="0" w:line="240" w:lineRule="auto"/>
      </w:pPr>
      <w:r>
        <w:separator/>
      </w:r>
    </w:p>
  </w:endnote>
  <w:endnote w:type="continuationSeparator" w:id="0">
    <w:p w14:paraId="0D39AF02" w14:textId="77777777" w:rsidR="008F3D99" w:rsidRDefault="008F3D9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909BD0" w14:textId="77777777" w:rsidR="00D80A02" w:rsidRDefault="00D80A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A151DE0" w14:textId="5F6EB2FC" w:rsidR="008A36CF" w:rsidRDefault="00975729" w:rsidP="0034744C">
        <w:pPr>
          <w:pStyle w:val="Footer"/>
          <w:rPr>
            <w:sz w:val="18"/>
            <w:szCs w:val="18"/>
          </w:rPr>
        </w:pPr>
        <w:r w:rsidRPr="00975729">
          <w:rPr>
            <w:b/>
            <w:sz w:val="18"/>
            <w:szCs w:val="18"/>
          </w:rPr>
          <w:t>Propane-1,2-diol total: (vapour &amp; particulates)</w:t>
        </w:r>
        <w:r w:rsidR="008A36CF">
          <w:rPr>
            <w:b/>
            <w:sz w:val="18"/>
            <w:szCs w:val="18"/>
          </w:rPr>
          <w:t xml:space="preserve"> (</w:t>
        </w:r>
        <w:r w:rsidRPr="00975729">
          <w:rPr>
            <w:b/>
            <w:sz w:val="18"/>
            <w:szCs w:val="18"/>
          </w:rPr>
          <w:t>57-55-6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DB29C6">
          <w:rPr>
            <w:sz w:val="18"/>
            <w:szCs w:val="18"/>
          </w:rPr>
          <w:t>20</w:t>
        </w:r>
      </w:p>
      <w:p w14:paraId="5727DF4F" w14:textId="353CE6E5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CE39FB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ABD9BA" w14:textId="77777777" w:rsidR="00D80A02" w:rsidRDefault="00D80A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57D7D" w14:textId="77777777" w:rsidR="008F3D99" w:rsidRDefault="008F3D99" w:rsidP="00F43AD5">
      <w:pPr>
        <w:spacing w:after="0" w:line="240" w:lineRule="auto"/>
      </w:pPr>
      <w:r>
        <w:separator/>
      </w:r>
    </w:p>
  </w:footnote>
  <w:footnote w:type="continuationSeparator" w:id="0">
    <w:p w14:paraId="489C0600" w14:textId="77777777" w:rsidR="008F3D99" w:rsidRDefault="008F3D9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044FF" w14:textId="77777777" w:rsidR="00D80A02" w:rsidRDefault="00D80A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750B9" w14:textId="61CCB065" w:rsidR="00CC115A" w:rsidRDefault="00CC115A" w:rsidP="00CC115A">
    <w:pPr>
      <w:pStyle w:val="Header"/>
      <w:jc w:val="right"/>
    </w:pPr>
    <w:r>
      <w:rPr>
        <w:noProof/>
        <w:lang w:eastAsia="en-AU"/>
      </w:rPr>
      <w:drawing>
        <wp:inline distT="0" distB="0" distL="0" distR="0" wp14:anchorId="7B1396A6" wp14:editId="7305825F">
          <wp:extent cx="2943225" cy="590550"/>
          <wp:effectExtent l="0" t="0" r="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883D32B" w14:textId="428389C0" w:rsidR="008A36CF" w:rsidRPr="00CC115A" w:rsidRDefault="008A36CF" w:rsidP="00CC11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6F0A7" w14:textId="77777777" w:rsidR="00D80A02" w:rsidRDefault="00D80A0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45B19" w14:textId="03B36375" w:rsidR="00714FEB" w:rsidRDefault="00714FEB" w:rsidP="00714FEB">
    <w:pPr>
      <w:pStyle w:val="Header"/>
      <w:jc w:val="right"/>
    </w:pPr>
    <w:r>
      <w:rPr>
        <w:noProof/>
        <w:lang w:eastAsia="en-AU"/>
      </w:rPr>
      <w:drawing>
        <wp:inline distT="0" distB="0" distL="0" distR="0" wp14:anchorId="3532E7D3" wp14:editId="5E057D7D">
          <wp:extent cx="2943225" cy="600075"/>
          <wp:effectExtent l="0" t="0" r="9525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5130" cy="595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702EF27" w14:textId="264A1F95" w:rsidR="008A36CF" w:rsidRDefault="008A36CF" w:rsidP="00714F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1D2431F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DC31B5"/>
    <w:multiLevelType w:val="hybridMultilevel"/>
    <w:tmpl w:val="6A52263E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83774584">
    <w:abstractNumId w:val="0"/>
  </w:num>
  <w:num w:numId="2" w16cid:durableId="1854026128">
    <w:abstractNumId w:val="0"/>
  </w:num>
  <w:num w:numId="3" w16cid:durableId="763114546">
    <w:abstractNumId w:val="0"/>
  </w:num>
  <w:num w:numId="4" w16cid:durableId="1133593122">
    <w:abstractNumId w:val="0"/>
  </w:num>
  <w:num w:numId="5" w16cid:durableId="1192376904">
    <w:abstractNumId w:val="0"/>
  </w:num>
  <w:num w:numId="6" w16cid:durableId="338242360">
    <w:abstractNumId w:val="0"/>
  </w:num>
  <w:num w:numId="7" w16cid:durableId="355886314">
    <w:abstractNumId w:val="0"/>
  </w:num>
  <w:num w:numId="8" w16cid:durableId="1236673069">
    <w:abstractNumId w:val="0"/>
  </w:num>
  <w:num w:numId="9" w16cid:durableId="1069841439">
    <w:abstractNumId w:val="0"/>
  </w:num>
  <w:num w:numId="10" w16cid:durableId="851457564">
    <w:abstractNumId w:val="0"/>
  </w:num>
  <w:num w:numId="11" w16cid:durableId="1374815304">
    <w:abstractNumId w:val="0"/>
  </w:num>
  <w:num w:numId="12" w16cid:durableId="109781614">
    <w:abstractNumId w:val="0"/>
  </w:num>
  <w:num w:numId="13" w16cid:durableId="140192474">
    <w:abstractNumId w:val="0"/>
  </w:num>
  <w:num w:numId="14" w16cid:durableId="590747582">
    <w:abstractNumId w:val="0"/>
  </w:num>
  <w:num w:numId="15" w16cid:durableId="1523282575">
    <w:abstractNumId w:val="0"/>
  </w:num>
  <w:num w:numId="16" w16cid:durableId="1892420642">
    <w:abstractNumId w:val="0"/>
  </w:num>
  <w:num w:numId="17" w16cid:durableId="509179249">
    <w:abstractNumId w:val="0"/>
  </w:num>
  <w:num w:numId="18" w16cid:durableId="425538437">
    <w:abstractNumId w:val="0"/>
  </w:num>
  <w:num w:numId="19" w16cid:durableId="713772163">
    <w:abstractNumId w:val="0"/>
  </w:num>
  <w:num w:numId="20" w16cid:durableId="2042781994">
    <w:abstractNumId w:val="0"/>
  </w:num>
  <w:num w:numId="21" w16cid:durableId="1959097924">
    <w:abstractNumId w:val="0"/>
  </w:num>
  <w:num w:numId="22" w16cid:durableId="539056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32C2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3856"/>
    <w:rsid w:val="00067F32"/>
    <w:rsid w:val="00071807"/>
    <w:rsid w:val="000803E1"/>
    <w:rsid w:val="0008436F"/>
    <w:rsid w:val="00084513"/>
    <w:rsid w:val="00084859"/>
    <w:rsid w:val="00092D94"/>
    <w:rsid w:val="000A7E06"/>
    <w:rsid w:val="000B0868"/>
    <w:rsid w:val="000B3E12"/>
    <w:rsid w:val="000B3E78"/>
    <w:rsid w:val="000B7B48"/>
    <w:rsid w:val="000C096D"/>
    <w:rsid w:val="000C139A"/>
    <w:rsid w:val="000C2053"/>
    <w:rsid w:val="000C248C"/>
    <w:rsid w:val="000C7919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A25"/>
    <w:rsid w:val="00160F47"/>
    <w:rsid w:val="00163141"/>
    <w:rsid w:val="001701CA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5321"/>
    <w:rsid w:val="00227EC7"/>
    <w:rsid w:val="002425F2"/>
    <w:rsid w:val="00244AD1"/>
    <w:rsid w:val="002463BC"/>
    <w:rsid w:val="002465CE"/>
    <w:rsid w:val="00253A6A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56667"/>
    <w:rsid w:val="00456F75"/>
    <w:rsid w:val="00460A03"/>
    <w:rsid w:val="0046213C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1986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1492"/>
    <w:rsid w:val="00564DB6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275B5"/>
    <w:rsid w:val="006363A8"/>
    <w:rsid w:val="00636DB7"/>
    <w:rsid w:val="00650905"/>
    <w:rsid w:val="006514A9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05E9"/>
    <w:rsid w:val="006D79EA"/>
    <w:rsid w:val="006E5D05"/>
    <w:rsid w:val="00701053"/>
    <w:rsid w:val="00701507"/>
    <w:rsid w:val="00714021"/>
    <w:rsid w:val="00714FEB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3B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11"/>
    <w:rsid w:val="007B1B42"/>
    <w:rsid w:val="007C30EB"/>
    <w:rsid w:val="007C71FF"/>
    <w:rsid w:val="007E063C"/>
    <w:rsid w:val="007E2A4B"/>
    <w:rsid w:val="007E307D"/>
    <w:rsid w:val="007E6A4E"/>
    <w:rsid w:val="007E6C94"/>
    <w:rsid w:val="007F040D"/>
    <w:rsid w:val="007F1005"/>
    <w:rsid w:val="007F25E0"/>
    <w:rsid w:val="007F5328"/>
    <w:rsid w:val="007F6464"/>
    <w:rsid w:val="0080024F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44C"/>
    <w:rsid w:val="008768A8"/>
    <w:rsid w:val="0088798F"/>
    <w:rsid w:val="00887E4B"/>
    <w:rsid w:val="008915C8"/>
    <w:rsid w:val="00897C9B"/>
    <w:rsid w:val="008A36CF"/>
    <w:rsid w:val="008A3BC4"/>
    <w:rsid w:val="008B403C"/>
    <w:rsid w:val="008B7983"/>
    <w:rsid w:val="008C2511"/>
    <w:rsid w:val="008D026D"/>
    <w:rsid w:val="008D23AB"/>
    <w:rsid w:val="008D4B8B"/>
    <w:rsid w:val="008D59D4"/>
    <w:rsid w:val="008D5A78"/>
    <w:rsid w:val="008E7B64"/>
    <w:rsid w:val="008F021B"/>
    <w:rsid w:val="008F3D99"/>
    <w:rsid w:val="008F5DCD"/>
    <w:rsid w:val="00900951"/>
    <w:rsid w:val="009118A6"/>
    <w:rsid w:val="009140E4"/>
    <w:rsid w:val="00916909"/>
    <w:rsid w:val="00916EC0"/>
    <w:rsid w:val="00917B52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22A8"/>
    <w:rsid w:val="00974F2D"/>
    <w:rsid w:val="00975729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505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4DC1"/>
    <w:rsid w:val="00A27E2D"/>
    <w:rsid w:val="00A31D99"/>
    <w:rsid w:val="00A357BA"/>
    <w:rsid w:val="00A35ADC"/>
    <w:rsid w:val="00A402A3"/>
    <w:rsid w:val="00A53681"/>
    <w:rsid w:val="00A5522E"/>
    <w:rsid w:val="00A633D4"/>
    <w:rsid w:val="00A6461A"/>
    <w:rsid w:val="00A70404"/>
    <w:rsid w:val="00A84504"/>
    <w:rsid w:val="00A84BEE"/>
    <w:rsid w:val="00A85EC9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1A6B"/>
    <w:rsid w:val="00AE2745"/>
    <w:rsid w:val="00AE2F64"/>
    <w:rsid w:val="00AE7068"/>
    <w:rsid w:val="00AF42CB"/>
    <w:rsid w:val="00AF483F"/>
    <w:rsid w:val="00AF5E07"/>
    <w:rsid w:val="00AF5F06"/>
    <w:rsid w:val="00B00A25"/>
    <w:rsid w:val="00B11DF3"/>
    <w:rsid w:val="00B1422A"/>
    <w:rsid w:val="00B1478A"/>
    <w:rsid w:val="00B1765C"/>
    <w:rsid w:val="00B213C4"/>
    <w:rsid w:val="00B26FB7"/>
    <w:rsid w:val="00B320EC"/>
    <w:rsid w:val="00B40C60"/>
    <w:rsid w:val="00B479A9"/>
    <w:rsid w:val="00B51067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C7F88"/>
    <w:rsid w:val="00BD3799"/>
    <w:rsid w:val="00BD499F"/>
    <w:rsid w:val="00BD56DE"/>
    <w:rsid w:val="00BF2406"/>
    <w:rsid w:val="00C06E43"/>
    <w:rsid w:val="00C16315"/>
    <w:rsid w:val="00C3091E"/>
    <w:rsid w:val="00C34932"/>
    <w:rsid w:val="00C40FF1"/>
    <w:rsid w:val="00C419E2"/>
    <w:rsid w:val="00C5020E"/>
    <w:rsid w:val="00C54C0F"/>
    <w:rsid w:val="00C57452"/>
    <w:rsid w:val="00C61EDF"/>
    <w:rsid w:val="00C6239D"/>
    <w:rsid w:val="00C6594B"/>
    <w:rsid w:val="00C67FFB"/>
    <w:rsid w:val="00C7155E"/>
    <w:rsid w:val="00C71D1E"/>
    <w:rsid w:val="00C71D7D"/>
    <w:rsid w:val="00C747B6"/>
    <w:rsid w:val="00C74833"/>
    <w:rsid w:val="00C83CBC"/>
    <w:rsid w:val="00C850A0"/>
    <w:rsid w:val="00C85A86"/>
    <w:rsid w:val="00C978F0"/>
    <w:rsid w:val="00CA52B8"/>
    <w:rsid w:val="00CA58FE"/>
    <w:rsid w:val="00CB1CB1"/>
    <w:rsid w:val="00CB6BC1"/>
    <w:rsid w:val="00CB6CB8"/>
    <w:rsid w:val="00CC115A"/>
    <w:rsid w:val="00CC1A68"/>
    <w:rsid w:val="00CC2123"/>
    <w:rsid w:val="00CD2BFD"/>
    <w:rsid w:val="00CD4AFE"/>
    <w:rsid w:val="00CE39FB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0A02"/>
    <w:rsid w:val="00D87570"/>
    <w:rsid w:val="00D91CB9"/>
    <w:rsid w:val="00D97989"/>
    <w:rsid w:val="00D97D8D"/>
    <w:rsid w:val="00DA352E"/>
    <w:rsid w:val="00DB29C6"/>
    <w:rsid w:val="00DC7694"/>
    <w:rsid w:val="00DD1BF6"/>
    <w:rsid w:val="00DD2F9B"/>
    <w:rsid w:val="00DD3FA4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3DD7"/>
    <w:rsid w:val="00E37CFD"/>
    <w:rsid w:val="00E413A3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1A6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47C10"/>
    <w:rsid w:val="00F56DD0"/>
    <w:rsid w:val="00F6491C"/>
    <w:rsid w:val="00F67BBB"/>
    <w:rsid w:val="00F84F5C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AE1A6B"/>
    <w:pPr>
      <w:numPr>
        <w:numId w:val="1"/>
      </w:numPr>
      <w:contextualSpacing/>
    </w:pPr>
  </w:style>
  <w:style w:type="paragraph" w:styleId="Revision">
    <w:name w:val="Revision"/>
    <w:hidden/>
    <w:uiPriority w:val="99"/>
    <w:semiHidden/>
    <w:rsid w:val="00456F7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917B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7B5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7B5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7B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7B5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7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88B805BCF1AC4949BEDE165F4CFE9D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C8C033-322D-4A13-8DE4-4A5B9B613A68}"/>
      </w:docPartPr>
      <w:docPartBody>
        <w:p w:rsidR="00663A83" w:rsidRDefault="00BB0B6D" w:rsidP="00BB0B6D">
          <w:pPr>
            <w:pStyle w:val="88B805BCF1AC4949BEDE165F4CFE9D93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701CA"/>
    <w:rsid w:val="004B45FB"/>
    <w:rsid w:val="00537618"/>
    <w:rsid w:val="00663A83"/>
    <w:rsid w:val="00897C9B"/>
    <w:rsid w:val="00BB0B6D"/>
    <w:rsid w:val="00D21A9F"/>
    <w:rsid w:val="00FA6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B0B6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88B805BCF1AC4949BEDE165F4CFE9D93">
    <w:name w:val="88B805BCF1AC4949BEDE165F4CFE9D93"/>
    <w:rsid w:val="00BB0B6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3E32C-3B6B-49C4-AFA6-4ACC2FBE07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9E5B20-60A3-4BF4-8344-2E92C8F4F3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936914-BB5F-404E-8E3C-61DB77BF377F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a0509f21-ed56-4150-9955-96be669e5f2d"/>
    <ds:schemaRef ds:uri="http://purl.org/dc/elements/1.1/"/>
    <ds:schemaRef ds:uri="1c567317-0c4d-4a62-8516-c22afd1b5354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A6F7260-3A7F-4810-A727-5F78C0822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1199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2020-02-17T00:20:00Z</dcterms:created>
  <dcterms:modified xsi:type="dcterms:W3CDTF">2026-01-09T00:53:00Z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2026-01-07T01:23:18Z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ed5d3b9e-6500-41ca-b4d3-5182a4510f00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