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3760AAF0" w14:textId="512B983B" w:rsidR="00BD499F" w:rsidRPr="004C23F4" w:rsidRDefault="00E669C7" w:rsidP="00E669C7">
          <w:pPr>
            <w:pStyle w:val="Heading1"/>
            <w:jc w:val="center"/>
            <w:rPr>
              <w:rFonts w:ascii="Arial" w:hAnsi="Arial" w:cs="Arial"/>
            </w:rPr>
          </w:pPr>
          <w:r w:rsidRPr="00E669C7">
            <w:rPr>
              <w:rFonts w:ascii="Arial" w:hAnsi="Arial" w:cs="Arial"/>
            </w:rPr>
            <w:t>Portland cement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0"/>
        <w:gridCol w:w="5036"/>
      </w:tblGrid>
      <w:tr w:rsidR="00F43AD5" w:rsidRPr="004C23F4" w14:paraId="766F580B" w14:textId="77777777" w:rsidTr="00B76A41">
        <w:trPr>
          <w:cantSplit/>
          <w:tblHeader/>
        </w:trPr>
        <w:tc>
          <w:tcPr>
            <w:tcW w:w="4077" w:type="dxa"/>
          </w:tcPr>
          <w:p w14:paraId="128A9CD8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6AAFD445" w14:textId="21D4B923" w:rsidR="00F43AD5" w:rsidRPr="00717D45" w:rsidRDefault="00544FA7" w:rsidP="00B76A41">
            <w:pPr>
              <w:pStyle w:val="Tablefont"/>
            </w:pPr>
            <w:r w:rsidRPr="00544FA7">
              <w:t>65997-15-1</w:t>
            </w:r>
          </w:p>
        </w:tc>
      </w:tr>
      <w:tr w:rsidR="00F43AD5" w:rsidRPr="004C23F4" w14:paraId="0DB8531A" w14:textId="77777777" w:rsidTr="00B76A41">
        <w:trPr>
          <w:cantSplit/>
        </w:trPr>
        <w:tc>
          <w:tcPr>
            <w:tcW w:w="4077" w:type="dxa"/>
          </w:tcPr>
          <w:p w14:paraId="28919D4D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754C5DD3" w14:textId="051A35F6" w:rsidR="00F43AD5" w:rsidRPr="00717D45" w:rsidRDefault="00D11D0B" w:rsidP="00B76A41">
            <w:pPr>
              <w:pStyle w:val="Tablefont"/>
            </w:pPr>
            <w:r>
              <w:t>Cement</w:t>
            </w:r>
            <w:r w:rsidR="008E779E">
              <w:t xml:space="preserve">, hydraulic cement </w:t>
            </w:r>
          </w:p>
        </w:tc>
      </w:tr>
      <w:tr w:rsidR="00F43AD5" w:rsidRPr="004C23F4" w14:paraId="546566A4" w14:textId="77777777" w:rsidTr="00B76A41">
        <w:trPr>
          <w:cantSplit/>
        </w:trPr>
        <w:tc>
          <w:tcPr>
            <w:tcW w:w="4077" w:type="dxa"/>
          </w:tcPr>
          <w:p w14:paraId="7358D233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3184F2DA" w14:textId="3414A40D" w:rsidR="00F43AD5" w:rsidRPr="00717D45" w:rsidRDefault="00544FA7" w:rsidP="00B76A41">
            <w:pPr>
              <w:pStyle w:val="Tablefont"/>
            </w:pPr>
            <w:r w:rsidRPr="00544FA7">
              <w:t>—</w:t>
            </w:r>
          </w:p>
        </w:tc>
      </w:tr>
      <w:tr w:rsidR="00F43AD5" w:rsidRPr="004C23F4" w14:paraId="39EF5811" w14:textId="77777777" w:rsidTr="00B76A41">
        <w:trPr>
          <w:cantSplit/>
        </w:trPr>
        <w:tc>
          <w:tcPr>
            <w:tcW w:w="4077" w:type="dxa"/>
          </w:tcPr>
          <w:p w14:paraId="511F8C6D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425B0C30" w14:textId="43642976" w:rsidR="00F43AD5" w:rsidRPr="00B40C60" w:rsidRDefault="00544FA7" w:rsidP="00B76A41">
            <w:pPr>
              <w:pStyle w:val="Tablerowheading"/>
              <w:rPr>
                <w:b w:val="0"/>
              </w:rPr>
            </w:pPr>
            <w:r w:rsidRPr="00544FA7">
              <w:t>—</w:t>
            </w:r>
          </w:p>
        </w:tc>
      </w:tr>
    </w:tbl>
    <w:p w14:paraId="2E125AB8" w14:textId="25A3FAAC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180F9C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1"/>
        <w:gridCol w:w="5025"/>
      </w:tblGrid>
      <w:tr w:rsidR="002C7AFE" w:rsidRPr="004C23F4" w14:paraId="322A68C2" w14:textId="77777777" w:rsidTr="00180F9C">
        <w:trPr>
          <w:cantSplit/>
          <w:tblHeader/>
        </w:trPr>
        <w:tc>
          <w:tcPr>
            <w:tcW w:w="4001" w:type="dxa"/>
            <w:vAlign w:val="center"/>
          </w:tcPr>
          <w:p w14:paraId="112F16D2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5" w:type="dxa"/>
          </w:tcPr>
          <w:p w14:paraId="568B1ED3" w14:textId="1B6ED4EF" w:rsidR="002C7AFE" w:rsidRPr="00180F9C" w:rsidRDefault="00180F9C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1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 xml:space="preserve"> (respirable dust fraction)</w:t>
            </w:r>
          </w:p>
        </w:tc>
      </w:tr>
      <w:tr w:rsidR="00180F9C" w:rsidRPr="004C23F4" w14:paraId="78846FD6" w14:textId="77777777" w:rsidTr="00180F9C">
        <w:trPr>
          <w:cantSplit/>
        </w:trPr>
        <w:tc>
          <w:tcPr>
            <w:tcW w:w="4001" w:type="dxa"/>
            <w:vAlign w:val="center"/>
          </w:tcPr>
          <w:p w14:paraId="2001A7BB" w14:textId="77777777" w:rsidR="00180F9C" w:rsidRPr="002C58FF" w:rsidRDefault="00180F9C" w:rsidP="00180F9C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25" w:type="dxa"/>
          </w:tcPr>
          <w:p w14:paraId="7A8C6ED2" w14:textId="1F9EA9E1" w:rsidR="00180F9C" w:rsidRPr="00D90137" w:rsidRDefault="00180F9C" w:rsidP="00180F9C">
            <w:pPr>
              <w:pStyle w:val="Tablefont"/>
              <w:rPr>
                <w:b/>
              </w:rPr>
            </w:pPr>
            <w:r w:rsidRPr="008E779E">
              <w:rPr>
                <w:b/>
              </w:rPr>
              <w:t>—</w:t>
            </w:r>
          </w:p>
        </w:tc>
      </w:tr>
      <w:tr w:rsidR="00180F9C" w:rsidRPr="004C23F4" w14:paraId="4A96C179" w14:textId="77777777" w:rsidTr="00180F9C">
        <w:trPr>
          <w:cantSplit/>
        </w:trPr>
        <w:tc>
          <w:tcPr>
            <w:tcW w:w="4001" w:type="dxa"/>
            <w:vAlign w:val="center"/>
          </w:tcPr>
          <w:p w14:paraId="0BC36732" w14:textId="77777777" w:rsidR="00180F9C" w:rsidRPr="002C58FF" w:rsidRDefault="00180F9C" w:rsidP="00180F9C">
            <w:pPr>
              <w:pStyle w:val="Tablerowright"/>
            </w:pPr>
            <w:r>
              <w:t>Peak limitation:</w:t>
            </w:r>
          </w:p>
        </w:tc>
        <w:tc>
          <w:tcPr>
            <w:tcW w:w="5025" w:type="dxa"/>
          </w:tcPr>
          <w:p w14:paraId="625AA5C7" w14:textId="24E7EB1E" w:rsidR="00180F9C" w:rsidRPr="00D90137" w:rsidRDefault="00180F9C" w:rsidP="00180F9C">
            <w:pPr>
              <w:pStyle w:val="Tablefont"/>
              <w:rPr>
                <w:b/>
              </w:rPr>
            </w:pPr>
            <w:r w:rsidRPr="008E779E">
              <w:rPr>
                <w:b/>
              </w:rPr>
              <w:t>—</w:t>
            </w:r>
          </w:p>
        </w:tc>
      </w:tr>
      <w:tr w:rsidR="00180F9C" w:rsidRPr="004C23F4" w14:paraId="507ACF9B" w14:textId="77777777" w:rsidTr="00180F9C">
        <w:trPr>
          <w:cantSplit/>
        </w:trPr>
        <w:tc>
          <w:tcPr>
            <w:tcW w:w="4001" w:type="dxa"/>
          </w:tcPr>
          <w:p w14:paraId="1489144E" w14:textId="77777777" w:rsidR="00180F9C" w:rsidRPr="002C58FF" w:rsidRDefault="00180F9C" w:rsidP="00180F9C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25" w:type="dxa"/>
          </w:tcPr>
          <w:p w14:paraId="69DCA38A" w14:textId="70339139" w:rsidR="00180F9C" w:rsidRPr="00D90137" w:rsidRDefault="00180F9C" w:rsidP="00180F9C">
            <w:pPr>
              <w:pStyle w:val="Tablefont"/>
              <w:rPr>
                <w:b/>
              </w:rPr>
            </w:pPr>
            <w:r w:rsidRPr="008E779E">
              <w:rPr>
                <w:b/>
              </w:rPr>
              <w:t>—</w:t>
            </w:r>
          </w:p>
        </w:tc>
      </w:tr>
      <w:tr w:rsidR="002C7AFE" w:rsidRPr="004C23F4" w14:paraId="3D2E0B7A" w14:textId="77777777" w:rsidTr="00180F9C">
        <w:trPr>
          <w:cantSplit/>
        </w:trPr>
        <w:tc>
          <w:tcPr>
            <w:tcW w:w="4001" w:type="dxa"/>
            <w:vAlign w:val="center"/>
          </w:tcPr>
          <w:p w14:paraId="127B4B6C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5" w:type="dxa"/>
          </w:tcPr>
          <w:p w14:paraId="1F09271B" w14:textId="5CAE0AB5" w:rsidR="002C7AFE" w:rsidRPr="00EB3D1B" w:rsidRDefault="00544FA7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5</w:t>
            </w:r>
            <w:r w:rsidR="002E757F">
              <w:rPr>
                <w:b/>
              </w:rPr>
              <w:t>,</w:t>
            </w:r>
            <w:r w:rsidRPr="00544FA7">
              <w:rPr>
                <w:b/>
              </w:rPr>
              <w:t>000 mg/m</w:t>
            </w:r>
            <w:r w:rsidRPr="00544FA7">
              <w:rPr>
                <w:b/>
                <w:vertAlign w:val="superscript"/>
              </w:rPr>
              <w:t>3</w:t>
            </w:r>
          </w:p>
        </w:tc>
      </w:tr>
      <w:tr w:rsidR="00D90137" w:rsidRPr="004C23F4" w14:paraId="2255A0DB" w14:textId="77777777" w:rsidTr="008E2A5A">
        <w:trPr>
          <w:cantSplit/>
        </w:trPr>
        <w:tc>
          <w:tcPr>
            <w:tcW w:w="9026" w:type="dxa"/>
            <w:gridSpan w:val="2"/>
            <w:vAlign w:val="center"/>
          </w:tcPr>
          <w:p w14:paraId="5229A2C1" w14:textId="736D6724" w:rsidR="00D90137" w:rsidRPr="00EB3D1B" w:rsidRDefault="00D90137" w:rsidP="00017C82">
            <w:pPr>
              <w:pStyle w:val="Tablefont"/>
              <w:rPr>
                <w:b/>
              </w:rPr>
            </w:pPr>
            <w:r w:rsidRPr="00E82B18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1BB22B6225854F38A96B4CEB00E23377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D11D0B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4A08A3C3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2A8D1A7E" w14:textId="376BDE6B" w:rsidR="00180F9C" w:rsidRPr="005D7895" w:rsidRDefault="00180F9C" w:rsidP="00180F9C">
      <w:pPr>
        <w:rPr>
          <w:rFonts w:cs="Arial"/>
        </w:rPr>
      </w:pPr>
      <w:r w:rsidRPr="00180F9C">
        <w:rPr>
          <w:rFonts w:cs="Arial"/>
        </w:rPr>
        <w:t xml:space="preserve">A TWA of </w:t>
      </w:r>
      <w:r>
        <w:rPr>
          <w:rFonts w:cs="Arial"/>
        </w:rPr>
        <w:t>1 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 (respirable dust fraction)</w:t>
      </w:r>
      <w:r w:rsidRPr="00180F9C">
        <w:rPr>
          <w:rFonts w:cs="Arial"/>
        </w:rPr>
        <w:t xml:space="preserve"> </w:t>
      </w:r>
      <w:r w:rsidR="007857F1">
        <w:rPr>
          <w:rFonts w:cs="Arial"/>
        </w:rPr>
        <w:t>is recommended</w:t>
      </w:r>
      <w:r w:rsidR="00A644C9">
        <w:rPr>
          <w:rFonts w:cs="Arial"/>
        </w:rPr>
        <w:t xml:space="preserve"> </w:t>
      </w:r>
      <w:r>
        <w:rPr>
          <w:rFonts w:cs="Arial"/>
        </w:rPr>
        <w:t xml:space="preserve">to protect for </w:t>
      </w:r>
      <w:r>
        <w:t>asthma, respiratory symptoms and lung function effects in exposed workers.</w:t>
      </w:r>
    </w:p>
    <w:p w14:paraId="547FBDCC" w14:textId="77777777" w:rsidR="00C7155E" w:rsidRPr="004C23F4" w:rsidRDefault="00F10C97" w:rsidP="003365A5">
      <w:pPr>
        <w:pStyle w:val="Heading2"/>
      </w:pPr>
      <w:r>
        <w:t>Discussion and conclusions</w:t>
      </w:r>
    </w:p>
    <w:p w14:paraId="75CB2A0E" w14:textId="77777777" w:rsidR="007857F1" w:rsidRDefault="00111494" w:rsidP="006639B4">
      <w:r>
        <w:t xml:space="preserve">Portland cement is a hydraulic </w:t>
      </w:r>
      <w:r w:rsidR="00D11D0B">
        <w:t>binding material containing cement clinkers (calcium silicates with aluminium and iron</w:t>
      </w:r>
      <w:r w:rsidR="007857F1">
        <w:t>)</w:t>
      </w:r>
      <w:r w:rsidR="00D11D0B">
        <w:t xml:space="preserve"> and </w:t>
      </w:r>
      <w:r w:rsidR="008E779E">
        <w:t>may</w:t>
      </w:r>
      <w:r w:rsidR="00D11D0B">
        <w:t xml:space="preserve"> contain low-level materials such as silica and hexavalent chromium.</w:t>
      </w:r>
      <w:r>
        <w:t xml:space="preserve"> Exposure to Portland cement dust is expected to occur mainly in the cement and construction industries. </w:t>
      </w:r>
    </w:p>
    <w:p w14:paraId="1A3989A1" w14:textId="4B6678F5" w:rsidR="00111494" w:rsidRDefault="00111494" w:rsidP="006639B4">
      <w:r>
        <w:t xml:space="preserve">Critical effects </w:t>
      </w:r>
      <w:r w:rsidR="007857F1">
        <w:t xml:space="preserve">of </w:t>
      </w:r>
      <w:r>
        <w:t xml:space="preserve">exposure are asthma, </w:t>
      </w:r>
      <w:r w:rsidR="00A644C9">
        <w:t xml:space="preserve">adverse </w:t>
      </w:r>
      <w:r>
        <w:t>respiratory and lung function effects</w:t>
      </w:r>
      <w:r w:rsidR="00A644C9">
        <w:t xml:space="preserve"> including </w:t>
      </w:r>
      <w:r w:rsidR="00A644C9" w:rsidRPr="00A644C9">
        <w:t>cough, phlegm, wheezing and shortness of breath (dyspnoea)</w:t>
      </w:r>
      <w:r>
        <w:t>.</w:t>
      </w:r>
      <w:r w:rsidR="007857F1">
        <w:t xml:space="preserve"> </w:t>
      </w:r>
      <w:r w:rsidR="00EB3FD3">
        <w:t xml:space="preserve">Respiratory function changes and symptom rates </w:t>
      </w:r>
      <w:r w:rsidR="00A644C9">
        <w:t>are</w:t>
      </w:r>
      <w:r w:rsidR="00EB3FD3">
        <w:t xml:space="preserve"> found to increase with length of exposure and with increasing exposure levels</w:t>
      </w:r>
      <w:r w:rsidR="00A36EB4">
        <w:t>. A study in 119 workers found no effect on respiratory symptoms or pulmonary function at 0.9 mg/m</w:t>
      </w:r>
      <w:r w:rsidR="00A36EB4" w:rsidRPr="00A36EB4">
        <w:rPr>
          <w:vertAlign w:val="superscript"/>
        </w:rPr>
        <w:t>3</w:t>
      </w:r>
      <w:r w:rsidR="00A36EB4" w:rsidRPr="00A36EB4">
        <w:t xml:space="preserve"> </w:t>
      </w:r>
      <w:r w:rsidR="00A644C9">
        <w:t>(</w:t>
      </w:r>
      <w:r w:rsidR="00A36EB4">
        <w:t>respirable dust fraction</w:t>
      </w:r>
      <w:r w:rsidR="00A644C9">
        <w:t>)</w:t>
      </w:r>
      <w:r w:rsidR="00A36EB4">
        <w:t xml:space="preserve">. </w:t>
      </w:r>
      <w:r w:rsidR="00CD63CA">
        <w:t>A study in 591 male workers reported that m</w:t>
      </w:r>
      <w:r w:rsidR="00A36EB4">
        <w:t>ean concentrations of 4 mg/m</w:t>
      </w:r>
      <w:r w:rsidR="00A36EB4" w:rsidRPr="00A36EB4">
        <w:rPr>
          <w:vertAlign w:val="superscript"/>
        </w:rPr>
        <w:t>3</w:t>
      </w:r>
      <w:r w:rsidR="00A36EB4">
        <w:t xml:space="preserve"> (respirable fraction) </w:t>
      </w:r>
      <w:r w:rsidR="00A644C9">
        <w:t>a</w:t>
      </w:r>
      <w:r w:rsidR="00A36EB4">
        <w:t xml:space="preserve">re associated with a decreased lung function in workers relative to those exposed </w:t>
      </w:r>
      <w:r w:rsidR="00737056">
        <w:t xml:space="preserve">at </w:t>
      </w:r>
      <w:r w:rsidR="00A36EB4">
        <w:t>an average of 0.4 mg/m</w:t>
      </w:r>
      <w:r w:rsidR="00A36EB4" w:rsidRPr="00A36EB4">
        <w:rPr>
          <w:vertAlign w:val="superscript"/>
        </w:rPr>
        <w:t>3</w:t>
      </w:r>
      <w:r w:rsidR="00A36EB4">
        <w:t xml:space="preserve">. </w:t>
      </w:r>
      <w:r w:rsidR="005D7895">
        <w:t xml:space="preserve">An increased asthma prevalence </w:t>
      </w:r>
      <w:r w:rsidR="00B619BF">
        <w:t xml:space="preserve">rate </w:t>
      </w:r>
      <w:r w:rsidR="005D7895">
        <w:t xml:space="preserve">(14.1%) </w:t>
      </w:r>
      <w:r w:rsidR="00A644C9">
        <w:t>i</w:t>
      </w:r>
      <w:r w:rsidR="005D7895">
        <w:t>s noted in workers exposed at 1.</w:t>
      </w:r>
      <w:r w:rsidR="00A644C9">
        <w:t>6 </w:t>
      </w:r>
      <w:r w:rsidR="005D7895">
        <w:t>mg/m</w:t>
      </w:r>
      <w:r w:rsidR="005D7895" w:rsidRPr="007E79C2">
        <w:rPr>
          <w:vertAlign w:val="superscript"/>
        </w:rPr>
        <w:t>3</w:t>
      </w:r>
      <w:r w:rsidR="005D7895">
        <w:t xml:space="preserve"> (respirable geometric mean) relative to the rate (8.8%) among workers exposed at 0.</w:t>
      </w:r>
      <w:r w:rsidR="00A644C9">
        <w:t>5 </w:t>
      </w:r>
      <w:r w:rsidR="005D7895">
        <w:t>mg/m</w:t>
      </w:r>
      <w:r w:rsidR="005D7895" w:rsidRPr="007E79C2">
        <w:rPr>
          <w:vertAlign w:val="superscript"/>
        </w:rPr>
        <w:t>3</w:t>
      </w:r>
      <w:r w:rsidR="005D7895">
        <w:t>. In a</w:t>
      </w:r>
      <w:r w:rsidR="005D7895" w:rsidRPr="005D7895">
        <w:t xml:space="preserve"> study </w:t>
      </w:r>
      <w:r w:rsidR="005D7895">
        <w:t xml:space="preserve">involving </w:t>
      </w:r>
      <w:r w:rsidR="005D7895" w:rsidRPr="005D7895">
        <w:t>2,736 exposed workers and 755 controls</w:t>
      </w:r>
      <w:r w:rsidR="005D7895">
        <w:t xml:space="preserve">, </w:t>
      </w:r>
      <w:r w:rsidR="005D7895" w:rsidRPr="005D7895">
        <w:t xml:space="preserve">adjusted odds ratios for wheezing of 1.2, 1.6 and 2.0 </w:t>
      </w:r>
      <w:r w:rsidR="00A644C9">
        <w:t>a</w:t>
      </w:r>
      <w:r w:rsidR="005D7895" w:rsidRPr="005D7895">
        <w:t>re associated with respirable exposures of 1, 3 and 5 mg/m</w:t>
      </w:r>
      <w:r w:rsidR="005D7895" w:rsidRPr="005D7895">
        <w:rPr>
          <w:vertAlign w:val="superscript"/>
        </w:rPr>
        <w:t>3</w:t>
      </w:r>
      <w:r w:rsidR="00B619BF">
        <w:t xml:space="preserve">, respectively </w:t>
      </w:r>
      <w:r w:rsidR="005D7895">
        <w:t>(ACGIH, 2018).</w:t>
      </w:r>
    </w:p>
    <w:p w14:paraId="0631FA6E" w14:textId="6D90B97B" w:rsidR="005D7895" w:rsidRPr="005D7895" w:rsidRDefault="00180F9C" w:rsidP="006639B4">
      <w:pPr>
        <w:rPr>
          <w:rFonts w:cs="Arial"/>
        </w:rPr>
      </w:pPr>
      <w:r w:rsidRPr="00180F9C">
        <w:rPr>
          <w:rFonts w:cs="Arial"/>
        </w:rPr>
        <w:t xml:space="preserve">A TWA of </w:t>
      </w:r>
      <w:r>
        <w:rPr>
          <w:rFonts w:cs="Arial"/>
        </w:rPr>
        <w:t>1 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 (respirable dust fraction)</w:t>
      </w:r>
      <w:r w:rsidRPr="00180F9C">
        <w:rPr>
          <w:rFonts w:cs="Arial"/>
        </w:rPr>
        <w:t xml:space="preserve"> is recommended as </w:t>
      </w:r>
      <w:r w:rsidR="00ED0DDF">
        <w:rPr>
          <w:rFonts w:cs="Arial"/>
        </w:rPr>
        <w:t>derived by the ACGIH (2018). B</w:t>
      </w:r>
      <w:r w:rsidRPr="00180F9C">
        <w:rPr>
          <w:rFonts w:cs="Arial"/>
        </w:rPr>
        <w:t>ased on the evidence presented</w:t>
      </w:r>
      <w:r w:rsidR="00A644C9">
        <w:rPr>
          <w:rFonts w:cs="Arial"/>
        </w:rPr>
        <w:t xml:space="preserve"> in humans</w:t>
      </w:r>
      <w:r w:rsidR="00B619BF">
        <w:rPr>
          <w:rFonts w:cs="Arial"/>
        </w:rPr>
        <w:t>,</w:t>
      </w:r>
      <w:r w:rsidRPr="00180F9C">
        <w:rPr>
          <w:rFonts w:cs="Arial"/>
        </w:rPr>
        <w:t xml:space="preserve"> </w:t>
      </w:r>
      <w:r w:rsidR="00B619BF">
        <w:rPr>
          <w:rFonts w:cs="Arial"/>
        </w:rPr>
        <w:t>this TWA</w:t>
      </w:r>
      <w:r w:rsidRPr="00180F9C">
        <w:rPr>
          <w:rFonts w:cs="Arial"/>
        </w:rPr>
        <w:t xml:space="preserve"> is considered </w:t>
      </w:r>
      <w:r>
        <w:rPr>
          <w:rFonts w:cs="Arial"/>
        </w:rPr>
        <w:t>suitable</w:t>
      </w:r>
      <w:r w:rsidR="00A644C9">
        <w:rPr>
          <w:rFonts w:cs="Arial"/>
        </w:rPr>
        <w:t xml:space="preserve"> </w:t>
      </w:r>
      <w:r>
        <w:rPr>
          <w:rFonts w:cs="Arial"/>
        </w:rPr>
        <w:t xml:space="preserve">to minimise </w:t>
      </w:r>
      <w:r>
        <w:t>asthma, respiratory symptoms and lung function effects observed in workers.</w:t>
      </w:r>
      <w:r w:rsidR="00973096">
        <w:t xml:space="preserve"> </w:t>
      </w:r>
    </w:p>
    <w:p w14:paraId="18BB5CC6" w14:textId="77777777" w:rsidR="004529F0" w:rsidRPr="004C23F4" w:rsidRDefault="004529F0" w:rsidP="00D90137">
      <w:pPr>
        <w:pStyle w:val="Heading2"/>
      </w:pPr>
      <w:r>
        <w:lastRenderedPageBreak/>
        <w:t>Recommendation for notations</w:t>
      </w:r>
    </w:p>
    <w:p w14:paraId="112178AD" w14:textId="72E271A7" w:rsidR="00544FA7" w:rsidRPr="00EB3FD3" w:rsidRDefault="00544FA7" w:rsidP="008E779E">
      <w:pPr>
        <w:keepNext/>
        <w:rPr>
          <w:rFonts w:cs="Arial"/>
        </w:rPr>
      </w:pPr>
      <w:r w:rsidRPr="00EB3FD3">
        <w:rPr>
          <w:rFonts w:cs="Arial"/>
        </w:rPr>
        <w:t>Not classified as a carcinogen according to the Globally Harmonized System of Classification and Labelling o</w:t>
      </w:r>
      <w:r w:rsidR="00F364DA">
        <w:rPr>
          <w:rFonts w:cs="Arial"/>
        </w:rPr>
        <w:t>f</w:t>
      </w:r>
      <w:r w:rsidRPr="00EB3FD3">
        <w:rPr>
          <w:rFonts w:cs="Arial"/>
        </w:rPr>
        <w:t xml:space="preserve"> Chemicals (GHS). </w:t>
      </w:r>
    </w:p>
    <w:p w14:paraId="4C1F40B7" w14:textId="207E7D58" w:rsidR="00544FA7" w:rsidRPr="00EB3FD3" w:rsidRDefault="00544FA7" w:rsidP="008E779E">
      <w:pPr>
        <w:keepNext/>
        <w:rPr>
          <w:rFonts w:cs="Arial"/>
        </w:rPr>
      </w:pPr>
      <w:r w:rsidRPr="00EB3FD3">
        <w:rPr>
          <w:rFonts w:cs="Arial"/>
        </w:rPr>
        <w:t xml:space="preserve">Not classified as a skin </w:t>
      </w:r>
      <w:r w:rsidR="00F364DA" w:rsidRPr="00EB3FD3">
        <w:rPr>
          <w:rFonts w:cs="Arial"/>
        </w:rPr>
        <w:t xml:space="preserve">sensitiser </w:t>
      </w:r>
      <w:r w:rsidRPr="00EB3FD3">
        <w:rPr>
          <w:rFonts w:cs="Arial"/>
        </w:rPr>
        <w:t>or respiratory sensitiser according to the GHS.</w:t>
      </w:r>
      <w:r w:rsidR="009714BA">
        <w:rPr>
          <w:rFonts w:cs="Arial"/>
        </w:rPr>
        <w:t xml:space="preserve"> A review of sensitisation</w:t>
      </w:r>
      <w:r w:rsidR="000E00D5">
        <w:rPr>
          <w:rFonts w:cs="Arial"/>
        </w:rPr>
        <w:t xml:space="preserve"> classification</w:t>
      </w:r>
      <w:r w:rsidR="00EB57E4">
        <w:rPr>
          <w:rFonts w:cs="Arial"/>
        </w:rPr>
        <w:t xml:space="preserve"> and chromium content</w:t>
      </w:r>
      <w:r w:rsidR="009714BA">
        <w:rPr>
          <w:rFonts w:cs="Arial"/>
        </w:rPr>
        <w:t xml:space="preserve"> is recommended as there is </w:t>
      </w:r>
      <w:r w:rsidR="00C20838">
        <w:rPr>
          <w:rFonts w:cs="Arial"/>
        </w:rPr>
        <w:t>clear</w:t>
      </w:r>
      <w:r w:rsidR="00973096">
        <w:rPr>
          <w:rFonts w:cs="Arial"/>
        </w:rPr>
        <w:t xml:space="preserve"> evidence</w:t>
      </w:r>
      <w:r w:rsidR="009714BA">
        <w:rPr>
          <w:rFonts w:cs="Arial"/>
        </w:rPr>
        <w:t xml:space="preserve"> of </w:t>
      </w:r>
      <w:r w:rsidR="000E00D5">
        <w:rPr>
          <w:rFonts w:cs="Arial"/>
        </w:rPr>
        <w:t>allergic contact dermatitis in humans</w:t>
      </w:r>
      <w:r w:rsidR="00973096">
        <w:rPr>
          <w:rFonts w:cs="Arial"/>
        </w:rPr>
        <w:t>.</w:t>
      </w:r>
    </w:p>
    <w:p w14:paraId="66028B56" w14:textId="22D0A364" w:rsidR="00544FA7" w:rsidRPr="004C23F4" w:rsidRDefault="008E779E" w:rsidP="008E779E">
      <w:pPr>
        <w:keepNext/>
        <w:rPr>
          <w:rFonts w:cs="Arial"/>
        </w:rPr>
      </w:pPr>
      <w:r>
        <w:rPr>
          <w:rFonts w:cs="Arial"/>
        </w:rPr>
        <w:t xml:space="preserve">There </w:t>
      </w:r>
      <w:r w:rsidR="001B3C44">
        <w:rPr>
          <w:rFonts w:cs="Arial"/>
        </w:rPr>
        <w:t xml:space="preserve">are </w:t>
      </w:r>
      <w:r>
        <w:rPr>
          <w:rFonts w:cs="Arial"/>
        </w:rPr>
        <w:t>i</w:t>
      </w:r>
      <w:r w:rsidR="00544FA7" w:rsidRPr="00EB3FD3">
        <w:rPr>
          <w:rFonts w:cs="Arial"/>
        </w:rPr>
        <w:t xml:space="preserve">nsufficient </w:t>
      </w:r>
      <w:r>
        <w:rPr>
          <w:rFonts w:cs="Arial"/>
        </w:rPr>
        <w:t>data</w:t>
      </w:r>
      <w:r w:rsidRPr="00EB3FD3">
        <w:rPr>
          <w:rFonts w:cs="Arial"/>
        </w:rPr>
        <w:t xml:space="preserve"> </w:t>
      </w:r>
      <w:r w:rsidR="00544FA7" w:rsidRPr="00EB3FD3">
        <w:rPr>
          <w:rFonts w:cs="Arial"/>
        </w:rPr>
        <w:t>to recommend a skin notation.</w:t>
      </w:r>
    </w:p>
    <w:p w14:paraId="2A0EB380" w14:textId="77777777" w:rsidR="0025734A" w:rsidRPr="004C23F4" w:rsidRDefault="0025734A">
      <w:pPr>
        <w:rPr>
          <w:rFonts w:cs="Arial"/>
        </w:rPr>
      </w:pPr>
    </w:p>
    <w:p w14:paraId="297018A4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4C6E1D53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3767D983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588EB8CA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261040B2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1164F32C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76540C33" w14:textId="2BC008CF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544FA7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544FA7">
                  <w:t>TWA: 10 mg/m</w:t>
                </w:r>
                <w:r w:rsidR="00544FA7" w:rsidRPr="00544FA7">
                  <w:rPr>
                    <w:vertAlign w:val="superscript"/>
                  </w:rPr>
                  <w:t>3</w:t>
                </w:r>
                <w:r w:rsidR="0047551A">
                  <w:rPr>
                    <w:vertAlign w:val="superscript"/>
                  </w:rPr>
                  <w:t xml:space="preserve"> </w:t>
                </w:r>
                <w:r w:rsidR="0047551A" w:rsidRPr="0047551A">
                  <w:t>(inspirable dust)</w:t>
                </w:r>
              </w:sdtContent>
            </w:sdt>
          </w:p>
        </w:tc>
      </w:tr>
      <w:tr w:rsidR="00C978F0" w:rsidRPr="00DA352E" w14:paraId="4A6E103B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1410817" w14:textId="77777777" w:rsidR="00C978F0" w:rsidRDefault="0007342F" w:rsidP="0007342F">
            <w:pPr>
              <w:pStyle w:val="Tabletextprimarysource"/>
            </w:pPr>
            <w:r w:rsidRPr="0007342F">
              <w:t>TWA for inspirable</w:t>
            </w:r>
            <w:r w:rsidR="008E779E">
              <w:t xml:space="preserve"> (respirable)</w:t>
            </w:r>
            <w:r w:rsidRPr="0007342F">
              <w:t xml:space="preserve"> dust containing no asbestos and less than 1% crystalline silica a</w:t>
            </w:r>
            <w:r w:rsidR="00A81C4B" w:rsidRPr="0007342F">
              <w:t>dopted</w:t>
            </w:r>
            <w:r w:rsidRPr="0007342F">
              <w:t xml:space="preserve"> from ACGIH in 1991</w:t>
            </w:r>
            <w:r>
              <w:t>.</w:t>
            </w:r>
          </w:p>
          <w:p w14:paraId="68D18F29" w14:textId="4BB2B11A" w:rsidR="00A644C9" w:rsidRPr="0007342F" w:rsidRDefault="00A644C9" w:rsidP="0007342F">
            <w:pPr>
              <w:pStyle w:val="Tabletextprimarysource"/>
            </w:pPr>
          </w:p>
        </w:tc>
      </w:tr>
      <w:tr w:rsidR="00C978F0" w:rsidRPr="00DA352E" w14:paraId="4AD57EFC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B717654" w14:textId="625F77F2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544FA7">
                  <w:t>2010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544FA7">
                  <w:t>TLV-TWA: 1 mg/m</w:t>
                </w:r>
                <w:r w:rsidR="00544FA7" w:rsidRPr="00544FA7">
                  <w:rPr>
                    <w:vertAlign w:val="superscript"/>
                  </w:rPr>
                  <w:t>3</w:t>
                </w:r>
                <w:r w:rsidR="006A3D14">
                  <w:rPr>
                    <w:vertAlign w:val="superscript"/>
                  </w:rPr>
                  <w:t xml:space="preserve"> </w:t>
                </w:r>
                <w:r w:rsidR="006A3D14" w:rsidRPr="006A3D14">
                  <w:t>(respirable particle matter)</w:t>
                </w:r>
              </w:sdtContent>
            </w:sdt>
          </w:p>
        </w:tc>
      </w:tr>
      <w:tr w:rsidR="00C978F0" w:rsidRPr="00DA352E" w14:paraId="5F8FB45D" w14:textId="77777777" w:rsidTr="008E779E">
        <w:trPr>
          <w:gridAfter w:val="1"/>
          <w:wAfter w:w="8" w:type="pct"/>
        </w:trPr>
        <w:tc>
          <w:tcPr>
            <w:tcW w:w="0" w:type="pct"/>
          </w:tcPr>
          <w:p w14:paraId="5894F8D4" w14:textId="4311B9A5" w:rsidR="00C978F0" w:rsidRDefault="00402108" w:rsidP="00F364DA">
            <w:pPr>
              <w:pStyle w:val="Tabletextprimarysource"/>
            </w:pPr>
            <w:r>
              <w:t>TLV-TWA recommended to</w:t>
            </w:r>
            <w:r w:rsidR="00D24275">
              <w:t xml:space="preserve"> protect </w:t>
            </w:r>
            <w:r w:rsidR="002C7CA9">
              <w:t xml:space="preserve">most </w:t>
            </w:r>
            <w:r w:rsidR="00D24275">
              <w:t>of exposed individuals from asthma, respiratory symptoms and lung function effects</w:t>
            </w:r>
            <w:r w:rsidR="00B440D9">
              <w:t>.</w:t>
            </w:r>
          </w:p>
          <w:p w14:paraId="47DA0465" w14:textId="77777777" w:rsidR="00B440D9" w:rsidRDefault="00B440D9" w:rsidP="00F364DA">
            <w:pPr>
              <w:pStyle w:val="Tabletextprimarysource"/>
            </w:pPr>
            <w:r>
              <w:t>Summary of data:</w:t>
            </w:r>
          </w:p>
          <w:p w14:paraId="57CA3036" w14:textId="46898206" w:rsidR="00B440D9" w:rsidRDefault="00B440D9" w:rsidP="008E779E">
            <w:pPr>
              <w:pStyle w:val="ListBullet"/>
              <w:spacing w:before="60" w:after="60"/>
              <w:ind w:left="720"/>
              <w:contextualSpacing w:val="0"/>
            </w:pPr>
            <w:r>
              <w:t>Previous TLVs for Portland cement based on a “nuisance dust”—</w:t>
            </w:r>
            <w:r w:rsidR="002C7CA9">
              <w:t xml:space="preserve"> </w:t>
            </w:r>
            <w:r>
              <w:t>or Particulate Not Otherwise Specified (PNOS)—classification no longer supported</w:t>
            </w:r>
          </w:p>
          <w:p w14:paraId="345C889B" w14:textId="23F159B8" w:rsidR="00A644C9" w:rsidRDefault="00111494" w:rsidP="008E779E">
            <w:pPr>
              <w:pStyle w:val="ListBullet"/>
              <w:spacing w:before="60" w:after="60"/>
              <w:ind w:left="720"/>
              <w:contextualSpacing w:val="0"/>
            </w:pPr>
            <w:r>
              <w:t>Raw materials used in manufacture of Portland cement may contain various concentrations of crystalline silica</w:t>
            </w:r>
            <w:r w:rsidR="00383C4B">
              <w:t>:</w:t>
            </w:r>
          </w:p>
          <w:p w14:paraId="1E2CB73A" w14:textId="78D9D430" w:rsidR="00111494" w:rsidRDefault="00111494" w:rsidP="001A19D3">
            <w:pPr>
              <w:pStyle w:val="ListBullet"/>
              <w:numPr>
                <w:ilvl w:val="0"/>
                <w:numId w:val="20"/>
              </w:numPr>
              <w:spacing w:before="60" w:after="60"/>
              <w:contextualSpacing w:val="0"/>
            </w:pPr>
            <w:r>
              <w:t>final product may contain none or very small amounts of free silica</w:t>
            </w:r>
          </w:p>
          <w:p w14:paraId="6B3093E6" w14:textId="77777777" w:rsidR="00A644C9" w:rsidRDefault="00111494" w:rsidP="008E779E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Chromium may be present in the finished cement: </w:t>
            </w:r>
          </w:p>
          <w:p w14:paraId="4621A3D8" w14:textId="57AE289A" w:rsidR="00111494" w:rsidRDefault="00111494" w:rsidP="001A19D3">
            <w:pPr>
              <w:pStyle w:val="ListBullet"/>
              <w:numPr>
                <w:ilvl w:val="0"/>
                <w:numId w:val="20"/>
              </w:numPr>
              <w:spacing w:before="60" w:after="60"/>
              <w:contextualSpacing w:val="0"/>
            </w:pPr>
            <w:r>
              <w:t>abrasion of the refractory lining of the kiln and the steel balls used in the finish milling operations are possible chromium sources</w:t>
            </w:r>
          </w:p>
          <w:p w14:paraId="66C4ED22" w14:textId="3F2FF538" w:rsidR="000B069C" w:rsidRDefault="000B069C" w:rsidP="008E779E">
            <w:pPr>
              <w:pStyle w:val="ListBullet"/>
              <w:spacing w:before="60" w:after="60"/>
              <w:ind w:left="720"/>
              <w:contextualSpacing w:val="0"/>
            </w:pPr>
            <w:r>
              <w:t>No animal inhalation data</w:t>
            </w:r>
            <w:r w:rsidR="00A644C9">
              <w:t xml:space="preserve"> presented</w:t>
            </w:r>
          </w:p>
          <w:p w14:paraId="389B2FD7" w14:textId="77777777" w:rsidR="00767E25" w:rsidRDefault="00767E25" w:rsidP="008E779E">
            <w:pPr>
              <w:pStyle w:val="ListBullet"/>
              <w:spacing w:before="60" w:after="60"/>
              <w:ind w:left="720"/>
              <w:contextualSpacing w:val="0"/>
            </w:pPr>
            <w:r>
              <w:t>Basis of TLV-TWA:</w:t>
            </w:r>
          </w:p>
          <w:p w14:paraId="36ACFA74" w14:textId="14293DF7" w:rsidR="00767E25" w:rsidRDefault="00A644C9" w:rsidP="008E779E">
            <w:pPr>
              <w:pStyle w:val="ListBullet"/>
              <w:numPr>
                <w:ilvl w:val="0"/>
                <w:numId w:val="4"/>
              </w:numPr>
              <w:spacing w:before="60" w:after="60"/>
              <w:contextualSpacing w:val="0"/>
            </w:pPr>
            <w:r>
              <w:t>X</w:t>
            </w:r>
            <w:r w:rsidR="00767E25">
              <w:t xml:space="preserve">-ray changes, decrements in pulmonary function and increased respiratory symptoms in workers at </w:t>
            </w:r>
            <w:r w:rsidR="001B3C44">
              <w:rPr>
                <w:rFonts w:cs="Arial"/>
              </w:rPr>
              <w:t>≈</w:t>
            </w:r>
            <w:r w:rsidR="00767E25">
              <w:t>5 mg/m</w:t>
            </w:r>
            <w:r w:rsidR="00767E25" w:rsidRPr="00767E25">
              <w:rPr>
                <w:vertAlign w:val="superscript"/>
              </w:rPr>
              <w:t>3</w:t>
            </w:r>
            <w:r w:rsidR="00767E25">
              <w:t xml:space="preserve"> and higher total dust</w:t>
            </w:r>
          </w:p>
          <w:p w14:paraId="79BC6611" w14:textId="76491247" w:rsidR="00767E25" w:rsidRDefault="00291361" w:rsidP="008E779E">
            <w:pPr>
              <w:pStyle w:val="ListBullet"/>
              <w:numPr>
                <w:ilvl w:val="0"/>
                <w:numId w:val="4"/>
              </w:numPr>
              <w:spacing w:before="60" w:after="60"/>
              <w:contextualSpacing w:val="0"/>
            </w:pPr>
            <w:r>
              <w:t>i</w:t>
            </w:r>
            <w:r w:rsidR="008B0923">
              <w:t>ncreased symptom rates, asthma and lung function effects associated &gt;1 mg/m</w:t>
            </w:r>
            <w:r w:rsidR="008B0923" w:rsidRPr="008B0923">
              <w:rPr>
                <w:vertAlign w:val="superscript"/>
              </w:rPr>
              <w:t>3</w:t>
            </w:r>
            <w:r w:rsidR="008B0923">
              <w:t xml:space="preserve"> respirable aerosol</w:t>
            </w:r>
            <w:r w:rsidR="00F364DA">
              <w:t>.</w:t>
            </w:r>
          </w:p>
          <w:p w14:paraId="2A06B669" w14:textId="77777777" w:rsidR="004737DE" w:rsidRDefault="004737DE" w:rsidP="00F364DA">
            <w:pPr>
              <w:pStyle w:val="Tabletextprimarysource"/>
            </w:pPr>
            <w:r>
              <w:t>Human data:</w:t>
            </w:r>
          </w:p>
          <w:p w14:paraId="3F5E56CE" w14:textId="2196168F" w:rsidR="004737DE" w:rsidRDefault="004737DE" w:rsidP="008E779E">
            <w:pPr>
              <w:pStyle w:val="ListBullet"/>
              <w:spacing w:before="60" w:after="60"/>
              <w:ind w:left="720"/>
              <w:contextualSpacing w:val="0"/>
            </w:pPr>
            <w:r>
              <w:t>Highly alkaline material; toxicity to the respiratory tract, with increased pulmonary symptoms and significant decrements in lung function indices among exposed workers</w:t>
            </w:r>
          </w:p>
          <w:p w14:paraId="50871EF8" w14:textId="600B8951" w:rsidR="004737DE" w:rsidRDefault="004737DE" w:rsidP="008E779E">
            <w:pPr>
              <w:pStyle w:val="ListBullet"/>
              <w:spacing w:before="60" w:after="60"/>
              <w:ind w:left="720"/>
              <w:contextualSpacing w:val="0"/>
            </w:pPr>
            <w:r>
              <w:t>Study of irregular opacities and pleural abnormalities on chest X-rays from 2,738 cement workers compared with 1,715 workers from non</w:t>
            </w:r>
            <w:r w:rsidR="008E779E">
              <w:t>-</w:t>
            </w:r>
            <w:r>
              <w:t>cement manufacturing plants</w:t>
            </w:r>
            <w:r w:rsidR="002C7CA9">
              <w:t>:</w:t>
            </w:r>
          </w:p>
          <w:p w14:paraId="3A12FD7D" w14:textId="77777777" w:rsidR="00FB7ADA" w:rsidRDefault="004737DE" w:rsidP="008E779E">
            <w:pPr>
              <w:pStyle w:val="ListBullet"/>
              <w:numPr>
                <w:ilvl w:val="0"/>
                <w:numId w:val="4"/>
              </w:numPr>
              <w:spacing w:before="60" w:after="60"/>
              <w:contextualSpacing w:val="0"/>
            </w:pPr>
            <w:r>
              <w:t xml:space="preserve">increased prevalence of pleural abnormalities associated with current exposures and job tenure </w:t>
            </w:r>
          </w:p>
          <w:p w14:paraId="0387ED97" w14:textId="2059DDEE" w:rsidR="004737DE" w:rsidRDefault="004737DE" w:rsidP="008E779E">
            <w:pPr>
              <w:pStyle w:val="ListBullet"/>
              <w:numPr>
                <w:ilvl w:val="0"/>
                <w:numId w:val="4"/>
              </w:numPr>
              <w:spacing w:before="60" w:after="60"/>
              <w:contextualSpacing w:val="0"/>
            </w:pPr>
            <w:r>
              <w:t>odds ratio of 1.5 for pleural abnormalit</w:t>
            </w:r>
            <w:r w:rsidR="00FB7ADA">
              <w:t>ies associated with total dust</w:t>
            </w:r>
            <w:r>
              <w:t xml:space="preserve"> levels of 5 mg/m</w:t>
            </w:r>
            <w:r w:rsidRPr="00FB7ADA">
              <w:rPr>
                <w:vertAlign w:val="superscript"/>
              </w:rPr>
              <w:t>3</w:t>
            </w:r>
          </w:p>
          <w:p w14:paraId="54E0DB9F" w14:textId="1B2BD633" w:rsidR="00FB7ADA" w:rsidRDefault="00FB7ADA" w:rsidP="008E779E">
            <w:pPr>
              <w:pStyle w:val="ListBullet"/>
              <w:spacing w:before="60" w:after="60"/>
              <w:ind w:left="720"/>
              <w:contextualSpacing w:val="0"/>
            </w:pPr>
            <w:r>
              <w:t>Comparison of 119 cement workers with 50 non-exposed controls; personal exposure to cement dust at 7.5 mg/m</w:t>
            </w:r>
            <w:r w:rsidRPr="00FB7ADA">
              <w:rPr>
                <w:vertAlign w:val="superscript"/>
              </w:rPr>
              <w:t>3</w:t>
            </w:r>
            <w:r>
              <w:t xml:space="preserve"> total dust and 0.9 mg/m</w:t>
            </w:r>
            <w:r>
              <w:rPr>
                <w:vertAlign w:val="superscript"/>
              </w:rPr>
              <w:t xml:space="preserve">3 </w:t>
            </w:r>
            <w:r>
              <w:t>respirable dust</w:t>
            </w:r>
            <w:r w:rsidR="00BD220F">
              <w:t>:</w:t>
            </w:r>
          </w:p>
          <w:p w14:paraId="43CAFF56" w14:textId="2333D2CC" w:rsidR="00FB7ADA" w:rsidRDefault="00F364DA" w:rsidP="008E779E">
            <w:pPr>
              <w:pStyle w:val="ListBullet"/>
              <w:numPr>
                <w:ilvl w:val="0"/>
                <w:numId w:val="4"/>
              </w:numPr>
              <w:spacing w:before="60" w:after="60"/>
              <w:contextualSpacing w:val="0"/>
            </w:pPr>
            <w:r>
              <w:t>n</w:t>
            </w:r>
            <w:r w:rsidR="00FB7ADA">
              <w:t>o significant differences in respiratory symptoms or pulmonary function indices found between cement workers and controls</w:t>
            </w:r>
          </w:p>
          <w:p w14:paraId="0706D65B" w14:textId="4299BC34" w:rsidR="00FB7ADA" w:rsidRDefault="00F364DA" w:rsidP="008E779E">
            <w:pPr>
              <w:pStyle w:val="ListBullet"/>
              <w:numPr>
                <w:ilvl w:val="0"/>
                <w:numId w:val="4"/>
              </w:numPr>
              <w:spacing w:before="60" w:after="60"/>
              <w:contextualSpacing w:val="0"/>
            </w:pPr>
            <w:r>
              <w:t>n</w:t>
            </w:r>
            <w:r w:rsidR="00FB7ADA">
              <w:t xml:space="preserve">o significant difference found when cement workers were stratified by </w:t>
            </w:r>
            <w:proofErr w:type="gramStart"/>
            <w:r w:rsidR="00FB7ADA">
              <w:t>exposure;</w:t>
            </w:r>
            <w:proofErr w:type="gramEnd"/>
            <w:r w:rsidR="00FB7ADA">
              <w:t xml:space="preserve"> no further information</w:t>
            </w:r>
            <w:r>
              <w:t>.</w:t>
            </w:r>
          </w:p>
          <w:p w14:paraId="128A6C49" w14:textId="11DF4946" w:rsidR="00BD220F" w:rsidRPr="00BD220F" w:rsidRDefault="00E41CD6" w:rsidP="00BD220F">
            <w:pPr>
              <w:pStyle w:val="ListBullet"/>
              <w:numPr>
                <w:ilvl w:val="0"/>
                <w:numId w:val="0"/>
              </w:numPr>
              <w:spacing w:before="60" w:after="60"/>
              <w:ind w:left="1080"/>
              <w:contextualSpacing w:val="0"/>
              <w:rPr>
                <w:vertAlign w:val="superscript"/>
              </w:rPr>
            </w:pPr>
            <w:r>
              <w:t>A study of 591 male workers in 4 production facilities</w:t>
            </w:r>
            <w:r w:rsidR="00BD220F">
              <w:t xml:space="preserve">; </w:t>
            </w:r>
            <w:r>
              <w:t>412 exposed at average</w:t>
            </w:r>
            <w:r w:rsidR="00417C27">
              <w:t xml:space="preserve"> of</w:t>
            </w:r>
            <w:r>
              <w:t xml:space="preserve"> 3.6</w:t>
            </w:r>
            <w:r w:rsidR="00417C27">
              <w:t> </w:t>
            </w:r>
            <w:r>
              <w:t>mg/m</w:t>
            </w:r>
            <w:r w:rsidRPr="00BD220F">
              <w:rPr>
                <w:vertAlign w:val="superscript"/>
              </w:rPr>
              <w:t>3</w:t>
            </w:r>
            <w:r>
              <w:t xml:space="preserve"> and 179 </w:t>
            </w:r>
            <w:r w:rsidR="00051ADE">
              <w:t xml:space="preserve">(labelled unexposed) </w:t>
            </w:r>
            <w:r>
              <w:t>exposed at 0.4</w:t>
            </w:r>
            <w:r w:rsidR="00BD220F">
              <w:t> </w:t>
            </w:r>
            <w:r>
              <w:t>mg/m</w:t>
            </w:r>
            <w:r w:rsidRPr="00BD220F">
              <w:rPr>
                <w:vertAlign w:val="superscript"/>
              </w:rPr>
              <w:t>3</w:t>
            </w:r>
            <w:r w:rsidR="00BD220F">
              <w:t>:</w:t>
            </w:r>
            <w:r w:rsidR="00051ADE">
              <w:t xml:space="preserve"> </w:t>
            </w:r>
          </w:p>
          <w:p w14:paraId="12F226F4" w14:textId="5323769E" w:rsidR="00FB7ADA" w:rsidRDefault="00051ADE" w:rsidP="00BD220F">
            <w:pPr>
              <w:pStyle w:val="ListBullet"/>
              <w:numPr>
                <w:ilvl w:val="0"/>
                <w:numId w:val="20"/>
              </w:numPr>
              <w:spacing w:before="60" w:after="60"/>
              <w:contextualSpacing w:val="0"/>
            </w:pPr>
            <w:r>
              <w:t>increased rates of respiratory symptoms and decreased lung function among the 412 exposed workers relative to the “unexposed” group</w:t>
            </w:r>
          </w:p>
          <w:p w14:paraId="3AD034F5" w14:textId="3230C926" w:rsidR="00BD220F" w:rsidRDefault="00123A07" w:rsidP="008E779E">
            <w:pPr>
              <w:pStyle w:val="ListBullet"/>
              <w:spacing w:before="60" w:after="60"/>
              <w:ind w:left="720"/>
              <w:contextualSpacing w:val="0"/>
            </w:pPr>
            <w:r>
              <w:t>A study of 2,736 exposed workers and 755 controls</w:t>
            </w:r>
            <w:r w:rsidR="00BD220F">
              <w:t>:</w:t>
            </w:r>
            <w:r>
              <w:t xml:space="preserve"> </w:t>
            </w:r>
          </w:p>
          <w:p w14:paraId="4A6B8064" w14:textId="7E07B00D" w:rsidR="00123A07" w:rsidRDefault="00123A07" w:rsidP="00BD220F">
            <w:pPr>
              <w:pStyle w:val="ListBullet"/>
              <w:numPr>
                <w:ilvl w:val="0"/>
                <w:numId w:val="21"/>
              </w:numPr>
              <w:spacing w:before="60" w:after="60"/>
              <w:contextualSpacing w:val="0"/>
            </w:pPr>
            <w:r>
              <w:lastRenderedPageBreak/>
              <w:t>adjusted odds ratios for wheezing of 1.2, 1.6 and 2.0 associated with respirable exposures of 1, 3 and 5 mg/m</w:t>
            </w:r>
            <w:r>
              <w:rPr>
                <w:vertAlign w:val="superscript"/>
              </w:rPr>
              <w:t>3</w:t>
            </w:r>
            <w:r w:rsidR="00B619BF">
              <w:t>, respectively</w:t>
            </w:r>
            <w:r w:rsidR="004446FE">
              <w:t>; a 5–10% drop in peak expiratory flow associated with exposure at 5 mg/m</w:t>
            </w:r>
            <w:r w:rsidR="004446FE">
              <w:rPr>
                <w:vertAlign w:val="superscript"/>
              </w:rPr>
              <w:t>3</w:t>
            </w:r>
          </w:p>
          <w:p w14:paraId="77EA9B1E" w14:textId="1BDF5E9B" w:rsidR="008F3852" w:rsidRDefault="00B90C40" w:rsidP="008E779E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Study of pre- and post-shift lung function in 150 cement workers compared to 35 unexposed workers; </w:t>
            </w:r>
            <w:r w:rsidR="008F3852">
              <w:t>respirable levels of 5 mg/m</w:t>
            </w:r>
            <w:r w:rsidR="008F3852">
              <w:rPr>
                <w:vertAlign w:val="superscript"/>
              </w:rPr>
              <w:t>3</w:t>
            </w:r>
            <w:r>
              <w:t xml:space="preserve"> associated with significantly greater cross-shift reductions in FEV</w:t>
            </w:r>
            <w:r w:rsidRPr="00B90C40">
              <w:rPr>
                <w:vertAlign w:val="subscript"/>
              </w:rPr>
              <w:t>1</w:t>
            </w:r>
            <w:r>
              <w:t>, FEV</w:t>
            </w:r>
            <w:r w:rsidRPr="00B90C40">
              <w:rPr>
                <w:vertAlign w:val="subscript"/>
              </w:rPr>
              <w:t>1</w:t>
            </w:r>
            <w:r>
              <w:t>/FVC and FEF</w:t>
            </w:r>
            <w:r w:rsidRPr="00B90C40">
              <w:rPr>
                <w:vertAlign w:val="subscript"/>
              </w:rPr>
              <w:t xml:space="preserve">25-75 </w:t>
            </w:r>
            <w:r>
              <w:t>in exposed than control workers</w:t>
            </w:r>
          </w:p>
          <w:p w14:paraId="360775C3" w14:textId="53DEF2D3" w:rsidR="00D84000" w:rsidRDefault="007E79C2" w:rsidP="008E779E">
            <w:pPr>
              <w:pStyle w:val="ListBullet"/>
              <w:spacing w:before="60" w:after="60"/>
              <w:ind w:left="720"/>
              <w:contextualSpacing w:val="0"/>
            </w:pPr>
            <w:r>
              <w:t>An increased asthma prevalence (14.1%) was noted in workers exposed at 1.6 mg/m</w:t>
            </w:r>
            <w:r w:rsidRPr="007E79C2">
              <w:rPr>
                <w:vertAlign w:val="superscript"/>
              </w:rPr>
              <w:t>3</w:t>
            </w:r>
            <w:r>
              <w:t xml:space="preserve"> (respirable geometric mean) relative to the rate (8.8%) among workers exposed at 0.5</w:t>
            </w:r>
            <w:r w:rsidR="00F364DA">
              <w:t> </w:t>
            </w:r>
            <w:r>
              <w:t>mg/m</w:t>
            </w:r>
            <w:r w:rsidRPr="007E79C2">
              <w:rPr>
                <w:vertAlign w:val="superscript"/>
              </w:rPr>
              <w:t>3</w:t>
            </w:r>
            <w:r>
              <w:t xml:space="preserve"> (respirable geometric mean); excluded workers with heart disease, family asthma, smokers, exposure to other respiratory hazards</w:t>
            </w:r>
            <w:r w:rsidR="00F364DA">
              <w:t>.</w:t>
            </w:r>
          </w:p>
          <w:p w14:paraId="153DD583" w14:textId="77777777" w:rsidR="00A644C9" w:rsidRDefault="00A644C9" w:rsidP="00F364DA">
            <w:pPr>
              <w:pStyle w:val="Tabletextprimarysource"/>
            </w:pPr>
          </w:p>
          <w:p w14:paraId="1E01CF55" w14:textId="6FC5E061" w:rsidR="007E79C2" w:rsidRDefault="000B069C" w:rsidP="00F364DA">
            <w:pPr>
              <w:pStyle w:val="Tabletextprimarysource"/>
            </w:pPr>
            <w:r>
              <w:t>Data inadequate to recommend confirm carcinogenic potential in humans</w:t>
            </w:r>
            <w:r w:rsidR="00F364DA">
              <w:t>.</w:t>
            </w:r>
          </w:p>
          <w:p w14:paraId="11963BF0" w14:textId="77777777" w:rsidR="000B069C" w:rsidRDefault="000B069C" w:rsidP="00F364DA">
            <w:pPr>
              <w:pStyle w:val="Tabletextprimarysource"/>
            </w:pPr>
            <w:r>
              <w:t>Insufficient data to recommend a sensitiser or skin notation.</w:t>
            </w:r>
          </w:p>
          <w:p w14:paraId="7B7556CB" w14:textId="682C967E" w:rsidR="00A644C9" w:rsidRPr="00DA352E" w:rsidRDefault="00A644C9" w:rsidP="00F364DA">
            <w:pPr>
              <w:pStyle w:val="Tabletextprimarysource"/>
            </w:pPr>
          </w:p>
        </w:tc>
      </w:tr>
      <w:tr w:rsidR="00C978F0" w:rsidRPr="00DA352E" w14:paraId="59A7A236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7072F20" w14:textId="611B8629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544FA7">
                  <w:t>2011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544FA7">
                  <w:t>Not assigned</w:t>
                </w:r>
              </w:sdtContent>
            </w:sdt>
          </w:p>
        </w:tc>
      </w:tr>
      <w:tr w:rsidR="00C978F0" w:rsidRPr="00DA352E" w14:paraId="11CC63C9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A6EF31A" w14:textId="3EEC6B68" w:rsidR="00C978F0" w:rsidRDefault="00A8610B" w:rsidP="003365A5">
            <w:pPr>
              <w:pStyle w:val="Tabletextprimarysource"/>
            </w:pPr>
            <w:r>
              <w:t>No MAK value can be derived from the available studies; previous MAK withdrawn</w:t>
            </w:r>
            <w:r w:rsidR="00F364DA">
              <w:t>.</w:t>
            </w:r>
          </w:p>
          <w:p w14:paraId="37746642" w14:textId="77777777" w:rsidR="00A8610B" w:rsidRDefault="00A8610B" w:rsidP="003365A5">
            <w:pPr>
              <w:pStyle w:val="Tabletextprimarysource"/>
            </w:pPr>
            <w:r>
              <w:t>Summary of additional data:</w:t>
            </w:r>
          </w:p>
          <w:p w14:paraId="70A10229" w14:textId="35F2C9E9" w:rsidR="00A8610B" w:rsidRDefault="00A8610B" w:rsidP="008E779E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Based on available data, considers </w:t>
            </w:r>
            <w:r w:rsidR="00377096">
              <w:t xml:space="preserve">the </w:t>
            </w:r>
            <w:r>
              <w:t>general threshold limit value for dust of 4 mg/m</w:t>
            </w:r>
            <w:r>
              <w:rPr>
                <w:vertAlign w:val="superscript"/>
              </w:rPr>
              <w:t xml:space="preserve">3 </w:t>
            </w:r>
            <w:r w:rsidRPr="00A8610B">
              <w:t>inhalable fraction</w:t>
            </w:r>
            <w:r w:rsidR="00377096">
              <w:t xml:space="preserve"> does not provide protection against irritation</w:t>
            </w:r>
          </w:p>
          <w:p w14:paraId="79AF30C2" w14:textId="32AEF0B0" w:rsidR="001A19D3" w:rsidRDefault="00692C42" w:rsidP="008E779E">
            <w:pPr>
              <w:pStyle w:val="ListBullet"/>
              <w:spacing w:before="60" w:after="60"/>
              <w:ind w:left="720"/>
              <w:contextualSpacing w:val="0"/>
            </w:pPr>
            <w:r w:rsidRPr="00692C42">
              <w:t>Studies on threshold concentration for induction of allergic reaction to chromate</w:t>
            </w:r>
            <w:r>
              <w:t>s in Portland cement</w:t>
            </w:r>
            <w:r w:rsidRPr="00692C42">
              <w:t xml:space="preserve"> showed sensiti</w:t>
            </w:r>
            <w:r>
              <w:t>s</w:t>
            </w:r>
            <w:r w:rsidRPr="00692C42">
              <w:t xml:space="preserve">ation is very unlikely to be induced by a chromate concentration of </w:t>
            </w:r>
            <w:r>
              <w:t>&lt;</w:t>
            </w:r>
            <w:r w:rsidRPr="00692C42">
              <w:t>2 ppm</w:t>
            </w:r>
            <w:r w:rsidR="00BD220F">
              <w:t>:</w:t>
            </w:r>
          </w:p>
          <w:p w14:paraId="3E38C5D0" w14:textId="5F5C4B23" w:rsidR="00692C42" w:rsidRDefault="00692C42" w:rsidP="001A19D3">
            <w:pPr>
              <w:pStyle w:val="ListBullet"/>
              <w:numPr>
                <w:ilvl w:val="0"/>
                <w:numId w:val="20"/>
              </w:numPr>
              <w:spacing w:before="60" w:after="60"/>
              <w:contextualSpacing w:val="0"/>
            </w:pPr>
            <w:r>
              <w:t>l</w:t>
            </w:r>
            <w:r w:rsidRPr="00692C42">
              <w:t xml:space="preserve">ow-chromate </w:t>
            </w:r>
            <w:r>
              <w:t>P</w:t>
            </w:r>
            <w:r w:rsidRPr="00692C42">
              <w:t>ortland cements may</w:t>
            </w:r>
            <w:r>
              <w:t xml:space="preserve"> still</w:t>
            </w:r>
            <w:r w:rsidRPr="00692C42">
              <w:t xml:space="preserve"> induce allergic reactions in the case of an existing chromate sensiti</w:t>
            </w:r>
            <w:r>
              <w:t>s</w:t>
            </w:r>
            <w:r w:rsidRPr="00692C42">
              <w:t>ation.</w:t>
            </w:r>
          </w:p>
          <w:p w14:paraId="3B2ED4AC" w14:textId="72862892" w:rsidR="000E00D5" w:rsidRDefault="00692C42" w:rsidP="008E779E">
            <w:pPr>
              <w:pStyle w:val="ListBullet"/>
              <w:spacing w:before="60" w:after="60"/>
              <w:ind w:left="720"/>
              <w:contextualSpacing w:val="0"/>
            </w:pPr>
            <w:r>
              <w:t>Not</w:t>
            </w:r>
            <w:r w:rsidR="000E00D5" w:rsidRPr="000E00D5">
              <w:t xml:space="preserve"> possible to estimate toxicological</w:t>
            </w:r>
            <w:r w:rsidR="00291361">
              <w:t>ly</w:t>
            </w:r>
            <w:r w:rsidR="000E00D5" w:rsidRPr="000E00D5">
              <w:t xml:space="preserve"> relevan</w:t>
            </w:r>
            <w:r w:rsidR="00291361">
              <w:t>t</w:t>
            </w:r>
            <w:r w:rsidR="000E00D5" w:rsidRPr="000E00D5">
              <w:t xml:space="preserve"> </w:t>
            </w:r>
            <w:r>
              <w:t>dermal</w:t>
            </w:r>
            <w:r w:rsidR="000E00D5" w:rsidRPr="000E00D5">
              <w:t xml:space="preserve"> exposure for systemic absorption of </w:t>
            </w:r>
            <w:r>
              <w:t>P</w:t>
            </w:r>
            <w:r w:rsidR="000E00D5" w:rsidRPr="000E00D5">
              <w:t>ortland cement or its components.</w:t>
            </w:r>
          </w:p>
          <w:p w14:paraId="57FED403" w14:textId="77777777" w:rsidR="00A8610B" w:rsidRDefault="00377096" w:rsidP="008E779E">
            <w:pPr>
              <w:pStyle w:val="ListBullet"/>
              <w:spacing w:before="60" w:after="60"/>
              <w:ind w:left="720"/>
              <w:contextualSpacing w:val="0"/>
            </w:pPr>
            <w:r>
              <w:t>No further details</w:t>
            </w:r>
            <w:r w:rsidR="00F364DA">
              <w:t>.</w:t>
            </w:r>
          </w:p>
          <w:p w14:paraId="0F06C551" w14:textId="452C8533" w:rsidR="001A19D3" w:rsidRPr="00DA352E" w:rsidRDefault="001A19D3" w:rsidP="001A19D3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C978F0" w:rsidRPr="00DA352E" w14:paraId="0F3FEC43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91CC1B3" w14:textId="3E9E280B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544FA7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544FA7">
                  <w:t>NA</w:t>
                </w:r>
                <w:proofErr w:type="spellEnd"/>
              </w:sdtContent>
            </w:sdt>
          </w:p>
        </w:tc>
      </w:tr>
      <w:tr w:rsidR="00C978F0" w:rsidRPr="00DA352E" w14:paraId="11D4CDFF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2577FF6" w14:textId="4F306DB5" w:rsidR="00C978F0" w:rsidRPr="00DA352E" w:rsidRDefault="00544FA7" w:rsidP="003365A5">
            <w:pPr>
              <w:pStyle w:val="Tabletextprimarysource"/>
            </w:pPr>
            <w:r>
              <w:t>No report</w:t>
            </w:r>
            <w:r w:rsidR="00F364DA">
              <w:t>.</w:t>
            </w:r>
          </w:p>
        </w:tc>
      </w:tr>
      <w:tr w:rsidR="00DA352E" w:rsidRPr="00DA352E" w14:paraId="1AC29550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BEF6A02" w14:textId="66FD2149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3F0935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3F0935">
                  <w:t>NA</w:t>
                </w:r>
                <w:proofErr w:type="spellEnd"/>
              </w:sdtContent>
            </w:sdt>
          </w:p>
        </w:tc>
      </w:tr>
      <w:tr w:rsidR="00DA352E" w:rsidRPr="00DA352E" w14:paraId="739CA5D1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5E6D596" w14:textId="2A02F9A8" w:rsidR="00DA352E" w:rsidRPr="00DA352E" w:rsidRDefault="003F0935" w:rsidP="003365A5">
            <w:pPr>
              <w:pStyle w:val="Tabletextprimarysource"/>
            </w:pPr>
            <w:r>
              <w:t>No report</w:t>
            </w:r>
            <w:r w:rsidR="00F364DA">
              <w:t>.</w:t>
            </w:r>
          </w:p>
        </w:tc>
      </w:tr>
      <w:tr w:rsidR="00DA352E" w:rsidRPr="00DA352E" w14:paraId="163A0E53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B924A52" w14:textId="7478A05A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3F0935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3F0935">
                  <w:t>NA</w:t>
                </w:r>
                <w:proofErr w:type="spellEnd"/>
              </w:sdtContent>
            </w:sdt>
          </w:p>
        </w:tc>
      </w:tr>
      <w:tr w:rsidR="00DA352E" w:rsidRPr="00DA352E" w14:paraId="6F91D099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C443428" w14:textId="07999558" w:rsidR="00DA352E" w:rsidRPr="00DA352E" w:rsidRDefault="003F0935" w:rsidP="003365A5">
            <w:pPr>
              <w:pStyle w:val="Tabletextprimarysource"/>
            </w:pPr>
            <w:r>
              <w:t>No report</w:t>
            </w:r>
            <w:r w:rsidR="00F364DA">
              <w:t>.</w:t>
            </w:r>
          </w:p>
        </w:tc>
      </w:tr>
    </w:tbl>
    <w:p w14:paraId="47FC7744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5"/>
        <w:gridCol w:w="423"/>
        <w:gridCol w:w="650"/>
        <w:gridCol w:w="6458"/>
      </w:tblGrid>
      <w:tr w:rsidR="004966BF" w:rsidRPr="00263255" w14:paraId="5B59473A" w14:textId="77777777" w:rsidTr="00111494">
        <w:trPr>
          <w:cantSplit/>
          <w:trHeight w:val="393"/>
          <w:tblHeader/>
        </w:trPr>
        <w:tc>
          <w:tcPr>
            <w:tcW w:w="1495" w:type="dxa"/>
            <w:shd w:val="clear" w:color="auto" w:fill="BFBFBF" w:themeFill="background1" w:themeFillShade="BF"/>
            <w:vAlign w:val="center"/>
          </w:tcPr>
          <w:p w14:paraId="3B7844F1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0FF9B835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50" w:type="dxa"/>
            <w:shd w:val="clear" w:color="auto" w:fill="BFBFBF" w:themeFill="background1" w:themeFillShade="BF"/>
            <w:vAlign w:val="center"/>
          </w:tcPr>
          <w:p w14:paraId="7A1C76E2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8" w:type="dxa"/>
            <w:shd w:val="clear" w:color="auto" w:fill="BFBFBF" w:themeFill="background1" w:themeFillShade="BF"/>
            <w:vAlign w:val="center"/>
          </w:tcPr>
          <w:p w14:paraId="3109ADB2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20466F97" w14:textId="77777777" w:rsidTr="00111494">
        <w:trPr>
          <w:cantSplit/>
        </w:trPr>
        <w:tc>
          <w:tcPr>
            <w:tcW w:w="1495" w:type="dxa"/>
          </w:tcPr>
          <w:p w14:paraId="04CA3947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3" w:type="dxa"/>
          </w:tcPr>
          <w:p w14:paraId="5D041D80" w14:textId="0D29986F" w:rsidR="004966BF" w:rsidRPr="00CE617F" w:rsidRDefault="00E94069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8E779E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50" w:type="dxa"/>
          </w:tcPr>
          <w:p w14:paraId="01ECA6FF" w14:textId="485BEB05" w:rsidR="004966BF" w:rsidRPr="004C23F4" w:rsidRDefault="0047551A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ND</w:t>
            </w:r>
          </w:p>
        </w:tc>
        <w:tc>
          <w:tcPr>
            <w:tcW w:w="6458" w:type="dxa"/>
          </w:tcPr>
          <w:p w14:paraId="2FF3ECC9" w14:textId="77777777" w:rsidR="0047551A" w:rsidRDefault="0047551A" w:rsidP="008E779E">
            <w:pPr>
              <w:pStyle w:val="ListBullet"/>
              <w:spacing w:before="60" w:after="60"/>
              <w:ind w:left="720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 xml:space="preserve">Human health </w:t>
            </w:r>
            <w:r w:rsidRPr="008E779E">
              <w:t>tier</w:t>
            </w:r>
            <w:r>
              <w:rPr>
                <w:rStyle w:val="checkbox"/>
                <w:rFonts w:ascii="Arial" w:hAnsi="Arial" w:cs="Arial"/>
              </w:rPr>
              <w:t xml:space="preserve"> I assessment</w:t>
            </w:r>
          </w:p>
          <w:p w14:paraId="6ECF42E6" w14:textId="2ABE44A1" w:rsidR="004966BF" w:rsidRPr="004C23F4" w:rsidRDefault="0047551A" w:rsidP="008E779E">
            <w:pPr>
              <w:pStyle w:val="ListBullet"/>
              <w:spacing w:before="60" w:after="60"/>
              <w:ind w:left="720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No further </w:t>
            </w:r>
            <w:r w:rsidRPr="008E779E">
              <w:t>information</w:t>
            </w:r>
            <w:r w:rsidR="00F364DA">
              <w:t>.</w:t>
            </w:r>
          </w:p>
        </w:tc>
      </w:tr>
    </w:tbl>
    <w:bookmarkEnd w:id="0"/>
    <w:p w14:paraId="5EA3F1AE" w14:textId="77777777" w:rsidR="007E2A4B" w:rsidRDefault="007E2A4B" w:rsidP="001A19D3">
      <w:pPr>
        <w:pStyle w:val="Heading3"/>
        <w:keepNext w:val="0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6F22CDDC" w14:textId="77777777" w:rsidTr="00111494">
        <w:trPr>
          <w:trHeight w:val="454"/>
          <w:tblHeader/>
        </w:trPr>
        <w:tc>
          <w:tcPr>
            <w:tcW w:w="6603" w:type="dxa"/>
            <w:vAlign w:val="center"/>
          </w:tcPr>
          <w:p w14:paraId="527B7A33" w14:textId="77777777" w:rsidR="002E0D61" w:rsidRDefault="00B1422A" w:rsidP="001A19D3">
            <w:pPr>
              <w:pStyle w:val="Tablefont"/>
              <w:spacing w:before="40" w:after="40"/>
            </w:pPr>
            <w:bookmarkStart w:id="1" w:name="GCQuest"/>
            <w:r>
              <w:lastRenderedPageBreak/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660BD622" w14:textId="3FFFED93" w:rsidR="002E0D61" w:rsidRDefault="00111494" w:rsidP="001A19D3">
                <w:pPr>
                  <w:pStyle w:val="Tablefont"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3C2DF8EF" w14:textId="77777777" w:rsidTr="00111494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2483D79B" w14:textId="0565C8A1" w:rsidR="008A36CF" w:rsidRPr="006901A2" w:rsidRDefault="00111494" w:rsidP="001A19D3">
                <w:pPr>
                  <w:pStyle w:val="Tablefont"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70F32DB9" w14:textId="77777777" w:rsidR="008A36CF" w:rsidRDefault="008A36CF" w:rsidP="001A19D3">
            <w:pPr>
              <w:pStyle w:val="Tablefont"/>
              <w:spacing w:before="40" w:after="40"/>
            </w:pPr>
          </w:p>
        </w:tc>
      </w:tr>
    </w:tbl>
    <w:bookmarkEnd w:id="1"/>
    <w:p w14:paraId="44AB938A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517BD3B3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0547E529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322F0912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2E5CD0C8" w14:textId="77777777" w:rsidTr="00812887">
        <w:trPr>
          <w:cantSplit/>
        </w:trPr>
        <w:tc>
          <w:tcPr>
            <w:tcW w:w="3227" w:type="dxa"/>
          </w:tcPr>
          <w:p w14:paraId="167563E7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08661A5" w14:textId="1BF4F59C" w:rsidR="00687890" w:rsidRPr="00DD2F9B" w:rsidRDefault="003F0935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35F18F82" w14:textId="77777777" w:rsidTr="00812887">
        <w:trPr>
          <w:cantSplit/>
        </w:trPr>
        <w:tc>
          <w:tcPr>
            <w:tcW w:w="3227" w:type="dxa"/>
          </w:tcPr>
          <w:p w14:paraId="39C25A54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701021E7" w14:textId="785AE245" w:rsidR="007925F0" w:rsidRPr="00DD2F9B" w:rsidRDefault="003F0935" w:rsidP="00DD2F9B">
            <w:pPr>
              <w:pStyle w:val="Tablefont"/>
            </w:pPr>
            <w:r>
              <w:t>—</w:t>
            </w:r>
          </w:p>
        </w:tc>
      </w:tr>
      <w:tr w:rsidR="00AF483F" w:rsidRPr="004C23F4" w14:paraId="746DEBC6" w14:textId="77777777" w:rsidTr="00812887">
        <w:trPr>
          <w:cantSplit/>
        </w:trPr>
        <w:tc>
          <w:tcPr>
            <w:tcW w:w="3227" w:type="dxa"/>
          </w:tcPr>
          <w:p w14:paraId="0F1B39FB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228C1E2A" w14:textId="7C44EBAA" w:rsidR="00AF483F" w:rsidRPr="00DD2F9B" w:rsidRDefault="003F0935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03FF0656" w14:textId="77777777" w:rsidTr="00812887">
        <w:trPr>
          <w:cantSplit/>
        </w:trPr>
        <w:tc>
          <w:tcPr>
            <w:tcW w:w="3227" w:type="dxa"/>
          </w:tcPr>
          <w:p w14:paraId="37FB05D0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341AD235" w14:textId="20265799" w:rsidR="00687890" w:rsidRPr="00DD2F9B" w:rsidRDefault="003F0935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2BB1AD20" w14:textId="77777777" w:rsidTr="00812887">
        <w:trPr>
          <w:cantSplit/>
        </w:trPr>
        <w:tc>
          <w:tcPr>
            <w:tcW w:w="3227" w:type="dxa"/>
          </w:tcPr>
          <w:p w14:paraId="69A2C4DE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24675842" w14:textId="12393D77" w:rsidR="00E41A26" w:rsidRPr="00DD2F9B" w:rsidRDefault="003F0935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2F5FB92A" w14:textId="77777777" w:rsidTr="00812887">
        <w:trPr>
          <w:cantSplit/>
        </w:trPr>
        <w:tc>
          <w:tcPr>
            <w:tcW w:w="3227" w:type="dxa"/>
          </w:tcPr>
          <w:p w14:paraId="5A4B7399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1B9E9FA8" w14:textId="6C1279B4" w:rsidR="002E0D61" w:rsidRPr="00DD2F9B" w:rsidRDefault="003F0935" w:rsidP="00DD2F9B">
            <w:pPr>
              <w:pStyle w:val="Tablefont"/>
            </w:pPr>
            <w:r w:rsidRPr="003F0935">
              <w:t>Carcinogenicity – A4</w:t>
            </w:r>
          </w:p>
        </w:tc>
      </w:tr>
      <w:tr w:rsidR="002E0D61" w:rsidRPr="004C23F4" w14:paraId="101587BE" w14:textId="77777777" w:rsidTr="00812887">
        <w:trPr>
          <w:cantSplit/>
        </w:trPr>
        <w:tc>
          <w:tcPr>
            <w:tcW w:w="3227" w:type="dxa"/>
          </w:tcPr>
          <w:p w14:paraId="064F3E87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291E7259" w14:textId="7E62982D" w:rsidR="002E0D61" w:rsidRPr="00DD2F9B" w:rsidRDefault="003F0935" w:rsidP="00DD2F9B">
            <w:pPr>
              <w:pStyle w:val="Tablefont"/>
            </w:pPr>
            <w:r w:rsidRPr="003F0935">
              <w:t>Carcinogenicity – 3B</w:t>
            </w:r>
          </w:p>
        </w:tc>
      </w:tr>
      <w:tr w:rsidR="002E0D61" w:rsidRPr="004C23F4" w14:paraId="7DFA8C93" w14:textId="77777777" w:rsidTr="00812887">
        <w:trPr>
          <w:cantSplit/>
        </w:trPr>
        <w:tc>
          <w:tcPr>
            <w:tcW w:w="3227" w:type="dxa"/>
          </w:tcPr>
          <w:p w14:paraId="25053B79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54C75451" w14:textId="7694962D" w:rsidR="002E0D61" w:rsidRPr="00DD2F9B" w:rsidRDefault="003F0935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2E21106B" w14:textId="77777777" w:rsidTr="00812887">
        <w:trPr>
          <w:cantSplit/>
        </w:trPr>
        <w:tc>
          <w:tcPr>
            <w:tcW w:w="3227" w:type="dxa"/>
          </w:tcPr>
          <w:p w14:paraId="0FEFEBDA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0237B4D5" w14:textId="7A745E5A" w:rsidR="002E0D61" w:rsidRPr="00DD2F9B" w:rsidRDefault="003F0935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DF58EDF" w14:textId="77777777" w:rsidTr="00812887">
        <w:trPr>
          <w:cantSplit/>
        </w:trPr>
        <w:tc>
          <w:tcPr>
            <w:tcW w:w="3227" w:type="dxa"/>
          </w:tcPr>
          <w:p w14:paraId="457FA5D3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4D096F09" w14:textId="09F69D17" w:rsidR="00386093" w:rsidRPr="00DD2F9B" w:rsidRDefault="003F0935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7B641BD" w14:textId="77777777" w:rsidTr="00812887">
        <w:trPr>
          <w:cantSplit/>
        </w:trPr>
        <w:tc>
          <w:tcPr>
            <w:tcW w:w="3227" w:type="dxa"/>
          </w:tcPr>
          <w:p w14:paraId="507702B6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00AFEA25" w14:textId="37E4EDE4" w:rsidR="00386093" w:rsidRPr="00DD2F9B" w:rsidRDefault="003F0935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2604E7A0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25369CCC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58A939AA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3B2A1660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3CBBF717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6F1611F6" w14:textId="519158EE" w:rsidR="00932DCE" w:rsidRPr="004C23F4" w:rsidRDefault="00111494" w:rsidP="00F9496B">
            <w:pPr>
              <w:pStyle w:val="Tablefont"/>
            </w:pPr>
            <w:r>
              <w:t xml:space="preserve">Insufficient data to </w:t>
            </w:r>
            <w:r w:rsidR="00F364DA">
              <w:t xml:space="preserve">assign </w:t>
            </w:r>
            <w:r>
              <w:t>a skin notation.</w:t>
            </w:r>
          </w:p>
        </w:tc>
      </w:tr>
    </w:tbl>
    <w:bookmarkEnd w:id="3"/>
    <w:p w14:paraId="1202F66A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714B4228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6B3F7CF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113675A0" w14:textId="7D128B68" w:rsidR="00EB3D1B" w:rsidRDefault="003F0935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6F35D9DC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1EFA2D92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FF3CB53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46CC197A" w14:textId="29C4AF06" w:rsidR="001B79E5" w:rsidRDefault="003F0935" w:rsidP="001B79E5">
                <w:pPr>
                  <w:pStyle w:val="Tablefont"/>
                </w:pPr>
                <w:r w:rsidRPr="003F0935">
                  <w:t>228.3</w:t>
                </w:r>
              </w:p>
            </w:tc>
          </w:sdtContent>
        </w:sdt>
      </w:tr>
      <w:tr w:rsidR="00A31D99" w:rsidRPr="004C23F4" w14:paraId="28CB3D86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EB3021E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34652F10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4C4CF7AE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80406D0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D8617D3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2749F2C8" w14:textId="77777777" w:rsidTr="00EA6243">
        <w:trPr>
          <w:cantSplit/>
        </w:trPr>
        <w:tc>
          <w:tcPr>
            <w:tcW w:w="4077" w:type="dxa"/>
            <w:vAlign w:val="center"/>
          </w:tcPr>
          <w:p w14:paraId="3FC6BC22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62C29BC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1C931FF8" w14:textId="77777777" w:rsidTr="00EA6243">
        <w:trPr>
          <w:cantSplit/>
        </w:trPr>
        <w:tc>
          <w:tcPr>
            <w:tcW w:w="4077" w:type="dxa"/>
            <w:vAlign w:val="center"/>
          </w:tcPr>
          <w:p w14:paraId="5AF3A232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FA23334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288AFE6B" w14:textId="77777777" w:rsidTr="00EA6243">
        <w:trPr>
          <w:cantSplit/>
        </w:trPr>
        <w:tc>
          <w:tcPr>
            <w:tcW w:w="4077" w:type="dxa"/>
            <w:vAlign w:val="center"/>
          </w:tcPr>
          <w:p w14:paraId="533E2AE9" w14:textId="77777777" w:rsidR="00E06F40" w:rsidRPr="00263255" w:rsidRDefault="00E06F40" w:rsidP="00084513">
            <w:pPr>
              <w:pStyle w:val="Tablefont"/>
            </w:pPr>
            <w:r w:rsidRPr="00263255">
              <w:lastRenderedPageBreak/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130100DE" w14:textId="77777777" w:rsidR="00E06F40" w:rsidRPr="00A006A0" w:rsidRDefault="00E94069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774F2A6E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64674BB0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331BBCD1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4A276555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67ADFCF0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69CF88A9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59BAA08C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18CD7A7A" w14:textId="77777777" w:rsidR="00F87D92" w:rsidRDefault="00F87D92" w:rsidP="00F364DA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1DE05464" w14:textId="6B9FDC6B" w:rsidR="007F1005" w:rsidRDefault="006650FE" w:rsidP="008E779E">
      <w:pPr>
        <w:keepNext/>
      </w:pPr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6ED7F4EC" w14:textId="454DF071" w:rsidR="003F0935" w:rsidRDefault="003F0935" w:rsidP="008E779E">
      <w:pPr>
        <w:keepNext/>
      </w:pPr>
      <w:r>
        <w:t xml:space="preserve">Deutsche </w:t>
      </w:r>
      <w:proofErr w:type="spellStart"/>
      <w:r>
        <w:t>Forschungsgemeinschaft</w:t>
      </w:r>
      <w:proofErr w:type="spellEnd"/>
      <w:r>
        <w:t xml:space="preserve"> (DFG) (2012) </w:t>
      </w:r>
      <w:r w:rsidRPr="003F0935">
        <w:t>Portland cement dust</w:t>
      </w:r>
      <w:r>
        <w:t xml:space="preserve"> – MAK value documentation.</w:t>
      </w:r>
    </w:p>
    <w:p w14:paraId="5A0DED20" w14:textId="7722F1FF" w:rsidR="003F0935" w:rsidRDefault="003F0935">
      <w:pPr>
        <w:keepNext/>
      </w:pPr>
      <w:r>
        <w:t>US National Institute for Occupational Safety and Health (NIOSH) (</w:t>
      </w:r>
      <w:r w:rsidRPr="003F0935">
        <w:t>1994</w:t>
      </w:r>
      <w:r>
        <w:t xml:space="preserve">) Immediately dangerous to life or health concentrations – </w:t>
      </w:r>
      <w:r w:rsidRPr="003F0935">
        <w:t>Portland cement</w:t>
      </w:r>
      <w:r>
        <w:t>.</w:t>
      </w:r>
    </w:p>
    <w:p w14:paraId="0F996D6E" w14:textId="75407287" w:rsidR="008E779E" w:rsidRDefault="008E779E" w:rsidP="008E779E">
      <w:r w:rsidRPr="00DB0A36">
        <w:t>National Industrial Chemicals Notification and Assessment Scheme (NICNAS) (</w:t>
      </w:r>
      <w:r>
        <w:t xml:space="preserve">No </w:t>
      </w:r>
      <w:r w:rsidR="00EB57E4">
        <w:t>D</w:t>
      </w:r>
      <w:r>
        <w:t>ate</w:t>
      </w:r>
      <w:r w:rsidRPr="00DB0A36">
        <w:t xml:space="preserve">) </w:t>
      </w:r>
      <w:r>
        <w:t>Portland Cement</w:t>
      </w:r>
      <w:r w:rsidRPr="00DB0A36">
        <w:t>:</w:t>
      </w:r>
      <w:r>
        <w:t xml:space="preserve"> </w:t>
      </w:r>
      <w:r w:rsidRPr="00DB0A36">
        <w:t xml:space="preserve">Human </w:t>
      </w:r>
      <w:r w:rsidRPr="004633BA">
        <w:t xml:space="preserve">health </w:t>
      </w:r>
      <w:r>
        <w:t>tier I</w:t>
      </w:r>
      <w:r w:rsidRPr="004633BA">
        <w:t xml:space="preserve"> assessment </w:t>
      </w:r>
      <w:r w:rsidRPr="00DB0A36">
        <w:t>– IMAP report.</w:t>
      </w:r>
    </w:p>
    <w:p w14:paraId="12AAB90D" w14:textId="77777777" w:rsidR="008E779E" w:rsidRPr="00351FE0" w:rsidRDefault="008E779E" w:rsidP="008E779E">
      <w:pPr>
        <w:keepNext/>
      </w:pPr>
    </w:p>
    <w:sectPr w:rsidR="008E779E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E4F819" w14:textId="77777777" w:rsidR="00CA1F25" w:rsidRDefault="00CA1F25" w:rsidP="00F43AD5">
      <w:pPr>
        <w:spacing w:after="0" w:line="240" w:lineRule="auto"/>
      </w:pPr>
      <w:r>
        <w:separator/>
      </w:r>
    </w:p>
  </w:endnote>
  <w:endnote w:type="continuationSeparator" w:id="0">
    <w:p w14:paraId="39CF62A9" w14:textId="77777777" w:rsidR="00CA1F25" w:rsidRDefault="00CA1F25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40C59D6C" w14:textId="47C23CEF" w:rsidR="008A36CF" w:rsidRDefault="00544FA7" w:rsidP="0034744C">
        <w:pPr>
          <w:pStyle w:val="Footer"/>
          <w:rPr>
            <w:sz w:val="18"/>
            <w:szCs w:val="18"/>
          </w:rPr>
        </w:pPr>
        <w:r w:rsidRPr="00544FA7">
          <w:rPr>
            <w:b/>
            <w:sz w:val="18"/>
            <w:szCs w:val="18"/>
          </w:rPr>
          <w:t>Portland cement</w:t>
        </w:r>
        <w:r w:rsidR="008A36CF">
          <w:rPr>
            <w:b/>
            <w:sz w:val="18"/>
            <w:szCs w:val="18"/>
          </w:rPr>
          <w:t xml:space="preserve"> (</w:t>
        </w:r>
        <w:r w:rsidRPr="00544FA7">
          <w:rPr>
            <w:b/>
            <w:sz w:val="18"/>
            <w:szCs w:val="18"/>
          </w:rPr>
          <w:t>65997-15-1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</w:t>
        </w:r>
        <w:r w:rsidR="008E779E" w:rsidRPr="00F43AD5">
          <w:rPr>
            <w:sz w:val="18"/>
            <w:szCs w:val="18"/>
          </w:rPr>
          <w:t>20</w:t>
        </w:r>
        <w:r w:rsidR="008E779E">
          <w:rPr>
            <w:sz w:val="18"/>
            <w:szCs w:val="18"/>
          </w:rPr>
          <w:t>20</w:t>
        </w:r>
      </w:p>
      <w:p w14:paraId="78352241" w14:textId="12789255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4F5A2A">
          <w:rPr>
            <w:noProof/>
            <w:sz w:val="18"/>
            <w:szCs w:val="18"/>
          </w:rPr>
          <w:t>3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5206E7" w14:textId="77777777" w:rsidR="00CA1F25" w:rsidRDefault="00CA1F25" w:rsidP="00F43AD5">
      <w:pPr>
        <w:spacing w:after="0" w:line="240" w:lineRule="auto"/>
      </w:pPr>
      <w:r>
        <w:separator/>
      </w:r>
    </w:p>
  </w:footnote>
  <w:footnote w:type="continuationSeparator" w:id="0">
    <w:p w14:paraId="5C74885C" w14:textId="77777777" w:rsidR="00CA1F25" w:rsidRDefault="00CA1F25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2418CE" w14:textId="72E155F8" w:rsidR="004F5A2A" w:rsidRDefault="004F5A2A" w:rsidP="004F5A2A">
    <w:pPr>
      <w:pStyle w:val="Header"/>
      <w:jc w:val="right"/>
    </w:pPr>
    <w:r>
      <w:rPr>
        <w:noProof/>
        <w:lang w:eastAsia="en-AU"/>
      </w:rPr>
      <w:drawing>
        <wp:inline distT="0" distB="0" distL="0" distR="0" wp14:anchorId="6C5814D5" wp14:editId="0D47B1A2">
          <wp:extent cx="2945130" cy="595630"/>
          <wp:effectExtent l="0" t="0" r="762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3225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5D86031" w14:textId="77777777" w:rsidR="004F5A2A" w:rsidRDefault="004F5A2A" w:rsidP="004F5A2A">
    <w:pPr>
      <w:pStyle w:val="Header"/>
      <w:jc w:val="right"/>
    </w:pPr>
  </w:p>
  <w:p w14:paraId="21AFE486" w14:textId="3C8CB575" w:rsidR="008A36CF" w:rsidRPr="004F5A2A" w:rsidRDefault="008A36CF" w:rsidP="004F5A2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C2289" w14:textId="76DDB3AA" w:rsidR="004F5A2A" w:rsidRDefault="00E94069" w:rsidP="004F5A2A">
    <w:pPr>
      <w:pStyle w:val="Header"/>
      <w:jc w:val="right"/>
    </w:pPr>
    <w:sdt>
      <w:sdtPr>
        <w:id w:val="-1256983618"/>
        <w:docPartObj>
          <w:docPartGallery w:val="Watermarks"/>
          <w:docPartUnique/>
        </w:docPartObj>
      </w:sdtPr>
      <w:sdtEndPr/>
      <w:sdtContent/>
    </w:sdt>
    <w:r w:rsidR="004F5A2A">
      <w:rPr>
        <w:noProof/>
        <w:lang w:eastAsia="en-AU"/>
      </w:rPr>
      <w:drawing>
        <wp:inline distT="0" distB="0" distL="0" distR="0" wp14:anchorId="72DD4429" wp14:editId="7D03990D">
          <wp:extent cx="2945130" cy="595630"/>
          <wp:effectExtent l="0" t="0" r="762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3225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7059F96" w14:textId="77777777" w:rsidR="004F5A2A" w:rsidRDefault="004F5A2A" w:rsidP="004F5A2A">
    <w:pPr>
      <w:pStyle w:val="Header"/>
      <w:jc w:val="right"/>
    </w:pPr>
  </w:p>
  <w:p w14:paraId="53C9A46C" w14:textId="3B463B88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CA974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640F3C"/>
    <w:multiLevelType w:val="hybridMultilevel"/>
    <w:tmpl w:val="A7CAA3DC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9C0C4D"/>
    <w:multiLevelType w:val="hybridMultilevel"/>
    <w:tmpl w:val="15605BD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CB25638"/>
    <w:multiLevelType w:val="hybridMultilevel"/>
    <w:tmpl w:val="BE9E4D0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289416F"/>
    <w:multiLevelType w:val="hybridMultilevel"/>
    <w:tmpl w:val="E24633EA"/>
    <w:lvl w:ilvl="0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5FD7640"/>
    <w:multiLevelType w:val="hybridMultilevel"/>
    <w:tmpl w:val="A762E8EA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936281164">
    <w:abstractNumId w:val="0"/>
  </w:num>
  <w:num w:numId="2" w16cid:durableId="1079132312">
    <w:abstractNumId w:val="3"/>
  </w:num>
  <w:num w:numId="3" w16cid:durableId="517238808">
    <w:abstractNumId w:val="2"/>
  </w:num>
  <w:num w:numId="4" w16cid:durableId="1464272415">
    <w:abstractNumId w:val="5"/>
  </w:num>
  <w:num w:numId="5" w16cid:durableId="1427115461">
    <w:abstractNumId w:val="0"/>
  </w:num>
  <w:num w:numId="6" w16cid:durableId="1912078358">
    <w:abstractNumId w:val="0"/>
  </w:num>
  <w:num w:numId="7" w16cid:durableId="1444492274">
    <w:abstractNumId w:val="0"/>
  </w:num>
  <w:num w:numId="8" w16cid:durableId="690647244">
    <w:abstractNumId w:val="0"/>
  </w:num>
  <w:num w:numId="9" w16cid:durableId="211431448">
    <w:abstractNumId w:val="0"/>
  </w:num>
  <w:num w:numId="10" w16cid:durableId="1534923985">
    <w:abstractNumId w:val="0"/>
  </w:num>
  <w:num w:numId="11" w16cid:durableId="1316569439">
    <w:abstractNumId w:val="0"/>
  </w:num>
  <w:num w:numId="12" w16cid:durableId="286471480">
    <w:abstractNumId w:val="0"/>
  </w:num>
  <w:num w:numId="13" w16cid:durableId="1771849366">
    <w:abstractNumId w:val="0"/>
  </w:num>
  <w:num w:numId="14" w16cid:durableId="916983913">
    <w:abstractNumId w:val="0"/>
  </w:num>
  <w:num w:numId="15" w16cid:durableId="1249851311">
    <w:abstractNumId w:val="0"/>
  </w:num>
  <w:num w:numId="16" w16cid:durableId="1690132640">
    <w:abstractNumId w:val="0"/>
  </w:num>
  <w:num w:numId="17" w16cid:durableId="1517646695">
    <w:abstractNumId w:val="0"/>
  </w:num>
  <w:num w:numId="18" w16cid:durableId="1603222931">
    <w:abstractNumId w:val="0"/>
  </w:num>
  <w:num w:numId="19" w16cid:durableId="162476309">
    <w:abstractNumId w:val="0"/>
  </w:num>
  <w:num w:numId="20" w16cid:durableId="927344985">
    <w:abstractNumId w:val="1"/>
  </w:num>
  <w:num w:numId="21" w16cid:durableId="2597994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6DF5"/>
    <w:rsid w:val="00051ADE"/>
    <w:rsid w:val="00052060"/>
    <w:rsid w:val="0005574A"/>
    <w:rsid w:val="00055FE1"/>
    <w:rsid w:val="00056EC2"/>
    <w:rsid w:val="00060B48"/>
    <w:rsid w:val="00067F32"/>
    <w:rsid w:val="00071807"/>
    <w:rsid w:val="0007342F"/>
    <w:rsid w:val="000803E1"/>
    <w:rsid w:val="00084513"/>
    <w:rsid w:val="00084859"/>
    <w:rsid w:val="00092D94"/>
    <w:rsid w:val="000B069C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00D5"/>
    <w:rsid w:val="000E5A54"/>
    <w:rsid w:val="000E63D3"/>
    <w:rsid w:val="000E67CF"/>
    <w:rsid w:val="0010461E"/>
    <w:rsid w:val="00106FAA"/>
    <w:rsid w:val="00111494"/>
    <w:rsid w:val="00113443"/>
    <w:rsid w:val="00123A07"/>
    <w:rsid w:val="001269A7"/>
    <w:rsid w:val="00131092"/>
    <w:rsid w:val="00140E6A"/>
    <w:rsid w:val="00146545"/>
    <w:rsid w:val="00146B75"/>
    <w:rsid w:val="0015266D"/>
    <w:rsid w:val="0015288A"/>
    <w:rsid w:val="00160F47"/>
    <w:rsid w:val="00177CA1"/>
    <w:rsid w:val="00180F9C"/>
    <w:rsid w:val="00183823"/>
    <w:rsid w:val="00183942"/>
    <w:rsid w:val="001A009E"/>
    <w:rsid w:val="001A1287"/>
    <w:rsid w:val="001A19D3"/>
    <w:rsid w:val="001A3859"/>
    <w:rsid w:val="001A3C9D"/>
    <w:rsid w:val="001A43F8"/>
    <w:rsid w:val="001B3C44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91361"/>
    <w:rsid w:val="002A6E45"/>
    <w:rsid w:val="002B1A2C"/>
    <w:rsid w:val="002C34F2"/>
    <w:rsid w:val="002C58FF"/>
    <w:rsid w:val="002C7AFE"/>
    <w:rsid w:val="002C7CA9"/>
    <w:rsid w:val="002D05D2"/>
    <w:rsid w:val="002E0D61"/>
    <w:rsid w:val="002E4C7B"/>
    <w:rsid w:val="002E757F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77096"/>
    <w:rsid w:val="00383C4B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3F0935"/>
    <w:rsid w:val="00402108"/>
    <w:rsid w:val="004030BC"/>
    <w:rsid w:val="00403F7D"/>
    <w:rsid w:val="00406785"/>
    <w:rsid w:val="004079B4"/>
    <w:rsid w:val="00417A56"/>
    <w:rsid w:val="00417C27"/>
    <w:rsid w:val="00420957"/>
    <w:rsid w:val="00422A10"/>
    <w:rsid w:val="00430179"/>
    <w:rsid w:val="004414B5"/>
    <w:rsid w:val="00444482"/>
    <w:rsid w:val="004446FE"/>
    <w:rsid w:val="00444B42"/>
    <w:rsid w:val="00445E44"/>
    <w:rsid w:val="004509E2"/>
    <w:rsid w:val="004515EE"/>
    <w:rsid w:val="004529F0"/>
    <w:rsid w:val="00460A03"/>
    <w:rsid w:val="00472A11"/>
    <w:rsid w:val="00472AAD"/>
    <w:rsid w:val="004737DE"/>
    <w:rsid w:val="00474E33"/>
    <w:rsid w:val="0047551A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1755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5A2A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34ECE"/>
    <w:rsid w:val="005446A2"/>
    <w:rsid w:val="00544D2F"/>
    <w:rsid w:val="00544FA7"/>
    <w:rsid w:val="00551BD8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D7895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2C42"/>
    <w:rsid w:val="00695B72"/>
    <w:rsid w:val="00697ED0"/>
    <w:rsid w:val="006A3D14"/>
    <w:rsid w:val="006B160A"/>
    <w:rsid w:val="006B4E6C"/>
    <w:rsid w:val="006B50B6"/>
    <w:rsid w:val="006D79EA"/>
    <w:rsid w:val="006E5D05"/>
    <w:rsid w:val="00701053"/>
    <w:rsid w:val="00701507"/>
    <w:rsid w:val="00714021"/>
    <w:rsid w:val="007153C6"/>
    <w:rsid w:val="00716A0F"/>
    <w:rsid w:val="00717D45"/>
    <w:rsid w:val="007208F7"/>
    <w:rsid w:val="007218AF"/>
    <w:rsid w:val="007365D1"/>
    <w:rsid w:val="00737056"/>
    <w:rsid w:val="00740E0E"/>
    <w:rsid w:val="00750212"/>
    <w:rsid w:val="00754779"/>
    <w:rsid w:val="0075716D"/>
    <w:rsid w:val="00765F14"/>
    <w:rsid w:val="00767E25"/>
    <w:rsid w:val="00770E31"/>
    <w:rsid w:val="007770F1"/>
    <w:rsid w:val="00783FB1"/>
    <w:rsid w:val="007857F1"/>
    <w:rsid w:val="00785CDD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6A4E"/>
    <w:rsid w:val="007E6C94"/>
    <w:rsid w:val="007E79C2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0923"/>
    <w:rsid w:val="008B403C"/>
    <w:rsid w:val="008B7983"/>
    <w:rsid w:val="008C019C"/>
    <w:rsid w:val="008C2511"/>
    <w:rsid w:val="008D026D"/>
    <w:rsid w:val="008D23AB"/>
    <w:rsid w:val="008D4B8B"/>
    <w:rsid w:val="008D5A78"/>
    <w:rsid w:val="008E779E"/>
    <w:rsid w:val="008E7B64"/>
    <w:rsid w:val="008F3852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14BA"/>
    <w:rsid w:val="0097309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36EB4"/>
    <w:rsid w:val="00A402A3"/>
    <w:rsid w:val="00A53681"/>
    <w:rsid w:val="00A633D4"/>
    <w:rsid w:val="00A644C9"/>
    <w:rsid w:val="00A6461A"/>
    <w:rsid w:val="00A81C4B"/>
    <w:rsid w:val="00A84504"/>
    <w:rsid w:val="00A8610B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40D9"/>
    <w:rsid w:val="00B479A9"/>
    <w:rsid w:val="00B52EDF"/>
    <w:rsid w:val="00B619BF"/>
    <w:rsid w:val="00B71188"/>
    <w:rsid w:val="00B76A41"/>
    <w:rsid w:val="00B87D4C"/>
    <w:rsid w:val="00B90C40"/>
    <w:rsid w:val="00B93646"/>
    <w:rsid w:val="00BA0B38"/>
    <w:rsid w:val="00BA1DBB"/>
    <w:rsid w:val="00BA4510"/>
    <w:rsid w:val="00BA529A"/>
    <w:rsid w:val="00BB612A"/>
    <w:rsid w:val="00BD220F"/>
    <w:rsid w:val="00BD499F"/>
    <w:rsid w:val="00BD56DE"/>
    <w:rsid w:val="00BF2406"/>
    <w:rsid w:val="00C06E43"/>
    <w:rsid w:val="00C16315"/>
    <w:rsid w:val="00C20838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1F25"/>
    <w:rsid w:val="00CA58FE"/>
    <w:rsid w:val="00CB1CB1"/>
    <w:rsid w:val="00CB6BC1"/>
    <w:rsid w:val="00CB6CB8"/>
    <w:rsid w:val="00CC1A68"/>
    <w:rsid w:val="00CC2123"/>
    <w:rsid w:val="00CD2BFD"/>
    <w:rsid w:val="00CD63CA"/>
    <w:rsid w:val="00CE5AD6"/>
    <w:rsid w:val="00CE617F"/>
    <w:rsid w:val="00CE78EF"/>
    <w:rsid w:val="00D048F7"/>
    <w:rsid w:val="00D0517E"/>
    <w:rsid w:val="00D11D0B"/>
    <w:rsid w:val="00D140FC"/>
    <w:rsid w:val="00D21D8C"/>
    <w:rsid w:val="00D24275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4000"/>
    <w:rsid w:val="00D87570"/>
    <w:rsid w:val="00D90137"/>
    <w:rsid w:val="00D91CB9"/>
    <w:rsid w:val="00D97989"/>
    <w:rsid w:val="00D97D8D"/>
    <w:rsid w:val="00DA352E"/>
    <w:rsid w:val="00DA65A8"/>
    <w:rsid w:val="00DC7694"/>
    <w:rsid w:val="00DD1BF6"/>
    <w:rsid w:val="00DD2F9B"/>
    <w:rsid w:val="00DE2513"/>
    <w:rsid w:val="00DE26E8"/>
    <w:rsid w:val="00DF41D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1CD6"/>
    <w:rsid w:val="00E46BCB"/>
    <w:rsid w:val="00E51CAF"/>
    <w:rsid w:val="00E60F04"/>
    <w:rsid w:val="00E62AAC"/>
    <w:rsid w:val="00E669C7"/>
    <w:rsid w:val="00E67C2F"/>
    <w:rsid w:val="00E67EF5"/>
    <w:rsid w:val="00E804EA"/>
    <w:rsid w:val="00E80A71"/>
    <w:rsid w:val="00E82337"/>
    <w:rsid w:val="00E92499"/>
    <w:rsid w:val="00E94069"/>
    <w:rsid w:val="00E949AF"/>
    <w:rsid w:val="00E96077"/>
    <w:rsid w:val="00EA0A06"/>
    <w:rsid w:val="00EA6243"/>
    <w:rsid w:val="00EA74AB"/>
    <w:rsid w:val="00EB3D1B"/>
    <w:rsid w:val="00EB3FD3"/>
    <w:rsid w:val="00EB57E4"/>
    <w:rsid w:val="00ED0DDF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364DA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B7AD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."/>
  <w:listSeparator w:val=","/>
  <w14:docId w14:val="090CACBD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B440D9"/>
    <w:pPr>
      <w:numPr>
        <w:numId w:val="1"/>
      </w:numPr>
      <w:contextualSpacing/>
    </w:pPr>
  </w:style>
  <w:style w:type="paragraph" w:styleId="Revision">
    <w:name w:val="Revision"/>
    <w:hidden/>
    <w:uiPriority w:val="99"/>
    <w:semiHidden/>
    <w:rsid w:val="008E779E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785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857F1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857F1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5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57F1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840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1BB22B6225854F38A96B4CEB00E233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BAB68C-3FDB-42B2-BC3C-CA22D605E97D}"/>
      </w:docPartPr>
      <w:docPartBody>
        <w:p w:rsidR="003E0A72" w:rsidRDefault="003D669F" w:rsidP="003D669F">
          <w:pPr>
            <w:pStyle w:val="1BB22B6225854F38A96B4CEB00E23377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73CA2"/>
    <w:rsid w:val="002A6E45"/>
    <w:rsid w:val="003D669F"/>
    <w:rsid w:val="003E0A72"/>
    <w:rsid w:val="00697ED0"/>
    <w:rsid w:val="00B929B2"/>
    <w:rsid w:val="00D2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D669F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1BB22B6225854F38A96B4CEB00E23377">
    <w:name w:val="1BB22B6225854F38A96B4CEB00E23377"/>
    <w:rsid w:val="003D669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3A0F74-6C53-4345-8AF7-B285DA1276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6FD3B4-E5FF-44D0-A85D-1656AEB7AF7B}">
  <ds:schemaRefs>
    <ds:schemaRef ds:uri="1c567317-0c4d-4a62-8516-c22afd1b5354"/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a0509f21-ed56-4150-9955-96be669e5f2d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5FFA8CD-8416-4E74-BFE4-984B9C2DF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6</Pages>
  <Words>1312</Words>
  <Characters>7485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8780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WOOD,Nina</cp:lastModifiedBy>
  <cp:revision>37</cp:revision>
  <cp:lastPrinted>2018-10-22T22:41:00Z</cp:lastPrinted>
  <dcterms:created xsi:type="dcterms:W3CDTF">2019-09-30T06:15:00Z</dcterms:created>
  <dcterms:modified xsi:type="dcterms:W3CDTF">2026-01-09T00:52:00Z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2026-01-02T03:29:10Z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0d12e7a5-bddf-4109-bd9c-81fc951c161f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