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4F4A2A0" w14:textId="57DC12E1" w:rsidR="00BD499F" w:rsidRPr="004C23F4" w:rsidRDefault="00F665E5" w:rsidP="00B40C60">
          <w:pPr>
            <w:pStyle w:val="Heading1"/>
            <w:jc w:val="center"/>
            <w:rPr>
              <w:rFonts w:ascii="Arial" w:hAnsi="Arial" w:cs="Arial"/>
            </w:rPr>
          </w:pPr>
          <w:r w:rsidRPr="00F665E5">
            <w:rPr>
              <w:rFonts w:ascii="Arial" w:hAnsi="Arial" w:cs="Arial"/>
            </w:rPr>
            <w:t>Polyvinyl chloride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34D9C4AD" w14:textId="77777777" w:rsidTr="00B76A41">
        <w:trPr>
          <w:cantSplit/>
          <w:tblHeader/>
        </w:trPr>
        <w:tc>
          <w:tcPr>
            <w:tcW w:w="4077" w:type="dxa"/>
          </w:tcPr>
          <w:p w14:paraId="080F9EF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A52C844" w14:textId="0800501C" w:rsidR="00F43AD5" w:rsidRPr="00717D45" w:rsidRDefault="00F665E5" w:rsidP="00B76A41">
            <w:pPr>
              <w:pStyle w:val="Tablefont"/>
            </w:pPr>
            <w:r w:rsidRPr="00F665E5">
              <w:t>9002-86-2</w:t>
            </w:r>
          </w:p>
        </w:tc>
      </w:tr>
      <w:tr w:rsidR="00F43AD5" w:rsidRPr="004C23F4" w14:paraId="3C9F2163" w14:textId="77777777" w:rsidTr="00B76A41">
        <w:trPr>
          <w:cantSplit/>
        </w:trPr>
        <w:tc>
          <w:tcPr>
            <w:tcW w:w="4077" w:type="dxa"/>
          </w:tcPr>
          <w:p w14:paraId="215AF0E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8D7748D" w14:textId="08F6DFE6" w:rsidR="00F43AD5" w:rsidRPr="00717D45" w:rsidRDefault="004A5E35" w:rsidP="00B76A41">
            <w:pPr>
              <w:pStyle w:val="Tablefont"/>
            </w:pPr>
            <w:r>
              <w:t xml:space="preserve">Chloroethylene homopolymer, </w:t>
            </w:r>
            <w:r w:rsidR="009508B3">
              <w:br/>
            </w:r>
            <w:r>
              <w:t xml:space="preserve">chloroethylene polymer, </w:t>
            </w:r>
            <w:proofErr w:type="spellStart"/>
            <w:r>
              <w:t>chlororethene</w:t>
            </w:r>
            <w:proofErr w:type="spellEnd"/>
            <w:r>
              <w:t xml:space="preserve"> polymer, </w:t>
            </w:r>
            <w:proofErr w:type="spellStart"/>
            <w:r>
              <w:t>polycholoroethylene</w:t>
            </w:r>
            <w:proofErr w:type="spellEnd"/>
            <w:r>
              <w:t xml:space="preserve">, vinyl chloride homopolymer, </w:t>
            </w:r>
            <w:r w:rsidR="009508B3">
              <w:br/>
            </w:r>
            <w:r>
              <w:t>vinyl chloride polymer, PVC</w:t>
            </w:r>
          </w:p>
        </w:tc>
      </w:tr>
      <w:tr w:rsidR="00F43AD5" w:rsidRPr="004C23F4" w14:paraId="15FB0D34" w14:textId="77777777" w:rsidTr="00B76A41">
        <w:trPr>
          <w:cantSplit/>
        </w:trPr>
        <w:tc>
          <w:tcPr>
            <w:tcW w:w="4077" w:type="dxa"/>
          </w:tcPr>
          <w:p w14:paraId="3FD0967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029930C" w14:textId="455A3A7A" w:rsidR="00F43AD5" w:rsidRPr="00717D45" w:rsidRDefault="004A5E35" w:rsidP="00B76A41">
            <w:pPr>
              <w:pStyle w:val="Tablefont"/>
            </w:pPr>
            <w:r>
              <w:t>(C</w:t>
            </w:r>
            <w:r w:rsidRPr="004A5E35">
              <w:rPr>
                <w:vertAlign w:val="subscript"/>
              </w:rPr>
              <w:t>2</w:t>
            </w:r>
            <w:r>
              <w:t>H</w:t>
            </w:r>
            <w:r w:rsidRPr="004A5E35">
              <w:rPr>
                <w:vertAlign w:val="subscript"/>
              </w:rPr>
              <w:t>3</w:t>
            </w:r>
            <w:proofErr w:type="gramStart"/>
            <w:r>
              <w:t>Cl)</w:t>
            </w:r>
            <w:r w:rsidRPr="00F3586F">
              <w:rPr>
                <w:i/>
              </w:rPr>
              <w:t>n</w:t>
            </w:r>
            <w:proofErr w:type="gramEnd"/>
          </w:p>
        </w:tc>
      </w:tr>
      <w:tr w:rsidR="00F43AD5" w:rsidRPr="004C23F4" w14:paraId="2B6D5599" w14:textId="77777777" w:rsidTr="00B76A41">
        <w:trPr>
          <w:cantSplit/>
        </w:trPr>
        <w:tc>
          <w:tcPr>
            <w:tcW w:w="4077" w:type="dxa"/>
          </w:tcPr>
          <w:p w14:paraId="5B362F33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8BD90EB" w14:textId="3B1EF37D" w:rsidR="00F43AD5" w:rsidRPr="00B40C60" w:rsidRDefault="004A5E35" w:rsidP="00B76A41">
            <w:pPr>
              <w:pStyle w:val="Tablerowheading"/>
              <w:rPr>
                <w:b w:val="0"/>
              </w:rPr>
            </w:pPr>
            <w:r w:rsidRPr="004A5E35">
              <w:rPr>
                <w:b w:val="0"/>
              </w:rPr>
              <w:t>—</w:t>
            </w:r>
          </w:p>
        </w:tc>
      </w:tr>
    </w:tbl>
    <w:p w14:paraId="1C799A56" w14:textId="064D0E2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F06B5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1"/>
        <w:gridCol w:w="5025"/>
      </w:tblGrid>
      <w:tr w:rsidR="002C7AFE" w:rsidRPr="004C23F4" w14:paraId="651AFF97" w14:textId="77777777" w:rsidTr="002F06B5">
        <w:trPr>
          <w:cantSplit/>
          <w:tblHeader/>
        </w:trPr>
        <w:tc>
          <w:tcPr>
            <w:tcW w:w="4001" w:type="dxa"/>
            <w:vAlign w:val="center"/>
          </w:tcPr>
          <w:p w14:paraId="0022A13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5" w:type="dxa"/>
          </w:tcPr>
          <w:p w14:paraId="4B8FC23A" w14:textId="061BA15A" w:rsidR="002C7AFE" w:rsidRPr="002F06B5" w:rsidRDefault="002F06B5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 xml:space="preserve"> (</w:t>
            </w:r>
            <w:r w:rsidR="000D6415">
              <w:rPr>
                <w:b/>
              </w:rPr>
              <w:t xml:space="preserve">as </w:t>
            </w:r>
            <w:r>
              <w:rPr>
                <w:b/>
              </w:rPr>
              <w:t>respirable dust)</w:t>
            </w:r>
          </w:p>
        </w:tc>
      </w:tr>
      <w:tr w:rsidR="002F06B5" w:rsidRPr="004C23F4" w14:paraId="2E3A88C3" w14:textId="77777777" w:rsidTr="002F06B5">
        <w:trPr>
          <w:cantSplit/>
        </w:trPr>
        <w:tc>
          <w:tcPr>
            <w:tcW w:w="4001" w:type="dxa"/>
            <w:vAlign w:val="center"/>
          </w:tcPr>
          <w:p w14:paraId="57CC27E2" w14:textId="77777777" w:rsidR="002F06B5" w:rsidRPr="002C58FF" w:rsidRDefault="002F06B5" w:rsidP="002F06B5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5" w:type="dxa"/>
          </w:tcPr>
          <w:p w14:paraId="4E22F5BF" w14:textId="41A8FDE3" w:rsidR="002F06B5" w:rsidRPr="00D4502C" w:rsidRDefault="002F06B5" w:rsidP="002F06B5">
            <w:pPr>
              <w:pStyle w:val="Tablefont"/>
              <w:rPr>
                <w:b/>
              </w:rPr>
            </w:pPr>
            <w:r w:rsidRPr="006B0F18">
              <w:rPr>
                <w:b/>
              </w:rPr>
              <w:t>—</w:t>
            </w:r>
          </w:p>
        </w:tc>
      </w:tr>
      <w:tr w:rsidR="002F06B5" w:rsidRPr="004C23F4" w14:paraId="6271B611" w14:textId="77777777" w:rsidTr="002F06B5">
        <w:trPr>
          <w:cantSplit/>
        </w:trPr>
        <w:tc>
          <w:tcPr>
            <w:tcW w:w="4001" w:type="dxa"/>
            <w:vAlign w:val="center"/>
          </w:tcPr>
          <w:p w14:paraId="169D7BA8" w14:textId="77777777" w:rsidR="002F06B5" w:rsidRPr="002C58FF" w:rsidRDefault="002F06B5" w:rsidP="002F06B5">
            <w:pPr>
              <w:pStyle w:val="Tablerowright"/>
            </w:pPr>
            <w:r>
              <w:t>Peak limitation:</w:t>
            </w:r>
          </w:p>
        </w:tc>
        <w:tc>
          <w:tcPr>
            <w:tcW w:w="5025" w:type="dxa"/>
          </w:tcPr>
          <w:p w14:paraId="329D9534" w14:textId="0B20D5C5" w:rsidR="002F06B5" w:rsidRPr="00D4502C" w:rsidRDefault="002F06B5" w:rsidP="002F06B5">
            <w:pPr>
              <w:pStyle w:val="Tablefont"/>
              <w:rPr>
                <w:b/>
              </w:rPr>
            </w:pPr>
            <w:r w:rsidRPr="006B0F18">
              <w:rPr>
                <w:b/>
              </w:rPr>
              <w:t>—</w:t>
            </w:r>
          </w:p>
        </w:tc>
      </w:tr>
      <w:tr w:rsidR="002F06B5" w:rsidRPr="004C23F4" w14:paraId="30B3B5E0" w14:textId="77777777" w:rsidTr="002F06B5">
        <w:trPr>
          <w:cantSplit/>
        </w:trPr>
        <w:tc>
          <w:tcPr>
            <w:tcW w:w="4001" w:type="dxa"/>
          </w:tcPr>
          <w:p w14:paraId="3F62A3A3" w14:textId="77777777" w:rsidR="002F06B5" w:rsidRPr="002C58FF" w:rsidRDefault="002F06B5" w:rsidP="002F06B5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25" w:type="dxa"/>
          </w:tcPr>
          <w:p w14:paraId="462C688D" w14:textId="05B5940D" w:rsidR="002F06B5" w:rsidRPr="00D4502C" w:rsidRDefault="002F06B5" w:rsidP="002F06B5">
            <w:pPr>
              <w:pStyle w:val="Tablefont"/>
              <w:rPr>
                <w:b/>
              </w:rPr>
            </w:pPr>
            <w:r w:rsidRPr="006B0F18">
              <w:rPr>
                <w:b/>
              </w:rPr>
              <w:t>—</w:t>
            </w:r>
          </w:p>
        </w:tc>
      </w:tr>
      <w:tr w:rsidR="002C7AFE" w:rsidRPr="004C23F4" w14:paraId="7BCD674C" w14:textId="77777777" w:rsidTr="002F06B5">
        <w:trPr>
          <w:cantSplit/>
        </w:trPr>
        <w:tc>
          <w:tcPr>
            <w:tcW w:w="4001" w:type="dxa"/>
            <w:vAlign w:val="center"/>
          </w:tcPr>
          <w:p w14:paraId="7955253E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5" w:type="dxa"/>
          </w:tcPr>
          <w:p w14:paraId="5282B7AE" w14:textId="10E1B42F" w:rsidR="002C7AFE" w:rsidRPr="00D4502C" w:rsidRDefault="004A5E35" w:rsidP="00017C82">
            <w:pPr>
              <w:pStyle w:val="Tablefont"/>
              <w:rPr>
                <w:b/>
              </w:rPr>
            </w:pPr>
            <w:r w:rsidRPr="006B0F18">
              <w:rPr>
                <w:b/>
              </w:rPr>
              <w:t>—</w:t>
            </w:r>
          </w:p>
        </w:tc>
      </w:tr>
      <w:tr w:rsidR="00D4502C" w:rsidRPr="004C23F4" w14:paraId="783649D3" w14:textId="77777777" w:rsidTr="00D0517C">
        <w:trPr>
          <w:cantSplit/>
        </w:trPr>
        <w:tc>
          <w:tcPr>
            <w:tcW w:w="9026" w:type="dxa"/>
            <w:gridSpan w:val="2"/>
            <w:vAlign w:val="center"/>
          </w:tcPr>
          <w:p w14:paraId="43DFB52D" w14:textId="1FF57584" w:rsidR="00D4502C" w:rsidRPr="00EB3D1B" w:rsidRDefault="00D4502C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DA4B01B4A7CF4A3BBFCC1879B0D28B5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0D641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5BB129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526585C" w14:textId="282B4ACD" w:rsidR="002F06B5" w:rsidRDefault="002F06B5" w:rsidP="002F06B5">
      <w:r w:rsidRPr="002F06B5">
        <w:t>A TWA of 1 mg/m</w:t>
      </w:r>
      <w:r w:rsidRPr="002F06B5">
        <w:rPr>
          <w:vertAlign w:val="superscript"/>
        </w:rPr>
        <w:t>3</w:t>
      </w:r>
      <w:r w:rsidRPr="002F06B5">
        <w:t xml:space="preserve"> </w:t>
      </w:r>
      <w:r w:rsidR="009508B3">
        <w:t xml:space="preserve">as respirable dust </w:t>
      </w:r>
      <w:r w:rsidRPr="002F06B5">
        <w:t xml:space="preserve">is recommended </w:t>
      </w:r>
      <w:r>
        <w:t xml:space="preserve">to protect for pneumoconiosis, lower respiratory tract irritation and </w:t>
      </w:r>
      <w:r w:rsidR="00945107">
        <w:t>lung function impairment</w:t>
      </w:r>
      <w:r>
        <w:t>.</w:t>
      </w:r>
    </w:p>
    <w:p w14:paraId="43611FD7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E619C70" w14:textId="1FE165B4" w:rsidR="009508B3" w:rsidRDefault="00733496" w:rsidP="006639B4">
      <w:r>
        <w:t xml:space="preserve">Polyvinyl chloride (PVC) is produced through the polymerisation of vinyl chloride. PVC is mainly used in the building and construction industries, automotive parts, consumer goods, packaging and electrical wire insulation. </w:t>
      </w:r>
    </w:p>
    <w:p w14:paraId="7D195AC3" w14:textId="77777777" w:rsidR="00E5155B" w:rsidRDefault="00733496" w:rsidP="006639B4">
      <w:r>
        <w:t xml:space="preserve">Critical effects </w:t>
      </w:r>
      <w:r w:rsidR="009508B3">
        <w:t xml:space="preserve">of exposure </w:t>
      </w:r>
      <w:r>
        <w:t>are pneumoconiosis, lower respiratory tract irritation and pulmonary function changes.</w:t>
      </w:r>
      <w:r w:rsidR="009508B3">
        <w:t xml:space="preserve"> </w:t>
      </w:r>
      <w:r w:rsidR="00944E72">
        <w:t xml:space="preserve">Pure </w:t>
      </w:r>
      <w:r>
        <w:t xml:space="preserve">PVC </w:t>
      </w:r>
      <w:r w:rsidR="00944E72">
        <w:t xml:space="preserve">dust </w:t>
      </w:r>
      <w:r>
        <w:t>is relatively insoluble in water and tissue fluids and generally not systemically available. PVC particles accumulate locally in the lungs where they may exert adverse</w:t>
      </w:r>
      <w:r w:rsidR="006B0F18">
        <w:t xml:space="preserve"> effects</w:t>
      </w:r>
      <w:r>
        <w:t xml:space="preserve"> (ACGIH, 2018; DFG, 2015).</w:t>
      </w:r>
      <w:r w:rsidR="005A6E9F">
        <w:t xml:space="preserve"> </w:t>
      </w:r>
    </w:p>
    <w:p w14:paraId="3E6D09D6" w14:textId="7F04BBDC" w:rsidR="00733496" w:rsidRDefault="005A6E9F" w:rsidP="006639B4">
      <w:r>
        <w:t xml:space="preserve">Evidence from occupational epidemiology studies indicates </w:t>
      </w:r>
      <w:r w:rsidR="00B643C9">
        <w:t xml:space="preserve">a </w:t>
      </w:r>
      <w:r>
        <w:t>potential</w:t>
      </w:r>
      <w:r w:rsidR="00B643C9">
        <w:t xml:space="preserve"> </w:t>
      </w:r>
      <w:r>
        <w:t>for lung function impairment and the development of pneumoconiosis following exposure at concentrations</w:t>
      </w:r>
      <w:r w:rsidR="00B643C9">
        <w:t xml:space="preserve"> greater than 1</w:t>
      </w:r>
      <w:r w:rsidR="00D64D36">
        <w:t>0</w:t>
      </w:r>
      <w:r w:rsidR="00B643C9">
        <w:t xml:space="preserve"> </w:t>
      </w:r>
      <w:r>
        <w:t>mg/m</w:t>
      </w:r>
      <w:r>
        <w:rPr>
          <w:vertAlign w:val="superscript"/>
        </w:rPr>
        <w:t>3</w:t>
      </w:r>
      <w:r w:rsidR="00B643C9">
        <w:t xml:space="preserve"> (DFG, 2015).</w:t>
      </w:r>
      <w:r>
        <w:t xml:space="preserve"> </w:t>
      </w:r>
      <w:r w:rsidR="00B3165E">
        <w:t>Cumulative exposure (years x mg/m</w:t>
      </w:r>
      <w:r w:rsidR="00B3165E">
        <w:rPr>
          <w:vertAlign w:val="superscript"/>
        </w:rPr>
        <w:t>3</w:t>
      </w:r>
      <w:r w:rsidR="00B3165E">
        <w:t xml:space="preserve">) in workers </w:t>
      </w:r>
      <w:r w:rsidR="00230466">
        <w:t xml:space="preserve">exposed to </w:t>
      </w:r>
      <w:r w:rsidR="00B3165E">
        <w:t xml:space="preserve">greater than </w:t>
      </w:r>
      <w:r w:rsidR="00B3165E" w:rsidRPr="006B0F18">
        <w:t>10</w:t>
      </w:r>
      <w:r w:rsidR="00D4502C" w:rsidRPr="006B0F18">
        <w:t> </w:t>
      </w:r>
      <w:r w:rsidR="00B3165E" w:rsidRPr="006B0F18">
        <w:t>mg/m</w:t>
      </w:r>
      <w:r w:rsidR="00B3165E" w:rsidRPr="006B0F18">
        <w:rPr>
          <w:vertAlign w:val="superscript"/>
        </w:rPr>
        <w:t>3</w:t>
      </w:r>
      <w:r w:rsidR="0015431F">
        <w:t xml:space="preserve"> </w:t>
      </w:r>
      <w:r w:rsidR="00B3165E" w:rsidRPr="006B0F18">
        <w:t>-</w:t>
      </w:r>
      <w:r w:rsidR="00B3165E">
        <w:t xml:space="preserve">years </w:t>
      </w:r>
      <w:r w:rsidR="009508B3">
        <w:t>i</w:t>
      </w:r>
      <w:r w:rsidR="00B3165E">
        <w:t xml:space="preserve">s associated with a low grade of pneumoconiosis as seen radiographically, respiratory symptoms and slight decrements in pulmonary function (ACGIH, 2018). </w:t>
      </w:r>
      <w:r w:rsidR="00E5155B">
        <w:t>S</w:t>
      </w:r>
      <w:r w:rsidR="00D64D36" w:rsidRPr="00D64D36">
        <w:t>eptal thickening, slight interstitial inflammation, proliferation of connective tissue and granulomatous foci in lymph nodes</w:t>
      </w:r>
      <w:r w:rsidR="00E5155B">
        <w:t xml:space="preserve"> reported in ra</w:t>
      </w:r>
      <w:r w:rsidR="00E5155B" w:rsidRPr="00D64D36">
        <w:t xml:space="preserve">ts exposed </w:t>
      </w:r>
      <w:r w:rsidR="00E5155B">
        <w:t>to 8 and 20 mg/m</w:t>
      </w:r>
      <w:r w:rsidR="00E5155B">
        <w:rPr>
          <w:vertAlign w:val="superscript"/>
        </w:rPr>
        <w:t>3</w:t>
      </w:r>
      <w:r w:rsidR="00E5155B">
        <w:t xml:space="preserve"> </w:t>
      </w:r>
      <w:r w:rsidR="00E5155B" w:rsidRPr="009508B3">
        <w:rPr>
          <w:i/>
        </w:rPr>
        <w:t>via</w:t>
      </w:r>
      <w:r w:rsidR="00E5155B">
        <w:t xml:space="preserve"> </w:t>
      </w:r>
      <w:r w:rsidR="00E5155B" w:rsidRPr="00D64D36">
        <w:t xml:space="preserve">nose-only </w:t>
      </w:r>
      <w:r w:rsidR="00E5155B">
        <w:t>inhalation</w:t>
      </w:r>
      <w:r w:rsidR="00E5155B" w:rsidRPr="00D64D36">
        <w:t xml:space="preserve"> for </w:t>
      </w:r>
      <w:r w:rsidR="00E5155B">
        <w:t>eight months</w:t>
      </w:r>
      <w:r w:rsidR="00D64D36">
        <w:t xml:space="preserve">. These effects were not seen in the </w:t>
      </w:r>
      <w:r w:rsidR="00D64D36" w:rsidRPr="00D64D36">
        <w:t>3</w:t>
      </w:r>
      <w:r w:rsidR="001A179F">
        <w:t>.2</w:t>
      </w:r>
      <w:r w:rsidR="00D64D36" w:rsidRPr="00D64D36">
        <w:t xml:space="preserve"> mg/m</w:t>
      </w:r>
      <w:r w:rsidR="00D64D36" w:rsidRPr="00D64D36">
        <w:rPr>
          <w:vertAlign w:val="superscript"/>
        </w:rPr>
        <w:t>3</w:t>
      </w:r>
      <w:r w:rsidR="00D64D36" w:rsidRPr="00D64D36">
        <w:t xml:space="preserve"> </w:t>
      </w:r>
      <w:r w:rsidR="00D64D36">
        <w:t xml:space="preserve">exposure group (ACGIH, 2018). </w:t>
      </w:r>
    </w:p>
    <w:p w14:paraId="6322CD0E" w14:textId="19A33807" w:rsidR="00733496" w:rsidRDefault="00E5155B" w:rsidP="006639B4">
      <w:r>
        <w:t>The</w:t>
      </w:r>
      <w:r w:rsidRPr="002F06B5">
        <w:t xml:space="preserve"> </w:t>
      </w:r>
      <w:r w:rsidR="002F06B5" w:rsidRPr="002F06B5">
        <w:t>TWA of 1 mg/m</w:t>
      </w:r>
      <w:r w:rsidR="002F06B5" w:rsidRPr="002F06B5">
        <w:rPr>
          <w:vertAlign w:val="superscript"/>
        </w:rPr>
        <w:t>3</w:t>
      </w:r>
      <w:r w:rsidR="002F06B5" w:rsidRPr="002F06B5">
        <w:t xml:space="preserve"> derived by ACGIH (2018</w:t>
      </w:r>
      <w:r w:rsidRPr="002F06B5">
        <w:t>)</w:t>
      </w:r>
      <w:r w:rsidRPr="00E5155B">
        <w:t xml:space="preserve"> </w:t>
      </w:r>
      <w:r w:rsidRPr="002F06B5">
        <w:t>is recommended</w:t>
      </w:r>
      <w:r w:rsidR="002F06B5" w:rsidRPr="002F06B5">
        <w:t xml:space="preserve">. This TWA is expected to be protective of </w:t>
      </w:r>
      <w:r w:rsidR="002F06B5">
        <w:t>effects in the lungs based on evidence in humans and animals</w:t>
      </w:r>
      <w:r w:rsidR="002F06B5" w:rsidRPr="002F06B5">
        <w:t>.</w:t>
      </w:r>
    </w:p>
    <w:p w14:paraId="693482D3" w14:textId="77777777" w:rsidR="004529F0" w:rsidRPr="004C23F4" w:rsidRDefault="004529F0" w:rsidP="00D4502C">
      <w:pPr>
        <w:pStyle w:val="Heading2"/>
      </w:pPr>
      <w:r>
        <w:lastRenderedPageBreak/>
        <w:t>Recommendation for notations</w:t>
      </w:r>
    </w:p>
    <w:p w14:paraId="49144A3E" w14:textId="0D69DDE6" w:rsidR="004A5E35" w:rsidRPr="003D237A" w:rsidRDefault="004A5E35" w:rsidP="006B0F18">
      <w:pPr>
        <w:keepNext/>
        <w:rPr>
          <w:rFonts w:cs="Arial"/>
        </w:rPr>
      </w:pPr>
      <w:r w:rsidRPr="003D237A">
        <w:rPr>
          <w:rFonts w:cs="Arial"/>
        </w:rPr>
        <w:t>Not classified as a carcinogen according to the Globally Harmonized System of Classification and Labelling o</w:t>
      </w:r>
      <w:r w:rsidR="00D4502C">
        <w:rPr>
          <w:rFonts w:cs="Arial"/>
        </w:rPr>
        <w:t>f</w:t>
      </w:r>
      <w:r w:rsidRPr="003D237A">
        <w:rPr>
          <w:rFonts w:cs="Arial"/>
        </w:rPr>
        <w:t xml:space="preserve"> Chemicals (GHS). </w:t>
      </w:r>
    </w:p>
    <w:p w14:paraId="2A7103F7" w14:textId="33CF3AF6" w:rsidR="004A5E35" w:rsidRPr="003D237A" w:rsidRDefault="004A5E35" w:rsidP="006B0F18">
      <w:pPr>
        <w:keepNext/>
        <w:rPr>
          <w:rFonts w:cs="Arial"/>
        </w:rPr>
      </w:pPr>
      <w:r w:rsidRPr="003D237A">
        <w:rPr>
          <w:rFonts w:cs="Arial"/>
        </w:rPr>
        <w:t xml:space="preserve">Not classified as a skin </w:t>
      </w:r>
      <w:r w:rsidR="00D4502C" w:rsidRPr="003D237A">
        <w:rPr>
          <w:rFonts w:cs="Arial"/>
        </w:rPr>
        <w:t xml:space="preserve">sensitiser </w:t>
      </w:r>
      <w:r w:rsidRPr="003D237A">
        <w:rPr>
          <w:rFonts w:cs="Arial"/>
        </w:rPr>
        <w:t>or respiratory sensitiser according to the GHS.</w:t>
      </w:r>
    </w:p>
    <w:p w14:paraId="4CB1F398" w14:textId="0D86F7D8" w:rsidR="004A5E35" w:rsidRPr="004C23F4" w:rsidRDefault="006B0F18" w:rsidP="006B0F18">
      <w:pPr>
        <w:keepNext/>
        <w:rPr>
          <w:rFonts w:cs="Arial"/>
        </w:rPr>
      </w:pPr>
      <w:r>
        <w:rPr>
          <w:rFonts w:cs="Arial"/>
        </w:rPr>
        <w:t>There are i</w:t>
      </w:r>
      <w:r w:rsidR="004A5E35" w:rsidRPr="003D237A">
        <w:rPr>
          <w:rFonts w:cs="Arial"/>
        </w:rPr>
        <w:t xml:space="preserve">nsufficient </w:t>
      </w:r>
      <w:r>
        <w:rPr>
          <w:rFonts w:cs="Arial"/>
        </w:rPr>
        <w:t>data</w:t>
      </w:r>
      <w:r w:rsidRPr="003D237A">
        <w:rPr>
          <w:rFonts w:cs="Arial"/>
        </w:rPr>
        <w:t xml:space="preserve"> </w:t>
      </w:r>
      <w:r w:rsidR="004A5E35" w:rsidRPr="003D237A">
        <w:rPr>
          <w:rFonts w:cs="Arial"/>
        </w:rPr>
        <w:t>to recommend a skin notation.</w:t>
      </w:r>
    </w:p>
    <w:p w14:paraId="61DAF864" w14:textId="77777777" w:rsidR="004A5E35" w:rsidRPr="004C23F4" w:rsidRDefault="004A5E35" w:rsidP="004A5E35">
      <w:pPr>
        <w:rPr>
          <w:rFonts w:cs="Arial"/>
        </w:rPr>
      </w:pPr>
    </w:p>
    <w:p w14:paraId="70C425A6" w14:textId="77777777" w:rsidR="0025734A" w:rsidRPr="004C23F4" w:rsidRDefault="0025734A">
      <w:pPr>
        <w:rPr>
          <w:rFonts w:cs="Arial"/>
        </w:rPr>
      </w:pPr>
    </w:p>
    <w:p w14:paraId="3C6E85F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7173C29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16BD76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2E36E0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1332A1D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D94A38B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A00038A" w14:textId="30186392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A5E35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4A5E35">
                  <w:t>NA</w:t>
                </w:r>
                <w:proofErr w:type="spellEnd"/>
              </w:sdtContent>
            </w:sdt>
          </w:p>
        </w:tc>
      </w:tr>
      <w:tr w:rsidR="00C978F0" w:rsidRPr="00DA352E" w14:paraId="18716EB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A52E03E" w14:textId="17A43F3F" w:rsidR="00C978F0" w:rsidRPr="00DA352E" w:rsidRDefault="004A5E35" w:rsidP="003365A5">
            <w:pPr>
              <w:pStyle w:val="Tabletextprimarysource"/>
            </w:pPr>
            <w:r>
              <w:t>No report</w:t>
            </w:r>
            <w:r w:rsidR="00D4502C">
              <w:t>.</w:t>
            </w:r>
          </w:p>
        </w:tc>
      </w:tr>
      <w:tr w:rsidR="00C978F0" w:rsidRPr="00DA352E" w14:paraId="6A93987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2B0FAD5" w14:textId="1558110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A5E35">
                  <w:t>2008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A5E35">
                  <w:t>TLV-TWA: 1 mg/m</w:t>
                </w:r>
                <w:r w:rsidR="004A5E35" w:rsidRPr="004A5E35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7CFA7FC" w14:textId="77777777" w:rsidTr="006B0F18">
        <w:trPr>
          <w:gridAfter w:val="1"/>
          <w:wAfter w:w="8" w:type="pct"/>
        </w:trPr>
        <w:tc>
          <w:tcPr>
            <w:tcW w:w="0" w:type="pct"/>
          </w:tcPr>
          <w:p w14:paraId="01AB2058" w14:textId="1688C86A" w:rsidR="00C978F0" w:rsidRDefault="006A2A53" w:rsidP="00D4502C">
            <w:pPr>
              <w:pStyle w:val="Tabletextprimarysource"/>
            </w:pPr>
            <w:r>
              <w:t>TLV-TWA recommended to minimise the potential for pneumoconiosis, lower respiratory tract irritation and pulmonary function changes.</w:t>
            </w:r>
          </w:p>
          <w:p w14:paraId="1EED8D53" w14:textId="342ED957" w:rsidR="006A2A53" w:rsidRDefault="006A2A53" w:rsidP="00D4502C">
            <w:pPr>
              <w:pStyle w:val="Tabletextprimarysource"/>
            </w:pPr>
            <w:r>
              <w:t>Applies only to the polymerised form of vinyl chloride and not the vinyl chloride monomer.</w:t>
            </w:r>
          </w:p>
          <w:p w14:paraId="0454ACAF" w14:textId="082609EC" w:rsidR="006A2A53" w:rsidRDefault="006A2A53" w:rsidP="00D4502C">
            <w:pPr>
              <w:pStyle w:val="Tabletextprimarysource"/>
            </w:pPr>
            <w:r>
              <w:t>Summary of data:</w:t>
            </w:r>
          </w:p>
          <w:p w14:paraId="056C33A8" w14:textId="2E1CDDC6" w:rsidR="009508B3" w:rsidRDefault="00CE7519" w:rsidP="009508B3">
            <w:pPr>
              <w:pStyle w:val="ListBullet"/>
              <w:spacing w:before="60" w:after="60"/>
              <w:ind w:left="717"/>
              <w:contextualSpacing w:val="0"/>
            </w:pPr>
            <w:r>
              <w:t>PVC is generally made by polymerising vinyl chloride monomer</w:t>
            </w:r>
            <w:r w:rsidR="00E5155B">
              <w:t>:</w:t>
            </w:r>
            <w:r>
              <w:t xml:space="preserve"> </w:t>
            </w:r>
          </w:p>
          <w:p w14:paraId="34D92999" w14:textId="3B56A106" w:rsidR="00CE7519" w:rsidRDefault="00CE7519" w:rsidP="009508B3">
            <w:pPr>
              <w:pStyle w:val="ListBullet"/>
              <w:numPr>
                <w:ilvl w:val="0"/>
                <w:numId w:val="22"/>
              </w:numPr>
              <w:spacing w:before="60" w:after="60"/>
              <w:contextualSpacing w:val="0"/>
            </w:pPr>
            <w:r>
              <w:t>PVC dust may contain other components from ingredients used in the polymerisation process</w:t>
            </w:r>
            <w:r w:rsidR="00F755B1">
              <w:t xml:space="preserve"> that play some role in effects</w:t>
            </w:r>
            <w:r w:rsidR="00D96F8D">
              <w:t xml:space="preserve"> and confounding of study results</w:t>
            </w:r>
          </w:p>
          <w:p w14:paraId="2BA8E803" w14:textId="2474B944" w:rsidR="009508B3" w:rsidRDefault="00CE7519" w:rsidP="009508B3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PVC particles are </w:t>
            </w:r>
            <w:r w:rsidR="00F755B1">
              <w:t xml:space="preserve">relatively </w:t>
            </w:r>
            <w:r>
              <w:t>insoluble</w:t>
            </w:r>
            <w:r w:rsidR="00F755B1">
              <w:t xml:space="preserve"> in water and tissue fluids</w:t>
            </w:r>
            <w:r w:rsidR="00E5155B">
              <w:t xml:space="preserve">: </w:t>
            </w:r>
          </w:p>
          <w:p w14:paraId="3657589C" w14:textId="4C7E7DB2" w:rsidR="006A2A53" w:rsidRDefault="00CE7519" w:rsidP="009508B3">
            <w:pPr>
              <w:pStyle w:val="ListBullet"/>
              <w:numPr>
                <w:ilvl w:val="0"/>
                <w:numId w:val="22"/>
              </w:numPr>
              <w:spacing w:before="60" w:after="60"/>
              <w:contextualSpacing w:val="0"/>
            </w:pPr>
            <w:r>
              <w:t>t</w:t>
            </w:r>
            <w:r w:rsidR="006A2A53">
              <w:t>he available evidence from experimental animals and from humans indicates that pure PVC is not metabolised in mammals</w:t>
            </w:r>
            <w:r w:rsidR="00D4502C">
              <w:t>.</w:t>
            </w:r>
          </w:p>
          <w:p w14:paraId="15461FD5" w14:textId="1DBA6809" w:rsidR="007F4881" w:rsidRDefault="007F4881" w:rsidP="00D4502C">
            <w:pPr>
              <w:pStyle w:val="Tabletextprimarysource"/>
            </w:pPr>
            <w:r>
              <w:t>Human data:</w:t>
            </w:r>
          </w:p>
          <w:p w14:paraId="1335D87F" w14:textId="7AB14E55" w:rsidR="007F4881" w:rsidRDefault="00F755B1" w:rsidP="009508B3">
            <w:pPr>
              <w:pStyle w:val="ListBullet"/>
              <w:spacing w:before="60" w:after="60"/>
              <w:ind w:left="717"/>
              <w:contextualSpacing w:val="0"/>
            </w:pPr>
            <w:r>
              <w:t>Large number of epidemiological studies in workers</w:t>
            </w:r>
          </w:p>
          <w:p w14:paraId="403932AF" w14:textId="2CE29177" w:rsidR="00F755B1" w:rsidRDefault="00F755B1" w:rsidP="009508B3">
            <w:pPr>
              <w:pStyle w:val="ListBullet"/>
              <w:spacing w:before="60" w:after="60"/>
              <w:ind w:left="717"/>
              <w:contextualSpacing w:val="0"/>
            </w:pPr>
            <w:r>
              <w:t>A study involving 1,216 PVC workers; 20 cases of PVC pneumoconiosis as radiographic changes</w:t>
            </w:r>
            <w:r w:rsidR="005B295A">
              <w:t xml:space="preserve">; </w:t>
            </w:r>
            <w:r w:rsidR="00BF5F36">
              <w:t>exposure over 5 y</w:t>
            </w:r>
            <w:r w:rsidR="00D4502C">
              <w:t>r</w:t>
            </w:r>
            <w:r w:rsidR="00BF5F36">
              <w:t xml:space="preserve">, </w:t>
            </w:r>
            <w:r>
              <w:t>average</w:t>
            </w:r>
            <w:r w:rsidR="00BF5F36">
              <w:t xml:space="preserve"> </w:t>
            </w:r>
            <w:r>
              <w:t>12 y</w:t>
            </w:r>
            <w:r w:rsidR="00D4502C">
              <w:t>r</w:t>
            </w:r>
            <w:r>
              <w:t xml:space="preserve">; no exposure; 60% of airborne levels </w:t>
            </w:r>
            <w:r w:rsidR="006B0F18">
              <w:t>&gt;</w:t>
            </w:r>
            <w:r>
              <w:t>10</w:t>
            </w:r>
            <w:r w:rsidR="006B0F18">
              <w:t> </w:t>
            </w:r>
            <w:r>
              <w:t>mg/m</w:t>
            </w:r>
            <w:r w:rsidRPr="00F755B1">
              <w:rPr>
                <w:vertAlign w:val="superscript"/>
              </w:rPr>
              <w:t>3</w:t>
            </w:r>
            <w:r>
              <w:t xml:space="preserve"> measured as total dust</w:t>
            </w:r>
          </w:p>
          <w:p w14:paraId="56A96578" w14:textId="3BE902F1" w:rsidR="005B295A" w:rsidRDefault="00BF5F36" w:rsidP="009508B3">
            <w:pPr>
              <w:pStyle w:val="ListBullet"/>
              <w:spacing w:before="60" w:after="60"/>
              <w:ind w:left="717"/>
              <w:contextualSpacing w:val="0"/>
            </w:pPr>
            <w:r>
              <w:t>Cross sectional studies of workers consider cumulative exposure above 10 mg/m</w:t>
            </w:r>
            <w:r w:rsidRPr="00BF5F36">
              <w:rPr>
                <w:vertAlign w:val="superscript"/>
              </w:rPr>
              <w:t>3</w:t>
            </w:r>
            <w:r>
              <w:t>-yr (yr x mg/m</w:t>
            </w:r>
            <w:r>
              <w:rPr>
                <w:vertAlign w:val="superscript"/>
              </w:rPr>
              <w:t>3</w:t>
            </w:r>
            <w:r>
              <w:t xml:space="preserve"> measured as respirable dust) as indicative of heavy exposure</w:t>
            </w:r>
          </w:p>
          <w:p w14:paraId="16E6238E" w14:textId="7C60D0E4" w:rsidR="00BF5F36" w:rsidRDefault="00D96F8D" w:rsidP="009508B3">
            <w:pPr>
              <w:pStyle w:val="ListBullet"/>
              <w:spacing w:before="60" w:after="60"/>
              <w:ind w:left="717"/>
              <w:contextualSpacing w:val="0"/>
            </w:pPr>
            <w:r>
              <w:t>2 studies in workers showed exposure at 10 mg/m</w:t>
            </w:r>
            <w:r w:rsidRPr="00D96F8D">
              <w:rPr>
                <w:vertAlign w:val="superscript"/>
              </w:rPr>
              <w:t>3</w:t>
            </w:r>
            <w:r>
              <w:t>-yr associated with a low grade of pneumoconiosis as seen radiographically, respiratory symptoms and slight decrements in pulmonary function</w:t>
            </w:r>
          </w:p>
          <w:p w14:paraId="7943C075" w14:textId="4C683C30" w:rsidR="00D96F8D" w:rsidRDefault="00421645" w:rsidP="009508B3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Studies involving PVC workers identified increase in risk of pulmonary function changes and low-grade pneumoconiosis associated with </w:t>
            </w:r>
            <w:r w:rsidR="00D64D36">
              <w:t xml:space="preserve">respirable dust </w:t>
            </w:r>
            <w:r>
              <w:t>exposures at &gt;1</w:t>
            </w:r>
            <w:r w:rsidR="00D64D36">
              <w:t>0</w:t>
            </w:r>
            <w:r w:rsidR="00D4502C">
              <w:t> </w:t>
            </w:r>
            <w:r>
              <w:t>mg/m</w:t>
            </w:r>
            <w:r w:rsidRPr="00D96F8D">
              <w:rPr>
                <w:vertAlign w:val="superscript"/>
              </w:rPr>
              <w:t>3</w:t>
            </w:r>
            <w:r>
              <w:t xml:space="preserve"> respirable dust</w:t>
            </w:r>
          </w:p>
          <w:p w14:paraId="5D38FA29" w14:textId="49644AFC" w:rsidR="00C66005" w:rsidRDefault="00C66005" w:rsidP="009508B3">
            <w:pPr>
              <w:pStyle w:val="ListBullet"/>
              <w:spacing w:before="60" w:after="60"/>
              <w:ind w:left="717"/>
              <w:contextualSpacing w:val="0"/>
            </w:pPr>
            <w:r>
              <w:t>Insufficient data to conclude that PVC is carcinogenic to humans</w:t>
            </w:r>
            <w:r w:rsidR="00D4502C">
              <w:t>.</w:t>
            </w:r>
          </w:p>
          <w:p w14:paraId="4F37AAAA" w14:textId="77777777" w:rsidR="006A2A53" w:rsidRDefault="00C66005" w:rsidP="00D4502C">
            <w:pPr>
              <w:pStyle w:val="Tabletextprimarysource"/>
            </w:pPr>
            <w:r>
              <w:t>Animal data:</w:t>
            </w:r>
          </w:p>
          <w:p w14:paraId="2CB58CC4" w14:textId="33B1373B" w:rsidR="00C66005" w:rsidRDefault="00C66005" w:rsidP="009508B3">
            <w:pPr>
              <w:pStyle w:val="ListBullet"/>
              <w:spacing w:before="60" w:after="60"/>
              <w:ind w:left="717"/>
              <w:contextualSpacing w:val="0"/>
            </w:pPr>
            <w:r>
              <w:t>Rats exposed at 50</w:t>
            </w:r>
            <w:r w:rsidR="00D4502C">
              <w:t>–</w:t>
            </w:r>
            <w:r>
              <w:t>60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E5155B">
              <w:t xml:space="preserve">of </w:t>
            </w:r>
            <w:r>
              <w:t xml:space="preserve">PVC particles 1.2 </w:t>
            </w:r>
            <w:r>
              <w:rPr>
                <w:rFonts w:cs="Arial"/>
              </w:rPr>
              <w:t>µ</w:t>
            </w:r>
            <w:r>
              <w:t>m for 1 h/d, 1</w:t>
            </w:r>
            <w:r w:rsidR="00D4502C">
              <w:t>–</w:t>
            </w:r>
            <w:r>
              <w:t>3 d; following 30</w:t>
            </w:r>
            <w:r w:rsidR="00D4502C">
              <w:t xml:space="preserve"> </w:t>
            </w:r>
            <w:r>
              <w:t xml:space="preserve">d recovery </w:t>
            </w:r>
            <w:r w:rsidR="006B0F18">
              <w:t xml:space="preserve">lungs mostly </w:t>
            </w:r>
            <w:r w:rsidR="00FE7CE4">
              <w:t>cleared of PVC; some dust in lymphatics and bronchiolar epithelium</w:t>
            </w:r>
          </w:p>
          <w:p w14:paraId="37372883" w14:textId="23B41E59" w:rsidR="009508B3" w:rsidRDefault="00DF2902" w:rsidP="009508B3">
            <w:pPr>
              <w:pStyle w:val="ListBullet"/>
              <w:spacing w:before="60" w:after="60"/>
              <w:ind w:left="717"/>
              <w:contextualSpacing w:val="0"/>
            </w:pPr>
            <w:r>
              <w:t>Scattered lung lesions but no significant changes in pulmonary function observed in rats exposed at 10 mg/m</w:t>
            </w:r>
            <w:r>
              <w:rPr>
                <w:vertAlign w:val="superscript"/>
              </w:rPr>
              <w:t>3</w:t>
            </w:r>
            <w:r>
              <w:t xml:space="preserve"> 6 h/d, 5 d/</w:t>
            </w:r>
            <w:proofErr w:type="spellStart"/>
            <w:r>
              <w:t>wk</w:t>
            </w:r>
            <w:proofErr w:type="spellEnd"/>
            <w:r>
              <w:t xml:space="preserve"> for 15 </w:t>
            </w:r>
            <w:proofErr w:type="spellStart"/>
            <w:r>
              <w:t>wk</w:t>
            </w:r>
            <w:proofErr w:type="spellEnd"/>
            <w:r w:rsidR="00B820D0">
              <w:t>:</w:t>
            </w:r>
            <w:r>
              <w:t xml:space="preserve"> </w:t>
            </w:r>
          </w:p>
          <w:p w14:paraId="04AC5322" w14:textId="77777777" w:rsidR="009508B3" w:rsidRDefault="00DF2902" w:rsidP="009508B3">
            <w:pPr>
              <w:pStyle w:val="ListBullet"/>
              <w:numPr>
                <w:ilvl w:val="0"/>
                <w:numId w:val="22"/>
              </w:numPr>
              <w:spacing w:before="60" w:after="60"/>
              <w:contextualSpacing w:val="0"/>
            </w:pPr>
            <w:r>
              <w:t>lesions characterised by aggregates of PVC-loaded macrophages; hypercellularity of alveolar walls near the aggregates still present after a 15</w:t>
            </w:r>
            <w:r w:rsidR="00D4502C">
              <w:t xml:space="preserve"> </w:t>
            </w:r>
            <w:proofErr w:type="spellStart"/>
            <w:r>
              <w:t>wk</w:t>
            </w:r>
            <w:proofErr w:type="spellEnd"/>
            <w:r>
              <w:t xml:space="preserve"> recovery period</w:t>
            </w:r>
          </w:p>
          <w:p w14:paraId="291200F0" w14:textId="188EB4E9" w:rsidR="00DF2902" w:rsidRDefault="00DF2902" w:rsidP="009508B3">
            <w:pPr>
              <w:pStyle w:val="ListBullet"/>
              <w:numPr>
                <w:ilvl w:val="0"/>
                <w:numId w:val="22"/>
              </w:numPr>
              <w:spacing w:before="60" w:after="60"/>
              <w:contextualSpacing w:val="0"/>
            </w:pPr>
            <w:r>
              <w:t>minimal increase in collagen and reticular fibre formation but no evidence of an extensive fibrotic reaction</w:t>
            </w:r>
          </w:p>
          <w:p w14:paraId="265BDAAE" w14:textId="553DD202" w:rsidR="00DF2902" w:rsidRDefault="00DF2902" w:rsidP="009508B3">
            <w:pPr>
              <w:pStyle w:val="ListBullet"/>
              <w:spacing w:before="60" w:after="60"/>
              <w:ind w:left="717"/>
              <w:contextualSpacing w:val="0"/>
            </w:pPr>
            <w:r>
              <w:t>Rats exposed at 0 or 12 mg/m</w:t>
            </w:r>
            <w:r>
              <w:rPr>
                <w:vertAlign w:val="superscript"/>
              </w:rPr>
              <w:t>3</w:t>
            </w:r>
            <w:r>
              <w:t xml:space="preserve"> for 7 h/d, 5 d/w for 7 </w:t>
            </w:r>
            <w:proofErr w:type="spellStart"/>
            <w:r>
              <w:t>mo</w:t>
            </w:r>
            <w:proofErr w:type="spellEnd"/>
            <w:r>
              <w:t>; no significant pulmonary lesions observed; slight proliferation of reticulum fibres without progression; PVC dust particles found in pulmonary macrophages</w:t>
            </w:r>
          </w:p>
          <w:p w14:paraId="562465CF" w14:textId="3E2F9265" w:rsidR="009508B3" w:rsidRDefault="0067495D" w:rsidP="009508B3">
            <w:pPr>
              <w:pStyle w:val="ListBullet"/>
              <w:spacing w:before="60" w:after="60"/>
              <w:ind w:left="717"/>
              <w:contextualSpacing w:val="0"/>
            </w:pPr>
            <w:r>
              <w:t>Rats, guinea pigs and monkeys exposed at 0 or 13 mg/m</w:t>
            </w:r>
            <w:r>
              <w:rPr>
                <w:vertAlign w:val="superscript"/>
              </w:rPr>
              <w:t>3</w:t>
            </w:r>
            <w:r>
              <w:t xml:space="preserve"> 6 h/d, 5 d/w for 22 </w:t>
            </w:r>
            <w:proofErr w:type="spellStart"/>
            <w:r>
              <w:t>mo</w:t>
            </w:r>
            <w:proofErr w:type="spellEnd"/>
            <w:r>
              <w:t>; no fibrosis, cellular inflammation, deficits in pulmonary function or cancers</w:t>
            </w:r>
            <w:r w:rsidR="00B820D0">
              <w:t>:</w:t>
            </w:r>
            <w:r>
              <w:t xml:space="preserve"> </w:t>
            </w:r>
          </w:p>
          <w:p w14:paraId="2806BC96" w14:textId="0C13294F" w:rsidR="00D4502C" w:rsidRDefault="0067495D" w:rsidP="009508B3">
            <w:pPr>
              <w:pStyle w:val="ListBullet"/>
              <w:numPr>
                <w:ilvl w:val="0"/>
                <w:numId w:val="23"/>
              </w:numPr>
              <w:spacing w:before="60" w:after="60"/>
              <w:contextualSpacing w:val="0"/>
            </w:pPr>
            <w:r>
              <w:lastRenderedPageBreak/>
              <w:t xml:space="preserve">PVC particles were found in the macrophages of the 3 </w:t>
            </w:r>
            <w:r w:rsidR="0086573C">
              <w:t xml:space="preserve">test </w:t>
            </w:r>
            <w:r>
              <w:t>species but more commonly in monkeys</w:t>
            </w:r>
          </w:p>
          <w:p w14:paraId="1B40BC09" w14:textId="7D36E01E" w:rsidR="00733496" w:rsidRDefault="00733496" w:rsidP="009508B3">
            <w:pPr>
              <w:pStyle w:val="ListBullet"/>
              <w:spacing w:before="60" w:after="60"/>
              <w:ind w:left="717"/>
              <w:contextualSpacing w:val="0"/>
            </w:pPr>
            <w:r>
              <w:t>Rats exposed nose-only route for 5 h/d, 5 d/</w:t>
            </w:r>
            <w:proofErr w:type="spellStart"/>
            <w:r>
              <w:t>wk</w:t>
            </w:r>
            <w:proofErr w:type="spellEnd"/>
            <w:r>
              <w:t xml:space="preserve"> for 8 </w:t>
            </w:r>
            <w:proofErr w:type="spellStart"/>
            <w:r>
              <w:t>mo</w:t>
            </w:r>
            <w:proofErr w:type="spellEnd"/>
            <w:r>
              <w:t xml:space="preserve"> at 0, 3.2, 8, or 20 mg/m</w:t>
            </w:r>
            <w:r>
              <w:rPr>
                <w:vertAlign w:val="superscript"/>
              </w:rPr>
              <w:t>3</w:t>
            </w:r>
            <w:r>
              <w:t>; septal thickening, slight interstitial inflammation, proliferation of connective tissue and granulomatous foci in lymph nodes occurred in the 8 and 20 mg/m</w:t>
            </w:r>
            <w:r w:rsidRPr="00733496">
              <w:rPr>
                <w:vertAlign w:val="superscript"/>
              </w:rPr>
              <w:t>3</w:t>
            </w:r>
            <w:r>
              <w:t xml:space="preserve"> groups but not in the 3</w:t>
            </w:r>
            <w:r w:rsidR="00647838">
              <w:t>.2</w:t>
            </w:r>
            <w:r w:rsidR="00D4502C">
              <w:t> </w:t>
            </w:r>
            <w:r>
              <w:t>mg/m</w:t>
            </w:r>
            <w:r w:rsidRPr="00733496">
              <w:rPr>
                <w:vertAlign w:val="superscript"/>
              </w:rPr>
              <w:t>3</w:t>
            </w:r>
            <w:r>
              <w:t xml:space="preserve"> group</w:t>
            </w:r>
            <w:r w:rsidR="00D4502C">
              <w:t>.</w:t>
            </w:r>
          </w:p>
          <w:p w14:paraId="3C52AB62" w14:textId="77777777" w:rsidR="009508B3" w:rsidRDefault="009508B3" w:rsidP="00D4502C">
            <w:pPr>
              <w:pStyle w:val="Tabletextprimarysource"/>
            </w:pPr>
          </w:p>
          <w:p w14:paraId="5872191F" w14:textId="77777777" w:rsidR="0067495D" w:rsidRDefault="0067495D" w:rsidP="00D4502C">
            <w:pPr>
              <w:pStyle w:val="Tabletextprimarysource"/>
            </w:pPr>
            <w:r>
              <w:t>Insufficient evidence to recommend a skin or sensitiser notation or TLV-STEL.</w:t>
            </w:r>
          </w:p>
          <w:p w14:paraId="3B4DEED1" w14:textId="2F2C7ADC" w:rsidR="009508B3" w:rsidRPr="00DA352E" w:rsidRDefault="009508B3" w:rsidP="00D4502C">
            <w:pPr>
              <w:pStyle w:val="Tabletextprimarysource"/>
            </w:pPr>
          </w:p>
        </w:tc>
      </w:tr>
      <w:tr w:rsidR="00C978F0" w:rsidRPr="00DA352E" w14:paraId="385898B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46C4324" w14:textId="47059CF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A5E35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4A5E35">
                  <w:t>MAK: 0.3 mg/m</w:t>
                </w:r>
                <w:r w:rsidR="004A5E35" w:rsidRPr="004A5E35">
                  <w:rPr>
                    <w:vertAlign w:val="superscript"/>
                  </w:rPr>
                  <w:t>3</w:t>
                </w:r>
                <w:r w:rsidR="0086573C">
                  <w:t>(respirable fraction) x material density (g/cm</w:t>
                </w:r>
                <w:r w:rsidR="0086573C">
                  <w:rPr>
                    <w:vertAlign w:val="superscript"/>
                  </w:rPr>
                  <w:t>3</w:t>
                </w:r>
                <w:r w:rsidR="0086573C">
                  <w:t>)</w:t>
                </w:r>
              </w:sdtContent>
            </w:sdt>
          </w:p>
        </w:tc>
      </w:tr>
      <w:tr w:rsidR="00C978F0" w:rsidRPr="00DA352E" w14:paraId="5B930F5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89EC85A" w14:textId="6874C1D2" w:rsidR="00D92673" w:rsidRPr="00D92673" w:rsidRDefault="00220B3B" w:rsidP="003365A5">
            <w:pPr>
              <w:pStyle w:val="Tabletextprimarysource"/>
            </w:pPr>
            <w:r>
              <w:t>MAK value for general threshold value for dust.</w:t>
            </w:r>
          </w:p>
          <w:p w14:paraId="3D0CB860" w14:textId="77777777" w:rsidR="00D92673" w:rsidRDefault="00D92673" w:rsidP="003365A5">
            <w:pPr>
              <w:pStyle w:val="Tabletextprimarysource"/>
            </w:pPr>
            <w:r>
              <w:t>Summary of additional data:</w:t>
            </w:r>
          </w:p>
          <w:p w14:paraId="74D169C9" w14:textId="733145E7" w:rsidR="009508B3" w:rsidRDefault="00D92673" w:rsidP="009508B3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Effects of PVC particles (without additives, with a monomer content &lt;1 ppm) act </w:t>
            </w:r>
            <w:r w:rsidR="00220B3B">
              <w:t>due to</w:t>
            </w:r>
            <w:r>
              <w:t xml:space="preserve"> general particle effect </w:t>
            </w:r>
            <w:r w:rsidR="00220B3B">
              <w:t xml:space="preserve">of </w:t>
            </w:r>
            <w:proofErr w:type="spellStart"/>
            <w:r w:rsidR="00220B3B">
              <w:t>biopersistent</w:t>
            </w:r>
            <w:proofErr w:type="spellEnd"/>
            <w:r w:rsidR="00220B3B">
              <w:t xml:space="preserve"> granular dusts</w:t>
            </w:r>
            <w:r w:rsidR="00B820D0">
              <w:t>:</w:t>
            </w:r>
            <w:r w:rsidR="00220B3B">
              <w:t xml:space="preserve"> </w:t>
            </w:r>
          </w:p>
          <w:p w14:paraId="23AE12CC" w14:textId="37528BFE" w:rsidR="00D92673" w:rsidRDefault="00D92673" w:rsidP="009508B3">
            <w:pPr>
              <w:pStyle w:val="ListBullet"/>
              <w:numPr>
                <w:ilvl w:val="0"/>
                <w:numId w:val="23"/>
              </w:numPr>
              <w:spacing w:before="60" w:after="60"/>
              <w:contextualSpacing w:val="0"/>
            </w:pPr>
            <w:r>
              <w:t>recommended ‘general threshold limit value for dust’ of 0.3 mg/m</w:t>
            </w:r>
            <w:r w:rsidRPr="00D92673">
              <w:rPr>
                <w:vertAlign w:val="superscript"/>
              </w:rPr>
              <w:t>3</w:t>
            </w:r>
            <w:r>
              <w:t xml:space="preserve"> established for a material density of 1 g/cm</w:t>
            </w:r>
            <w:r w:rsidRPr="00D92673">
              <w:rPr>
                <w:vertAlign w:val="superscript"/>
              </w:rPr>
              <w:t>3</w:t>
            </w:r>
          </w:p>
          <w:p w14:paraId="674E880C" w14:textId="31C523DC" w:rsidR="00D92673" w:rsidRDefault="00220B3B" w:rsidP="009508B3">
            <w:pPr>
              <w:pStyle w:val="ListBullet"/>
              <w:spacing w:before="60" w:after="60"/>
              <w:ind w:left="717"/>
              <w:contextualSpacing w:val="0"/>
            </w:pPr>
            <w:r>
              <w:t>Multiplied by a PVC density of 1.4 g/cm</w:t>
            </w:r>
            <w:r w:rsidRPr="00220B3B">
              <w:rPr>
                <w:vertAlign w:val="superscript"/>
              </w:rPr>
              <w:t>3</w:t>
            </w:r>
            <w:r>
              <w:t xml:space="preserve"> a value of 0.4 mg/m</w:t>
            </w:r>
            <w:r w:rsidRPr="00220B3B">
              <w:rPr>
                <w:vertAlign w:val="superscript"/>
              </w:rPr>
              <w:t>3</w:t>
            </w:r>
            <w:r>
              <w:t xml:space="preserve"> is </w:t>
            </w:r>
            <w:proofErr w:type="gramStart"/>
            <w:r>
              <w:t>obtained;</w:t>
            </w:r>
            <w:proofErr w:type="gramEnd"/>
            <w:r>
              <w:t xml:space="preserve"> no further information</w:t>
            </w:r>
          </w:p>
          <w:p w14:paraId="2B5457AF" w14:textId="576C24AB" w:rsidR="00D92673" w:rsidRDefault="00D92673" w:rsidP="009508B3">
            <w:pPr>
              <w:pStyle w:val="ListBullet"/>
              <w:spacing w:before="60" w:after="60"/>
              <w:ind w:left="717"/>
              <w:contextualSpacing w:val="0"/>
            </w:pPr>
            <w:r>
              <w:t>Previous MAK of 5 mg/m</w:t>
            </w:r>
            <w:r>
              <w:rPr>
                <w:vertAlign w:val="superscript"/>
              </w:rPr>
              <w:t>3</w:t>
            </w:r>
            <w:r>
              <w:t xml:space="preserve"> based on evidence indicating workers employed in the PVC industry exposed at &gt;10 mg/m</w:t>
            </w:r>
            <w:r>
              <w:rPr>
                <w:vertAlign w:val="superscript"/>
              </w:rPr>
              <w:t>3</w:t>
            </w:r>
            <w:r>
              <w:t xml:space="preserve"> for long periods, risk lung function impairment and the development of pneumoconiosis demonstrated in radiographs</w:t>
            </w:r>
            <w:r w:rsidR="006B0F18">
              <w:t xml:space="preserve"> (UF of 2 applied)</w:t>
            </w:r>
          </w:p>
          <w:p w14:paraId="6576B605" w14:textId="48DB47B1" w:rsidR="00220B3B" w:rsidRDefault="00220B3B" w:rsidP="009508B3">
            <w:pPr>
              <w:pStyle w:val="ListBullet"/>
              <w:spacing w:before="60" w:after="60"/>
              <w:ind w:left="717"/>
              <w:contextualSpacing w:val="0"/>
            </w:pPr>
            <w:proofErr w:type="spellStart"/>
            <w:r>
              <w:t>Biopersistent</w:t>
            </w:r>
            <w:proofErr w:type="spellEnd"/>
            <w:r>
              <w:t xml:space="preserve"> granular dusts generally not systemically available, accumulate locally in the lungs</w:t>
            </w:r>
            <w:r w:rsidR="00334225">
              <w:t xml:space="preserve">, </w:t>
            </w:r>
            <w:r>
              <w:t>adverse effects only in lungs</w:t>
            </w:r>
            <w:r w:rsidR="00D4502C">
              <w:t>.</w:t>
            </w:r>
          </w:p>
          <w:p w14:paraId="39E68542" w14:textId="54629839" w:rsidR="009508B3" w:rsidRPr="00DA352E" w:rsidRDefault="009508B3" w:rsidP="009508B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7517613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3C058B2" w14:textId="6570F90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A5E3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4A5E35">
                  <w:t>NA</w:t>
                </w:r>
                <w:proofErr w:type="spellEnd"/>
              </w:sdtContent>
            </w:sdt>
          </w:p>
        </w:tc>
      </w:tr>
      <w:tr w:rsidR="00C978F0" w:rsidRPr="00DA352E" w14:paraId="175F61F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CF8FF1B" w14:textId="43FD5D19" w:rsidR="00C978F0" w:rsidRPr="00DA352E" w:rsidRDefault="004A5E35" w:rsidP="003365A5">
            <w:pPr>
              <w:pStyle w:val="Tabletextprimarysource"/>
            </w:pPr>
            <w:r>
              <w:t>No report</w:t>
            </w:r>
            <w:r w:rsidR="00D4502C">
              <w:t>.</w:t>
            </w:r>
          </w:p>
        </w:tc>
      </w:tr>
      <w:tr w:rsidR="00DA352E" w:rsidRPr="00DA352E" w14:paraId="23A5F5A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13EDCB5" w14:textId="40C1DE6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A5E35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A5E35">
                  <w:t>NA</w:t>
                </w:r>
                <w:proofErr w:type="spellEnd"/>
              </w:sdtContent>
            </w:sdt>
          </w:p>
        </w:tc>
      </w:tr>
      <w:tr w:rsidR="00DA352E" w:rsidRPr="00DA352E" w14:paraId="40DB8DD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0CCEE37" w14:textId="69E95448" w:rsidR="00DA352E" w:rsidRPr="00DA352E" w:rsidRDefault="004A5E35" w:rsidP="003365A5">
            <w:pPr>
              <w:pStyle w:val="Tabletextprimarysource"/>
            </w:pPr>
            <w:r>
              <w:t>No report</w:t>
            </w:r>
            <w:r w:rsidR="00D4502C">
              <w:t>.</w:t>
            </w:r>
          </w:p>
        </w:tc>
      </w:tr>
      <w:tr w:rsidR="00DA352E" w:rsidRPr="00DA352E" w14:paraId="4398F0C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1DC82F6" w14:textId="58FD823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44398">
                  <w:t>2013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244398">
                  <w:t>Not assigned</w:t>
                </w:r>
              </w:sdtContent>
            </w:sdt>
          </w:p>
        </w:tc>
      </w:tr>
      <w:tr w:rsidR="00DA352E" w:rsidRPr="00DA352E" w14:paraId="3CE2952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8CFD822" w14:textId="77777777" w:rsidR="00E46087" w:rsidRDefault="00E46087" w:rsidP="003365A5">
            <w:pPr>
              <w:pStyle w:val="Tabletextprimarysource"/>
            </w:pPr>
            <w:r>
              <w:t>Summary of additional data:</w:t>
            </w:r>
          </w:p>
          <w:p w14:paraId="2116714F" w14:textId="31CC40EE" w:rsidR="00E46087" w:rsidRDefault="00E46087" w:rsidP="009508B3">
            <w:pPr>
              <w:pStyle w:val="ListBullet"/>
              <w:spacing w:before="60" w:after="60"/>
              <w:ind w:left="717"/>
              <w:contextualSpacing w:val="0"/>
            </w:pPr>
            <w:r>
              <w:t xml:space="preserve">Evaluation of the carcinogenicity and genotoxicity </w:t>
            </w:r>
          </w:p>
          <w:p w14:paraId="38316252" w14:textId="47BBE059" w:rsidR="00E46087" w:rsidRDefault="00E46087" w:rsidP="009508B3">
            <w:pPr>
              <w:pStyle w:val="ListBullet"/>
              <w:spacing w:before="60" w:after="60"/>
              <w:ind w:left="717"/>
              <w:contextualSpacing w:val="0"/>
            </w:pPr>
            <w:r>
              <w:t>Epidemiological studies available showed no consistent evidence for carcinogenicity of PVC in humans</w:t>
            </w:r>
          </w:p>
          <w:p w14:paraId="0284CCDC" w14:textId="77777777" w:rsidR="00DA352E" w:rsidRDefault="00E46087" w:rsidP="009508B3">
            <w:pPr>
              <w:pStyle w:val="ListBullet"/>
              <w:spacing w:before="60" w:after="60"/>
              <w:ind w:left="717"/>
              <w:contextualSpacing w:val="0"/>
            </w:pPr>
            <w:r>
              <w:t>Data on PVC are insufficient to evaluate the carcinogenic properties</w:t>
            </w:r>
            <w:r w:rsidR="00D4502C">
              <w:t>.</w:t>
            </w:r>
          </w:p>
          <w:p w14:paraId="5D5910B3" w14:textId="3DF531D0" w:rsidR="009508B3" w:rsidRPr="00DA352E" w:rsidRDefault="009508B3" w:rsidP="009508B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</w:tbl>
    <w:p w14:paraId="5B80786B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50"/>
        <w:gridCol w:w="6458"/>
      </w:tblGrid>
      <w:tr w:rsidR="004966BF" w:rsidRPr="00263255" w14:paraId="3101ABD7" w14:textId="77777777" w:rsidTr="00E46087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6A9881C0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77B69DA1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33CA257F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8" w:type="dxa"/>
            <w:shd w:val="clear" w:color="auto" w:fill="BFBFBF" w:themeFill="background1" w:themeFillShade="BF"/>
            <w:vAlign w:val="center"/>
          </w:tcPr>
          <w:p w14:paraId="6D0D444A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38B0430" w14:textId="77777777" w:rsidTr="00E46087">
        <w:trPr>
          <w:cantSplit/>
        </w:trPr>
        <w:tc>
          <w:tcPr>
            <w:tcW w:w="1495" w:type="dxa"/>
          </w:tcPr>
          <w:p w14:paraId="6E95794F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775BC441" w14:textId="713FBE2F" w:rsidR="004966BF" w:rsidRPr="00CE617F" w:rsidRDefault="000743FB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4608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1684FBDC" w14:textId="3117D0A1" w:rsidR="004966BF" w:rsidRPr="004C23F4" w:rsidRDefault="00E4608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ND</w:t>
            </w:r>
          </w:p>
        </w:tc>
        <w:tc>
          <w:tcPr>
            <w:tcW w:w="6458" w:type="dxa"/>
          </w:tcPr>
          <w:p w14:paraId="176FDF7F" w14:textId="70396E51" w:rsidR="004966BF" w:rsidRDefault="00E46087" w:rsidP="009508B3">
            <w:pPr>
              <w:pStyle w:val="ListBullet"/>
              <w:spacing w:before="60" w:after="60"/>
              <w:ind w:left="71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Human </w:t>
            </w:r>
            <w:r w:rsidRPr="006B0F18">
              <w:t>health</w:t>
            </w:r>
            <w:r>
              <w:rPr>
                <w:rStyle w:val="checkbox"/>
                <w:rFonts w:ascii="Arial" w:hAnsi="Arial" w:cs="Arial"/>
              </w:rPr>
              <w:t xml:space="preserve"> tier I assessment</w:t>
            </w:r>
          </w:p>
          <w:p w14:paraId="664A1F78" w14:textId="11250A60" w:rsidR="00E127E8" w:rsidRPr="00E127E8" w:rsidRDefault="00E127E8" w:rsidP="009508B3">
            <w:pPr>
              <w:pStyle w:val="ListBullet"/>
              <w:spacing w:before="60" w:after="60"/>
              <w:ind w:left="71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E127E8">
              <w:rPr>
                <w:rFonts w:cs="Arial"/>
                <w:shd w:val="clear" w:color="auto" w:fill="FFFFFF"/>
              </w:rPr>
              <w:t>Identified as low concern to human health by application of expert validated rules</w:t>
            </w:r>
          </w:p>
          <w:p w14:paraId="06BEDF59" w14:textId="10626313" w:rsidR="00E46087" w:rsidRPr="004C23F4" w:rsidRDefault="00E46087" w:rsidP="009508B3">
            <w:pPr>
              <w:pStyle w:val="ListBullet"/>
              <w:spacing w:before="60" w:after="60"/>
              <w:ind w:left="71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No further </w:t>
            </w:r>
            <w:r w:rsidRPr="006B0F18">
              <w:t>information</w:t>
            </w:r>
            <w:r w:rsidR="00D4502C">
              <w:t>.</w:t>
            </w:r>
          </w:p>
        </w:tc>
      </w:tr>
    </w:tbl>
    <w:bookmarkEnd w:id="0"/>
    <w:p w14:paraId="767732BD" w14:textId="77777777" w:rsidR="007E2A4B" w:rsidRDefault="007E2A4B" w:rsidP="006B0F18">
      <w:pPr>
        <w:pStyle w:val="Heading3"/>
        <w:keepNext w:val="0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CC7731A" w14:textId="77777777" w:rsidTr="00E46087">
        <w:trPr>
          <w:trHeight w:val="454"/>
          <w:tblHeader/>
        </w:trPr>
        <w:tc>
          <w:tcPr>
            <w:tcW w:w="6603" w:type="dxa"/>
            <w:vAlign w:val="center"/>
          </w:tcPr>
          <w:p w14:paraId="55E26C87" w14:textId="77777777" w:rsidR="002E0D61" w:rsidRDefault="00B1422A" w:rsidP="006B0F18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A6A5839" w14:textId="3A111F46" w:rsidR="002E0D61" w:rsidRDefault="00E46087" w:rsidP="006B0F18">
                <w:pPr>
                  <w:pStyle w:val="Tablefont"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30E52A4D" w14:textId="77777777" w:rsidTr="00E46087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07F06B24" w14:textId="2C16788B" w:rsidR="008A36CF" w:rsidRPr="006901A2" w:rsidRDefault="00E46087" w:rsidP="006B0F18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2D4AFD53" w14:textId="77777777" w:rsidR="008A36CF" w:rsidRDefault="008A36CF" w:rsidP="006B0F18">
            <w:pPr>
              <w:pStyle w:val="Tablefont"/>
              <w:keepLines/>
              <w:spacing w:before="40" w:after="40"/>
            </w:pPr>
          </w:p>
        </w:tc>
      </w:tr>
    </w:tbl>
    <w:bookmarkEnd w:id="1"/>
    <w:p w14:paraId="1CD9A90B" w14:textId="77777777" w:rsidR="00687890" w:rsidRPr="004C23F4" w:rsidRDefault="00B479A9" w:rsidP="00D4502C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D5B461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536D912" w14:textId="77777777" w:rsidR="00687890" w:rsidRPr="004C23F4" w:rsidRDefault="00687890" w:rsidP="006B0F18">
            <w:pPr>
              <w:pStyle w:val="Tableheader"/>
              <w:keepNext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4326BB9" w14:textId="77777777" w:rsidR="00687890" w:rsidRPr="004C23F4" w:rsidRDefault="00687890" w:rsidP="006B0F18">
            <w:pPr>
              <w:pStyle w:val="Tableheader"/>
              <w:keepNext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9F7EECF" w14:textId="77777777" w:rsidTr="00812887">
        <w:trPr>
          <w:cantSplit/>
        </w:trPr>
        <w:tc>
          <w:tcPr>
            <w:tcW w:w="3227" w:type="dxa"/>
          </w:tcPr>
          <w:p w14:paraId="519BB3F2" w14:textId="77777777" w:rsidR="004079B4" w:rsidRPr="004C23F4" w:rsidRDefault="00084513" w:rsidP="006B0F18">
            <w:pPr>
              <w:pStyle w:val="Tablefont"/>
              <w:keepNext/>
            </w:pPr>
            <w:r w:rsidRPr="004C23F4">
              <w:t>SWA</w:t>
            </w:r>
          </w:p>
        </w:tc>
        <w:tc>
          <w:tcPr>
            <w:tcW w:w="6015" w:type="dxa"/>
          </w:tcPr>
          <w:p w14:paraId="5D53267A" w14:textId="7443D942" w:rsidR="00687890" w:rsidRPr="00DD2F9B" w:rsidRDefault="00244398" w:rsidP="006B0F18">
            <w:pPr>
              <w:pStyle w:val="Tablefont"/>
              <w:keepNext/>
            </w:pPr>
            <w:r>
              <w:t>NA</w:t>
            </w:r>
          </w:p>
        </w:tc>
      </w:tr>
      <w:tr w:rsidR="007925F0" w:rsidRPr="004C23F4" w14:paraId="6E1250C0" w14:textId="77777777" w:rsidTr="00812887">
        <w:trPr>
          <w:cantSplit/>
        </w:trPr>
        <w:tc>
          <w:tcPr>
            <w:tcW w:w="3227" w:type="dxa"/>
          </w:tcPr>
          <w:p w14:paraId="179168E6" w14:textId="77777777" w:rsidR="004079B4" w:rsidRPr="004C23F4" w:rsidRDefault="007925F0" w:rsidP="006B0F18">
            <w:pPr>
              <w:pStyle w:val="Tablefont"/>
              <w:keepNext/>
            </w:pPr>
            <w:r>
              <w:t>HCIS</w:t>
            </w:r>
          </w:p>
        </w:tc>
        <w:tc>
          <w:tcPr>
            <w:tcW w:w="6015" w:type="dxa"/>
          </w:tcPr>
          <w:p w14:paraId="4071F009" w14:textId="1A52C196" w:rsidR="007925F0" w:rsidRPr="00DD2F9B" w:rsidRDefault="00244398" w:rsidP="006B0F18">
            <w:pPr>
              <w:pStyle w:val="Tablefont"/>
              <w:keepNext/>
            </w:pPr>
            <w:r>
              <w:t>NA</w:t>
            </w:r>
          </w:p>
        </w:tc>
      </w:tr>
      <w:tr w:rsidR="00AF483F" w:rsidRPr="004C23F4" w14:paraId="32052957" w14:textId="77777777" w:rsidTr="00812887">
        <w:trPr>
          <w:cantSplit/>
        </w:trPr>
        <w:tc>
          <w:tcPr>
            <w:tcW w:w="3227" w:type="dxa"/>
          </w:tcPr>
          <w:p w14:paraId="4FB0BA87" w14:textId="77777777" w:rsidR="00AF483F" w:rsidRPr="004C23F4" w:rsidRDefault="00AF483F" w:rsidP="006B0F18">
            <w:pPr>
              <w:pStyle w:val="Tablefont"/>
              <w:keepNext/>
            </w:pPr>
            <w:r>
              <w:t>NICNAS</w:t>
            </w:r>
          </w:p>
        </w:tc>
        <w:tc>
          <w:tcPr>
            <w:tcW w:w="6015" w:type="dxa"/>
          </w:tcPr>
          <w:p w14:paraId="49F0B2B8" w14:textId="59A87243" w:rsidR="00AF483F" w:rsidRPr="00DD2F9B" w:rsidRDefault="00FC2D01" w:rsidP="006B0F18">
            <w:pPr>
              <w:pStyle w:val="Tablefont"/>
              <w:keepNext/>
            </w:pPr>
            <w:r>
              <w:t>NA</w:t>
            </w:r>
          </w:p>
        </w:tc>
      </w:tr>
      <w:tr w:rsidR="00687890" w:rsidRPr="004C23F4" w14:paraId="65766781" w14:textId="77777777" w:rsidTr="00812887">
        <w:trPr>
          <w:cantSplit/>
        </w:trPr>
        <w:tc>
          <w:tcPr>
            <w:tcW w:w="3227" w:type="dxa"/>
          </w:tcPr>
          <w:p w14:paraId="0B0FC90C" w14:textId="77777777" w:rsidR="004079B4" w:rsidRPr="004C23F4" w:rsidRDefault="00687890" w:rsidP="006B0F18">
            <w:pPr>
              <w:pStyle w:val="Tablefont"/>
              <w:keepNext/>
            </w:pPr>
            <w:r w:rsidRPr="004C23F4">
              <w:t>EU Annex</w:t>
            </w:r>
          </w:p>
        </w:tc>
        <w:tc>
          <w:tcPr>
            <w:tcW w:w="6015" w:type="dxa"/>
          </w:tcPr>
          <w:p w14:paraId="77A08E0C" w14:textId="42DEC1D6" w:rsidR="00687890" w:rsidRPr="00DD2F9B" w:rsidRDefault="00FC2D01" w:rsidP="006B0F18">
            <w:pPr>
              <w:pStyle w:val="Tablefont"/>
              <w:keepNext/>
            </w:pPr>
            <w:r>
              <w:t>NA</w:t>
            </w:r>
          </w:p>
        </w:tc>
      </w:tr>
      <w:tr w:rsidR="00E41A26" w:rsidRPr="004C23F4" w14:paraId="1320BFB0" w14:textId="77777777" w:rsidTr="00812887">
        <w:trPr>
          <w:cantSplit/>
        </w:trPr>
        <w:tc>
          <w:tcPr>
            <w:tcW w:w="3227" w:type="dxa"/>
          </w:tcPr>
          <w:p w14:paraId="0A6DB787" w14:textId="77777777" w:rsidR="00E41A26" w:rsidRDefault="00E41A26" w:rsidP="006B0F18">
            <w:pPr>
              <w:pStyle w:val="Tablefont"/>
              <w:keepNext/>
            </w:pPr>
            <w:r>
              <w:t>ECHA</w:t>
            </w:r>
          </w:p>
        </w:tc>
        <w:tc>
          <w:tcPr>
            <w:tcW w:w="6015" w:type="dxa"/>
          </w:tcPr>
          <w:p w14:paraId="2E266C98" w14:textId="419DB1DD" w:rsidR="00E41A26" w:rsidRPr="00DD2F9B" w:rsidRDefault="00FC2D01" w:rsidP="006B0F18">
            <w:pPr>
              <w:pStyle w:val="Tablefont"/>
              <w:keepNext/>
            </w:pPr>
            <w:r>
              <w:t>NA</w:t>
            </w:r>
          </w:p>
        </w:tc>
      </w:tr>
      <w:tr w:rsidR="002E0D61" w:rsidRPr="004C23F4" w14:paraId="3D077569" w14:textId="77777777" w:rsidTr="00812887">
        <w:trPr>
          <w:cantSplit/>
        </w:trPr>
        <w:tc>
          <w:tcPr>
            <w:tcW w:w="3227" w:type="dxa"/>
          </w:tcPr>
          <w:p w14:paraId="6A668CD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B350B82" w14:textId="1123C6AB" w:rsidR="002E0D61" w:rsidRPr="00DD2F9B" w:rsidRDefault="00FC2D01" w:rsidP="00DD2F9B">
            <w:pPr>
              <w:pStyle w:val="Tablefont"/>
            </w:pPr>
            <w:r w:rsidRPr="00FC2D01">
              <w:t>Carcinogenicity – A4</w:t>
            </w:r>
          </w:p>
        </w:tc>
      </w:tr>
      <w:tr w:rsidR="002E0D61" w:rsidRPr="004C23F4" w14:paraId="12A9922B" w14:textId="77777777" w:rsidTr="00812887">
        <w:trPr>
          <w:cantSplit/>
        </w:trPr>
        <w:tc>
          <w:tcPr>
            <w:tcW w:w="3227" w:type="dxa"/>
          </w:tcPr>
          <w:p w14:paraId="6230084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7BB2C91" w14:textId="226E0F2A" w:rsidR="002E0D61" w:rsidRPr="00DD2F9B" w:rsidRDefault="00FC2D01" w:rsidP="00DD2F9B">
            <w:pPr>
              <w:pStyle w:val="Tablefont"/>
            </w:pPr>
            <w:r w:rsidRPr="00FC2D01">
              <w:t>Carcinogenicity – 4</w:t>
            </w:r>
          </w:p>
        </w:tc>
      </w:tr>
      <w:tr w:rsidR="002E0D61" w:rsidRPr="004C23F4" w14:paraId="41BF12A4" w14:textId="77777777" w:rsidTr="00812887">
        <w:trPr>
          <w:cantSplit/>
        </w:trPr>
        <w:tc>
          <w:tcPr>
            <w:tcW w:w="3227" w:type="dxa"/>
          </w:tcPr>
          <w:p w14:paraId="0E5926C8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D31921D" w14:textId="398D0749" w:rsidR="002E0D61" w:rsidRPr="00DD2F9B" w:rsidRDefault="00FC2D01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C29E889" w14:textId="77777777" w:rsidTr="00812887">
        <w:trPr>
          <w:cantSplit/>
        </w:trPr>
        <w:tc>
          <w:tcPr>
            <w:tcW w:w="3227" w:type="dxa"/>
          </w:tcPr>
          <w:p w14:paraId="5A3AE89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0F96F27" w14:textId="5537141B" w:rsidR="002E0D61" w:rsidRPr="00DD2F9B" w:rsidRDefault="00FC2D01" w:rsidP="00DD2F9B">
            <w:pPr>
              <w:pStyle w:val="Tablefont"/>
            </w:pPr>
            <w:r w:rsidRPr="00FC2D01">
              <w:t>Carcinogenicity – category 3</w:t>
            </w:r>
          </w:p>
        </w:tc>
      </w:tr>
      <w:tr w:rsidR="00386093" w:rsidRPr="004C23F4" w14:paraId="0A47D797" w14:textId="77777777" w:rsidTr="00812887">
        <w:trPr>
          <w:cantSplit/>
        </w:trPr>
        <w:tc>
          <w:tcPr>
            <w:tcW w:w="3227" w:type="dxa"/>
          </w:tcPr>
          <w:p w14:paraId="0ECAA08C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E7DC6FF" w14:textId="0A609867" w:rsidR="00386093" w:rsidRPr="00DD2F9B" w:rsidRDefault="00FC2D01" w:rsidP="00DD2F9B">
            <w:pPr>
              <w:pStyle w:val="Tablefont"/>
            </w:pPr>
            <w:r w:rsidRPr="00FC2D01">
              <w:t>Carcinogenicity – Group 3</w:t>
            </w:r>
          </w:p>
        </w:tc>
      </w:tr>
      <w:tr w:rsidR="00386093" w:rsidRPr="004C23F4" w14:paraId="0F3BEAC0" w14:textId="77777777" w:rsidTr="00812887">
        <w:trPr>
          <w:cantSplit/>
        </w:trPr>
        <w:tc>
          <w:tcPr>
            <w:tcW w:w="3227" w:type="dxa"/>
          </w:tcPr>
          <w:p w14:paraId="0126831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D80BF69" w14:textId="09D50B20" w:rsidR="00386093" w:rsidRPr="00DD2F9B" w:rsidRDefault="00FC2D01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8A9914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C364BB8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C340F6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A03BB4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7E7C20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7440757A" w14:textId="37A7784E" w:rsidR="00932DCE" w:rsidRPr="004C23F4" w:rsidRDefault="00E46087" w:rsidP="00F9496B">
            <w:pPr>
              <w:pStyle w:val="Tablefont"/>
            </w:pPr>
            <w:r>
              <w:t xml:space="preserve">Insufficient data to </w:t>
            </w:r>
            <w:r w:rsidR="00D4502C">
              <w:t xml:space="preserve">assign </w:t>
            </w:r>
            <w:r>
              <w:t>a skin notation</w:t>
            </w:r>
            <w:r w:rsidR="009508B3">
              <w:t>.</w:t>
            </w:r>
          </w:p>
        </w:tc>
      </w:tr>
    </w:tbl>
    <w:bookmarkEnd w:id="3"/>
    <w:p w14:paraId="410B785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6DCEE7A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01537E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90DF0D4" w14:textId="16686CA7" w:rsidR="00EB3D1B" w:rsidRDefault="00FC2D01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04B582B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322A26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265138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AABFD56" w14:textId="415486F2" w:rsidR="001B79E5" w:rsidRDefault="00FC2D01" w:rsidP="001B79E5">
                <w:pPr>
                  <w:pStyle w:val="Tablefont"/>
                </w:pPr>
                <w:r w:rsidRPr="00FC2D01">
                  <w:t>62.50</w:t>
                </w:r>
              </w:p>
            </w:tc>
          </w:sdtContent>
        </w:sdt>
      </w:tr>
      <w:tr w:rsidR="00A31D99" w:rsidRPr="004C23F4" w14:paraId="655167F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2BD6BA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7D72FCC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DB7604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F0D89A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566A43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CE30EF6" w14:textId="77777777" w:rsidTr="00EA6243">
        <w:trPr>
          <w:cantSplit/>
        </w:trPr>
        <w:tc>
          <w:tcPr>
            <w:tcW w:w="4077" w:type="dxa"/>
            <w:vAlign w:val="center"/>
          </w:tcPr>
          <w:p w14:paraId="4EF4318B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91D877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58DE3B0" w14:textId="77777777" w:rsidTr="00EA6243">
        <w:trPr>
          <w:cantSplit/>
        </w:trPr>
        <w:tc>
          <w:tcPr>
            <w:tcW w:w="4077" w:type="dxa"/>
            <w:vAlign w:val="center"/>
          </w:tcPr>
          <w:p w14:paraId="3DC1E3A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248952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3564315" w14:textId="77777777" w:rsidTr="00EA6243">
        <w:trPr>
          <w:cantSplit/>
        </w:trPr>
        <w:tc>
          <w:tcPr>
            <w:tcW w:w="4077" w:type="dxa"/>
            <w:vAlign w:val="center"/>
          </w:tcPr>
          <w:p w14:paraId="6F64A276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2B98CAC" w14:textId="77777777" w:rsidR="00E06F40" w:rsidRPr="00A006A0" w:rsidRDefault="000743FB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F5830A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84371F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54E839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01A9E9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4C0283E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E78839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05C6CA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AD49E8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9D17562" w14:textId="78254B34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9C300BA" w14:textId="51034048" w:rsidR="00FC2D01" w:rsidRDefault="0032795D" w:rsidP="00084859">
      <w:r>
        <w:t xml:space="preserve">Deutsche </w:t>
      </w:r>
      <w:proofErr w:type="spellStart"/>
      <w:r>
        <w:t>Forschungsgemeinschaft</w:t>
      </w:r>
      <w:proofErr w:type="spellEnd"/>
      <w:r>
        <w:t xml:space="preserve"> (DFG) (</w:t>
      </w:r>
      <w:r w:rsidRPr="0032795D">
        <w:t>2017</w:t>
      </w:r>
      <w:r>
        <w:t xml:space="preserve">) </w:t>
      </w:r>
      <w:r w:rsidRPr="0032795D">
        <w:t>Polyvinyl chloride (PVC)</w:t>
      </w:r>
      <w:r>
        <w:t xml:space="preserve"> – MAK value documentation.</w:t>
      </w:r>
    </w:p>
    <w:p w14:paraId="011DD195" w14:textId="34743F54" w:rsidR="0032795D" w:rsidRDefault="0032795D" w:rsidP="00084859">
      <w:r>
        <w:t>Health Council of the Netherlands (HCOTN) (</w:t>
      </w:r>
      <w:r w:rsidRPr="0032795D">
        <w:t>2013</w:t>
      </w:r>
      <w:r>
        <w:t xml:space="preserve">) </w:t>
      </w:r>
      <w:r w:rsidRPr="0032795D">
        <w:t>Polyvinyl chloride</w:t>
      </w:r>
      <w:r>
        <w:t xml:space="preserve">. Health-based calculated occupational cancer risk values. The Hague: Health Council of the Netherlands; publication no. </w:t>
      </w:r>
      <w:r w:rsidRPr="0032795D">
        <w:t>2013/22</w:t>
      </w:r>
      <w:r>
        <w:t>.</w:t>
      </w:r>
    </w:p>
    <w:p w14:paraId="656C852C" w14:textId="3BD596B1" w:rsidR="0032795D" w:rsidRDefault="0032795D" w:rsidP="00084859">
      <w:r>
        <w:t>International Agency for Research on Cancer (IARC) (</w:t>
      </w:r>
      <w:r w:rsidRPr="0032795D">
        <w:t>1987</w:t>
      </w:r>
      <w:r>
        <w:t xml:space="preserve">) </w:t>
      </w:r>
      <w:r w:rsidRPr="0032795D">
        <w:t>Polyvinyl chloride</w:t>
      </w:r>
      <w:r>
        <w:t>. IARC Monographs on the evaluation of the carcinogenic risk to humans.</w:t>
      </w:r>
    </w:p>
    <w:p w14:paraId="5D539644" w14:textId="444757A8" w:rsidR="00E127E8" w:rsidRDefault="00E127E8" w:rsidP="00E127E8">
      <w:r w:rsidRPr="00DB0A36">
        <w:t>National Industrial Chemicals Notification and Assessment Scheme (NICNAS) (</w:t>
      </w:r>
      <w:r>
        <w:t>No date</w:t>
      </w:r>
      <w:r w:rsidRPr="00DB0A36">
        <w:t xml:space="preserve">) </w:t>
      </w:r>
      <w:r>
        <w:t>Ethane, chloro-, homopolymer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r>
        <w:t>tier I</w:t>
      </w:r>
      <w:r w:rsidRPr="004633BA">
        <w:t xml:space="preserve"> assessment </w:t>
      </w:r>
      <w:r w:rsidRPr="00DB0A36">
        <w:t>– IMAP report.</w:t>
      </w:r>
    </w:p>
    <w:p w14:paraId="0C02C8CA" w14:textId="6D6C5658" w:rsidR="00E127E8" w:rsidRPr="00351FE0" w:rsidRDefault="00E127E8" w:rsidP="00084859"/>
    <w:sectPr w:rsidR="00E127E8" w:rsidRPr="00351FE0" w:rsidSect="006B0F18">
      <w:headerReference w:type="default" r:id="rId14"/>
      <w:pgSz w:w="11906" w:h="16838"/>
      <w:pgMar w:top="1134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D0D4C0" w14:textId="77777777" w:rsidR="00F725BE" w:rsidRDefault="00F725BE" w:rsidP="00F43AD5">
      <w:pPr>
        <w:spacing w:after="0" w:line="240" w:lineRule="auto"/>
      </w:pPr>
      <w:r>
        <w:separator/>
      </w:r>
    </w:p>
  </w:endnote>
  <w:endnote w:type="continuationSeparator" w:id="0">
    <w:p w14:paraId="74CF0D13" w14:textId="77777777" w:rsidR="00F725BE" w:rsidRDefault="00F725B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65A8A52" w14:textId="77777777" w:rsidR="004A5E35" w:rsidRPr="004A5E35" w:rsidRDefault="004A5E35" w:rsidP="004A5E35">
        <w:pPr>
          <w:pStyle w:val="Footer"/>
          <w:rPr>
            <w:b/>
            <w:sz w:val="18"/>
            <w:szCs w:val="18"/>
          </w:rPr>
        </w:pPr>
      </w:p>
      <w:p w14:paraId="10CF3CC6" w14:textId="2ED973E9" w:rsidR="008A36CF" w:rsidRDefault="004A5E35" w:rsidP="004A5E35">
        <w:pPr>
          <w:pStyle w:val="Footer"/>
          <w:rPr>
            <w:sz w:val="18"/>
            <w:szCs w:val="18"/>
          </w:rPr>
        </w:pPr>
        <w:r w:rsidRPr="004A5E35">
          <w:rPr>
            <w:b/>
            <w:sz w:val="18"/>
            <w:szCs w:val="18"/>
          </w:rPr>
          <w:t xml:space="preserve">Polyvinyl chloride </w:t>
        </w:r>
        <w:r w:rsidR="008A36CF">
          <w:rPr>
            <w:b/>
            <w:sz w:val="18"/>
            <w:szCs w:val="18"/>
          </w:rPr>
          <w:t>(</w:t>
        </w:r>
        <w:r w:rsidRPr="004A5E35">
          <w:rPr>
            <w:b/>
            <w:sz w:val="18"/>
            <w:szCs w:val="18"/>
          </w:rPr>
          <w:t>9002-86-2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</w:t>
        </w:r>
        <w:r w:rsidR="006B0F18" w:rsidRPr="00F43AD5">
          <w:rPr>
            <w:sz w:val="18"/>
            <w:szCs w:val="18"/>
          </w:rPr>
          <w:t>20</w:t>
        </w:r>
        <w:r w:rsidR="006B0F18">
          <w:rPr>
            <w:sz w:val="18"/>
            <w:szCs w:val="18"/>
          </w:rPr>
          <w:t>20</w:t>
        </w:r>
      </w:p>
      <w:p w14:paraId="795B3E36" w14:textId="5F2BCD0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0A3D35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52A49" w14:textId="77777777" w:rsidR="00F725BE" w:rsidRDefault="00F725BE" w:rsidP="00F43AD5">
      <w:pPr>
        <w:spacing w:after="0" w:line="240" w:lineRule="auto"/>
      </w:pPr>
      <w:r>
        <w:separator/>
      </w:r>
    </w:p>
  </w:footnote>
  <w:footnote w:type="continuationSeparator" w:id="0">
    <w:p w14:paraId="10B1239D" w14:textId="77777777" w:rsidR="00F725BE" w:rsidRDefault="00F725B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D7C7B" w14:textId="15B25AAE" w:rsidR="004C3BAC" w:rsidRDefault="004C3BAC" w:rsidP="004C3BAC">
    <w:pPr>
      <w:pStyle w:val="Header"/>
      <w:jc w:val="right"/>
    </w:pPr>
    <w:r>
      <w:rPr>
        <w:noProof/>
        <w:lang w:eastAsia="en-AU"/>
      </w:rPr>
      <w:drawing>
        <wp:inline distT="0" distB="0" distL="0" distR="0" wp14:anchorId="7B7F0A5D" wp14:editId="6762E614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5D6DB3" w14:textId="77777777" w:rsidR="004C3BAC" w:rsidRDefault="004C3BAC" w:rsidP="004C3BAC">
    <w:pPr>
      <w:pStyle w:val="Header"/>
      <w:jc w:val="right"/>
    </w:pPr>
  </w:p>
  <w:p w14:paraId="08C898C2" w14:textId="264E5FE0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A083A" w14:textId="5FC36759" w:rsidR="004C3BAC" w:rsidRDefault="000743FB" w:rsidP="004C3BAC">
    <w:pPr>
      <w:pStyle w:val="Header"/>
      <w:jc w:val="right"/>
    </w:pPr>
    <w:sdt>
      <w:sdtPr>
        <w:id w:val="-261677950"/>
        <w:docPartObj>
          <w:docPartGallery w:val="Watermarks"/>
          <w:docPartUnique/>
        </w:docPartObj>
      </w:sdtPr>
      <w:sdtEndPr/>
      <w:sdtContent/>
    </w:sdt>
    <w:r w:rsidR="004C3BAC">
      <w:rPr>
        <w:noProof/>
        <w:lang w:eastAsia="en-AU"/>
      </w:rPr>
      <w:drawing>
        <wp:inline distT="0" distB="0" distL="0" distR="0" wp14:anchorId="3CDFFE88" wp14:editId="775EA3B4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3225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0A826C" w14:textId="77777777" w:rsidR="004C3BAC" w:rsidRDefault="004C3BAC" w:rsidP="004C3BAC">
    <w:pPr>
      <w:pStyle w:val="Header"/>
      <w:jc w:val="right"/>
    </w:pPr>
  </w:p>
  <w:p w14:paraId="7D7E4BE7" w14:textId="26979158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8FA56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0210743"/>
    <w:multiLevelType w:val="hybridMultilevel"/>
    <w:tmpl w:val="C32ACFEE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32A6F28"/>
    <w:multiLevelType w:val="hybridMultilevel"/>
    <w:tmpl w:val="9F226D96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827475478">
    <w:abstractNumId w:val="0"/>
  </w:num>
  <w:num w:numId="2" w16cid:durableId="1194265611">
    <w:abstractNumId w:val="0"/>
  </w:num>
  <w:num w:numId="3" w16cid:durableId="1466389566">
    <w:abstractNumId w:val="0"/>
  </w:num>
  <w:num w:numId="4" w16cid:durableId="860627985">
    <w:abstractNumId w:val="0"/>
  </w:num>
  <w:num w:numId="5" w16cid:durableId="358168934">
    <w:abstractNumId w:val="0"/>
  </w:num>
  <w:num w:numId="6" w16cid:durableId="282737552">
    <w:abstractNumId w:val="0"/>
  </w:num>
  <w:num w:numId="7" w16cid:durableId="1637755378">
    <w:abstractNumId w:val="0"/>
  </w:num>
  <w:num w:numId="8" w16cid:durableId="1563101143">
    <w:abstractNumId w:val="0"/>
  </w:num>
  <w:num w:numId="9" w16cid:durableId="318385302">
    <w:abstractNumId w:val="0"/>
  </w:num>
  <w:num w:numId="10" w16cid:durableId="794564835">
    <w:abstractNumId w:val="0"/>
  </w:num>
  <w:num w:numId="11" w16cid:durableId="350838144">
    <w:abstractNumId w:val="0"/>
  </w:num>
  <w:num w:numId="12" w16cid:durableId="2051218821">
    <w:abstractNumId w:val="0"/>
  </w:num>
  <w:num w:numId="13" w16cid:durableId="719596618">
    <w:abstractNumId w:val="0"/>
  </w:num>
  <w:num w:numId="14" w16cid:durableId="1230383693">
    <w:abstractNumId w:val="0"/>
  </w:num>
  <w:num w:numId="15" w16cid:durableId="906262850">
    <w:abstractNumId w:val="0"/>
  </w:num>
  <w:num w:numId="16" w16cid:durableId="1493449671">
    <w:abstractNumId w:val="0"/>
  </w:num>
  <w:num w:numId="17" w16cid:durableId="490759202">
    <w:abstractNumId w:val="0"/>
  </w:num>
  <w:num w:numId="18" w16cid:durableId="733240971">
    <w:abstractNumId w:val="0"/>
  </w:num>
  <w:num w:numId="19" w16cid:durableId="1251424871">
    <w:abstractNumId w:val="0"/>
  </w:num>
  <w:num w:numId="20" w16cid:durableId="263147978">
    <w:abstractNumId w:val="0"/>
  </w:num>
  <w:num w:numId="21" w16cid:durableId="578713744">
    <w:abstractNumId w:val="0"/>
  </w:num>
  <w:num w:numId="22" w16cid:durableId="13072126">
    <w:abstractNumId w:val="2"/>
  </w:num>
  <w:num w:numId="23" w16cid:durableId="1443240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2FF1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43FB"/>
    <w:rsid w:val="000803E1"/>
    <w:rsid w:val="00084513"/>
    <w:rsid w:val="00084859"/>
    <w:rsid w:val="00092D94"/>
    <w:rsid w:val="000A3D35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6415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5431F"/>
    <w:rsid w:val="00156CE7"/>
    <w:rsid w:val="00160F47"/>
    <w:rsid w:val="00177CA1"/>
    <w:rsid w:val="00183823"/>
    <w:rsid w:val="00183942"/>
    <w:rsid w:val="001A009E"/>
    <w:rsid w:val="001A1287"/>
    <w:rsid w:val="001A179F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0B3B"/>
    <w:rsid w:val="00221547"/>
    <w:rsid w:val="002216FC"/>
    <w:rsid w:val="00222533"/>
    <w:rsid w:val="00222F30"/>
    <w:rsid w:val="00224EE2"/>
    <w:rsid w:val="00227EC7"/>
    <w:rsid w:val="00230466"/>
    <w:rsid w:val="00244398"/>
    <w:rsid w:val="00244AD1"/>
    <w:rsid w:val="002463BC"/>
    <w:rsid w:val="002465CE"/>
    <w:rsid w:val="0025734A"/>
    <w:rsid w:val="00263255"/>
    <w:rsid w:val="00276494"/>
    <w:rsid w:val="00277B0C"/>
    <w:rsid w:val="002A65A1"/>
    <w:rsid w:val="002B1A2C"/>
    <w:rsid w:val="002C34F2"/>
    <w:rsid w:val="002C58FF"/>
    <w:rsid w:val="002C7AFE"/>
    <w:rsid w:val="002D05D2"/>
    <w:rsid w:val="002E0D61"/>
    <w:rsid w:val="002E4C7B"/>
    <w:rsid w:val="002F06B5"/>
    <w:rsid w:val="0030740C"/>
    <w:rsid w:val="00315833"/>
    <w:rsid w:val="003215EE"/>
    <w:rsid w:val="003224BF"/>
    <w:rsid w:val="003241A8"/>
    <w:rsid w:val="003253F0"/>
    <w:rsid w:val="0032795D"/>
    <w:rsid w:val="003337DA"/>
    <w:rsid w:val="00334225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237A"/>
    <w:rsid w:val="003D4FA3"/>
    <w:rsid w:val="003D5297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1645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00BD"/>
    <w:rsid w:val="00472A11"/>
    <w:rsid w:val="00472AAD"/>
    <w:rsid w:val="00474E33"/>
    <w:rsid w:val="00476803"/>
    <w:rsid w:val="00485BFD"/>
    <w:rsid w:val="004867A2"/>
    <w:rsid w:val="004873F2"/>
    <w:rsid w:val="00487F1C"/>
    <w:rsid w:val="00490D4C"/>
    <w:rsid w:val="00493A35"/>
    <w:rsid w:val="0049527A"/>
    <w:rsid w:val="004966BF"/>
    <w:rsid w:val="00497984"/>
    <w:rsid w:val="004A5088"/>
    <w:rsid w:val="004A5E35"/>
    <w:rsid w:val="004C1E3F"/>
    <w:rsid w:val="004C23F4"/>
    <w:rsid w:val="004C3475"/>
    <w:rsid w:val="004C3BAC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6E37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A6E9F"/>
    <w:rsid w:val="005B253B"/>
    <w:rsid w:val="005B295A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7838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495D"/>
    <w:rsid w:val="00677D9B"/>
    <w:rsid w:val="006867F3"/>
    <w:rsid w:val="00687890"/>
    <w:rsid w:val="006901A2"/>
    <w:rsid w:val="00690368"/>
    <w:rsid w:val="0069079C"/>
    <w:rsid w:val="00690B53"/>
    <w:rsid w:val="00695B72"/>
    <w:rsid w:val="006A2A53"/>
    <w:rsid w:val="006B0F18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3496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3C6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4881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6573C"/>
    <w:rsid w:val="00871CD5"/>
    <w:rsid w:val="008745A2"/>
    <w:rsid w:val="008768A8"/>
    <w:rsid w:val="0088798F"/>
    <w:rsid w:val="00887E4B"/>
    <w:rsid w:val="008915C8"/>
    <w:rsid w:val="008941A7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4E72"/>
    <w:rsid w:val="00945107"/>
    <w:rsid w:val="00946044"/>
    <w:rsid w:val="0094660B"/>
    <w:rsid w:val="00946A33"/>
    <w:rsid w:val="009508B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165E"/>
    <w:rsid w:val="00B40C60"/>
    <w:rsid w:val="00B479A9"/>
    <w:rsid w:val="00B52EDF"/>
    <w:rsid w:val="00B643C9"/>
    <w:rsid w:val="00B71188"/>
    <w:rsid w:val="00B76A41"/>
    <w:rsid w:val="00B820D0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14E2"/>
    <w:rsid w:val="00BF2039"/>
    <w:rsid w:val="00BF2406"/>
    <w:rsid w:val="00BF5F3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6005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519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4502C"/>
    <w:rsid w:val="00D516CD"/>
    <w:rsid w:val="00D64D36"/>
    <w:rsid w:val="00D668E6"/>
    <w:rsid w:val="00D70670"/>
    <w:rsid w:val="00D74D80"/>
    <w:rsid w:val="00D76624"/>
    <w:rsid w:val="00D8615D"/>
    <w:rsid w:val="00D87570"/>
    <w:rsid w:val="00D91CB9"/>
    <w:rsid w:val="00D92673"/>
    <w:rsid w:val="00D96F8D"/>
    <w:rsid w:val="00D97989"/>
    <w:rsid w:val="00D97D8D"/>
    <w:rsid w:val="00DA352E"/>
    <w:rsid w:val="00DC7694"/>
    <w:rsid w:val="00DD1BF6"/>
    <w:rsid w:val="00DD2F9B"/>
    <w:rsid w:val="00DE2513"/>
    <w:rsid w:val="00DE26E8"/>
    <w:rsid w:val="00DF2902"/>
    <w:rsid w:val="00DF6F36"/>
    <w:rsid w:val="00E0084C"/>
    <w:rsid w:val="00E025AB"/>
    <w:rsid w:val="00E02B23"/>
    <w:rsid w:val="00E06F40"/>
    <w:rsid w:val="00E07CE8"/>
    <w:rsid w:val="00E127E8"/>
    <w:rsid w:val="00E26A07"/>
    <w:rsid w:val="00E32595"/>
    <w:rsid w:val="00E37CFD"/>
    <w:rsid w:val="00E41A26"/>
    <w:rsid w:val="00E46087"/>
    <w:rsid w:val="00E46BCB"/>
    <w:rsid w:val="00E5155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53F2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2BC4"/>
    <w:rsid w:val="00F15389"/>
    <w:rsid w:val="00F16019"/>
    <w:rsid w:val="00F20E68"/>
    <w:rsid w:val="00F22093"/>
    <w:rsid w:val="00F236DF"/>
    <w:rsid w:val="00F3586F"/>
    <w:rsid w:val="00F43AD5"/>
    <w:rsid w:val="00F4402E"/>
    <w:rsid w:val="00F56DD0"/>
    <w:rsid w:val="00F6491C"/>
    <w:rsid w:val="00F665E5"/>
    <w:rsid w:val="00F67BBB"/>
    <w:rsid w:val="00F725BE"/>
    <w:rsid w:val="00F755B1"/>
    <w:rsid w:val="00F83B6E"/>
    <w:rsid w:val="00F87D92"/>
    <w:rsid w:val="00F90AA7"/>
    <w:rsid w:val="00F92498"/>
    <w:rsid w:val="00F9496B"/>
    <w:rsid w:val="00F970C9"/>
    <w:rsid w:val="00FA06A8"/>
    <w:rsid w:val="00FA3613"/>
    <w:rsid w:val="00FA3DF5"/>
    <w:rsid w:val="00FA741F"/>
    <w:rsid w:val="00FB4E07"/>
    <w:rsid w:val="00FB755A"/>
    <w:rsid w:val="00FC2D01"/>
    <w:rsid w:val="00FC60A2"/>
    <w:rsid w:val="00FD1871"/>
    <w:rsid w:val="00FD3110"/>
    <w:rsid w:val="00FE7CE4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A2A53"/>
    <w:pPr>
      <w:numPr>
        <w:numId w:val="1"/>
      </w:numPr>
      <w:contextualSpacing/>
    </w:pPr>
  </w:style>
  <w:style w:type="paragraph" w:styleId="Revision">
    <w:name w:val="Revision"/>
    <w:hidden/>
    <w:uiPriority w:val="99"/>
    <w:semiHidden/>
    <w:rsid w:val="006B0F18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D52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529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529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52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5297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4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DA4B01B4A7CF4A3BBFCC1879B0D28B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202097-3169-43E1-B0FE-269D664E156A}"/>
      </w:docPartPr>
      <w:docPartBody>
        <w:p w:rsidR="008140CB" w:rsidRDefault="00027C44" w:rsidP="00027C44">
          <w:pPr>
            <w:pStyle w:val="DA4B01B4A7CF4A3BBFCC1879B0D28B5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27C44"/>
    <w:rsid w:val="002C5EAB"/>
    <w:rsid w:val="00340C7E"/>
    <w:rsid w:val="005D5788"/>
    <w:rsid w:val="008140CB"/>
    <w:rsid w:val="00BE14E2"/>
    <w:rsid w:val="00D21A9F"/>
    <w:rsid w:val="00F1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7C44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DA4B01B4A7CF4A3BBFCC1879B0D28B5C">
    <w:name w:val="DA4B01B4A7CF4A3BBFCC1879B0D28B5C"/>
    <w:rsid w:val="00027C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C578D-42A9-45E7-A4CB-5C84F09280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www.w3.org/XML/1998/namespace"/>
    <ds:schemaRef ds:uri="http://schemas.microsoft.com/office/2006/documentManagement/types"/>
    <ds:schemaRef ds:uri="a0509f21-ed56-4150-9955-96be669e5f2d"/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1c567317-0c4d-4a62-8516-c22afd1b5354"/>
  </ds:schemaRefs>
</ds:datastoreItem>
</file>

<file path=customXml/itemProps4.xml><?xml version="1.0" encoding="utf-8"?>
<ds:datastoreItem xmlns:ds="http://schemas.openxmlformats.org/officeDocument/2006/customXml" ds:itemID="{0B6F0965-333E-438D-B28D-2E5FC60AF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2857</TotalTime>
  <Pages>6</Pages>
  <Words>1324</Words>
  <Characters>7567</Characters>
  <Application>Microsoft Office Word</Application>
  <DocSecurity>0</DocSecurity>
  <Lines>217</Lines>
  <Paragraphs>143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8809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27</cp:revision>
  <cp:lastPrinted>2018-10-22T22:41:00Z</cp:lastPrinted>
  <dcterms:created xsi:type="dcterms:W3CDTF">2019-09-30T05:22:00Z</dcterms:created>
  <dcterms:modified xsi:type="dcterms:W3CDTF">2026-01-09T00:52:00Z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2026-01-02T03:28:50Z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8751dbe6-ab0a-4a2b-9698-684015b9bc78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