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E71965A" w14:textId="47D9499A" w:rsidR="00BD499F" w:rsidRPr="004C23F4" w:rsidRDefault="00921849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Polycyclic aromatic hydrocarbon (PAH) mixture containing benzo[a]pyrene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6"/>
        <w:gridCol w:w="5030"/>
      </w:tblGrid>
      <w:tr w:rsidR="00F43AD5" w:rsidRPr="004C23F4" w14:paraId="2CF3A676" w14:textId="77777777" w:rsidTr="004E6BC7">
        <w:trPr>
          <w:cantSplit/>
          <w:tblHeader/>
        </w:trPr>
        <w:tc>
          <w:tcPr>
            <w:tcW w:w="3996" w:type="dxa"/>
          </w:tcPr>
          <w:p w14:paraId="06A1BDE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0" w:type="dxa"/>
          </w:tcPr>
          <w:p w14:paraId="05FF4480" w14:textId="44F23B1F" w:rsidR="00F43AD5" w:rsidRPr="00717D45" w:rsidRDefault="008B58AA" w:rsidP="00B76A41">
            <w:pPr>
              <w:pStyle w:val="Tablefont"/>
            </w:pPr>
            <w:r w:rsidRPr="008B58AA">
              <w:t>50-32-8</w:t>
            </w:r>
          </w:p>
        </w:tc>
      </w:tr>
      <w:tr w:rsidR="00F43AD5" w:rsidRPr="004C23F4" w14:paraId="2EBD6618" w14:textId="77777777" w:rsidTr="004E6BC7">
        <w:trPr>
          <w:cantSplit/>
        </w:trPr>
        <w:tc>
          <w:tcPr>
            <w:tcW w:w="3996" w:type="dxa"/>
          </w:tcPr>
          <w:p w14:paraId="1A45CD0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0" w:type="dxa"/>
          </w:tcPr>
          <w:p w14:paraId="02D7E01D" w14:textId="74EFC378" w:rsidR="00F43AD5" w:rsidRPr="00717D45" w:rsidRDefault="00B22441" w:rsidP="00B76A41">
            <w:pPr>
              <w:pStyle w:val="Tablefont"/>
            </w:pPr>
            <w:r w:rsidRPr="00CF50BC">
              <w:t>—</w:t>
            </w:r>
          </w:p>
        </w:tc>
      </w:tr>
      <w:tr w:rsidR="00F43AD5" w:rsidRPr="004C23F4" w14:paraId="65A167EF" w14:textId="77777777" w:rsidTr="004E6BC7">
        <w:trPr>
          <w:cantSplit/>
        </w:trPr>
        <w:tc>
          <w:tcPr>
            <w:tcW w:w="3996" w:type="dxa"/>
          </w:tcPr>
          <w:p w14:paraId="33026AFB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0" w:type="dxa"/>
          </w:tcPr>
          <w:p w14:paraId="7ECEFBDE" w14:textId="3F6CEF5C" w:rsidR="00F43AD5" w:rsidRPr="00717D45" w:rsidRDefault="00B22441" w:rsidP="00B76A41">
            <w:pPr>
              <w:pStyle w:val="Tablefont"/>
            </w:pPr>
            <w:r w:rsidRPr="00CF50BC">
              <w:t>—</w:t>
            </w:r>
          </w:p>
        </w:tc>
      </w:tr>
    </w:tbl>
    <w:p w14:paraId="492095BF" w14:textId="6F98685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006F92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6"/>
        <w:gridCol w:w="5020"/>
      </w:tblGrid>
      <w:tr w:rsidR="002C7AFE" w:rsidRPr="004C23F4" w14:paraId="48743C41" w14:textId="77777777" w:rsidTr="00632DAD">
        <w:trPr>
          <w:cantSplit/>
          <w:tblHeader/>
        </w:trPr>
        <w:tc>
          <w:tcPr>
            <w:tcW w:w="4006" w:type="dxa"/>
            <w:vAlign w:val="center"/>
          </w:tcPr>
          <w:p w14:paraId="021D937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0" w:type="dxa"/>
          </w:tcPr>
          <w:p w14:paraId="43AFC062" w14:textId="14AF1CC9" w:rsidR="002C7AFE" w:rsidRPr="00C63459" w:rsidRDefault="00632DA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0.13 </w:t>
            </w:r>
            <w:r>
              <w:rPr>
                <w:rFonts w:cs="Arial"/>
                <w:b/>
              </w:rPr>
              <w:t>µ</w:t>
            </w:r>
            <w:r>
              <w:rPr>
                <w:b/>
              </w:rPr>
              <w:t>g/m</w:t>
            </w:r>
            <w:r>
              <w:rPr>
                <w:b/>
                <w:vertAlign w:val="superscript"/>
              </w:rPr>
              <w:t>3</w:t>
            </w:r>
            <w:r w:rsidR="00C63459">
              <w:rPr>
                <w:b/>
                <w:vertAlign w:val="superscript"/>
              </w:rPr>
              <w:t xml:space="preserve"> </w:t>
            </w:r>
            <w:r w:rsidR="00C63459">
              <w:rPr>
                <w:b/>
              </w:rPr>
              <w:t>(as benzo[a]pyrene)</w:t>
            </w:r>
          </w:p>
        </w:tc>
      </w:tr>
      <w:tr w:rsidR="00632DAD" w:rsidRPr="004C23F4" w14:paraId="67EFCB8D" w14:textId="77777777" w:rsidTr="00632DAD">
        <w:trPr>
          <w:cantSplit/>
        </w:trPr>
        <w:tc>
          <w:tcPr>
            <w:tcW w:w="4006" w:type="dxa"/>
            <w:vAlign w:val="center"/>
          </w:tcPr>
          <w:p w14:paraId="2E38737D" w14:textId="77777777" w:rsidR="00632DAD" w:rsidRPr="002C58FF" w:rsidRDefault="00632DAD" w:rsidP="00632DAD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0" w:type="dxa"/>
          </w:tcPr>
          <w:p w14:paraId="46B34F23" w14:textId="29B612FB" w:rsidR="00632DAD" w:rsidRPr="00362335" w:rsidRDefault="00632DAD" w:rsidP="00632DAD">
            <w:pPr>
              <w:pStyle w:val="Tablefont"/>
              <w:rPr>
                <w:b/>
              </w:rPr>
            </w:pPr>
            <w:r w:rsidRPr="00A472FE">
              <w:rPr>
                <w:b/>
              </w:rPr>
              <w:t>—</w:t>
            </w:r>
          </w:p>
        </w:tc>
      </w:tr>
      <w:tr w:rsidR="00632DAD" w:rsidRPr="004C23F4" w14:paraId="22ED2573" w14:textId="77777777" w:rsidTr="00632DAD">
        <w:trPr>
          <w:cantSplit/>
        </w:trPr>
        <w:tc>
          <w:tcPr>
            <w:tcW w:w="4006" w:type="dxa"/>
            <w:vAlign w:val="center"/>
          </w:tcPr>
          <w:p w14:paraId="7560D841" w14:textId="77777777" w:rsidR="00632DAD" w:rsidRPr="002C58FF" w:rsidRDefault="00632DAD" w:rsidP="00632DAD">
            <w:pPr>
              <w:pStyle w:val="Tablerowright"/>
            </w:pPr>
            <w:r>
              <w:t>Peak limitation:</w:t>
            </w:r>
          </w:p>
        </w:tc>
        <w:tc>
          <w:tcPr>
            <w:tcW w:w="5020" w:type="dxa"/>
          </w:tcPr>
          <w:p w14:paraId="1F55355E" w14:textId="4902EAC5" w:rsidR="00632DAD" w:rsidRPr="00362335" w:rsidRDefault="00632DAD" w:rsidP="00632DAD">
            <w:pPr>
              <w:pStyle w:val="Tablefont"/>
              <w:rPr>
                <w:b/>
              </w:rPr>
            </w:pPr>
            <w:r w:rsidRPr="00A472FE">
              <w:rPr>
                <w:b/>
              </w:rPr>
              <w:t>—</w:t>
            </w:r>
          </w:p>
        </w:tc>
      </w:tr>
      <w:tr w:rsidR="002C7AFE" w:rsidRPr="004C23F4" w14:paraId="13B39965" w14:textId="77777777" w:rsidTr="00632DAD">
        <w:trPr>
          <w:cantSplit/>
        </w:trPr>
        <w:tc>
          <w:tcPr>
            <w:tcW w:w="4006" w:type="dxa"/>
          </w:tcPr>
          <w:p w14:paraId="7EC27F7F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0" w:type="dxa"/>
          </w:tcPr>
          <w:p w14:paraId="06A2195C" w14:textId="3FD396C3" w:rsidR="002C7AFE" w:rsidRPr="00EB3D1B" w:rsidRDefault="00E96753" w:rsidP="008A36CF">
            <w:pPr>
              <w:pStyle w:val="Tablefont"/>
              <w:rPr>
                <w:b/>
              </w:rPr>
            </w:pPr>
            <w:r>
              <w:rPr>
                <w:b/>
              </w:rPr>
              <w:t xml:space="preserve">Carc. 1; </w:t>
            </w:r>
            <w:r w:rsidR="002F1DF5">
              <w:rPr>
                <w:b/>
              </w:rPr>
              <w:t xml:space="preserve">DSEN, </w:t>
            </w:r>
            <w:r>
              <w:rPr>
                <w:b/>
              </w:rPr>
              <w:t>Sk.</w:t>
            </w:r>
          </w:p>
        </w:tc>
      </w:tr>
      <w:tr w:rsidR="002C7AFE" w:rsidRPr="004C23F4" w14:paraId="550C1971" w14:textId="77777777" w:rsidTr="00632DAD">
        <w:trPr>
          <w:cantSplit/>
        </w:trPr>
        <w:tc>
          <w:tcPr>
            <w:tcW w:w="4006" w:type="dxa"/>
            <w:vAlign w:val="center"/>
          </w:tcPr>
          <w:p w14:paraId="6C10694B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0" w:type="dxa"/>
          </w:tcPr>
          <w:p w14:paraId="4CA44587" w14:textId="5EA40C3D" w:rsidR="002C7AFE" w:rsidRPr="00362335" w:rsidRDefault="00B22441" w:rsidP="00017C82">
            <w:pPr>
              <w:pStyle w:val="Tablefont"/>
              <w:rPr>
                <w:b/>
              </w:rPr>
            </w:pPr>
            <w:r w:rsidRPr="00A472FE">
              <w:rPr>
                <w:b/>
              </w:rPr>
              <w:t>—</w:t>
            </w:r>
          </w:p>
        </w:tc>
      </w:tr>
      <w:tr w:rsidR="00362335" w:rsidRPr="004C23F4" w14:paraId="2ACC875B" w14:textId="77777777" w:rsidTr="00BF52B7">
        <w:trPr>
          <w:cantSplit/>
        </w:trPr>
        <w:tc>
          <w:tcPr>
            <w:tcW w:w="9026" w:type="dxa"/>
            <w:gridSpan w:val="2"/>
            <w:vAlign w:val="center"/>
          </w:tcPr>
          <w:p w14:paraId="404B7B78" w14:textId="1B0F2072" w:rsidR="00362335" w:rsidRPr="00EB3D1B" w:rsidRDefault="00362335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448B2A87A9CA469BA13D11063416BB9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A472FE">
                  <w:rPr>
                    <w:rStyle w:val="WESstatus"/>
                    <w:color w:val="auto"/>
                  </w:rPr>
                  <w:t>The recommended value is likely to be below the current limit of detection for standard sampling and analysis techniques.</w:t>
                </w:r>
              </w:sdtContent>
            </w:sdt>
          </w:p>
        </w:tc>
      </w:tr>
    </w:tbl>
    <w:p w14:paraId="037182F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7B4AE56" w14:textId="433E48BD" w:rsidR="00E96753" w:rsidRPr="00C63459" w:rsidRDefault="00C63459" w:rsidP="00E515E0">
      <w:pPr>
        <w:rPr>
          <w:rFonts w:cs="Arial"/>
        </w:rPr>
      </w:pPr>
      <w:r>
        <w:rPr>
          <w:rFonts w:cs="Arial"/>
        </w:rPr>
        <w:t>A TWA of 0.13 µg/m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</w:t>
      </w:r>
      <w:r w:rsidR="00E515E0" w:rsidRPr="00E515E0">
        <w:rPr>
          <w:rFonts w:cs="Arial"/>
        </w:rPr>
        <w:t>(as benzo[a]pyrene)</w:t>
      </w:r>
      <w:r w:rsidR="00E515E0">
        <w:rPr>
          <w:rFonts w:cs="Arial"/>
        </w:rPr>
        <w:t xml:space="preserve"> </w:t>
      </w:r>
      <w:r>
        <w:rPr>
          <w:rFonts w:cs="Arial"/>
        </w:rPr>
        <w:t>is recommended to minimise the risk of cancer in</w:t>
      </w:r>
      <w:r w:rsidR="00E96753">
        <w:rPr>
          <w:rFonts w:cs="Arial"/>
        </w:rPr>
        <w:t xml:space="preserve"> </w:t>
      </w:r>
      <w:r>
        <w:rPr>
          <w:rFonts w:cs="Arial"/>
        </w:rPr>
        <w:t>exposed workers.</w:t>
      </w:r>
      <w:r w:rsidR="00362335">
        <w:t xml:space="preserve"> </w:t>
      </w:r>
    </w:p>
    <w:p w14:paraId="4FBFC1A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0F4AEDD" w14:textId="23A77796" w:rsidR="00C46785" w:rsidRDefault="000F0A81" w:rsidP="00111B49">
      <w:r>
        <w:t>PAH</w:t>
      </w:r>
      <w:r>
        <w:rPr>
          <w:shd w:val="clear" w:color="auto" w:fill="FFFFFF"/>
        </w:rPr>
        <w:t xml:space="preserve"> are formed during the pyrolysis of organic material</w:t>
      </w:r>
      <w:r w:rsidR="00C46785">
        <w:rPr>
          <w:shd w:val="clear" w:color="auto" w:fill="FFFFFF"/>
        </w:rPr>
        <w:t xml:space="preserve"> when </w:t>
      </w:r>
      <w:r>
        <w:rPr>
          <w:shd w:val="clear" w:color="auto" w:fill="FFFFFF"/>
        </w:rPr>
        <w:t>heating in the absence of o</w:t>
      </w:r>
      <w:r w:rsidR="007E6B82">
        <w:rPr>
          <w:shd w:val="clear" w:color="auto" w:fill="FFFFFF"/>
        </w:rPr>
        <w:t>xygen or incomplete combustion. R</w:t>
      </w:r>
      <w:r>
        <w:rPr>
          <w:shd w:val="clear" w:color="auto" w:fill="FFFFFF"/>
        </w:rPr>
        <w:t>elevant pyrolysis products at the workplace</w:t>
      </w:r>
      <w:r w:rsidR="00675BB2">
        <w:rPr>
          <w:shd w:val="clear" w:color="auto" w:fill="FFFFFF"/>
        </w:rPr>
        <w:t xml:space="preserve"> include</w:t>
      </w:r>
      <w:r>
        <w:rPr>
          <w:shd w:val="clear" w:color="auto" w:fill="FFFFFF"/>
        </w:rPr>
        <w:t xml:space="preserve"> tar, tar vapours, coke oven emissions </w:t>
      </w:r>
      <w:r w:rsidR="00500B3E">
        <w:rPr>
          <w:shd w:val="clear" w:color="auto" w:fill="FFFFFF"/>
        </w:rPr>
        <w:t xml:space="preserve">as well as </w:t>
      </w:r>
      <w:r>
        <w:rPr>
          <w:shd w:val="clear" w:color="auto" w:fill="FFFFFF"/>
        </w:rPr>
        <w:t xml:space="preserve">emissions or soot from the combustion of coal, </w:t>
      </w:r>
      <w:r w:rsidR="00675BB2">
        <w:rPr>
          <w:shd w:val="clear" w:color="auto" w:fill="FFFFFF"/>
        </w:rPr>
        <w:t>electrodes and</w:t>
      </w:r>
      <w:r>
        <w:rPr>
          <w:shd w:val="clear" w:color="auto" w:fill="FFFFFF"/>
        </w:rPr>
        <w:t xml:space="preserve"> oil. </w:t>
      </w:r>
      <w:r w:rsidR="001063B5">
        <w:rPr>
          <w:shd w:val="clear" w:color="auto" w:fill="FFFFFF"/>
        </w:rPr>
        <w:t>PAH</w:t>
      </w:r>
      <w:r w:rsidR="00111B49">
        <w:rPr>
          <w:rStyle w:val="checkbox"/>
          <w:rFonts w:ascii="Arial" w:hAnsi="Arial" w:cs="Arial"/>
        </w:rPr>
        <w:t xml:space="preserve"> g</w:t>
      </w:r>
      <w:r w:rsidR="00111B49" w:rsidRPr="00445FC2">
        <w:rPr>
          <w:rStyle w:val="checkbox"/>
          <w:rFonts w:ascii="Arial" w:hAnsi="Arial" w:cs="Arial"/>
        </w:rPr>
        <w:t>enerally</w:t>
      </w:r>
      <w:r w:rsidR="00111B49">
        <w:rPr>
          <w:rStyle w:val="checkbox"/>
          <w:rFonts w:ascii="Arial" w:hAnsi="Arial" w:cs="Arial"/>
        </w:rPr>
        <w:t xml:space="preserve"> do</w:t>
      </w:r>
      <w:r w:rsidR="00EE6931">
        <w:rPr>
          <w:rStyle w:val="checkbox"/>
          <w:rFonts w:ascii="Arial" w:hAnsi="Arial" w:cs="Arial"/>
        </w:rPr>
        <w:t xml:space="preserve"> not</w:t>
      </w:r>
      <w:r w:rsidR="00111B49" w:rsidRPr="00445FC2">
        <w:rPr>
          <w:rStyle w:val="checkbox"/>
          <w:rFonts w:ascii="Arial" w:hAnsi="Arial" w:cs="Arial"/>
        </w:rPr>
        <w:t xml:space="preserve"> exist as discrete compounds </w:t>
      </w:r>
      <w:r w:rsidR="00816046">
        <w:rPr>
          <w:rStyle w:val="checkbox"/>
          <w:rFonts w:ascii="Arial" w:hAnsi="Arial" w:cs="Arial"/>
        </w:rPr>
        <w:t>and instead</w:t>
      </w:r>
      <w:r w:rsidR="00111B49" w:rsidRPr="00445FC2">
        <w:rPr>
          <w:rStyle w:val="checkbox"/>
          <w:rFonts w:ascii="Arial" w:hAnsi="Arial" w:cs="Arial"/>
        </w:rPr>
        <w:t xml:space="preserve"> are found as complex mixtures of many different concentrations and configurations</w:t>
      </w:r>
      <w:r w:rsidR="007E6B82">
        <w:rPr>
          <w:rStyle w:val="checkbox"/>
          <w:rFonts w:ascii="Arial" w:hAnsi="Arial" w:cs="Arial"/>
        </w:rPr>
        <w:t xml:space="preserve">. Benzo[a]pyrene (B[a]P) is </w:t>
      </w:r>
      <w:r w:rsidR="000B3B82">
        <w:rPr>
          <w:rStyle w:val="checkbox"/>
          <w:rFonts w:ascii="Arial" w:hAnsi="Arial" w:cs="Arial"/>
        </w:rPr>
        <w:t>a h</w:t>
      </w:r>
      <w:r w:rsidR="007E6B82">
        <w:t>azardous</w:t>
      </w:r>
      <w:r w:rsidR="000B3B82">
        <w:t xml:space="preserve"> component of most PAH </w:t>
      </w:r>
      <w:r w:rsidR="007E6B82">
        <w:t xml:space="preserve">mixtures. </w:t>
      </w:r>
    </w:p>
    <w:p w14:paraId="2150271F" w14:textId="6FD6E744" w:rsidR="00B07186" w:rsidRDefault="003134B3" w:rsidP="006204BC">
      <w:r>
        <w:t xml:space="preserve">The critical effects </w:t>
      </w:r>
      <w:r w:rsidR="00C46785">
        <w:t>of</w:t>
      </w:r>
      <w:r>
        <w:t xml:space="preserve"> exposure </w:t>
      </w:r>
      <w:r w:rsidR="00816046">
        <w:t xml:space="preserve">to PAHs </w:t>
      </w:r>
      <w:r w:rsidR="0030128A">
        <w:t>are</w:t>
      </w:r>
      <w:r>
        <w:t xml:space="preserve"> lung and skin cancer. </w:t>
      </w:r>
    </w:p>
    <w:p w14:paraId="533D0E2B" w14:textId="45FD4BC2" w:rsidR="00E40356" w:rsidRDefault="005E49ED" w:rsidP="006204BC">
      <w:pPr>
        <w:rPr>
          <w:rStyle w:val="checkbox"/>
          <w:rFonts w:ascii="Arial" w:hAnsi="Arial" w:cs="Arial"/>
        </w:rPr>
      </w:pPr>
      <w:r>
        <w:rPr>
          <w:rStyle w:val="checkbox"/>
          <w:rFonts w:ascii="Arial" w:hAnsi="Arial" w:cs="Arial"/>
        </w:rPr>
        <w:t>Many PAH compounds</w:t>
      </w:r>
      <w:r w:rsidR="001F2036">
        <w:rPr>
          <w:rStyle w:val="checkbox"/>
          <w:rFonts w:ascii="Arial" w:hAnsi="Arial" w:cs="Arial"/>
        </w:rPr>
        <w:t>, including B[a]P,</w:t>
      </w:r>
      <w:r>
        <w:rPr>
          <w:rStyle w:val="checkbox"/>
          <w:rFonts w:ascii="Arial" w:hAnsi="Arial" w:cs="Arial"/>
        </w:rPr>
        <w:t xml:space="preserve"> </w:t>
      </w:r>
      <w:r w:rsidRPr="00753180">
        <w:rPr>
          <w:rStyle w:val="checkbox"/>
          <w:rFonts w:ascii="Arial" w:hAnsi="Arial" w:cs="Arial"/>
        </w:rPr>
        <w:t xml:space="preserve">are </w:t>
      </w:r>
      <w:r>
        <w:rPr>
          <w:rStyle w:val="checkbox"/>
          <w:rFonts w:ascii="Arial" w:hAnsi="Arial" w:cs="Arial"/>
        </w:rPr>
        <w:t xml:space="preserve">considered </w:t>
      </w:r>
      <w:r w:rsidRPr="00753180">
        <w:rPr>
          <w:rStyle w:val="checkbox"/>
          <w:rFonts w:ascii="Arial" w:hAnsi="Arial" w:cs="Arial"/>
        </w:rPr>
        <w:t xml:space="preserve">human carcinogens based on sufficient evidence </w:t>
      </w:r>
      <w:r w:rsidR="00AF5D56">
        <w:rPr>
          <w:rStyle w:val="checkbox"/>
          <w:rFonts w:ascii="Arial" w:hAnsi="Arial" w:cs="Arial"/>
        </w:rPr>
        <w:t>in humans</w:t>
      </w:r>
      <w:r w:rsidR="00BE3C32">
        <w:rPr>
          <w:rStyle w:val="checkbox"/>
          <w:rFonts w:ascii="Arial" w:hAnsi="Arial" w:cs="Arial"/>
        </w:rPr>
        <w:t>,</w:t>
      </w:r>
      <w:r w:rsidRPr="00753180">
        <w:rPr>
          <w:rStyle w:val="checkbox"/>
          <w:rFonts w:ascii="Arial" w:hAnsi="Arial" w:cs="Arial"/>
        </w:rPr>
        <w:t xml:space="preserve"> </w:t>
      </w:r>
      <w:r w:rsidR="00C46785">
        <w:rPr>
          <w:rStyle w:val="checkbox"/>
          <w:rFonts w:ascii="Arial" w:hAnsi="Arial" w:cs="Arial"/>
        </w:rPr>
        <w:t xml:space="preserve">supported by positive results in </w:t>
      </w:r>
      <w:r w:rsidRPr="00753180">
        <w:rPr>
          <w:rStyle w:val="checkbox"/>
          <w:rFonts w:ascii="Arial" w:hAnsi="Arial" w:cs="Arial"/>
        </w:rPr>
        <w:t>studies in experimental animals</w:t>
      </w:r>
      <w:r w:rsidR="001F2036">
        <w:rPr>
          <w:rStyle w:val="checkbox"/>
          <w:rFonts w:ascii="Arial" w:hAnsi="Arial" w:cs="Arial"/>
        </w:rPr>
        <w:t xml:space="preserve"> (IARC, </w:t>
      </w:r>
      <w:r>
        <w:rPr>
          <w:rStyle w:val="checkbox"/>
          <w:rFonts w:ascii="Arial" w:hAnsi="Arial" w:cs="Arial"/>
        </w:rPr>
        <w:t>2010; NTP, 2016; AIOH, 2016).</w:t>
      </w:r>
      <w:r w:rsidR="001F2036">
        <w:t xml:space="preserve"> IARC</w:t>
      </w:r>
      <w:r w:rsidR="00EC7097">
        <w:t xml:space="preserve"> (2010)</w:t>
      </w:r>
      <w:r w:rsidR="001F2036">
        <w:t xml:space="preserve"> conclude</w:t>
      </w:r>
      <w:r w:rsidR="000B3B82">
        <w:t>s</w:t>
      </w:r>
      <w:r w:rsidR="001F2036">
        <w:t xml:space="preserve"> that </w:t>
      </w:r>
      <w:r w:rsidR="001F2036">
        <w:rPr>
          <w:rStyle w:val="checkbox"/>
          <w:rFonts w:ascii="Arial" w:hAnsi="Arial" w:cs="Arial"/>
        </w:rPr>
        <w:t>o</w:t>
      </w:r>
      <w:r w:rsidR="001F2036" w:rsidRPr="00E60189">
        <w:rPr>
          <w:rStyle w:val="checkbox"/>
          <w:rFonts w:ascii="Arial" w:hAnsi="Arial" w:cs="Arial"/>
        </w:rPr>
        <w:t>ccupational exposures during coal gasification</w:t>
      </w:r>
      <w:r w:rsidR="001F2036">
        <w:rPr>
          <w:rStyle w:val="checkbox"/>
          <w:rFonts w:ascii="Arial" w:hAnsi="Arial" w:cs="Arial"/>
        </w:rPr>
        <w:t xml:space="preserve">, </w:t>
      </w:r>
      <w:r w:rsidR="001F2036">
        <w:t>coke production, coal-tar distillation, paving and roofing with coal-tar pitch, aluminium production</w:t>
      </w:r>
      <w:r w:rsidR="001F2036" w:rsidRPr="00E60189">
        <w:rPr>
          <w:rStyle w:val="checkbox"/>
          <w:rFonts w:ascii="Arial" w:hAnsi="Arial" w:cs="Arial"/>
        </w:rPr>
        <w:t xml:space="preserve"> are </w:t>
      </w:r>
      <w:r w:rsidR="001F2036">
        <w:rPr>
          <w:rStyle w:val="checkbox"/>
          <w:rFonts w:ascii="Arial" w:hAnsi="Arial" w:cs="Arial"/>
        </w:rPr>
        <w:t xml:space="preserve">considered </w:t>
      </w:r>
      <w:r w:rsidR="001F2036" w:rsidRPr="00E60189">
        <w:rPr>
          <w:rStyle w:val="checkbox"/>
          <w:rFonts w:ascii="Arial" w:hAnsi="Arial" w:cs="Arial"/>
        </w:rPr>
        <w:t>carcinogenic to humans</w:t>
      </w:r>
      <w:r w:rsidR="001F2036">
        <w:rPr>
          <w:rStyle w:val="checkbox"/>
          <w:rFonts w:ascii="Arial" w:hAnsi="Arial" w:cs="Arial"/>
        </w:rPr>
        <w:t xml:space="preserve">. </w:t>
      </w:r>
    </w:p>
    <w:p w14:paraId="54D27750" w14:textId="1D7E1185" w:rsidR="006204BC" w:rsidRPr="00314520" w:rsidRDefault="006204BC" w:rsidP="006204BC">
      <w:pPr>
        <w:rPr>
          <w:rFonts w:cs="Arial"/>
        </w:rPr>
      </w:pPr>
      <w:r>
        <w:rPr>
          <w:rStyle w:val="checkbox"/>
          <w:rFonts w:ascii="Arial" w:hAnsi="Arial" w:cs="Arial"/>
        </w:rPr>
        <w:t>B[a]P induce</w:t>
      </w:r>
      <w:r w:rsidR="00C46785">
        <w:rPr>
          <w:rStyle w:val="checkbox"/>
          <w:rFonts w:ascii="Arial" w:hAnsi="Arial" w:cs="Arial"/>
        </w:rPr>
        <w:t>s</w:t>
      </w:r>
      <w:r>
        <w:rPr>
          <w:rStyle w:val="checkbox"/>
          <w:rFonts w:ascii="Arial" w:hAnsi="Arial" w:cs="Arial"/>
        </w:rPr>
        <w:t xml:space="preserve"> tumours locally and systemically (ACGIH, 2018; DFG, 2012). </w:t>
      </w:r>
      <w:r w:rsidR="001F2036">
        <w:rPr>
          <w:shd w:val="clear" w:color="auto" w:fill="FFFFFF"/>
        </w:rPr>
        <w:t xml:space="preserve">Genotoxic effects induced by PAH </w:t>
      </w:r>
      <w:r w:rsidR="00C46785">
        <w:rPr>
          <w:shd w:val="clear" w:color="auto" w:fill="FFFFFF"/>
        </w:rPr>
        <w:t>a</w:t>
      </w:r>
      <w:r w:rsidR="001F2036">
        <w:rPr>
          <w:shd w:val="clear" w:color="auto" w:fill="FFFFFF"/>
        </w:rPr>
        <w:t xml:space="preserve">re </w:t>
      </w:r>
      <w:r w:rsidR="000B3B82">
        <w:rPr>
          <w:shd w:val="clear" w:color="auto" w:fill="FFFFFF"/>
        </w:rPr>
        <w:t xml:space="preserve">reported </w:t>
      </w:r>
      <w:r w:rsidR="001F2036">
        <w:rPr>
          <w:shd w:val="clear" w:color="auto" w:fill="FFFFFF"/>
        </w:rPr>
        <w:t>in human cells </w:t>
      </w:r>
      <w:r w:rsidR="001F2036">
        <w:rPr>
          <w:i/>
          <w:iCs/>
          <w:shd w:val="clear" w:color="auto" w:fill="FFFFFF"/>
        </w:rPr>
        <w:t>in vitro</w:t>
      </w:r>
      <w:r w:rsidR="001F2036">
        <w:rPr>
          <w:shd w:val="clear" w:color="auto" w:fill="FFFFFF"/>
        </w:rPr>
        <w:t> and </w:t>
      </w:r>
      <w:r w:rsidR="001F2036">
        <w:rPr>
          <w:i/>
          <w:iCs/>
          <w:shd w:val="clear" w:color="auto" w:fill="FFFFFF"/>
        </w:rPr>
        <w:t>in vivo.</w:t>
      </w:r>
      <w:r w:rsidR="001F2036">
        <w:rPr>
          <w:iCs/>
          <w:shd w:val="clear" w:color="auto" w:fill="FFFFFF"/>
        </w:rPr>
        <w:t xml:space="preserve"> Positive mutagenicity results are reported in bacteria. </w:t>
      </w:r>
      <w:r w:rsidR="001F2036" w:rsidRPr="00753180">
        <w:rPr>
          <w:rStyle w:val="checkbox"/>
          <w:rFonts w:ascii="Arial" w:hAnsi="Arial" w:cs="Arial"/>
        </w:rPr>
        <w:t xml:space="preserve">PAH </w:t>
      </w:r>
      <w:r w:rsidR="001F2036">
        <w:rPr>
          <w:rStyle w:val="checkbox"/>
          <w:rFonts w:ascii="Arial" w:hAnsi="Arial" w:cs="Arial"/>
        </w:rPr>
        <w:t xml:space="preserve">chemicals </w:t>
      </w:r>
      <w:r w:rsidR="001F2036" w:rsidRPr="00753180">
        <w:rPr>
          <w:rStyle w:val="checkbox"/>
          <w:rFonts w:ascii="Arial" w:hAnsi="Arial" w:cs="Arial"/>
        </w:rPr>
        <w:t>share a similar me</w:t>
      </w:r>
      <w:r w:rsidR="001F2036">
        <w:rPr>
          <w:rStyle w:val="checkbox"/>
          <w:rFonts w:ascii="Arial" w:hAnsi="Arial" w:cs="Arial"/>
        </w:rPr>
        <w:t>chanism of carcinogenic action</w:t>
      </w:r>
      <w:r w:rsidR="00C46785">
        <w:rPr>
          <w:rStyle w:val="checkbox"/>
          <w:rFonts w:ascii="Arial" w:hAnsi="Arial" w:cs="Arial"/>
        </w:rPr>
        <w:t>;</w:t>
      </w:r>
      <w:r w:rsidR="001F2036">
        <w:rPr>
          <w:rStyle w:val="checkbox"/>
          <w:rFonts w:ascii="Arial" w:hAnsi="Arial" w:cs="Arial"/>
        </w:rPr>
        <w:t xml:space="preserve"> </w:t>
      </w:r>
      <w:r w:rsidR="00675BB2">
        <w:rPr>
          <w:rStyle w:val="checkbox"/>
          <w:rFonts w:ascii="Arial" w:hAnsi="Arial" w:cs="Arial"/>
        </w:rPr>
        <w:t>notably</w:t>
      </w:r>
      <w:r w:rsidR="00500B3E">
        <w:rPr>
          <w:rStyle w:val="checkbox"/>
          <w:rFonts w:ascii="Arial" w:hAnsi="Arial" w:cs="Arial"/>
        </w:rPr>
        <w:t xml:space="preserve"> due to</w:t>
      </w:r>
      <w:r w:rsidR="001F2036">
        <w:rPr>
          <w:rStyle w:val="checkbox"/>
          <w:rFonts w:ascii="Arial" w:hAnsi="Arial" w:cs="Arial"/>
        </w:rPr>
        <w:t xml:space="preserve"> metabolites </w:t>
      </w:r>
      <w:r w:rsidR="00C46785">
        <w:rPr>
          <w:rStyle w:val="checkbox"/>
          <w:rFonts w:ascii="Arial" w:hAnsi="Arial" w:cs="Arial"/>
        </w:rPr>
        <w:t xml:space="preserve">that cause </w:t>
      </w:r>
      <w:r w:rsidR="00EC7097">
        <w:rPr>
          <w:rStyle w:val="checkbox"/>
          <w:rFonts w:ascii="Arial" w:hAnsi="Arial" w:cs="Arial"/>
        </w:rPr>
        <w:t>DNA adducts (IARC, 2010; DFG, 2012; NTP, 2016).</w:t>
      </w:r>
      <w:r>
        <w:rPr>
          <w:rStyle w:val="checkbox"/>
          <w:rFonts w:ascii="Arial" w:hAnsi="Arial" w:cs="Arial"/>
        </w:rPr>
        <w:t xml:space="preserve"> </w:t>
      </w:r>
      <w:r>
        <w:rPr>
          <w:rFonts w:cs="Arial"/>
        </w:rPr>
        <w:t>For the purposes of this assessment, PAH mixture</w:t>
      </w:r>
      <w:r w:rsidR="00C46785">
        <w:rPr>
          <w:rFonts w:cs="Arial"/>
        </w:rPr>
        <w:t>s</w:t>
      </w:r>
      <w:r>
        <w:rPr>
          <w:rFonts w:cs="Arial"/>
        </w:rPr>
        <w:t xml:space="preserve"> containing B[a]P are assumed to be non-threshold-based genotoxic carcinogen</w:t>
      </w:r>
      <w:r w:rsidR="00C46785">
        <w:rPr>
          <w:rFonts w:cs="Arial"/>
        </w:rPr>
        <w:t>s</w:t>
      </w:r>
      <w:r>
        <w:rPr>
          <w:rFonts w:cs="Arial"/>
        </w:rPr>
        <w:t>.</w:t>
      </w:r>
      <w:r w:rsidR="00675BB2" w:rsidRPr="00675BB2">
        <w:t xml:space="preserve"> </w:t>
      </w:r>
      <w:r w:rsidR="00675BB2">
        <w:t>Comprehensive and detailed reviews and studies on the effect of individual PAH, mixtures of PAH</w:t>
      </w:r>
      <w:r w:rsidR="00C46785">
        <w:t xml:space="preserve"> no</w:t>
      </w:r>
      <w:r w:rsidR="00753EE9">
        <w:t>t containing B[a]P</w:t>
      </w:r>
      <w:r w:rsidR="00675BB2">
        <w:t xml:space="preserve"> and </w:t>
      </w:r>
      <w:r w:rsidR="00753EE9">
        <w:t>PAH</w:t>
      </w:r>
      <w:r w:rsidR="00675BB2">
        <w:t xml:space="preserve"> metabolites</w:t>
      </w:r>
      <w:r w:rsidR="00675BB2" w:rsidRPr="00675BB2">
        <w:t xml:space="preserve"> </w:t>
      </w:r>
      <w:r w:rsidR="00675BB2">
        <w:t xml:space="preserve">are widely available from </w:t>
      </w:r>
      <w:r w:rsidR="00C46785">
        <w:t>the source documentation</w:t>
      </w:r>
      <w:r w:rsidR="00675BB2">
        <w:t>.</w:t>
      </w:r>
    </w:p>
    <w:p w14:paraId="7C5DC78A" w14:textId="766E0FD6" w:rsidR="00421FCD" w:rsidRDefault="00BE3C32" w:rsidP="00111B49">
      <w:r>
        <w:lastRenderedPageBreak/>
        <w:t xml:space="preserve">The </w:t>
      </w:r>
      <w:r w:rsidR="00FD5918">
        <w:t>recommend</w:t>
      </w:r>
      <w:r w:rsidR="00557AAF">
        <w:t>ed</w:t>
      </w:r>
      <w:r w:rsidR="00FD5918">
        <w:t xml:space="preserve"> TWA </w:t>
      </w:r>
      <w:r w:rsidR="00FD5918" w:rsidRPr="00FD5918">
        <w:t>is derived</w:t>
      </w:r>
      <w:r w:rsidR="00FD5918">
        <w:t xml:space="preserve"> </w:t>
      </w:r>
      <w:r w:rsidR="00753EE9">
        <w:t>using</w:t>
      </w:r>
      <w:r w:rsidR="00FD5918">
        <w:t xml:space="preserve"> B[a]P as the indicator chemical</w:t>
      </w:r>
      <w:r w:rsidR="00FD5918" w:rsidRPr="00FD5918">
        <w:t xml:space="preserve"> at a minimal cancer risk level</w:t>
      </w:r>
      <w:r w:rsidR="00006F92">
        <w:t xml:space="preserve">. The recommended TWA of 0.13 </w:t>
      </w:r>
      <w:r w:rsidR="00006F92">
        <w:rPr>
          <w:rFonts w:cs="Arial"/>
        </w:rPr>
        <w:t>µ</w:t>
      </w:r>
      <w:r w:rsidR="00006F92">
        <w:t>g/m</w:t>
      </w:r>
      <w:r w:rsidR="00006F92" w:rsidRPr="00BF6FBE">
        <w:rPr>
          <w:vertAlign w:val="superscript"/>
        </w:rPr>
        <w:t>3</w:t>
      </w:r>
      <w:r w:rsidR="00006F92">
        <w:t xml:space="preserve"> is calculated</w:t>
      </w:r>
      <w:r w:rsidR="00FD5918" w:rsidRPr="00FD5918">
        <w:t xml:space="preserve"> through </w:t>
      </w:r>
      <w:r w:rsidRPr="00FD5918">
        <w:t>appl</w:t>
      </w:r>
      <w:r>
        <w:t>ication of</w:t>
      </w:r>
      <w:r w:rsidRPr="00FD5918">
        <w:t xml:space="preserve"> </w:t>
      </w:r>
      <w:r w:rsidR="00FD5918" w:rsidRPr="00FD5918">
        <w:t xml:space="preserve">an inhalation slope factor derived from a chronic </w:t>
      </w:r>
      <w:r w:rsidR="00FD5918">
        <w:t>inhalation</w:t>
      </w:r>
      <w:r w:rsidR="00FD5918" w:rsidRPr="00FD5918">
        <w:t xml:space="preserve"> study </w:t>
      </w:r>
      <w:r w:rsidR="00006F92">
        <w:t>identifying</w:t>
      </w:r>
      <w:r w:rsidR="00FD5918">
        <w:t xml:space="preserve"> a dose-dependent </w:t>
      </w:r>
      <w:r w:rsidR="00FD5918" w:rsidRPr="00FD5918">
        <w:t xml:space="preserve">increase in incidence of </w:t>
      </w:r>
      <w:r w:rsidR="00FD5918">
        <w:t>upper respiratory and upper digestive tract tumours in male hamsters</w:t>
      </w:r>
      <w:r w:rsidR="00FD5918" w:rsidRPr="00FD5918">
        <w:t xml:space="preserve"> (US EPA, </w:t>
      </w:r>
      <w:r w:rsidR="00FD5918">
        <w:t>2010</w:t>
      </w:r>
      <w:r w:rsidR="007326D8">
        <w:t xml:space="preserve">). </w:t>
      </w:r>
    </w:p>
    <w:p w14:paraId="5B9DC3DC" w14:textId="116BD695" w:rsidR="000F0A81" w:rsidRDefault="00E515E0" w:rsidP="00111B49">
      <w:pPr>
        <w:rPr>
          <w:rStyle w:val="checkbox"/>
          <w:rFonts w:ascii="Arial" w:hAnsi="Arial" w:cs="Arial"/>
        </w:rPr>
      </w:pPr>
      <w:r w:rsidRPr="00F56A6E">
        <w:rPr>
          <w:rFonts w:cs="Arial"/>
          <w:color w:val="1C1D1E"/>
          <w:shd w:val="clear" w:color="auto" w:fill="FFFFFF"/>
        </w:rPr>
        <w:t>The toxicology of these substances is well catalogued</w:t>
      </w:r>
      <w:r>
        <w:rPr>
          <w:rFonts w:cs="Arial"/>
          <w:color w:val="1C1D1E"/>
          <w:shd w:val="clear" w:color="auto" w:fill="FFFFFF"/>
        </w:rPr>
        <w:t xml:space="preserve">. There are </w:t>
      </w:r>
      <w:r w:rsidRPr="00F56A6E">
        <w:rPr>
          <w:rFonts w:cs="Arial"/>
          <w:color w:val="1C1D1E"/>
          <w:shd w:val="clear" w:color="auto" w:fill="FFFFFF"/>
        </w:rPr>
        <w:t xml:space="preserve">differences in </w:t>
      </w:r>
      <w:r>
        <w:rPr>
          <w:rFonts w:cs="Arial"/>
          <w:color w:val="1C1D1E"/>
          <w:shd w:val="clear" w:color="auto" w:fill="FFFFFF"/>
        </w:rPr>
        <w:t xml:space="preserve">decision making by sources, but the differences </w:t>
      </w:r>
      <w:r w:rsidRPr="00F56A6E">
        <w:rPr>
          <w:rFonts w:cs="Arial"/>
          <w:color w:val="1C1D1E"/>
          <w:shd w:val="clear" w:color="auto" w:fill="FFFFFF"/>
        </w:rPr>
        <w:t>are based on individual policies underpinning risk assessment</w:t>
      </w:r>
      <w:r>
        <w:rPr>
          <w:rFonts w:cs="Arial"/>
          <w:color w:val="1C1D1E"/>
          <w:shd w:val="clear" w:color="auto" w:fill="FFFFFF"/>
        </w:rPr>
        <w:t>s</w:t>
      </w:r>
      <w:r w:rsidRPr="00F56A6E">
        <w:rPr>
          <w:rFonts w:cs="Arial"/>
          <w:color w:val="1C1D1E"/>
          <w:shd w:val="clear" w:color="auto" w:fill="FFFFFF"/>
        </w:rPr>
        <w:t>.</w:t>
      </w:r>
      <w:r>
        <w:rPr>
          <w:rFonts w:cs="Arial"/>
          <w:color w:val="1C1D1E"/>
          <w:shd w:val="clear" w:color="auto" w:fill="FFFFFF"/>
        </w:rPr>
        <w:t xml:space="preserve"> </w:t>
      </w:r>
      <w:r w:rsidR="007326D8">
        <w:t xml:space="preserve">It </w:t>
      </w:r>
      <w:r w:rsidR="00DE3C73">
        <w:t>is</w:t>
      </w:r>
      <w:r w:rsidR="007326D8">
        <w:t xml:space="preserve"> noted that </w:t>
      </w:r>
      <w:r w:rsidR="00FD5918">
        <w:t>reservations</w:t>
      </w:r>
      <w:r w:rsidR="007326D8">
        <w:t xml:space="preserve"> exist</w:t>
      </w:r>
      <w:r w:rsidR="00FD5918">
        <w:t xml:space="preserve"> about the </w:t>
      </w:r>
      <w:r w:rsidR="007326D8">
        <w:t>legitimacy of using B[a]P as the reference chemical with which to base risk assessment on</w:t>
      </w:r>
      <w:r w:rsidR="00006F92">
        <w:t xml:space="preserve"> for PAH mixtures</w:t>
      </w:r>
      <w:r w:rsidR="007326D8">
        <w:t>. This is due to the variability</w:t>
      </w:r>
      <w:r w:rsidR="009A1638">
        <w:t xml:space="preserve"> of</w:t>
      </w:r>
      <w:r w:rsidR="00DF5197">
        <w:t xml:space="preserve"> PAH mixture </w:t>
      </w:r>
      <w:r w:rsidR="009A1638">
        <w:t>profiles</w:t>
      </w:r>
      <w:r w:rsidR="00006F92">
        <w:t>,</w:t>
      </w:r>
      <w:r w:rsidR="009A1638">
        <w:t xml:space="preserve"> </w:t>
      </w:r>
      <w:r w:rsidR="00006F92">
        <w:t>t</w:t>
      </w:r>
      <w:r w:rsidR="009A1638">
        <w:t>he variability of the</w:t>
      </w:r>
      <w:r w:rsidR="00DF5197">
        <w:t xml:space="preserve"> total</w:t>
      </w:r>
      <w:r w:rsidR="007326D8">
        <w:t xml:space="preserve"> contribution</w:t>
      </w:r>
      <w:r w:rsidR="00DF5197">
        <w:t xml:space="preserve"> of B[a]P to the PAH mixture </w:t>
      </w:r>
      <w:r w:rsidR="00006F92">
        <w:t xml:space="preserve">and the resulting </w:t>
      </w:r>
      <w:r w:rsidR="00DF5197">
        <w:t>carcinogenicity and</w:t>
      </w:r>
      <w:r w:rsidR="009A1638">
        <w:t xml:space="preserve"> that the contribution </w:t>
      </w:r>
      <w:r w:rsidR="009A1638" w:rsidRPr="002A7197">
        <w:t xml:space="preserve">to </w:t>
      </w:r>
      <w:r w:rsidR="00006F92">
        <w:t>carcinogenicity</w:t>
      </w:r>
      <w:r w:rsidR="009A1638" w:rsidRPr="002A7197">
        <w:t xml:space="preserve"> </w:t>
      </w:r>
      <w:r w:rsidR="009A1638">
        <w:t>may not</w:t>
      </w:r>
      <w:r w:rsidR="009A1638">
        <w:rPr>
          <w:rFonts w:cs="Arial"/>
          <w:color w:val="1C1D1E"/>
          <w:shd w:val="clear" w:color="auto" w:fill="FFFFFF"/>
        </w:rPr>
        <w:t xml:space="preserve"> correlate with weight-for-weight </w:t>
      </w:r>
      <w:r w:rsidR="00006F92">
        <w:rPr>
          <w:rFonts w:cs="Arial"/>
          <w:color w:val="1C1D1E"/>
          <w:shd w:val="clear" w:color="auto" w:fill="FFFFFF"/>
        </w:rPr>
        <w:t xml:space="preserve">percentage </w:t>
      </w:r>
      <w:r w:rsidR="009A1638">
        <w:rPr>
          <w:rFonts w:cs="Arial"/>
          <w:color w:val="1C1D1E"/>
          <w:shd w:val="clear" w:color="auto" w:fill="FFFFFF"/>
        </w:rPr>
        <w:t xml:space="preserve">of </w:t>
      </w:r>
      <w:r w:rsidR="00006F92">
        <w:rPr>
          <w:rFonts w:cs="Arial"/>
          <w:color w:val="1C1D1E"/>
          <w:shd w:val="clear" w:color="auto" w:fill="FFFFFF"/>
        </w:rPr>
        <w:t>B[a]P</w:t>
      </w:r>
      <w:r w:rsidR="009A1638">
        <w:rPr>
          <w:rFonts w:cs="Arial"/>
          <w:color w:val="1C1D1E"/>
          <w:shd w:val="clear" w:color="auto" w:fill="FFFFFF"/>
        </w:rPr>
        <w:t xml:space="preserve"> in the mixture. </w:t>
      </w:r>
      <w:r w:rsidR="0009028B">
        <w:rPr>
          <w:rFonts w:cs="Arial"/>
          <w:color w:val="1C1D1E"/>
          <w:shd w:val="clear" w:color="auto" w:fill="FFFFFF"/>
        </w:rPr>
        <w:t>C</w:t>
      </w:r>
      <w:r w:rsidR="00BE3C32" w:rsidRPr="00BE3C32">
        <w:rPr>
          <w:rFonts w:cs="Arial"/>
          <w:color w:val="1C1D1E"/>
          <w:shd w:val="clear" w:color="auto" w:fill="FFFFFF"/>
        </w:rPr>
        <w:t>arcinogenicity equivalency factors</w:t>
      </w:r>
      <w:r w:rsidR="00BE3C32">
        <w:rPr>
          <w:rFonts w:cs="Arial"/>
          <w:color w:val="1C1D1E"/>
          <w:shd w:val="clear" w:color="auto" w:fill="FFFFFF"/>
        </w:rPr>
        <w:t xml:space="preserve"> for select</w:t>
      </w:r>
      <w:r w:rsidR="003747E8">
        <w:rPr>
          <w:rFonts w:cs="Arial"/>
          <w:color w:val="1C1D1E"/>
          <w:shd w:val="clear" w:color="auto" w:fill="FFFFFF"/>
        </w:rPr>
        <w:t>ed</w:t>
      </w:r>
      <w:r w:rsidR="00BE3C32">
        <w:rPr>
          <w:rFonts w:cs="Arial"/>
          <w:color w:val="1C1D1E"/>
          <w:shd w:val="clear" w:color="auto" w:fill="FFFFFF"/>
        </w:rPr>
        <w:t xml:space="preserve"> PAH has been </w:t>
      </w:r>
      <w:r w:rsidR="00B07186">
        <w:rPr>
          <w:rFonts w:cs="Arial"/>
          <w:color w:val="1C1D1E"/>
          <w:shd w:val="clear" w:color="auto" w:fill="FFFFFF"/>
        </w:rPr>
        <w:t>published</w:t>
      </w:r>
      <w:r w:rsidR="00BE3C32">
        <w:rPr>
          <w:rFonts w:cs="Arial"/>
          <w:color w:val="1C1D1E"/>
          <w:shd w:val="clear" w:color="auto" w:fill="FFFFFF"/>
        </w:rPr>
        <w:t xml:space="preserve"> by DFG (2012)</w:t>
      </w:r>
      <w:r w:rsidR="00D837E7">
        <w:rPr>
          <w:rFonts w:cs="Arial"/>
          <w:color w:val="1C1D1E"/>
          <w:shd w:val="clear" w:color="auto" w:fill="FFFFFF"/>
        </w:rPr>
        <w:t xml:space="preserve"> as well as other regulators world-wide</w:t>
      </w:r>
      <w:r w:rsidR="00BE3C32">
        <w:rPr>
          <w:rFonts w:cs="Arial"/>
          <w:color w:val="1C1D1E"/>
          <w:shd w:val="clear" w:color="auto" w:fill="FFFFFF"/>
        </w:rPr>
        <w:t>, that can be used in the assessment of risk.</w:t>
      </w:r>
    </w:p>
    <w:p w14:paraId="67FA451E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81DFC3A" w14:textId="0FEA8DE8" w:rsidR="00241B66" w:rsidRDefault="00241B66" w:rsidP="00B22441">
      <w:pPr>
        <w:rPr>
          <w:rFonts w:cs="Arial"/>
        </w:rPr>
      </w:pPr>
      <w:r w:rsidRPr="00241B66">
        <w:rPr>
          <w:rFonts w:cs="Arial"/>
        </w:rPr>
        <w:t xml:space="preserve">Classified as a category </w:t>
      </w:r>
      <w:r>
        <w:rPr>
          <w:rFonts w:cs="Arial"/>
        </w:rPr>
        <w:t>1</w:t>
      </w:r>
      <w:r w:rsidRPr="00241B66">
        <w:rPr>
          <w:rFonts w:cs="Arial"/>
        </w:rPr>
        <w:t xml:space="preserve"> carcinogen according to the Globally Harmonized System of Classification and Labelling of Chemicals (GHS). </w:t>
      </w:r>
    </w:p>
    <w:p w14:paraId="3BF2928C" w14:textId="603740A0" w:rsidR="00B22441" w:rsidRPr="00E96753" w:rsidRDefault="002F1DF5" w:rsidP="00B22441">
      <w:pPr>
        <w:rPr>
          <w:rFonts w:cs="Arial"/>
        </w:rPr>
      </w:pPr>
      <w:r>
        <w:rPr>
          <w:rFonts w:cs="Arial"/>
        </w:rPr>
        <w:t>C</w:t>
      </w:r>
      <w:r w:rsidR="00B22441" w:rsidRPr="00E96753">
        <w:rPr>
          <w:rFonts w:cs="Arial"/>
        </w:rPr>
        <w:t xml:space="preserve">lassified as a skin </w:t>
      </w:r>
      <w:r w:rsidR="00362335" w:rsidRPr="00E96753">
        <w:rPr>
          <w:rFonts w:cs="Arial"/>
        </w:rPr>
        <w:t xml:space="preserve">sensitiser </w:t>
      </w:r>
      <w:r>
        <w:rPr>
          <w:rFonts w:cs="Arial"/>
        </w:rPr>
        <w:t xml:space="preserve">and not a </w:t>
      </w:r>
      <w:r w:rsidR="00B22441" w:rsidRPr="00E96753">
        <w:rPr>
          <w:rFonts w:cs="Arial"/>
        </w:rPr>
        <w:t>respiratory sensitiser according to the GHS.</w:t>
      </w:r>
    </w:p>
    <w:p w14:paraId="63ECD974" w14:textId="59F2CA08" w:rsidR="00B22441" w:rsidRPr="004C23F4" w:rsidRDefault="00E96753" w:rsidP="00B22441">
      <w:pPr>
        <w:rPr>
          <w:rFonts w:cs="Arial"/>
        </w:rPr>
      </w:pPr>
      <w:r>
        <w:rPr>
          <w:rFonts w:cs="Arial"/>
        </w:rPr>
        <w:t>A skin notation is recommended based on evidence of uptake via the skin, excretion in the urine and the severity of effect in animals and humans.</w:t>
      </w:r>
    </w:p>
    <w:p w14:paraId="4DA07252" w14:textId="77777777" w:rsidR="005E6979" w:rsidRPr="004C23F4" w:rsidRDefault="005E6979">
      <w:pPr>
        <w:rPr>
          <w:rFonts w:cs="Arial"/>
        </w:rPr>
        <w:sectPr w:rsidR="005E6979" w:rsidRPr="004C23F4" w:rsidSect="00921849">
          <w:headerReference w:type="default" r:id="rId11"/>
          <w:footerReference w:type="default" r:id="rId12"/>
          <w:pgSz w:w="11906" w:h="16838"/>
          <w:pgMar w:top="1985" w:right="1440" w:bottom="1135" w:left="1440" w:header="708" w:footer="283" w:gutter="0"/>
          <w:cols w:space="708"/>
          <w:docGrid w:linePitch="360"/>
        </w:sectPr>
      </w:pPr>
    </w:p>
    <w:p w14:paraId="1F4E8B1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33A6F8F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10002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206"/>
        <w:gridCol w:w="8810"/>
      </w:tblGrid>
      <w:tr w:rsidR="00C978F0" w:rsidRPr="00DA352E" w14:paraId="28EC20DA" w14:textId="77777777" w:rsidTr="00535D0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445" w:type="pct"/>
          <w:trHeight w:val="393"/>
          <w:tblHeader/>
        </w:trPr>
        <w:tc>
          <w:tcPr>
            <w:tcW w:w="2555" w:type="pct"/>
            <w:shd w:val="clear" w:color="auto" w:fill="BFBFBF" w:themeFill="background1" w:themeFillShade="BF"/>
            <w:vAlign w:val="center"/>
          </w:tcPr>
          <w:p w14:paraId="13D68D01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FF06C3D" w14:textId="77777777" w:rsidTr="00535D01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5B51B99" w14:textId="3D7AE741" w:rsidR="00DE26E8" w:rsidRPr="003365A5" w:rsidRDefault="00DE26E8" w:rsidP="00DE3C7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  <w:tab w:val="left" w:pos="2880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057C2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22441">
                  <w:t>NA</w:t>
                </w:r>
              </w:sdtContent>
            </w:sdt>
            <w:r w:rsidR="00DE3C73">
              <w:tab/>
            </w:r>
          </w:p>
        </w:tc>
      </w:tr>
      <w:tr w:rsidR="00C978F0" w:rsidRPr="00DA352E" w14:paraId="4A81833A" w14:textId="77777777" w:rsidTr="00535D01">
        <w:trPr>
          <w:gridAfter w:val="1"/>
          <w:wAfter w:w="2445" w:type="pct"/>
        </w:trPr>
        <w:tc>
          <w:tcPr>
            <w:tcW w:w="2555" w:type="pct"/>
          </w:tcPr>
          <w:p w14:paraId="58B7EC39" w14:textId="747ABB9F" w:rsidR="00E616B3" w:rsidRDefault="00E616B3" w:rsidP="00BF6FBE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  <w:rPr>
                <w:shd w:val="clear" w:color="auto" w:fill="FFFFFF"/>
              </w:rPr>
            </w:pPr>
            <w:r>
              <w:t>B[a]P - probable</w:t>
            </w:r>
            <w:r>
              <w:rPr>
                <w:shd w:val="clear" w:color="auto" w:fill="FFFFFF"/>
              </w:rPr>
              <w:t xml:space="preserve"> human carcinogen for which there is sufficient evidence to provide a strong presumption that human exposure might result in the development of cancer. Based on appropriate </w:t>
            </w:r>
            <w:r w:rsidR="00A472FE">
              <w:rPr>
                <w:shd w:val="clear" w:color="auto" w:fill="FFFFFF"/>
              </w:rPr>
              <w:t>long-term</w:t>
            </w:r>
            <w:r>
              <w:rPr>
                <w:shd w:val="clear" w:color="auto" w:fill="FFFFFF"/>
              </w:rPr>
              <w:t xml:space="preserve"> animal studies, limited epidemiological evidence</w:t>
            </w:r>
            <w:r w:rsidR="00BF52B7">
              <w:rPr>
                <w:shd w:val="clear" w:color="auto" w:fill="FFFFFF"/>
              </w:rPr>
              <w:t>. No further information</w:t>
            </w:r>
            <w:r w:rsidR="00362335">
              <w:rPr>
                <w:shd w:val="clear" w:color="auto" w:fill="FFFFFF"/>
              </w:rPr>
              <w:t>.</w:t>
            </w:r>
          </w:p>
          <w:p w14:paraId="157527B8" w14:textId="55B34055" w:rsidR="0017796B" w:rsidRPr="00DA352E" w:rsidRDefault="0017796B" w:rsidP="00BF6FBE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</w:p>
        </w:tc>
      </w:tr>
      <w:tr w:rsidR="00C978F0" w:rsidRPr="00DA352E" w14:paraId="000AEC21" w14:textId="77777777" w:rsidTr="00535D01">
        <w:trPr>
          <w:gridAfter w:val="1"/>
          <w:wAfter w:w="2445" w:type="pct"/>
        </w:trPr>
        <w:tc>
          <w:tcPr>
            <w:tcW w:w="2555" w:type="pct"/>
            <w:shd w:val="clear" w:color="auto" w:fill="F2F2F2" w:themeFill="background1" w:themeFillShade="F2"/>
          </w:tcPr>
          <w:p w14:paraId="6594298D" w14:textId="20C762C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057C2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id w:val="714094631"/>
                    <w:placeholder>
                      <w:docPart w:val="B2581375421649AEA26F3CAB7A5088EB"/>
                    </w:placeholder>
                    <w:text/>
                  </w:sdtPr>
                  <w:sdtEndPr/>
                  <w:sdtContent>
                    <w:r w:rsidR="00C057C2">
                      <w:t>Not assigned</w:t>
                    </w:r>
                  </w:sdtContent>
                </w:sdt>
              </w:sdtContent>
            </w:sdt>
          </w:p>
        </w:tc>
      </w:tr>
      <w:tr w:rsidR="00C978F0" w:rsidRPr="00DA352E" w14:paraId="3C02E1D6" w14:textId="77777777" w:rsidTr="00535D01">
        <w:trPr>
          <w:gridAfter w:val="1"/>
          <w:wAfter w:w="2445" w:type="pct"/>
        </w:trPr>
        <w:tc>
          <w:tcPr>
            <w:tcW w:w="2555" w:type="pct"/>
          </w:tcPr>
          <w:p w14:paraId="041A8A1B" w14:textId="77777777" w:rsidR="00050E9A" w:rsidRDefault="00E40E10" w:rsidP="00362335">
            <w:pPr>
              <w:pStyle w:val="Tabletextprimarysource"/>
            </w:pPr>
            <w:r>
              <w:t>B[a]P considered a suspected human carcinogen; n</w:t>
            </w:r>
            <w:r w:rsidR="002F662C">
              <w:t>o TLV-TWA</w:t>
            </w:r>
            <w:r>
              <w:t xml:space="preserve"> assigned.</w:t>
            </w:r>
            <w:r w:rsidR="00B55419">
              <w:t xml:space="preserve"> </w:t>
            </w:r>
          </w:p>
          <w:p w14:paraId="4D86BA01" w14:textId="77EAC1D2" w:rsidR="001F178C" w:rsidRDefault="00B55419" w:rsidP="00362335">
            <w:pPr>
              <w:pStyle w:val="Tabletextprimarysource"/>
            </w:pPr>
            <w:r>
              <w:t>Worker exposure by all routes should be carefully controlled to levels as low as possible.</w:t>
            </w:r>
          </w:p>
          <w:p w14:paraId="15AB223D" w14:textId="6634604B" w:rsidR="00E40E10" w:rsidRDefault="00E40E10" w:rsidP="00667856">
            <w:pPr>
              <w:pStyle w:val="Tabletextprimarysource"/>
            </w:pPr>
            <w:r>
              <w:t>Summary of data:</w:t>
            </w:r>
          </w:p>
          <w:p w14:paraId="5255866F" w14:textId="323F23C6" w:rsidR="00D35888" w:rsidRDefault="00D35888" w:rsidP="00BF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The following evidence is based on comments predominantly from reviews; study specifics generally not provided; refers to ATSDR for toxicological review</w:t>
            </w:r>
          </w:p>
          <w:p w14:paraId="3B4C41B7" w14:textId="456F42EE" w:rsidR="000F0A81" w:rsidRDefault="000F0A81" w:rsidP="00BF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B[a]P often used as an index of air pollution and of total PAH</w:t>
            </w:r>
            <w:r w:rsidR="00362335">
              <w:t>.</w:t>
            </w:r>
          </w:p>
          <w:p w14:paraId="1FF64567" w14:textId="0F477BDB" w:rsidR="00E40E10" w:rsidRDefault="00E40E10" w:rsidP="00362335">
            <w:pPr>
              <w:pStyle w:val="Tabletextprimarysource"/>
            </w:pPr>
            <w:r>
              <w:t>Human data:</w:t>
            </w:r>
          </w:p>
          <w:p w14:paraId="36F5DD6A" w14:textId="04674E72" w:rsidR="00006F92" w:rsidRDefault="00B7396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Critical effect is lung cancer </w:t>
            </w:r>
            <w:r w:rsidRPr="00BF6FBE">
              <w:rPr>
                <w:i/>
              </w:rPr>
              <w:t>via</w:t>
            </w:r>
            <w:r>
              <w:t xml:space="preserve"> inhalation</w:t>
            </w:r>
            <w:r w:rsidR="00EA1B4D">
              <w:t>:</w:t>
            </w:r>
            <w:r>
              <w:t xml:space="preserve"> </w:t>
            </w:r>
          </w:p>
          <w:p w14:paraId="1AD70356" w14:textId="49C69AAC" w:rsidR="00B7396C" w:rsidRDefault="00B7396C" w:rsidP="00BF6FBE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 xml:space="preserve">skin cancer, dermatitis, photoallergy non-neoplastic respiratory disease and emphysema reported </w:t>
            </w:r>
            <w:r w:rsidRPr="00BF6FBE">
              <w:rPr>
                <w:i/>
              </w:rPr>
              <w:t>via</w:t>
            </w:r>
            <w:r>
              <w:t xml:space="preserve"> various routes of exposure</w:t>
            </w:r>
          </w:p>
          <w:p w14:paraId="1A9AE77F" w14:textId="4E2BEDF0" w:rsidR="0012468E" w:rsidRDefault="00F1450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Epidemiologic studies indicate a significant correlation between B[a]P and lung cancer mortality</w:t>
            </w:r>
            <w:r w:rsidR="00EA1B4D">
              <w:t>:</w:t>
            </w:r>
            <w:r>
              <w:t xml:space="preserve"> </w:t>
            </w:r>
          </w:p>
          <w:p w14:paraId="076B7445" w14:textId="0653E682" w:rsidR="0012468E" w:rsidRDefault="00F1450E" w:rsidP="00BF6FBE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cigarette smoking, air pollution and occupational exposure</w:t>
            </w:r>
            <w:r w:rsidR="00E83EA9">
              <w:t xml:space="preserve"> are</w:t>
            </w:r>
            <w:r>
              <w:t xml:space="preserve"> primary means of inhalation exposure </w:t>
            </w:r>
          </w:p>
          <w:p w14:paraId="6848835C" w14:textId="35FEB4D1" w:rsidR="00F1450E" w:rsidRDefault="00F1450E" w:rsidP="00BF6FBE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cigarette smoking overwhelming factor in causation of lung cancer</w:t>
            </w:r>
          </w:p>
          <w:p w14:paraId="35A59A26" w14:textId="40583356" w:rsidR="002F78F3" w:rsidRDefault="002F78F3" w:rsidP="00BF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Epidemiological studies generally not quantitative</w:t>
            </w:r>
            <w:r w:rsidR="0012468E">
              <w:t>,</w:t>
            </w:r>
            <w:r>
              <w:t xml:space="preserve"> but obvious increase in B[a]P exposure results in increase of adverse health outcomes</w:t>
            </w:r>
          </w:p>
          <w:p w14:paraId="77BD3003" w14:textId="40CA0682" w:rsidR="0012468E" w:rsidRDefault="00F1450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B[a]P was a significant causative agent of lung cancer in epidemiologic studies involving air pollution</w:t>
            </w:r>
            <w:r w:rsidR="00EA1B4D">
              <w:t>:</w:t>
            </w:r>
            <w:r>
              <w:t xml:space="preserve"> </w:t>
            </w:r>
          </w:p>
          <w:p w14:paraId="0C36BE6B" w14:textId="77777777" w:rsidR="0012468E" w:rsidRDefault="00F1450E" w:rsidP="00BF6FBE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data assumed that exposure indices and B[a]P levels were linearly related particularly in air pollution studies</w:t>
            </w:r>
          </w:p>
          <w:p w14:paraId="4D54ED5B" w14:textId="278A6A5B" w:rsidR="00E40E10" w:rsidRDefault="00F1450E" w:rsidP="00BF6FBE">
            <w:pPr>
              <w:pStyle w:val="ListBullet"/>
              <w:numPr>
                <w:ilvl w:val="0"/>
                <w:numId w:val="7"/>
              </w:numPr>
              <w:spacing w:before="60" w:after="60"/>
              <w:contextualSpacing w:val="0"/>
            </w:pPr>
            <w:r>
              <w:t>sometimes B[a]P levels not directly proportional to other pollutants</w:t>
            </w:r>
          </w:p>
          <w:p w14:paraId="7B3DC74E" w14:textId="77777777" w:rsidR="0012468E" w:rsidRDefault="00421FCD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d</w:t>
            </w:r>
            <w:r w:rsidR="003567EA">
              <w:t>ose-response estimate derived from general air pollution epidemiology</w:t>
            </w:r>
          </w:p>
          <w:p w14:paraId="1F4C0E08" w14:textId="33341A17" w:rsidR="003567EA" w:rsidRDefault="003567EA" w:rsidP="0012468E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increase of 1 </w:t>
            </w:r>
            <w:r>
              <w:rPr>
                <w:rFonts w:cs="Arial"/>
              </w:rPr>
              <w:t>µ</w:t>
            </w:r>
            <w:r>
              <w:t>g B[a]P per 1</w:t>
            </w:r>
            <w:r w:rsidR="002F78F3">
              <w:t>,</w:t>
            </w:r>
            <w:r>
              <w:t>000 m</w:t>
            </w:r>
            <w:r w:rsidRPr="003567EA">
              <w:rPr>
                <w:vertAlign w:val="superscript"/>
              </w:rPr>
              <w:t>3</w:t>
            </w:r>
            <w:r>
              <w:t xml:space="preserve"> of air related to 5% increase in pulmonary cancer death rate</w:t>
            </w:r>
          </w:p>
          <w:p w14:paraId="7227B706" w14:textId="65E478E1" w:rsidR="0012468E" w:rsidRDefault="0043370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 review of l</w:t>
            </w:r>
            <w:r w:rsidR="003567EA">
              <w:t>ung cancer death rates among US coke oven workers</w:t>
            </w:r>
            <w:r>
              <w:t xml:space="preserve"> identified a</w:t>
            </w:r>
            <w:r w:rsidR="003567EA">
              <w:t xml:space="preserve"> doubl</w:t>
            </w:r>
            <w:r>
              <w:t>ing</w:t>
            </w:r>
            <w:r w:rsidR="003567EA">
              <w:t xml:space="preserve"> or 10</w:t>
            </w:r>
            <w:r w:rsidR="00EE6931">
              <w:noBreakHyphen/>
            </w:r>
            <w:r w:rsidR="003567EA">
              <w:t>fold excess in lung cancer death rate vs control</w:t>
            </w:r>
            <w:r w:rsidR="00E83EA9">
              <w:t>s</w:t>
            </w:r>
            <w:r w:rsidR="00EA1B4D">
              <w:t>:</w:t>
            </w:r>
            <w:r>
              <w:t xml:space="preserve"> </w:t>
            </w:r>
          </w:p>
          <w:p w14:paraId="67B78774" w14:textId="0C13E43D" w:rsidR="003567EA" w:rsidRDefault="0043370B" w:rsidP="00BF6FBE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 xml:space="preserve">estimated </w:t>
            </w:r>
            <w:r w:rsidR="002F78F3">
              <w:t xml:space="preserve">associated </w:t>
            </w:r>
            <w:r>
              <w:t>exposure was 2,000 ng/m</w:t>
            </w:r>
            <w:r>
              <w:rPr>
                <w:vertAlign w:val="superscript"/>
              </w:rPr>
              <w:t>3</w:t>
            </w:r>
            <w:r>
              <w:t xml:space="preserve"> when at work</w:t>
            </w:r>
          </w:p>
          <w:p w14:paraId="448F3755" w14:textId="1EA9C999" w:rsidR="0012468E" w:rsidRDefault="0043370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Epidemiologic data pertaining to workers exposed to diesel emissions showed no positive correlation with lung cancer morbidity</w:t>
            </w:r>
            <w:r w:rsidR="00EA1B4D">
              <w:t>:</w:t>
            </w:r>
            <w:r w:rsidR="002F78F3">
              <w:t xml:space="preserve"> </w:t>
            </w:r>
          </w:p>
          <w:p w14:paraId="029FE668" w14:textId="6C73950F" w:rsidR="0043370B" w:rsidRDefault="002F78F3" w:rsidP="00BF6FBE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studies considered inconclusive as they did not allocate for the necessary latency period to measure lung cancer incidence accurately (up to 30 yr)</w:t>
            </w:r>
          </w:p>
          <w:p w14:paraId="1F7F9C63" w14:textId="38935CAE" w:rsidR="00E40E10" w:rsidRDefault="002F78F3" w:rsidP="0012468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B[a]P-DNA adducts in human workers by immunoassay: </w:t>
            </w:r>
          </w:p>
          <w:p w14:paraId="55DC27CF" w14:textId="292A477A" w:rsidR="002F78F3" w:rsidRDefault="00421FCD" w:rsidP="0012468E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lastRenderedPageBreak/>
              <w:t>r</w:t>
            </w:r>
            <w:r w:rsidR="002F78F3">
              <w:t>oofers</w:t>
            </w:r>
            <w:r w:rsidR="0012468E">
              <w:t>:</w:t>
            </w:r>
            <w:r w:rsidR="002F78F3">
              <w:t xml:space="preserve"> lymphocytes 7/28</w:t>
            </w:r>
          </w:p>
          <w:p w14:paraId="77BABCB0" w14:textId="5604E3DE" w:rsidR="002F78F3" w:rsidRDefault="00421FCD" w:rsidP="0012468E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f</w:t>
            </w:r>
            <w:r w:rsidR="002F78F3">
              <w:t>oundry workers</w:t>
            </w:r>
            <w:r w:rsidR="0012468E">
              <w:t>:</w:t>
            </w:r>
            <w:r w:rsidR="002F78F3">
              <w:t xml:space="preserve"> lymphocytes 7/28</w:t>
            </w:r>
          </w:p>
          <w:p w14:paraId="13969DE7" w14:textId="14A69F9B" w:rsidR="002F78F3" w:rsidRDefault="00421FCD" w:rsidP="0012468E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s</w:t>
            </w:r>
            <w:r w:rsidR="002F78F3">
              <w:t>mokers/non</w:t>
            </w:r>
            <w:r w:rsidR="00362335">
              <w:t>-</w:t>
            </w:r>
            <w:r w:rsidR="002F78F3">
              <w:t>smokers</w:t>
            </w:r>
            <w:r w:rsidR="0012468E">
              <w:t>:</w:t>
            </w:r>
            <w:r w:rsidR="002F78F3">
              <w:t xml:space="preserve"> lung tissue 7/23</w:t>
            </w:r>
          </w:p>
          <w:p w14:paraId="025C9914" w14:textId="5745BC9F" w:rsidR="002F78F3" w:rsidRDefault="00421FCD" w:rsidP="0012468E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l</w:t>
            </w:r>
            <w:r w:rsidR="002F78F3">
              <w:t>ung cancer patients</w:t>
            </w:r>
            <w:r w:rsidR="0012468E">
              <w:t>:</w:t>
            </w:r>
            <w:r w:rsidR="002F78F3">
              <w:t xml:space="preserve"> lung tissue 4/14</w:t>
            </w:r>
          </w:p>
          <w:p w14:paraId="7D2B1E8E" w14:textId="317D1A6B" w:rsidR="002F78F3" w:rsidRDefault="00421FCD" w:rsidP="0012468E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l</w:t>
            </w:r>
            <w:r w:rsidR="002F78F3">
              <w:t>ung cancer controls</w:t>
            </w:r>
            <w:r w:rsidR="0012468E">
              <w:t>:</w:t>
            </w:r>
            <w:r w:rsidR="002F78F3">
              <w:t xml:space="preserve"> lung tissue, 0/13</w:t>
            </w:r>
          </w:p>
          <w:p w14:paraId="6883324D" w14:textId="5B8CED52" w:rsidR="00754A3C" w:rsidRDefault="00754A3C" w:rsidP="00E83EA9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B[a]P metabolites shown to bind to DNA in cultured human hepatocytes</w:t>
            </w:r>
            <w:r w:rsidR="00E83EA9">
              <w:t xml:space="preserve"> and</w:t>
            </w:r>
            <w:r>
              <w:t xml:space="preserve"> in human bladder and tracheobronchial explants</w:t>
            </w:r>
          </w:p>
          <w:p w14:paraId="388E98CF" w14:textId="70BC8991" w:rsidR="002F78F3" w:rsidRDefault="002F78F3" w:rsidP="00BF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Generally, significant correlation between B[a]P exposure and lung cancer in limited studies</w:t>
            </w:r>
            <w:r w:rsidR="00E96753">
              <w:t>.</w:t>
            </w:r>
          </w:p>
          <w:p w14:paraId="2BBA938B" w14:textId="643C0283" w:rsidR="00532A7C" w:rsidRDefault="00532A7C" w:rsidP="00362335">
            <w:pPr>
              <w:pStyle w:val="Tabletextprimarysource"/>
            </w:pPr>
            <w:r>
              <w:t>Animal data:</w:t>
            </w:r>
          </w:p>
          <w:p w14:paraId="2FF88920" w14:textId="573F6E18" w:rsidR="00126CCB" w:rsidRDefault="00532A7C" w:rsidP="00BF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B[a]P proven carcinogenic in all animal species tested to date</w:t>
            </w:r>
            <w:r w:rsidR="00771908">
              <w:t>:</w:t>
            </w:r>
            <w:r>
              <w:t xml:space="preserve"> mouse, rat, hamster, rabbit, guinea pig, duck, newt, dog, monkey and fish</w:t>
            </w:r>
          </w:p>
          <w:p w14:paraId="78166504" w14:textId="283F3098" w:rsidR="00771908" w:rsidRDefault="00532A7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Acts locally as demonstrated by tumour development at site of administration</w:t>
            </w:r>
            <w:r w:rsidR="0078045E">
              <w:t xml:space="preserve"> </w:t>
            </w:r>
          </w:p>
          <w:p w14:paraId="784932F7" w14:textId="72D8BF36" w:rsidR="00532A7C" w:rsidRDefault="00326385" w:rsidP="003329B1">
            <w:pPr>
              <w:pStyle w:val="ListBullet"/>
              <w:ind w:left="717"/>
            </w:pPr>
            <w:r>
              <w:t>R</w:t>
            </w:r>
            <w:r w:rsidR="0078045E">
              <w:t xml:space="preserve">epeated administrations of B[a]P </w:t>
            </w:r>
            <w:r w:rsidR="00B21EB1">
              <w:t xml:space="preserve">(same total dose in small aliquots by the same route) </w:t>
            </w:r>
            <w:r w:rsidR="0078045E">
              <w:t xml:space="preserve">appeared more potent at initiating tumours than a single </w:t>
            </w:r>
            <w:r>
              <w:t xml:space="preserve">total </w:t>
            </w:r>
            <w:r w:rsidR="0078045E">
              <w:t>dose of the same amount</w:t>
            </w:r>
            <w:r w:rsidR="00E03E8F">
              <w:t xml:space="preserve"> </w:t>
            </w:r>
          </w:p>
          <w:p w14:paraId="25580C3C" w14:textId="3C7C2351" w:rsidR="0078045E" w:rsidRDefault="00532A7C" w:rsidP="00BF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Rats, subcutaneous </w:t>
            </w:r>
            <w:r w:rsidR="00E51ED2">
              <w:t>injection B[a]P in oil</w:t>
            </w:r>
            <w:r w:rsidR="00552E2B">
              <w:t xml:space="preserve"> (4 doses at 0.05</w:t>
            </w:r>
            <w:r w:rsidR="001412E5">
              <w:t>, 0.1, 0.5 or</w:t>
            </w:r>
            <w:r w:rsidR="00552E2B">
              <w:t>1 mg)</w:t>
            </w:r>
            <w:r w:rsidR="00E51ED2">
              <w:t xml:space="preserve">; </w:t>
            </w:r>
            <w:r w:rsidR="0078045E">
              <w:t>dose–response relationship</w:t>
            </w:r>
            <w:r w:rsidR="000C434D">
              <w:t xml:space="preserve"> identified</w:t>
            </w:r>
            <w:r w:rsidR="0078045E">
              <w:t>; no threshold observed</w:t>
            </w:r>
            <w:r w:rsidR="00552E2B">
              <w:t xml:space="preserve"> </w:t>
            </w:r>
          </w:p>
          <w:p w14:paraId="1D7A3F68" w14:textId="6B53313B" w:rsidR="0078045E" w:rsidRDefault="0078045E" w:rsidP="00BF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Injection of 3 mg into hind legs of rats results in local tumours in area of application in all animals</w:t>
            </w:r>
            <w:r w:rsidR="00552E2B">
              <w:t xml:space="preserve">, </w:t>
            </w:r>
            <w:r>
              <w:t>no further data</w:t>
            </w:r>
          </w:p>
          <w:p w14:paraId="700B0D7E" w14:textId="6EBEF00F" w:rsidR="00771908" w:rsidRDefault="00DF121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of rats </w:t>
            </w:r>
            <w:r w:rsidR="00771908">
              <w:t>at</w:t>
            </w:r>
            <w:r>
              <w:t xml:space="preserve"> 10 mg/m</w:t>
            </w:r>
            <w:r>
              <w:rPr>
                <w:vertAlign w:val="superscript"/>
              </w:rPr>
              <w:t xml:space="preserve">3 </w:t>
            </w:r>
            <w:r>
              <w:t>including increasing SO</w:t>
            </w:r>
            <w:r>
              <w:rPr>
                <w:vertAlign w:val="subscript"/>
              </w:rPr>
              <w:t>2</w:t>
            </w:r>
            <w:r>
              <w:t xml:space="preserve"> resulted in squamous cell carcinomas</w:t>
            </w:r>
            <w:r w:rsidR="00EA1B4D">
              <w:t>:</w:t>
            </w:r>
            <w:r w:rsidR="000C434D">
              <w:t xml:space="preserve"> </w:t>
            </w:r>
          </w:p>
          <w:p w14:paraId="30288E40" w14:textId="4EB9C6B4" w:rsidR="0078045E" w:rsidRDefault="000C434D" w:rsidP="00BF6FBE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incidence</w:t>
            </w:r>
            <w:r w:rsidR="00DF121C">
              <w:t xml:space="preserve"> increas</w:t>
            </w:r>
            <w:r w:rsidR="00771908">
              <w:t>es</w:t>
            </w:r>
            <w:r w:rsidR="00DF121C">
              <w:t xml:space="preserve"> with SO</w:t>
            </w:r>
            <w:r w:rsidR="00DF121C">
              <w:rPr>
                <w:vertAlign w:val="subscript"/>
              </w:rPr>
              <w:t xml:space="preserve">2 </w:t>
            </w:r>
            <w:r w:rsidR="00DF121C">
              <w:t>exposure</w:t>
            </w:r>
          </w:p>
          <w:p w14:paraId="68D24B34" w14:textId="2E0C6B28" w:rsidR="00126CCB" w:rsidRDefault="00DF121C" w:rsidP="00BF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Acts systemically </w:t>
            </w:r>
            <w:r w:rsidR="00771908">
              <w:t>as</w:t>
            </w:r>
            <w:r>
              <w:t xml:space="preserve"> evidenced by pulmonary adenomas in mice resulting from any route of administration</w:t>
            </w:r>
            <w:r w:rsidR="00552E2B">
              <w:t>,</w:t>
            </w:r>
            <w:r>
              <w:t xml:space="preserve"> no further information</w:t>
            </w:r>
            <w:r w:rsidR="00126CCB">
              <w:t xml:space="preserve"> </w:t>
            </w:r>
          </w:p>
          <w:p w14:paraId="1431CEEE" w14:textId="1F617D1A" w:rsidR="00771908" w:rsidRDefault="00754A3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Mutagenic in </w:t>
            </w:r>
            <w:r w:rsidR="00354C4F">
              <w:rPr>
                <w:i/>
              </w:rPr>
              <w:t>S. typhimurium</w:t>
            </w:r>
            <w:r w:rsidR="00354C4F">
              <w:t xml:space="preserve"> strain TA98</w:t>
            </w:r>
            <w:r w:rsidR="00EA1B4D">
              <w:t>:</w:t>
            </w:r>
            <w:r w:rsidR="00354C4F">
              <w:t xml:space="preserve"> </w:t>
            </w:r>
          </w:p>
          <w:p w14:paraId="5B62DD8B" w14:textId="4B0DD931" w:rsidR="00771908" w:rsidRDefault="00354C4F" w:rsidP="00BF6FBE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 xml:space="preserve">0.5 </w:t>
            </w:r>
            <w:r>
              <w:rPr>
                <w:rFonts w:cs="Arial"/>
              </w:rPr>
              <w:t>µ</w:t>
            </w:r>
            <w:r>
              <w:t xml:space="preserve">g/plate </w:t>
            </w:r>
            <w:r w:rsidR="00552E2B">
              <w:t xml:space="preserve">caused </w:t>
            </w:r>
            <w:r>
              <w:t xml:space="preserve">significantly higher revertant rate than controls </w:t>
            </w:r>
          </w:p>
          <w:p w14:paraId="27F8CFD9" w14:textId="6D521805" w:rsidR="00DF121C" w:rsidRDefault="00D47189" w:rsidP="00BF6FBE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stated 1 of many studies showing mutagenicity in Ames assay</w:t>
            </w:r>
            <w:r w:rsidR="00BF52B7">
              <w:t>. No further information</w:t>
            </w:r>
          </w:p>
          <w:p w14:paraId="18712A9E" w14:textId="168A5355" w:rsidR="001E6FEE" w:rsidRDefault="001E6FEE" w:rsidP="00BF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Mice; oral administration</w:t>
            </w:r>
            <w:r w:rsidR="00B55419">
              <w:t xml:space="preserve"> of 2</w:t>
            </w:r>
            <w:r w:rsidR="00552E2B">
              <w:t xml:space="preserve"> doses of </w:t>
            </w:r>
            <w:r w:rsidR="00326385">
              <w:t>1</w:t>
            </w:r>
            <w:r w:rsidR="003329B1">
              <w:t>,</w:t>
            </w:r>
            <w:r w:rsidR="00326385">
              <w:t>351</w:t>
            </w:r>
            <w:r w:rsidR="00B55419">
              <w:t xml:space="preserve"> </w:t>
            </w:r>
            <w:r w:rsidR="00B55419">
              <w:rPr>
                <w:rFonts w:cs="Arial"/>
              </w:rPr>
              <w:t>µ</w:t>
            </w:r>
            <w:r w:rsidR="00B55419">
              <w:t>mol/kg</w:t>
            </w:r>
            <w:r>
              <w:t>; B[a]P metabolite/DNA adduct formation in liver, lung and forestomach</w:t>
            </w:r>
            <w:r w:rsidR="00BF52B7">
              <w:t>. No further information</w:t>
            </w:r>
          </w:p>
          <w:p w14:paraId="4D06EE7F" w14:textId="74B3F929" w:rsidR="00DF121C" w:rsidRDefault="00B55419" w:rsidP="00BF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Mice; single oral dose of 1 </w:t>
            </w:r>
            <w:r>
              <w:rPr>
                <w:rFonts w:cs="Arial"/>
              </w:rPr>
              <w:t>µ</w:t>
            </w:r>
            <w:r>
              <w:t>g/mouse; adduct formation highest in liver&gt;intestine&gt;colon&gt;stomach</w:t>
            </w:r>
            <w:r w:rsidR="00667856">
              <w:t>.</w:t>
            </w:r>
          </w:p>
          <w:p w14:paraId="3E1162AA" w14:textId="2EDF7136" w:rsidR="0017796B" w:rsidRPr="00DA352E" w:rsidRDefault="0017796B" w:rsidP="00BF6FBE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408E46A2" w14:textId="77777777" w:rsidTr="00535D01">
        <w:trPr>
          <w:gridAfter w:val="1"/>
          <w:wAfter w:w="2445" w:type="pct"/>
        </w:trPr>
        <w:tc>
          <w:tcPr>
            <w:tcW w:w="2555" w:type="pct"/>
            <w:shd w:val="clear" w:color="auto" w:fill="F2F2F2" w:themeFill="background1" w:themeFillShade="F2"/>
          </w:tcPr>
          <w:p w14:paraId="559E9A32" w14:textId="20A6AF6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E20BF">
                  <w:t>2012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65B5D">
                  <w:t>Not assigned</w:t>
                </w:r>
              </w:sdtContent>
            </w:sdt>
          </w:p>
        </w:tc>
      </w:tr>
      <w:tr w:rsidR="00C978F0" w:rsidRPr="00DA352E" w14:paraId="6B8DC794" w14:textId="77777777" w:rsidTr="00535D01">
        <w:trPr>
          <w:gridAfter w:val="1"/>
          <w:wAfter w:w="2445" w:type="pct"/>
        </w:trPr>
        <w:tc>
          <w:tcPr>
            <w:tcW w:w="2555" w:type="pct"/>
          </w:tcPr>
          <w:p w14:paraId="7756D887" w14:textId="3B79EAEF" w:rsidR="007922FD" w:rsidRDefault="003C1ADE" w:rsidP="00667856">
            <w:pPr>
              <w:pStyle w:val="Tabletextprimarysource"/>
            </w:pPr>
            <w:r>
              <w:t>No</w:t>
            </w:r>
            <w:r w:rsidR="0000036D">
              <w:t xml:space="preserve"> MAK assigned for group of</w:t>
            </w:r>
            <w:r w:rsidR="0030152D">
              <w:t xml:space="preserve"> 19</w:t>
            </w:r>
            <w:r w:rsidR="0000036D">
              <w:t xml:space="preserve"> PAH</w:t>
            </w:r>
            <w:r w:rsidR="003B344B">
              <w:t xml:space="preserve"> due to carcinogenic potential</w:t>
            </w:r>
            <w:r w:rsidR="00667856">
              <w:t>.</w:t>
            </w:r>
          </w:p>
          <w:p w14:paraId="637767DB" w14:textId="24204242" w:rsidR="000F0A81" w:rsidRDefault="000F0A81" w:rsidP="00667856">
            <w:pPr>
              <w:pStyle w:val="Tabletextprimarysource"/>
            </w:pPr>
            <w:r>
              <w:t>Review based mainly on the monograph on selected PAH by the International Programme on Chemical Safety, WHO.</w:t>
            </w:r>
          </w:p>
          <w:p w14:paraId="2322C1C5" w14:textId="361D2C8D" w:rsidR="007922FD" w:rsidRDefault="007922FD" w:rsidP="00667856">
            <w:pPr>
              <w:pStyle w:val="Tabletextprimarysource"/>
            </w:pPr>
            <w:r>
              <w:t>Summary of additional data:</w:t>
            </w:r>
          </w:p>
          <w:p w14:paraId="161519E0" w14:textId="21940A1B" w:rsidR="00771908" w:rsidRDefault="007922FD">
            <w:pPr>
              <w:pStyle w:val="ListBullet"/>
              <w:spacing w:before="60" w:after="60"/>
              <w:ind w:left="714" w:hanging="357"/>
              <w:contextualSpacing w:val="0"/>
              <w:rPr>
                <w:shd w:val="clear" w:color="auto" w:fill="FFFFFF"/>
              </w:rPr>
            </w:pPr>
            <w:r>
              <w:t>PAH</w:t>
            </w:r>
            <w:r>
              <w:rPr>
                <w:shd w:val="clear" w:color="auto" w:fill="FFFFFF"/>
              </w:rPr>
              <w:t xml:space="preserve"> formed mainly during the pyrolysis of organic material (heating in the absence of oxygen or incomplete combustion)</w:t>
            </w:r>
            <w:r w:rsidR="00EA1B4D">
              <w:rPr>
                <w:shd w:val="clear" w:color="auto" w:fill="FFFFFF"/>
              </w:rPr>
              <w:t>:</w:t>
            </w:r>
            <w:r>
              <w:rPr>
                <w:shd w:val="clear" w:color="auto" w:fill="FFFFFF"/>
              </w:rPr>
              <w:t xml:space="preserve"> </w:t>
            </w:r>
          </w:p>
          <w:p w14:paraId="780700F1" w14:textId="7AD9F190" w:rsidR="007922FD" w:rsidRDefault="003B344B" w:rsidP="00BF6FBE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relevant </w:t>
            </w:r>
            <w:r w:rsidR="007922FD">
              <w:rPr>
                <w:shd w:val="clear" w:color="auto" w:fill="FFFFFF"/>
              </w:rPr>
              <w:t>pyrolysis products at the workplace are tar, tar vapours, coke oven emissions, emissions or soot from the combustion of coal, electrodes, oil</w:t>
            </w:r>
          </w:p>
          <w:p w14:paraId="5EE50611" w14:textId="749C8457" w:rsidR="006C2648" w:rsidRDefault="00771908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shd w:val="clear" w:color="auto" w:fill="FFFFFF"/>
              </w:rPr>
            </w:pPr>
            <w:r>
              <w:t>S</w:t>
            </w:r>
            <w:r w:rsidR="006C2648">
              <w:t>kin penetration of individual PAH demonstrated in humans and animal studies</w:t>
            </w:r>
          </w:p>
          <w:p w14:paraId="01A44160" w14:textId="0FB9CA6E" w:rsidR="00BF6FBE" w:rsidRPr="00BF6FBE" w:rsidRDefault="00BF52B7">
            <w:pPr>
              <w:pStyle w:val="ListBullet"/>
              <w:spacing w:before="60" w:after="60"/>
              <w:ind w:left="714" w:hanging="357"/>
              <w:contextualSpacing w:val="0"/>
              <w:rPr>
                <w:shd w:val="clear" w:color="auto" w:fill="FFFFFF"/>
              </w:rPr>
            </w:pPr>
            <w:r>
              <w:t xml:space="preserve">Single doses </w:t>
            </w:r>
            <w:r w:rsidR="007714CD">
              <w:t>of 1.25</w:t>
            </w:r>
            <w:r w:rsidR="00667856">
              <w:t>–</w:t>
            </w:r>
            <w:r w:rsidR="007714CD">
              <w:t xml:space="preserve">125 </w:t>
            </w:r>
            <w:r w:rsidR="007714CD">
              <w:rPr>
                <w:rFonts w:cs="Arial"/>
              </w:rPr>
              <w:t>µ</w:t>
            </w:r>
            <w:r w:rsidR="007714CD">
              <w:t>g/cm</w:t>
            </w:r>
            <w:r w:rsidR="007714CD">
              <w:rPr>
                <w:vertAlign w:val="superscript"/>
              </w:rPr>
              <w:t>2</w:t>
            </w:r>
            <w:r w:rsidR="007714CD">
              <w:t xml:space="preserve"> </w:t>
            </w:r>
            <w:r w:rsidR="007714CD">
              <w:rPr>
                <w:vertAlign w:val="superscript"/>
              </w:rPr>
              <w:t>14</w:t>
            </w:r>
            <w:r w:rsidR="007714CD">
              <w:t>C-labelled B[a]P applied to neck</w:t>
            </w:r>
            <w:r w:rsidR="00E96753">
              <w:t>s of mice</w:t>
            </w:r>
            <w:r w:rsidR="00EA1B4D">
              <w:t>:</w:t>
            </w:r>
            <w:r w:rsidR="00E96753">
              <w:t xml:space="preserve"> </w:t>
            </w:r>
          </w:p>
          <w:p w14:paraId="171709BE" w14:textId="338DF2CB" w:rsidR="00BF6FBE" w:rsidRPr="00BF6FBE" w:rsidRDefault="00E96753" w:rsidP="00BF6FBE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  <w:rPr>
                <w:shd w:val="clear" w:color="auto" w:fill="FFFFFF"/>
              </w:rPr>
            </w:pPr>
            <w:r>
              <w:t>6% uptake in 1</w:t>
            </w:r>
            <w:r w:rsidR="00667856">
              <w:t> </w:t>
            </w:r>
            <w:r>
              <w:t xml:space="preserve">h </w:t>
            </w:r>
          </w:p>
          <w:p w14:paraId="6EA8B50F" w14:textId="67A832E1" w:rsidR="00BF6FBE" w:rsidRPr="00BF6FBE" w:rsidRDefault="00E96753" w:rsidP="00BF6FBE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  <w:rPr>
                <w:shd w:val="clear" w:color="auto" w:fill="FFFFFF"/>
              </w:rPr>
            </w:pPr>
            <w:r>
              <w:t>4</w:t>
            </w:r>
            <w:r w:rsidR="007714CD">
              <w:t>0% in 24 h</w:t>
            </w:r>
          </w:p>
          <w:p w14:paraId="2B7D56BC" w14:textId="3AB4D979" w:rsidR="00BF6FBE" w:rsidRPr="00BF6FBE" w:rsidRDefault="007714CD" w:rsidP="00BF6FBE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  <w:rPr>
                <w:shd w:val="clear" w:color="auto" w:fill="FFFFFF"/>
              </w:rPr>
            </w:pPr>
            <w:r>
              <w:t>93% in 7 d</w:t>
            </w:r>
          </w:p>
          <w:p w14:paraId="3C64DF9A" w14:textId="039EFCC2" w:rsidR="00BF6FBE" w:rsidRPr="00BF6FBE" w:rsidRDefault="007714CD" w:rsidP="00BF6FBE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  <w:rPr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lastRenderedPageBreak/>
              <w:t xml:space="preserve">excreted </w:t>
            </w:r>
            <w:r w:rsidRPr="00BF6FBE">
              <w:rPr>
                <w:rFonts w:cs="Arial"/>
                <w:i/>
                <w:color w:val="1C1D1E"/>
                <w:shd w:val="clear" w:color="auto" w:fill="FFFFFF"/>
              </w:rPr>
              <w:t>via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the hepatobiliary system and in the </w:t>
            </w:r>
            <w:r w:rsidR="00E96753">
              <w:rPr>
                <w:rFonts w:cs="Arial"/>
                <w:color w:val="1C1D1E"/>
                <w:shd w:val="clear" w:color="auto" w:fill="FFFFFF"/>
              </w:rPr>
              <w:t>faeces</w:t>
            </w:r>
            <w:r w:rsidR="00EA1B4D">
              <w:rPr>
                <w:rFonts w:cs="Arial"/>
                <w:color w:val="1C1D1E"/>
                <w:shd w:val="clear" w:color="auto" w:fill="FFFFFF"/>
              </w:rPr>
              <w:t>:</w:t>
            </w:r>
            <w:r w:rsidR="00E96753">
              <w:rPr>
                <w:rFonts w:cs="Arial"/>
                <w:color w:val="1C1D1E"/>
                <w:shd w:val="clear" w:color="auto" w:fill="FFFFFF"/>
              </w:rPr>
              <w:t xml:space="preserve"> </w:t>
            </w:r>
          </w:p>
          <w:p w14:paraId="63C4AC87" w14:textId="77777777" w:rsidR="00BF6FBE" w:rsidRPr="00BF6FBE" w:rsidRDefault="00E96753" w:rsidP="00BF6FBE">
            <w:pPr>
              <w:pStyle w:val="ListBullet"/>
              <w:numPr>
                <w:ilvl w:val="1"/>
                <w:numId w:val="9"/>
              </w:numPr>
              <w:spacing w:before="60" w:after="60"/>
              <w:contextualSpacing w:val="0"/>
              <w:rPr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35</w:t>
            </w:r>
            <w:r w:rsidR="007714CD">
              <w:rPr>
                <w:rFonts w:cs="Arial"/>
                <w:color w:val="1C1D1E"/>
                <w:shd w:val="clear" w:color="auto" w:fill="FFFFFF"/>
              </w:rPr>
              <w:t>% after 24 h</w:t>
            </w:r>
          </w:p>
          <w:p w14:paraId="3C3B9825" w14:textId="13632274" w:rsidR="00BF6FBE" w:rsidRPr="00BF6FBE" w:rsidRDefault="007714CD" w:rsidP="00BF6FBE">
            <w:pPr>
              <w:pStyle w:val="ListBullet"/>
              <w:numPr>
                <w:ilvl w:val="1"/>
                <w:numId w:val="9"/>
              </w:numPr>
              <w:spacing w:before="60" w:after="60"/>
              <w:contextualSpacing w:val="0"/>
              <w:rPr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 xml:space="preserve">58% after 48 h </w:t>
            </w:r>
          </w:p>
          <w:p w14:paraId="705D2553" w14:textId="055358DA" w:rsidR="008D62A3" w:rsidRDefault="007714CD" w:rsidP="00BF6FBE">
            <w:pPr>
              <w:pStyle w:val="ListBullet"/>
              <w:numPr>
                <w:ilvl w:val="1"/>
                <w:numId w:val="9"/>
              </w:numPr>
              <w:spacing w:before="60" w:after="60"/>
              <w:contextualSpacing w:val="0"/>
              <w:rPr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80% after 7 d</w:t>
            </w:r>
            <w:r w:rsidR="00BF52B7">
              <w:rPr>
                <w:rFonts w:cs="Arial"/>
                <w:color w:val="1C1D1E"/>
                <w:shd w:val="clear" w:color="auto" w:fill="FFFFFF"/>
              </w:rPr>
              <w:t>. No further information</w:t>
            </w:r>
          </w:p>
          <w:p w14:paraId="6C65D5E0" w14:textId="345D4805" w:rsidR="008D62A3" w:rsidRDefault="008D62A3" w:rsidP="00BF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Evidence in animals suggest tumorigenicity in the respiratory tract may be attributed to range of PAH including B[a]P</w:t>
            </w:r>
            <w:r w:rsidR="00BF52B7">
              <w:rPr>
                <w:rFonts w:cs="Arial"/>
                <w:color w:val="1C1D1E"/>
                <w:shd w:val="clear" w:color="auto" w:fill="FFFFFF"/>
              </w:rPr>
              <w:t>.</w:t>
            </w:r>
            <w:r w:rsidR="006B6158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EA1B4D">
              <w:rPr>
                <w:rFonts w:cs="Arial"/>
                <w:color w:val="1C1D1E"/>
                <w:shd w:val="clear" w:color="auto" w:fill="FFFFFF"/>
              </w:rPr>
              <w:t xml:space="preserve">No </w:t>
            </w:r>
            <w:r w:rsidR="006B6158">
              <w:rPr>
                <w:rFonts w:cs="Arial"/>
                <w:color w:val="1C1D1E"/>
                <w:shd w:val="clear" w:color="auto" w:fill="FFFFFF"/>
              </w:rPr>
              <w:t>further information</w:t>
            </w:r>
          </w:p>
          <w:p w14:paraId="5BC41BFA" w14:textId="28460F4A" w:rsidR="00BF6FBE" w:rsidRDefault="008D62A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20 </w:t>
            </w:r>
            <w:r>
              <w:rPr>
                <w:rFonts w:cs="Arial"/>
              </w:rPr>
              <w:t>µ</w:t>
            </w:r>
            <w:r>
              <w:t>g B[a]P applied 2</w:t>
            </w:r>
            <w:r w:rsidR="00667856">
              <w:t>–</w:t>
            </w:r>
            <w:r>
              <w:t>3</w:t>
            </w:r>
            <w:r w:rsidR="00421FCD">
              <w:t>/</w:t>
            </w:r>
            <w:r>
              <w:t>w</w:t>
            </w:r>
            <w:r w:rsidR="00421FCD">
              <w:t>k</w:t>
            </w:r>
            <w:r>
              <w:t xml:space="preserve"> to depilated skin of mice for 2 yr</w:t>
            </w:r>
            <w:r w:rsidR="00EA1B4D">
              <w:t>:</w:t>
            </w:r>
            <w:r>
              <w:t xml:space="preserve"> </w:t>
            </w:r>
          </w:p>
          <w:p w14:paraId="1A4E3317" w14:textId="07B81718" w:rsidR="008D62A3" w:rsidRDefault="008D62A3" w:rsidP="00BF6FBE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</w:pPr>
            <w:r>
              <w:t>skin tumours observed in treat</w:t>
            </w:r>
            <w:r w:rsidR="006B6158">
              <w:t>ed</w:t>
            </w:r>
            <w:r>
              <w:t xml:space="preserve"> region in 60% of animals</w:t>
            </w:r>
            <w:r w:rsidR="00BF52B7">
              <w:t xml:space="preserve">. No </w:t>
            </w:r>
            <w:r w:rsidR="006B6158">
              <w:t>further information</w:t>
            </w:r>
          </w:p>
          <w:p w14:paraId="450AC7E1" w14:textId="53F4DBDA" w:rsidR="008D62A3" w:rsidRPr="000C434D" w:rsidRDefault="00BF52B7" w:rsidP="00BF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Tumour incidences of 0, 37% and 56%</w:t>
            </w:r>
            <w:r w:rsidR="00EA1B4D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reported in the larynx and trachea of </w:t>
            </w:r>
            <w:r w:rsidR="008D62A3">
              <w:t>G</w:t>
            </w:r>
            <w:r w:rsidR="008D62A3" w:rsidRPr="00C011DC">
              <w:t xml:space="preserve">olden hamsters in isolators </w:t>
            </w:r>
            <w:r w:rsidR="008D62A3">
              <w:t xml:space="preserve">exposed at </w:t>
            </w:r>
            <w:r w:rsidR="008D62A3" w:rsidRPr="00C011DC">
              <w:t xml:space="preserve">2.2, 9.5 </w:t>
            </w:r>
            <w:r w:rsidR="008D62A3">
              <w:t>or</w:t>
            </w:r>
            <w:r w:rsidR="008D62A3" w:rsidRPr="00C011DC">
              <w:t xml:space="preserve"> 46.5 mg/m</w:t>
            </w:r>
            <w:r w:rsidR="008D62A3" w:rsidRPr="00C011DC">
              <w:rPr>
                <w:vertAlign w:val="superscript"/>
              </w:rPr>
              <w:t>3</w:t>
            </w:r>
            <w:r w:rsidR="008D62A3">
              <w:t xml:space="preserve"> B[a]P</w:t>
            </w:r>
            <w:r>
              <w:t>,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respectively. No further information</w:t>
            </w:r>
          </w:p>
          <w:p w14:paraId="2772708E" w14:textId="73A31515" w:rsidR="000C434D" w:rsidRPr="00C011DC" w:rsidRDefault="000C434D" w:rsidP="00BF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Squamous cell carcinoma in 2</w:t>
            </w:r>
            <w:r w:rsidR="00421FCD">
              <w:rPr>
                <w:rFonts w:cs="Arial"/>
                <w:color w:val="1C1D1E"/>
                <w:shd w:val="clear" w:color="auto" w:fill="FFFFFF"/>
              </w:rPr>
              <w:t>/</w:t>
            </w:r>
            <w:r>
              <w:rPr>
                <w:rFonts w:cs="Arial"/>
                <w:color w:val="1C1D1E"/>
                <w:shd w:val="clear" w:color="auto" w:fill="FFFFFF"/>
              </w:rPr>
              <w:t>21 exposed rats exposed at 10 mg/m</w:t>
            </w:r>
            <w:r>
              <w:rPr>
                <w:rFonts w:cs="Arial"/>
                <w:color w:val="1C1D1E"/>
                <w:sz w:val="18"/>
                <w:szCs w:val="18"/>
                <w:shd w:val="clear" w:color="auto" w:fill="FFFFFF"/>
                <w:vertAlign w:val="superscript"/>
              </w:rPr>
              <w:t>3</w:t>
            </w:r>
            <w:r>
              <w:rPr>
                <w:rFonts w:cs="Arial"/>
                <w:color w:val="1C1D1E"/>
                <w:shd w:val="clear" w:color="auto" w:fill="FFFFFF"/>
              </w:rPr>
              <w:t> B[a]P for 1 h/d for 494</w:t>
            </w:r>
            <w:r w:rsidR="00EE6931">
              <w:rPr>
                <w:rFonts w:cs="Arial"/>
                <w:color w:val="1C1D1E"/>
                <w:shd w:val="clear" w:color="auto" w:fill="FFFFFF"/>
              </w:rPr>
              <w:t> </w:t>
            </w:r>
            <w:r>
              <w:rPr>
                <w:rFonts w:cs="Arial"/>
                <w:color w:val="1C1D1E"/>
                <w:shd w:val="clear" w:color="auto" w:fill="FFFFFF"/>
              </w:rPr>
              <w:t>d</w:t>
            </w:r>
            <w:r w:rsidR="00BF52B7">
              <w:rPr>
                <w:rFonts w:cs="Arial"/>
                <w:color w:val="1C1D1E"/>
                <w:shd w:val="clear" w:color="auto" w:fill="FFFFFF"/>
              </w:rPr>
              <w:t>. No further information</w:t>
            </w:r>
          </w:p>
          <w:p w14:paraId="22158166" w14:textId="79CBA0B1" w:rsidR="001F178C" w:rsidRPr="0030152D" w:rsidRDefault="007922FD" w:rsidP="00BF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B[a]P historically used as </w:t>
            </w:r>
            <w:r>
              <w:rPr>
                <w:shd w:val="clear" w:color="auto" w:fill="FFFFFF"/>
              </w:rPr>
              <w:t xml:space="preserve">reference for carcinogenicity of the PAH mixture and for the assessment of public and </w:t>
            </w:r>
            <w:r w:rsidR="006B6158">
              <w:rPr>
                <w:shd w:val="clear" w:color="auto" w:fill="FFFFFF"/>
              </w:rPr>
              <w:t xml:space="preserve">occupational </w:t>
            </w:r>
            <w:r>
              <w:rPr>
                <w:shd w:val="clear" w:color="auto" w:fill="FFFFFF"/>
              </w:rPr>
              <w:t>health risks</w:t>
            </w:r>
            <w:r w:rsidR="0030152D">
              <w:rPr>
                <w:shd w:val="clear" w:color="auto" w:fill="FFFFFF"/>
              </w:rPr>
              <w:t xml:space="preserve">; </w:t>
            </w:r>
            <w:r w:rsidR="006B6158">
              <w:rPr>
                <w:shd w:val="clear" w:color="auto" w:fill="FFFFFF"/>
              </w:rPr>
              <w:t xml:space="preserve">some </w:t>
            </w:r>
            <w:r w:rsidR="0030152D">
              <w:rPr>
                <w:shd w:val="clear" w:color="auto" w:fill="FFFFFF"/>
              </w:rPr>
              <w:t>reservations for this practice are expressed due to variability of the effective fraction and PAH profile in an emission</w:t>
            </w:r>
            <w:r w:rsidR="0017796B">
              <w:rPr>
                <w:shd w:val="clear" w:color="auto" w:fill="FFFFFF"/>
              </w:rPr>
              <w:t>:</w:t>
            </w:r>
          </w:p>
          <w:p w14:paraId="6B9BCCD5" w14:textId="49F8E6EE" w:rsidR="0030152D" w:rsidRDefault="00BC0C9E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c</w:t>
            </w:r>
            <w:r w:rsidR="002A7197" w:rsidRPr="002A7197">
              <w:t>a</w:t>
            </w:r>
            <w:r w:rsidR="002A7197">
              <w:t xml:space="preserve">rcinogenicity is </w:t>
            </w:r>
            <w:r w:rsidR="00421FCD">
              <w:t>~</w:t>
            </w:r>
            <w:r w:rsidR="002A7197">
              <w:t>&gt;70–90%</w:t>
            </w:r>
            <w:r w:rsidR="002A7197" w:rsidRPr="002A7197">
              <w:t xml:space="preserve"> caused by the class of PAH with 4 or more rings although almost all of them account for less than 4% w/w of the mixture</w:t>
            </w:r>
          </w:p>
          <w:p w14:paraId="158FE11F" w14:textId="4DD33B2E" w:rsidR="002A7197" w:rsidRPr="00BC0C9E" w:rsidRDefault="00BC0C9E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>c</w:t>
            </w:r>
            <w:r w:rsidR="002A7197">
              <w:t>ontribution of B[a]P</w:t>
            </w:r>
            <w:r w:rsidR="002A7197" w:rsidRPr="002A7197">
              <w:t xml:space="preserve"> to the effect varies widely in the mixtures</w:t>
            </w:r>
            <w:r w:rsidR="002A7197">
              <w:t xml:space="preserve"> </w:t>
            </w:r>
            <w:r w:rsidR="002A7197">
              <w:rPr>
                <w:rFonts w:cs="Arial"/>
                <w:color w:val="1C1D1E"/>
                <w:shd w:val="clear" w:color="auto" w:fill="FFFFFF"/>
              </w:rPr>
              <w:t>and does not correlate with the % w/w of this component in the mixture</w:t>
            </w:r>
          </w:p>
          <w:p w14:paraId="62A651B2" w14:textId="6CC00EA0" w:rsidR="00BC0C9E" w:rsidRPr="002A7197" w:rsidRDefault="00BC0C9E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variability </w:t>
            </w:r>
            <w:r w:rsidRPr="00A472FE">
              <w:t>of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PAH profile from different sources</w:t>
            </w:r>
          </w:p>
          <w:p w14:paraId="1624DD89" w14:textId="3DDCBAB4" w:rsidR="008D62A3" w:rsidRDefault="008D62A3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List of PAH considered in MAK review and </w:t>
            </w:r>
            <w:r w:rsidR="007326D8">
              <w:rPr>
                <w:shd w:val="clear" w:color="auto" w:fill="FFFFFF"/>
              </w:rPr>
              <w:t xml:space="preserve">DFG </w:t>
            </w:r>
            <w:r>
              <w:rPr>
                <w:shd w:val="clear" w:color="auto" w:fill="FFFFFF"/>
              </w:rPr>
              <w:t>recommended carcinogenicity equivalency factors:</w:t>
            </w:r>
          </w:p>
          <w:p w14:paraId="1F538FB6" w14:textId="5A6894B0" w:rsidR="008D62A3" w:rsidRPr="003B344B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r w:rsidRPr="00A472FE">
              <w:t>anthanthrene</w:t>
            </w:r>
            <w:r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  <w:t>0.1</w:t>
            </w:r>
          </w:p>
          <w:p w14:paraId="63BD02C5" w14:textId="5B575586" w:rsidR="008D62A3" w:rsidRPr="003B344B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r w:rsidRPr="00A472FE">
              <w:t>benzo</w:t>
            </w:r>
            <w:r w:rsidRPr="003B344B">
              <w:rPr>
                <w:shd w:val="clear" w:color="auto" w:fill="FFFFFF"/>
              </w:rPr>
              <w:t>[a]anthracene</w:t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 w:rsidR="00667856"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>0.1</w:t>
            </w:r>
          </w:p>
          <w:p w14:paraId="65202E9C" w14:textId="791D1753" w:rsidR="008D62A3" w:rsidRPr="003B344B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r w:rsidRPr="00A472FE">
              <w:t>benzo</w:t>
            </w:r>
            <w:r w:rsidRPr="003B344B">
              <w:rPr>
                <w:shd w:val="clear" w:color="auto" w:fill="FFFFFF"/>
              </w:rPr>
              <w:t>[b]fluoranthene</w:t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  <w:t>0.1</w:t>
            </w:r>
          </w:p>
          <w:p w14:paraId="1EA8F7DB" w14:textId="6C14C0DD" w:rsidR="008D62A3" w:rsidRPr="003B344B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r w:rsidRPr="00A472FE">
              <w:t>benzo</w:t>
            </w:r>
            <w:r w:rsidRPr="003B344B">
              <w:rPr>
                <w:shd w:val="clear" w:color="auto" w:fill="FFFFFF"/>
              </w:rPr>
              <w:t>[j]fluoranthene</w:t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  <w:t>0.1</w:t>
            </w:r>
            <w:r w:rsidRPr="003B344B">
              <w:rPr>
                <w:shd w:val="clear" w:color="auto" w:fill="FFFFFF"/>
              </w:rPr>
              <w:t xml:space="preserve"> </w:t>
            </w:r>
          </w:p>
          <w:p w14:paraId="53395696" w14:textId="7337C5E8" w:rsidR="008D62A3" w:rsidRPr="003B344B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r w:rsidRPr="00A472FE">
              <w:t>benzo</w:t>
            </w:r>
            <w:r w:rsidRPr="003B344B">
              <w:rPr>
                <w:shd w:val="clear" w:color="auto" w:fill="FFFFFF"/>
              </w:rPr>
              <w:t>[k]fluoranthene</w:t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  <w:t>0.1</w:t>
            </w:r>
            <w:r w:rsidRPr="003B344B">
              <w:rPr>
                <w:shd w:val="clear" w:color="auto" w:fill="FFFFFF"/>
              </w:rPr>
              <w:t xml:space="preserve"> </w:t>
            </w:r>
          </w:p>
          <w:p w14:paraId="59BBA403" w14:textId="4078DD75" w:rsidR="008D62A3" w:rsidRPr="003B344B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r w:rsidRPr="00A472FE">
              <w:t>benzo</w:t>
            </w:r>
            <w:r w:rsidRPr="003B344B">
              <w:rPr>
                <w:shd w:val="clear" w:color="auto" w:fill="FFFFFF"/>
              </w:rPr>
              <w:t>[b]</w:t>
            </w:r>
            <w:proofErr w:type="spellStart"/>
            <w:r w:rsidRPr="003B344B">
              <w:rPr>
                <w:shd w:val="clear" w:color="auto" w:fill="FFFFFF"/>
              </w:rPr>
              <w:t>naphtho</w:t>
            </w:r>
            <w:proofErr w:type="spellEnd"/>
            <w:r w:rsidRPr="003B344B">
              <w:rPr>
                <w:shd w:val="clear" w:color="auto" w:fill="FFFFFF"/>
              </w:rPr>
              <w:t>[2,1</w:t>
            </w:r>
            <w:r w:rsidRPr="003B344B">
              <w:rPr>
                <w:rFonts w:ascii="Cambria Math" w:hAnsi="Cambria Math" w:cs="Cambria Math"/>
                <w:shd w:val="clear" w:color="auto" w:fill="FFFFFF"/>
              </w:rPr>
              <w:t>‐</w:t>
            </w:r>
            <w:proofErr w:type="gramStart"/>
            <w:r w:rsidRPr="003B344B">
              <w:rPr>
                <w:shd w:val="clear" w:color="auto" w:fill="FFFFFF"/>
              </w:rPr>
              <w:t>d]thiophene</w:t>
            </w:r>
            <w:proofErr w:type="gramEnd"/>
            <w:r w:rsidR="00667856"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>0.01</w:t>
            </w:r>
          </w:p>
          <w:p w14:paraId="0E8FFA08" w14:textId="3DB05D94" w:rsidR="008D62A3" w:rsidRPr="003B344B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r w:rsidRPr="00A472FE">
              <w:t>benzo</w:t>
            </w:r>
            <w:r w:rsidRPr="003B344B">
              <w:rPr>
                <w:shd w:val="clear" w:color="auto" w:fill="FFFFFF"/>
              </w:rPr>
              <w:t>[a]pyrene</w:t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  <w:t>1</w:t>
            </w:r>
          </w:p>
          <w:p w14:paraId="4477D0CF" w14:textId="2BABA92E" w:rsidR="008D62A3" w:rsidRPr="003B344B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r w:rsidRPr="00A472FE">
              <w:t>chrysene</w:t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  <w:t>0.01</w:t>
            </w:r>
          </w:p>
          <w:p w14:paraId="43926F1D" w14:textId="3202B9D4" w:rsidR="008D62A3" w:rsidRPr="003B344B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r w:rsidRPr="00A472FE">
              <w:t>cyclopenta</w:t>
            </w:r>
            <w:r w:rsidRPr="003B344B">
              <w:rPr>
                <w:shd w:val="clear" w:color="auto" w:fill="FFFFFF"/>
              </w:rPr>
              <w:t>[cd]pyren</w:t>
            </w:r>
            <w:r>
              <w:rPr>
                <w:shd w:val="clear" w:color="auto" w:fill="FFFFFF"/>
              </w:rPr>
              <w:t>e</w:t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  <w:t>0.1</w:t>
            </w:r>
          </w:p>
          <w:p w14:paraId="63BD842C" w14:textId="2D9FC34C" w:rsidR="008D62A3" w:rsidRPr="003B344B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r w:rsidRPr="00A472FE">
              <w:t>dibenz</w:t>
            </w:r>
            <w:r w:rsidRPr="003B344B">
              <w:rPr>
                <w:shd w:val="clear" w:color="auto" w:fill="FFFFFF"/>
              </w:rPr>
              <w:t>[</w:t>
            </w:r>
            <w:proofErr w:type="gramStart"/>
            <w:r w:rsidRPr="003B344B">
              <w:rPr>
                <w:shd w:val="clear" w:color="auto" w:fill="FFFFFF"/>
              </w:rPr>
              <w:t>a,h</w:t>
            </w:r>
            <w:proofErr w:type="gramEnd"/>
            <w:r w:rsidRPr="003B344B">
              <w:rPr>
                <w:shd w:val="clear" w:color="auto" w:fill="FFFFFF"/>
              </w:rPr>
              <w:t>]anthracene</w:t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  <w:t>1</w:t>
            </w:r>
          </w:p>
          <w:p w14:paraId="7884879D" w14:textId="18861018" w:rsidR="008D62A3" w:rsidRPr="003B344B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r w:rsidRPr="00A472FE">
              <w:t>dibenzo</w:t>
            </w:r>
            <w:r w:rsidRPr="003B344B">
              <w:rPr>
                <w:shd w:val="clear" w:color="auto" w:fill="FFFFFF"/>
              </w:rPr>
              <w:t>[</w:t>
            </w:r>
            <w:proofErr w:type="spellStart"/>
            <w:proofErr w:type="gramStart"/>
            <w:r w:rsidRPr="003B344B">
              <w:rPr>
                <w:shd w:val="clear" w:color="auto" w:fill="FFFFFF"/>
              </w:rPr>
              <w:t>a,e</w:t>
            </w:r>
            <w:proofErr w:type="spellEnd"/>
            <w:proofErr w:type="gramEnd"/>
            <w:r w:rsidRPr="003B344B">
              <w:rPr>
                <w:shd w:val="clear" w:color="auto" w:fill="FFFFFF"/>
              </w:rPr>
              <w:t>]pyrene</w:t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  <w:t>1</w:t>
            </w:r>
          </w:p>
          <w:p w14:paraId="0F538700" w14:textId="49D5ABDD" w:rsidR="008D62A3" w:rsidRPr="003B344B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r w:rsidRPr="00A472FE">
              <w:t>dibenzo</w:t>
            </w:r>
            <w:r w:rsidRPr="003B344B">
              <w:rPr>
                <w:shd w:val="clear" w:color="auto" w:fill="FFFFFF"/>
              </w:rPr>
              <w:t>[</w:t>
            </w:r>
            <w:proofErr w:type="gramStart"/>
            <w:r w:rsidRPr="003B344B">
              <w:rPr>
                <w:shd w:val="clear" w:color="auto" w:fill="FFFFFF"/>
              </w:rPr>
              <w:t>a,h</w:t>
            </w:r>
            <w:proofErr w:type="gramEnd"/>
            <w:r w:rsidRPr="003B344B">
              <w:rPr>
                <w:shd w:val="clear" w:color="auto" w:fill="FFFFFF"/>
              </w:rPr>
              <w:t>]pyrene</w:t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  <w:t>10</w:t>
            </w:r>
          </w:p>
          <w:p w14:paraId="126ED34F" w14:textId="6A83DB2F" w:rsidR="008D62A3" w:rsidRPr="003B344B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r w:rsidRPr="00A472FE">
              <w:t>dibenzo</w:t>
            </w:r>
            <w:r w:rsidRPr="003B344B">
              <w:rPr>
                <w:shd w:val="clear" w:color="auto" w:fill="FFFFFF"/>
              </w:rPr>
              <w:t>[</w:t>
            </w:r>
            <w:proofErr w:type="spellStart"/>
            <w:proofErr w:type="gramStart"/>
            <w:r w:rsidRPr="003B344B">
              <w:rPr>
                <w:shd w:val="clear" w:color="auto" w:fill="FFFFFF"/>
              </w:rPr>
              <w:t>a,i</w:t>
            </w:r>
            <w:proofErr w:type="spellEnd"/>
            <w:proofErr w:type="gramEnd"/>
            <w:r w:rsidRPr="003B344B">
              <w:rPr>
                <w:shd w:val="clear" w:color="auto" w:fill="FFFFFF"/>
              </w:rPr>
              <w:t>]pyrene</w:t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  <w:t>10</w:t>
            </w:r>
          </w:p>
          <w:p w14:paraId="40AD3C0A" w14:textId="0E3BA0B3" w:rsidR="008D62A3" w:rsidRPr="003B344B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r w:rsidRPr="00A472FE">
              <w:t>dibenzo</w:t>
            </w:r>
            <w:r w:rsidRPr="003B344B">
              <w:rPr>
                <w:shd w:val="clear" w:color="auto" w:fill="FFFFFF"/>
              </w:rPr>
              <w:t>[</w:t>
            </w:r>
            <w:proofErr w:type="spellStart"/>
            <w:proofErr w:type="gramStart"/>
            <w:r w:rsidRPr="003B344B">
              <w:rPr>
                <w:shd w:val="clear" w:color="auto" w:fill="FFFFFF"/>
              </w:rPr>
              <w:t>a,l</w:t>
            </w:r>
            <w:proofErr w:type="spellEnd"/>
            <w:proofErr w:type="gramEnd"/>
            <w:r w:rsidRPr="003B344B">
              <w:rPr>
                <w:shd w:val="clear" w:color="auto" w:fill="FFFFFF"/>
              </w:rPr>
              <w:t>]pyrene</w:t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  <w:t>10</w:t>
            </w:r>
          </w:p>
          <w:p w14:paraId="50E52A44" w14:textId="651406CF" w:rsidR="008D62A3" w:rsidRPr="003B344B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proofErr w:type="spellStart"/>
            <w:r w:rsidRPr="00A472FE">
              <w:t>indeno</w:t>
            </w:r>
            <w:proofErr w:type="spellEnd"/>
            <w:r w:rsidRPr="003B344B">
              <w:rPr>
                <w:shd w:val="clear" w:color="auto" w:fill="FFFFFF"/>
              </w:rPr>
              <w:t>[1,2,3</w:t>
            </w:r>
            <w:r w:rsidRPr="003B344B">
              <w:rPr>
                <w:rFonts w:ascii="Cambria Math" w:hAnsi="Cambria Math" w:cs="Cambria Math"/>
                <w:shd w:val="clear" w:color="auto" w:fill="FFFFFF"/>
              </w:rPr>
              <w:t>‐</w:t>
            </w:r>
            <w:proofErr w:type="gramStart"/>
            <w:r w:rsidRPr="003B344B">
              <w:rPr>
                <w:shd w:val="clear" w:color="auto" w:fill="FFFFFF"/>
              </w:rPr>
              <w:t>cd]pyrene</w:t>
            </w:r>
            <w:proofErr w:type="gramEnd"/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  <w:t>0.1</w:t>
            </w:r>
          </w:p>
          <w:p w14:paraId="02935C5B" w14:textId="4C5628FC" w:rsidR="008D62A3" w:rsidRPr="003B344B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r w:rsidRPr="003B344B">
              <w:rPr>
                <w:shd w:val="clear" w:color="auto" w:fill="FFFFFF"/>
              </w:rPr>
              <w:t>1</w:t>
            </w:r>
            <w:r w:rsidRPr="003B344B">
              <w:rPr>
                <w:rFonts w:ascii="Cambria Math" w:hAnsi="Cambria Math" w:cs="Cambria Math"/>
                <w:shd w:val="clear" w:color="auto" w:fill="FFFFFF"/>
              </w:rPr>
              <w:t>‐</w:t>
            </w:r>
            <w:r w:rsidRPr="00A472FE">
              <w:t>methylpyrene</w:t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  <w:t>0.1</w:t>
            </w:r>
          </w:p>
          <w:p w14:paraId="6A4AC6E1" w14:textId="206F3A11" w:rsidR="008D62A3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r w:rsidRPr="00A472FE">
              <w:t>naphthalene</w:t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  <w:t>0.001</w:t>
            </w:r>
          </w:p>
          <w:p w14:paraId="51BC8BF1" w14:textId="661374F1" w:rsidR="008D62A3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r w:rsidRPr="00A472FE">
              <w:t>phenanthrene</w:t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  <w:t>0.001</w:t>
            </w:r>
          </w:p>
          <w:p w14:paraId="4951841A" w14:textId="137A286E" w:rsidR="008D62A3" w:rsidRDefault="008D62A3" w:rsidP="00BF6FBE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pyrene</w:t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</w:r>
            <w:r>
              <w:rPr>
                <w:shd w:val="clear" w:color="auto" w:fill="FFFFFF"/>
              </w:rPr>
              <w:tab/>
              <w:t>0.001</w:t>
            </w:r>
          </w:p>
          <w:p w14:paraId="466B89CE" w14:textId="1EFE0BFC" w:rsidR="0000036D" w:rsidRPr="00E616B3" w:rsidRDefault="00E616B3" w:rsidP="00BF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shd w:val="clear" w:color="auto" w:fill="FFFFFF"/>
              </w:rPr>
              <w:t>Genotoxic effects induced by PAH found in human cells </w:t>
            </w:r>
            <w:r>
              <w:rPr>
                <w:i/>
                <w:iCs/>
                <w:shd w:val="clear" w:color="auto" w:fill="FFFFFF"/>
              </w:rPr>
              <w:t>in vitro</w:t>
            </w:r>
            <w:r>
              <w:rPr>
                <w:shd w:val="clear" w:color="auto" w:fill="FFFFFF"/>
              </w:rPr>
              <w:t> and </w:t>
            </w:r>
            <w:r>
              <w:rPr>
                <w:i/>
                <w:iCs/>
                <w:shd w:val="clear" w:color="auto" w:fill="FFFFFF"/>
              </w:rPr>
              <w:t>in vivo</w:t>
            </w:r>
          </w:p>
          <w:p w14:paraId="1FF1A1A0" w14:textId="526CAD21" w:rsidR="00E616B3" w:rsidRPr="00F10A33" w:rsidRDefault="00E616B3" w:rsidP="00BF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lastRenderedPageBreak/>
              <w:t>DNA adducts of dibenzo[</w:t>
            </w:r>
            <w:proofErr w:type="spellStart"/>
            <w:proofErr w:type="gramStart"/>
            <w:r>
              <w:rPr>
                <w:rFonts w:cs="Arial"/>
                <w:i/>
                <w:iCs/>
                <w:color w:val="1C1D1E"/>
                <w:shd w:val="clear" w:color="auto" w:fill="FFFFFF"/>
              </w:rPr>
              <w:t>a,l</w:t>
            </w:r>
            <w:proofErr w:type="spellEnd"/>
            <w:proofErr w:type="gramEnd"/>
            <w:r>
              <w:rPr>
                <w:rFonts w:cs="Arial"/>
                <w:color w:val="1C1D1E"/>
                <w:shd w:val="clear" w:color="auto" w:fill="FFFFFF"/>
              </w:rPr>
              <w:t xml:space="preserve">]pyrene detected in C3H10T1/2 cells; </w:t>
            </w:r>
            <w:r w:rsidRPr="00BF6FBE">
              <w:rPr>
                <w:rFonts w:cs="Arial"/>
                <w:i/>
                <w:color w:val="1C1D1E"/>
                <w:shd w:val="clear" w:color="auto" w:fill="FFFFFF"/>
              </w:rPr>
              <w:t>via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 LC/HPLC and </w:t>
            </w:r>
            <w:r>
              <w:rPr>
                <w:rFonts w:cs="Arial"/>
                <w:color w:val="1C1D1E"/>
                <w:sz w:val="18"/>
                <w:szCs w:val="18"/>
                <w:shd w:val="clear" w:color="auto" w:fill="FFFFFF"/>
                <w:vertAlign w:val="superscript"/>
              </w:rPr>
              <w:t>32</w:t>
            </w:r>
            <w:r>
              <w:rPr>
                <w:rFonts w:cs="Arial"/>
                <w:color w:val="1C1D1E"/>
                <w:shd w:val="clear" w:color="auto" w:fill="FFFFFF"/>
              </w:rPr>
              <w:t>P</w:t>
            </w:r>
            <w:r w:rsidR="00EE6931">
              <w:rPr>
                <w:rFonts w:ascii="Cambria Math" w:hAnsi="Cambria Math" w:cs="Cambria Math"/>
                <w:color w:val="1C1D1E"/>
                <w:shd w:val="clear" w:color="auto" w:fill="FFFFFF"/>
              </w:rPr>
              <w:noBreakHyphen/>
            </w:r>
            <w:r>
              <w:rPr>
                <w:rFonts w:cs="Arial"/>
                <w:color w:val="1C1D1E"/>
                <w:shd w:val="clear" w:color="auto" w:fill="FFFFFF"/>
              </w:rPr>
              <w:t>labelling</w:t>
            </w:r>
            <w:r w:rsidR="00BF52B7">
              <w:rPr>
                <w:rFonts w:cs="Arial"/>
                <w:color w:val="1C1D1E"/>
                <w:shd w:val="clear" w:color="auto" w:fill="FFFFFF"/>
              </w:rPr>
              <w:t>. No further information</w:t>
            </w:r>
          </w:p>
          <w:p w14:paraId="54A5FB87" w14:textId="4901491A" w:rsidR="00F10A33" w:rsidRPr="00E616B3" w:rsidRDefault="00F10A33" w:rsidP="00BF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>Positive results for DNA damage induced by PAH in various eukaryotes; extensive list</w:t>
            </w:r>
          </w:p>
          <w:p w14:paraId="6C80595B" w14:textId="0B048AF9" w:rsidR="00E616B3" w:rsidRPr="00BF6FBE" w:rsidRDefault="00E616B3" w:rsidP="00BF6FBE">
            <w:pPr>
              <w:pStyle w:val="ListBullet"/>
              <w:spacing w:before="60" w:after="60"/>
              <w:ind w:left="714" w:hanging="357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Predominantly positive results for mutagenicity in </w:t>
            </w:r>
            <w:proofErr w:type="spellStart"/>
            <w:r>
              <w:rPr>
                <w:rFonts w:cs="Arial"/>
                <w:i/>
                <w:color w:val="1C1D1E"/>
                <w:shd w:val="clear" w:color="auto" w:fill="FFFFFF"/>
              </w:rPr>
              <w:t>S.typhyrium</w:t>
            </w:r>
            <w:proofErr w:type="spellEnd"/>
            <w:r>
              <w:rPr>
                <w:rFonts w:cs="Arial"/>
                <w:i/>
                <w:color w:val="1C1D1E"/>
                <w:shd w:val="clear" w:color="auto" w:fill="FFFFFF"/>
              </w:rPr>
              <w:t xml:space="preserve"> 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for </w:t>
            </w:r>
            <w:r w:rsidR="00F10A33" w:rsidRPr="00F10A33">
              <w:rPr>
                <w:rFonts w:cs="Arial"/>
                <w:color w:val="1C1D1E"/>
                <w:shd w:val="clear" w:color="auto" w:fill="FFFFFF"/>
              </w:rPr>
              <w:t xml:space="preserve">benzo[a]anthracene, benzo[b]fluoranthene, benzo[j]fluoranthene, benzo[k]fluoranthene, </w:t>
            </w:r>
            <w:r w:rsidR="00EE6931">
              <w:rPr>
                <w:rFonts w:cs="Arial"/>
                <w:color w:val="1C1D1E"/>
                <w:shd w:val="clear" w:color="auto" w:fill="FFFFFF"/>
              </w:rPr>
              <w:br/>
            </w:r>
            <w:r w:rsidR="00F10A33" w:rsidRPr="00F10A33">
              <w:rPr>
                <w:rFonts w:cs="Arial"/>
                <w:color w:val="1C1D1E"/>
                <w:shd w:val="clear" w:color="auto" w:fill="FFFFFF"/>
              </w:rPr>
              <w:t>benzo[b]</w:t>
            </w:r>
            <w:proofErr w:type="spellStart"/>
            <w:r w:rsidR="00F10A33" w:rsidRPr="00F10A33">
              <w:rPr>
                <w:rFonts w:cs="Arial"/>
                <w:color w:val="1C1D1E"/>
                <w:shd w:val="clear" w:color="auto" w:fill="FFFFFF"/>
              </w:rPr>
              <w:t>naphtho</w:t>
            </w:r>
            <w:proofErr w:type="spellEnd"/>
            <w:r w:rsidR="00F10A33" w:rsidRPr="00F10A33">
              <w:rPr>
                <w:rFonts w:cs="Arial"/>
                <w:color w:val="1C1D1E"/>
                <w:shd w:val="clear" w:color="auto" w:fill="FFFFFF"/>
              </w:rPr>
              <w:t>[2,1</w:t>
            </w:r>
            <w:r w:rsidR="00F10A33" w:rsidRPr="00F10A33">
              <w:rPr>
                <w:rFonts w:ascii="Cambria Math" w:hAnsi="Cambria Math" w:cs="Cambria Math"/>
                <w:color w:val="1C1D1E"/>
                <w:shd w:val="clear" w:color="auto" w:fill="FFFFFF"/>
              </w:rPr>
              <w:t>‐</w:t>
            </w:r>
            <w:r w:rsidR="00F10A33" w:rsidRPr="00F10A33">
              <w:rPr>
                <w:rFonts w:cs="Arial"/>
                <w:color w:val="1C1D1E"/>
                <w:shd w:val="clear" w:color="auto" w:fill="FFFFFF"/>
              </w:rPr>
              <w:t>d]thi</w:t>
            </w:r>
            <w:r w:rsidR="00F10A33">
              <w:rPr>
                <w:rFonts w:cs="Arial"/>
                <w:color w:val="1C1D1E"/>
                <w:shd w:val="clear" w:color="auto" w:fill="FFFFFF"/>
              </w:rPr>
              <w:t>ophene,</w:t>
            </w:r>
            <w:r w:rsidR="00F10A33" w:rsidRPr="00F10A33">
              <w:rPr>
                <w:rFonts w:cs="Arial"/>
                <w:color w:val="1C1D1E"/>
                <w:shd w:val="clear" w:color="auto" w:fill="FFFFFF"/>
              </w:rPr>
              <w:t xml:space="preserve"> </w:t>
            </w:r>
            <w:r w:rsidR="00F10A33">
              <w:rPr>
                <w:rFonts w:cs="Arial"/>
                <w:color w:val="1C1D1E"/>
                <w:shd w:val="clear" w:color="auto" w:fill="FFFFFF"/>
              </w:rPr>
              <w:t>B[a]P,</w:t>
            </w:r>
            <w:r w:rsidR="00F10A33" w:rsidRPr="00F10A33">
              <w:rPr>
                <w:rFonts w:cs="Arial"/>
                <w:color w:val="1C1D1E"/>
                <w:shd w:val="clear" w:color="auto" w:fill="FFFFFF"/>
              </w:rPr>
              <w:t xml:space="preserve"> chrysene, </w:t>
            </w:r>
            <w:proofErr w:type="spellStart"/>
            <w:r w:rsidR="00F10A33" w:rsidRPr="00F10A33">
              <w:rPr>
                <w:rFonts w:cs="Arial"/>
                <w:color w:val="1C1D1E"/>
                <w:shd w:val="clear" w:color="auto" w:fill="FFFFFF"/>
              </w:rPr>
              <w:t>cyclopenta</w:t>
            </w:r>
            <w:proofErr w:type="spellEnd"/>
            <w:r w:rsidR="00F10A33" w:rsidRPr="00F10A33">
              <w:rPr>
                <w:rFonts w:cs="Arial"/>
                <w:color w:val="1C1D1E"/>
                <w:shd w:val="clear" w:color="auto" w:fill="FFFFFF"/>
              </w:rPr>
              <w:t>[cd]pyrene, dibenzo[a,h]anthracene, phenanthrene and pyrene.</w:t>
            </w:r>
          </w:p>
          <w:p w14:paraId="2D387FDB" w14:textId="4547BF3D" w:rsidR="00EE6931" w:rsidRPr="00DA352E" w:rsidRDefault="00EE6931" w:rsidP="00BF6FBE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429F44FC" w14:textId="77777777" w:rsidTr="00535D01">
        <w:trPr>
          <w:gridAfter w:val="1"/>
          <w:wAfter w:w="2445" w:type="pct"/>
        </w:trPr>
        <w:tc>
          <w:tcPr>
            <w:tcW w:w="2555" w:type="pct"/>
            <w:shd w:val="clear" w:color="auto" w:fill="F2F2F2" w:themeFill="background1" w:themeFillShade="F2"/>
          </w:tcPr>
          <w:p w14:paraId="392E5C7F" w14:textId="189318C1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057C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id w:val="1600440557"/>
                    <w:placeholder>
                      <w:docPart w:val="DC665F0976F041408277FA922EABDA0F"/>
                    </w:placeholder>
                    <w:text/>
                  </w:sdtPr>
                  <w:sdtEndPr/>
                  <w:sdtContent>
                    <w:r w:rsidR="00C057C2">
                      <w:t>NA</w:t>
                    </w:r>
                  </w:sdtContent>
                </w:sdt>
              </w:sdtContent>
            </w:sdt>
          </w:p>
        </w:tc>
      </w:tr>
      <w:tr w:rsidR="00C978F0" w:rsidRPr="00DA352E" w14:paraId="1FFEB549" w14:textId="77777777" w:rsidTr="00535D01">
        <w:trPr>
          <w:gridAfter w:val="1"/>
          <w:wAfter w:w="2445" w:type="pct"/>
        </w:trPr>
        <w:tc>
          <w:tcPr>
            <w:tcW w:w="2555" w:type="pct"/>
          </w:tcPr>
          <w:p w14:paraId="73265102" w14:textId="40E485C1" w:rsidR="00C978F0" w:rsidRPr="00DA352E" w:rsidRDefault="00B22441" w:rsidP="003365A5">
            <w:pPr>
              <w:pStyle w:val="Tabletextprimarysource"/>
            </w:pPr>
            <w:r>
              <w:t>No report</w:t>
            </w:r>
            <w:r w:rsidR="00667856">
              <w:t>.</w:t>
            </w:r>
          </w:p>
        </w:tc>
      </w:tr>
      <w:tr w:rsidR="00DA352E" w:rsidRPr="00DA352E" w14:paraId="2DA07964" w14:textId="77777777" w:rsidTr="00535D01">
        <w:trPr>
          <w:gridAfter w:val="1"/>
          <w:wAfter w:w="2445" w:type="pct"/>
        </w:trPr>
        <w:tc>
          <w:tcPr>
            <w:tcW w:w="2555" w:type="pct"/>
            <w:shd w:val="clear" w:color="auto" w:fill="F2F2F2" w:themeFill="background1" w:themeFillShade="F2"/>
          </w:tcPr>
          <w:p w14:paraId="097D793B" w14:textId="170DE8E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057C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181861239"/>
                    <w:placeholder>
                      <w:docPart w:val="D714B894D37443BE9A729FB6F4A40098"/>
                    </w:placeholder>
                    <w:text/>
                  </w:sdtPr>
                  <w:sdtEndPr/>
                  <w:sdtContent>
                    <w:r w:rsidR="00C057C2">
                      <w:t>NA</w:t>
                    </w:r>
                  </w:sdtContent>
                </w:sdt>
              </w:sdtContent>
            </w:sdt>
          </w:p>
        </w:tc>
      </w:tr>
      <w:tr w:rsidR="00DA352E" w:rsidRPr="00DA352E" w14:paraId="29310354" w14:textId="77777777" w:rsidTr="00535D01">
        <w:trPr>
          <w:gridAfter w:val="1"/>
          <w:wAfter w:w="2445" w:type="pct"/>
        </w:trPr>
        <w:tc>
          <w:tcPr>
            <w:tcW w:w="2555" w:type="pct"/>
          </w:tcPr>
          <w:p w14:paraId="005DCA92" w14:textId="19EC0E57" w:rsidR="00DA352E" w:rsidRPr="00DA352E" w:rsidRDefault="00B22441" w:rsidP="003365A5">
            <w:pPr>
              <w:pStyle w:val="Tabletextprimarysource"/>
            </w:pPr>
            <w:r>
              <w:t>No report</w:t>
            </w:r>
            <w:r w:rsidR="00667856">
              <w:t>.</w:t>
            </w:r>
          </w:p>
        </w:tc>
      </w:tr>
      <w:tr w:rsidR="00DA352E" w:rsidRPr="00DA352E" w14:paraId="7CCA5833" w14:textId="77777777" w:rsidTr="00535D01">
        <w:trPr>
          <w:gridAfter w:val="1"/>
          <w:wAfter w:w="2445" w:type="pct"/>
        </w:trPr>
        <w:tc>
          <w:tcPr>
            <w:tcW w:w="2555" w:type="pct"/>
            <w:shd w:val="clear" w:color="auto" w:fill="F2F2F2" w:themeFill="background1" w:themeFillShade="F2"/>
          </w:tcPr>
          <w:p w14:paraId="58598183" w14:textId="2A45796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057C2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id w:val="-404307318"/>
                    <w:placeholder>
                      <w:docPart w:val="FC26341F6EC3458198015D6D0F782674"/>
                    </w:placeholder>
                    <w:text/>
                  </w:sdtPr>
                  <w:sdtEndPr/>
                  <w:sdtContent>
                    <w:r w:rsidR="00C057C2">
                      <w:t>NA</w:t>
                    </w:r>
                  </w:sdtContent>
                </w:sdt>
              </w:sdtContent>
            </w:sdt>
          </w:p>
        </w:tc>
      </w:tr>
      <w:tr w:rsidR="00DA352E" w:rsidRPr="00DA352E" w14:paraId="093BF3A6" w14:textId="77777777" w:rsidTr="00535D01">
        <w:trPr>
          <w:gridAfter w:val="1"/>
          <w:wAfter w:w="2445" w:type="pct"/>
        </w:trPr>
        <w:tc>
          <w:tcPr>
            <w:tcW w:w="2555" w:type="pct"/>
          </w:tcPr>
          <w:p w14:paraId="79A6A604" w14:textId="2F1C7192" w:rsidR="00DA352E" w:rsidRPr="00DA352E" w:rsidRDefault="00421FCD" w:rsidP="003365A5">
            <w:pPr>
              <w:pStyle w:val="Tabletextprimarysource"/>
            </w:pPr>
            <w:r>
              <w:t>No report.</w:t>
            </w:r>
          </w:p>
        </w:tc>
      </w:tr>
    </w:tbl>
    <w:p w14:paraId="5BFED516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56"/>
        <w:gridCol w:w="419"/>
        <w:gridCol w:w="661"/>
        <w:gridCol w:w="6490"/>
      </w:tblGrid>
      <w:tr w:rsidR="004966BF" w:rsidRPr="00263255" w14:paraId="2E8B8359" w14:textId="77777777" w:rsidTr="00535D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56" w:type="dxa"/>
            <w:shd w:val="clear" w:color="auto" w:fill="BFBFBF" w:themeFill="background1" w:themeFillShade="BF"/>
            <w:vAlign w:val="center"/>
          </w:tcPr>
          <w:p w14:paraId="5A418628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1EC48C3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543F21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90" w:type="dxa"/>
            <w:shd w:val="clear" w:color="auto" w:fill="BFBFBF" w:themeFill="background1" w:themeFillShade="BF"/>
            <w:vAlign w:val="center"/>
          </w:tcPr>
          <w:p w14:paraId="4AAB73EF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92A1C20" w14:textId="77777777" w:rsidTr="00535D01">
        <w:trPr>
          <w:cantSplit/>
        </w:trPr>
        <w:tc>
          <w:tcPr>
            <w:tcW w:w="1456" w:type="dxa"/>
          </w:tcPr>
          <w:p w14:paraId="003E664E" w14:textId="77777777" w:rsidR="004966BF" w:rsidRPr="004C23F4" w:rsidRDefault="004966BF" w:rsidP="00224EE2">
            <w:pPr>
              <w:pStyle w:val="Tablefont"/>
            </w:pPr>
            <w:r>
              <w:t>AIOH</w:t>
            </w:r>
          </w:p>
        </w:tc>
        <w:tc>
          <w:tcPr>
            <w:tcW w:w="419" w:type="dxa"/>
          </w:tcPr>
          <w:p w14:paraId="74E76033" w14:textId="56DA67C6" w:rsidR="004966BF" w:rsidRPr="00CE617F" w:rsidRDefault="00B259E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8368101"/>
                <w:placeholder>
                  <w:docPart w:val="29D96B65566944F4988BAEB665EF7897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F208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B6288A0" w14:textId="19AA8A07" w:rsidR="004966BF" w:rsidRPr="004C23F4" w:rsidRDefault="002F208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90" w:type="dxa"/>
          </w:tcPr>
          <w:p w14:paraId="3A165619" w14:textId="6217DD9E" w:rsidR="004966BF" w:rsidRDefault="00445FC2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PAH g</w:t>
            </w:r>
            <w:r w:rsidRPr="00445FC2">
              <w:rPr>
                <w:rStyle w:val="checkbox"/>
                <w:rFonts w:ascii="Arial" w:hAnsi="Arial" w:cs="Arial"/>
              </w:rPr>
              <w:t>enerally</w:t>
            </w:r>
            <w:r>
              <w:rPr>
                <w:rStyle w:val="checkbox"/>
                <w:rFonts w:ascii="Arial" w:hAnsi="Arial" w:cs="Arial"/>
              </w:rPr>
              <w:t xml:space="preserve"> do</w:t>
            </w:r>
            <w:r w:rsidR="00421FCD">
              <w:rPr>
                <w:rStyle w:val="checkbox"/>
                <w:rFonts w:ascii="Arial" w:hAnsi="Arial" w:cs="Arial"/>
              </w:rPr>
              <w:t xml:space="preserve"> not</w:t>
            </w:r>
            <w:r w:rsidRPr="00445FC2">
              <w:rPr>
                <w:rStyle w:val="checkbox"/>
                <w:rFonts w:ascii="Arial" w:hAnsi="Arial" w:cs="Arial"/>
              </w:rPr>
              <w:t xml:space="preserve"> exist as discrete compounds, but are found as complex mixtures of many different concentrations and configurations</w:t>
            </w:r>
          </w:p>
          <w:p w14:paraId="1CF24C06" w14:textId="1D9B0A9E" w:rsidR="00445FC2" w:rsidRDefault="006C2648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</w:t>
            </w:r>
            <w:r w:rsidR="00445FC2" w:rsidRPr="00445FC2">
              <w:rPr>
                <w:rStyle w:val="checkbox"/>
                <w:rFonts w:ascii="Arial" w:hAnsi="Arial" w:cs="Arial"/>
              </w:rPr>
              <w:t>rritating to eyes and can cause photosensitivity</w:t>
            </w:r>
            <w:r w:rsidR="00BF52B7">
              <w:rPr>
                <w:rStyle w:val="checkbox"/>
                <w:rFonts w:ascii="Arial" w:hAnsi="Arial" w:cs="Arial"/>
              </w:rPr>
              <w:t>. No further information</w:t>
            </w:r>
          </w:p>
          <w:p w14:paraId="162DFCDA" w14:textId="5FF31036" w:rsidR="00BF6FBE" w:rsidRDefault="006C264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C</w:t>
            </w:r>
            <w:r w:rsidR="00445FC2" w:rsidRPr="00445FC2">
              <w:rPr>
                <w:rStyle w:val="checkbox"/>
                <w:rFonts w:ascii="Arial" w:hAnsi="Arial" w:cs="Arial"/>
              </w:rPr>
              <w:t>arcinogenicity of 17 PAH compounds has been confirmed</w:t>
            </w:r>
            <w:r w:rsidR="00445FC2">
              <w:rPr>
                <w:rStyle w:val="checkbox"/>
                <w:rFonts w:ascii="Arial" w:hAnsi="Arial" w:cs="Arial"/>
              </w:rPr>
              <w:t xml:space="preserve"> (referring to IARC)</w:t>
            </w:r>
            <w:r w:rsidR="00EA1B4D">
              <w:rPr>
                <w:rStyle w:val="checkbox"/>
                <w:rFonts w:ascii="Arial" w:hAnsi="Arial" w:cs="Arial"/>
              </w:rPr>
              <w:t>:</w:t>
            </w:r>
            <w:r w:rsidR="00445FC2">
              <w:rPr>
                <w:rStyle w:val="checkbox"/>
                <w:rFonts w:ascii="Arial" w:hAnsi="Arial" w:cs="Arial"/>
              </w:rPr>
              <w:t xml:space="preserve"> </w:t>
            </w:r>
          </w:p>
          <w:p w14:paraId="1F1BC65B" w14:textId="4617B2AA" w:rsidR="00445FC2" w:rsidRDefault="00445FC2" w:rsidP="00BF6FBE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many are mutagenic</w:t>
            </w:r>
          </w:p>
          <w:p w14:paraId="22C1CAAF" w14:textId="79BDFBCD" w:rsidR="00445FC2" w:rsidRDefault="00445FC2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445FC2">
              <w:rPr>
                <w:rStyle w:val="checkbox"/>
                <w:rFonts w:ascii="Arial" w:hAnsi="Arial" w:cs="Arial"/>
              </w:rPr>
              <w:t>Increased lung tumour rates linked to exposure found in coke</w:t>
            </w:r>
            <w:r w:rsidRPr="00445FC2">
              <w:rPr>
                <w:rStyle w:val="checkbox"/>
                <w:rFonts w:ascii="Cambria Math" w:hAnsi="Cambria Math" w:cs="Cambria Math"/>
              </w:rPr>
              <w:t>‐</w:t>
            </w:r>
            <w:r w:rsidRPr="00445FC2">
              <w:rPr>
                <w:rStyle w:val="checkbox"/>
                <w:rFonts w:ascii="Arial" w:hAnsi="Arial" w:cs="Arial"/>
              </w:rPr>
              <w:t>oven workers, asphalt workers and workers in aluminium reduction plants</w:t>
            </w:r>
            <w:r w:rsidR="00BF52B7">
              <w:rPr>
                <w:rStyle w:val="checkbox"/>
                <w:rFonts w:ascii="Arial" w:hAnsi="Arial" w:cs="Arial"/>
              </w:rPr>
              <w:t xml:space="preserve">. No </w:t>
            </w:r>
            <w:r>
              <w:rPr>
                <w:rStyle w:val="checkbox"/>
                <w:rFonts w:ascii="Arial" w:hAnsi="Arial" w:cs="Arial"/>
              </w:rPr>
              <w:t xml:space="preserve">further </w:t>
            </w:r>
            <w:r w:rsidR="00EA1B4D" w:rsidRPr="00BF52B7">
              <w:rPr>
                <w:rStyle w:val="checkbox"/>
                <w:rFonts w:ascii="Arial" w:hAnsi="Arial" w:cs="Arial"/>
              </w:rPr>
              <w:t>i</w:t>
            </w:r>
            <w:r w:rsidR="00EA1B4D" w:rsidRPr="00EA1B4D">
              <w:rPr>
                <w:rStyle w:val="checkbox"/>
                <w:rFonts w:ascii="Arial" w:hAnsi="Arial" w:cs="Arial"/>
              </w:rPr>
              <w:t>nformation</w:t>
            </w:r>
          </w:p>
          <w:p w14:paraId="00307E18" w14:textId="14E5C8C4" w:rsidR="00BF6FBE" w:rsidRDefault="00445FC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445FC2">
              <w:rPr>
                <w:rStyle w:val="checkbox"/>
                <w:rFonts w:ascii="Arial" w:hAnsi="Arial" w:cs="Arial"/>
              </w:rPr>
              <w:t>A study in Australian prebake aluminium smelters found no overall excess of mortality or cancer</w:t>
            </w:r>
            <w:r w:rsidR="00EA1B4D">
              <w:rPr>
                <w:rStyle w:val="checkbox"/>
                <w:rFonts w:ascii="Arial" w:hAnsi="Arial" w:cs="Arial"/>
              </w:rPr>
              <w:t>:</w:t>
            </w:r>
            <w:r w:rsidRPr="00445FC2">
              <w:rPr>
                <w:rStyle w:val="checkbox"/>
                <w:rFonts w:ascii="Arial" w:hAnsi="Arial" w:cs="Arial"/>
              </w:rPr>
              <w:t xml:space="preserve"> </w:t>
            </w:r>
          </w:p>
          <w:p w14:paraId="5DE343A6" w14:textId="0E464FBA" w:rsidR="00445FC2" w:rsidRDefault="00445FC2" w:rsidP="00BF6FBE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 w:rsidRPr="00445FC2">
              <w:rPr>
                <w:rStyle w:val="checkbox"/>
                <w:rFonts w:ascii="Arial" w:hAnsi="Arial" w:cs="Arial"/>
              </w:rPr>
              <w:t>inciden</w:t>
            </w:r>
            <w:r w:rsidR="00BF6FBE">
              <w:rPr>
                <w:rStyle w:val="checkbox"/>
                <w:rFonts w:ascii="Arial" w:hAnsi="Arial" w:cs="Arial"/>
              </w:rPr>
              <w:t>ce of</w:t>
            </w:r>
            <w:r w:rsidRPr="00445FC2">
              <w:rPr>
                <w:rStyle w:val="checkbox"/>
                <w:rFonts w:ascii="Arial" w:hAnsi="Arial" w:cs="Arial"/>
              </w:rPr>
              <w:t xml:space="preserve"> mesothelioma and kidney cancer risks elevated</w:t>
            </w:r>
          </w:p>
          <w:p w14:paraId="6A5BD896" w14:textId="254283E4" w:rsidR="00445FC2" w:rsidRDefault="00445FC2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445FC2">
              <w:rPr>
                <w:rStyle w:val="checkbox"/>
                <w:rFonts w:ascii="Arial" w:hAnsi="Arial" w:cs="Arial"/>
              </w:rPr>
              <w:t>Occupational exposures to B[a]P</w:t>
            </w:r>
            <w:r w:rsidRPr="00445FC2">
              <w:rPr>
                <w:rStyle w:val="checkbox"/>
                <w:rFonts w:ascii="Cambria Math" w:hAnsi="Cambria Math" w:cs="Cambria Math"/>
              </w:rPr>
              <w:t>‐</w:t>
            </w:r>
            <w:r w:rsidRPr="00445FC2">
              <w:rPr>
                <w:rStyle w:val="checkbox"/>
                <w:rFonts w:ascii="Arial" w:hAnsi="Arial" w:cs="Arial"/>
              </w:rPr>
              <w:t xml:space="preserve">containing mixtures associated with </w:t>
            </w:r>
            <w:r>
              <w:rPr>
                <w:rStyle w:val="checkbox"/>
                <w:rFonts w:ascii="Arial" w:hAnsi="Arial" w:cs="Arial"/>
              </w:rPr>
              <w:t>lung, bladder, skin,</w:t>
            </w:r>
            <w:r w:rsidR="00421FCD">
              <w:rPr>
                <w:rStyle w:val="checkbox"/>
                <w:rFonts w:ascii="Arial" w:hAnsi="Arial" w:cs="Arial"/>
              </w:rPr>
              <w:t xml:space="preserve"> </w:t>
            </w:r>
            <w:r>
              <w:t>oesophagus,</w:t>
            </w:r>
            <w:r w:rsidR="00421FCD">
              <w:t xml:space="preserve"> </w:t>
            </w:r>
            <w:proofErr w:type="spellStart"/>
            <w:r>
              <w:t>haematolymphatic</w:t>
            </w:r>
            <w:proofErr w:type="spellEnd"/>
            <w:r>
              <w:t> system, larynx</w:t>
            </w:r>
            <w:r w:rsidRPr="00445FC2">
              <w:rPr>
                <w:rStyle w:val="checkbox"/>
                <w:rFonts w:ascii="Arial" w:hAnsi="Arial" w:cs="Arial"/>
              </w:rPr>
              <w:t xml:space="preserve"> cancers</w:t>
            </w:r>
          </w:p>
          <w:p w14:paraId="3CDD1757" w14:textId="4E53D1AE" w:rsidR="00E37616" w:rsidRDefault="00E37616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</w:t>
            </w:r>
            <w:r w:rsidRPr="00E37616">
              <w:rPr>
                <w:rStyle w:val="checkbox"/>
                <w:rFonts w:ascii="Arial" w:hAnsi="Arial" w:cs="Arial"/>
              </w:rPr>
              <w:t xml:space="preserve">oted occupational studies have found no </w:t>
            </w:r>
            <w:r w:rsidR="00632DAD" w:rsidRPr="00E37616">
              <w:rPr>
                <w:rStyle w:val="checkbox"/>
                <w:rFonts w:ascii="Arial" w:hAnsi="Arial" w:cs="Arial"/>
              </w:rPr>
              <w:t xml:space="preserve">effects </w:t>
            </w:r>
            <w:r w:rsidR="00632DAD">
              <w:rPr>
                <w:rStyle w:val="checkbox"/>
                <w:rFonts w:ascii="Arial" w:hAnsi="Arial" w:cs="Arial"/>
              </w:rPr>
              <w:t>for</w:t>
            </w:r>
            <w:r w:rsidRPr="00E37616">
              <w:rPr>
                <w:rStyle w:val="checkbox"/>
                <w:rFonts w:ascii="Arial" w:hAnsi="Arial" w:cs="Arial"/>
              </w:rPr>
              <w:t xml:space="preserve"> average PAH workplace exposures below 0.25 to 2.5 </w:t>
            </w:r>
            <w:r>
              <w:rPr>
                <w:rStyle w:val="checkbox"/>
                <w:rFonts w:ascii="Arial" w:hAnsi="Arial" w:cs="Arial"/>
              </w:rPr>
              <w:t>µ</w:t>
            </w:r>
            <w:r w:rsidRPr="00E37616">
              <w:rPr>
                <w:rStyle w:val="checkbox"/>
                <w:rFonts w:ascii="Arial" w:hAnsi="Arial" w:cs="Arial"/>
              </w:rPr>
              <w:t>g/m</w:t>
            </w:r>
            <w:r w:rsidRPr="00E37616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Pr="00E37616">
              <w:rPr>
                <w:rStyle w:val="checkbox"/>
                <w:rFonts w:ascii="Arial" w:hAnsi="Arial" w:cs="Arial"/>
              </w:rPr>
              <w:t xml:space="preserve"> of B[a]P</w:t>
            </w:r>
            <w:r w:rsidR="00BF52B7">
              <w:rPr>
                <w:rStyle w:val="checkbox"/>
                <w:rFonts w:ascii="Arial" w:hAnsi="Arial" w:cs="Arial"/>
              </w:rPr>
              <w:t>. No further information</w:t>
            </w:r>
          </w:p>
          <w:p w14:paraId="21B6752E" w14:textId="77777777" w:rsidR="00E37616" w:rsidRDefault="00E37616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Suggests TWA of 0.2 µg/m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</w:p>
          <w:p w14:paraId="1B34C54B" w14:textId="1DD68137" w:rsidR="006C2648" w:rsidRDefault="006C2648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B[a]P classified as a mutagen and teratogen according to IARC</w:t>
            </w:r>
          </w:p>
          <w:p w14:paraId="3E205358" w14:textId="3BC6C36A" w:rsidR="00E37616" w:rsidRPr="00E37616" w:rsidRDefault="00E37616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</w:t>
            </w:r>
            <w:r w:rsidRPr="00E37616">
              <w:rPr>
                <w:rStyle w:val="checkbox"/>
                <w:rFonts w:ascii="Arial" w:hAnsi="Arial" w:cs="Arial"/>
              </w:rPr>
              <w:t xml:space="preserve">nformation gaps for health aspects of exposure </w:t>
            </w:r>
            <w:r w:rsidRPr="00BF6FBE">
              <w:rPr>
                <w:rStyle w:val="checkbox"/>
                <w:rFonts w:ascii="Arial" w:hAnsi="Arial" w:cs="Arial"/>
                <w:i/>
              </w:rPr>
              <w:t>via</w:t>
            </w:r>
            <w:r w:rsidRPr="00E37616">
              <w:rPr>
                <w:rStyle w:val="checkbox"/>
                <w:rFonts w:ascii="Arial" w:hAnsi="Arial" w:cs="Arial"/>
              </w:rPr>
              <w:t xml:space="preserve"> skin absorption indicate additional research is undertaken to confirm the long</w:t>
            </w:r>
            <w:r w:rsidRPr="00E37616">
              <w:rPr>
                <w:rStyle w:val="checkbox"/>
                <w:rFonts w:ascii="Cambria Math" w:hAnsi="Cambria Math" w:cs="Cambria Math"/>
              </w:rPr>
              <w:t>‐</w:t>
            </w:r>
            <w:r w:rsidRPr="00E37616">
              <w:rPr>
                <w:rStyle w:val="checkbox"/>
                <w:rFonts w:ascii="Arial" w:hAnsi="Arial" w:cs="Arial"/>
              </w:rPr>
              <w:t xml:space="preserve">term health impact </w:t>
            </w:r>
            <w:r w:rsidRPr="00BF6FBE">
              <w:rPr>
                <w:rStyle w:val="checkbox"/>
                <w:rFonts w:ascii="Arial" w:hAnsi="Arial" w:cs="Arial"/>
                <w:i/>
              </w:rPr>
              <w:t>via</w:t>
            </w:r>
            <w:r w:rsidRPr="00E37616">
              <w:rPr>
                <w:rStyle w:val="checkbox"/>
                <w:rFonts w:ascii="Arial" w:hAnsi="Arial" w:cs="Arial"/>
              </w:rPr>
              <w:t xml:space="preserve"> this route of entry</w:t>
            </w:r>
            <w:r w:rsidR="0066785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588F2DF7" w14:textId="77777777" w:rsidTr="00535D01">
        <w:trPr>
          <w:cantSplit/>
        </w:trPr>
        <w:tc>
          <w:tcPr>
            <w:tcW w:w="1456" w:type="dxa"/>
          </w:tcPr>
          <w:p w14:paraId="1DF9343B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19" w:type="dxa"/>
          </w:tcPr>
          <w:p w14:paraId="7C556EE8" w14:textId="5302B3DD" w:rsidR="004966BF" w:rsidRPr="00CE617F" w:rsidRDefault="00B259E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F208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48CB250" w14:textId="696A6F3C" w:rsidR="004966BF" w:rsidRPr="004C23F4" w:rsidRDefault="002F208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2010</w:t>
            </w:r>
          </w:p>
        </w:tc>
        <w:tc>
          <w:tcPr>
            <w:tcW w:w="6490" w:type="dxa"/>
          </w:tcPr>
          <w:p w14:paraId="0F24B238" w14:textId="3A6D4286" w:rsidR="004966BF" w:rsidRDefault="00111B49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t xml:space="preserve">Some </w:t>
            </w:r>
            <w:r w:rsidR="00FF32F2">
              <w:t>n</w:t>
            </w:r>
            <w:r>
              <w:t xml:space="preserve">on-heterocyclic </w:t>
            </w:r>
            <w:proofErr w:type="gramStart"/>
            <w:r w:rsidR="00BF6FBE">
              <w:t>PAH</w:t>
            </w:r>
            <w:r>
              <w:t>;</w:t>
            </w:r>
            <w:proofErr w:type="gramEnd"/>
            <w:r>
              <w:t xml:space="preserve"> </w:t>
            </w:r>
            <w:r w:rsidR="0030128A">
              <w:rPr>
                <w:rStyle w:val="checkbox"/>
                <w:rFonts w:ascii="Arial" w:hAnsi="Arial" w:cs="Arial"/>
              </w:rPr>
              <w:t>o</w:t>
            </w:r>
            <w:r w:rsidR="00E60189" w:rsidRPr="00E60189">
              <w:rPr>
                <w:rStyle w:val="checkbox"/>
                <w:rFonts w:ascii="Arial" w:hAnsi="Arial" w:cs="Arial"/>
              </w:rPr>
              <w:t>ccupational exposures during coal gasification</w:t>
            </w:r>
            <w:r w:rsidR="00E60189">
              <w:rPr>
                <w:rStyle w:val="checkbox"/>
                <w:rFonts w:ascii="Arial" w:hAnsi="Arial" w:cs="Arial"/>
              </w:rPr>
              <w:t xml:space="preserve">, </w:t>
            </w:r>
            <w:r w:rsidR="00E60189">
              <w:t>coke production, coal-tar distillation, paving and roofing with coal-tar pitch</w:t>
            </w:r>
            <w:r>
              <w:t>, aluminium production</w:t>
            </w:r>
            <w:r w:rsidR="00E60189" w:rsidRPr="00E60189">
              <w:rPr>
                <w:rStyle w:val="checkbox"/>
                <w:rFonts w:ascii="Arial" w:hAnsi="Arial" w:cs="Arial"/>
              </w:rPr>
              <w:t xml:space="preserve"> are </w:t>
            </w:r>
            <w:r>
              <w:rPr>
                <w:rStyle w:val="checkbox"/>
                <w:rFonts w:ascii="Arial" w:hAnsi="Arial" w:cs="Arial"/>
              </w:rPr>
              <w:t xml:space="preserve">considered </w:t>
            </w:r>
            <w:r w:rsidR="00E60189" w:rsidRPr="00E60189">
              <w:rPr>
                <w:rStyle w:val="checkbox"/>
                <w:rFonts w:ascii="Arial" w:hAnsi="Arial" w:cs="Arial"/>
              </w:rPr>
              <w:t>carcinogenic to humans</w:t>
            </w:r>
          </w:p>
          <w:p w14:paraId="54A1A6F7" w14:textId="578F2506" w:rsidR="00111B49" w:rsidRPr="00D5710F" w:rsidRDefault="00D5710F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B[a]P is carcinogenic to humans</w:t>
            </w:r>
            <w:r w:rsidR="00667856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39EAE02D" w14:textId="77777777" w:rsidTr="00535D01">
        <w:trPr>
          <w:cantSplit/>
        </w:trPr>
        <w:tc>
          <w:tcPr>
            <w:tcW w:w="1456" w:type="dxa"/>
          </w:tcPr>
          <w:p w14:paraId="07E34D94" w14:textId="77777777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419" w:type="dxa"/>
          </w:tcPr>
          <w:p w14:paraId="3623C902" w14:textId="7D4A7118" w:rsidR="004966BF" w:rsidRPr="00CE617F" w:rsidRDefault="00B259E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5700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5E32BF1" w14:textId="47495C5E" w:rsidR="004966BF" w:rsidRPr="004C23F4" w:rsidRDefault="00E5700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90" w:type="dxa"/>
          </w:tcPr>
          <w:p w14:paraId="27B5821F" w14:textId="5D8B4C85" w:rsidR="004966BF" w:rsidRDefault="00753180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15 individual PAH</w:t>
            </w:r>
            <w:r w:rsidRPr="00753180">
              <w:rPr>
                <w:rStyle w:val="checkbox"/>
                <w:rFonts w:ascii="Arial" w:hAnsi="Arial" w:cs="Arial"/>
              </w:rPr>
              <w:t xml:space="preserve"> are reasonably anticipated to be human carcinogens based on sufficient evidence of carcinogenicity from studies in experimental animals</w:t>
            </w:r>
          </w:p>
          <w:p w14:paraId="323840C5" w14:textId="1ECCD0DB" w:rsidR="00753180" w:rsidRPr="00753180" w:rsidRDefault="00753180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Range of physiological properties based on aromatic ring numbers </w:t>
            </w:r>
            <w:r>
              <w:t>have influence on the biological activity of PAH</w:t>
            </w:r>
          </w:p>
          <w:p w14:paraId="6E17E400" w14:textId="12A791ED" w:rsidR="00BF6FBE" w:rsidRPr="00BF6FBE" w:rsidRDefault="00753180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753180">
              <w:rPr>
                <w:rStyle w:val="checkbox"/>
                <w:rFonts w:ascii="Arial" w:hAnsi="Arial" w:cs="Arial"/>
              </w:rPr>
              <w:t xml:space="preserve">PAH </w:t>
            </w:r>
            <w:r w:rsidR="00743545">
              <w:rPr>
                <w:rStyle w:val="checkbox"/>
                <w:rFonts w:ascii="Arial" w:hAnsi="Arial" w:cs="Arial"/>
              </w:rPr>
              <w:t>chemicals</w:t>
            </w:r>
            <w:r w:rsidR="00B52369">
              <w:rPr>
                <w:rStyle w:val="checkbox"/>
                <w:rFonts w:ascii="Arial" w:hAnsi="Arial" w:cs="Arial"/>
              </w:rPr>
              <w:t xml:space="preserve"> </w:t>
            </w:r>
            <w:r w:rsidRPr="00753180">
              <w:rPr>
                <w:rStyle w:val="checkbox"/>
                <w:rFonts w:ascii="Arial" w:hAnsi="Arial" w:cs="Arial"/>
              </w:rPr>
              <w:t xml:space="preserve">share a similar mechanism of carcinogenic action; </w:t>
            </w:r>
            <w:r w:rsidRPr="00A472FE">
              <w:rPr>
                <w:rStyle w:val="checkbox"/>
                <w:rFonts w:ascii="Arial" w:hAnsi="Arial" w:cs="Arial"/>
              </w:rPr>
              <w:t>mechanism</w:t>
            </w:r>
            <w:r>
              <w:t xml:space="preserve"> of carcinogenic action </w:t>
            </w:r>
            <w:r w:rsidRPr="00BF6FBE">
              <w:rPr>
                <w:i/>
              </w:rPr>
              <w:t>via</w:t>
            </w:r>
            <w:r>
              <w:t xml:space="preserve"> metabolic processes; converted to oxides and diol epoxides</w:t>
            </w:r>
            <w:r w:rsidR="00EA1B4D">
              <w:t>:</w:t>
            </w:r>
            <w:r>
              <w:t xml:space="preserve"> </w:t>
            </w:r>
          </w:p>
          <w:p w14:paraId="15B1D20E" w14:textId="77777777" w:rsidR="00BF6FBE" w:rsidRPr="00BF6FBE" w:rsidRDefault="00753180" w:rsidP="00BF6FBE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  <w:rPr>
                <w:rFonts w:cs="Arial"/>
              </w:rPr>
            </w:pPr>
            <w:r>
              <w:t>PAH oxides can form stable DNA adducts</w:t>
            </w:r>
          </w:p>
          <w:p w14:paraId="47198AB3" w14:textId="0C9DF21D" w:rsidR="00753180" w:rsidRPr="00753180" w:rsidRDefault="00753180" w:rsidP="00BF6FBE">
            <w:pPr>
              <w:pStyle w:val="ListBullet"/>
              <w:numPr>
                <w:ilvl w:val="0"/>
                <w:numId w:val="10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</w:rPr>
            </w:pPr>
            <w:r>
              <w:t xml:space="preserve">diol epoxides can form stable and </w:t>
            </w:r>
            <w:r w:rsidR="002F1DF5">
              <w:t>depurination</w:t>
            </w:r>
            <w:r>
              <w:t xml:space="preserve"> adducts with DNA through formation of electrophilic carbonium ions</w:t>
            </w:r>
            <w:r w:rsidR="00667856">
              <w:t>.</w:t>
            </w:r>
          </w:p>
        </w:tc>
      </w:tr>
      <w:tr w:rsidR="004966BF" w:rsidRPr="004C23F4" w14:paraId="7F569DBA" w14:textId="77777777" w:rsidTr="00535D01">
        <w:trPr>
          <w:cantSplit/>
        </w:trPr>
        <w:tc>
          <w:tcPr>
            <w:tcW w:w="1456" w:type="dxa"/>
          </w:tcPr>
          <w:p w14:paraId="4B55FC0A" w14:textId="77777777" w:rsidR="004966BF" w:rsidRPr="004C23F4" w:rsidRDefault="004966BF" w:rsidP="00224EE2">
            <w:pPr>
              <w:pStyle w:val="Tablefont"/>
            </w:pPr>
            <w:r>
              <w:lastRenderedPageBreak/>
              <w:t>US EPA</w:t>
            </w:r>
          </w:p>
        </w:tc>
        <w:tc>
          <w:tcPr>
            <w:tcW w:w="419" w:type="dxa"/>
          </w:tcPr>
          <w:p w14:paraId="3CB2DF1A" w14:textId="38A1FBD9" w:rsidR="004966BF" w:rsidRPr="00CE617F" w:rsidRDefault="00B259E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427A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525CF9F" w14:textId="746C1093" w:rsidR="004966BF" w:rsidRPr="004C23F4" w:rsidRDefault="009427A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2017</w:t>
            </w:r>
          </w:p>
        </w:tc>
        <w:tc>
          <w:tcPr>
            <w:tcW w:w="6490" w:type="dxa"/>
          </w:tcPr>
          <w:p w14:paraId="6DF85E59" w14:textId="77777777" w:rsidR="004966BF" w:rsidRDefault="00743545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The IRIS </w:t>
            </w:r>
            <w:r>
              <w:t xml:space="preserve">scientific </w:t>
            </w:r>
            <w:r w:rsidRPr="00A472FE">
              <w:rPr>
                <w:rStyle w:val="checkbox"/>
                <w:rFonts w:ascii="Arial" w:hAnsi="Arial" w:cs="Arial"/>
              </w:rPr>
              <w:t>review</w:t>
            </w:r>
            <w:r>
              <w:t xml:space="preserve"> a relative potency factor (RPF) approach for PAH mixtures as one approach for assessing cancer risk from exposure to PAH mixtures </w:t>
            </w:r>
            <w:r w:rsidRPr="00743545">
              <w:rPr>
                <w:rStyle w:val="checkbox"/>
                <w:rFonts w:ascii="Arial" w:hAnsi="Arial" w:cs="Arial"/>
              </w:rPr>
              <w:t>has been suspended/discontinued and toxicity values will not be added to the IRIS databas</w:t>
            </w:r>
            <w:r>
              <w:rPr>
                <w:rStyle w:val="checkbox"/>
                <w:rFonts w:ascii="Arial" w:hAnsi="Arial" w:cs="Arial"/>
              </w:rPr>
              <w:t>e at present</w:t>
            </w:r>
          </w:p>
          <w:p w14:paraId="4F27C1BC" w14:textId="1FA7687C" w:rsidR="000C6EDD" w:rsidRPr="000C6EDD" w:rsidRDefault="000C6EDD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 w:rsidRPr="00A472FE">
              <w:rPr>
                <w:rStyle w:val="checkbox"/>
                <w:rFonts w:ascii="Arial" w:hAnsi="Arial" w:cs="Arial"/>
              </w:rPr>
              <w:t>Epidemiology</w:t>
            </w:r>
            <w:r>
              <w:t xml:space="preserve"> studies involving exposure to PAH mixtures have reported associations between exposure to B[a]P and B[a]P diol epoxide-DNA adducts</w:t>
            </w:r>
          </w:p>
          <w:p w14:paraId="3D419410" w14:textId="32752FC9" w:rsidR="000C6EDD" w:rsidRPr="000C6EDD" w:rsidRDefault="000C6EDD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t xml:space="preserve">Studies in multiple animal species demonstrate </w:t>
            </w:r>
            <w:r w:rsidR="0030128A">
              <w:t>B[a]P</w:t>
            </w:r>
            <w:r>
              <w:t xml:space="preserve"> is carcinogenic at multiple tumour sites (alimentary tract, liver, kidney, respiratory tract, pharynx, and skin) by all routes of exposure</w:t>
            </w:r>
          </w:p>
          <w:p w14:paraId="7998EFB1" w14:textId="1AEC57F0" w:rsidR="000C6EDD" w:rsidRPr="00124812" w:rsidRDefault="000C6EDD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t>Mechanistic studies provide strong supporting evidence that links metabolism of B[a]P to DNA reactive agents with key mutational events in genes lead</w:t>
            </w:r>
            <w:r w:rsidR="00FF32F2">
              <w:t>ing</w:t>
            </w:r>
            <w:r>
              <w:t xml:space="preserve"> to </w:t>
            </w:r>
            <w:r w:rsidR="00124812" w:rsidRPr="00A472FE">
              <w:rPr>
                <w:rStyle w:val="checkbox"/>
                <w:rFonts w:ascii="Arial" w:hAnsi="Arial" w:cs="Arial"/>
              </w:rPr>
              <w:t>tumour</w:t>
            </w:r>
            <w:r>
              <w:t xml:space="preserve"> development</w:t>
            </w:r>
          </w:p>
          <w:p w14:paraId="0C0DF18C" w14:textId="77F65D43" w:rsidR="004E360D" w:rsidRPr="004E360D" w:rsidRDefault="00124812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t xml:space="preserve">Combination of human, animal, and mechanistic evidence provides the basis for characterisation of B[a]P as </w:t>
            </w:r>
            <w:r w:rsidRPr="00A472FE">
              <w:rPr>
                <w:rStyle w:val="checkbox"/>
                <w:rFonts w:ascii="Arial" w:hAnsi="Arial" w:cs="Arial"/>
              </w:rPr>
              <w:t>carcinogenic</w:t>
            </w:r>
            <w:r>
              <w:t xml:space="preserve"> to humans</w:t>
            </w:r>
            <w:r w:rsidR="00FD5918">
              <w:t xml:space="preserve">; </w:t>
            </w:r>
            <w:r w:rsidR="00FD5918" w:rsidRPr="00FD5918">
              <w:t xml:space="preserve">concluded </w:t>
            </w:r>
            <w:r w:rsidR="00FD5918">
              <w:t>B[a]P</w:t>
            </w:r>
            <w:r w:rsidR="00FD5918" w:rsidRPr="00FD5918">
              <w:t xml:space="preserve"> is carcinogenic by a mutagenic mode of action</w:t>
            </w:r>
            <w:r w:rsidR="004E360D">
              <w:t xml:space="preserve"> </w:t>
            </w:r>
          </w:p>
          <w:p w14:paraId="069AE52D" w14:textId="7AB1C826" w:rsidR="00124812" w:rsidRPr="004C23F4" w:rsidRDefault="004E360D" w:rsidP="00BF6FBE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 xml:space="preserve">Inhalation </w:t>
            </w:r>
            <w:r w:rsidRPr="00A472FE">
              <w:rPr>
                <w:rStyle w:val="checkbox"/>
                <w:rFonts w:ascii="Arial" w:hAnsi="Arial" w:cs="Arial"/>
              </w:rPr>
              <w:t>unit</w:t>
            </w:r>
            <w:r>
              <w:t xml:space="preserve"> risk of 6×10</w:t>
            </w:r>
            <w:r w:rsidRPr="00FF32F2">
              <w:rPr>
                <w:vertAlign w:val="superscript"/>
              </w:rPr>
              <w:t>−4</w:t>
            </w:r>
            <w:r>
              <w:t xml:space="preserve"> per µg/m</w:t>
            </w:r>
            <w:r w:rsidRPr="004E360D">
              <w:rPr>
                <w:vertAlign w:val="superscript"/>
              </w:rPr>
              <w:t xml:space="preserve">3 </w:t>
            </w:r>
            <w:r>
              <w:t>calculated by linear extrapolation (slope factor= 0.1/BMCL</w:t>
            </w:r>
            <w:r w:rsidRPr="004E360D">
              <w:rPr>
                <w:vertAlign w:val="subscript"/>
              </w:rPr>
              <w:t>10</w:t>
            </w:r>
            <w:r>
              <w:t>) from a BMCL</w:t>
            </w:r>
            <w:r w:rsidRPr="004E360D">
              <w:rPr>
                <w:vertAlign w:val="subscript"/>
              </w:rPr>
              <w:t xml:space="preserve">10 </w:t>
            </w:r>
            <w:r>
              <w:t>of 0.16 mg/m</w:t>
            </w:r>
            <w:r w:rsidRPr="004E360D">
              <w:rPr>
                <w:vertAlign w:val="superscript"/>
              </w:rPr>
              <w:t>3</w:t>
            </w:r>
            <w:r>
              <w:t xml:space="preserve"> for the occurrence of </w:t>
            </w:r>
            <w:r w:rsidR="00FD5918">
              <w:t>s</w:t>
            </w:r>
            <w:r w:rsidR="00FD5918" w:rsidRPr="00FD5918">
              <w:t xml:space="preserve">quamous cell neoplasia in the larynx, pharynx, trachea, nasal cavity, </w:t>
            </w:r>
            <w:r w:rsidR="00667856" w:rsidRPr="00FD5918">
              <w:t>oesophagus</w:t>
            </w:r>
            <w:r w:rsidR="00FD5918" w:rsidRPr="00FD5918">
              <w:t>, and forestomac</w:t>
            </w:r>
            <w:r w:rsidR="00FD5918">
              <w:t xml:space="preserve">h </w:t>
            </w:r>
            <w:r>
              <w:t>chronically exposed for 130 wk by inhalation to B[a]P.</w:t>
            </w:r>
          </w:p>
        </w:tc>
      </w:tr>
    </w:tbl>
    <w:bookmarkEnd w:id="0"/>
    <w:p w14:paraId="148BB439" w14:textId="77777777" w:rsidR="007E2A4B" w:rsidRDefault="007E2A4B" w:rsidP="00BF6FBE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10"/>
        <w:gridCol w:w="2416"/>
      </w:tblGrid>
      <w:tr w:rsidR="002E0D61" w14:paraId="7209E5E6" w14:textId="77777777" w:rsidTr="00610F2E">
        <w:trPr>
          <w:trHeight w:val="454"/>
          <w:tblHeader/>
        </w:trPr>
        <w:tc>
          <w:tcPr>
            <w:tcW w:w="6771" w:type="dxa"/>
            <w:vAlign w:val="center"/>
          </w:tcPr>
          <w:p w14:paraId="4E8DA2C8" w14:textId="77777777" w:rsidR="002E0D61" w:rsidRDefault="00B1422A" w:rsidP="00BF6FBE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2AAAB5B7" w14:textId="0939FF6C" w:rsidR="002E0D61" w:rsidRDefault="00FC188A" w:rsidP="00BF6FBE">
                <w:pPr>
                  <w:pStyle w:val="Tablefont"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07B9B5C6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00C5A025" w14:textId="77777777" w:rsidR="008A36CF" w:rsidRDefault="008A36CF" w:rsidP="00BF6FBE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389D5B06" w14:textId="15201671" w:rsidR="008A36CF" w:rsidRDefault="007D72B7" w:rsidP="00BF6FBE">
                <w:pPr>
                  <w:pStyle w:val="Tablefont"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1448E3B7" w14:textId="77777777" w:rsidTr="006901A2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771" w:type="dxa"/>
                <w:vAlign w:val="center"/>
              </w:tcPr>
              <w:p w14:paraId="7A7F1B88" w14:textId="2C746C3E" w:rsidR="008A36CF" w:rsidRPr="006901A2" w:rsidRDefault="007D72B7" w:rsidP="00BF6FBE">
                <w:pPr>
                  <w:pStyle w:val="Tablefont"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71" w:type="dxa"/>
            <w:vAlign w:val="center"/>
          </w:tcPr>
          <w:p w14:paraId="79502FDB" w14:textId="77777777" w:rsidR="008A36CF" w:rsidRDefault="008A36CF" w:rsidP="00BF6FBE">
            <w:pPr>
              <w:pStyle w:val="Tablefont"/>
              <w:keepLines/>
              <w:spacing w:before="40" w:after="40"/>
            </w:pPr>
          </w:p>
        </w:tc>
      </w:tr>
      <w:tr w:rsidR="008A36CF" w14:paraId="1F251277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4B54A066" w14:textId="77777777" w:rsidR="008A36CF" w:rsidRDefault="008A36CF" w:rsidP="00BF6FBE">
            <w:pPr>
              <w:pStyle w:val="Tablefont"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047AD93791DC493F8562BB3488160D64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71" w:type="dxa"/>
                <w:vAlign w:val="center"/>
              </w:tcPr>
              <w:p w14:paraId="089A3662" w14:textId="39066D37" w:rsidR="008A36CF" w:rsidRDefault="007D72B7" w:rsidP="00BF6FBE">
                <w:pPr>
                  <w:pStyle w:val="Tablefont"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2B62901C" w14:textId="77777777" w:rsidTr="006901A2">
        <w:trPr>
          <w:trHeight w:val="454"/>
        </w:trPr>
        <w:sdt>
          <w:sdtPr>
            <w:alias w:val="Dropdown"/>
            <w:tag w:val="Dropdown"/>
            <w:id w:val="-1733531363"/>
            <w:placeholder>
              <w:docPart w:val="7B0BAA2441D5427984E6018FB38900E7"/>
            </w:placeholder>
            <w:comboBox>
              <w:listItem w:value="Choose an item."/>
              <w:listItem w:displayText="Cancer slope factor (1/(mg/kg/day))" w:value="Cancer slope factor (1/(mg/kg/day))"/>
              <w:listItem w:displayText="Inhalation unit risk value (1/(µg/m³))" w:value="Inhalation unit risk value (1/(µg/m³))"/>
            </w:comboBox>
          </w:sdtPr>
          <w:sdtEndPr/>
          <w:sdtContent>
            <w:tc>
              <w:tcPr>
                <w:tcW w:w="6771" w:type="dxa"/>
                <w:vAlign w:val="center"/>
              </w:tcPr>
              <w:p w14:paraId="6C420FEE" w14:textId="4F9D59DB" w:rsidR="008A36CF" w:rsidRDefault="007D72B7" w:rsidP="00BF6FBE">
                <w:pPr>
                  <w:pStyle w:val="Tablefont"/>
                  <w:keepLines/>
                  <w:spacing w:before="40" w:after="40"/>
                </w:pPr>
                <w:r>
                  <w:t>Inhalation unit risk value (1/(µg/m³))</w:t>
                </w:r>
              </w:p>
            </w:tc>
          </w:sdtContent>
        </w:sdt>
        <w:sdt>
          <w:sdtPr>
            <w:alias w:val="SlopeFactor"/>
            <w:tag w:val="SlopeFactor"/>
            <w:id w:val="-1925646767"/>
            <w:placeholder>
              <w:docPart w:val="5C1D38B030D146B59436754F8399D502"/>
            </w:placeholder>
          </w:sdtPr>
          <w:sdtEndPr/>
          <w:sdtContent>
            <w:tc>
              <w:tcPr>
                <w:tcW w:w="2471" w:type="dxa"/>
                <w:vAlign w:val="center"/>
              </w:tcPr>
              <w:p w14:paraId="3D6A2036" w14:textId="54172299" w:rsidR="008A36CF" w:rsidRDefault="002F2084" w:rsidP="00BF6FBE">
                <w:pPr>
                  <w:pStyle w:val="Tablefont"/>
                  <w:keepLines/>
                  <w:spacing w:before="40" w:after="40"/>
                </w:pPr>
                <w:r>
                  <w:t>6 x 10</w:t>
                </w:r>
                <w:r w:rsidRPr="002F2084">
                  <w:rPr>
                    <w:vertAlign w:val="superscript"/>
                  </w:rPr>
                  <w:t>-4</w:t>
                </w:r>
              </w:p>
            </w:tc>
          </w:sdtContent>
        </w:sdt>
      </w:tr>
      <w:tr w:rsidR="008A36CF" w14:paraId="54CED74F" w14:textId="77777777" w:rsidTr="006901A2">
        <w:trPr>
          <w:trHeight w:val="454"/>
        </w:trPr>
        <w:tc>
          <w:tcPr>
            <w:tcW w:w="6771" w:type="dxa"/>
            <w:vAlign w:val="center"/>
          </w:tcPr>
          <w:p w14:paraId="7F3F4980" w14:textId="77777777" w:rsidR="008A36CF" w:rsidRPr="00632DAD" w:rsidRDefault="008A36CF" w:rsidP="00BF6FBE">
            <w:pPr>
              <w:pStyle w:val="Tablefont"/>
              <w:keepLines/>
              <w:spacing w:before="40" w:after="40"/>
            </w:pPr>
            <w:r w:rsidRPr="00632DAD">
              <w:t>Calculated TWA value (</w:t>
            </w:r>
            <w:r w:rsidRPr="00632DAD">
              <w:rPr>
                <w:rFonts w:cs="Arial"/>
              </w:rPr>
              <w:t>µ</w:t>
            </w:r>
            <w:r w:rsidRPr="00632DAD">
              <w:t>g/m</w:t>
            </w:r>
            <w:r w:rsidRPr="00632DAD">
              <w:rPr>
                <w:vertAlign w:val="superscript"/>
              </w:rPr>
              <w:t>3</w:t>
            </w:r>
            <w:r w:rsidRPr="00632DAD">
              <w:t>)</w:t>
            </w:r>
          </w:p>
        </w:tc>
        <w:tc>
          <w:tcPr>
            <w:tcW w:w="2471" w:type="dxa"/>
            <w:vAlign w:val="center"/>
          </w:tcPr>
          <w:p w14:paraId="39F3B0B5" w14:textId="7E0D7B73" w:rsidR="008A36CF" w:rsidRPr="00632DAD" w:rsidRDefault="002F2084" w:rsidP="00BF6FBE">
            <w:pPr>
              <w:pStyle w:val="Tablefont"/>
              <w:keepLines/>
              <w:spacing w:before="40" w:after="40"/>
            </w:pPr>
            <w:r w:rsidRPr="00632DAD">
              <w:t>0.13</w:t>
            </w:r>
          </w:p>
        </w:tc>
      </w:tr>
    </w:tbl>
    <w:bookmarkEnd w:id="1"/>
    <w:p w14:paraId="1E26DD73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AEFE5C3" w14:textId="77777777" w:rsidTr="00535D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40A3FE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28421A1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20E6DA3" w14:textId="77777777" w:rsidTr="00535D01">
        <w:trPr>
          <w:cantSplit/>
        </w:trPr>
        <w:tc>
          <w:tcPr>
            <w:tcW w:w="3227" w:type="dxa"/>
          </w:tcPr>
          <w:p w14:paraId="304E118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E043267" w14:textId="6788F8C6" w:rsidR="00687890" w:rsidRPr="00DD2F9B" w:rsidRDefault="00B22441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0A8B8CAF" w14:textId="77777777" w:rsidTr="00535D01">
        <w:trPr>
          <w:cantSplit/>
        </w:trPr>
        <w:tc>
          <w:tcPr>
            <w:tcW w:w="3227" w:type="dxa"/>
          </w:tcPr>
          <w:p w14:paraId="3E90E65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7E1BFE5" w14:textId="6C155D44" w:rsidR="007925F0" w:rsidRPr="00DD2F9B" w:rsidRDefault="00B22441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7179E1B" w14:textId="77777777" w:rsidTr="00535D01">
        <w:trPr>
          <w:cantSplit/>
        </w:trPr>
        <w:tc>
          <w:tcPr>
            <w:tcW w:w="3227" w:type="dxa"/>
          </w:tcPr>
          <w:p w14:paraId="26A0DCE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04478721" w14:textId="3AF2836A" w:rsidR="00AF483F" w:rsidRPr="00DD2F9B" w:rsidRDefault="00D65B5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98CE440" w14:textId="77777777" w:rsidTr="00535D01">
        <w:trPr>
          <w:cantSplit/>
        </w:trPr>
        <w:tc>
          <w:tcPr>
            <w:tcW w:w="3227" w:type="dxa"/>
          </w:tcPr>
          <w:p w14:paraId="7019569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71B9E19" w14:textId="458B0821" w:rsidR="00687890" w:rsidRPr="00DD2F9B" w:rsidRDefault="00D65B5D" w:rsidP="00DD2F9B">
            <w:pPr>
              <w:pStyle w:val="Tablefont"/>
            </w:pPr>
            <w:r w:rsidRPr="00D65B5D">
              <w:t>Skin sensitisation – category 1</w:t>
            </w:r>
          </w:p>
        </w:tc>
      </w:tr>
      <w:tr w:rsidR="00E41A26" w:rsidRPr="004C23F4" w14:paraId="137B0E07" w14:textId="77777777" w:rsidTr="00535D01">
        <w:trPr>
          <w:cantSplit/>
        </w:trPr>
        <w:tc>
          <w:tcPr>
            <w:tcW w:w="3227" w:type="dxa"/>
          </w:tcPr>
          <w:p w14:paraId="4D1D2372" w14:textId="77777777" w:rsidR="00E41A26" w:rsidRDefault="00E41A26" w:rsidP="00F4402E">
            <w:pPr>
              <w:pStyle w:val="Tablefont"/>
            </w:pPr>
            <w:r>
              <w:lastRenderedPageBreak/>
              <w:t>ECHA</w:t>
            </w:r>
          </w:p>
        </w:tc>
        <w:tc>
          <w:tcPr>
            <w:tcW w:w="6015" w:type="dxa"/>
          </w:tcPr>
          <w:p w14:paraId="71E5AF18" w14:textId="5A821E4D" w:rsidR="00E41A26" w:rsidRPr="00DD2F9B" w:rsidRDefault="00D65B5D" w:rsidP="00DD2F9B">
            <w:pPr>
              <w:pStyle w:val="Tablefont"/>
            </w:pPr>
            <w:r w:rsidRPr="00D65B5D">
              <w:t>Skin Sens. 1</w:t>
            </w:r>
          </w:p>
        </w:tc>
      </w:tr>
      <w:tr w:rsidR="002E0D61" w:rsidRPr="004C23F4" w14:paraId="11787675" w14:textId="77777777" w:rsidTr="00535D01">
        <w:trPr>
          <w:cantSplit/>
        </w:trPr>
        <w:tc>
          <w:tcPr>
            <w:tcW w:w="3227" w:type="dxa"/>
          </w:tcPr>
          <w:p w14:paraId="72D5E20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24C3ACD" w14:textId="127D497A" w:rsidR="002E0D61" w:rsidRPr="00DD2F9B" w:rsidRDefault="00F86561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39673512" w14:textId="77777777" w:rsidTr="00535D01">
        <w:trPr>
          <w:cantSplit/>
        </w:trPr>
        <w:tc>
          <w:tcPr>
            <w:tcW w:w="3227" w:type="dxa"/>
          </w:tcPr>
          <w:p w14:paraId="556531E1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6377A9A" w14:textId="0588BA2C" w:rsidR="002E0D61" w:rsidRPr="00DD2F9B" w:rsidRDefault="00D65B5D" w:rsidP="00DD2F9B">
            <w:pPr>
              <w:pStyle w:val="Tablefont"/>
            </w:pPr>
            <w:r w:rsidRPr="00D65B5D">
              <w:t>Carcinogenicity – 2</w:t>
            </w:r>
            <w:r>
              <w:t xml:space="preserve">, </w:t>
            </w:r>
            <w:r w:rsidRPr="00D65B5D">
              <w:t>H (skin)</w:t>
            </w:r>
          </w:p>
        </w:tc>
      </w:tr>
      <w:tr w:rsidR="002E0D61" w:rsidRPr="004C23F4" w14:paraId="4610B588" w14:textId="77777777" w:rsidTr="00535D01">
        <w:trPr>
          <w:cantSplit/>
        </w:trPr>
        <w:tc>
          <w:tcPr>
            <w:tcW w:w="3227" w:type="dxa"/>
          </w:tcPr>
          <w:p w14:paraId="476BC62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C9EE054" w14:textId="558DE8C6" w:rsidR="002E0D61" w:rsidRPr="00DD2F9B" w:rsidRDefault="00D65B5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9913CCA" w14:textId="77777777" w:rsidTr="00535D01">
        <w:trPr>
          <w:cantSplit/>
        </w:trPr>
        <w:tc>
          <w:tcPr>
            <w:tcW w:w="3227" w:type="dxa"/>
          </w:tcPr>
          <w:p w14:paraId="0A10F308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7483E77" w14:textId="72116A08" w:rsidR="002E0D61" w:rsidRPr="00DD2F9B" w:rsidRDefault="00D65B5D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10399D6" w14:textId="77777777" w:rsidTr="00535D01">
        <w:trPr>
          <w:cantSplit/>
        </w:trPr>
        <w:tc>
          <w:tcPr>
            <w:tcW w:w="3227" w:type="dxa"/>
          </w:tcPr>
          <w:p w14:paraId="13D5D7E5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DC81CC0" w14:textId="0BF9248A" w:rsidR="00386093" w:rsidRPr="00DD2F9B" w:rsidRDefault="00D65B5D" w:rsidP="00DD2F9B">
            <w:pPr>
              <w:pStyle w:val="Tablefont"/>
            </w:pPr>
            <w:r w:rsidRPr="00D65B5D">
              <w:t>Carcinogenicity – Group 1</w:t>
            </w:r>
          </w:p>
        </w:tc>
      </w:tr>
      <w:tr w:rsidR="00386093" w:rsidRPr="004C23F4" w14:paraId="35D326EA" w14:textId="77777777" w:rsidTr="00535D01">
        <w:trPr>
          <w:cantSplit/>
        </w:trPr>
        <w:tc>
          <w:tcPr>
            <w:tcW w:w="3227" w:type="dxa"/>
          </w:tcPr>
          <w:p w14:paraId="12318767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1243A09" w14:textId="2EE8DE07" w:rsidR="00386093" w:rsidRPr="00DD2F9B" w:rsidRDefault="00D65B5D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643BA0C" w14:textId="2B51FCB6" w:rsidR="00485BFD" w:rsidRPr="00D65B5D" w:rsidRDefault="00485BFD" w:rsidP="00D65B5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5C6C9E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4958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74EB005A" w14:textId="77777777" w:rsidTr="00D65B5D">
        <w:trPr>
          <w:cantSplit/>
          <w:trHeight w:val="283"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63D337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AB58811" w14:textId="77777777" w:rsidTr="00D65B5D">
        <w:trPr>
          <w:cantSplit/>
          <w:trHeight w:val="90"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1246"/>
              <w:gridCol w:w="865"/>
              <w:gridCol w:w="2900"/>
              <w:gridCol w:w="865"/>
              <w:gridCol w:w="865"/>
              <w:gridCol w:w="2069"/>
            </w:tblGrid>
            <w:tr w:rsidR="00C246DD" w:rsidRPr="00C246DD" w14:paraId="25D439CC" w14:textId="77777777" w:rsidTr="00C246DD">
              <w:trPr>
                <w:trHeight w:val="342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E875C4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FAB326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B79591" w14:textId="77777777" w:rsidR="00C246DD" w:rsidRPr="00C246DD" w:rsidRDefault="00C246DD" w:rsidP="00C246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7F1B091" w14:textId="77777777" w:rsidR="00C246DD" w:rsidRPr="00C246DD" w:rsidRDefault="00C246DD" w:rsidP="00C246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0FA329" w14:textId="77777777" w:rsidR="00C246DD" w:rsidRPr="00C246DD" w:rsidRDefault="00C246DD" w:rsidP="00C246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F338BA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246DD" w:rsidRPr="00C246DD" w14:paraId="6B5F97E1" w14:textId="77777777" w:rsidTr="00C246DD">
              <w:trPr>
                <w:trHeight w:val="342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BA1542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CE7020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B04BB9" w14:textId="77777777" w:rsidR="00C246DD" w:rsidRPr="00C246DD" w:rsidRDefault="00C246DD" w:rsidP="00C246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55D8B8" w14:textId="77777777" w:rsidR="00C246DD" w:rsidRPr="00C246DD" w:rsidRDefault="00C246DD" w:rsidP="00C246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A67BC86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B82491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246DD" w:rsidRPr="00C246DD" w14:paraId="02CA67B7" w14:textId="77777777" w:rsidTr="00C246DD">
              <w:trPr>
                <w:trHeight w:val="342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527E56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C57CC9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51192A" w14:textId="77777777" w:rsidR="00C246DD" w:rsidRPr="00C246DD" w:rsidRDefault="00C246DD" w:rsidP="00C246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3F3AB2" w14:textId="77777777" w:rsidR="00C246DD" w:rsidRPr="00C246DD" w:rsidRDefault="00C246DD" w:rsidP="00C246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BBA1B8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37EEA1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246DD" w:rsidRPr="00C246DD" w14:paraId="6612A82A" w14:textId="77777777" w:rsidTr="00C246DD">
              <w:trPr>
                <w:trHeight w:val="342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F98710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BF3167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D71CEE" w14:textId="77777777" w:rsidR="00C246DD" w:rsidRPr="00C246DD" w:rsidRDefault="00C246DD" w:rsidP="00C246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7D8823" w14:textId="77777777" w:rsidR="00C246DD" w:rsidRPr="00C246DD" w:rsidRDefault="00C246DD" w:rsidP="00C246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2DC90F8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B21D15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246DD" w:rsidRPr="00C246DD" w14:paraId="0CFC6883" w14:textId="77777777" w:rsidTr="00C246DD">
              <w:trPr>
                <w:trHeight w:val="342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CA3590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75BB25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99283A" w14:textId="77777777" w:rsidR="00C246DD" w:rsidRPr="00C246DD" w:rsidRDefault="00C246DD" w:rsidP="00C246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A8EBDF" w14:textId="77777777" w:rsidR="00C246DD" w:rsidRPr="00C246DD" w:rsidRDefault="00C246DD" w:rsidP="00C246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6DA9B2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13E9C7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246DD" w:rsidRPr="00C246DD" w14:paraId="40DBD35C" w14:textId="77777777" w:rsidTr="00C246DD">
              <w:trPr>
                <w:trHeight w:val="342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422EC0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084853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CB8A6C" w14:textId="77777777" w:rsidR="00C246DD" w:rsidRPr="00C246DD" w:rsidRDefault="00C246DD" w:rsidP="00C246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8A04C9" w14:textId="77777777" w:rsidR="00C246DD" w:rsidRPr="00C246DD" w:rsidRDefault="00C246DD" w:rsidP="00C246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E66BA9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6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BD07A9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C246DD" w:rsidRPr="00C246DD" w14:paraId="531014A5" w14:textId="77777777" w:rsidTr="00C246DD">
              <w:trPr>
                <w:trHeight w:val="342"/>
              </w:trPr>
              <w:tc>
                <w:tcPr>
                  <w:tcW w:w="12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4838BA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B51C47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0A8811" w14:textId="77777777" w:rsidR="00C246DD" w:rsidRPr="00C246DD" w:rsidRDefault="00C246DD" w:rsidP="00C246D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12B777" w14:textId="77777777" w:rsidR="00C246DD" w:rsidRPr="00C246DD" w:rsidRDefault="00C246DD" w:rsidP="00C246D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B57E7B" w14:textId="77777777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  <w:p w14:paraId="61E2C0EC" w14:textId="3B767D66" w:rsidR="00C246DD" w:rsidRPr="00C246DD" w:rsidRDefault="00C246DD" w:rsidP="00C246D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C246D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15F9B08E" w14:textId="3328200F" w:rsidR="00D65B5D" w:rsidRPr="00D65B5D" w:rsidRDefault="00D65B5D" w:rsidP="00E96753">
            <w:pPr>
              <w:pStyle w:val="Tabletextprimarysource"/>
            </w:pPr>
          </w:p>
        </w:tc>
      </w:tr>
    </w:tbl>
    <w:bookmarkEnd w:id="3"/>
    <w:p w14:paraId="1131ABB3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47"/>
        <w:gridCol w:w="4733"/>
      </w:tblGrid>
      <w:tr w:rsidR="00EB3D1B" w14:paraId="2BDDE4D0" w14:textId="77777777" w:rsidTr="00D65B5D">
        <w:trPr>
          <w:trHeight w:val="540"/>
          <w:tblHeader/>
        </w:trPr>
        <w:tc>
          <w:tcPr>
            <w:tcW w:w="4247" w:type="dxa"/>
          </w:tcPr>
          <w:p w14:paraId="3994BC5B" w14:textId="162A8A17" w:rsidR="00EB3D1B" w:rsidRDefault="00D65B5D" w:rsidP="00D65B5D">
            <w:pPr>
              <w:pStyle w:val="Tablefont"/>
            </w:pPr>
            <w:r>
              <w:t>Is there a suitable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733" w:type="dxa"/>
                <w:vAlign w:val="center"/>
              </w:tcPr>
              <w:p w14:paraId="50C7558A" w14:textId="3B67B643" w:rsidR="00EB3D1B" w:rsidRPr="00D65B5D" w:rsidRDefault="00C057C2" w:rsidP="00D65B5D">
                <w:r>
                  <w:rPr>
                    <w:lang w:eastAsia="en-US"/>
                  </w:rPr>
                  <w:t>No</w:t>
                </w:r>
              </w:p>
            </w:tc>
          </w:sdtContent>
        </w:sdt>
      </w:tr>
    </w:tbl>
    <w:p w14:paraId="7A9FCCF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D8DF0F3" w14:textId="77777777" w:rsidTr="00BF6FBE">
        <w:trPr>
          <w:cantSplit/>
        </w:trPr>
        <w:tc>
          <w:tcPr>
            <w:tcW w:w="4077" w:type="dxa"/>
            <w:vAlign w:val="center"/>
          </w:tcPr>
          <w:p w14:paraId="5F86EB8E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6079FE5" w14:textId="11A12635" w:rsidR="001B79E5" w:rsidRDefault="00B21EB1" w:rsidP="001B79E5">
                <w:pPr>
                  <w:pStyle w:val="Tablefont"/>
                </w:pPr>
                <w:r>
                  <w:t>NA for PAH, 252.32 for B[a]P</w:t>
                </w:r>
              </w:p>
            </w:tc>
          </w:sdtContent>
        </w:sdt>
      </w:tr>
      <w:tr w:rsidR="00A31D99" w:rsidRPr="004C23F4" w14:paraId="3D243989" w14:textId="77777777" w:rsidTr="00BF6FBE">
        <w:trPr>
          <w:cantSplit/>
        </w:trPr>
        <w:tc>
          <w:tcPr>
            <w:tcW w:w="4077" w:type="dxa"/>
            <w:vAlign w:val="center"/>
          </w:tcPr>
          <w:p w14:paraId="49619589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708928D" w14:textId="77777777" w:rsidR="00A31D99" w:rsidRDefault="00A0643F" w:rsidP="00A174CC">
            <w:pPr>
              <w:pStyle w:val="Tablefont"/>
              <w:rPr>
                <w:color w:val="808080"/>
              </w:rPr>
            </w:pPr>
            <w:r>
              <w:t xml:space="preserve">1 ppm = </w:t>
            </w:r>
            <w:r w:rsidR="00B21EB1">
              <w:t>NA for PAH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r w:rsidR="00B21EB1" w:rsidRPr="00B21EB1">
              <w:t>NA for PAH</w:t>
            </w:r>
          </w:p>
          <w:p w14:paraId="3FB27AF7" w14:textId="17AE8BBB" w:rsidR="00B21EB1" w:rsidRDefault="00B21EB1" w:rsidP="00A174CC">
            <w:pPr>
              <w:pStyle w:val="Tablefont"/>
            </w:pPr>
            <w:r>
              <w:t>1 ppm = 10 .34 mg/m</w:t>
            </w:r>
            <w:r w:rsidRPr="00B21EB1">
              <w:rPr>
                <w:vertAlign w:val="superscript"/>
              </w:rPr>
              <w:t>3</w:t>
            </w:r>
            <w:r>
              <w:rPr>
                <w:vertAlign w:val="superscript"/>
              </w:rPr>
              <w:t xml:space="preserve"> </w:t>
            </w:r>
            <w:r>
              <w:t xml:space="preserve">for B[a]P; </w:t>
            </w:r>
            <w:r w:rsidRPr="00B21EB1">
              <w:t>1 mg/m</w:t>
            </w:r>
            <w:r w:rsidRPr="00B21EB1">
              <w:rPr>
                <w:vertAlign w:val="superscript"/>
              </w:rPr>
              <w:t>3</w:t>
            </w:r>
            <w:r w:rsidRPr="00B21EB1">
              <w:t xml:space="preserve"> = 0.1 ppm for B[a]P</w:t>
            </w:r>
          </w:p>
        </w:tc>
      </w:tr>
      <w:tr w:rsidR="00687890" w:rsidRPr="004C23F4" w14:paraId="1107E46C" w14:textId="77777777" w:rsidTr="00BF6FBE">
        <w:trPr>
          <w:cantSplit/>
        </w:trPr>
        <w:tc>
          <w:tcPr>
            <w:tcW w:w="4077" w:type="dxa"/>
            <w:vAlign w:val="center"/>
          </w:tcPr>
          <w:p w14:paraId="31C01483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0DFB3F7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BA42220" w14:textId="77777777" w:rsidTr="00BF6FBE">
        <w:trPr>
          <w:cantSplit/>
        </w:trPr>
        <w:tc>
          <w:tcPr>
            <w:tcW w:w="4077" w:type="dxa"/>
            <w:vAlign w:val="center"/>
          </w:tcPr>
          <w:p w14:paraId="76D2C6F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F27F9B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44BCA65" w14:textId="77777777" w:rsidTr="00BF6FBE">
        <w:trPr>
          <w:cantSplit/>
        </w:trPr>
        <w:tc>
          <w:tcPr>
            <w:tcW w:w="4077" w:type="dxa"/>
            <w:vAlign w:val="center"/>
          </w:tcPr>
          <w:p w14:paraId="32BDD90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83BAC3F" w14:textId="2C5B0216" w:rsidR="00687890" w:rsidRPr="004C23F4" w:rsidRDefault="002F1DF5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23D2C72C" w14:textId="77777777" w:rsidTr="00BF6FBE">
        <w:trPr>
          <w:cantSplit/>
        </w:trPr>
        <w:tc>
          <w:tcPr>
            <w:tcW w:w="4077" w:type="dxa"/>
            <w:vAlign w:val="center"/>
          </w:tcPr>
          <w:p w14:paraId="4AA078E8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94B2B8F" w14:textId="083D4FB9" w:rsidR="00E06F40" w:rsidRPr="00A006A0" w:rsidRDefault="00B259E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F0716A">
                  <w:rPr>
                    <w:rFonts w:ascii="MS Gothic" w:eastAsia="MS Gothic" w:hAnsi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2F1DF5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82F9BA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B7AF9E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572559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E4B57F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29E646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7D1AB7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1ACF0C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17F8AC8" w14:textId="77777777" w:rsidR="00F87D92" w:rsidRDefault="00F87D92" w:rsidP="00667856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4FBFBB0" w14:textId="1833DAF6" w:rsidR="007F1005" w:rsidRDefault="006650FE" w:rsidP="00A472FE">
      <w:pPr>
        <w:keepNext/>
      </w:pPr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32355FC" w14:textId="345F23FD" w:rsidR="00350ADE" w:rsidRDefault="00350ADE" w:rsidP="00A472FE">
      <w:pPr>
        <w:keepNext/>
      </w:pPr>
      <w:r w:rsidRPr="00350ADE">
        <w:t>Australian Institute of Occu</w:t>
      </w:r>
      <w:r>
        <w:t>pational Hygienists (AIOH) (2016</w:t>
      </w:r>
      <w:r w:rsidRPr="00350ADE">
        <w:t xml:space="preserve">) Position paper </w:t>
      </w:r>
      <w:r>
        <w:t>–</w:t>
      </w:r>
      <w:r w:rsidRPr="00350ADE">
        <w:t xml:space="preserve"> </w:t>
      </w:r>
      <w:r>
        <w:t xml:space="preserve">Polycyclic Aromatic Hydrocarbons (PAHs) </w:t>
      </w:r>
      <w:r w:rsidRPr="00350ADE">
        <w:t>and occupational health issues</w:t>
      </w:r>
      <w:r>
        <w:t>.</w:t>
      </w:r>
    </w:p>
    <w:p w14:paraId="1863D14F" w14:textId="562AF222" w:rsidR="00D65B5D" w:rsidRDefault="00D65B5D" w:rsidP="00A472FE">
      <w:pPr>
        <w:keepNext/>
      </w:pPr>
      <w:r>
        <w:t>Deutsche Forschungsgemeinschaft (DFG) (</w:t>
      </w:r>
      <w:r w:rsidR="00F86561">
        <w:t>2012</w:t>
      </w:r>
      <w:r>
        <w:t xml:space="preserve">) </w:t>
      </w:r>
      <w:r w:rsidR="00E60189">
        <w:t>Polycyclic aromatic hydrocarbons</w:t>
      </w:r>
      <w:r>
        <w:t xml:space="preserve"> – MAK value documentation.</w:t>
      </w:r>
    </w:p>
    <w:p w14:paraId="73F9A503" w14:textId="5A339862" w:rsidR="00D65B5D" w:rsidRDefault="00D65B5D" w:rsidP="00A472FE">
      <w:pPr>
        <w:keepNext/>
      </w:pPr>
      <w:r>
        <w:t>European Chemicals Agency (ECHA) (</w:t>
      </w:r>
      <w:r w:rsidR="00F86561">
        <w:t>2019</w:t>
      </w:r>
      <w:r>
        <w:t xml:space="preserve">) </w:t>
      </w:r>
      <w:r w:rsidR="00F86561" w:rsidRPr="00F86561">
        <w:t>Benzo[a]pyrene</w:t>
      </w:r>
      <w:r>
        <w:t xml:space="preserve"> – REACH assessment.</w:t>
      </w:r>
    </w:p>
    <w:p w14:paraId="5AC0E56F" w14:textId="77777777" w:rsidR="00667856" w:rsidRDefault="00667856" w:rsidP="00667856">
      <w:r>
        <w:t>International Agency for Research on Cancer (IARC) (</w:t>
      </w:r>
      <w:r w:rsidRPr="00F86561">
        <w:t>2012</w:t>
      </w:r>
      <w:r>
        <w:t xml:space="preserve">) </w:t>
      </w:r>
      <w:r w:rsidRPr="00F86561">
        <w:t>Benzo[a]pyrene</w:t>
      </w:r>
      <w:r>
        <w:t>. IARC Monographs on the evaluation of the carcinogenic risk to humans.</w:t>
      </w:r>
    </w:p>
    <w:p w14:paraId="532A714F" w14:textId="77777777" w:rsidR="00667856" w:rsidRDefault="00667856" w:rsidP="00667856">
      <w:r>
        <w:t>National Toxicology Program (NTP) (2016) NTP 14</w:t>
      </w:r>
      <w:r w:rsidRPr="00E5700A">
        <w:rPr>
          <w:vertAlign w:val="superscript"/>
        </w:rPr>
        <w:t>th</w:t>
      </w:r>
      <w:r>
        <w:t xml:space="preserve"> Report on Carcinogens - </w:t>
      </w:r>
      <w:r w:rsidRPr="00E5700A">
        <w:t>Polycyclic Aromatic Hydrocarbons</w:t>
      </w:r>
      <w:r>
        <w:t>.</w:t>
      </w:r>
    </w:p>
    <w:p w14:paraId="34608162" w14:textId="77777777" w:rsidR="00E5700A" w:rsidRDefault="00E5700A" w:rsidP="00A472FE">
      <w:pPr>
        <w:keepNext/>
      </w:pPr>
      <w:r w:rsidRPr="00E5700A">
        <w:t xml:space="preserve">NTP (National Toxicology Program). 2016. Report on Carcinogens, Fourteenth Edition.; Research Triangle Park, NC: U.S. Department of Health and Human Services, Public Health Service. </w:t>
      </w:r>
    </w:p>
    <w:p w14:paraId="49BDA92E" w14:textId="77777777" w:rsidR="00667856" w:rsidRDefault="00667856" w:rsidP="00667856">
      <w:r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790092AE" w14:textId="3D67AA8E" w:rsidR="00D65B5D" w:rsidRPr="00351FE0" w:rsidRDefault="007D72B7" w:rsidP="00084859">
      <w:r>
        <w:t>US Environmental Protection Authority (US EPA) (</w:t>
      </w:r>
      <w:r w:rsidR="002F2084">
        <w:t>2017</w:t>
      </w:r>
      <w:r>
        <w:t xml:space="preserve">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Toxicological Review of Benzo[a]pyrene.</w:t>
      </w:r>
    </w:p>
    <w:sectPr w:rsidR="00D65B5D" w:rsidRPr="00351FE0" w:rsidSect="00D65B5D">
      <w:headerReference w:type="default" r:id="rId14"/>
      <w:pgSz w:w="11906" w:h="16838"/>
      <w:pgMar w:top="270" w:right="1440" w:bottom="189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28DA3" w14:textId="77777777" w:rsidR="006408F1" w:rsidRDefault="006408F1" w:rsidP="00F43AD5">
      <w:pPr>
        <w:spacing w:after="0" w:line="240" w:lineRule="auto"/>
      </w:pPr>
      <w:r>
        <w:separator/>
      </w:r>
    </w:p>
  </w:endnote>
  <w:endnote w:type="continuationSeparator" w:id="0">
    <w:p w14:paraId="52F89F86" w14:textId="77777777" w:rsidR="006408F1" w:rsidRDefault="006408F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98667C5" w14:textId="07466635" w:rsidR="00BF52B7" w:rsidRDefault="00BF52B7" w:rsidP="0034744C">
        <w:pPr>
          <w:pStyle w:val="Footer"/>
          <w:rPr>
            <w:sz w:val="18"/>
            <w:szCs w:val="18"/>
          </w:rPr>
        </w:pPr>
        <w:r w:rsidRPr="00B22441">
          <w:rPr>
            <w:b/>
            <w:sz w:val="18"/>
            <w:szCs w:val="18"/>
          </w:rPr>
          <w:t>Polycyclic aromatic hydrocarbon (PAH) mixture containing benzo[a]pyrene</w:t>
        </w:r>
        <w:r>
          <w:rPr>
            <w:b/>
            <w:sz w:val="18"/>
            <w:szCs w:val="18"/>
          </w:rPr>
          <w:t xml:space="preserve"> (</w:t>
        </w:r>
        <w:r w:rsidRPr="00D65B5D">
          <w:rPr>
            <w:b/>
            <w:sz w:val="18"/>
            <w:szCs w:val="18"/>
          </w:rPr>
          <w:t>50-32-8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0447B2BB" w14:textId="3A31FEB4" w:rsidR="00BF52B7" w:rsidRPr="00F43AD5" w:rsidRDefault="00BF52B7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46DC8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F30A13" w14:textId="77777777" w:rsidR="006408F1" w:rsidRDefault="006408F1" w:rsidP="00F43AD5">
      <w:pPr>
        <w:spacing w:after="0" w:line="240" w:lineRule="auto"/>
      </w:pPr>
      <w:r>
        <w:separator/>
      </w:r>
    </w:p>
  </w:footnote>
  <w:footnote w:type="continuationSeparator" w:id="0">
    <w:p w14:paraId="062D5252" w14:textId="77777777" w:rsidR="006408F1" w:rsidRDefault="006408F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EDAEB" w14:textId="3DC60FAD" w:rsidR="00402292" w:rsidRDefault="00402292" w:rsidP="00402292">
    <w:pPr>
      <w:pStyle w:val="Header"/>
      <w:jc w:val="right"/>
    </w:pPr>
    <w:r>
      <w:rPr>
        <w:noProof/>
        <w:lang w:eastAsia="en-AU"/>
      </w:rPr>
      <w:drawing>
        <wp:inline distT="0" distB="0" distL="0" distR="0" wp14:anchorId="11003ADD" wp14:editId="47C8547A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08150C6" w14:textId="77777777" w:rsidR="00402292" w:rsidRDefault="00402292" w:rsidP="00402292">
    <w:pPr>
      <w:pStyle w:val="Header"/>
    </w:pPr>
  </w:p>
  <w:p w14:paraId="341E0D6B" w14:textId="5204FE32" w:rsidR="00BF52B7" w:rsidRPr="00402292" w:rsidRDefault="00BF52B7" w:rsidP="004022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17F6A" w14:textId="47F3514D" w:rsidR="00402292" w:rsidRDefault="00402292" w:rsidP="00402292">
    <w:pPr>
      <w:pStyle w:val="Header"/>
      <w:jc w:val="right"/>
    </w:pPr>
    <w:r>
      <w:rPr>
        <w:noProof/>
        <w:lang w:eastAsia="en-AU"/>
      </w:rPr>
      <w:drawing>
        <wp:inline distT="0" distB="0" distL="0" distR="0" wp14:anchorId="2374C475" wp14:editId="74D9F827">
          <wp:extent cx="2952750" cy="59055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A1E737" w14:textId="77777777" w:rsidR="00402292" w:rsidRDefault="00402292" w:rsidP="00402292">
    <w:pPr>
      <w:pStyle w:val="Header"/>
    </w:pPr>
  </w:p>
  <w:p w14:paraId="4354DCF7" w14:textId="2396F5F5" w:rsidR="00BF52B7" w:rsidRDefault="00BF52B7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B7526A0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F622FC8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24F4167"/>
    <w:multiLevelType w:val="hybridMultilevel"/>
    <w:tmpl w:val="078E4DE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02C201F7"/>
    <w:multiLevelType w:val="hybridMultilevel"/>
    <w:tmpl w:val="20C0BEA8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0AC96E9C"/>
    <w:multiLevelType w:val="hybridMultilevel"/>
    <w:tmpl w:val="3CE68E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313CF8"/>
    <w:multiLevelType w:val="hybridMultilevel"/>
    <w:tmpl w:val="5B52BDB4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4ACE15D7"/>
    <w:multiLevelType w:val="hybridMultilevel"/>
    <w:tmpl w:val="1CDA5EF4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4E3D2FE0"/>
    <w:multiLevelType w:val="hybridMultilevel"/>
    <w:tmpl w:val="C20CEC3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BC42C8C"/>
    <w:multiLevelType w:val="hybridMultilevel"/>
    <w:tmpl w:val="FBA0CE2A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793C3BDE"/>
    <w:multiLevelType w:val="hybridMultilevel"/>
    <w:tmpl w:val="005284A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82727752">
    <w:abstractNumId w:val="1"/>
  </w:num>
  <w:num w:numId="2" w16cid:durableId="1951234888">
    <w:abstractNumId w:val="9"/>
  </w:num>
  <w:num w:numId="3" w16cid:durableId="816917847">
    <w:abstractNumId w:val="7"/>
  </w:num>
  <w:num w:numId="4" w16cid:durableId="345984680">
    <w:abstractNumId w:val="4"/>
  </w:num>
  <w:num w:numId="5" w16cid:durableId="1515655051">
    <w:abstractNumId w:val="0"/>
  </w:num>
  <w:num w:numId="6" w16cid:durableId="1981493711">
    <w:abstractNumId w:val="2"/>
  </w:num>
  <w:num w:numId="7" w16cid:durableId="5403028">
    <w:abstractNumId w:val="6"/>
  </w:num>
  <w:num w:numId="8" w16cid:durableId="1139499920">
    <w:abstractNumId w:val="3"/>
  </w:num>
  <w:num w:numId="9" w16cid:durableId="209997112">
    <w:abstractNumId w:val="5"/>
  </w:num>
  <w:num w:numId="10" w16cid:durableId="7570690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433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36D"/>
    <w:rsid w:val="00000B59"/>
    <w:rsid w:val="00006F92"/>
    <w:rsid w:val="00007B80"/>
    <w:rsid w:val="00013A22"/>
    <w:rsid w:val="00014C3F"/>
    <w:rsid w:val="00017C82"/>
    <w:rsid w:val="00030F6B"/>
    <w:rsid w:val="00032B88"/>
    <w:rsid w:val="00046DF5"/>
    <w:rsid w:val="00050E9A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028B"/>
    <w:rsid w:val="00092D94"/>
    <w:rsid w:val="000B0868"/>
    <w:rsid w:val="000B3B82"/>
    <w:rsid w:val="000B3E12"/>
    <w:rsid w:val="000B3E78"/>
    <w:rsid w:val="000B7B48"/>
    <w:rsid w:val="000C096D"/>
    <w:rsid w:val="000C139A"/>
    <w:rsid w:val="000C2053"/>
    <w:rsid w:val="000C248C"/>
    <w:rsid w:val="000C434D"/>
    <w:rsid w:val="000C573B"/>
    <w:rsid w:val="000C6EDD"/>
    <w:rsid w:val="000D291C"/>
    <w:rsid w:val="000E5A54"/>
    <w:rsid w:val="000E63D3"/>
    <w:rsid w:val="000E67CF"/>
    <w:rsid w:val="000F0A81"/>
    <w:rsid w:val="0010461E"/>
    <w:rsid w:val="001063B5"/>
    <w:rsid w:val="00106FAA"/>
    <w:rsid w:val="00111B49"/>
    <w:rsid w:val="00113443"/>
    <w:rsid w:val="0012468E"/>
    <w:rsid w:val="00124812"/>
    <w:rsid w:val="001269A7"/>
    <w:rsid w:val="00126CCB"/>
    <w:rsid w:val="00131092"/>
    <w:rsid w:val="00140E6A"/>
    <w:rsid w:val="001412E5"/>
    <w:rsid w:val="00146545"/>
    <w:rsid w:val="00146B75"/>
    <w:rsid w:val="0015266D"/>
    <w:rsid w:val="0015288A"/>
    <w:rsid w:val="00160F47"/>
    <w:rsid w:val="0017796B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6495"/>
    <w:rsid w:val="001E6FEE"/>
    <w:rsid w:val="001E7D80"/>
    <w:rsid w:val="001F178C"/>
    <w:rsid w:val="001F2036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1B66"/>
    <w:rsid w:val="00242EC5"/>
    <w:rsid w:val="00244AD1"/>
    <w:rsid w:val="002463BC"/>
    <w:rsid w:val="002465CE"/>
    <w:rsid w:val="0025734A"/>
    <w:rsid w:val="00263255"/>
    <w:rsid w:val="00276494"/>
    <w:rsid w:val="00277B0C"/>
    <w:rsid w:val="002A7197"/>
    <w:rsid w:val="002B1A2C"/>
    <w:rsid w:val="002C34F2"/>
    <w:rsid w:val="002C58FF"/>
    <w:rsid w:val="002C7AFE"/>
    <w:rsid w:val="002D05D2"/>
    <w:rsid w:val="002E0D61"/>
    <w:rsid w:val="002E4C7B"/>
    <w:rsid w:val="002F1DF5"/>
    <w:rsid w:val="002F2084"/>
    <w:rsid w:val="002F662C"/>
    <w:rsid w:val="002F78F3"/>
    <w:rsid w:val="0030128A"/>
    <w:rsid w:val="0030152D"/>
    <w:rsid w:val="0030740C"/>
    <w:rsid w:val="003134B3"/>
    <w:rsid w:val="00315833"/>
    <w:rsid w:val="003215EE"/>
    <w:rsid w:val="003224BF"/>
    <w:rsid w:val="00323D7A"/>
    <w:rsid w:val="003241A8"/>
    <w:rsid w:val="003253F0"/>
    <w:rsid w:val="00326385"/>
    <w:rsid w:val="003329B1"/>
    <w:rsid w:val="003337DA"/>
    <w:rsid w:val="00334EFB"/>
    <w:rsid w:val="00335CDE"/>
    <w:rsid w:val="003365A5"/>
    <w:rsid w:val="003425B5"/>
    <w:rsid w:val="00347192"/>
    <w:rsid w:val="0034744C"/>
    <w:rsid w:val="00350ADE"/>
    <w:rsid w:val="00351FE0"/>
    <w:rsid w:val="00352615"/>
    <w:rsid w:val="0035412B"/>
    <w:rsid w:val="00354C4F"/>
    <w:rsid w:val="003567A8"/>
    <w:rsid w:val="003567EA"/>
    <w:rsid w:val="00362335"/>
    <w:rsid w:val="00362895"/>
    <w:rsid w:val="00370DBF"/>
    <w:rsid w:val="003747E8"/>
    <w:rsid w:val="00386093"/>
    <w:rsid w:val="003904A4"/>
    <w:rsid w:val="00391841"/>
    <w:rsid w:val="00391B6D"/>
    <w:rsid w:val="00394922"/>
    <w:rsid w:val="003A0E32"/>
    <w:rsid w:val="003A2B94"/>
    <w:rsid w:val="003B344B"/>
    <w:rsid w:val="003B387D"/>
    <w:rsid w:val="003C0D58"/>
    <w:rsid w:val="003C1ADE"/>
    <w:rsid w:val="003D4FA3"/>
    <w:rsid w:val="003E0807"/>
    <w:rsid w:val="003E30A1"/>
    <w:rsid w:val="003E51FB"/>
    <w:rsid w:val="003E6B39"/>
    <w:rsid w:val="003F07E1"/>
    <w:rsid w:val="00402292"/>
    <w:rsid w:val="004030BC"/>
    <w:rsid w:val="00403F7D"/>
    <w:rsid w:val="00406785"/>
    <w:rsid w:val="004079B4"/>
    <w:rsid w:val="00417A56"/>
    <w:rsid w:val="00420957"/>
    <w:rsid w:val="00421FCD"/>
    <w:rsid w:val="00422A10"/>
    <w:rsid w:val="00430179"/>
    <w:rsid w:val="0043370B"/>
    <w:rsid w:val="004414B5"/>
    <w:rsid w:val="00444482"/>
    <w:rsid w:val="00444B42"/>
    <w:rsid w:val="00445E44"/>
    <w:rsid w:val="00445FC2"/>
    <w:rsid w:val="004509E2"/>
    <w:rsid w:val="004515EE"/>
    <w:rsid w:val="004529F0"/>
    <w:rsid w:val="00460A03"/>
    <w:rsid w:val="00472A11"/>
    <w:rsid w:val="00472AAD"/>
    <w:rsid w:val="00474E33"/>
    <w:rsid w:val="00476803"/>
    <w:rsid w:val="00480372"/>
    <w:rsid w:val="00485BFD"/>
    <w:rsid w:val="004867A2"/>
    <w:rsid w:val="00486F2F"/>
    <w:rsid w:val="004873F2"/>
    <w:rsid w:val="00490D4C"/>
    <w:rsid w:val="00493A35"/>
    <w:rsid w:val="0049527A"/>
    <w:rsid w:val="004966BF"/>
    <w:rsid w:val="00497984"/>
    <w:rsid w:val="004A160F"/>
    <w:rsid w:val="004A5088"/>
    <w:rsid w:val="004C1E3F"/>
    <w:rsid w:val="004C23F4"/>
    <w:rsid w:val="004C3475"/>
    <w:rsid w:val="004C58B6"/>
    <w:rsid w:val="004D16A3"/>
    <w:rsid w:val="004D4AA1"/>
    <w:rsid w:val="004D6D68"/>
    <w:rsid w:val="004D782D"/>
    <w:rsid w:val="004E2A16"/>
    <w:rsid w:val="004E360D"/>
    <w:rsid w:val="004E5EDD"/>
    <w:rsid w:val="004E6BC7"/>
    <w:rsid w:val="004F2CAE"/>
    <w:rsid w:val="004F448A"/>
    <w:rsid w:val="004F493D"/>
    <w:rsid w:val="004F65E8"/>
    <w:rsid w:val="0050005E"/>
    <w:rsid w:val="00500B3E"/>
    <w:rsid w:val="00502B88"/>
    <w:rsid w:val="005142C4"/>
    <w:rsid w:val="0051509C"/>
    <w:rsid w:val="005272E2"/>
    <w:rsid w:val="0053108F"/>
    <w:rsid w:val="00532A7C"/>
    <w:rsid w:val="00532B56"/>
    <w:rsid w:val="00534B10"/>
    <w:rsid w:val="00535D01"/>
    <w:rsid w:val="00543DE6"/>
    <w:rsid w:val="005446A2"/>
    <w:rsid w:val="00544D2F"/>
    <w:rsid w:val="00551BD8"/>
    <w:rsid w:val="00552E2B"/>
    <w:rsid w:val="0055531F"/>
    <w:rsid w:val="00557AAF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49ED"/>
    <w:rsid w:val="005E4C82"/>
    <w:rsid w:val="005E6979"/>
    <w:rsid w:val="005E75CB"/>
    <w:rsid w:val="006013C1"/>
    <w:rsid w:val="0060669E"/>
    <w:rsid w:val="00610F2E"/>
    <w:rsid w:val="00611399"/>
    <w:rsid w:val="006204BC"/>
    <w:rsid w:val="00624C4E"/>
    <w:rsid w:val="00625200"/>
    <w:rsid w:val="00632DAD"/>
    <w:rsid w:val="006363A8"/>
    <w:rsid w:val="00636DB7"/>
    <w:rsid w:val="006408F1"/>
    <w:rsid w:val="00650905"/>
    <w:rsid w:val="006532ED"/>
    <w:rsid w:val="00654324"/>
    <w:rsid w:val="006549F2"/>
    <w:rsid w:val="006567B7"/>
    <w:rsid w:val="00657BFB"/>
    <w:rsid w:val="0066333C"/>
    <w:rsid w:val="006639B4"/>
    <w:rsid w:val="006650FE"/>
    <w:rsid w:val="00667856"/>
    <w:rsid w:val="0067305D"/>
    <w:rsid w:val="00675BB2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BDD"/>
    <w:rsid w:val="006B4E6C"/>
    <w:rsid w:val="006B50B6"/>
    <w:rsid w:val="006B6158"/>
    <w:rsid w:val="006C2648"/>
    <w:rsid w:val="006D79EA"/>
    <w:rsid w:val="006E5D05"/>
    <w:rsid w:val="00701053"/>
    <w:rsid w:val="00701507"/>
    <w:rsid w:val="00714021"/>
    <w:rsid w:val="00716A0F"/>
    <w:rsid w:val="00716B19"/>
    <w:rsid w:val="00717D45"/>
    <w:rsid w:val="007208F7"/>
    <w:rsid w:val="007218AF"/>
    <w:rsid w:val="0072511A"/>
    <w:rsid w:val="007326D8"/>
    <w:rsid w:val="007365D1"/>
    <w:rsid w:val="00740E0E"/>
    <w:rsid w:val="00743545"/>
    <w:rsid w:val="00750212"/>
    <w:rsid w:val="00753180"/>
    <w:rsid w:val="00753EE9"/>
    <w:rsid w:val="00754779"/>
    <w:rsid w:val="00754A3C"/>
    <w:rsid w:val="0075716D"/>
    <w:rsid w:val="00765F14"/>
    <w:rsid w:val="00770E31"/>
    <w:rsid w:val="007714CD"/>
    <w:rsid w:val="00771908"/>
    <w:rsid w:val="007770F1"/>
    <w:rsid w:val="0078045E"/>
    <w:rsid w:val="00783FB1"/>
    <w:rsid w:val="00785CDD"/>
    <w:rsid w:val="00791847"/>
    <w:rsid w:val="007922FD"/>
    <w:rsid w:val="007925F0"/>
    <w:rsid w:val="007939B3"/>
    <w:rsid w:val="0079509C"/>
    <w:rsid w:val="00796708"/>
    <w:rsid w:val="007B1B42"/>
    <w:rsid w:val="007B22F6"/>
    <w:rsid w:val="007C30EB"/>
    <w:rsid w:val="007D72B7"/>
    <w:rsid w:val="007E063C"/>
    <w:rsid w:val="007E20BF"/>
    <w:rsid w:val="007E2A4B"/>
    <w:rsid w:val="007E307D"/>
    <w:rsid w:val="007E6A4E"/>
    <w:rsid w:val="007E6B82"/>
    <w:rsid w:val="007E6C94"/>
    <w:rsid w:val="007F1005"/>
    <w:rsid w:val="007F25E0"/>
    <w:rsid w:val="007F5328"/>
    <w:rsid w:val="00804F5A"/>
    <w:rsid w:val="00810C6D"/>
    <w:rsid w:val="00812887"/>
    <w:rsid w:val="00816046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5351"/>
    <w:rsid w:val="0088798F"/>
    <w:rsid w:val="00887E4B"/>
    <w:rsid w:val="008915C8"/>
    <w:rsid w:val="008A36CF"/>
    <w:rsid w:val="008A3BC4"/>
    <w:rsid w:val="008B403C"/>
    <w:rsid w:val="008B58AA"/>
    <w:rsid w:val="008B7983"/>
    <w:rsid w:val="008C2511"/>
    <w:rsid w:val="008C2CD3"/>
    <w:rsid w:val="008D026D"/>
    <w:rsid w:val="008D23AB"/>
    <w:rsid w:val="008D4B8B"/>
    <w:rsid w:val="008D5A78"/>
    <w:rsid w:val="008D62A3"/>
    <w:rsid w:val="008E5A35"/>
    <w:rsid w:val="008E7B64"/>
    <w:rsid w:val="008F5DCD"/>
    <w:rsid w:val="00900951"/>
    <w:rsid w:val="009118A6"/>
    <w:rsid w:val="00916909"/>
    <w:rsid w:val="00916EC0"/>
    <w:rsid w:val="00920467"/>
    <w:rsid w:val="00921849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27A9"/>
    <w:rsid w:val="00946044"/>
    <w:rsid w:val="0094660B"/>
    <w:rsid w:val="00946A33"/>
    <w:rsid w:val="0095260E"/>
    <w:rsid w:val="009578DD"/>
    <w:rsid w:val="00961124"/>
    <w:rsid w:val="009621B6"/>
    <w:rsid w:val="00970FC9"/>
    <w:rsid w:val="00974F2D"/>
    <w:rsid w:val="00977524"/>
    <w:rsid w:val="00977E88"/>
    <w:rsid w:val="00981AC0"/>
    <w:rsid w:val="00984920"/>
    <w:rsid w:val="0099303A"/>
    <w:rsid w:val="009971C2"/>
    <w:rsid w:val="009A1254"/>
    <w:rsid w:val="009A1638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72FE"/>
    <w:rsid w:val="00A53681"/>
    <w:rsid w:val="00A633D4"/>
    <w:rsid w:val="00A6461A"/>
    <w:rsid w:val="00A84504"/>
    <w:rsid w:val="00A8672F"/>
    <w:rsid w:val="00A93057"/>
    <w:rsid w:val="00A968B0"/>
    <w:rsid w:val="00AA1089"/>
    <w:rsid w:val="00AB2672"/>
    <w:rsid w:val="00AB2817"/>
    <w:rsid w:val="00AB43C4"/>
    <w:rsid w:val="00AC32E7"/>
    <w:rsid w:val="00AC3A9F"/>
    <w:rsid w:val="00AC6D2F"/>
    <w:rsid w:val="00AD6ECC"/>
    <w:rsid w:val="00AE2745"/>
    <w:rsid w:val="00AE2F64"/>
    <w:rsid w:val="00AF42CB"/>
    <w:rsid w:val="00AF483F"/>
    <w:rsid w:val="00AF5D56"/>
    <w:rsid w:val="00AF5E07"/>
    <w:rsid w:val="00AF5F06"/>
    <w:rsid w:val="00B00A25"/>
    <w:rsid w:val="00B07186"/>
    <w:rsid w:val="00B1422A"/>
    <w:rsid w:val="00B1765C"/>
    <w:rsid w:val="00B213C4"/>
    <w:rsid w:val="00B21EB1"/>
    <w:rsid w:val="00B22441"/>
    <w:rsid w:val="00B259E8"/>
    <w:rsid w:val="00B40C60"/>
    <w:rsid w:val="00B479A9"/>
    <w:rsid w:val="00B50DD4"/>
    <w:rsid w:val="00B52369"/>
    <w:rsid w:val="00B52EDF"/>
    <w:rsid w:val="00B55419"/>
    <w:rsid w:val="00B71188"/>
    <w:rsid w:val="00B7396C"/>
    <w:rsid w:val="00B76A41"/>
    <w:rsid w:val="00B84E3E"/>
    <w:rsid w:val="00B87D4C"/>
    <w:rsid w:val="00B93646"/>
    <w:rsid w:val="00BA0B38"/>
    <w:rsid w:val="00BA1DBB"/>
    <w:rsid w:val="00BA4510"/>
    <w:rsid w:val="00BA529A"/>
    <w:rsid w:val="00BB612A"/>
    <w:rsid w:val="00BC0C9E"/>
    <w:rsid w:val="00BD499F"/>
    <w:rsid w:val="00BD56DE"/>
    <w:rsid w:val="00BE3C32"/>
    <w:rsid w:val="00BF2406"/>
    <w:rsid w:val="00BF52B7"/>
    <w:rsid w:val="00BF6FBE"/>
    <w:rsid w:val="00C011DC"/>
    <w:rsid w:val="00C057C2"/>
    <w:rsid w:val="00C06E43"/>
    <w:rsid w:val="00C16315"/>
    <w:rsid w:val="00C246DD"/>
    <w:rsid w:val="00C3091E"/>
    <w:rsid w:val="00C33531"/>
    <w:rsid w:val="00C40FF1"/>
    <w:rsid w:val="00C419E2"/>
    <w:rsid w:val="00C46785"/>
    <w:rsid w:val="00C5020E"/>
    <w:rsid w:val="00C57452"/>
    <w:rsid w:val="00C61EDF"/>
    <w:rsid w:val="00C6239D"/>
    <w:rsid w:val="00C63459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A7750"/>
    <w:rsid w:val="00CB1CB1"/>
    <w:rsid w:val="00CB6BC1"/>
    <w:rsid w:val="00CB6CB8"/>
    <w:rsid w:val="00CC1A68"/>
    <w:rsid w:val="00CC2123"/>
    <w:rsid w:val="00CC40CD"/>
    <w:rsid w:val="00CD257C"/>
    <w:rsid w:val="00CD2BFD"/>
    <w:rsid w:val="00CE5AD6"/>
    <w:rsid w:val="00CE617F"/>
    <w:rsid w:val="00CE78EF"/>
    <w:rsid w:val="00CF50BC"/>
    <w:rsid w:val="00D048F7"/>
    <w:rsid w:val="00D0517E"/>
    <w:rsid w:val="00D140FC"/>
    <w:rsid w:val="00D21D8C"/>
    <w:rsid w:val="00D31357"/>
    <w:rsid w:val="00D33220"/>
    <w:rsid w:val="00D334D1"/>
    <w:rsid w:val="00D35888"/>
    <w:rsid w:val="00D44C89"/>
    <w:rsid w:val="00D46DC8"/>
    <w:rsid w:val="00D47189"/>
    <w:rsid w:val="00D516CD"/>
    <w:rsid w:val="00D53639"/>
    <w:rsid w:val="00D5710F"/>
    <w:rsid w:val="00D6487E"/>
    <w:rsid w:val="00D65B5D"/>
    <w:rsid w:val="00D668E6"/>
    <w:rsid w:val="00D70670"/>
    <w:rsid w:val="00D728CE"/>
    <w:rsid w:val="00D74D80"/>
    <w:rsid w:val="00D76624"/>
    <w:rsid w:val="00D837E7"/>
    <w:rsid w:val="00D87570"/>
    <w:rsid w:val="00D91CB9"/>
    <w:rsid w:val="00D97989"/>
    <w:rsid w:val="00D97D8D"/>
    <w:rsid w:val="00DA352E"/>
    <w:rsid w:val="00DB3492"/>
    <w:rsid w:val="00DB6CB5"/>
    <w:rsid w:val="00DC7694"/>
    <w:rsid w:val="00DD1BF6"/>
    <w:rsid w:val="00DD2F9B"/>
    <w:rsid w:val="00DD4CB4"/>
    <w:rsid w:val="00DE2513"/>
    <w:rsid w:val="00DE26E8"/>
    <w:rsid w:val="00DE3C73"/>
    <w:rsid w:val="00DF121C"/>
    <w:rsid w:val="00DF358F"/>
    <w:rsid w:val="00DF5078"/>
    <w:rsid w:val="00DF5197"/>
    <w:rsid w:val="00DF6F36"/>
    <w:rsid w:val="00E0084C"/>
    <w:rsid w:val="00E025AB"/>
    <w:rsid w:val="00E02B23"/>
    <w:rsid w:val="00E03E8F"/>
    <w:rsid w:val="00E06F40"/>
    <w:rsid w:val="00E07CE8"/>
    <w:rsid w:val="00E26A07"/>
    <w:rsid w:val="00E32595"/>
    <w:rsid w:val="00E34E36"/>
    <w:rsid w:val="00E37616"/>
    <w:rsid w:val="00E37CFD"/>
    <w:rsid w:val="00E40356"/>
    <w:rsid w:val="00E40E10"/>
    <w:rsid w:val="00E41A26"/>
    <w:rsid w:val="00E46BCB"/>
    <w:rsid w:val="00E515E0"/>
    <w:rsid w:val="00E51CAF"/>
    <w:rsid w:val="00E51ED2"/>
    <w:rsid w:val="00E5700A"/>
    <w:rsid w:val="00E60189"/>
    <w:rsid w:val="00E60F04"/>
    <w:rsid w:val="00E616B3"/>
    <w:rsid w:val="00E62AAC"/>
    <w:rsid w:val="00E65803"/>
    <w:rsid w:val="00E67C2F"/>
    <w:rsid w:val="00E67EF5"/>
    <w:rsid w:val="00E804EA"/>
    <w:rsid w:val="00E80A71"/>
    <w:rsid w:val="00E82337"/>
    <w:rsid w:val="00E83EA9"/>
    <w:rsid w:val="00E92499"/>
    <w:rsid w:val="00E949AF"/>
    <w:rsid w:val="00E96077"/>
    <w:rsid w:val="00E96753"/>
    <w:rsid w:val="00EA0A06"/>
    <w:rsid w:val="00EA1B4D"/>
    <w:rsid w:val="00EA6243"/>
    <w:rsid w:val="00EA74AB"/>
    <w:rsid w:val="00EB3D1B"/>
    <w:rsid w:val="00EC7097"/>
    <w:rsid w:val="00ED1D89"/>
    <w:rsid w:val="00ED66BC"/>
    <w:rsid w:val="00EE6931"/>
    <w:rsid w:val="00EF233A"/>
    <w:rsid w:val="00EF303E"/>
    <w:rsid w:val="00EF3A40"/>
    <w:rsid w:val="00EF7F78"/>
    <w:rsid w:val="00F01B08"/>
    <w:rsid w:val="00F01C4D"/>
    <w:rsid w:val="00F053FA"/>
    <w:rsid w:val="00F06108"/>
    <w:rsid w:val="00F0716A"/>
    <w:rsid w:val="00F10A33"/>
    <w:rsid w:val="00F10C97"/>
    <w:rsid w:val="00F11C71"/>
    <w:rsid w:val="00F1450E"/>
    <w:rsid w:val="00F16019"/>
    <w:rsid w:val="00F20E68"/>
    <w:rsid w:val="00F22093"/>
    <w:rsid w:val="00F236DF"/>
    <w:rsid w:val="00F43AD5"/>
    <w:rsid w:val="00F4402E"/>
    <w:rsid w:val="00F45409"/>
    <w:rsid w:val="00F56A6E"/>
    <w:rsid w:val="00F56DD0"/>
    <w:rsid w:val="00F615B8"/>
    <w:rsid w:val="00F6491C"/>
    <w:rsid w:val="00F67BBB"/>
    <w:rsid w:val="00F86561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188A"/>
    <w:rsid w:val="00FC60A2"/>
    <w:rsid w:val="00FD1871"/>
    <w:rsid w:val="00FD3110"/>
    <w:rsid w:val="00FD5918"/>
    <w:rsid w:val="00FF32F2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F865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8656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8656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65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86561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E40E10"/>
    <w:pPr>
      <w:numPr>
        <w:numId w:val="1"/>
      </w:numPr>
      <w:contextualSpacing/>
    </w:pPr>
  </w:style>
  <w:style w:type="paragraph" w:styleId="ListNumber">
    <w:name w:val="List Number"/>
    <w:basedOn w:val="Normal"/>
    <w:uiPriority w:val="99"/>
    <w:unhideWhenUsed/>
    <w:rsid w:val="0000036D"/>
    <w:pPr>
      <w:numPr>
        <w:numId w:val="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43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2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9D96B65566944F4988BAEB665EF78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844377-69B3-4023-8099-F52F57137B43}"/>
      </w:docPartPr>
      <w:docPartBody>
        <w:p w:rsidR="00D21A9F" w:rsidRDefault="00D21A9F">
          <w:pPr>
            <w:pStyle w:val="29D96B65566944F4988BAEB665EF7897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047AD93791DC493F8562BB3488160D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F63B6-C115-4EF7-97B0-A1A4995B6C1D}"/>
      </w:docPartPr>
      <w:docPartBody>
        <w:p w:rsidR="00D21A9F" w:rsidRDefault="00D21A9F">
          <w:pPr>
            <w:pStyle w:val="047AD93791DC493F8562BB3488160D64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B0BAA2441D5427984E6018FB3890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75C92-832B-40AB-8BE2-B7067B457426}"/>
      </w:docPartPr>
      <w:docPartBody>
        <w:p w:rsidR="00D21A9F" w:rsidRDefault="00D21A9F">
          <w:pPr>
            <w:pStyle w:val="7B0BAA2441D5427984E6018FB38900E7"/>
          </w:pPr>
          <w:r w:rsidRPr="00CA109A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1D38B030D146B59436754F8399D5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CD45D3-FCC7-4128-9931-F2D9B6FFD50C}"/>
      </w:docPartPr>
      <w:docPartBody>
        <w:p w:rsidR="00D21A9F" w:rsidRDefault="00D21A9F">
          <w:pPr>
            <w:pStyle w:val="5C1D38B030D146B59436754F8399D502"/>
          </w:pPr>
          <w:r w:rsidRPr="00121186">
            <w:rPr>
              <w:rStyle w:val="PlaceholderText"/>
              <w:color w:val="FFFFFF" w:themeColor="background1"/>
            </w:rPr>
            <w:t>Click here to enter text.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2581375421649AEA26F3CAB7A5088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0F06D0-B637-42E1-9197-61108BDAE777}"/>
      </w:docPartPr>
      <w:docPartBody>
        <w:p w:rsidR="00A87B8F" w:rsidRDefault="009C3D39" w:rsidP="009C3D39">
          <w:pPr>
            <w:pStyle w:val="B2581375421649AEA26F3CAB7A5088E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DC665F0976F041408277FA922EABDA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3245E9-B27F-4756-A785-A36DAD310BB0}"/>
      </w:docPartPr>
      <w:docPartBody>
        <w:p w:rsidR="00A87B8F" w:rsidRDefault="009C3D39" w:rsidP="009C3D39">
          <w:pPr>
            <w:pStyle w:val="DC665F0976F041408277FA922EABDA0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D714B894D37443BE9A729FB6F4A40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00F95A-3DFC-4C3A-8DEB-89EC27D1C4A9}"/>
      </w:docPartPr>
      <w:docPartBody>
        <w:p w:rsidR="00A87B8F" w:rsidRDefault="009C3D39" w:rsidP="009C3D39">
          <w:pPr>
            <w:pStyle w:val="D714B894D37443BE9A729FB6F4A40098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C26341F6EC3458198015D6D0F7826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AB829D-B15A-4DEE-A9AC-05E34B5EE6FB}"/>
      </w:docPartPr>
      <w:docPartBody>
        <w:p w:rsidR="00A87B8F" w:rsidRDefault="009C3D39" w:rsidP="009C3D39">
          <w:pPr>
            <w:pStyle w:val="FC26341F6EC3458198015D6D0F782674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448B2A87A9CA469BA13D11063416BB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48EECA-1960-4A33-806B-6853B1518042}"/>
      </w:docPartPr>
      <w:docPartBody>
        <w:p w:rsidR="00C22D0F" w:rsidRDefault="001F66FA" w:rsidP="001F66FA">
          <w:pPr>
            <w:pStyle w:val="448B2A87A9CA469BA13D11063416BB97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F66FA"/>
    <w:rsid w:val="00324159"/>
    <w:rsid w:val="00480372"/>
    <w:rsid w:val="0064409D"/>
    <w:rsid w:val="007A0DD7"/>
    <w:rsid w:val="009C3D39"/>
    <w:rsid w:val="00A87B8F"/>
    <w:rsid w:val="00C22D0F"/>
    <w:rsid w:val="00D21A9F"/>
    <w:rsid w:val="00D53639"/>
    <w:rsid w:val="00F4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4409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9D96B65566944F4988BAEB665EF7897">
    <w:name w:val="29D96B65566944F4988BAEB665EF7897"/>
  </w:style>
  <w:style w:type="paragraph" w:customStyle="1" w:styleId="20BC8D26515A4C11AC6304FB75A7CBAD">
    <w:name w:val="20BC8D26515A4C11AC6304FB75A7CBAD"/>
  </w:style>
  <w:style w:type="paragraph" w:customStyle="1" w:styleId="0599BE4318CD4CC0836196E577CC2921">
    <w:name w:val="0599BE4318CD4CC0836196E577CC2921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047AD93791DC493F8562BB3488160D64">
    <w:name w:val="047AD93791DC493F8562BB3488160D64"/>
  </w:style>
  <w:style w:type="paragraph" w:customStyle="1" w:styleId="7B0BAA2441D5427984E6018FB38900E7">
    <w:name w:val="7B0BAA2441D5427984E6018FB38900E7"/>
  </w:style>
  <w:style w:type="paragraph" w:customStyle="1" w:styleId="5C1D38B030D146B59436754F8399D502">
    <w:name w:val="5C1D38B030D146B59436754F8399D502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2BF891C0AB704CDAB9BC6E80D556473F">
    <w:name w:val="2BF891C0AB704CDAB9BC6E80D556473F"/>
  </w:style>
  <w:style w:type="paragraph" w:customStyle="1" w:styleId="B2581375421649AEA26F3CAB7A5088EB">
    <w:name w:val="B2581375421649AEA26F3CAB7A5088EB"/>
    <w:rsid w:val="009C3D39"/>
  </w:style>
  <w:style w:type="paragraph" w:customStyle="1" w:styleId="DC665F0976F041408277FA922EABDA0F">
    <w:name w:val="DC665F0976F041408277FA922EABDA0F"/>
    <w:rsid w:val="009C3D39"/>
  </w:style>
  <w:style w:type="paragraph" w:customStyle="1" w:styleId="D714B894D37443BE9A729FB6F4A40098">
    <w:name w:val="D714B894D37443BE9A729FB6F4A40098"/>
    <w:rsid w:val="009C3D39"/>
  </w:style>
  <w:style w:type="paragraph" w:customStyle="1" w:styleId="FC26341F6EC3458198015D6D0F782674">
    <w:name w:val="FC26341F6EC3458198015D6D0F782674"/>
    <w:rsid w:val="009C3D39"/>
  </w:style>
  <w:style w:type="paragraph" w:customStyle="1" w:styleId="448B2A87A9CA469BA13D11063416BB97">
    <w:name w:val="448B2A87A9CA469BA13D11063416BB97"/>
    <w:rsid w:val="001F66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FFAB0BC-9CE7-4BF9-A7F7-34933A019C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23F18B-511C-4EC0-BDBF-9D94C79C77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4980A30-3F15-4C71-9C57-AB19CA7BC7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9CA24D3-DA07-438E-8D14-16C3BD4B187A}">
  <ds:schemaRefs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1c567317-0c4d-4a62-8516-c22afd1b5354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2634</Words>
  <Characters>15077</Characters>
  <Application>Microsoft Office Word</Application>
  <DocSecurity>0</DocSecurity>
  <Lines>429</Lines>
  <Paragraphs>250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2020-07-02T00:44:00Z</dcterms:created>
  <dcterms:modified xsi:type="dcterms:W3CDTF">2026-01-09T00:51:00Z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9d889eb-932f-4752-8739-64d25806ef64_Enabled">
    <vt:lpwstr>true</vt:lpwstr>
  </property>
  <property fmtid="{D5CDD505-2E9C-101B-9397-08002B2CF9AE}" pid="3" name="MSIP_Label_79d889eb-932f-4752-8739-64d25806ef64_SetDate">
    <vt:lpwstr>2026-01-07T01:22:57Z</vt:lpwstr>
  </property>
  <property fmtid="{D5CDD505-2E9C-101B-9397-08002B2CF9AE}" pid="4" name="MSIP_Label_79d889eb-932f-4752-8739-64d25806ef64_Method">
    <vt:lpwstr>Privileged</vt:lpwstr>
  </property>
  <property fmtid="{D5CDD505-2E9C-101B-9397-08002B2CF9AE}" pid="5" name="MSIP_Label_79d889eb-932f-4752-8739-64d25806ef64_Name">
    <vt:lpwstr>79d889eb-932f-4752-8739-64d25806ef64</vt:lpwstr>
  </property>
  <property fmtid="{D5CDD505-2E9C-101B-9397-08002B2CF9AE}" pid="6" name="MSIP_Label_79d889eb-932f-4752-8739-64d25806ef64_SiteId">
    <vt:lpwstr>dd0cfd15-4558-4b12-8bad-ea26984fc417</vt:lpwstr>
  </property>
  <property fmtid="{D5CDD505-2E9C-101B-9397-08002B2CF9AE}" pid="7" name="MSIP_Label_79d889eb-932f-4752-8739-64d25806ef64_ActionId">
    <vt:lpwstr>ab4a8654-dd9a-4d15-a15f-ff42e58c6d7d</vt:lpwstr>
  </property>
  <property fmtid="{D5CDD505-2E9C-101B-9397-08002B2CF9AE}" pid="8" name="MSIP_Label_79d889eb-932f-4752-8739-64d25806ef64_ContentBits">
    <vt:lpwstr>0</vt:lpwstr>
  </property>
  <property fmtid="{D5CDD505-2E9C-101B-9397-08002B2CF9AE}" pid="9" name="MSIP_Label_79d889eb-932f-4752-8739-64d25806ef64_Tag">
    <vt:lpwstr>10, 0, 1, 1</vt:lpwstr>
  </property>
  <property fmtid="{D5CDD505-2E9C-101B-9397-08002B2CF9AE}" pid="10" name="ContentTypeId">
    <vt:lpwstr>0x01010046AD5CDCF19ABB48B55E2D2DE3ED6D35</vt:lpwstr>
  </property>
  <property fmtid="{D5CDD505-2E9C-101B-9397-08002B2CF9AE}" pid="11" name="MediaServiceImageTags">
    <vt:lpwstr/>
  </property>
</Properties>
</file>