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EEFBF42" w14:textId="2F099346" w:rsidR="00BD499F" w:rsidRPr="004C23F4" w:rsidRDefault="006A2067" w:rsidP="00B40C60">
          <w:pPr>
            <w:pStyle w:val="Heading1"/>
            <w:jc w:val="center"/>
            <w:rPr>
              <w:rFonts w:ascii="Arial" w:hAnsi="Arial" w:cs="Arial"/>
            </w:rPr>
          </w:pPr>
          <w:r w:rsidRPr="006A2067">
            <w:rPr>
              <w:rFonts w:ascii="Arial" w:hAnsi="Arial" w:cs="Arial"/>
            </w:rPr>
            <w:t>n-Propyl nitrate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0"/>
        <w:gridCol w:w="5036"/>
      </w:tblGrid>
      <w:tr w:rsidR="00F43AD5" w:rsidRPr="004C23F4" w14:paraId="6993E19A" w14:textId="77777777" w:rsidTr="00B76A41">
        <w:trPr>
          <w:cantSplit/>
          <w:tblHeader/>
        </w:trPr>
        <w:tc>
          <w:tcPr>
            <w:tcW w:w="4077" w:type="dxa"/>
          </w:tcPr>
          <w:p w14:paraId="1E88F53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733CEDE" w14:textId="72566B63" w:rsidR="00F43AD5" w:rsidRPr="00717D45" w:rsidRDefault="005529F9" w:rsidP="00B76A41">
            <w:pPr>
              <w:pStyle w:val="Tablefont"/>
            </w:pPr>
            <w:r w:rsidRPr="005529F9">
              <w:t>627-13-4</w:t>
            </w:r>
          </w:p>
        </w:tc>
      </w:tr>
      <w:tr w:rsidR="00F43AD5" w:rsidRPr="004C23F4" w14:paraId="1CFAB6F2" w14:textId="77777777" w:rsidTr="00B76A41">
        <w:trPr>
          <w:cantSplit/>
        </w:trPr>
        <w:tc>
          <w:tcPr>
            <w:tcW w:w="4077" w:type="dxa"/>
          </w:tcPr>
          <w:p w14:paraId="6942D1AB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43728F92" w14:textId="0437512A" w:rsidR="00F43AD5" w:rsidRPr="00717D45" w:rsidRDefault="00707777" w:rsidP="00B76A41">
            <w:pPr>
              <w:pStyle w:val="Tablefont"/>
            </w:pPr>
            <w:r>
              <w:t>Nitric acid n-propyl ester</w:t>
            </w:r>
          </w:p>
        </w:tc>
      </w:tr>
      <w:tr w:rsidR="00F43AD5" w:rsidRPr="004C23F4" w14:paraId="2A6F5188" w14:textId="77777777" w:rsidTr="00B76A41">
        <w:trPr>
          <w:cantSplit/>
        </w:trPr>
        <w:tc>
          <w:tcPr>
            <w:tcW w:w="4077" w:type="dxa"/>
          </w:tcPr>
          <w:p w14:paraId="594932C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82D3C4D" w14:textId="6E95C943" w:rsidR="00F43AD5" w:rsidRPr="00717D45" w:rsidRDefault="00707777" w:rsidP="00B76A41">
            <w:pPr>
              <w:pStyle w:val="Tablefont"/>
            </w:pPr>
            <w:r>
              <w:t>C</w:t>
            </w:r>
            <w:r w:rsidRPr="00707777">
              <w:rPr>
                <w:vertAlign w:val="subscript"/>
              </w:rPr>
              <w:t>3</w:t>
            </w:r>
            <w:r>
              <w:t>H</w:t>
            </w:r>
            <w:r w:rsidRPr="00707777">
              <w:rPr>
                <w:vertAlign w:val="subscript"/>
              </w:rPr>
              <w:t>7</w:t>
            </w:r>
            <w:r>
              <w:t>NO</w:t>
            </w:r>
            <w:r w:rsidRPr="00707777">
              <w:rPr>
                <w:vertAlign w:val="subscript"/>
              </w:rPr>
              <w:t>3</w:t>
            </w:r>
          </w:p>
        </w:tc>
      </w:tr>
      <w:tr w:rsidR="00F43AD5" w:rsidRPr="004C23F4" w14:paraId="7C48A5E7" w14:textId="77777777" w:rsidTr="00B76A41">
        <w:trPr>
          <w:cantSplit/>
        </w:trPr>
        <w:tc>
          <w:tcPr>
            <w:tcW w:w="4077" w:type="dxa"/>
          </w:tcPr>
          <w:p w14:paraId="0B97960B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163C9FC" w14:textId="7BC5FE71" w:rsidR="00F43AD5" w:rsidRPr="00B40C60" w:rsidRDefault="00707777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0A119B90" w14:textId="412FC28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E2F53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3CA4AAC2" w14:textId="77777777" w:rsidTr="001D02CC">
        <w:trPr>
          <w:cantSplit/>
          <w:tblHeader/>
        </w:trPr>
        <w:tc>
          <w:tcPr>
            <w:tcW w:w="4007" w:type="dxa"/>
            <w:vAlign w:val="center"/>
          </w:tcPr>
          <w:p w14:paraId="6089948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191458F0" w14:textId="246E0504" w:rsidR="002C7AFE" w:rsidRPr="00EB3D1B" w:rsidRDefault="002E2F53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25 ppm</w:t>
            </w:r>
            <w:r w:rsidRPr="00640FFF">
              <w:rPr>
                <w:b/>
                <w:bCs/>
              </w:rPr>
              <w:t xml:space="preserve"> </w:t>
            </w:r>
            <w:r w:rsidR="00640FFF" w:rsidRPr="00F348AE">
              <w:rPr>
                <w:b/>
                <w:bCs/>
              </w:rPr>
              <w:t>(107 mg/m</w:t>
            </w:r>
            <w:r w:rsidR="00640FFF" w:rsidRPr="00F348AE">
              <w:rPr>
                <w:b/>
                <w:bCs/>
                <w:vertAlign w:val="superscript"/>
              </w:rPr>
              <w:t>3</w:t>
            </w:r>
            <w:r w:rsidR="00640FFF" w:rsidRPr="00F348AE">
              <w:rPr>
                <w:b/>
                <w:bCs/>
              </w:rPr>
              <w:t>)</w:t>
            </w:r>
          </w:p>
        </w:tc>
      </w:tr>
      <w:tr w:rsidR="001D02CC" w:rsidRPr="004C23F4" w14:paraId="12C90ED3" w14:textId="77777777" w:rsidTr="001D02CC">
        <w:trPr>
          <w:cantSplit/>
        </w:trPr>
        <w:tc>
          <w:tcPr>
            <w:tcW w:w="4007" w:type="dxa"/>
            <w:vAlign w:val="center"/>
          </w:tcPr>
          <w:p w14:paraId="14379777" w14:textId="77777777" w:rsidR="001D02CC" w:rsidRPr="002C58FF" w:rsidRDefault="001D02CC" w:rsidP="001D02CC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9" w:type="dxa"/>
          </w:tcPr>
          <w:p w14:paraId="33BA728B" w14:textId="2007D361" w:rsidR="001D02CC" w:rsidRPr="00EB3D1B" w:rsidRDefault="001D02CC" w:rsidP="001D02CC">
            <w:pPr>
              <w:pStyle w:val="Tablefont"/>
              <w:rPr>
                <w:b/>
              </w:rPr>
            </w:pPr>
            <w:r w:rsidRPr="002D6E72">
              <w:t>—</w:t>
            </w:r>
          </w:p>
        </w:tc>
      </w:tr>
      <w:tr w:rsidR="001D02CC" w:rsidRPr="004C23F4" w14:paraId="43241B87" w14:textId="77777777" w:rsidTr="001D02CC">
        <w:trPr>
          <w:cantSplit/>
        </w:trPr>
        <w:tc>
          <w:tcPr>
            <w:tcW w:w="4007" w:type="dxa"/>
            <w:vAlign w:val="center"/>
          </w:tcPr>
          <w:p w14:paraId="464A5D57" w14:textId="77777777" w:rsidR="001D02CC" w:rsidRPr="002C58FF" w:rsidRDefault="001D02CC" w:rsidP="001D02CC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2DEB9E49" w14:textId="6744F5D8" w:rsidR="001D02CC" w:rsidRPr="00EB3D1B" w:rsidRDefault="001D02CC" w:rsidP="001D02CC">
            <w:pPr>
              <w:pStyle w:val="Tablefont"/>
              <w:rPr>
                <w:b/>
              </w:rPr>
            </w:pPr>
            <w:r w:rsidRPr="002D6E72">
              <w:t>—</w:t>
            </w:r>
          </w:p>
        </w:tc>
      </w:tr>
      <w:tr w:rsidR="001D02CC" w:rsidRPr="004C23F4" w14:paraId="029EF508" w14:textId="77777777" w:rsidTr="001D02CC">
        <w:trPr>
          <w:cantSplit/>
        </w:trPr>
        <w:tc>
          <w:tcPr>
            <w:tcW w:w="4007" w:type="dxa"/>
          </w:tcPr>
          <w:p w14:paraId="5B40EF0C" w14:textId="77777777" w:rsidR="001D02CC" w:rsidRPr="002C58FF" w:rsidRDefault="001D02CC" w:rsidP="001D02CC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9" w:type="dxa"/>
          </w:tcPr>
          <w:p w14:paraId="651F7380" w14:textId="5B9855DB" w:rsidR="001D02CC" w:rsidRPr="00EB3D1B" w:rsidRDefault="001D02CC" w:rsidP="001D02CC">
            <w:pPr>
              <w:pStyle w:val="Tablefont"/>
              <w:rPr>
                <w:b/>
              </w:rPr>
            </w:pPr>
            <w:r w:rsidRPr="002D6E72">
              <w:t>—</w:t>
            </w:r>
          </w:p>
        </w:tc>
      </w:tr>
      <w:tr w:rsidR="002C7AFE" w:rsidRPr="004C23F4" w14:paraId="68E9ED4B" w14:textId="77777777" w:rsidTr="001D02CC">
        <w:trPr>
          <w:cantSplit/>
        </w:trPr>
        <w:tc>
          <w:tcPr>
            <w:tcW w:w="4007" w:type="dxa"/>
            <w:vAlign w:val="center"/>
          </w:tcPr>
          <w:p w14:paraId="272AED3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19" w:type="dxa"/>
          </w:tcPr>
          <w:p w14:paraId="34DBA230" w14:textId="5ACF687D" w:rsidR="002C7AFE" w:rsidRPr="00EB3D1B" w:rsidRDefault="00707777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500 ppm</w:t>
            </w:r>
          </w:p>
        </w:tc>
      </w:tr>
      <w:tr w:rsidR="00053551" w:rsidRPr="004C23F4" w14:paraId="4C48B3AF" w14:textId="77777777" w:rsidTr="003C6108">
        <w:trPr>
          <w:cantSplit/>
        </w:trPr>
        <w:tc>
          <w:tcPr>
            <w:tcW w:w="9026" w:type="dxa"/>
            <w:gridSpan w:val="2"/>
            <w:vAlign w:val="center"/>
          </w:tcPr>
          <w:p w14:paraId="6E263EEB" w14:textId="54029588" w:rsidR="00053551" w:rsidRPr="00EB3D1B" w:rsidRDefault="00053551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B8EDB3D2852F426A92D0431D869F6E1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0B0B16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1C22133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214ECD08" w14:textId="317883CC" w:rsidR="002E2F53" w:rsidRDefault="00147E9F" w:rsidP="002E2F53">
      <w:pPr>
        <w:rPr>
          <w:rFonts w:cs="Arial"/>
          <w:color w:val="1C1D1E"/>
          <w:szCs w:val="20"/>
          <w:shd w:val="clear" w:color="auto" w:fill="FFFFFF"/>
        </w:rPr>
      </w:pPr>
      <w:r>
        <w:rPr>
          <w:rFonts w:cs="Arial"/>
          <w:szCs w:val="20"/>
        </w:rPr>
        <w:t>A</w:t>
      </w:r>
      <w:r w:rsidR="002E2F53" w:rsidRPr="002E2F53">
        <w:rPr>
          <w:rFonts w:cs="Arial"/>
          <w:szCs w:val="20"/>
        </w:rPr>
        <w:t xml:space="preserve"> TWA of </w:t>
      </w:r>
      <w:r w:rsidR="002E2F53">
        <w:rPr>
          <w:rFonts w:cs="Arial"/>
          <w:szCs w:val="20"/>
        </w:rPr>
        <w:t>2</w:t>
      </w:r>
      <w:r w:rsidR="002E2F53" w:rsidRPr="002E2F53">
        <w:rPr>
          <w:rFonts w:cs="Arial"/>
          <w:szCs w:val="20"/>
        </w:rPr>
        <w:t>5 ppm</w:t>
      </w:r>
      <w:r>
        <w:rPr>
          <w:rFonts w:cs="Arial"/>
          <w:szCs w:val="20"/>
        </w:rPr>
        <w:t xml:space="preserve"> </w:t>
      </w:r>
      <w:r w:rsidRPr="00147E9F">
        <w:t>(107 mg/m</w:t>
      </w:r>
      <w:r w:rsidRPr="00147E9F">
        <w:rPr>
          <w:vertAlign w:val="superscript"/>
        </w:rPr>
        <w:t>3</w:t>
      </w:r>
      <w:r w:rsidRPr="00147E9F">
        <w:t>)</w:t>
      </w:r>
      <w:r w:rsidR="002E2F53" w:rsidRPr="002E2F53">
        <w:rPr>
          <w:rFonts w:cs="Arial"/>
          <w:szCs w:val="20"/>
        </w:rPr>
        <w:t xml:space="preserve"> is </w:t>
      </w:r>
      <w:r w:rsidR="002E2F53">
        <w:rPr>
          <w:rFonts w:cs="Arial"/>
          <w:szCs w:val="20"/>
        </w:rPr>
        <w:t xml:space="preserve">recommended to protect </w:t>
      </w:r>
      <w:r w:rsidR="001D02CC">
        <w:rPr>
          <w:rFonts w:cs="Arial"/>
          <w:szCs w:val="20"/>
        </w:rPr>
        <w:t xml:space="preserve">for </w:t>
      </w:r>
      <w:proofErr w:type="spellStart"/>
      <w:r w:rsidR="0055544D">
        <w:t>methaemoglobinaemia</w:t>
      </w:r>
      <w:proofErr w:type="spellEnd"/>
      <w:r w:rsidR="002E2F53">
        <w:rPr>
          <w:rFonts w:cs="Arial"/>
          <w:szCs w:val="20"/>
        </w:rPr>
        <w:t xml:space="preserve"> and </w:t>
      </w:r>
      <w:r w:rsidR="001D02CC" w:rsidRPr="002E2F53">
        <w:rPr>
          <w:rFonts w:cs="Arial"/>
          <w:color w:val="1C1D1E"/>
          <w:szCs w:val="20"/>
          <w:shd w:val="clear" w:color="auto" w:fill="FFFFFF"/>
        </w:rPr>
        <w:t>central nervous system (CNS)</w:t>
      </w:r>
      <w:r w:rsidR="001D02CC">
        <w:rPr>
          <w:rFonts w:cs="Arial"/>
          <w:color w:val="1C1D1E"/>
          <w:szCs w:val="20"/>
          <w:shd w:val="clear" w:color="auto" w:fill="FFFFFF"/>
        </w:rPr>
        <w:t xml:space="preserve"> effects in exposed workers.</w:t>
      </w:r>
    </w:p>
    <w:p w14:paraId="7764F456" w14:textId="700E941C" w:rsidR="001073DA" w:rsidRPr="002E2F53" w:rsidRDefault="001073DA" w:rsidP="002E2F53">
      <w:pPr>
        <w:rPr>
          <w:rFonts w:cs="Arial"/>
          <w:szCs w:val="20"/>
        </w:rPr>
      </w:pPr>
      <w:r>
        <w:rPr>
          <w:rFonts w:cs="Arial"/>
          <w:color w:val="1C1D1E"/>
          <w:szCs w:val="20"/>
          <w:shd w:val="clear" w:color="auto" w:fill="FFFFFF"/>
        </w:rPr>
        <w:t>The pervious STEL is recommended to be withdrawn</w:t>
      </w:r>
      <w:r w:rsidRPr="001073DA">
        <w:t xml:space="preserve"> </w:t>
      </w:r>
      <w:r w:rsidRPr="001073DA">
        <w:rPr>
          <w:rFonts w:cs="Arial"/>
          <w:color w:val="1C1D1E"/>
          <w:szCs w:val="20"/>
          <w:shd w:val="clear" w:color="auto" w:fill="FFFFFF"/>
        </w:rPr>
        <w:t>as there is a lack of evidence for immediate acute toxicity within ten times of the recommended TWA</w:t>
      </w:r>
      <w:r>
        <w:rPr>
          <w:rFonts w:cs="Arial"/>
          <w:color w:val="1C1D1E"/>
          <w:szCs w:val="20"/>
          <w:shd w:val="clear" w:color="auto" w:fill="FFFFFF"/>
        </w:rPr>
        <w:t>.</w:t>
      </w:r>
    </w:p>
    <w:p w14:paraId="06C9D69A" w14:textId="77777777" w:rsidR="00C7155E" w:rsidRPr="002E2F53" w:rsidRDefault="00F10C97" w:rsidP="003365A5">
      <w:pPr>
        <w:pStyle w:val="Heading2"/>
        <w:rPr>
          <w:sz w:val="20"/>
          <w:szCs w:val="20"/>
        </w:rPr>
      </w:pPr>
      <w:r w:rsidRPr="002E2F53">
        <w:rPr>
          <w:sz w:val="20"/>
          <w:szCs w:val="20"/>
        </w:rPr>
        <w:t>Discussion and conclusions</w:t>
      </w:r>
    </w:p>
    <w:p w14:paraId="2390139F" w14:textId="4068F412" w:rsidR="00BA6ABA" w:rsidRDefault="00A35F38" w:rsidP="002E2F53">
      <w:pPr>
        <w:rPr>
          <w:szCs w:val="20"/>
        </w:rPr>
      </w:pPr>
      <w:r w:rsidRPr="00F348AE">
        <w:rPr>
          <w:i/>
          <w:iCs/>
          <w:szCs w:val="20"/>
        </w:rPr>
        <w:t>n</w:t>
      </w:r>
      <w:r w:rsidRPr="002E2F53">
        <w:rPr>
          <w:szCs w:val="20"/>
        </w:rPr>
        <w:t xml:space="preserve">-Propyl nitrate </w:t>
      </w:r>
      <w:r w:rsidR="00BA6ABA">
        <w:rPr>
          <w:szCs w:val="20"/>
        </w:rPr>
        <w:t>is</w:t>
      </w:r>
      <w:r w:rsidRPr="002E2F53">
        <w:rPr>
          <w:szCs w:val="20"/>
        </w:rPr>
        <w:t xml:space="preserve"> used as </w:t>
      </w:r>
      <w:r w:rsidRPr="002E2F53">
        <w:rPr>
          <w:rFonts w:cs="Arial"/>
          <w:color w:val="1C1D1E"/>
          <w:szCs w:val="20"/>
          <w:shd w:val="clear" w:color="auto" w:fill="FFFFFF"/>
        </w:rPr>
        <w:t>ignition catalyst for fuel</w:t>
      </w:r>
      <w:r w:rsidRPr="002E2F53">
        <w:rPr>
          <w:szCs w:val="20"/>
        </w:rPr>
        <w:t>, in the production of rocket fuels and as an intermediate in organic synthesis</w:t>
      </w:r>
      <w:r w:rsidR="002E2F53" w:rsidRPr="002E2F53">
        <w:rPr>
          <w:szCs w:val="20"/>
        </w:rPr>
        <w:t xml:space="preserve">. </w:t>
      </w:r>
    </w:p>
    <w:p w14:paraId="0F3483ED" w14:textId="77777777" w:rsidR="0055544D" w:rsidRDefault="002E2F53" w:rsidP="00A35F38">
      <w:pPr>
        <w:rPr>
          <w:szCs w:val="20"/>
          <w:shd w:val="clear" w:color="auto" w:fill="FFFFFF"/>
        </w:rPr>
      </w:pPr>
      <w:r w:rsidRPr="002E2F53">
        <w:rPr>
          <w:szCs w:val="20"/>
          <w:shd w:val="clear" w:color="auto" w:fill="FFFFFF"/>
        </w:rPr>
        <w:t xml:space="preserve">Critical effects </w:t>
      </w:r>
      <w:r w:rsidR="00BA6ABA">
        <w:rPr>
          <w:szCs w:val="20"/>
          <w:shd w:val="clear" w:color="auto" w:fill="FFFFFF"/>
        </w:rPr>
        <w:t>of</w:t>
      </w:r>
      <w:r w:rsidRPr="002E2F53">
        <w:rPr>
          <w:szCs w:val="20"/>
          <w:shd w:val="clear" w:color="auto" w:fill="FFFFFF"/>
        </w:rPr>
        <w:t xml:space="preserve"> exposure are </w:t>
      </w:r>
      <w:r w:rsidR="000B0B16">
        <w:rPr>
          <w:szCs w:val="20"/>
          <w:shd w:val="clear" w:color="auto" w:fill="FFFFFF"/>
        </w:rPr>
        <w:t>CNS</w:t>
      </w:r>
      <w:r>
        <w:rPr>
          <w:szCs w:val="20"/>
          <w:shd w:val="clear" w:color="auto" w:fill="FFFFFF"/>
        </w:rPr>
        <w:t xml:space="preserve"> effects</w:t>
      </w:r>
      <w:r w:rsidRPr="002E2F53">
        <w:rPr>
          <w:szCs w:val="20"/>
          <w:shd w:val="clear" w:color="auto" w:fill="FFFFFF"/>
        </w:rPr>
        <w:t xml:space="preserve"> and </w:t>
      </w:r>
      <w:proofErr w:type="spellStart"/>
      <w:r w:rsidR="00BA6ABA" w:rsidRPr="002E2F53">
        <w:rPr>
          <w:szCs w:val="20"/>
          <w:shd w:val="clear" w:color="auto" w:fill="FFFFFF"/>
        </w:rPr>
        <w:t>methaemoglobinaemia</w:t>
      </w:r>
      <w:proofErr w:type="spellEnd"/>
      <w:r w:rsidRPr="002E2F53">
        <w:rPr>
          <w:szCs w:val="20"/>
          <w:shd w:val="clear" w:color="auto" w:fill="FFFFFF"/>
        </w:rPr>
        <w:t>.</w:t>
      </w:r>
      <w:r w:rsidR="00BA6ABA">
        <w:rPr>
          <w:szCs w:val="20"/>
          <w:shd w:val="clear" w:color="auto" w:fill="FFFFFF"/>
        </w:rPr>
        <w:t xml:space="preserve"> </w:t>
      </w:r>
    </w:p>
    <w:p w14:paraId="7EF771AB" w14:textId="559C44E7" w:rsidR="00A35F38" w:rsidRPr="002E2F53" w:rsidRDefault="002E2F53" w:rsidP="00A35F38">
      <w:pPr>
        <w:rPr>
          <w:szCs w:val="20"/>
        </w:rPr>
      </w:pPr>
      <w:r>
        <w:rPr>
          <w:szCs w:val="20"/>
        </w:rPr>
        <w:t xml:space="preserve">The toxicological data are limited. </w:t>
      </w:r>
      <w:r w:rsidRPr="002E2F53">
        <w:rPr>
          <w:szCs w:val="20"/>
        </w:rPr>
        <w:t xml:space="preserve">During an inhalation experiment </w:t>
      </w:r>
      <w:r w:rsidR="00BA6ABA">
        <w:rPr>
          <w:szCs w:val="20"/>
        </w:rPr>
        <w:t>i</w:t>
      </w:r>
      <w:r w:rsidRPr="002E2F53">
        <w:rPr>
          <w:szCs w:val="20"/>
        </w:rPr>
        <w:t xml:space="preserve">n animals with n-propyl nitrate, one </w:t>
      </w:r>
      <w:r>
        <w:rPr>
          <w:szCs w:val="20"/>
        </w:rPr>
        <w:t xml:space="preserve">laboratory </w:t>
      </w:r>
      <w:r w:rsidRPr="002E2F53">
        <w:rPr>
          <w:szCs w:val="20"/>
        </w:rPr>
        <w:t>collaborator complained of a sweet</w:t>
      </w:r>
      <w:r w:rsidR="00BA6ABA">
        <w:rPr>
          <w:szCs w:val="20"/>
        </w:rPr>
        <w:t>,</w:t>
      </w:r>
      <w:r w:rsidRPr="002E2F53">
        <w:rPr>
          <w:szCs w:val="20"/>
        </w:rPr>
        <w:t xml:space="preserve"> sickening odour and a feeling of light-headedness. The airborne concentration was estimated at 50 ppm (DFG, 2011). </w:t>
      </w:r>
      <w:r w:rsidRPr="002E2F53">
        <w:rPr>
          <w:rFonts w:cs="Arial"/>
          <w:color w:val="1C1D1E"/>
          <w:szCs w:val="20"/>
          <w:shd w:val="clear" w:color="auto" w:fill="FFFFFF"/>
        </w:rPr>
        <w:t xml:space="preserve">Exposure of </w:t>
      </w:r>
      <w:r w:rsidR="000B0B16">
        <w:rPr>
          <w:rFonts w:cs="Arial"/>
          <w:color w:val="1C1D1E"/>
          <w:szCs w:val="20"/>
          <w:shd w:val="clear" w:color="auto" w:fill="FFFFFF"/>
        </w:rPr>
        <w:t>three</w:t>
      </w:r>
      <w:r w:rsidRPr="002E2F53">
        <w:rPr>
          <w:rFonts w:cs="Arial"/>
          <w:color w:val="1C1D1E"/>
          <w:szCs w:val="20"/>
          <w:shd w:val="clear" w:color="auto" w:fill="FFFFFF"/>
        </w:rPr>
        <w:t xml:space="preserve"> dogs at 260</w:t>
      </w:r>
      <w:r w:rsidR="000B0B16">
        <w:rPr>
          <w:rFonts w:cs="Arial"/>
          <w:color w:val="1C1D1E"/>
          <w:szCs w:val="20"/>
          <w:shd w:val="clear" w:color="auto" w:fill="FFFFFF"/>
        </w:rPr>
        <w:t> </w:t>
      </w:r>
      <w:r w:rsidRPr="002E2F53">
        <w:rPr>
          <w:rFonts w:cs="Arial"/>
          <w:color w:val="1C1D1E"/>
          <w:szCs w:val="20"/>
          <w:shd w:val="clear" w:color="auto" w:fill="FFFFFF"/>
        </w:rPr>
        <w:t>ppm for 26 weeks </w:t>
      </w:r>
      <w:r w:rsidR="00326117">
        <w:rPr>
          <w:rFonts w:cs="Arial"/>
          <w:color w:val="1C1D1E"/>
          <w:szCs w:val="20"/>
          <w:shd w:val="clear" w:color="auto" w:fill="FFFFFF"/>
        </w:rPr>
        <w:t>resulted in</w:t>
      </w:r>
      <w:r w:rsidRPr="002E2F53">
        <w:rPr>
          <w:rFonts w:cs="Arial"/>
          <w:color w:val="1C1D1E"/>
          <w:szCs w:val="20"/>
          <w:shd w:val="clear" w:color="auto" w:fill="FFFFFF"/>
        </w:rPr>
        <w:t xml:space="preserve"> h</w:t>
      </w:r>
      <w:r w:rsidR="000B0B16">
        <w:rPr>
          <w:rFonts w:cs="Arial"/>
          <w:color w:val="1C1D1E"/>
          <w:szCs w:val="20"/>
          <w:shd w:val="clear" w:color="auto" w:fill="FFFFFF"/>
        </w:rPr>
        <w:t>a</w:t>
      </w:r>
      <w:r w:rsidRPr="002E2F53">
        <w:rPr>
          <w:rFonts w:cs="Arial"/>
          <w:color w:val="1C1D1E"/>
          <w:szCs w:val="20"/>
          <w:shd w:val="clear" w:color="auto" w:fill="FFFFFF"/>
        </w:rPr>
        <w:t xml:space="preserve">emoglobinuria, mild anaemia and mild </w:t>
      </w:r>
      <w:r w:rsidR="001D02CC">
        <w:rPr>
          <w:rFonts w:cs="Arial"/>
          <w:color w:val="1C1D1E"/>
          <w:szCs w:val="20"/>
          <w:shd w:val="clear" w:color="auto" w:fill="FFFFFF"/>
        </w:rPr>
        <w:t xml:space="preserve">CNS </w:t>
      </w:r>
      <w:r w:rsidRPr="002E2F53">
        <w:rPr>
          <w:rFonts w:cs="Arial"/>
          <w:color w:val="1C1D1E"/>
          <w:szCs w:val="20"/>
          <w:shd w:val="clear" w:color="auto" w:fill="FFFFFF"/>
        </w:rPr>
        <w:t>depression</w:t>
      </w:r>
      <w:r w:rsidR="001073DA">
        <w:rPr>
          <w:rFonts w:cs="Arial"/>
          <w:color w:val="1C1D1E"/>
          <w:szCs w:val="20"/>
          <w:shd w:val="clear" w:color="auto" w:fill="FFFFFF"/>
        </w:rPr>
        <w:t xml:space="preserve"> during the first two weeks of exposure. T</w:t>
      </w:r>
      <w:r w:rsidRPr="002E2F53">
        <w:rPr>
          <w:rFonts w:cs="Arial"/>
          <w:color w:val="1C1D1E"/>
          <w:szCs w:val="20"/>
          <w:shd w:val="clear" w:color="auto" w:fill="FFFFFF"/>
        </w:rPr>
        <w:t xml:space="preserve">he symptoms </w:t>
      </w:r>
      <w:r w:rsidR="001073DA" w:rsidRPr="002E2F53">
        <w:rPr>
          <w:rFonts w:cs="Arial"/>
          <w:color w:val="1C1D1E"/>
          <w:szCs w:val="20"/>
          <w:shd w:val="clear" w:color="auto" w:fill="FFFFFF"/>
        </w:rPr>
        <w:t>persist</w:t>
      </w:r>
      <w:r w:rsidR="001073DA">
        <w:rPr>
          <w:rFonts w:cs="Arial"/>
          <w:color w:val="1C1D1E"/>
          <w:szCs w:val="20"/>
          <w:shd w:val="clear" w:color="auto" w:fill="FFFFFF"/>
        </w:rPr>
        <w:t>ed</w:t>
      </w:r>
      <w:r w:rsidR="001073DA" w:rsidRPr="002E2F53">
        <w:rPr>
          <w:rFonts w:cs="Arial"/>
          <w:color w:val="1C1D1E"/>
          <w:szCs w:val="20"/>
          <w:shd w:val="clear" w:color="auto" w:fill="FFFFFF"/>
        </w:rPr>
        <w:t xml:space="preserve"> </w:t>
      </w:r>
      <w:r w:rsidRPr="002E2F53">
        <w:rPr>
          <w:rFonts w:cs="Arial"/>
          <w:color w:val="1C1D1E"/>
          <w:szCs w:val="20"/>
          <w:shd w:val="clear" w:color="auto" w:fill="FFFFFF"/>
        </w:rPr>
        <w:t xml:space="preserve">for </w:t>
      </w:r>
      <w:r w:rsidR="00053551">
        <w:rPr>
          <w:rFonts w:cs="Arial"/>
          <w:color w:val="1C1D1E"/>
          <w:szCs w:val="20"/>
          <w:shd w:val="clear" w:color="auto" w:fill="FFFFFF"/>
        </w:rPr>
        <w:t>two</w:t>
      </w:r>
      <w:r w:rsidRPr="002E2F53">
        <w:rPr>
          <w:rFonts w:cs="Arial"/>
          <w:color w:val="1C1D1E"/>
          <w:szCs w:val="20"/>
          <w:shd w:val="clear" w:color="auto" w:fill="FFFFFF"/>
        </w:rPr>
        <w:t xml:space="preserve"> to </w:t>
      </w:r>
      <w:r w:rsidR="00053551">
        <w:rPr>
          <w:rFonts w:cs="Arial"/>
          <w:color w:val="1C1D1E"/>
          <w:szCs w:val="20"/>
          <w:shd w:val="clear" w:color="auto" w:fill="FFFFFF"/>
        </w:rPr>
        <w:t>three</w:t>
      </w:r>
      <w:r w:rsidRPr="002E2F53">
        <w:rPr>
          <w:rFonts w:cs="Arial"/>
          <w:color w:val="1C1D1E"/>
          <w:szCs w:val="20"/>
          <w:shd w:val="clear" w:color="auto" w:fill="FFFFFF"/>
        </w:rPr>
        <w:t xml:space="preserve"> weeks</w:t>
      </w:r>
      <w:r w:rsidR="001073DA">
        <w:rPr>
          <w:rFonts w:cs="Arial"/>
          <w:color w:val="1C1D1E"/>
          <w:szCs w:val="20"/>
          <w:shd w:val="clear" w:color="auto" w:fill="FFFFFF"/>
        </w:rPr>
        <w:t xml:space="preserve"> (ACGIH, 2018; DFG 2011)</w:t>
      </w:r>
      <w:r w:rsidRPr="002E2F53">
        <w:rPr>
          <w:rFonts w:cs="Arial"/>
          <w:color w:val="1C1D1E"/>
          <w:szCs w:val="20"/>
          <w:shd w:val="clear" w:color="auto" w:fill="FFFFFF"/>
        </w:rPr>
        <w:t xml:space="preserve">. </w:t>
      </w:r>
      <w:r w:rsidR="001073DA">
        <w:rPr>
          <w:rFonts w:cs="Arial"/>
          <w:color w:val="1C1D1E"/>
          <w:szCs w:val="20"/>
          <w:shd w:val="clear" w:color="auto" w:fill="FFFFFF"/>
        </w:rPr>
        <w:t xml:space="preserve">From this study, </w:t>
      </w:r>
      <w:r w:rsidRPr="002E2F53">
        <w:rPr>
          <w:rFonts w:cs="Arial"/>
          <w:color w:val="1C1D1E"/>
          <w:szCs w:val="20"/>
          <w:shd w:val="clear" w:color="auto" w:fill="FFFFFF"/>
        </w:rPr>
        <w:t xml:space="preserve">DFG (2011) report </w:t>
      </w:r>
      <w:r w:rsidR="001073DA">
        <w:rPr>
          <w:rFonts w:cs="Arial"/>
          <w:color w:val="1C1D1E"/>
          <w:szCs w:val="20"/>
          <w:shd w:val="clear" w:color="auto" w:fill="FFFFFF"/>
        </w:rPr>
        <w:t xml:space="preserve">a LOAEC of </w:t>
      </w:r>
      <w:r w:rsidRPr="002E2F53">
        <w:rPr>
          <w:szCs w:val="20"/>
          <w:shd w:val="clear" w:color="auto" w:fill="FFFFFF"/>
        </w:rPr>
        <w:t xml:space="preserve">260 ppm. </w:t>
      </w:r>
      <w:r w:rsidRPr="002E2F53">
        <w:rPr>
          <w:szCs w:val="20"/>
        </w:rPr>
        <w:t xml:space="preserve">Rats exposed </w:t>
      </w:r>
      <w:r w:rsidRPr="00326117">
        <w:rPr>
          <w:i/>
          <w:szCs w:val="20"/>
        </w:rPr>
        <w:t>via</w:t>
      </w:r>
      <w:r w:rsidRPr="002E2F53">
        <w:rPr>
          <w:szCs w:val="20"/>
        </w:rPr>
        <w:t xml:space="preserve"> i</w:t>
      </w:r>
      <w:r w:rsidR="00A35F38" w:rsidRPr="002E2F53">
        <w:rPr>
          <w:szCs w:val="20"/>
        </w:rPr>
        <w:t xml:space="preserve">nhalation at 10,000 ppm for </w:t>
      </w:r>
      <w:r w:rsidR="00053551">
        <w:rPr>
          <w:szCs w:val="20"/>
        </w:rPr>
        <w:t>four</w:t>
      </w:r>
      <w:r w:rsidR="00A35F38" w:rsidRPr="002E2F53">
        <w:rPr>
          <w:szCs w:val="20"/>
        </w:rPr>
        <w:t xml:space="preserve"> h</w:t>
      </w:r>
      <w:r w:rsidRPr="002E2F53">
        <w:rPr>
          <w:szCs w:val="20"/>
        </w:rPr>
        <w:t xml:space="preserve">ours suffered </w:t>
      </w:r>
      <w:r w:rsidR="00A35F38" w:rsidRPr="002E2F53">
        <w:rPr>
          <w:szCs w:val="20"/>
        </w:rPr>
        <w:t xml:space="preserve">cyanosis, </w:t>
      </w:r>
      <w:proofErr w:type="spellStart"/>
      <w:r w:rsidR="0055544D" w:rsidRPr="002E2F53">
        <w:rPr>
          <w:szCs w:val="20"/>
        </w:rPr>
        <w:t>meth</w:t>
      </w:r>
      <w:r w:rsidR="0055544D">
        <w:rPr>
          <w:szCs w:val="20"/>
        </w:rPr>
        <w:t>a</w:t>
      </w:r>
      <w:r w:rsidR="0055544D" w:rsidRPr="002E2F53">
        <w:rPr>
          <w:szCs w:val="20"/>
        </w:rPr>
        <w:t>emoglobinaemia</w:t>
      </w:r>
      <w:proofErr w:type="spellEnd"/>
      <w:r w:rsidR="00A35F38" w:rsidRPr="002E2F53">
        <w:rPr>
          <w:szCs w:val="20"/>
        </w:rPr>
        <w:t xml:space="preserve">, and </w:t>
      </w:r>
      <w:r w:rsidRPr="002E2F53">
        <w:rPr>
          <w:szCs w:val="20"/>
        </w:rPr>
        <w:t xml:space="preserve">fatalities (ACGIH, 2018). </w:t>
      </w:r>
    </w:p>
    <w:p w14:paraId="4AA2456E" w14:textId="3F0C0017" w:rsidR="0055544D" w:rsidRDefault="002E2F53" w:rsidP="006639B4">
      <w:pPr>
        <w:rPr>
          <w:rFonts w:cs="Arial"/>
          <w:szCs w:val="20"/>
        </w:rPr>
      </w:pPr>
      <w:r w:rsidRPr="002E2F53">
        <w:rPr>
          <w:rFonts w:cs="Arial"/>
          <w:szCs w:val="20"/>
        </w:rPr>
        <w:t xml:space="preserve">The </w:t>
      </w:r>
      <w:r w:rsidR="0055544D">
        <w:rPr>
          <w:rFonts w:cs="Arial"/>
          <w:szCs w:val="20"/>
        </w:rPr>
        <w:t xml:space="preserve">SWA </w:t>
      </w:r>
      <w:r w:rsidRPr="002E2F53">
        <w:rPr>
          <w:rFonts w:cs="Arial"/>
          <w:szCs w:val="20"/>
        </w:rPr>
        <w:t xml:space="preserve">TWA of </w:t>
      </w:r>
      <w:r>
        <w:rPr>
          <w:rFonts w:cs="Arial"/>
          <w:szCs w:val="20"/>
        </w:rPr>
        <w:t>2</w:t>
      </w:r>
      <w:r w:rsidRPr="002E2F53">
        <w:rPr>
          <w:rFonts w:cs="Arial"/>
          <w:szCs w:val="20"/>
        </w:rPr>
        <w:t xml:space="preserve">5 </w:t>
      </w:r>
      <w:r w:rsidRPr="00147E9F">
        <w:rPr>
          <w:rFonts w:cs="Arial"/>
          <w:szCs w:val="20"/>
        </w:rPr>
        <w:t>ppm</w:t>
      </w:r>
      <w:r w:rsidR="00147E9F" w:rsidRPr="00147E9F">
        <w:rPr>
          <w:rFonts w:cs="Arial"/>
          <w:szCs w:val="20"/>
        </w:rPr>
        <w:t xml:space="preserve"> </w:t>
      </w:r>
      <w:r w:rsidR="00147E9F" w:rsidRPr="00147E9F">
        <w:t>(107 mg/m</w:t>
      </w:r>
      <w:r w:rsidR="00147E9F" w:rsidRPr="00147E9F">
        <w:rPr>
          <w:vertAlign w:val="superscript"/>
        </w:rPr>
        <w:t>3</w:t>
      </w:r>
      <w:r w:rsidR="00147E9F" w:rsidRPr="00147E9F">
        <w:t>)</w:t>
      </w:r>
      <w:r w:rsidRPr="002E2F53">
        <w:rPr>
          <w:rFonts w:cs="Arial"/>
          <w:szCs w:val="20"/>
        </w:rPr>
        <w:t xml:space="preserve"> is </w:t>
      </w:r>
      <w:r w:rsidR="0055544D">
        <w:rPr>
          <w:rFonts w:cs="Arial"/>
          <w:szCs w:val="20"/>
        </w:rPr>
        <w:t xml:space="preserve">same as reported by ACGIH and is recommended to be retained. It </w:t>
      </w:r>
      <w:r>
        <w:rPr>
          <w:rFonts w:cs="Arial"/>
          <w:szCs w:val="20"/>
        </w:rPr>
        <w:t xml:space="preserve">is cited to </w:t>
      </w:r>
      <w:r>
        <w:t xml:space="preserve">minimise the potential for </w:t>
      </w:r>
      <w:proofErr w:type="spellStart"/>
      <w:r>
        <w:t>meth</w:t>
      </w:r>
      <w:r w:rsidR="00640FFF">
        <w:t>a</w:t>
      </w:r>
      <w:r>
        <w:t>emoglobin</w:t>
      </w:r>
      <w:r w:rsidR="00BA6ABA">
        <w:t>a</w:t>
      </w:r>
      <w:r>
        <w:t>emia</w:t>
      </w:r>
      <w:proofErr w:type="spellEnd"/>
      <w:r>
        <w:rPr>
          <w:rFonts w:cs="Arial"/>
          <w:szCs w:val="20"/>
        </w:rPr>
        <w:t xml:space="preserve"> and effects on the CNS. </w:t>
      </w:r>
    </w:p>
    <w:p w14:paraId="328FC764" w14:textId="3719AAEF" w:rsidR="00A35F38" w:rsidRPr="002E2F53" w:rsidRDefault="0055544D" w:rsidP="006639B4">
      <w:pPr>
        <w:rPr>
          <w:rFonts w:cs="Arial"/>
          <w:szCs w:val="20"/>
        </w:rPr>
      </w:pPr>
      <w:r>
        <w:rPr>
          <w:rFonts w:cs="Arial"/>
          <w:szCs w:val="20"/>
        </w:rPr>
        <w:t xml:space="preserve">STEL </w:t>
      </w:r>
      <w:r w:rsidR="001073DA">
        <w:rPr>
          <w:rFonts w:cs="Arial"/>
          <w:szCs w:val="20"/>
        </w:rPr>
        <w:t>is recommended to be withdrawn</w:t>
      </w:r>
      <w:r>
        <w:rPr>
          <w:rFonts w:cs="Arial"/>
          <w:szCs w:val="20"/>
        </w:rPr>
        <w:t xml:space="preserve"> because of i</w:t>
      </w:r>
      <w:r w:rsidR="002E2F53">
        <w:rPr>
          <w:rFonts w:cs="Arial"/>
          <w:szCs w:val="20"/>
        </w:rPr>
        <w:t xml:space="preserve">nsufficient data to </w:t>
      </w:r>
      <w:r w:rsidR="001073DA">
        <w:rPr>
          <w:rFonts w:cs="Arial"/>
          <w:szCs w:val="20"/>
        </w:rPr>
        <w:t>suggest an immediately acute effect at concentrations within ten times the recommended TWA.</w:t>
      </w:r>
    </w:p>
    <w:p w14:paraId="46BBC1D0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73A18213" w14:textId="123D4FC8" w:rsidR="00707777" w:rsidRPr="002E2F53" w:rsidRDefault="00707777" w:rsidP="00707777">
      <w:pPr>
        <w:rPr>
          <w:rFonts w:cs="Arial"/>
        </w:rPr>
      </w:pPr>
      <w:r w:rsidRPr="002E2F53">
        <w:rPr>
          <w:rFonts w:cs="Arial"/>
        </w:rPr>
        <w:t>Not classified as a carcinogen according to the Globally Harmonized System of</w:t>
      </w:r>
      <w:r w:rsidR="002E2F53" w:rsidRPr="002E2F53">
        <w:rPr>
          <w:rFonts w:cs="Arial"/>
        </w:rPr>
        <w:t xml:space="preserve"> Classification and Labelling of</w:t>
      </w:r>
      <w:r w:rsidRPr="002E2F53">
        <w:rPr>
          <w:rFonts w:cs="Arial"/>
        </w:rPr>
        <w:t xml:space="preserve"> Chemicals (GHS). </w:t>
      </w:r>
    </w:p>
    <w:p w14:paraId="16080B9D" w14:textId="126B60EC" w:rsidR="00707777" w:rsidRPr="002E2F53" w:rsidRDefault="00707777" w:rsidP="00707777">
      <w:pPr>
        <w:rPr>
          <w:rFonts w:cs="Arial"/>
        </w:rPr>
      </w:pPr>
      <w:r w:rsidRPr="002E2F53">
        <w:rPr>
          <w:rFonts w:cs="Arial"/>
        </w:rPr>
        <w:t>Not classified as a skin</w:t>
      </w:r>
      <w:r w:rsidR="002E2F53" w:rsidRPr="002E2F53">
        <w:rPr>
          <w:rFonts w:cs="Arial"/>
        </w:rPr>
        <w:t xml:space="preserve"> sensitiser</w:t>
      </w:r>
      <w:r w:rsidRPr="002E2F53">
        <w:rPr>
          <w:rFonts w:cs="Arial"/>
        </w:rPr>
        <w:t xml:space="preserve"> or respiratory sensitiser according to the GHS.</w:t>
      </w:r>
    </w:p>
    <w:p w14:paraId="4DB2517D" w14:textId="51153BDB" w:rsidR="00707777" w:rsidRPr="004C23F4" w:rsidRDefault="00743FBF" w:rsidP="00707777">
      <w:pPr>
        <w:rPr>
          <w:rFonts w:cs="Arial"/>
        </w:rPr>
      </w:pPr>
      <w:r>
        <w:rPr>
          <w:rFonts w:cs="Arial"/>
        </w:rPr>
        <w:t>There are i</w:t>
      </w:r>
      <w:r w:rsidR="00707777" w:rsidRPr="002E2F53">
        <w:rPr>
          <w:rFonts w:cs="Arial"/>
        </w:rPr>
        <w:t xml:space="preserve">nsufficient </w:t>
      </w:r>
      <w:r>
        <w:rPr>
          <w:rFonts w:cs="Arial"/>
        </w:rPr>
        <w:t>data</w:t>
      </w:r>
      <w:r w:rsidR="00707777" w:rsidRPr="002E2F53">
        <w:rPr>
          <w:rFonts w:cs="Arial"/>
        </w:rPr>
        <w:t xml:space="preserve"> to recommend a skin notation.</w:t>
      </w:r>
    </w:p>
    <w:p w14:paraId="0FF25BF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5FBDC460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E238DF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4AD78EB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508FBB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1050F0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E049641" w14:textId="2CFAA9D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0777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07777">
                  <w:t>TWA: 25 ppm (107 mg/m</w:t>
                </w:r>
                <w:r w:rsidR="00707777" w:rsidRPr="00707777">
                  <w:rPr>
                    <w:vertAlign w:val="superscript"/>
                  </w:rPr>
                  <w:t>3</w:t>
                </w:r>
                <w:r w:rsidR="00707777">
                  <w:t>); STEL: 40 ppm (172 mg/m</w:t>
                </w:r>
                <w:r w:rsidR="00707777" w:rsidRPr="00707777">
                  <w:rPr>
                    <w:vertAlign w:val="superscript"/>
                  </w:rPr>
                  <w:t>3</w:t>
                </w:r>
                <w:r w:rsidR="00707777">
                  <w:t>)</w:t>
                </w:r>
              </w:sdtContent>
            </w:sdt>
          </w:p>
        </w:tc>
      </w:tr>
      <w:tr w:rsidR="00C978F0" w:rsidRPr="00DA352E" w14:paraId="3D8D765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A1D9FE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F9424A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702556D" w14:textId="5360B4B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07777">
                  <w:t>2001</w:t>
                </w:r>
              </w:sdtContent>
            </w:sdt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07777">
                  <w:t>TLV-TWA: 25 ppm (107 mg/m</w:t>
                </w:r>
                <w:r w:rsidR="00707777" w:rsidRPr="00707777">
                  <w:rPr>
                    <w:vertAlign w:val="superscript"/>
                  </w:rPr>
                  <w:t>3</w:t>
                </w:r>
                <w:r w:rsidR="00707777">
                  <w:t>); TLV-STEL: 40 ppm (172 mg/m</w:t>
                </w:r>
                <w:r w:rsidR="00707777" w:rsidRPr="00707777">
                  <w:rPr>
                    <w:vertAlign w:val="superscript"/>
                  </w:rPr>
                  <w:t>3</w:t>
                </w:r>
                <w:r w:rsidR="00707777">
                  <w:t>)</w:t>
                </w:r>
              </w:sdtContent>
            </w:sdt>
          </w:p>
        </w:tc>
      </w:tr>
      <w:tr w:rsidR="00C978F0" w:rsidRPr="00DA352E" w14:paraId="430EB32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30FE623" w14:textId="0D340DEF" w:rsidR="00C978F0" w:rsidRDefault="001E5EE4" w:rsidP="003365A5">
            <w:pPr>
              <w:pStyle w:val="Tabletextprimarysource"/>
            </w:pPr>
            <w:r>
              <w:t xml:space="preserve">TLV-TWA and TLV-STEL recommended to minimise the potential for </w:t>
            </w:r>
            <w:proofErr w:type="spellStart"/>
            <w:r>
              <w:t>meth</w:t>
            </w:r>
            <w:r w:rsidR="00640FFF">
              <w:t>a</w:t>
            </w:r>
            <w:r>
              <w:t>emoglobin</w:t>
            </w:r>
            <w:r w:rsidR="00BA6ABA">
              <w:t>a</w:t>
            </w:r>
            <w:r>
              <w:t>emia</w:t>
            </w:r>
            <w:proofErr w:type="spellEnd"/>
            <w:r>
              <w:t>, cyanosis and hypotension.</w:t>
            </w:r>
          </w:p>
          <w:p w14:paraId="0F85DF37" w14:textId="4B7EA542" w:rsidR="002B3737" w:rsidRDefault="002B3737" w:rsidP="003365A5">
            <w:pPr>
              <w:pStyle w:val="Tabletextprimarysource"/>
            </w:pPr>
            <w:r>
              <w:t>Summary of data:</w:t>
            </w:r>
          </w:p>
          <w:p w14:paraId="1E85E2AD" w14:textId="5E064F75" w:rsidR="002B3737" w:rsidRDefault="002B3737" w:rsidP="00BA6ABA">
            <w:pPr>
              <w:pStyle w:val="ListBullet"/>
              <w:numPr>
                <w:ilvl w:val="0"/>
                <w:numId w:val="0"/>
              </w:numPr>
              <w:spacing w:before="60" w:after="60"/>
              <w:contextualSpacing w:val="0"/>
            </w:pPr>
            <w:r>
              <w:t>No human data are available</w:t>
            </w:r>
            <w:r w:rsidR="00743FBF">
              <w:t xml:space="preserve">. </w:t>
            </w:r>
            <w:r>
              <w:t>TLV-TWA and TLV-STEL justification</w:t>
            </w:r>
            <w:r w:rsidR="00743FBF">
              <w:t xml:space="preserve"> is</w:t>
            </w:r>
            <w:r>
              <w:t xml:space="preserve"> based on animal studies</w:t>
            </w:r>
            <w:r w:rsidR="00743FBF">
              <w:t>,</w:t>
            </w:r>
            <w:r>
              <w:t xml:space="preserve"> it is expected </w:t>
            </w:r>
            <w:r w:rsidR="00743FBF">
              <w:t xml:space="preserve">that </w:t>
            </w:r>
            <w:r>
              <w:t xml:space="preserve">exposures severe enough to induce </w:t>
            </w:r>
            <w:proofErr w:type="spellStart"/>
            <w:r>
              <w:t>meth</w:t>
            </w:r>
            <w:r w:rsidR="00640FFF">
              <w:t>a</w:t>
            </w:r>
            <w:r>
              <w:t>emoglobin</w:t>
            </w:r>
            <w:r w:rsidR="00BA6ABA">
              <w:t>a</w:t>
            </w:r>
            <w:r>
              <w:t>emia</w:t>
            </w:r>
            <w:proofErr w:type="spellEnd"/>
            <w:r>
              <w:t xml:space="preserve"> in humans are unlikely because lower concentrations produce profound sensory irritation, headache and nausea</w:t>
            </w:r>
            <w:r w:rsidR="00053551">
              <w:t>.</w:t>
            </w:r>
          </w:p>
          <w:p w14:paraId="3B294154" w14:textId="1E0D773B" w:rsidR="002B3737" w:rsidRDefault="002B3737" w:rsidP="002B3737">
            <w:pPr>
              <w:pStyle w:val="Tabletextprimarysource"/>
            </w:pPr>
            <w:r>
              <w:t>Animal data:</w:t>
            </w:r>
          </w:p>
          <w:p w14:paraId="05A3C65D" w14:textId="1A2D9FE3" w:rsidR="002B3737" w:rsidRDefault="002B3737" w:rsidP="00BA6AB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Inhalation exposure at 10,000 ppm for 4 h by rats produced cyanosis, </w:t>
            </w:r>
            <w:proofErr w:type="spellStart"/>
            <w:r w:rsidR="00BA6ABA">
              <w:t>methaemoglobinaemia</w:t>
            </w:r>
            <w:proofErr w:type="spellEnd"/>
            <w:r>
              <w:t xml:space="preserve"> and death</w:t>
            </w:r>
          </w:p>
          <w:p w14:paraId="426802AB" w14:textId="635B9A2F" w:rsidR="002B3737" w:rsidRDefault="002B3737" w:rsidP="00BA6ABA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Dogs exposed </w:t>
            </w:r>
            <w:r w:rsidR="002D3191" w:rsidRPr="00BA6ABA">
              <w:rPr>
                <w:i/>
              </w:rPr>
              <w:t>via</w:t>
            </w:r>
            <w:r w:rsidR="002D3191">
              <w:t xml:space="preserve"> inhalation</w:t>
            </w:r>
            <w:r w:rsidR="00147469">
              <w:t xml:space="preserve"> </w:t>
            </w:r>
            <w:r>
              <w:t>for 6 h/d, 5 d/</w:t>
            </w:r>
            <w:proofErr w:type="spellStart"/>
            <w:r>
              <w:t>wk</w:t>
            </w:r>
            <w:proofErr w:type="spellEnd"/>
            <w:r>
              <w:t xml:space="preserve"> at 260 ppm; no deaths observed after 6</w:t>
            </w:r>
            <w:r w:rsidR="00053551">
              <w:t> </w:t>
            </w:r>
            <w:proofErr w:type="spellStart"/>
            <w:r>
              <w:t>mo</w:t>
            </w:r>
            <w:proofErr w:type="spellEnd"/>
            <w:r>
              <w:t>; h</w:t>
            </w:r>
            <w:r w:rsidR="00640FFF">
              <w:t>a</w:t>
            </w:r>
            <w:r>
              <w:t xml:space="preserve">emoglobinuria, mild anaemia and slight depression </w:t>
            </w:r>
            <w:r w:rsidR="002D3191">
              <w:t>observed</w:t>
            </w:r>
            <w:r>
              <w:t xml:space="preserve"> during the first 2</w:t>
            </w:r>
            <w:r w:rsidR="00053551">
              <w:t> </w:t>
            </w:r>
            <w:proofErr w:type="spellStart"/>
            <w:r>
              <w:t>wk</w:t>
            </w:r>
            <w:proofErr w:type="spellEnd"/>
            <w:r>
              <w:t xml:space="preserve"> of exposure</w:t>
            </w:r>
          </w:p>
          <w:p w14:paraId="7076CB0C" w14:textId="38D23A30" w:rsidR="002D3191" w:rsidRDefault="002D3191" w:rsidP="00BA6ABA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evidence of systemic toxicity following topical application identified</w:t>
            </w:r>
            <w:r w:rsidR="00053551">
              <w:t>.</w:t>
            </w:r>
          </w:p>
          <w:p w14:paraId="4F0D1CCF" w14:textId="77777777" w:rsidR="00743FBF" w:rsidRDefault="00743FBF" w:rsidP="003365A5">
            <w:pPr>
              <w:pStyle w:val="Tabletextprimarysource"/>
            </w:pPr>
          </w:p>
          <w:p w14:paraId="24CC2BDF" w14:textId="77777777" w:rsidR="001E5EE4" w:rsidRDefault="002D3191" w:rsidP="003365A5">
            <w:pPr>
              <w:pStyle w:val="Tabletextprimarysource"/>
            </w:pPr>
            <w:r>
              <w:t>Insufficient data to recommend a carcinogenicity, sensitiser or skin notation.</w:t>
            </w:r>
          </w:p>
          <w:p w14:paraId="614F8784" w14:textId="77777777" w:rsidR="00743FBF" w:rsidRPr="00DA352E" w:rsidRDefault="00743FBF" w:rsidP="003365A5">
            <w:pPr>
              <w:pStyle w:val="Tabletextprimarysource"/>
            </w:pPr>
          </w:p>
        </w:tc>
      </w:tr>
      <w:tr w:rsidR="00C978F0" w:rsidRPr="00DA352E" w14:paraId="51C23FF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5FC0E6D" w14:textId="145EE91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07777">
                  <w:t>2011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07777">
                  <w:t>Not assigned</w:t>
                </w:r>
              </w:sdtContent>
            </w:sdt>
          </w:p>
        </w:tc>
      </w:tr>
      <w:tr w:rsidR="00C978F0" w:rsidRPr="00DA352E" w14:paraId="011C8FC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6561932" w14:textId="47C5EC9F" w:rsidR="002D3191" w:rsidRDefault="002D3191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 xml:space="preserve">Not able to </w:t>
            </w:r>
            <w:r w:rsidR="00BF2734">
              <w:rPr>
                <w:rFonts w:cs="Arial"/>
                <w:color w:val="1C1D1E"/>
                <w:shd w:val="clear" w:color="auto" w:fill="FFFFFF"/>
              </w:rPr>
              <w:t>derive MAK due to lack of data</w:t>
            </w:r>
            <w:r w:rsidR="00053551">
              <w:rPr>
                <w:rFonts w:cs="Arial"/>
                <w:color w:val="1C1D1E"/>
                <w:shd w:val="clear" w:color="auto" w:fill="FFFFFF"/>
              </w:rPr>
              <w:t>.</w:t>
            </w:r>
          </w:p>
          <w:p w14:paraId="170E913C" w14:textId="77777777" w:rsidR="002D3191" w:rsidRDefault="002D3191" w:rsidP="003365A5">
            <w:pPr>
              <w:pStyle w:val="Tabletextprimarysource"/>
              <w:rPr>
                <w:rFonts w:cs="Arial"/>
                <w:color w:val="1C1D1E"/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>Summary of additional data:</w:t>
            </w:r>
          </w:p>
          <w:p w14:paraId="08EEC570" w14:textId="542B6F1A" w:rsidR="002E2F53" w:rsidRDefault="002E2F53" w:rsidP="00BA6ABA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Critical effects from exposure are vasodilat</w:t>
            </w:r>
            <w:r w:rsidR="007E2E38">
              <w:rPr>
                <w:shd w:val="clear" w:color="auto" w:fill="FFFFFF"/>
              </w:rPr>
              <w:t>ion</w:t>
            </w:r>
            <w:r w:rsidR="00640FFF">
              <w:rPr>
                <w:shd w:val="clear" w:color="auto" w:fill="FFFFFF"/>
              </w:rPr>
              <w:t>, CNS</w:t>
            </w:r>
            <w:r>
              <w:rPr>
                <w:shd w:val="clear" w:color="auto" w:fill="FFFFFF"/>
              </w:rPr>
              <w:t xml:space="preserve"> effects and </w:t>
            </w:r>
            <w:proofErr w:type="spellStart"/>
            <w:r w:rsidR="00640FFF" w:rsidRPr="00640FFF">
              <w:t>methaemoglobin</w:t>
            </w:r>
            <w:r w:rsidR="00BA6ABA">
              <w:t>a</w:t>
            </w:r>
            <w:r w:rsidR="00640FFF" w:rsidRPr="00640FFF">
              <w:t>emia</w:t>
            </w:r>
            <w:proofErr w:type="spellEnd"/>
          </w:p>
          <w:p w14:paraId="210F8E54" w14:textId="001B90AA" w:rsidR="00BF2734" w:rsidRDefault="00BF2734" w:rsidP="00BA6ABA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Setting of </w:t>
            </w:r>
            <w:proofErr w:type="gramStart"/>
            <w:r w:rsidRPr="00F348AE">
              <w:t>MAK</w:t>
            </w:r>
            <w:proofErr w:type="gramEnd"/>
            <w:r>
              <w:rPr>
                <w:shd w:val="clear" w:color="auto" w:fill="FFFFFF"/>
              </w:rPr>
              <w:t xml:space="preserve"> </w:t>
            </w:r>
            <w:r w:rsidRPr="00BA6ABA">
              <w:rPr>
                <w:i/>
                <w:shd w:val="clear" w:color="auto" w:fill="FFFFFF"/>
              </w:rPr>
              <w:t>via</w:t>
            </w:r>
            <w:r>
              <w:rPr>
                <w:shd w:val="clear" w:color="auto" w:fill="FFFFFF"/>
              </w:rPr>
              <w:t xml:space="preserve"> analogy is not possible</w:t>
            </w:r>
          </w:p>
          <w:p w14:paraId="317A41EA" w14:textId="6428CF51" w:rsidR="00BA6ABA" w:rsidRDefault="00A35F38" w:rsidP="00BA6ABA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r>
              <w:t xml:space="preserve">During an inhalation experiment </w:t>
            </w:r>
            <w:r w:rsidR="00BA6ABA">
              <w:t>i</w:t>
            </w:r>
            <w:r>
              <w:t>n animals, one collaborator complained of a sweet</w:t>
            </w:r>
            <w:r w:rsidR="00BA6ABA">
              <w:t>,</w:t>
            </w:r>
            <w:r>
              <w:t xml:space="preserve"> sickening odour and a feeling of light-headedness, concentration estimated at 50 ppm</w:t>
            </w:r>
            <w:r w:rsidR="00326117">
              <w:t>:</w:t>
            </w:r>
            <w:r>
              <w:rPr>
                <w:shd w:val="clear" w:color="auto" w:fill="FFFFFF"/>
              </w:rPr>
              <w:t xml:space="preserve"> </w:t>
            </w:r>
          </w:p>
          <w:p w14:paraId="29B164E6" w14:textId="00DBBBBE" w:rsidR="00A35F38" w:rsidRDefault="00A35F38" w:rsidP="00BA6ABA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threshold in humans </w:t>
            </w:r>
            <w:r w:rsidR="007E2E38">
              <w:rPr>
                <w:shd w:val="clear" w:color="auto" w:fill="FFFFFF"/>
              </w:rPr>
              <w:t>at</w:t>
            </w:r>
            <w:r>
              <w:rPr>
                <w:shd w:val="clear" w:color="auto" w:fill="FFFFFF"/>
              </w:rPr>
              <w:t xml:space="preserve"> 50 ppm </w:t>
            </w:r>
          </w:p>
          <w:p w14:paraId="4F0DF4C6" w14:textId="77777777" w:rsidR="002D3191" w:rsidRDefault="00147469" w:rsidP="00BA6ABA">
            <w:pPr>
              <w:pStyle w:val="ListBullet"/>
              <w:spacing w:before="60" w:after="60"/>
              <w:ind w:left="714" w:hanging="357"/>
              <w:contextualSpacing w:val="0"/>
              <w:rPr>
                <w:shd w:val="clear" w:color="auto" w:fill="FFFFFF"/>
              </w:rPr>
            </w:pPr>
            <w:r>
              <w:rPr>
                <w:rFonts w:cs="Arial"/>
                <w:color w:val="1C1D1E"/>
                <w:shd w:val="clear" w:color="auto" w:fill="FFFFFF"/>
              </w:rPr>
              <w:t xml:space="preserve">Cited by ACGIH (2018); exposure of 3 dogs to 260 ppm for 26 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wk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 initially led to </w:t>
            </w:r>
            <w:r w:rsidRPr="00F348AE">
              <w:t>h</w:t>
            </w:r>
            <w:r w:rsidR="00640FFF">
              <w:t>a</w:t>
            </w:r>
            <w:r w:rsidRPr="00F348AE">
              <w:t>emoglobinuria</w:t>
            </w:r>
            <w:r>
              <w:rPr>
                <w:rFonts w:cs="Arial"/>
                <w:color w:val="1C1D1E"/>
                <w:shd w:val="clear" w:color="auto" w:fill="FFFFFF"/>
              </w:rPr>
              <w:t>, mild anaemia and mild CNS depression; symptoms persisted for 2</w:t>
            </w:r>
            <w:r w:rsidR="00053551">
              <w:rPr>
                <w:rFonts w:cs="Arial"/>
                <w:color w:val="1C1D1E"/>
                <w:shd w:val="clear" w:color="auto" w:fill="FFFFFF"/>
              </w:rPr>
              <w:t>–</w:t>
            </w:r>
            <w:r>
              <w:rPr>
                <w:rFonts w:cs="Arial"/>
                <w:color w:val="1C1D1E"/>
                <w:shd w:val="clear" w:color="auto" w:fill="FFFFFF"/>
              </w:rPr>
              <w:t xml:space="preserve">3 </w:t>
            </w:r>
            <w:proofErr w:type="spellStart"/>
            <w:r>
              <w:rPr>
                <w:rFonts w:cs="Arial"/>
                <w:color w:val="1C1D1E"/>
                <w:shd w:val="clear" w:color="auto" w:fill="FFFFFF"/>
              </w:rPr>
              <w:t>wk</w:t>
            </w:r>
            <w:proofErr w:type="spellEnd"/>
            <w:r>
              <w:rPr>
                <w:rFonts w:cs="Arial"/>
                <w:color w:val="1C1D1E"/>
                <w:shd w:val="clear" w:color="auto" w:fill="FFFFFF"/>
              </w:rPr>
              <w:t xml:space="preserve">; no deaths; </w:t>
            </w:r>
            <w:r w:rsidR="002D3191">
              <w:rPr>
                <w:shd w:val="clear" w:color="auto" w:fill="FFFFFF"/>
              </w:rPr>
              <w:t xml:space="preserve">260 ppm </w:t>
            </w:r>
            <w:r>
              <w:rPr>
                <w:shd w:val="clear" w:color="auto" w:fill="FFFFFF"/>
              </w:rPr>
              <w:t>reported as LOAEC</w:t>
            </w:r>
            <w:r w:rsidR="00053551">
              <w:rPr>
                <w:shd w:val="clear" w:color="auto" w:fill="FFFFFF"/>
              </w:rPr>
              <w:t>.</w:t>
            </w:r>
          </w:p>
          <w:p w14:paraId="241CD4CD" w14:textId="77777777" w:rsidR="00743FBF" w:rsidRPr="00E63D34" w:rsidRDefault="00743FBF" w:rsidP="00BA6ABA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rPr>
                <w:shd w:val="clear" w:color="auto" w:fill="FFFFFF"/>
              </w:rPr>
            </w:pPr>
          </w:p>
        </w:tc>
      </w:tr>
      <w:tr w:rsidR="00C978F0" w:rsidRPr="00DA352E" w14:paraId="0C01A53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FC537FC" w14:textId="5CB3F4F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5D271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5D271B">
                  <w:t>NA</w:t>
                </w:r>
                <w:proofErr w:type="spellEnd"/>
              </w:sdtContent>
            </w:sdt>
          </w:p>
        </w:tc>
      </w:tr>
      <w:tr w:rsidR="00C978F0" w:rsidRPr="00DA352E" w14:paraId="3C33D11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62B74FD" w14:textId="77777777" w:rsidR="00C978F0" w:rsidRPr="00DA352E" w:rsidRDefault="005D271B" w:rsidP="003365A5">
            <w:pPr>
              <w:pStyle w:val="Tabletextprimarysource"/>
            </w:pPr>
            <w:r>
              <w:t>No report</w:t>
            </w:r>
            <w:r w:rsidR="00053551">
              <w:t>.</w:t>
            </w:r>
          </w:p>
        </w:tc>
      </w:tr>
      <w:tr w:rsidR="00DA352E" w:rsidRPr="00DA352E" w14:paraId="7DDD57A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AEA697B" w14:textId="73577DD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5D271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5D271B">
                  <w:t>NA</w:t>
                </w:r>
                <w:proofErr w:type="spellEnd"/>
              </w:sdtContent>
            </w:sdt>
          </w:p>
        </w:tc>
      </w:tr>
      <w:tr w:rsidR="00DA352E" w:rsidRPr="00DA352E" w14:paraId="2F34B12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F78251E" w14:textId="463DA240" w:rsidR="00DA352E" w:rsidRPr="00DA352E" w:rsidRDefault="005D271B" w:rsidP="003365A5">
            <w:pPr>
              <w:pStyle w:val="Tabletextprimarysource"/>
            </w:pPr>
            <w:r>
              <w:t>No report</w:t>
            </w:r>
            <w:r w:rsidR="00053551">
              <w:t>.</w:t>
            </w:r>
          </w:p>
        </w:tc>
      </w:tr>
      <w:tr w:rsidR="00DA352E" w:rsidRPr="00DA352E" w14:paraId="4A02CF2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7D53C1" w14:textId="250D862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D1625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D1625">
                  <w:t>TWA: 25 ppm (110 mg/m</w:t>
                </w:r>
                <w:r w:rsidR="00E63D34">
                  <w:rPr>
                    <w:vertAlign w:val="superscript"/>
                  </w:rPr>
                  <w:t>3</w:t>
                </w:r>
                <w:r w:rsidR="00E63D34">
                  <w:t>)</w:t>
                </w:r>
              </w:sdtContent>
            </w:sdt>
          </w:p>
        </w:tc>
      </w:tr>
      <w:tr w:rsidR="00DA352E" w:rsidRPr="00DA352E" w14:paraId="37A41BF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D77FF75" w14:textId="35A0F5C2" w:rsidR="00DA352E" w:rsidRDefault="00E63D34" w:rsidP="003365A5">
            <w:pPr>
              <w:pStyle w:val="Tabletextprimarysource"/>
            </w:pPr>
            <w:r>
              <w:t xml:space="preserve">Administrative OEL; considers the toxicological database too poor to justify recommendation of a </w:t>
            </w:r>
            <w:r w:rsidR="00640FFF">
              <w:t>HBR</w:t>
            </w:r>
            <w:r>
              <w:t>OEL.</w:t>
            </w:r>
          </w:p>
          <w:p w14:paraId="2DF03DF8" w14:textId="77777777" w:rsidR="00743FBF" w:rsidRDefault="00E63D34" w:rsidP="003365A5">
            <w:pPr>
              <w:pStyle w:val="Tabletextprimarysource"/>
            </w:pPr>
            <w:r>
              <w:t>No additional information.</w:t>
            </w:r>
          </w:p>
          <w:p w14:paraId="68D111C8" w14:textId="13E40714" w:rsidR="00E63D34" w:rsidRPr="00DA352E" w:rsidRDefault="00E63D34" w:rsidP="003365A5">
            <w:pPr>
              <w:pStyle w:val="Tabletextprimarysource"/>
            </w:pPr>
            <w:r>
              <w:t xml:space="preserve"> </w:t>
            </w:r>
          </w:p>
        </w:tc>
      </w:tr>
    </w:tbl>
    <w:p w14:paraId="2DD1CBAB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7E1974CE" w14:textId="79B64A2C" w:rsidR="007E2A4B" w:rsidRDefault="00053551">
      <w:r>
        <w:t>NIL</w:t>
      </w:r>
      <w:r w:rsidR="00640FFF">
        <w:t>.</w:t>
      </w:r>
    </w:p>
    <w:bookmarkEnd w:id="0"/>
    <w:p w14:paraId="31A30A1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645F7BF" w14:textId="77777777" w:rsidTr="00E63D34">
        <w:trPr>
          <w:trHeight w:val="454"/>
          <w:tblHeader/>
        </w:trPr>
        <w:tc>
          <w:tcPr>
            <w:tcW w:w="6597" w:type="dxa"/>
            <w:vAlign w:val="center"/>
          </w:tcPr>
          <w:p w14:paraId="56C69C3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C641352" w14:textId="39B3D6CB" w:rsidR="002E0D61" w:rsidRDefault="00E63D3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7D6D45A5" w14:textId="77777777" w:rsidTr="00E63D34">
        <w:trPr>
          <w:trHeight w:val="454"/>
        </w:trPr>
        <w:tc>
          <w:tcPr>
            <w:tcW w:w="6597" w:type="dxa"/>
            <w:vAlign w:val="center"/>
          </w:tcPr>
          <w:p w14:paraId="053E34C1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E7A85D6" w14:textId="28B5FACA" w:rsidR="008A36CF" w:rsidRDefault="00E63D3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A6ABA" w14:paraId="1A879AEB" w14:textId="77777777" w:rsidTr="00886146">
        <w:trPr>
          <w:trHeight w:val="454"/>
        </w:trPr>
        <w:sdt>
          <w:sdtPr>
            <w:rPr>
              <w:b/>
            </w:rPr>
            <w:id w:val="1830936485"/>
            <w:placeholder>
              <w:docPart w:val="CEBC8D0478DE4F96A415BD9D7FC20477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31C62BB5" w14:textId="4994693A" w:rsidR="00BA6ABA" w:rsidRDefault="00BA6ABA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70A5B0A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F273E48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F77AED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D7A7D5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04C7360" w14:textId="77777777" w:rsidTr="00812887">
        <w:trPr>
          <w:cantSplit/>
        </w:trPr>
        <w:tc>
          <w:tcPr>
            <w:tcW w:w="3227" w:type="dxa"/>
          </w:tcPr>
          <w:p w14:paraId="4F8D3B87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8318F1E" w14:textId="6B6D7CFA" w:rsidR="00687890" w:rsidRPr="00DD2F9B" w:rsidRDefault="00487982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C4F198E" w14:textId="77777777" w:rsidTr="00812887">
        <w:trPr>
          <w:cantSplit/>
        </w:trPr>
        <w:tc>
          <w:tcPr>
            <w:tcW w:w="3227" w:type="dxa"/>
          </w:tcPr>
          <w:p w14:paraId="2FF2FEE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82A5D6F" w14:textId="585FE89E" w:rsidR="007925F0" w:rsidRPr="00DD2F9B" w:rsidRDefault="00487982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1BE20F7D" w14:textId="77777777" w:rsidTr="00812887">
        <w:trPr>
          <w:cantSplit/>
        </w:trPr>
        <w:tc>
          <w:tcPr>
            <w:tcW w:w="3227" w:type="dxa"/>
          </w:tcPr>
          <w:p w14:paraId="7194393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E63207C" w14:textId="50CA1321" w:rsidR="00AF483F" w:rsidRPr="00DD2F9B" w:rsidRDefault="00487982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00B45FA9" w14:textId="77777777" w:rsidTr="00812887">
        <w:trPr>
          <w:cantSplit/>
        </w:trPr>
        <w:tc>
          <w:tcPr>
            <w:tcW w:w="3227" w:type="dxa"/>
          </w:tcPr>
          <w:p w14:paraId="4A78EB1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BE0233B" w14:textId="0A896668" w:rsidR="00687890" w:rsidRPr="00DD2F9B" w:rsidRDefault="0048798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993F928" w14:textId="77777777" w:rsidTr="00812887">
        <w:trPr>
          <w:cantSplit/>
        </w:trPr>
        <w:tc>
          <w:tcPr>
            <w:tcW w:w="3227" w:type="dxa"/>
          </w:tcPr>
          <w:p w14:paraId="22C685FA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50E8869" w14:textId="4BBD2D2B" w:rsidR="00E41A26" w:rsidRPr="00DD2F9B" w:rsidRDefault="0048798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677DC72" w14:textId="77777777" w:rsidTr="00812887">
        <w:trPr>
          <w:cantSplit/>
        </w:trPr>
        <w:tc>
          <w:tcPr>
            <w:tcW w:w="3227" w:type="dxa"/>
          </w:tcPr>
          <w:p w14:paraId="0CCA169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FD055C9" w14:textId="3CA06957" w:rsidR="002E0D61" w:rsidRPr="00DD2F9B" w:rsidRDefault="00487982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63B1F6F2" w14:textId="77777777" w:rsidTr="00812887">
        <w:trPr>
          <w:cantSplit/>
        </w:trPr>
        <w:tc>
          <w:tcPr>
            <w:tcW w:w="3227" w:type="dxa"/>
          </w:tcPr>
          <w:p w14:paraId="2F50CA1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965DBE7" w14:textId="314B13FE" w:rsidR="002E0D61" w:rsidRPr="00DD2F9B" w:rsidRDefault="00487982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FEED29B" w14:textId="77777777" w:rsidTr="00812887">
        <w:trPr>
          <w:cantSplit/>
        </w:trPr>
        <w:tc>
          <w:tcPr>
            <w:tcW w:w="3227" w:type="dxa"/>
          </w:tcPr>
          <w:p w14:paraId="3D5B8D7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C4DCE43" w14:textId="57B578B5" w:rsidR="002E0D61" w:rsidRPr="00DD2F9B" w:rsidRDefault="007D162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4A95A7E" w14:textId="77777777" w:rsidTr="00812887">
        <w:trPr>
          <w:cantSplit/>
        </w:trPr>
        <w:tc>
          <w:tcPr>
            <w:tcW w:w="3227" w:type="dxa"/>
          </w:tcPr>
          <w:p w14:paraId="18125E4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3B86939" w14:textId="702399BF" w:rsidR="002E0D61" w:rsidRPr="00DD2F9B" w:rsidRDefault="007D162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8218BFF" w14:textId="77777777" w:rsidTr="00812887">
        <w:trPr>
          <w:cantSplit/>
        </w:trPr>
        <w:tc>
          <w:tcPr>
            <w:tcW w:w="3227" w:type="dxa"/>
          </w:tcPr>
          <w:p w14:paraId="100162C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0362476" w14:textId="51F3C9C5" w:rsidR="00386093" w:rsidRPr="00DD2F9B" w:rsidRDefault="007D162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6F7D5EC" w14:textId="77777777" w:rsidTr="00812887">
        <w:trPr>
          <w:cantSplit/>
        </w:trPr>
        <w:tc>
          <w:tcPr>
            <w:tcW w:w="3227" w:type="dxa"/>
          </w:tcPr>
          <w:p w14:paraId="1A049A4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D9EFA5F" w14:textId="505BB399" w:rsidR="00386093" w:rsidRPr="00DD2F9B" w:rsidRDefault="007D1625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CD6762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A80AC7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8E6416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564037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FA3330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6467DD57" w14:textId="5A95EEE0" w:rsidR="00932DCE" w:rsidRPr="004C23F4" w:rsidRDefault="00A35F38" w:rsidP="00F9496B">
            <w:pPr>
              <w:pStyle w:val="Tablefont"/>
            </w:pPr>
            <w:r>
              <w:t xml:space="preserve">Insufficient data to </w:t>
            </w:r>
            <w:r w:rsidR="00053551">
              <w:t xml:space="preserve">assign </w:t>
            </w:r>
            <w:r>
              <w:t>a skin notation</w:t>
            </w:r>
            <w:r w:rsidR="00BA6ABA">
              <w:t>.</w:t>
            </w:r>
          </w:p>
        </w:tc>
      </w:tr>
    </w:tbl>
    <w:bookmarkEnd w:id="3"/>
    <w:p w14:paraId="32E9D7B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6845206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00502E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B4D7B69" w14:textId="13DB8D95" w:rsidR="00EB3D1B" w:rsidRDefault="007D1625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D4B72CA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C30B6D7" w14:textId="77777777" w:rsidTr="00530DF6">
        <w:trPr>
          <w:cantSplit/>
          <w:tblHeader/>
        </w:trPr>
        <w:tc>
          <w:tcPr>
            <w:tcW w:w="4077" w:type="dxa"/>
            <w:vAlign w:val="center"/>
          </w:tcPr>
          <w:p w14:paraId="027F9B9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48061B1" w14:textId="4E68FBC1" w:rsidR="001B79E5" w:rsidRDefault="007D1625" w:rsidP="001B79E5">
                <w:pPr>
                  <w:pStyle w:val="Tablefont"/>
                </w:pPr>
                <w:r w:rsidRPr="007D1625">
                  <w:t>105.09</w:t>
                </w:r>
              </w:p>
            </w:tc>
          </w:sdtContent>
        </w:sdt>
      </w:tr>
      <w:tr w:rsidR="00A31D99" w:rsidRPr="004C23F4" w14:paraId="0A8A2920" w14:textId="77777777" w:rsidTr="00BA6ABA">
        <w:trPr>
          <w:cantSplit/>
        </w:trPr>
        <w:tc>
          <w:tcPr>
            <w:tcW w:w="4077" w:type="dxa"/>
            <w:vAlign w:val="center"/>
          </w:tcPr>
          <w:p w14:paraId="73E34A7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1ACBAE0" w14:textId="5F6D060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D1625">
                  <w:t>4.29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r w:rsidR="007D1625">
              <w:t xml:space="preserve">0.233 </w:t>
            </w:r>
            <w:r>
              <w:t>ppm</w:t>
            </w:r>
          </w:p>
        </w:tc>
      </w:tr>
      <w:tr w:rsidR="00687890" w:rsidRPr="004C23F4" w14:paraId="1BFD2663" w14:textId="77777777" w:rsidTr="00BA6ABA">
        <w:trPr>
          <w:cantSplit/>
        </w:trPr>
        <w:tc>
          <w:tcPr>
            <w:tcW w:w="4077" w:type="dxa"/>
            <w:vAlign w:val="center"/>
          </w:tcPr>
          <w:p w14:paraId="71586CF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8583BD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8829009" w14:textId="77777777" w:rsidTr="00BA6ABA">
        <w:trPr>
          <w:cantSplit/>
        </w:trPr>
        <w:tc>
          <w:tcPr>
            <w:tcW w:w="4077" w:type="dxa"/>
            <w:vAlign w:val="center"/>
          </w:tcPr>
          <w:p w14:paraId="59B6780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827C377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8F394EB" w14:textId="77777777" w:rsidTr="00BA6ABA">
        <w:trPr>
          <w:cantSplit/>
        </w:trPr>
        <w:tc>
          <w:tcPr>
            <w:tcW w:w="4077" w:type="dxa"/>
            <w:vAlign w:val="center"/>
          </w:tcPr>
          <w:p w14:paraId="03DC810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D4E1E7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EA2948C" w14:textId="77777777" w:rsidTr="00BA6ABA">
        <w:trPr>
          <w:cantSplit/>
        </w:trPr>
        <w:tc>
          <w:tcPr>
            <w:tcW w:w="4077" w:type="dxa"/>
            <w:vAlign w:val="center"/>
          </w:tcPr>
          <w:p w14:paraId="33A4E57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8040E39" w14:textId="7DB4BEC9" w:rsidR="00E06F40" w:rsidRPr="00A006A0" w:rsidRDefault="001D502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4A2FDA">
                  <w:rPr>
                    <w:rFonts w:ascii="MS Gothic" w:eastAsia="MS Gothic" w:hAnsi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E2991A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5CC9C0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BC5A8D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8EBB6B2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4154D335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58AE926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D1F358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6E37725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0297400" w14:textId="5966837C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CCF16E5" w14:textId="4ADB6BFE" w:rsidR="007D1625" w:rsidRDefault="007D1625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5723DA">
        <w:t>2011</w:t>
      </w:r>
      <w:r>
        <w:t xml:space="preserve">) </w:t>
      </w:r>
      <w:r w:rsidR="005723DA" w:rsidRPr="005723DA">
        <w:t>n-</w:t>
      </w:r>
      <w:proofErr w:type="spellStart"/>
      <w:r w:rsidR="005723DA" w:rsidRPr="005723DA">
        <w:t>Propylnitrat</w:t>
      </w:r>
      <w:proofErr w:type="spellEnd"/>
      <w:r>
        <w:t xml:space="preserve"> – MAK value documentation.</w:t>
      </w:r>
    </w:p>
    <w:p w14:paraId="0196D65C" w14:textId="77777777" w:rsidR="00053551" w:rsidRPr="00351FE0" w:rsidRDefault="00053551" w:rsidP="00053551">
      <w:r w:rsidRPr="002022B6">
        <w:t>Health Council of the Netherlands</w:t>
      </w:r>
      <w:r>
        <w:t xml:space="preserve"> (HCOTN) (</w:t>
      </w:r>
      <w:r w:rsidRPr="005723DA">
        <w:t>2004</w:t>
      </w:r>
      <w:r>
        <w:t xml:space="preserve">) </w:t>
      </w:r>
      <w:r w:rsidRPr="005723DA">
        <w:t>Propyl nitrate</w:t>
      </w:r>
      <w:r w:rsidRPr="005F7416">
        <w:t xml:space="preserve">. Health-based calculated occupational cancer risk values. The Hague: Health Council of the Netherlands; publication no. </w:t>
      </w:r>
      <w:r w:rsidRPr="005723DA">
        <w:t>2000/15OSH/127</w:t>
      </w:r>
      <w:r>
        <w:t>.</w:t>
      </w:r>
    </w:p>
    <w:p w14:paraId="26042BAA" w14:textId="142CE339" w:rsidR="007D1625" w:rsidRDefault="007D1625" w:rsidP="00084859">
      <w:r w:rsidRPr="00D86E03">
        <w:t>US National Institute for Occupational Safety and Health (NIOSH)</w:t>
      </w:r>
      <w:r>
        <w:t xml:space="preserve"> (</w:t>
      </w:r>
      <w:r w:rsidR="005723DA" w:rsidRPr="005723DA">
        <w:t>1994</w:t>
      </w:r>
      <w:r>
        <w:t xml:space="preserve">) Immediately dangerous to life or health concentrations – </w:t>
      </w:r>
      <w:r w:rsidR="005723DA" w:rsidRPr="005723DA">
        <w:t>n-Propyl nitrate</w:t>
      </w:r>
      <w:r>
        <w:t>.</w:t>
      </w:r>
    </w:p>
    <w:p w14:paraId="06E9ED0A" w14:textId="7EBA1296" w:rsidR="005723DA" w:rsidRPr="00351FE0" w:rsidRDefault="005723DA" w:rsidP="00084859"/>
    <w:sectPr w:rsidR="005723DA" w:rsidRPr="00351FE0" w:rsidSect="00B87D4C">
      <w:headerReference w:type="default" r:id="rId18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8BB830" w14:textId="77777777" w:rsidR="003E7CB5" w:rsidRDefault="003E7CB5" w:rsidP="00F43AD5">
      <w:pPr>
        <w:spacing w:after="0" w:line="240" w:lineRule="auto"/>
      </w:pPr>
      <w:r>
        <w:separator/>
      </w:r>
    </w:p>
  </w:endnote>
  <w:endnote w:type="continuationSeparator" w:id="0">
    <w:p w14:paraId="739D3DA1" w14:textId="77777777" w:rsidR="003E7CB5" w:rsidRDefault="003E7CB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3E033" w14:textId="77777777" w:rsidR="00530DF6" w:rsidRDefault="00530D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91FFB25" w14:textId="77777777" w:rsidR="00707777" w:rsidRPr="00707777" w:rsidRDefault="00707777" w:rsidP="00707777">
        <w:pPr>
          <w:pStyle w:val="Footer"/>
          <w:rPr>
            <w:b/>
            <w:sz w:val="18"/>
            <w:szCs w:val="18"/>
          </w:rPr>
        </w:pPr>
      </w:p>
      <w:p w14:paraId="07615DBA" w14:textId="5798CAC8" w:rsidR="008A36CF" w:rsidRDefault="00707777" w:rsidP="00707777">
        <w:pPr>
          <w:pStyle w:val="Footer"/>
          <w:rPr>
            <w:sz w:val="18"/>
            <w:szCs w:val="18"/>
          </w:rPr>
        </w:pPr>
        <w:r w:rsidRPr="00F348AE">
          <w:rPr>
            <w:b/>
            <w:i/>
            <w:iCs/>
            <w:sz w:val="18"/>
            <w:szCs w:val="18"/>
          </w:rPr>
          <w:t>n-</w:t>
        </w:r>
        <w:r w:rsidRPr="00707777">
          <w:rPr>
            <w:b/>
            <w:sz w:val="18"/>
            <w:szCs w:val="18"/>
          </w:rPr>
          <w:t xml:space="preserve">Propyl nitrate </w:t>
        </w:r>
        <w:r w:rsidR="008A36CF">
          <w:rPr>
            <w:b/>
            <w:sz w:val="18"/>
            <w:szCs w:val="18"/>
          </w:rPr>
          <w:t>(</w:t>
        </w:r>
        <w:r w:rsidRPr="00707777">
          <w:rPr>
            <w:b/>
            <w:sz w:val="18"/>
            <w:szCs w:val="18"/>
          </w:rPr>
          <w:t>627-13-4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</w:t>
        </w:r>
        <w:r w:rsidR="00F23FE0">
          <w:rPr>
            <w:sz w:val="18"/>
            <w:szCs w:val="18"/>
          </w:rPr>
          <w:t>20</w:t>
        </w:r>
      </w:p>
      <w:p w14:paraId="3D556437" w14:textId="46BBFBB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30DF6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B7CFA" w14:textId="77777777" w:rsidR="00530DF6" w:rsidRDefault="00530D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1F066" w14:textId="77777777" w:rsidR="003E7CB5" w:rsidRDefault="003E7CB5" w:rsidP="00F43AD5">
      <w:pPr>
        <w:spacing w:after="0" w:line="240" w:lineRule="auto"/>
      </w:pPr>
      <w:r>
        <w:separator/>
      </w:r>
    </w:p>
  </w:footnote>
  <w:footnote w:type="continuationSeparator" w:id="0">
    <w:p w14:paraId="1EE644CF" w14:textId="77777777" w:rsidR="003E7CB5" w:rsidRDefault="003E7CB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C46E4C" w14:textId="77777777" w:rsidR="00530DF6" w:rsidRDefault="00530D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8DB50" w14:textId="680D0988" w:rsidR="00530DF6" w:rsidRDefault="00530DF6" w:rsidP="00530DF6">
    <w:pPr>
      <w:pStyle w:val="Header"/>
      <w:jc w:val="right"/>
    </w:pPr>
    <w:r>
      <w:rPr>
        <w:noProof/>
        <w:lang w:eastAsia="en-AU"/>
      </w:rPr>
      <w:drawing>
        <wp:inline distT="0" distB="0" distL="0" distR="0" wp14:anchorId="03733299" wp14:editId="029217E9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CAA47F" w14:textId="1E1B83C8" w:rsidR="008A36CF" w:rsidRPr="00530DF6" w:rsidRDefault="008A36CF" w:rsidP="00530D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7FBDC4" w14:textId="77777777" w:rsidR="00530DF6" w:rsidRDefault="00530DF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7CB4E5" w14:textId="6FC0A47C" w:rsidR="00530DF6" w:rsidRDefault="00530DF6" w:rsidP="00530DF6">
    <w:pPr>
      <w:pStyle w:val="Header"/>
      <w:jc w:val="right"/>
    </w:pPr>
    <w:r>
      <w:rPr>
        <w:noProof/>
        <w:lang w:eastAsia="en-AU"/>
      </w:rPr>
      <w:drawing>
        <wp:inline distT="0" distB="0" distL="0" distR="0" wp14:anchorId="1E73ED9F" wp14:editId="7D451F4E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15068D" w14:textId="4C731073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18A016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3E60DCA"/>
    <w:multiLevelType w:val="hybridMultilevel"/>
    <w:tmpl w:val="40E4CD62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987782506">
    <w:abstractNumId w:val="0"/>
  </w:num>
  <w:num w:numId="2" w16cid:durableId="1931696432">
    <w:abstractNumId w:val="0"/>
  </w:num>
  <w:num w:numId="3" w16cid:durableId="1508326975">
    <w:abstractNumId w:val="0"/>
  </w:num>
  <w:num w:numId="4" w16cid:durableId="1903369548">
    <w:abstractNumId w:val="0"/>
  </w:num>
  <w:num w:numId="5" w16cid:durableId="861362153">
    <w:abstractNumId w:val="0"/>
  </w:num>
  <w:num w:numId="6" w16cid:durableId="1989825860">
    <w:abstractNumId w:val="0"/>
  </w:num>
  <w:num w:numId="7" w16cid:durableId="783698800">
    <w:abstractNumId w:val="0"/>
  </w:num>
  <w:num w:numId="8" w16cid:durableId="920678121">
    <w:abstractNumId w:val="0"/>
  </w:num>
  <w:num w:numId="9" w16cid:durableId="1220423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3551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0B16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073DA"/>
    <w:rsid w:val="00113443"/>
    <w:rsid w:val="001269A7"/>
    <w:rsid w:val="00131092"/>
    <w:rsid w:val="00140E6A"/>
    <w:rsid w:val="00146545"/>
    <w:rsid w:val="00146B75"/>
    <w:rsid w:val="00147469"/>
    <w:rsid w:val="00147E9F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02CC"/>
    <w:rsid w:val="001D502A"/>
    <w:rsid w:val="001D56F0"/>
    <w:rsid w:val="001D663B"/>
    <w:rsid w:val="001D7B41"/>
    <w:rsid w:val="001E46DA"/>
    <w:rsid w:val="001E5EE4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2F7F"/>
    <w:rsid w:val="00276494"/>
    <w:rsid w:val="00277B0C"/>
    <w:rsid w:val="002B1A2C"/>
    <w:rsid w:val="002B3737"/>
    <w:rsid w:val="002C34F2"/>
    <w:rsid w:val="002C58FF"/>
    <w:rsid w:val="002C7AFE"/>
    <w:rsid w:val="002D05D2"/>
    <w:rsid w:val="002D3191"/>
    <w:rsid w:val="002E0D61"/>
    <w:rsid w:val="002E2F53"/>
    <w:rsid w:val="002E4C7B"/>
    <w:rsid w:val="0030740C"/>
    <w:rsid w:val="00315833"/>
    <w:rsid w:val="003215EE"/>
    <w:rsid w:val="003224BF"/>
    <w:rsid w:val="003241A8"/>
    <w:rsid w:val="003253F0"/>
    <w:rsid w:val="00326117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E7CB5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1A2"/>
    <w:rsid w:val="004867A2"/>
    <w:rsid w:val="004873F2"/>
    <w:rsid w:val="00487982"/>
    <w:rsid w:val="00490D4C"/>
    <w:rsid w:val="00493A35"/>
    <w:rsid w:val="0049527A"/>
    <w:rsid w:val="004966BF"/>
    <w:rsid w:val="00497984"/>
    <w:rsid w:val="004A2FDA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0DF6"/>
    <w:rsid w:val="0053108F"/>
    <w:rsid w:val="00532B56"/>
    <w:rsid w:val="00534B10"/>
    <w:rsid w:val="005446A2"/>
    <w:rsid w:val="00544D2F"/>
    <w:rsid w:val="00551BD8"/>
    <w:rsid w:val="005529F9"/>
    <w:rsid w:val="0055544D"/>
    <w:rsid w:val="005723DA"/>
    <w:rsid w:val="005737FF"/>
    <w:rsid w:val="00581055"/>
    <w:rsid w:val="00591E38"/>
    <w:rsid w:val="005A19C5"/>
    <w:rsid w:val="005A3034"/>
    <w:rsid w:val="005A462D"/>
    <w:rsid w:val="005B253B"/>
    <w:rsid w:val="005B771D"/>
    <w:rsid w:val="005C5D16"/>
    <w:rsid w:val="005D271B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40FFF"/>
    <w:rsid w:val="006468F4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2067"/>
    <w:rsid w:val="006B160A"/>
    <w:rsid w:val="006B4E6C"/>
    <w:rsid w:val="006B50B6"/>
    <w:rsid w:val="006D79EA"/>
    <w:rsid w:val="006E5D05"/>
    <w:rsid w:val="00701053"/>
    <w:rsid w:val="00701507"/>
    <w:rsid w:val="00707777"/>
    <w:rsid w:val="00714021"/>
    <w:rsid w:val="00716A0F"/>
    <w:rsid w:val="00717D45"/>
    <w:rsid w:val="007208F7"/>
    <w:rsid w:val="007218AF"/>
    <w:rsid w:val="007365D1"/>
    <w:rsid w:val="00740E0E"/>
    <w:rsid w:val="00743FBF"/>
    <w:rsid w:val="00750212"/>
    <w:rsid w:val="00754779"/>
    <w:rsid w:val="0075716D"/>
    <w:rsid w:val="00765F14"/>
    <w:rsid w:val="00770E31"/>
    <w:rsid w:val="007770F1"/>
    <w:rsid w:val="00777710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D1625"/>
    <w:rsid w:val="007E063C"/>
    <w:rsid w:val="007E2A4B"/>
    <w:rsid w:val="007E2E38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35F38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7338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A6ABA"/>
    <w:rsid w:val="00BB612A"/>
    <w:rsid w:val="00BD499F"/>
    <w:rsid w:val="00BD56DE"/>
    <w:rsid w:val="00BF2406"/>
    <w:rsid w:val="00BF2734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3D34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3FE0"/>
    <w:rsid w:val="00F348AE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2B3737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771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771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771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7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7710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5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8EDB3D2852F426A92D0431D869F6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A3FDDE-E3B0-4510-B1D9-2FDB0CD39E03}"/>
      </w:docPartPr>
      <w:docPartBody>
        <w:p w:rsidR="001F5412" w:rsidRDefault="00224012" w:rsidP="00224012">
          <w:pPr>
            <w:pStyle w:val="B8EDB3D2852F426A92D0431D869F6E1C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CEBC8D0478DE4F96A415BD9D7FC204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AD4E0-80E8-42F2-8713-5BE4360993D0}"/>
      </w:docPartPr>
      <w:docPartBody>
        <w:p w:rsidR="008B7CD4" w:rsidRDefault="00BD5B8D" w:rsidP="00BD5B8D">
          <w:pPr>
            <w:pStyle w:val="CEBC8D0478DE4F96A415BD9D7FC20477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F5412"/>
    <w:rsid w:val="00224012"/>
    <w:rsid w:val="00272F7F"/>
    <w:rsid w:val="004A649D"/>
    <w:rsid w:val="00515868"/>
    <w:rsid w:val="005737FF"/>
    <w:rsid w:val="008B7CD4"/>
    <w:rsid w:val="00BD5B8D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D5B8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2BF891C0AB704CDAB9BC6E80D556473F">
    <w:name w:val="2BF891C0AB704CDAB9BC6E80D556473F"/>
  </w:style>
  <w:style w:type="paragraph" w:customStyle="1" w:styleId="B8EDB3D2852F426A92D0431D869F6E1C">
    <w:name w:val="B8EDB3D2852F426A92D0431D869F6E1C"/>
    <w:rsid w:val="00224012"/>
  </w:style>
  <w:style w:type="paragraph" w:customStyle="1" w:styleId="CEBC8D0478DE4F96A415BD9D7FC20477">
    <w:name w:val="CEBC8D0478DE4F96A415BD9D7FC20477"/>
    <w:rsid w:val="00BD5B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EFEA55-1E22-4C77-A4A1-D24328AE96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purl.org/dc/dcmitype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1c567317-0c4d-4a62-8516-c22afd1b5354"/>
    <ds:schemaRef ds:uri="a0509f21-ed56-4150-9955-96be669e5f2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F2594AB-EB32-4029-B9E8-E3FBD9327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5</Pages>
  <Words>931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16</cp:revision>
  <cp:lastPrinted>2018-10-22T22:41:00Z</cp:lastPrinted>
  <dcterms:created xsi:type="dcterms:W3CDTF">2020-01-24T20:13:00Z</dcterms:created>
  <dcterms:modified xsi:type="dcterms:W3CDTF">2026-01-09T00:50:00Z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2026-01-02T03:17:39Z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4badb517-9be7-4c54-b7b8-e2d5ce192741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