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EB940DC" w14:textId="25AA87E2" w:rsidR="00BD499F" w:rsidRPr="004C23F4" w:rsidRDefault="003E624C" w:rsidP="00B40C60">
          <w:pPr>
            <w:pStyle w:val="Heading1"/>
            <w:jc w:val="center"/>
            <w:rPr>
              <w:rFonts w:ascii="Arial" w:hAnsi="Arial" w:cs="Arial"/>
            </w:rPr>
          </w:pPr>
          <w:r w:rsidRPr="00552357">
            <w:rPr>
              <w:rFonts w:ascii="Arial" w:hAnsi="Arial" w:cs="Arial"/>
            </w:rPr>
            <w:t>Piperazine and salts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0DA38636" w14:textId="77777777" w:rsidTr="00B76A41">
        <w:trPr>
          <w:cantSplit/>
          <w:tblHeader/>
        </w:trPr>
        <w:tc>
          <w:tcPr>
            <w:tcW w:w="4077" w:type="dxa"/>
          </w:tcPr>
          <w:p w14:paraId="03FA24C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22BC9B0" w14:textId="77777777" w:rsidR="00C97108" w:rsidRDefault="00552357" w:rsidP="00B76A41">
            <w:pPr>
              <w:pStyle w:val="Tablefont"/>
            </w:pPr>
            <w:r w:rsidRPr="00552357">
              <w:t>110-85-0</w:t>
            </w:r>
            <w:bookmarkStart w:id="0" w:name="_Hlk31877654"/>
          </w:p>
          <w:p w14:paraId="2E6256AA" w14:textId="6BF5CEB0" w:rsidR="00F43AD5" w:rsidRPr="00717D45" w:rsidRDefault="0054177A" w:rsidP="00B76A41">
            <w:pPr>
              <w:pStyle w:val="Tablefont"/>
            </w:pPr>
            <w:r>
              <w:t>142-64-3</w:t>
            </w:r>
            <w:bookmarkEnd w:id="0"/>
            <w:r w:rsidR="00C0264A">
              <w:t xml:space="preserve"> (hydrochloride salt)</w:t>
            </w:r>
          </w:p>
        </w:tc>
      </w:tr>
      <w:tr w:rsidR="00F43AD5" w:rsidRPr="004C23F4" w14:paraId="1BE9FCC5" w14:textId="77777777" w:rsidTr="00B76A41">
        <w:trPr>
          <w:cantSplit/>
        </w:trPr>
        <w:tc>
          <w:tcPr>
            <w:tcW w:w="4077" w:type="dxa"/>
          </w:tcPr>
          <w:p w14:paraId="55607FE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217F39F" w14:textId="523D26DE" w:rsidR="00F43AD5" w:rsidRPr="00717D45" w:rsidRDefault="005E7970" w:rsidP="00B76A41">
            <w:pPr>
              <w:pStyle w:val="Tablefont"/>
            </w:pPr>
            <w:r>
              <w:t>1,4-Piperazine, 1,4-diazacyclohexane, diethyleneaiamine, hexahydropyrazine, piperazidne</w:t>
            </w:r>
          </w:p>
        </w:tc>
      </w:tr>
      <w:tr w:rsidR="00F43AD5" w:rsidRPr="004C23F4" w14:paraId="634378DC" w14:textId="77777777" w:rsidTr="00B76A41">
        <w:trPr>
          <w:cantSplit/>
        </w:trPr>
        <w:tc>
          <w:tcPr>
            <w:tcW w:w="4077" w:type="dxa"/>
          </w:tcPr>
          <w:p w14:paraId="7A92DB8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978F282" w14:textId="77777777" w:rsidR="00F43AD5" w:rsidRDefault="005E7970" w:rsidP="00B76A41">
            <w:pPr>
              <w:pStyle w:val="Tablefont"/>
              <w:rPr>
                <w:vertAlign w:val="subscript"/>
              </w:rPr>
            </w:pPr>
            <w:r>
              <w:t>C</w:t>
            </w:r>
            <w:r w:rsidRPr="005E7970">
              <w:rPr>
                <w:vertAlign w:val="subscript"/>
              </w:rPr>
              <w:t>4</w:t>
            </w:r>
            <w:r>
              <w:t>H</w:t>
            </w:r>
            <w:r w:rsidRPr="005E7970">
              <w:rPr>
                <w:vertAlign w:val="subscript"/>
              </w:rPr>
              <w:t>10</w:t>
            </w:r>
            <w:r>
              <w:t>N</w:t>
            </w:r>
            <w:r w:rsidRPr="005E7970">
              <w:rPr>
                <w:vertAlign w:val="subscript"/>
              </w:rPr>
              <w:t>2</w:t>
            </w:r>
          </w:p>
          <w:p w14:paraId="6EFC61DE" w14:textId="6AAC3FBF" w:rsidR="00C0264A" w:rsidRPr="00C0264A" w:rsidRDefault="00C0264A" w:rsidP="00B76A41">
            <w:pPr>
              <w:pStyle w:val="Tablefont"/>
              <w:rPr>
                <w:vertAlign w:val="subscript"/>
              </w:rPr>
            </w:pPr>
            <w:r>
              <w:t>C</w:t>
            </w:r>
            <w:r w:rsidRPr="005E7970">
              <w:rPr>
                <w:vertAlign w:val="subscript"/>
              </w:rPr>
              <w:t>4</w:t>
            </w:r>
            <w:r>
              <w:t>H</w:t>
            </w:r>
            <w:r w:rsidRPr="005E7970">
              <w:rPr>
                <w:vertAlign w:val="subscript"/>
              </w:rPr>
              <w:t>10</w:t>
            </w:r>
            <w:r>
              <w:t>N</w:t>
            </w:r>
            <w:r w:rsidRPr="005E7970">
              <w:rPr>
                <w:vertAlign w:val="subscript"/>
              </w:rPr>
              <w:t>2</w:t>
            </w:r>
            <w:r>
              <w:rPr>
                <w:vertAlign w:val="subscript"/>
              </w:rPr>
              <w:t>.</w:t>
            </w:r>
            <w:r w:rsidRPr="00C0264A">
              <w:t>HCl</w:t>
            </w:r>
            <w:r>
              <w:t xml:space="preserve"> (hydrochloride salt)</w:t>
            </w:r>
          </w:p>
        </w:tc>
      </w:tr>
      <w:tr w:rsidR="00F43AD5" w:rsidRPr="004C23F4" w14:paraId="251FE66B" w14:textId="77777777" w:rsidTr="00B76A41">
        <w:trPr>
          <w:cantSplit/>
        </w:trPr>
        <w:tc>
          <w:tcPr>
            <w:tcW w:w="4077" w:type="dxa"/>
          </w:tcPr>
          <w:p w14:paraId="2E80697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F5AB008" w14:textId="1E54D493" w:rsidR="00F43AD5" w:rsidRPr="00B40C60" w:rsidRDefault="005E7970" w:rsidP="00B76A41">
            <w:pPr>
              <w:pStyle w:val="Tablerowheading"/>
              <w:rPr>
                <w:b w:val="0"/>
              </w:rPr>
            </w:pPr>
            <w:r w:rsidRPr="005E7970">
              <w:rPr>
                <w:b w:val="0"/>
              </w:rPr>
              <w:t>—</w:t>
            </w:r>
          </w:p>
        </w:tc>
      </w:tr>
    </w:tbl>
    <w:p w14:paraId="53D76399" w14:textId="3FCC208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20CF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647CBAB" w14:textId="77777777" w:rsidTr="00F20CF5">
        <w:trPr>
          <w:cantSplit/>
          <w:tblHeader/>
        </w:trPr>
        <w:tc>
          <w:tcPr>
            <w:tcW w:w="4005" w:type="dxa"/>
            <w:vAlign w:val="center"/>
          </w:tcPr>
          <w:p w14:paraId="0914BE6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BDA06E7" w14:textId="2B387EB5" w:rsidR="002C7AFE" w:rsidRPr="00F20CF5" w:rsidRDefault="00F20CF5" w:rsidP="00017C82">
            <w:pPr>
              <w:pStyle w:val="Tablefont"/>
              <w:rPr>
                <w:b/>
              </w:rPr>
            </w:pPr>
            <w:r w:rsidRPr="00F20CF5">
              <w:rPr>
                <w:b/>
              </w:rPr>
              <w:t>0.03 ppm (0.1 mg/m</w:t>
            </w:r>
            <w:r w:rsidRPr="00F20CF5">
              <w:rPr>
                <w:b/>
                <w:vertAlign w:val="superscript"/>
              </w:rPr>
              <w:t>3</w:t>
            </w:r>
            <w:r w:rsidRPr="00F20CF5">
              <w:rPr>
                <w:b/>
              </w:rPr>
              <w:t>)</w:t>
            </w:r>
          </w:p>
        </w:tc>
      </w:tr>
      <w:tr w:rsidR="00F20CF5" w:rsidRPr="004C23F4" w14:paraId="4918D8C0" w14:textId="77777777" w:rsidTr="00F20CF5">
        <w:trPr>
          <w:cantSplit/>
        </w:trPr>
        <w:tc>
          <w:tcPr>
            <w:tcW w:w="4005" w:type="dxa"/>
            <w:vAlign w:val="center"/>
          </w:tcPr>
          <w:p w14:paraId="3B5D53C9" w14:textId="77777777" w:rsidR="00F20CF5" w:rsidRPr="002C58FF" w:rsidRDefault="00F20CF5" w:rsidP="00F20CF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066418D2" w14:textId="009A1A2D" w:rsidR="00F20CF5" w:rsidRPr="00036031" w:rsidRDefault="00036031" w:rsidP="00F20CF5">
            <w:pPr>
              <w:pStyle w:val="Tablefont"/>
              <w:rPr>
                <w:b/>
                <w:bCs/>
              </w:rPr>
            </w:pPr>
            <w:r w:rsidRPr="00036031">
              <w:rPr>
                <w:b/>
                <w:bCs/>
              </w:rPr>
              <w:t>0.09 ppm (0.3 mg/m</w:t>
            </w:r>
            <w:r w:rsidRPr="00036031">
              <w:rPr>
                <w:b/>
                <w:bCs/>
                <w:vertAlign w:val="superscript"/>
              </w:rPr>
              <w:t>3</w:t>
            </w:r>
            <w:r w:rsidRPr="00036031">
              <w:rPr>
                <w:b/>
                <w:bCs/>
              </w:rPr>
              <w:t>)</w:t>
            </w:r>
          </w:p>
        </w:tc>
      </w:tr>
      <w:tr w:rsidR="00F20CF5" w:rsidRPr="004C23F4" w14:paraId="3B54C09F" w14:textId="77777777" w:rsidTr="00F20CF5">
        <w:trPr>
          <w:cantSplit/>
        </w:trPr>
        <w:tc>
          <w:tcPr>
            <w:tcW w:w="4005" w:type="dxa"/>
            <w:vAlign w:val="center"/>
          </w:tcPr>
          <w:p w14:paraId="59401AE2" w14:textId="77777777" w:rsidR="00F20CF5" w:rsidRPr="002C58FF" w:rsidRDefault="00F20CF5" w:rsidP="00F20CF5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B5447D7" w14:textId="2223BA03" w:rsidR="00F20CF5" w:rsidRPr="00F20CF5" w:rsidRDefault="00F20CF5" w:rsidP="00F20CF5">
            <w:pPr>
              <w:pStyle w:val="Tablefont"/>
              <w:rPr>
                <w:b/>
              </w:rPr>
            </w:pPr>
            <w:r w:rsidRPr="00F20CF5">
              <w:rPr>
                <w:b/>
              </w:rPr>
              <w:t>—</w:t>
            </w:r>
          </w:p>
        </w:tc>
      </w:tr>
      <w:tr w:rsidR="002C7AFE" w:rsidRPr="004C23F4" w14:paraId="603A2FAE" w14:textId="77777777" w:rsidTr="00F20CF5">
        <w:trPr>
          <w:cantSplit/>
        </w:trPr>
        <w:tc>
          <w:tcPr>
            <w:tcW w:w="4005" w:type="dxa"/>
          </w:tcPr>
          <w:p w14:paraId="3D6E727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12A5636" w14:textId="56BC5483" w:rsidR="002C7AFE" w:rsidRPr="00F20CF5" w:rsidRDefault="00D7450C" w:rsidP="008A36CF">
            <w:pPr>
              <w:pStyle w:val="Tablefont"/>
              <w:rPr>
                <w:b/>
              </w:rPr>
            </w:pPr>
            <w:r w:rsidRPr="00F20CF5">
              <w:rPr>
                <w:b/>
              </w:rPr>
              <w:t>Sk</w:t>
            </w:r>
            <w:r>
              <w:rPr>
                <w:b/>
              </w:rPr>
              <w:t xml:space="preserve">., </w:t>
            </w:r>
            <w:r w:rsidR="00F20CF5" w:rsidRPr="00F20CF5">
              <w:rPr>
                <w:b/>
              </w:rPr>
              <w:t>DSEN, RSEN</w:t>
            </w:r>
          </w:p>
        </w:tc>
      </w:tr>
      <w:tr w:rsidR="002C7AFE" w:rsidRPr="004C23F4" w14:paraId="4FB7817E" w14:textId="77777777" w:rsidTr="00F20CF5">
        <w:trPr>
          <w:cantSplit/>
        </w:trPr>
        <w:tc>
          <w:tcPr>
            <w:tcW w:w="4005" w:type="dxa"/>
            <w:vAlign w:val="center"/>
          </w:tcPr>
          <w:p w14:paraId="33440CC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4AB6E68" w14:textId="7DD0BDC5" w:rsidR="002C7AFE" w:rsidRPr="00F20CF5" w:rsidRDefault="005E7970" w:rsidP="00017C82">
            <w:pPr>
              <w:pStyle w:val="Tablefont"/>
              <w:rPr>
                <w:b/>
              </w:rPr>
            </w:pPr>
            <w:r w:rsidRPr="00F20CF5">
              <w:rPr>
                <w:b/>
              </w:rPr>
              <w:t>—</w:t>
            </w:r>
          </w:p>
        </w:tc>
      </w:tr>
      <w:tr w:rsidR="0038065E" w:rsidRPr="004C23F4" w14:paraId="2D17FB23" w14:textId="77777777" w:rsidTr="00D06C12">
        <w:trPr>
          <w:cantSplit/>
        </w:trPr>
        <w:tc>
          <w:tcPr>
            <w:tcW w:w="9026" w:type="dxa"/>
            <w:gridSpan w:val="2"/>
            <w:vAlign w:val="center"/>
          </w:tcPr>
          <w:p w14:paraId="7DCC9909" w14:textId="120303DA" w:rsidR="0038065E" w:rsidRPr="00EB3D1B" w:rsidRDefault="0038065E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756C6A3F9434349976DA0572BCEED8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7450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C0A33C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C07E477" w14:textId="62EFC995" w:rsidR="00F20CF5" w:rsidRDefault="00F20CF5" w:rsidP="00F20CF5">
      <w:r>
        <w:t>A TWA of 0.03 ppm (0.1 mg/m</w:t>
      </w:r>
      <w:r>
        <w:rPr>
          <w:vertAlign w:val="superscript"/>
        </w:rPr>
        <w:t>3</w:t>
      </w:r>
      <w:r>
        <w:t>) is recommended to minimise the potential for occupational asthma, respiratory sensitisation and chronic bronchitis</w:t>
      </w:r>
      <w:r w:rsidR="00A94A0D">
        <w:t xml:space="preserve"> in exposed workers</w:t>
      </w:r>
      <w:r>
        <w:t xml:space="preserve">. </w:t>
      </w:r>
    </w:p>
    <w:p w14:paraId="64CD6FD7" w14:textId="4DBCF2F4" w:rsidR="00655D21" w:rsidRPr="004C23F4" w:rsidRDefault="00655D21" w:rsidP="00F20CF5">
      <w:r>
        <w:t>A STEL of 0.09 ppm (0.3 mg/m</w:t>
      </w:r>
      <w:r>
        <w:rPr>
          <w:vertAlign w:val="superscript"/>
        </w:rPr>
        <w:t>3</w:t>
      </w:r>
      <w:r>
        <w:t xml:space="preserve">) is recommended to </w:t>
      </w:r>
      <w:r w:rsidR="00A94A0D">
        <w:t>protect for</w:t>
      </w:r>
      <w:r>
        <w:t xml:space="preserve"> asthmatic responses in sensitised workers.</w:t>
      </w:r>
    </w:p>
    <w:p w14:paraId="510F5E3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CD199B6" w14:textId="64C164AA" w:rsidR="004122F1" w:rsidRDefault="00363787" w:rsidP="00363787">
      <w:pPr>
        <w:rPr>
          <w:rFonts w:cs="Arial"/>
        </w:rPr>
      </w:pPr>
      <w:r w:rsidRPr="00D7450C">
        <w:rPr>
          <w:rFonts w:cs="Arial"/>
        </w:rPr>
        <w:t xml:space="preserve">Piperazine and </w:t>
      </w:r>
      <w:r w:rsidR="00A94A0D">
        <w:rPr>
          <w:rFonts w:cs="Arial"/>
        </w:rPr>
        <w:t xml:space="preserve">its </w:t>
      </w:r>
      <w:r w:rsidRPr="00D7450C">
        <w:rPr>
          <w:rFonts w:cs="Arial"/>
        </w:rPr>
        <w:t xml:space="preserve">salts are used </w:t>
      </w:r>
      <w:r w:rsidRPr="00321A7F">
        <w:rPr>
          <w:rFonts w:cs="Arial"/>
        </w:rPr>
        <w:t>in veterinary products (worm treatment), as a stabiliser in therapeutic products</w:t>
      </w:r>
      <w:r w:rsidR="0038065E" w:rsidRPr="00321A7F">
        <w:rPr>
          <w:rFonts w:cs="Arial"/>
        </w:rPr>
        <w:t xml:space="preserve"> </w:t>
      </w:r>
      <w:r w:rsidRPr="00321A7F">
        <w:rPr>
          <w:rFonts w:cs="Arial"/>
        </w:rPr>
        <w:t xml:space="preserve">and as an absorbent for carbon dioxide in research. It is also used </w:t>
      </w:r>
      <w:r w:rsidR="00C97108">
        <w:rPr>
          <w:rFonts w:cs="Arial"/>
        </w:rPr>
        <w:t xml:space="preserve">in </w:t>
      </w:r>
      <w:r w:rsidRPr="00321A7F">
        <w:rPr>
          <w:rFonts w:cs="Arial"/>
        </w:rPr>
        <w:t xml:space="preserve">the manufacturing of fibres and polymers to manufacture plastics and resins. </w:t>
      </w:r>
    </w:p>
    <w:p w14:paraId="67506BE4" w14:textId="77777777" w:rsidR="00EC5CBE" w:rsidRDefault="00363787" w:rsidP="00B31269">
      <w:pPr>
        <w:rPr>
          <w:rFonts w:cs="Arial"/>
        </w:rPr>
      </w:pPr>
      <w:r w:rsidRPr="00321A7F">
        <w:rPr>
          <w:rFonts w:cs="Arial"/>
        </w:rPr>
        <w:t xml:space="preserve">Critical effects </w:t>
      </w:r>
      <w:r w:rsidR="00A94A0D">
        <w:rPr>
          <w:rFonts w:cs="Arial"/>
        </w:rPr>
        <w:t>of</w:t>
      </w:r>
      <w:r w:rsidRPr="00321A7F">
        <w:rPr>
          <w:rFonts w:cs="Arial"/>
        </w:rPr>
        <w:t xml:space="preserve"> exposure are respiratory and skin sensitisation and asthma.</w:t>
      </w:r>
      <w:r w:rsidR="00A94A0D">
        <w:rPr>
          <w:rFonts w:cs="Arial"/>
        </w:rPr>
        <w:t xml:space="preserve"> </w:t>
      </w:r>
    </w:p>
    <w:p w14:paraId="4192A246" w14:textId="2A87B28D" w:rsidR="00363787" w:rsidRDefault="004764F3" w:rsidP="00B31269">
      <w:r w:rsidRPr="00D7450C">
        <w:t xml:space="preserve">Piperazine and its salts </w:t>
      </w:r>
      <w:r w:rsidR="00A94A0D">
        <w:t>are</w:t>
      </w:r>
      <w:r w:rsidRPr="00D7450C">
        <w:t xml:space="preserve"> </w:t>
      </w:r>
      <w:r w:rsidR="00F20CF5">
        <w:t xml:space="preserve">dermal and </w:t>
      </w:r>
      <w:r>
        <w:t>respiratory sensitisers</w:t>
      </w:r>
      <w:r w:rsidR="003B27F4">
        <w:t>. E</w:t>
      </w:r>
      <w:r w:rsidRPr="004764F3">
        <w:t xml:space="preserve">xposures </w:t>
      </w:r>
      <w:r>
        <w:t xml:space="preserve">at </w:t>
      </w:r>
      <w:r w:rsidR="00592DE8">
        <w:t xml:space="preserve">or above </w:t>
      </w:r>
      <w:r w:rsidRPr="004764F3">
        <w:t>0.7 mg/m</w:t>
      </w:r>
      <w:r w:rsidRPr="004764F3">
        <w:rPr>
          <w:vertAlign w:val="superscript"/>
        </w:rPr>
        <w:t xml:space="preserve">3 </w:t>
      </w:r>
      <w:r w:rsidR="003B27F4">
        <w:t xml:space="preserve">are </w:t>
      </w:r>
      <w:r w:rsidRPr="004764F3">
        <w:t xml:space="preserve">associated </w:t>
      </w:r>
      <w:r w:rsidR="0054177A">
        <w:t>with</w:t>
      </w:r>
      <w:r w:rsidR="00B31269">
        <w:t xml:space="preserve"> </w:t>
      </w:r>
      <w:r w:rsidR="003B27F4">
        <w:t>respiratory</w:t>
      </w:r>
      <w:r w:rsidR="00B31269">
        <w:t xml:space="preserve"> </w:t>
      </w:r>
      <w:r w:rsidR="0054177A">
        <w:t>symptoms such as</w:t>
      </w:r>
      <w:r w:rsidR="00B31269">
        <w:t xml:space="preserve"> dyspn</w:t>
      </w:r>
      <w:r w:rsidR="00321A7F">
        <w:t>o</w:t>
      </w:r>
      <w:r w:rsidR="00B31269">
        <w:t>ea, wheezing and coughing</w:t>
      </w:r>
      <w:r w:rsidR="003B27F4">
        <w:t xml:space="preserve"> in humans</w:t>
      </w:r>
      <w:r w:rsidR="00B31269">
        <w:t>. E</w:t>
      </w:r>
      <w:r w:rsidRPr="004764F3">
        <w:t xml:space="preserve">xposures </w:t>
      </w:r>
      <w:r w:rsidR="003A5EF9">
        <w:t xml:space="preserve">at </w:t>
      </w:r>
      <w:r w:rsidRPr="004764F3">
        <w:t>0.4 mg/m</w:t>
      </w:r>
      <w:r w:rsidRPr="00B31269">
        <w:rPr>
          <w:vertAlign w:val="superscript"/>
        </w:rPr>
        <w:t>3</w:t>
      </w:r>
      <w:r w:rsidRPr="004764F3">
        <w:t xml:space="preserve"> and 0.1 mg/m</w:t>
      </w:r>
      <w:r w:rsidRPr="004764F3">
        <w:rPr>
          <w:vertAlign w:val="superscript"/>
        </w:rPr>
        <w:t>3</w:t>
      </w:r>
      <w:r w:rsidRPr="004764F3">
        <w:t xml:space="preserve"> </w:t>
      </w:r>
      <w:r w:rsidR="00A94A0D">
        <w:t>a</w:t>
      </w:r>
      <w:r w:rsidRPr="004764F3">
        <w:t xml:space="preserve">re not </w:t>
      </w:r>
      <w:r w:rsidR="00592DE8">
        <w:t xml:space="preserve">considered to cause </w:t>
      </w:r>
      <w:r w:rsidR="00B31269">
        <w:t>respiratory symptoms. E</w:t>
      </w:r>
      <w:r w:rsidRPr="004764F3">
        <w:t>xposure at 0.3 mg/m</w:t>
      </w:r>
      <w:r w:rsidRPr="004764F3">
        <w:rPr>
          <w:vertAlign w:val="superscript"/>
        </w:rPr>
        <w:t>3</w:t>
      </w:r>
      <w:r w:rsidRPr="00A94A0D">
        <w:t xml:space="preserve"> </w:t>
      </w:r>
      <w:r w:rsidRPr="004764F3">
        <w:t>elicit</w:t>
      </w:r>
      <w:r w:rsidR="00A94A0D">
        <w:t>s</w:t>
      </w:r>
      <w:r w:rsidRPr="004764F3">
        <w:t xml:space="preserve"> asthma in sensitised workers</w:t>
      </w:r>
      <w:r w:rsidR="00B31269">
        <w:t>.</w:t>
      </w:r>
      <w:r w:rsidR="00F20CF5">
        <w:t xml:space="preserve"> </w:t>
      </w:r>
      <w:r w:rsidR="00F20CF5" w:rsidRPr="00F20CF5">
        <w:t>Acute exposures result in mild to moderate skin burns and sensitisation</w:t>
      </w:r>
      <w:r w:rsidR="00F20CF5">
        <w:t xml:space="preserve"> in humans.</w:t>
      </w:r>
      <w:r w:rsidR="00B31269">
        <w:t xml:space="preserve"> Chronic exposure </w:t>
      </w:r>
      <w:r w:rsidR="00A94A0D">
        <w:t>is</w:t>
      </w:r>
      <w:r w:rsidR="00B31269">
        <w:t xml:space="preserve"> found to induce chronic bronchitis in workers.</w:t>
      </w:r>
      <w:r w:rsidR="0054177A">
        <w:t xml:space="preserve"> </w:t>
      </w:r>
      <w:r w:rsidR="00A94A0D">
        <w:t xml:space="preserve">Piperazine solution </w:t>
      </w:r>
      <w:r w:rsidR="0054177A">
        <w:t>produce</w:t>
      </w:r>
      <w:r w:rsidR="00A94A0D">
        <w:t>s</w:t>
      </w:r>
      <w:r w:rsidR="0054177A">
        <w:t xml:space="preserve"> effects on the cornea in rabbits and mild sensitisation in the guinea pig maximisation test (ACGIH, 2018).</w:t>
      </w:r>
    </w:p>
    <w:p w14:paraId="67AE7AF4" w14:textId="70CF3779" w:rsidR="00F20CF5" w:rsidRPr="005D52F9" w:rsidRDefault="009C5102" w:rsidP="00B31269">
      <w:r>
        <w:t>Based on the evidence presented in humans, particularly that 0.1 mg/m</w:t>
      </w:r>
      <w:r>
        <w:rPr>
          <w:vertAlign w:val="superscript"/>
        </w:rPr>
        <w:t>3</w:t>
      </w:r>
      <w:r w:rsidR="00A94A0D">
        <w:t xml:space="preserve"> i</w:t>
      </w:r>
      <w:r w:rsidRPr="00321A7F">
        <w:t>s associated with no observed effects and</w:t>
      </w:r>
      <w:r>
        <w:t xml:space="preserve"> 0.3 mg/m</w:t>
      </w:r>
      <w:r>
        <w:rPr>
          <w:vertAlign w:val="superscript"/>
        </w:rPr>
        <w:t>3</w:t>
      </w:r>
      <w:r>
        <w:t xml:space="preserve"> </w:t>
      </w:r>
      <w:r w:rsidR="00655D21">
        <w:t>provoked</w:t>
      </w:r>
      <w:r w:rsidR="005D52F9">
        <w:t xml:space="preserve"> </w:t>
      </w:r>
      <w:r>
        <w:t>asthma in sensitised individuals, a</w:t>
      </w:r>
      <w:r w:rsidR="00F20CF5">
        <w:t xml:space="preserve"> TWA of 0.03 ppm (0.1</w:t>
      </w:r>
      <w:r w:rsidR="00321A7F">
        <w:t> </w:t>
      </w:r>
      <w:r w:rsidR="00F20CF5">
        <w:t>mg/m</w:t>
      </w:r>
      <w:r w:rsidR="00F20CF5">
        <w:rPr>
          <w:vertAlign w:val="superscript"/>
        </w:rPr>
        <w:t>3</w:t>
      </w:r>
      <w:r w:rsidR="00F20CF5">
        <w:t>) is recommended as derived by the ACGIH (2018)</w:t>
      </w:r>
      <w:r>
        <w:t xml:space="preserve">. This TWA is cited </w:t>
      </w:r>
      <w:r w:rsidR="00F20CF5">
        <w:t>to minimis</w:t>
      </w:r>
      <w:r w:rsidR="003A5EF9">
        <w:t>e</w:t>
      </w:r>
      <w:r w:rsidR="00F20CF5">
        <w:t xml:space="preserve"> the </w:t>
      </w:r>
      <w:r w:rsidR="00F20CF5">
        <w:lastRenderedPageBreak/>
        <w:t xml:space="preserve">potential for occupational asthma, respiratory sensitisation and chronic bronchitis. </w:t>
      </w:r>
      <w:r w:rsidR="005D52F9">
        <w:t>A STEL of 0.09 ppm (0.3 mg/m</w:t>
      </w:r>
      <w:r w:rsidR="005D52F9">
        <w:rPr>
          <w:vertAlign w:val="superscript"/>
        </w:rPr>
        <w:t>3</w:t>
      </w:r>
      <w:r w:rsidR="005D52F9">
        <w:t>)</w:t>
      </w:r>
      <w:r w:rsidR="00655D21">
        <w:t xml:space="preserve"> </w:t>
      </w:r>
      <w:r w:rsidR="00F91104">
        <w:t xml:space="preserve">(SCOEL, 1997) </w:t>
      </w:r>
      <w:r w:rsidR="00655D21">
        <w:t xml:space="preserve">is </w:t>
      </w:r>
      <w:r w:rsidR="00592DE8">
        <w:t xml:space="preserve">also </w:t>
      </w:r>
      <w:r w:rsidR="00655D21">
        <w:t>recommended to</w:t>
      </w:r>
      <w:r w:rsidR="005D52F9">
        <w:t xml:space="preserve"> limit exposure</w:t>
      </w:r>
      <w:r w:rsidR="00A94A0D">
        <w:t>s that</w:t>
      </w:r>
      <w:r w:rsidR="005D52F9">
        <w:t xml:space="preserve"> could result in </w:t>
      </w:r>
      <w:r w:rsidR="00655D21">
        <w:t>asthmatic responses in sensitised individuals.</w:t>
      </w:r>
    </w:p>
    <w:p w14:paraId="4A67A215" w14:textId="77777777" w:rsidR="004529F0" w:rsidRPr="004C23F4" w:rsidRDefault="004529F0" w:rsidP="0038065E">
      <w:pPr>
        <w:pStyle w:val="Heading2"/>
      </w:pPr>
      <w:r>
        <w:t>Recommendation for notations</w:t>
      </w:r>
    </w:p>
    <w:p w14:paraId="22AF5BE1" w14:textId="7BDFB503" w:rsidR="005E7970" w:rsidRPr="00265858" w:rsidRDefault="005E7970" w:rsidP="00321A7F">
      <w:pPr>
        <w:keepNext/>
        <w:rPr>
          <w:rFonts w:cs="Arial"/>
        </w:rPr>
      </w:pPr>
      <w:r w:rsidRPr="00265858">
        <w:rPr>
          <w:rFonts w:cs="Arial"/>
        </w:rPr>
        <w:t>Not classified as a carcinogen according to the Globally Harmonized System of Classification and Labelling o</w:t>
      </w:r>
      <w:r w:rsidR="0038065E">
        <w:rPr>
          <w:rFonts w:cs="Arial"/>
        </w:rPr>
        <w:t>f</w:t>
      </w:r>
      <w:r w:rsidRPr="00265858">
        <w:rPr>
          <w:rFonts w:cs="Arial"/>
        </w:rPr>
        <w:t xml:space="preserve"> Chemicals (GHS). </w:t>
      </w:r>
    </w:p>
    <w:p w14:paraId="3C647F62" w14:textId="18AD4311" w:rsidR="005E7970" w:rsidRPr="00265858" w:rsidRDefault="0054177A" w:rsidP="00321A7F">
      <w:pPr>
        <w:keepNext/>
        <w:rPr>
          <w:rFonts w:cs="Arial"/>
        </w:rPr>
      </w:pPr>
      <w:r>
        <w:rPr>
          <w:rFonts w:cs="Arial"/>
        </w:rPr>
        <w:t>C</w:t>
      </w:r>
      <w:r w:rsidR="005E7970" w:rsidRPr="00265858">
        <w:rPr>
          <w:rFonts w:cs="Arial"/>
        </w:rPr>
        <w:t xml:space="preserve">lassified as a skin </w:t>
      </w:r>
      <w:r w:rsidR="0038065E" w:rsidRPr="00265858">
        <w:rPr>
          <w:rFonts w:cs="Arial"/>
        </w:rPr>
        <w:t xml:space="preserve">sensitiser </w:t>
      </w:r>
      <w:r>
        <w:rPr>
          <w:rFonts w:cs="Arial"/>
        </w:rPr>
        <w:t>and</w:t>
      </w:r>
      <w:r w:rsidR="005E7970" w:rsidRPr="00265858">
        <w:rPr>
          <w:rFonts w:cs="Arial"/>
        </w:rPr>
        <w:t xml:space="preserve"> respiratory sensitiser according to the GHS.</w:t>
      </w:r>
    </w:p>
    <w:p w14:paraId="7677B8BA" w14:textId="62689837" w:rsidR="005E7970" w:rsidRPr="004C23F4" w:rsidRDefault="00F20CF5" w:rsidP="00321A7F">
      <w:pPr>
        <w:keepNext/>
        <w:rPr>
          <w:rFonts w:cs="Arial"/>
        </w:rPr>
      </w:pPr>
      <w:r>
        <w:rPr>
          <w:rFonts w:cs="Arial"/>
        </w:rPr>
        <w:t>A skin notation is recommended based on systemic effects in humans following dermal exposure.</w:t>
      </w:r>
    </w:p>
    <w:p w14:paraId="1DA38C8B" w14:textId="77777777" w:rsidR="0025734A" w:rsidRPr="004C23F4" w:rsidRDefault="0025734A">
      <w:pPr>
        <w:rPr>
          <w:rFonts w:cs="Arial"/>
        </w:rPr>
      </w:pPr>
    </w:p>
    <w:p w14:paraId="463C876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B2376C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A915E0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283DE5D" w14:textId="77777777" w:rsidTr="00CB23F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0" w:type="pct"/>
            <w:shd w:val="clear" w:color="auto" w:fill="BFBFBF" w:themeFill="background1" w:themeFillShade="BF"/>
            <w:vAlign w:val="center"/>
          </w:tcPr>
          <w:p w14:paraId="75D11E4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5F6C9EC" w14:textId="77777777" w:rsidTr="00CB23FD">
        <w:trPr>
          <w:cantSplit/>
        </w:trPr>
        <w:tc>
          <w:tcPr>
            <w:tcW w:w="4990" w:type="pct"/>
            <w:gridSpan w:val="2"/>
            <w:shd w:val="clear" w:color="auto" w:fill="F2F2F2" w:themeFill="background1" w:themeFillShade="F2"/>
          </w:tcPr>
          <w:p w14:paraId="47F67BC3" w14:textId="2C110A46" w:rsidR="00DE26E8" w:rsidRPr="00BA50C3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r w:rsidR="00F07956">
              <w:t>1991</w:t>
            </w:r>
            <w:r w:rsidRPr="003365A5">
              <w:tab/>
            </w:r>
            <w:r>
              <w:tab/>
            </w:r>
            <w:r w:rsidR="00F07956">
              <w:t>TWA: 5 mg/m</w:t>
            </w:r>
            <w:r w:rsidR="00BA50C3">
              <w:rPr>
                <w:vertAlign w:val="superscript"/>
              </w:rPr>
              <w:t>3</w:t>
            </w:r>
            <w:r w:rsidR="00BA50C3">
              <w:t xml:space="preserve"> (piperazine dihydrochloride)</w:t>
            </w:r>
          </w:p>
        </w:tc>
      </w:tr>
      <w:tr w:rsidR="00C978F0" w:rsidRPr="00DA352E" w14:paraId="4AA39477" w14:textId="77777777" w:rsidTr="00CB23FD">
        <w:trPr>
          <w:gridAfter w:val="1"/>
          <w:wAfter w:w="8" w:type="pct"/>
          <w:cantSplit/>
        </w:trPr>
        <w:tc>
          <w:tcPr>
            <w:tcW w:w="4990" w:type="pct"/>
          </w:tcPr>
          <w:p w14:paraId="3BDD0DCF" w14:textId="21588773" w:rsidR="00C978F0" w:rsidRDefault="00BA50C3" w:rsidP="00C9710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 xml:space="preserve">Adopted from ACGIH in 1991 </w:t>
            </w:r>
            <w:r w:rsidR="00321A7F">
              <w:t>(</w:t>
            </w:r>
            <w:r>
              <w:t>CAS 142-64-3</w:t>
            </w:r>
            <w:r w:rsidR="00321A7F">
              <w:t>)</w:t>
            </w:r>
            <w:r w:rsidR="00C97108">
              <w:t>.</w:t>
            </w:r>
          </w:p>
          <w:p w14:paraId="01455B52" w14:textId="77777777" w:rsidR="00BA50C3" w:rsidRDefault="00BA50C3" w:rsidP="00C9710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ACGIH merged with Piperazine salts in 2012 (CAS</w:t>
            </w:r>
            <w:r w:rsidR="009C5102">
              <w:t xml:space="preserve"> </w:t>
            </w:r>
            <w:r>
              <w:t>110-85-0)</w:t>
            </w:r>
            <w:r w:rsidR="0038065E">
              <w:t>.</w:t>
            </w:r>
          </w:p>
          <w:p w14:paraId="77AD33A7" w14:textId="333B33F7" w:rsidR="00E74DB8" w:rsidRPr="00DA352E" w:rsidRDefault="00E74DB8" w:rsidP="00036031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4C94DA36" w14:textId="77777777" w:rsidTr="00CB23FD">
        <w:trPr>
          <w:gridAfter w:val="1"/>
          <w:wAfter w:w="8" w:type="pct"/>
          <w:cantSplit/>
        </w:trPr>
        <w:tc>
          <w:tcPr>
            <w:tcW w:w="4990" w:type="pct"/>
            <w:shd w:val="clear" w:color="auto" w:fill="F2F2F2" w:themeFill="background1" w:themeFillShade="F2"/>
          </w:tcPr>
          <w:p w14:paraId="00836A62" w14:textId="1987EC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E7970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E7970">
                  <w:t>TLV-TWA: 0.03 ppm (0.1 mg/m</w:t>
                </w:r>
                <w:r w:rsidR="005E7970" w:rsidRPr="005E7970">
                  <w:rPr>
                    <w:vertAlign w:val="superscript"/>
                  </w:rPr>
                  <w:t>3</w:t>
                </w:r>
                <w:r w:rsidR="005E7970">
                  <w:t>)</w:t>
                </w:r>
              </w:sdtContent>
            </w:sdt>
          </w:p>
        </w:tc>
      </w:tr>
      <w:tr w:rsidR="00C978F0" w:rsidRPr="00DA352E" w14:paraId="3BE63EE5" w14:textId="77777777" w:rsidTr="00CB23FD">
        <w:trPr>
          <w:gridAfter w:val="1"/>
          <w:wAfter w:w="8" w:type="pct"/>
          <w:cantSplit/>
        </w:trPr>
        <w:tc>
          <w:tcPr>
            <w:tcW w:w="4990" w:type="pct"/>
          </w:tcPr>
          <w:p w14:paraId="47058F2E" w14:textId="77777777" w:rsidR="00C978F0" w:rsidRDefault="00D46FC4" w:rsidP="0038065E">
            <w:pPr>
              <w:pStyle w:val="Tabletextprimarysource"/>
            </w:pPr>
            <w:r>
              <w:t>TLV-TWA recommended to reduce the potential for occupational asthma and respiratory sensitisation and to protect against chronic bronchitis. May not protect sensitised workers.</w:t>
            </w:r>
          </w:p>
          <w:p w14:paraId="5CA095CC" w14:textId="77777777" w:rsidR="00D46FC4" w:rsidRDefault="00D46FC4" w:rsidP="0038065E">
            <w:pPr>
              <w:pStyle w:val="Tabletextprimarysource"/>
            </w:pPr>
            <w:r>
              <w:t>Summary of data:</w:t>
            </w:r>
          </w:p>
          <w:p w14:paraId="368CF58F" w14:textId="7DF85D71" w:rsidR="005C5869" w:rsidRDefault="005C5869" w:rsidP="0038065E">
            <w:pPr>
              <w:pStyle w:val="Tabletextprimarysource"/>
            </w:pPr>
            <w:r>
              <w:t>Human data</w:t>
            </w:r>
            <w:r w:rsidR="009C5102">
              <w:t>:</w:t>
            </w:r>
          </w:p>
          <w:p w14:paraId="3536B1A2" w14:textId="6F759AF9" w:rsidR="005C5869" w:rsidRDefault="005C5869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Acute exposures </w:t>
            </w:r>
            <w:r w:rsidR="00EC5CBE">
              <w:t xml:space="preserve">caused </w:t>
            </w:r>
            <w:r>
              <w:t>mild to moderate skin burns and sensitisation</w:t>
            </w:r>
          </w:p>
          <w:p w14:paraId="327B7E15" w14:textId="1266A480" w:rsidR="005C5869" w:rsidRDefault="005C5869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Application to skin (25% aqueous </w:t>
            </w:r>
            <w:r w:rsidR="008317FB">
              <w:t>solution)</w:t>
            </w:r>
            <w:r>
              <w:t xml:space="preserve"> for up to 48 h caused primary dermal irritation with erythema and marked vesiculation in 10</w:t>
            </w:r>
            <w:r w:rsidR="00321A7F">
              <w:t>/</w:t>
            </w:r>
            <w:r>
              <w:t>12 volunteers</w:t>
            </w:r>
          </w:p>
          <w:p w14:paraId="3DC2C9DC" w14:textId="767B0F7C" w:rsidR="00146B0A" w:rsidRDefault="00EC5CBE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3.2% positive allergic reactions reported in a p</w:t>
            </w:r>
            <w:r w:rsidR="008317FB">
              <w:t xml:space="preserve">atch testing of 1% piperazine solution on 93 patients </w:t>
            </w:r>
          </w:p>
          <w:p w14:paraId="4E5E508B" w14:textId="0A2537B2" w:rsidR="008317FB" w:rsidRDefault="008317FB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TLV-TWA based on evidence </w:t>
            </w:r>
            <w:r w:rsidR="009C5102">
              <w:t xml:space="preserve">summarised from several occupational studies </w:t>
            </w:r>
            <w:r>
              <w:t>demonstrating exposures &gt;0.7 mg/m</w:t>
            </w:r>
            <w:r>
              <w:rPr>
                <w:vertAlign w:val="superscript"/>
              </w:rPr>
              <w:t>3</w:t>
            </w:r>
            <w:r>
              <w:t xml:space="preserve"> were associated with respiratory symptoms in humans; exposures of 0.4 mg/m</w:t>
            </w:r>
            <w:r w:rsidRPr="005C5869">
              <w:rPr>
                <w:vertAlign w:val="superscript"/>
              </w:rPr>
              <w:t>3</w:t>
            </w:r>
            <w:r>
              <w:t xml:space="preserve"> and 0.1 mg/m</w:t>
            </w:r>
            <w:r>
              <w:rPr>
                <w:vertAlign w:val="superscript"/>
              </w:rPr>
              <w:t>3</w:t>
            </w:r>
            <w:r>
              <w:t xml:space="preserve"> were not associated with respiratory symptoms in humans; exposure at 0.3 mg/m</w:t>
            </w:r>
            <w:r>
              <w:rPr>
                <w:vertAlign w:val="superscript"/>
              </w:rPr>
              <w:t xml:space="preserve">3 </w:t>
            </w:r>
            <w:r>
              <w:t>elicited</w:t>
            </w:r>
            <w:r w:rsidRPr="005C5869">
              <w:t xml:space="preserve"> asthma in sensitised workers</w:t>
            </w:r>
            <w:r w:rsidR="00C97108">
              <w:t>:</w:t>
            </w:r>
          </w:p>
          <w:p w14:paraId="59273BAF" w14:textId="1D331A15" w:rsidR="008317FB" w:rsidRDefault="008317FB" w:rsidP="00C971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delayed type asthmatic reactions with typical symptoms of dyspn</w:t>
            </w:r>
            <w:r w:rsidR="00321A7F">
              <w:t>o</w:t>
            </w:r>
            <w:r>
              <w:t>ea, wheezing and coughing</w:t>
            </w:r>
          </w:p>
          <w:p w14:paraId="31B3267A" w14:textId="45FD5352" w:rsidR="008317FB" w:rsidRDefault="00F07956" w:rsidP="00C971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lag time</w:t>
            </w:r>
            <w:r w:rsidR="00E74DB8">
              <w:t xml:space="preserve"> of</w:t>
            </w:r>
            <w:r>
              <w:t xml:space="preserve"> </w:t>
            </w:r>
            <w:r w:rsidR="00321A7F">
              <w:t>1 mo</w:t>
            </w:r>
            <w:r w:rsidR="008808DC">
              <w:t>–</w:t>
            </w:r>
            <w:r w:rsidR="00321A7F">
              <w:t>1 yr</w:t>
            </w:r>
            <w:r>
              <w:t xml:space="preserve"> between initial exposure and onset of asthma</w:t>
            </w:r>
          </w:p>
          <w:p w14:paraId="57CD58C9" w14:textId="6786A587" w:rsidR="00B31269" w:rsidRDefault="00B31269" w:rsidP="00C971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appears to be information summary from up to 6 different studies</w:t>
            </w:r>
          </w:p>
          <w:p w14:paraId="338928A6" w14:textId="0919FCFD" w:rsidR="005D52F9" w:rsidRDefault="005D52F9" w:rsidP="00C971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duration or frequency of exposures not provided</w:t>
            </w:r>
          </w:p>
          <w:p w14:paraId="7217ABD1" w14:textId="3D253BD6" w:rsidR="00F07956" w:rsidRDefault="00F07956" w:rsidP="00C971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 further details</w:t>
            </w:r>
          </w:p>
          <w:p w14:paraId="12792ABB" w14:textId="5CA9E88F" w:rsidR="00BA50C3" w:rsidRDefault="00BA50C3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</w:t>
            </w:r>
            <w:r w:rsidR="008808DC">
              <w:t xml:space="preserve">of </w:t>
            </w:r>
            <w:r>
              <w:t xml:space="preserve">602 workers involved in piperazine production and processing 1942 </w:t>
            </w:r>
            <w:r w:rsidR="00A94A0D">
              <w:t>–</w:t>
            </w:r>
            <w:r>
              <w:t xml:space="preserve">1979 reported overall prevalence of bronchitis at </w:t>
            </w:r>
            <w:r w:rsidR="008808DC">
              <w:rPr>
                <w:rFonts w:cs="Arial"/>
              </w:rPr>
              <w:t>≈</w:t>
            </w:r>
            <w:r>
              <w:t>16%</w:t>
            </w:r>
          </w:p>
          <w:p w14:paraId="5DD6559B" w14:textId="6546C3B2" w:rsidR="00F07956" w:rsidRDefault="00BA50C3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case-control study conducted within a retrospective cohort of 664 workers exposed to piperazine and other chemicals did not reveal any significant association with any specific chemical and cancer</w:t>
            </w:r>
            <w:r w:rsidR="0038065E">
              <w:t>.</w:t>
            </w:r>
          </w:p>
          <w:p w14:paraId="562F65FB" w14:textId="77777777" w:rsidR="00AD6969" w:rsidRDefault="00AD6969" w:rsidP="0038065E">
            <w:pPr>
              <w:pStyle w:val="Tabletextprimarysource"/>
            </w:pPr>
            <w:r>
              <w:t>Animal data:</w:t>
            </w:r>
          </w:p>
          <w:p w14:paraId="17DC38E4" w14:textId="4E6CCC1B" w:rsidR="00AD6969" w:rsidRDefault="002A5CC2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321A7F">
              <w:t>:</w:t>
            </w:r>
            <w:r>
              <w:t xml:space="preserve"> 4 g/kg </w:t>
            </w:r>
            <w:r w:rsidR="00321A7F">
              <w:t>(</w:t>
            </w:r>
            <w:r>
              <w:t>rabbits</w:t>
            </w:r>
            <w:r w:rsidR="00321A7F">
              <w:t>, dermal)</w:t>
            </w:r>
          </w:p>
          <w:p w14:paraId="061719F2" w14:textId="598FAAC2" w:rsidR="002A5CC2" w:rsidRDefault="002A5CC2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 aqueous solution containing 1–5% piperazine caused etching and necrosis of the rabbit cornea; rated as a grade 9 on a scale ranging from 1</w:t>
            </w:r>
            <w:r w:rsidR="008808DC">
              <w:t>–</w:t>
            </w:r>
            <w:r>
              <w:t>10; necrosis covering 60–90% of the cornea</w:t>
            </w:r>
          </w:p>
          <w:p w14:paraId="5B8A473B" w14:textId="0CC4E9AD" w:rsidR="009A3BAB" w:rsidRDefault="009A3BAB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Mild sensitiser in a guinea pig maximi</w:t>
            </w:r>
            <w:r w:rsidR="00321A7F">
              <w:t>s</w:t>
            </w:r>
            <w:r>
              <w:t>ation test</w:t>
            </w:r>
          </w:p>
          <w:p w14:paraId="20A791A4" w14:textId="5590EF6D" w:rsidR="002A5CC2" w:rsidRDefault="009A3BAB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genotoxic and the limited cancer studies indicate not carcinogenic</w:t>
            </w:r>
            <w:r w:rsidR="0038065E">
              <w:t>.</w:t>
            </w:r>
            <w:r w:rsidRPr="00DA352E">
              <w:t xml:space="preserve"> </w:t>
            </w:r>
          </w:p>
          <w:p w14:paraId="2A526DFB" w14:textId="77777777" w:rsidR="00C97108" w:rsidRDefault="00C97108" w:rsidP="0038065E">
            <w:pPr>
              <w:pStyle w:val="Tabletextprimarysource"/>
            </w:pPr>
          </w:p>
          <w:p w14:paraId="072BB6E8" w14:textId="77777777" w:rsidR="009A3BAB" w:rsidRDefault="009A3BAB" w:rsidP="0038065E">
            <w:pPr>
              <w:pStyle w:val="Tabletextprimarysource"/>
            </w:pPr>
            <w:r>
              <w:t>Insufficient data to recommend a TLV-STEL.</w:t>
            </w:r>
          </w:p>
          <w:p w14:paraId="058434B2" w14:textId="0F388AA6" w:rsidR="00C97108" w:rsidRPr="00DA352E" w:rsidRDefault="00C97108" w:rsidP="0038065E">
            <w:pPr>
              <w:pStyle w:val="Tabletextprimarysource"/>
            </w:pPr>
          </w:p>
        </w:tc>
      </w:tr>
      <w:tr w:rsidR="00C978F0" w:rsidRPr="00DA352E" w14:paraId="4189ACCB" w14:textId="77777777" w:rsidTr="00CB23FD">
        <w:trPr>
          <w:gridAfter w:val="1"/>
          <w:wAfter w:w="8" w:type="pct"/>
          <w:cantSplit/>
        </w:trPr>
        <w:tc>
          <w:tcPr>
            <w:tcW w:w="4990" w:type="pct"/>
            <w:shd w:val="clear" w:color="auto" w:fill="F2F2F2" w:themeFill="background1" w:themeFillShade="F2"/>
          </w:tcPr>
          <w:p w14:paraId="0B07B3CE" w14:textId="41E3987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E7970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E7970">
                  <w:t>Not assigned</w:t>
                </w:r>
              </w:sdtContent>
            </w:sdt>
          </w:p>
        </w:tc>
      </w:tr>
      <w:tr w:rsidR="00C978F0" w:rsidRPr="00DA352E" w14:paraId="53418842" w14:textId="77777777" w:rsidTr="00CB23FD">
        <w:trPr>
          <w:gridAfter w:val="1"/>
          <w:wAfter w:w="8" w:type="pct"/>
          <w:cantSplit/>
        </w:trPr>
        <w:tc>
          <w:tcPr>
            <w:tcW w:w="4990" w:type="pct"/>
          </w:tcPr>
          <w:p w14:paraId="621CAA2D" w14:textId="77777777" w:rsidR="00B63402" w:rsidRDefault="00B279A4" w:rsidP="003365A5">
            <w:pPr>
              <w:pStyle w:val="Tabletextprimarysource"/>
            </w:pPr>
            <w:r>
              <w:t>Available data on the allergic potency of piperazine are not adequate for the establishment</w:t>
            </w:r>
            <w:r w:rsidR="00476924">
              <w:t xml:space="preserve"> of a MAK value.</w:t>
            </w:r>
          </w:p>
          <w:p w14:paraId="0AFAA91A" w14:textId="2A0E72F0" w:rsidR="00C978F0" w:rsidRDefault="00B63402" w:rsidP="003365A5">
            <w:pPr>
              <w:pStyle w:val="Tabletextprimarysource"/>
            </w:pPr>
            <w:r>
              <w:t>Summary of additional data:</w:t>
            </w:r>
            <w:r w:rsidR="00B279A4">
              <w:t xml:space="preserve"> </w:t>
            </w:r>
          </w:p>
          <w:p w14:paraId="1F7B36BC" w14:textId="7F303E42" w:rsidR="00B63402" w:rsidRDefault="00B63402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Since piperazine has been used medically</w:t>
            </w:r>
            <w:r w:rsidR="00A94A0D">
              <w:t>,</w:t>
            </w:r>
            <w:r>
              <w:t xml:space="preserve"> the available data as to its effects in human</w:t>
            </w:r>
            <w:r w:rsidR="00A94A0D">
              <w:t>s</w:t>
            </w:r>
            <w:r>
              <w:t xml:space="preserve"> indicate that neither acute nor chronic toxic effects need be expected after workplace exposures to metal-working fluids</w:t>
            </w:r>
          </w:p>
          <w:p w14:paraId="7A5110F8" w14:textId="65B93FA1" w:rsidR="00B279A4" w:rsidRDefault="00B279A4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Supplement (2001)</w:t>
            </w:r>
            <w:r w:rsidR="000D2E5B">
              <w:t xml:space="preserve">: </w:t>
            </w:r>
            <w:r>
              <w:t>insufficient data available</w:t>
            </w:r>
            <w:r w:rsidR="006A5228">
              <w:t xml:space="preserve"> </w:t>
            </w:r>
            <w:r w:rsidR="00B63402">
              <w:t xml:space="preserve">to establish MAK based </w:t>
            </w:r>
            <w:r w:rsidR="000362C7">
              <w:t>on sensitisation</w:t>
            </w:r>
          </w:p>
          <w:p w14:paraId="7DCA5AFA" w14:textId="77777777" w:rsidR="00B279A4" w:rsidRDefault="00B279A4" w:rsidP="00321A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additional data</w:t>
            </w:r>
            <w:r w:rsidR="0038065E">
              <w:t>.</w:t>
            </w:r>
          </w:p>
          <w:p w14:paraId="59B6C21C" w14:textId="5CEFFD04" w:rsidR="00C97108" w:rsidRPr="00DA352E" w:rsidRDefault="00C97108" w:rsidP="00C9710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BB464F4" w14:textId="77777777" w:rsidTr="00CB23FD">
        <w:trPr>
          <w:gridAfter w:val="1"/>
          <w:wAfter w:w="8" w:type="pct"/>
          <w:cantSplit/>
        </w:trPr>
        <w:tc>
          <w:tcPr>
            <w:tcW w:w="4990" w:type="pct"/>
            <w:shd w:val="clear" w:color="auto" w:fill="F2F2F2" w:themeFill="background1" w:themeFillShade="F2"/>
          </w:tcPr>
          <w:p w14:paraId="14152EE3" w14:textId="3DFE50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E7970">
                  <w:t>1997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E7970" w:rsidRPr="005E7970">
                  <w:t>TWA</w:t>
                </w:r>
                <w:r w:rsidR="005E7970">
                  <w:t>: 0.1 mg/m</w:t>
                </w:r>
                <w:r w:rsidR="005E7970" w:rsidRPr="005E7970">
                  <w:rPr>
                    <w:vertAlign w:val="superscript"/>
                  </w:rPr>
                  <w:t>3</w:t>
                </w:r>
                <w:r w:rsidR="005E7970">
                  <w:t xml:space="preserve">; </w:t>
                </w:r>
                <w:r w:rsidR="005E7970" w:rsidRPr="005E7970">
                  <w:t>STEL</w:t>
                </w:r>
                <w:r w:rsidR="005E7970">
                  <w:t>: 0.3 mg/m</w:t>
                </w:r>
                <w:r w:rsidR="005E7970" w:rsidRPr="005E797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6772938" w14:textId="77777777" w:rsidTr="00CB23FD">
        <w:trPr>
          <w:gridAfter w:val="1"/>
          <w:wAfter w:w="8" w:type="pct"/>
          <w:cantSplit/>
        </w:trPr>
        <w:tc>
          <w:tcPr>
            <w:tcW w:w="4990" w:type="pct"/>
          </w:tcPr>
          <w:p w14:paraId="50767D47" w14:textId="77777777" w:rsidR="00B63402" w:rsidRDefault="00B63402" w:rsidP="003365A5">
            <w:pPr>
              <w:pStyle w:val="Tabletextprimarysource"/>
            </w:pPr>
            <w:r>
              <w:t>Summary of additional data:</w:t>
            </w:r>
          </w:p>
          <w:p w14:paraId="6FBAB652" w14:textId="375A2C7F" w:rsidR="000362C7" w:rsidRDefault="000362C7" w:rsidP="00A94A0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TWA and STEL based on s</w:t>
            </w:r>
            <w:r w:rsidR="00B63402">
              <w:t>tudies demonstrating no new cases of asthma reported in workers exposed at levels below 0.3 mg/</w:t>
            </w:r>
            <w:r w:rsidR="00B63402" w:rsidRPr="00B63402">
              <w:t>m</w:t>
            </w:r>
            <w:r w:rsidR="00B63402">
              <w:rPr>
                <w:vertAlign w:val="superscript"/>
              </w:rPr>
              <w:t>3</w:t>
            </w:r>
            <w:r w:rsidR="00B63402">
              <w:t xml:space="preserve"> (cited by A</w:t>
            </w:r>
            <w:r>
              <w:t>CGIH, 2018)</w:t>
            </w:r>
          </w:p>
          <w:p w14:paraId="3519EF82" w14:textId="77777777" w:rsidR="00C978F0" w:rsidRDefault="000362C7" w:rsidP="00A94A0D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specific derivation provided</w:t>
            </w:r>
            <w:r w:rsidR="00036031">
              <w:t>.</w:t>
            </w:r>
          </w:p>
          <w:p w14:paraId="229197BE" w14:textId="30BBF104" w:rsidR="00C96E1D" w:rsidRPr="00DA352E" w:rsidRDefault="00C96E1D" w:rsidP="00C96E1D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</w:tc>
      </w:tr>
      <w:tr w:rsidR="00DA352E" w:rsidRPr="00DA352E" w14:paraId="7A19132B" w14:textId="77777777" w:rsidTr="00CB23FD">
        <w:trPr>
          <w:gridAfter w:val="1"/>
          <w:wAfter w:w="8" w:type="pct"/>
          <w:cantSplit/>
        </w:trPr>
        <w:tc>
          <w:tcPr>
            <w:tcW w:w="4990" w:type="pct"/>
            <w:shd w:val="clear" w:color="auto" w:fill="F2F2F2" w:themeFill="background1" w:themeFillShade="F2"/>
          </w:tcPr>
          <w:p w14:paraId="647510F9" w14:textId="63ADA4B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E797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E7970">
                  <w:t>NA</w:t>
                </w:r>
              </w:sdtContent>
            </w:sdt>
          </w:p>
        </w:tc>
      </w:tr>
      <w:tr w:rsidR="00DA352E" w:rsidRPr="00DA352E" w14:paraId="62408265" w14:textId="77777777" w:rsidTr="00CB23FD">
        <w:trPr>
          <w:gridAfter w:val="1"/>
          <w:wAfter w:w="8" w:type="pct"/>
          <w:cantSplit/>
        </w:trPr>
        <w:tc>
          <w:tcPr>
            <w:tcW w:w="4990" w:type="pct"/>
          </w:tcPr>
          <w:p w14:paraId="2F015C59" w14:textId="7BA35F67" w:rsidR="00DA352E" w:rsidRPr="00DA352E" w:rsidRDefault="005E7970" w:rsidP="003365A5">
            <w:pPr>
              <w:pStyle w:val="Tabletextprimarysource"/>
            </w:pPr>
            <w:r>
              <w:t>No report</w:t>
            </w:r>
            <w:r w:rsidR="0038065E">
              <w:t>.</w:t>
            </w:r>
          </w:p>
        </w:tc>
      </w:tr>
      <w:tr w:rsidR="00DA352E" w:rsidRPr="00DA352E" w14:paraId="60115D08" w14:textId="77777777" w:rsidTr="00CB23FD">
        <w:trPr>
          <w:gridAfter w:val="1"/>
          <w:wAfter w:w="8" w:type="pct"/>
          <w:cantSplit/>
        </w:trPr>
        <w:tc>
          <w:tcPr>
            <w:tcW w:w="4990" w:type="pct"/>
            <w:shd w:val="clear" w:color="auto" w:fill="F2F2F2" w:themeFill="background1" w:themeFillShade="F2"/>
          </w:tcPr>
          <w:p w14:paraId="5FD74225" w14:textId="50F15FF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E797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E7970">
                  <w:t>NA</w:t>
                </w:r>
              </w:sdtContent>
            </w:sdt>
          </w:p>
        </w:tc>
      </w:tr>
      <w:tr w:rsidR="00DA352E" w:rsidRPr="00DA352E" w14:paraId="29481BB0" w14:textId="77777777" w:rsidTr="00CB23FD">
        <w:trPr>
          <w:gridAfter w:val="1"/>
          <w:wAfter w:w="8" w:type="pct"/>
          <w:cantSplit/>
        </w:trPr>
        <w:tc>
          <w:tcPr>
            <w:tcW w:w="4990" w:type="pct"/>
          </w:tcPr>
          <w:p w14:paraId="152AE2B6" w14:textId="599D1E61" w:rsidR="00DA352E" w:rsidRPr="00DA352E" w:rsidRDefault="005E7970" w:rsidP="003365A5">
            <w:pPr>
              <w:pStyle w:val="Tabletextprimarysource"/>
            </w:pPr>
            <w:r>
              <w:t>No report</w:t>
            </w:r>
            <w:r w:rsidR="0038065E">
              <w:t>.</w:t>
            </w:r>
          </w:p>
        </w:tc>
      </w:tr>
    </w:tbl>
    <w:p w14:paraId="4E5AF1EC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972"/>
        <w:gridCol w:w="374"/>
        <w:gridCol w:w="661"/>
        <w:gridCol w:w="6452"/>
      </w:tblGrid>
      <w:tr w:rsidR="004966BF" w:rsidRPr="00263255" w14:paraId="7E8182C4" w14:textId="77777777" w:rsidTr="00CB2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972" w:type="dxa"/>
            <w:shd w:val="clear" w:color="auto" w:fill="BFBFBF" w:themeFill="background1" w:themeFillShade="BF"/>
            <w:vAlign w:val="center"/>
          </w:tcPr>
          <w:p w14:paraId="11FFD36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374" w:type="dxa"/>
            <w:shd w:val="clear" w:color="auto" w:fill="BFBFBF" w:themeFill="background1" w:themeFillShade="BF"/>
            <w:vAlign w:val="center"/>
          </w:tcPr>
          <w:p w14:paraId="1E5E337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EE951A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77EDF29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F97BF77" w14:textId="77777777" w:rsidTr="00CB23FD">
        <w:trPr>
          <w:cantSplit/>
        </w:trPr>
        <w:tc>
          <w:tcPr>
            <w:tcW w:w="972" w:type="dxa"/>
          </w:tcPr>
          <w:p w14:paraId="0A2F7201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374" w:type="dxa"/>
          </w:tcPr>
          <w:p w14:paraId="5935354D" w14:textId="29E4443A" w:rsidR="004966BF" w:rsidRPr="00CE617F" w:rsidRDefault="009925A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7692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7BADEB2" w14:textId="5A917F61" w:rsidR="00363787" w:rsidRDefault="0036378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  <w:p w14:paraId="694AB9DD" w14:textId="52357448" w:rsidR="004966BF" w:rsidRPr="004C23F4" w:rsidRDefault="0047692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6561C6DE" w14:textId="043B9242" w:rsidR="00476924" w:rsidRPr="00321A7F" w:rsidRDefault="00321A7F" w:rsidP="00321A7F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Multiple c</w:t>
            </w:r>
            <w:r w:rsidR="00476924" w:rsidRPr="00476924">
              <w:rPr>
                <w:rStyle w:val="checkbox"/>
                <w:rFonts w:ascii="Arial" w:hAnsi="Arial" w:cs="Arial"/>
              </w:rPr>
              <w:t>ase</w:t>
            </w:r>
            <w:r>
              <w:rPr>
                <w:rStyle w:val="checkbox"/>
                <w:rFonts w:ascii="Arial" w:hAnsi="Arial" w:cs="Arial"/>
              </w:rPr>
              <w:t>s</w:t>
            </w:r>
            <w:r w:rsidR="00476924" w:rsidRPr="00476924">
              <w:rPr>
                <w:rStyle w:val="checkbox"/>
                <w:rFonts w:ascii="Arial" w:hAnsi="Arial" w:cs="Arial"/>
              </w:rPr>
              <w:t xml:space="preserve"> of allergic dermatitis caused by piperazine in </w:t>
            </w:r>
            <w:r w:rsidR="00476924" w:rsidRPr="00321A7F">
              <w:rPr>
                <w:rStyle w:val="checkbox"/>
                <w:rFonts w:ascii="Arial" w:hAnsi="Arial" w:cs="Arial"/>
              </w:rPr>
              <w:t>therapeutic products reported</w:t>
            </w:r>
            <w:r w:rsidR="00476924" w:rsidRPr="00321A7F">
              <w:rPr>
                <w:rFonts w:cs="Arial"/>
              </w:rPr>
              <w:t xml:space="preserve"> </w:t>
            </w:r>
          </w:p>
          <w:p w14:paraId="420EAAE2" w14:textId="216E3FE2" w:rsidR="00A94A0D" w:rsidRDefault="00476924" w:rsidP="00321A7F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321A7F">
              <w:rPr>
                <w:rFonts w:cs="Arial"/>
              </w:rPr>
              <w:t xml:space="preserve">Study </w:t>
            </w:r>
            <w:r w:rsidR="00321A7F">
              <w:rPr>
                <w:rFonts w:cs="Arial"/>
              </w:rPr>
              <w:t>o</w:t>
            </w:r>
            <w:r w:rsidR="00321A7F">
              <w:t>f</w:t>
            </w:r>
            <w:r w:rsidRPr="00321A7F">
              <w:rPr>
                <w:rFonts w:cs="Arial"/>
              </w:rPr>
              <w:t xml:space="preserve"> 130 workers involved in manufacturing</w:t>
            </w:r>
            <w:r w:rsidR="00C96E1D">
              <w:rPr>
                <w:rFonts w:cs="Arial"/>
              </w:rPr>
              <w:t>:</w:t>
            </w:r>
            <w:r w:rsidRPr="00321A7F">
              <w:rPr>
                <w:rFonts w:cs="Arial"/>
              </w:rPr>
              <w:t xml:space="preserve"> </w:t>
            </w:r>
          </w:p>
          <w:p w14:paraId="31FFD0D9" w14:textId="4308C65F" w:rsidR="00A94A0D" w:rsidRDefault="00476924" w:rsidP="00A94A0D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  <w:rPr>
                <w:rFonts w:cs="Arial"/>
              </w:rPr>
            </w:pPr>
            <w:r w:rsidRPr="00321A7F">
              <w:rPr>
                <w:rFonts w:cs="Arial"/>
              </w:rPr>
              <w:t xml:space="preserve">asthma </w:t>
            </w:r>
            <w:r w:rsidRPr="00321A7F">
              <w:t>associated</w:t>
            </w:r>
            <w:r w:rsidRPr="00321A7F">
              <w:rPr>
                <w:rFonts w:cs="Arial"/>
              </w:rPr>
              <w:t xml:space="preserve"> with occupational exposure identified in 15 current em</w:t>
            </w:r>
            <w:r w:rsidR="00363787" w:rsidRPr="00321A7F">
              <w:rPr>
                <w:rFonts w:cs="Arial"/>
              </w:rPr>
              <w:t>ployees and 18 former employees</w:t>
            </w:r>
            <w:r w:rsidRPr="00321A7F">
              <w:rPr>
                <w:rFonts w:cs="Arial"/>
              </w:rPr>
              <w:t xml:space="preserve"> </w:t>
            </w:r>
          </w:p>
          <w:p w14:paraId="05FA22E9" w14:textId="42AF0A45" w:rsidR="00A94A0D" w:rsidRDefault="00363787" w:rsidP="00A94A0D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  <w:rPr>
                <w:rFonts w:cs="Arial"/>
              </w:rPr>
            </w:pPr>
            <w:r w:rsidRPr="00321A7F">
              <w:rPr>
                <w:rFonts w:cs="Arial"/>
              </w:rPr>
              <w:t>29</w:t>
            </w:r>
            <w:r w:rsidR="00321A7F">
              <w:rPr>
                <w:rFonts w:cs="Arial"/>
              </w:rPr>
              <w:t>/</w:t>
            </w:r>
            <w:r w:rsidRPr="00321A7F">
              <w:rPr>
                <w:rFonts w:cs="Arial"/>
              </w:rPr>
              <w:t>33</w:t>
            </w:r>
            <w:r w:rsidR="00476924" w:rsidRPr="00321A7F">
              <w:rPr>
                <w:rFonts w:cs="Arial"/>
              </w:rPr>
              <w:t xml:space="preserve"> cases of asthma directly related to piperazine</w:t>
            </w:r>
            <w:r w:rsidRPr="00321A7F">
              <w:rPr>
                <w:rFonts w:cs="Arial"/>
              </w:rPr>
              <w:t xml:space="preserve"> </w:t>
            </w:r>
          </w:p>
          <w:p w14:paraId="04CD477A" w14:textId="3DFBF531" w:rsidR="00476924" w:rsidRPr="00321A7F" w:rsidRDefault="00321A7F" w:rsidP="00A94A0D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no</w:t>
            </w:r>
            <w:r w:rsidR="00363787" w:rsidRPr="00321A7F">
              <w:rPr>
                <w:rFonts w:cs="Arial"/>
              </w:rPr>
              <w:t xml:space="preserve"> subjects had a history of asthma before employment</w:t>
            </w:r>
          </w:p>
          <w:p w14:paraId="72C94CE4" w14:textId="760B799C" w:rsidR="00476924" w:rsidRPr="00363787" w:rsidRDefault="00476924" w:rsidP="00321A7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321A7F">
              <w:rPr>
                <w:rFonts w:cs="Arial"/>
              </w:rPr>
              <w:t>Moderate to severe erythema</w:t>
            </w:r>
            <w:r w:rsidR="0038065E" w:rsidRPr="00321A7F">
              <w:rPr>
                <w:rFonts w:cs="Arial"/>
              </w:rPr>
              <w:t xml:space="preserve"> </w:t>
            </w:r>
            <w:r w:rsidR="00321A7F">
              <w:rPr>
                <w:rFonts w:cs="Arial"/>
              </w:rPr>
              <w:t xml:space="preserve">in </w:t>
            </w:r>
            <w:r w:rsidRPr="00321A7F">
              <w:rPr>
                <w:rFonts w:cs="Arial"/>
              </w:rPr>
              <w:t xml:space="preserve">rabbits exposed to 0.5 mL as </w:t>
            </w:r>
            <w:r w:rsidRPr="00321A7F">
              <w:t>occlusive</w:t>
            </w:r>
            <w:r w:rsidRPr="00321A7F">
              <w:rPr>
                <w:rFonts w:cs="Arial"/>
              </w:rPr>
              <w:t xml:space="preserve"> patches, for 3 min or 1 h</w:t>
            </w:r>
            <w:r w:rsidR="0038065E" w:rsidRPr="00321A7F">
              <w:rPr>
                <w:rFonts w:cs="Arial"/>
              </w:rPr>
              <w:t>.</w:t>
            </w:r>
          </w:p>
        </w:tc>
      </w:tr>
    </w:tbl>
    <w:bookmarkEnd w:id="1"/>
    <w:p w14:paraId="182CCF0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6BA2E1A" w14:textId="77777777" w:rsidTr="00363787">
        <w:trPr>
          <w:trHeight w:val="454"/>
          <w:tblHeader/>
        </w:trPr>
        <w:tc>
          <w:tcPr>
            <w:tcW w:w="6603" w:type="dxa"/>
            <w:vAlign w:val="center"/>
          </w:tcPr>
          <w:p w14:paraId="0A0E9EB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DEC20FB" w14:textId="08925A9D" w:rsidR="002E0D61" w:rsidRDefault="0036378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8C83ACB" w14:textId="77777777" w:rsidTr="0036378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E19B230" w14:textId="000E3147" w:rsidR="008A36CF" w:rsidRPr="006901A2" w:rsidRDefault="0036378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AD5D7E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60FB223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4513"/>
        <w:gridCol w:w="4513"/>
      </w:tblGrid>
      <w:tr w:rsidR="00687890" w:rsidRPr="004C23F4" w14:paraId="43C2197C" w14:textId="77777777" w:rsidTr="00CB2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0" w:type="dxa"/>
            <w:shd w:val="clear" w:color="auto" w:fill="BFBFBF" w:themeFill="background1" w:themeFillShade="BF"/>
            <w:vAlign w:val="center"/>
          </w:tcPr>
          <w:p w14:paraId="1D5BAA96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0" w:type="dxa"/>
            <w:shd w:val="clear" w:color="auto" w:fill="BFBFBF" w:themeFill="background1" w:themeFillShade="BF"/>
            <w:vAlign w:val="center"/>
          </w:tcPr>
          <w:p w14:paraId="60AC0ED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1A9C32" w14:textId="77777777" w:rsidTr="00CB23FD">
        <w:trPr>
          <w:cantSplit/>
        </w:trPr>
        <w:tc>
          <w:tcPr>
            <w:tcW w:w="0" w:type="dxa"/>
          </w:tcPr>
          <w:p w14:paraId="0858798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0" w:type="dxa"/>
          </w:tcPr>
          <w:p w14:paraId="453BBEFC" w14:textId="2AA969A3" w:rsidR="00687890" w:rsidRPr="00DD2F9B" w:rsidRDefault="005E797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852B111" w14:textId="77777777" w:rsidTr="00CB23FD">
        <w:trPr>
          <w:cantSplit/>
        </w:trPr>
        <w:tc>
          <w:tcPr>
            <w:tcW w:w="0" w:type="dxa"/>
          </w:tcPr>
          <w:p w14:paraId="37E6EB0E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0" w:type="dxa"/>
          </w:tcPr>
          <w:p w14:paraId="30D4371A" w14:textId="7BBE7737" w:rsidR="007925F0" w:rsidRPr="00DD2F9B" w:rsidRDefault="005E7970" w:rsidP="00DD2F9B">
            <w:pPr>
              <w:pStyle w:val="Tablefont"/>
            </w:pPr>
            <w:r w:rsidRPr="005E7970">
              <w:t>Respiratory sensitisation – category 1</w:t>
            </w:r>
            <w:r>
              <w:t xml:space="preserve">, </w:t>
            </w:r>
            <w:r w:rsidRPr="005E7970">
              <w:t>Skin sensitisation – category 1</w:t>
            </w:r>
          </w:p>
        </w:tc>
      </w:tr>
      <w:tr w:rsidR="00AF483F" w:rsidRPr="004C23F4" w14:paraId="11D45E3D" w14:textId="77777777" w:rsidTr="00CB23FD">
        <w:trPr>
          <w:cantSplit/>
        </w:trPr>
        <w:tc>
          <w:tcPr>
            <w:tcW w:w="0" w:type="dxa"/>
          </w:tcPr>
          <w:p w14:paraId="775FC41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0" w:type="dxa"/>
          </w:tcPr>
          <w:p w14:paraId="2FF2D4A4" w14:textId="30119351" w:rsidR="00AF483F" w:rsidRPr="00DD2F9B" w:rsidRDefault="00363787" w:rsidP="00DD2F9B">
            <w:pPr>
              <w:pStyle w:val="Tablefont"/>
            </w:pPr>
            <w:r w:rsidRPr="00782AA0">
              <w:t>—</w:t>
            </w:r>
          </w:p>
        </w:tc>
      </w:tr>
      <w:tr w:rsidR="00687890" w:rsidRPr="004C23F4" w14:paraId="5ACFD6C8" w14:textId="77777777" w:rsidTr="00CB23FD">
        <w:trPr>
          <w:cantSplit/>
        </w:trPr>
        <w:tc>
          <w:tcPr>
            <w:tcW w:w="0" w:type="dxa"/>
          </w:tcPr>
          <w:p w14:paraId="1B3008A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0" w:type="dxa"/>
          </w:tcPr>
          <w:p w14:paraId="1CC8B4E1" w14:textId="22EC14A9" w:rsidR="00687890" w:rsidRPr="00DD2F9B" w:rsidRDefault="00782AA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18FE44E" w14:textId="77777777" w:rsidTr="00CB23FD">
        <w:trPr>
          <w:cantSplit/>
        </w:trPr>
        <w:tc>
          <w:tcPr>
            <w:tcW w:w="0" w:type="dxa"/>
          </w:tcPr>
          <w:p w14:paraId="726F959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0" w:type="dxa"/>
          </w:tcPr>
          <w:p w14:paraId="3DCAA104" w14:textId="407168AA" w:rsidR="00E41A26" w:rsidRPr="00DD2F9B" w:rsidRDefault="00782AA0" w:rsidP="00DD2F9B">
            <w:pPr>
              <w:pStyle w:val="Tablefont"/>
            </w:pPr>
            <w:r w:rsidRPr="00782AA0">
              <w:t>Resp. Sens. 1</w:t>
            </w:r>
            <w:r>
              <w:t xml:space="preserve">, </w:t>
            </w:r>
            <w:r w:rsidRPr="00782AA0">
              <w:t>Skin Sens. 1</w:t>
            </w:r>
          </w:p>
        </w:tc>
      </w:tr>
      <w:tr w:rsidR="002E0D61" w:rsidRPr="004C23F4" w14:paraId="73D6649F" w14:textId="77777777" w:rsidTr="00CB23FD">
        <w:trPr>
          <w:cantSplit/>
        </w:trPr>
        <w:tc>
          <w:tcPr>
            <w:tcW w:w="0" w:type="dxa"/>
          </w:tcPr>
          <w:p w14:paraId="2836539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0" w:type="dxa"/>
          </w:tcPr>
          <w:p w14:paraId="47326841" w14:textId="0C214FA8" w:rsidR="002E0D61" w:rsidRPr="00DD2F9B" w:rsidRDefault="00782AA0" w:rsidP="00DD2F9B">
            <w:pPr>
              <w:pStyle w:val="Tablefont"/>
            </w:pPr>
            <w:r w:rsidRPr="00782AA0">
              <w:t>RSEN</w:t>
            </w:r>
            <w:r>
              <w:t xml:space="preserve">, </w:t>
            </w:r>
            <w:r w:rsidRPr="00782AA0">
              <w:t>DSEN</w:t>
            </w:r>
            <w:r>
              <w:t xml:space="preserve">, </w:t>
            </w:r>
            <w:r w:rsidRPr="00782AA0">
              <w:t>Carcinogenicity – A4</w:t>
            </w:r>
          </w:p>
        </w:tc>
      </w:tr>
      <w:tr w:rsidR="002E0D61" w:rsidRPr="004C23F4" w14:paraId="142036BC" w14:textId="77777777" w:rsidTr="00CB23FD">
        <w:trPr>
          <w:cantSplit/>
        </w:trPr>
        <w:tc>
          <w:tcPr>
            <w:tcW w:w="0" w:type="dxa"/>
          </w:tcPr>
          <w:p w14:paraId="02DF0DE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0" w:type="dxa"/>
          </w:tcPr>
          <w:p w14:paraId="4224AD7C" w14:textId="2164F119" w:rsidR="002E0D61" w:rsidRPr="00DD2F9B" w:rsidRDefault="00782AA0" w:rsidP="00DD2F9B">
            <w:pPr>
              <w:pStyle w:val="Tablefont"/>
            </w:pPr>
            <w:r w:rsidRPr="00782AA0">
              <w:t>Sa (respiratory sensitiser)</w:t>
            </w:r>
            <w:r>
              <w:t xml:space="preserve">, </w:t>
            </w:r>
            <w:r w:rsidRPr="00782AA0">
              <w:t>Sh (dermal sensitiser)</w:t>
            </w:r>
          </w:p>
        </w:tc>
      </w:tr>
      <w:tr w:rsidR="002E0D61" w:rsidRPr="004C23F4" w14:paraId="223E3909" w14:textId="77777777" w:rsidTr="00CB23FD">
        <w:trPr>
          <w:cantSplit/>
        </w:trPr>
        <w:tc>
          <w:tcPr>
            <w:tcW w:w="0" w:type="dxa"/>
          </w:tcPr>
          <w:p w14:paraId="32E075C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0" w:type="dxa"/>
          </w:tcPr>
          <w:p w14:paraId="68125470" w14:textId="724EF5B7" w:rsidR="002E0D61" w:rsidRPr="00DD2F9B" w:rsidRDefault="00782AA0" w:rsidP="00DD2F9B">
            <w:pPr>
              <w:pStyle w:val="Tablefont"/>
            </w:pPr>
            <w:r w:rsidRPr="00782AA0">
              <w:t>—</w:t>
            </w:r>
          </w:p>
        </w:tc>
      </w:tr>
      <w:tr w:rsidR="002E0D61" w:rsidRPr="004C23F4" w14:paraId="5363D652" w14:textId="77777777" w:rsidTr="00CB23FD">
        <w:trPr>
          <w:cantSplit/>
        </w:trPr>
        <w:tc>
          <w:tcPr>
            <w:tcW w:w="0" w:type="dxa"/>
          </w:tcPr>
          <w:p w14:paraId="481EDAC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0" w:type="dxa"/>
          </w:tcPr>
          <w:p w14:paraId="62BBA2DD" w14:textId="7060C71F" w:rsidR="002E0D61" w:rsidRPr="00DD2F9B" w:rsidRDefault="00782A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C5AE194" w14:textId="77777777" w:rsidTr="00CB23FD">
        <w:trPr>
          <w:cantSplit/>
        </w:trPr>
        <w:tc>
          <w:tcPr>
            <w:tcW w:w="0" w:type="dxa"/>
          </w:tcPr>
          <w:p w14:paraId="3821E00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0" w:type="dxa"/>
          </w:tcPr>
          <w:p w14:paraId="069D51E1" w14:textId="41EA97F0" w:rsidR="00386093" w:rsidRPr="00DD2F9B" w:rsidRDefault="00782A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2769606" w14:textId="77777777" w:rsidTr="00CB23FD">
        <w:trPr>
          <w:cantSplit/>
        </w:trPr>
        <w:tc>
          <w:tcPr>
            <w:tcW w:w="0" w:type="dxa"/>
          </w:tcPr>
          <w:p w14:paraId="258CD77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0" w:type="dxa"/>
          </w:tcPr>
          <w:p w14:paraId="27339F64" w14:textId="5553CAB2" w:rsidR="00386093" w:rsidRPr="00DD2F9B" w:rsidRDefault="00782AA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1A661DB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A8F2F3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AB6CA9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213BFE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04E953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16" w:type="dxa"/>
              <w:tblLook w:val="04A0" w:firstRow="1" w:lastRow="0" w:firstColumn="1" w:lastColumn="0" w:noHBand="0" w:noVBand="1"/>
            </w:tblPr>
            <w:tblGrid>
              <w:gridCol w:w="3826"/>
              <w:gridCol w:w="1129"/>
              <w:gridCol w:w="1129"/>
              <w:gridCol w:w="2726"/>
            </w:tblGrid>
            <w:tr w:rsidR="00F20CF5" w:rsidRPr="00F20CF5" w14:paraId="452EF05C" w14:textId="77777777" w:rsidTr="00F20CF5">
              <w:trPr>
                <w:trHeight w:val="328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DEEC07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5117665" w14:textId="77777777" w:rsidR="00F20CF5" w:rsidRPr="00F20CF5" w:rsidRDefault="00F20CF5" w:rsidP="00F20CF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F80730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389812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0CF5" w:rsidRPr="00F20CF5" w14:paraId="6C8CF77E" w14:textId="77777777" w:rsidTr="00F20CF5">
              <w:trPr>
                <w:trHeight w:val="328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C7E326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61E797" w14:textId="77777777" w:rsidR="00F20CF5" w:rsidRPr="00F20CF5" w:rsidRDefault="00F20CF5" w:rsidP="00F20CF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FE944E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8C1EF8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0CF5" w:rsidRPr="00F20CF5" w14:paraId="28EE136D" w14:textId="77777777" w:rsidTr="00F20CF5">
              <w:trPr>
                <w:trHeight w:val="328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FF9016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478AD0" w14:textId="77777777" w:rsidR="00F20CF5" w:rsidRPr="00F20CF5" w:rsidRDefault="00F20CF5" w:rsidP="00F20CF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A519EA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E0035F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0CF5" w:rsidRPr="00F20CF5" w14:paraId="7E1F9BB1" w14:textId="77777777" w:rsidTr="00F20CF5">
              <w:trPr>
                <w:trHeight w:val="328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6C141D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4C7C5E" w14:textId="77777777" w:rsidR="00F20CF5" w:rsidRPr="00F20CF5" w:rsidRDefault="00F20CF5" w:rsidP="00F20CF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4C0833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E37581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0CF5" w:rsidRPr="00F20CF5" w14:paraId="06B656D5" w14:textId="77777777" w:rsidTr="00F20CF5">
              <w:trPr>
                <w:trHeight w:val="328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A4E098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48F478" w14:textId="77777777" w:rsidR="00F20CF5" w:rsidRPr="00F20CF5" w:rsidRDefault="00F20CF5" w:rsidP="00F20CF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D783D9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E9F706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0CF5" w:rsidRPr="00F20CF5" w14:paraId="601948D2" w14:textId="77777777" w:rsidTr="00F20CF5">
              <w:trPr>
                <w:trHeight w:val="328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DDEF5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CF0B9C" w14:textId="77777777" w:rsidR="00F20CF5" w:rsidRPr="00F20CF5" w:rsidRDefault="00F20CF5" w:rsidP="00F20CF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FD38C2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77698E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0CF5" w:rsidRPr="00F20CF5" w14:paraId="7C5890EB" w14:textId="77777777" w:rsidTr="00F20CF5">
              <w:trPr>
                <w:trHeight w:val="328"/>
              </w:trPr>
              <w:tc>
                <w:tcPr>
                  <w:tcW w:w="38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0B9122" w14:textId="77777777" w:rsidR="00F20CF5" w:rsidRPr="00F20CF5" w:rsidRDefault="00F20CF5" w:rsidP="00F20CF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CB8DF4" w14:textId="77777777" w:rsidR="00F20CF5" w:rsidRPr="00F20CF5" w:rsidRDefault="00F20CF5" w:rsidP="00F20CF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11CA39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87947E" w14:textId="77777777" w:rsidR="00F20CF5" w:rsidRPr="00F20CF5" w:rsidRDefault="00F20CF5" w:rsidP="00F20CF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0CF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187582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41BEEA7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693B39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434E93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CE48A20" w14:textId="426EC3C5" w:rsidR="00EB3D1B" w:rsidRDefault="00782AA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B5E342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A1C17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04674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FB1330" w14:textId="526E4E2B" w:rsidR="001B79E5" w:rsidRDefault="00782AA0" w:rsidP="001B79E5">
                <w:pPr>
                  <w:pStyle w:val="Tablefont"/>
                </w:pPr>
                <w:r w:rsidRPr="00782AA0">
                  <w:t>86.13</w:t>
                </w:r>
              </w:p>
            </w:tc>
          </w:sdtContent>
        </w:sdt>
      </w:tr>
      <w:tr w:rsidR="00A31D99" w:rsidRPr="004C23F4" w14:paraId="6270165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ADC01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EB009A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1E372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155E4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CD6689" w14:textId="604F20D6" w:rsidR="00687890" w:rsidRPr="004C23F4" w:rsidRDefault="00C0264A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96E5797" w14:textId="77777777" w:rsidTr="00EA6243">
        <w:trPr>
          <w:cantSplit/>
        </w:trPr>
        <w:tc>
          <w:tcPr>
            <w:tcW w:w="4077" w:type="dxa"/>
            <w:vAlign w:val="center"/>
          </w:tcPr>
          <w:p w14:paraId="0DB92B4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BE5FD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C154178" w14:textId="77777777" w:rsidTr="00EA6243">
        <w:trPr>
          <w:cantSplit/>
        </w:trPr>
        <w:tc>
          <w:tcPr>
            <w:tcW w:w="4077" w:type="dxa"/>
            <w:vAlign w:val="center"/>
          </w:tcPr>
          <w:p w14:paraId="6922ED5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F834F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78F913A" w14:textId="77777777" w:rsidTr="00EA6243">
        <w:trPr>
          <w:cantSplit/>
        </w:trPr>
        <w:tc>
          <w:tcPr>
            <w:tcW w:w="4077" w:type="dxa"/>
            <w:vAlign w:val="center"/>
          </w:tcPr>
          <w:p w14:paraId="567D931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A8125B0" w14:textId="77777777" w:rsidR="00E06F40" w:rsidRPr="00A006A0" w:rsidRDefault="009925A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9C33211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A75EB6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064816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AC5345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857923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8D4F40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CA1DAE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291B1C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A5D2E87" w14:textId="3B77C45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CB4A55B" w14:textId="27855298" w:rsidR="00782AA0" w:rsidRDefault="00782AA0" w:rsidP="00084859">
      <w:r w:rsidRPr="002022B6">
        <w:t>Deutsche Forschungsgemeinschaft (DFG)</w:t>
      </w:r>
      <w:r>
        <w:t xml:space="preserve"> (1998) </w:t>
      </w:r>
      <w:r w:rsidRPr="00782AA0">
        <w:t>Piperazine</w:t>
      </w:r>
      <w:r>
        <w:t xml:space="preserve"> – MAK value documentation.</w:t>
      </w:r>
    </w:p>
    <w:p w14:paraId="0AE3BF83" w14:textId="6068E212" w:rsidR="00782AA0" w:rsidRDefault="00782AA0" w:rsidP="00084859">
      <w:r>
        <w:t xml:space="preserve">European Chemicals Agency (ECHA) (2019) </w:t>
      </w:r>
      <w:r w:rsidRPr="00782AA0">
        <w:t>Piperazine</w:t>
      </w:r>
      <w:r>
        <w:t xml:space="preserve"> – REACH assessment.</w:t>
      </w:r>
    </w:p>
    <w:p w14:paraId="0C4D0894" w14:textId="487171F0" w:rsidR="00782AA0" w:rsidRDefault="00782AA0" w:rsidP="00084859">
      <w:r w:rsidRPr="002022B6">
        <w:t>EU Scientific Committee on Occupational Exposure Limits (SCOEL)</w:t>
      </w:r>
      <w:r>
        <w:t xml:space="preserve"> (</w:t>
      </w:r>
      <w:r w:rsidRPr="00782AA0">
        <w:t>1997</w:t>
      </w:r>
      <w:r>
        <w:t xml:space="preserve">) Recommendation from the Scientific Committee on Occupational Exposure Limits for </w:t>
      </w:r>
      <w:r w:rsidRPr="00782AA0">
        <w:t>piperazine</w:t>
      </w:r>
      <w:r>
        <w:t>. SCOEL/</w:t>
      </w:r>
      <w:r w:rsidRPr="00782AA0">
        <w:t>SUM/78</w:t>
      </w:r>
      <w:r>
        <w:t>.</w:t>
      </w:r>
    </w:p>
    <w:p w14:paraId="34E1C2E7" w14:textId="77777777" w:rsidR="00363787" w:rsidRPr="00351FE0" w:rsidRDefault="00363787" w:rsidP="00363787">
      <w:r>
        <w:t>National Industrial Chemicals Notification and Assessment Scheme (NICNAS) (</w:t>
      </w:r>
      <w:r w:rsidRPr="00CD69A3">
        <w:t>2018</w:t>
      </w:r>
      <w:r>
        <w:t xml:space="preserve">) </w:t>
      </w:r>
      <w:r w:rsidRPr="00CD69A3">
        <w:t>Piperazine salts</w:t>
      </w:r>
      <w:r>
        <w:t xml:space="preserve">: Human health </w:t>
      </w:r>
      <w:r w:rsidRPr="00CD69A3">
        <w:t>tier II</w:t>
      </w:r>
      <w:r>
        <w:t xml:space="preserve"> assessment – IMAP report.</w:t>
      </w:r>
    </w:p>
    <w:p w14:paraId="279B9DA2" w14:textId="6B633E5B" w:rsidR="00782AA0" w:rsidRPr="00351FE0" w:rsidRDefault="00363787" w:rsidP="00084859">
      <w:r>
        <w:t xml:space="preserve">National Industrial Chemicals Notification and Assessment Scheme (NICNAS) (2019) Piperazine: Human health </w:t>
      </w:r>
      <w:r w:rsidRPr="00CD69A3">
        <w:t>tier II</w:t>
      </w:r>
      <w:r>
        <w:t xml:space="preserve"> assessment – IMAP report.</w:t>
      </w:r>
    </w:p>
    <w:sectPr w:rsidR="00782AA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30132" w14:textId="77777777" w:rsidR="00FB74F4" w:rsidRDefault="00FB74F4" w:rsidP="00F43AD5">
      <w:pPr>
        <w:spacing w:after="0" w:line="240" w:lineRule="auto"/>
      </w:pPr>
      <w:r>
        <w:separator/>
      </w:r>
    </w:p>
  </w:endnote>
  <w:endnote w:type="continuationSeparator" w:id="0">
    <w:p w14:paraId="42808217" w14:textId="77777777" w:rsidR="00FB74F4" w:rsidRDefault="00FB74F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DE84878" w14:textId="77777777" w:rsidR="005E7970" w:rsidRPr="005E7970" w:rsidRDefault="005E7970" w:rsidP="005E7970">
        <w:pPr>
          <w:pStyle w:val="Footer"/>
          <w:rPr>
            <w:b/>
            <w:sz w:val="18"/>
            <w:szCs w:val="18"/>
          </w:rPr>
        </w:pPr>
      </w:p>
      <w:p w14:paraId="6B325161" w14:textId="2F7062EF" w:rsidR="008A36CF" w:rsidRDefault="005E7970" w:rsidP="00321A7F">
        <w:pPr>
          <w:pStyle w:val="Footer"/>
          <w:spacing w:before="240"/>
          <w:rPr>
            <w:sz w:val="18"/>
            <w:szCs w:val="18"/>
          </w:rPr>
        </w:pPr>
        <w:r w:rsidRPr="005E7970">
          <w:rPr>
            <w:b/>
            <w:sz w:val="18"/>
            <w:szCs w:val="18"/>
          </w:rPr>
          <w:t>Piperazine and salts</w:t>
        </w:r>
        <w:r w:rsidR="008A36CF">
          <w:rPr>
            <w:b/>
            <w:sz w:val="18"/>
            <w:szCs w:val="18"/>
          </w:rPr>
          <w:t xml:space="preserve"> (</w:t>
        </w:r>
        <w:r w:rsidRPr="005E7970">
          <w:rPr>
            <w:b/>
            <w:sz w:val="18"/>
            <w:szCs w:val="18"/>
          </w:rPr>
          <w:t>110-85-0</w:t>
        </w:r>
        <w:r w:rsidR="008A36CF">
          <w:rPr>
            <w:b/>
            <w:sz w:val="18"/>
            <w:szCs w:val="18"/>
          </w:rPr>
          <w:t>)</w:t>
        </w:r>
        <w:r w:rsidR="00321A7F">
          <w:rPr>
            <w:b/>
            <w:sz w:val="18"/>
            <w:szCs w:val="18"/>
          </w:rPr>
          <w:t xml:space="preserve"> (</w:t>
        </w:r>
        <w:r w:rsidR="00321A7F" w:rsidRPr="00321A7F">
          <w:rPr>
            <w:b/>
            <w:sz w:val="18"/>
          </w:rPr>
          <w:t>142-64-3</w:t>
        </w:r>
        <w:r w:rsidR="00321A7F" w:rsidRPr="00321A7F">
          <w:rPr>
            <w:b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321A7F">
          <w:rPr>
            <w:sz w:val="18"/>
            <w:szCs w:val="18"/>
          </w:rPr>
          <w:t>20</w:t>
        </w:r>
      </w:p>
      <w:p w14:paraId="0468DEEB" w14:textId="1BD67DC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808DC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1980C" w14:textId="77777777" w:rsidR="00FB74F4" w:rsidRDefault="00FB74F4" w:rsidP="00F43AD5">
      <w:pPr>
        <w:spacing w:after="0" w:line="240" w:lineRule="auto"/>
      </w:pPr>
      <w:r>
        <w:separator/>
      </w:r>
    </w:p>
  </w:footnote>
  <w:footnote w:type="continuationSeparator" w:id="0">
    <w:p w14:paraId="1F428B04" w14:textId="77777777" w:rsidR="00FB74F4" w:rsidRDefault="00FB74F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DD02" w14:textId="7777777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ACA3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5829E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12077D2"/>
    <w:multiLevelType w:val="hybridMultilevel"/>
    <w:tmpl w:val="2362EF0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63E46963"/>
    <w:multiLevelType w:val="hybridMultilevel"/>
    <w:tmpl w:val="72DCE6F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54790564">
    <w:abstractNumId w:val="0"/>
  </w:num>
  <w:num w:numId="2" w16cid:durableId="1539052079">
    <w:abstractNumId w:val="2"/>
  </w:num>
  <w:num w:numId="3" w16cid:durableId="2000618153">
    <w:abstractNumId w:val="0"/>
  </w:num>
  <w:num w:numId="4" w16cid:durableId="1875271219">
    <w:abstractNumId w:val="0"/>
  </w:num>
  <w:num w:numId="5" w16cid:durableId="447429059">
    <w:abstractNumId w:val="0"/>
  </w:num>
  <w:num w:numId="6" w16cid:durableId="410860059">
    <w:abstractNumId w:val="0"/>
  </w:num>
  <w:num w:numId="7" w16cid:durableId="1705904187">
    <w:abstractNumId w:val="0"/>
  </w:num>
  <w:num w:numId="8" w16cid:durableId="35668743">
    <w:abstractNumId w:val="0"/>
  </w:num>
  <w:num w:numId="9" w16cid:durableId="865101003">
    <w:abstractNumId w:val="0"/>
  </w:num>
  <w:num w:numId="10" w16cid:durableId="957184338">
    <w:abstractNumId w:val="0"/>
  </w:num>
  <w:num w:numId="11" w16cid:durableId="426266101">
    <w:abstractNumId w:val="0"/>
  </w:num>
  <w:num w:numId="12" w16cid:durableId="798306981">
    <w:abstractNumId w:val="0"/>
  </w:num>
  <w:num w:numId="13" w16cid:durableId="915625418">
    <w:abstractNumId w:val="0"/>
  </w:num>
  <w:num w:numId="14" w16cid:durableId="1715612805">
    <w:abstractNumId w:val="0"/>
  </w:num>
  <w:num w:numId="15" w16cid:durableId="691802734">
    <w:abstractNumId w:val="0"/>
  </w:num>
  <w:num w:numId="16" w16cid:durableId="882060506">
    <w:abstractNumId w:val="0"/>
  </w:num>
  <w:num w:numId="17" w16cid:durableId="2046321030">
    <w:abstractNumId w:val="0"/>
  </w:num>
  <w:num w:numId="18" w16cid:durableId="470486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6031"/>
    <w:rsid w:val="000362C7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2E5B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0A"/>
    <w:rsid w:val="00146B75"/>
    <w:rsid w:val="0015266D"/>
    <w:rsid w:val="0015288A"/>
    <w:rsid w:val="00154264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48F7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5CC2"/>
    <w:rsid w:val="002B1A2C"/>
    <w:rsid w:val="002C34F2"/>
    <w:rsid w:val="002C58FF"/>
    <w:rsid w:val="002C7AFE"/>
    <w:rsid w:val="002D05D2"/>
    <w:rsid w:val="002E02CD"/>
    <w:rsid w:val="002E0D61"/>
    <w:rsid w:val="002E4C7B"/>
    <w:rsid w:val="00303FD1"/>
    <w:rsid w:val="0030740C"/>
    <w:rsid w:val="00315833"/>
    <w:rsid w:val="003215EE"/>
    <w:rsid w:val="00321A7F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787"/>
    <w:rsid w:val="00370DBF"/>
    <w:rsid w:val="0038065E"/>
    <w:rsid w:val="00386093"/>
    <w:rsid w:val="003904A4"/>
    <w:rsid w:val="00391841"/>
    <w:rsid w:val="00391B6D"/>
    <w:rsid w:val="00394922"/>
    <w:rsid w:val="003A0E32"/>
    <w:rsid w:val="003A2B94"/>
    <w:rsid w:val="003A5EF9"/>
    <w:rsid w:val="003B27F4"/>
    <w:rsid w:val="003B387D"/>
    <w:rsid w:val="003C0D58"/>
    <w:rsid w:val="003D4FA3"/>
    <w:rsid w:val="003E0807"/>
    <w:rsid w:val="003E51FB"/>
    <w:rsid w:val="003E624C"/>
    <w:rsid w:val="003E6B39"/>
    <w:rsid w:val="003F07E1"/>
    <w:rsid w:val="004030BC"/>
    <w:rsid w:val="00403F7D"/>
    <w:rsid w:val="00406785"/>
    <w:rsid w:val="004079B4"/>
    <w:rsid w:val="004122F1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6949"/>
    <w:rsid w:val="00472A11"/>
    <w:rsid w:val="00472AAD"/>
    <w:rsid w:val="00474E33"/>
    <w:rsid w:val="004764F3"/>
    <w:rsid w:val="00476803"/>
    <w:rsid w:val="00476924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3D51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177A"/>
    <w:rsid w:val="005446A2"/>
    <w:rsid w:val="00544D2F"/>
    <w:rsid w:val="00551BD8"/>
    <w:rsid w:val="00552357"/>
    <w:rsid w:val="00581055"/>
    <w:rsid w:val="00591E38"/>
    <w:rsid w:val="00592DE8"/>
    <w:rsid w:val="005A19C5"/>
    <w:rsid w:val="005A3034"/>
    <w:rsid w:val="005A462D"/>
    <w:rsid w:val="005B253B"/>
    <w:rsid w:val="005B771D"/>
    <w:rsid w:val="005C5869"/>
    <w:rsid w:val="005C5D16"/>
    <w:rsid w:val="005D3193"/>
    <w:rsid w:val="005D4A6E"/>
    <w:rsid w:val="005D52F9"/>
    <w:rsid w:val="005E6979"/>
    <w:rsid w:val="005E75CB"/>
    <w:rsid w:val="005E7970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D21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5228"/>
    <w:rsid w:val="006B160A"/>
    <w:rsid w:val="006B4E6C"/>
    <w:rsid w:val="006B50B6"/>
    <w:rsid w:val="006D79EA"/>
    <w:rsid w:val="006E5D05"/>
    <w:rsid w:val="00701053"/>
    <w:rsid w:val="00701507"/>
    <w:rsid w:val="0070642C"/>
    <w:rsid w:val="00714021"/>
    <w:rsid w:val="00716A0F"/>
    <w:rsid w:val="00717D45"/>
    <w:rsid w:val="007208F7"/>
    <w:rsid w:val="007218AF"/>
    <w:rsid w:val="00734288"/>
    <w:rsid w:val="007365D1"/>
    <w:rsid w:val="00740E0E"/>
    <w:rsid w:val="00750212"/>
    <w:rsid w:val="00754779"/>
    <w:rsid w:val="0075716D"/>
    <w:rsid w:val="00765F14"/>
    <w:rsid w:val="00770E31"/>
    <w:rsid w:val="007770F1"/>
    <w:rsid w:val="00782AA0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17FB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08DC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3CAD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08D"/>
    <w:rsid w:val="00984920"/>
    <w:rsid w:val="009925A4"/>
    <w:rsid w:val="0099303A"/>
    <w:rsid w:val="009971C2"/>
    <w:rsid w:val="009A1254"/>
    <w:rsid w:val="009A3BAB"/>
    <w:rsid w:val="009B2FF2"/>
    <w:rsid w:val="009B380C"/>
    <w:rsid w:val="009B4843"/>
    <w:rsid w:val="009B6543"/>
    <w:rsid w:val="009C199D"/>
    <w:rsid w:val="009C278F"/>
    <w:rsid w:val="009C2B94"/>
    <w:rsid w:val="009C5102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4A0D"/>
    <w:rsid w:val="00A968B0"/>
    <w:rsid w:val="00AA1B6B"/>
    <w:rsid w:val="00AB2672"/>
    <w:rsid w:val="00AB2817"/>
    <w:rsid w:val="00AB43C4"/>
    <w:rsid w:val="00AC32E7"/>
    <w:rsid w:val="00AC3A9F"/>
    <w:rsid w:val="00AC6D2F"/>
    <w:rsid w:val="00AD6969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79A4"/>
    <w:rsid w:val="00B31269"/>
    <w:rsid w:val="00B40C60"/>
    <w:rsid w:val="00B479A9"/>
    <w:rsid w:val="00B52EDF"/>
    <w:rsid w:val="00B63402"/>
    <w:rsid w:val="00B71188"/>
    <w:rsid w:val="00B76A41"/>
    <w:rsid w:val="00B87D4C"/>
    <w:rsid w:val="00B93646"/>
    <w:rsid w:val="00BA0B38"/>
    <w:rsid w:val="00BA1DBB"/>
    <w:rsid w:val="00BA4510"/>
    <w:rsid w:val="00BA50C3"/>
    <w:rsid w:val="00BA529A"/>
    <w:rsid w:val="00BB612A"/>
    <w:rsid w:val="00BD499F"/>
    <w:rsid w:val="00BD56DE"/>
    <w:rsid w:val="00BF2406"/>
    <w:rsid w:val="00C0264A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3884"/>
    <w:rsid w:val="00C6594B"/>
    <w:rsid w:val="00C67FFB"/>
    <w:rsid w:val="00C7155E"/>
    <w:rsid w:val="00C71D1E"/>
    <w:rsid w:val="00C71D7D"/>
    <w:rsid w:val="00C74833"/>
    <w:rsid w:val="00C850A0"/>
    <w:rsid w:val="00C85A86"/>
    <w:rsid w:val="00C96E1D"/>
    <w:rsid w:val="00C97108"/>
    <w:rsid w:val="00C978F0"/>
    <w:rsid w:val="00CA58FE"/>
    <w:rsid w:val="00CB1420"/>
    <w:rsid w:val="00CB1CB1"/>
    <w:rsid w:val="00CB23FD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53A3"/>
    <w:rsid w:val="00D21D8C"/>
    <w:rsid w:val="00D31357"/>
    <w:rsid w:val="00D33220"/>
    <w:rsid w:val="00D334D1"/>
    <w:rsid w:val="00D44C89"/>
    <w:rsid w:val="00D46FC4"/>
    <w:rsid w:val="00D516CD"/>
    <w:rsid w:val="00D668E6"/>
    <w:rsid w:val="00D70670"/>
    <w:rsid w:val="00D7450C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26D5"/>
    <w:rsid w:val="00E60F04"/>
    <w:rsid w:val="00E62AAC"/>
    <w:rsid w:val="00E64BA7"/>
    <w:rsid w:val="00E67C2F"/>
    <w:rsid w:val="00E67EF5"/>
    <w:rsid w:val="00E74DB8"/>
    <w:rsid w:val="00E804EA"/>
    <w:rsid w:val="00E80A71"/>
    <w:rsid w:val="00E82337"/>
    <w:rsid w:val="00E92499"/>
    <w:rsid w:val="00E949AF"/>
    <w:rsid w:val="00E96077"/>
    <w:rsid w:val="00EA05DC"/>
    <w:rsid w:val="00EA0A06"/>
    <w:rsid w:val="00EA0AFE"/>
    <w:rsid w:val="00EA6243"/>
    <w:rsid w:val="00EA74AB"/>
    <w:rsid w:val="00EB3D1B"/>
    <w:rsid w:val="00EC5CBE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7956"/>
    <w:rsid w:val="00F10C97"/>
    <w:rsid w:val="00F11C71"/>
    <w:rsid w:val="00F16019"/>
    <w:rsid w:val="00F20CF5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1104"/>
    <w:rsid w:val="00F92498"/>
    <w:rsid w:val="00F9496B"/>
    <w:rsid w:val="00F970C9"/>
    <w:rsid w:val="00FA06A8"/>
    <w:rsid w:val="00FA3DF5"/>
    <w:rsid w:val="00FA741F"/>
    <w:rsid w:val="00FB4E07"/>
    <w:rsid w:val="00FB74F4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46FC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3C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CA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CA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C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CA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9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756C6A3F9434349976DA0572BCEED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038A0-479C-4CD9-920B-AF840DD922A4}"/>
      </w:docPartPr>
      <w:docPartBody>
        <w:p w:rsidR="008B27D2" w:rsidRDefault="00A57A0F" w:rsidP="00A57A0F">
          <w:pPr>
            <w:pStyle w:val="B756C6A3F9434349976DA0572BCEED8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523BF1"/>
    <w:rsid w:val="008B27D2"/>
    <w:rsid w:val="00A57A0F"/>
    <w:rsid w:val="00D21A9F"/>
    <w:rsid w:val="00E526D5"/>
    <w:rsid w:val="00F2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A0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756C6A3F9434349976DA0572BCEED83">
    <w:name w:val="B756C6A3F9434349976DA0572BCEED83"/>
    <w:rsid w:val="00A57A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EFD89-FC67-46B2-9F6B-9C256CABEC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DBD46A-9FA7-412E-8472-B55221C51565}">
  <ds:schemaRefs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D318A4-5C03-476B-8A75-954E9CDB6AEF}"/>
</file>

<file path=customXml/itemProps4.xml><?xml version="1.0" encoding="utf-8"?>
<ds:datastoreItem xmlns:ds="http://schemas.openxmlformats.org/officeDocument/2006/customXml" ds:itemID="{E25168F3-12CB-4AF8-AECF-2F9A52268F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2020-02-11T23:16:00Z</dcterms:created>
  <dcterms:modified xsi:type="dcterms:W3CDTF">2026-01-07T01:21:00Z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2026-01-07T01:21:12Z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90387164-254d-41df-bb2b-4595d3bb763e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