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917F12C" w14:textId="53FBAD9E" w:rsidR="00BD499F" w:rsidRPr="004C23F4" w:rsidRDefault="00276885" w:rsidP="00B40C60">
          <w:pPr>
            <w:pStyle w:val="Heading1"/>
            <w:jc w:val="center"/>
            <w:rPr>
              <w:rFonts w:ascii="Arial" w:hAnsi="Arial" w:cs="Arial"/>
            </w:rPr>
          </w:pPr>
          <w:r w:rsidRPr="00276885">
            <w:rPr>
              <w:rFonts w:ascii="Arial" w:hAnsi="Arial" w:cs="Arial"/>
            </w:rPr>
            <w:t>Phosphorus (yellow)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572D1BED" w14:textId="77777777" w:rsidTr="00B76A41">
        <w:trPr>
          <w:cantSplit/>
          <w:tblHeader/>
        </w:trPr>
        <w:tc>
          <w:tcPr>
            <w:tcW w:w="4077" w:type="dxa"/>
          </w:tcPr>
          <w:p w14:paraId="368BF7B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2AAA29C" w14:textId="49334A1F" w:rsidR="00F43AD5" w:rsidRPr="00717D45" w:rsidRDefault="00012F12" w:rsidP="00B76A41">
            <w:pPr>
              <w:pStyle w:val="Tablefont"/>
            </w:pPr>
            <w:r w:rsidRPr="00012F12">
              <w:t>7723-14-0</w:t>
            </w:r>
          </w:p>
        </w:tc>
      </w:tr>
      <w:tr w:rsidR="00F43AD5" w:rsidRPr="004C23F4" w14:paraId="1490FE3C" w14:textId="77777777" w:rsidTr="00B76A41">
        <w:trPr>
          <w:cantSplit/>
        </w:trPr>
        <w:tc>
          <w:tcPr>
            <w:tcW w:w="4077" w:type="dxa"/>
          </w:tcPr>
          <w:p w14:paraId="78954A7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25651E8" w14:textId="77777777" w:rsidR="00F43AD5" w:rsidRPr="00717D45" w:rsidRDefault="002D6A87" w:rsidP="00B76A41">
            <w:pPr>
              <w:pStyle w:val="Tablefont"/>
            </w:pPr>
            <w:r>
              <w:t>White phosphorus</w:t>
            </w:r>
            <w:r w:rsidR="00563931">
              <w:t>, yellow phosphorus, phosphorus</w:t>
            </w:r>
          </w:p>
        </w:tc>
      </w:tr>
      <w:tr w:rsidR="00F43AD5" w:rsidRPr="004C23F4" w14:paraId="74F9C854" w14:textId="77777777" w:rsidTr="00B76A41">
        <w:trPr>
          <w:cantSplit/>
        </w:trPr>
        <w:tc>
          <w:tcPr>
            <w:tcW w:w="4077" w:type="dxa"/>
          </w:tcPr>
          <w:p w14:paraId="19760C2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0BE0605" w14:textId="04838FC6" w:rsidR="00F43AD5" w:rsidRPr="00717D45" w:rsidRDefault="002D6A87" w:rsidP="00B76A41">
            <w:pPr>
              <w:pStyle w:val="Tablefont"/>
            </w:pPr>
            <w:r>
              <w:t>P</w:t>
            </w:r>
            <w:r w:rsidRPr="002D6A87">
              <w:rPr>
                <w:vertAlign w:val="subscript"/>
              </w:rPr>
              <w:t>4</w:t>
            </w:r>
          </w:p>
        </w:tc>
      </w:tr>
      <w:tr w:rsidR="00F43AD5" w:rsidRPr="004C23F4" w14:paraId="50331394" w14:textId="77777777" w:rsidTr="00B76A41">
        <w:trPr>
          <w:cantSplit/>
        </w:trPr>
        <w:tc>
          <w:tcPr>
            <w:tcW w:w="4077" w:type="dxa"/>
          </w:tcPr>
          <w:p w14:paraId="2D87288A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52B10DF" w14:textId="16CF6E3C" w:rsidR="00F43AD5" w:rsidRPr="00B40C60" w:rsidRDefault="002D6A87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5282E311" w14:textId="08908FA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966A9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EFDBD68" w14:textId="77777777" w:rsidTr="009966A9">
        <w:trPr>
          <w:cantSplit/>
          <w:tblHeader/>
        </w:trPr>
        <w:tc>
          <w:tcPr>
            <w:tcW w:w="4005" w:type="dxa"/>
            <w:vAlign w:val="center"/>
          </w:tcPr>
          <w:p w14:paraId="024DD5E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F13A068" w14:textId="3126CF62" w:rsidR="002C7AFE" w:rsidRPr="009966A9" w:rsidRDefault="009966A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393D13EC" w14:textId="77777777" w:rsidTr="009966A9">
        <w:trPr>
          <w:cantSplit/>
        </w:trPr>
        <w:tc>
          <w:tcPr>
            <w:tcW w:w="4005" w:type="dxa"/>
            <w:vAlign w:val="center"/>
          </w:tcPr>
          <w:p w14:paraId="5758007E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617C713" w14:textId="4772D225" w:rsidR="002C7AFE" w:rsidRPr="00EB3D1B" w:rsidRDefault="009966A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6715C67" w14:textId="77777777" w:rsidTr="009966A9">
        <w:trPr>
          <w:cantSplit/>
        </w:trPr>
        <w:tc>
          <w:tcPr>
            <w:tcW w:w="4005" w:type="dxa"/>
            <w:vAlign w:val="center"/>
          </w:tcPr>
          <w:p w14:paraId="77320D69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6397CB0" w14:textId="4CF72B7E" w:rsidR="002C7AFE" w:rsidRPr="00EB3D1B" w:rsidRDefault="009966A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FF2ADCC" w14:textId="77777777" w:rsidTr="009966A9">
        <w:trPr>
          <w:cantSplit/>
        </w:trPr>
        <w:tc>
          <w:tcPr>
            <w:tcW w:w="4005" w:type="dxa"/>
          </w:tcPr>
          <w:p w14:paraId="75F2CDE8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ED22C19" w14:textId="31E7BD57" w:rsidR="002C7AFE" w:rsidRPr="00EB3D1B" w:rsidRDefault="009966A9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E04F192" w14:textId="77777777" w:rsidTr="009966A9">
        <w:trPr>
          <w:cantSplit/>
        </w:trPr>
        <w:tc>
          <w:tcPr>
            <w:tcW w:w="4005" w:type="dxa"/>
            <w:vAlign w:val="center"/>
          </w:tcPr>
          <w:p w14:paraId="7C02488B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7EA5E9BD" w14:textId="1FB643EC" w:rsidR="002C7AFE" w:rsidRPr="00EB3D1B" w:rsidRDefault="002D6A8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 mg/m</w:t>
            </w:r>
            <w:r w:rsidRPr="002D6A87">
              <w:rPr>
                <w:b/>
                <w:vertAlign w:val="superscript"/>
              </w:rPr>
              <w:t>3</w:t>
            </w:r>
          </w:p>
        </w:tc>
      </w:tr>
      <w:tr w:rsidR="009966A9" w:rsidRPr="004C23F4" w14:paraId="6E4DD3C6" w14:textId="77777777" w:rsidTr="00F67E20">
        <w:trPr>
          <w:cantSplit/>
        </w:trPr>
        <w:tc>
          <w:tcPr>
            <w:tcW w:w="9026" w:type="dxa"/>
            <w:gridSpan w:val="2"/>
            <w:vAlign w:val="center"/>
          </w:tcPr>
          <w:p w14:paraId="42847373" w14:textId="774B07BB" w:rsidR="009966A9" w:rsidRPr="00EB3D1B" w:rsidRDefault="009966A9" w:rsidP="00017C82">
            <w:pPr>
              <w:pStyle w:val="Tablefont"/>
              <w:rPr>
                <w:b/>
              </w:rPr>
            </w:pPr>
            <w:r w:rsidRPr="009966A9">
              <w:rPr>
                <w:b/>
              </w:rPr>
              <w:t>Sampling and analysis:</w:t>
            </w:r>
            <w:r w:rsidRPr="009966A9">
              <w:t xml:space="preserve"> </w:t>
            </w:r>
            <w:sdt>
              <w:sdtPr>
                <w:id w:val="-2105258949"/>
                <w:placeholder>
                  <w:docPart w:val="DB1EE2D767BD4ADF9B1B5A79FD870285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/>
              <w:sdtContent>
                <w: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AC23A5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8449BD5" w14:textId="254723E7" w:rsidR="006639B4" w:rsidRPr="004C23F4" w:rsidRDefault="009966A9" w:rsidP="000C139A">
      <w:pPr>
        <w:rPr>
          <w:rFonts w:cs="Arial"/>
        </w:rPr>
      </w:pPr>
      <w:r w:rsidRPr="009966A9">
        <w:rPr>
          <w:rFonts w:cs="Arial"/>
        </w:rPr>
        <w:t xml:space="preserve">A TWA of </w:t>
      </w:r>
      <w:r>
        <w:rPr>
          <w:rFonts w:cs="Arial"/>
        </w:rPr>
        <w:t>0.01</w:t>
      </w:r>
      <w:r w:rsidRPr="009966A9">
        <w:rPr>
          <w:rFonts w:cs="Arial"/>
        </w:rPr>
        <w:t xml:space="preserve"> mg/m</w:t>
      </w:r>
      <w:r w:rsidRPr="009966A9">
        <w:rPr>
          <w:rFonts w:cs="Arial"/>
          <w:vertAlign w:val="superscript"/>
        </w:rPr>
        <w:t>3</w:t>
      </w:r>
      <w:r w:rsidRPr="009966A9">
        <w:rPr>
          <w:rFonts w:cs="Arial"/>
        </w:rPr>
        <w:t xml:space="preserve"> is </w:t>
      </w:r>
      <w:r>
        <w:rPr>
          <w:rFonts w:cs="Arial"/>
        </w:rPr>
        <w:t>recommended</w:t>
      </w:r>
      <w:r w:rsidRPr="009966A9">
        <w:rPr>
          <w:rFonts w:cs="Arial"/>
        </w:rPr>
        <w:t xml:space="preserve"> to protect for </w:t>
      </w:r>
      <w:r>
        <w:rPr>
          <w:rFonts w:cs="Arial"/>
        </w:rPr>
        <w:t xml:space="preserve">adverse </w:t>
      </w:r>
      <w:r w:rsidR="00514ABF">
        <w:rPr>
          <w:rFonts w:cs="Arial"/>
        </w:rPr>
        <w:t>effects o</w:t>
      </w:r>
      <w:r w:rsidR="00F353B9">
        <w:rPr>
          <w:rFonts w:cs="Arial"/>
        </w:rPr>
        <w:t>n</w:t>
      </w:r>
      <w:r w:rsidR="00514ABF">
        <w:rPr>
          <w:rFonts w:cs="Arial"/>
        </w:rPr>
        <w:t xml:space="preserve"> the </w:t>
      </w:r>
      <w:r>
        <w:rPr>
          <w:rFonts w:cs="Arial"/>
        </w:rPr>
        <w:t>liver, kidney</w:t>
      </w:r>
      <w:r w:rsidR="00F353B9">
        <w:rPr>
          <w:rFonts w:cs="Arial"/>
        </w:rPr>
        <w:t xml:space="preserve"> and</w:t>
      </w:r>
      <w:r w:rsidR="00514ABF">
        <w:rPr>
          <w:rFonts w:cs="Arial"/>
        </w:rPr>
        <w:t xml:space="preserve"> </w:t>
      </w:r>
      <w:r>
        <w:rPr>
          <w:rFonts w:cs="Arial"/>
        </w:rPr>
        <w:t>bone</w:t>
      </w:r>
      <w:r w:rsidR="00F353B9">
        <w:rPr>
          <w:rFonts w:cs="Arial"/>
        </w:rPr>
        <w:t>s</w:t>
      </w:r>
      <w:r>
        <w:rPr>
          <w:rFonts w:cs="Arial"/>
        </w:rPr>
        <w:t xml:space="preserve"> and respiratory tract irritation</w:t>
      </w:r>
      <w:r w:rsidRPr="009966A9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0B1B02C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27E727F" w14:textId="35392923" w:rsidR="00F353B9" w:rsidRDefault="009966A9" w:rsidP="006639B4">
      <w:pPr>
        <w:rPr>
          <w:rFonts w:cs="Arial"/>
        </w:rPr>
      </w:pPr>
      <w:r>
        <w:rPr>
          <w:rFonts w:cs="Arial"/>
        </w:rPr>
        <w:t>Yellow p</w:t>
      </w:r>
      <w:r w:rsidR="00D45741">
        <w:rPr>
          <w:rFonts w:cs="Arial"/>
        </w:rPr>
        <w:t xml:space="preserve">hosphorus is used in the chemical manufacture of pyrotechnics, explosives and fertilisers. </w:t>
      </w:r>
    </w:p>
    <w:p w14:paraId="6DC0CA26" w14:textId="77777777" w:rsidR="00C33237" w:rsidRDefault="00D45741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F353B9">
        <w:rPr>
          <w:rFonts w:cs="Arial"/>
        </w:rPr>
        <w:t xml:space="preserve">of exposure </w:t>
      </w:r>
      <w:r>
        <w:rPr>
          <w:rFonts w:cs="Arial"/>
        </w:rPr>
        <w:t>are liver, kidney</w:t>
      </w:r>
      <w:r w:rsidR="00F353B9">
        <w:rPr>
          <w:rFonts w:cs="Arial"/>
        </w:rPr>
        <w:t xml:space="preserve"> and</w:t>
      </w:r>
      <w:r w:rsidR="00514ABF">
        <w:rPr>
          <w:rFonts w:cs="Arial"/>
        </w:rPr>
        <w:t xml:space="preserve"> </w:t>
      </w:r>
      <w:r>
        <w:rPr>
          <w:rFonts w:cs="Arial"/>
        </w:rPr>
        <w:t>bone damage</w:t>
      </w:r>
      <w:r w:rsidR="009966A9" w:rsidRPr="009966A9">
        <w:rPr>
          <w:rFonts w:cs="Arial"/>
        </w:rPr>
        <w:t xml:space="preserve"> </w:t>
      </w:r>
      <w:r w:rsidR="009966A9">
        <w:rPr>
          <w:rFonts w:cs="Arial"/>
        </w:rPr>
        <w:t>and respiratory tract irritation</w:t>
      </w:r>
      <w:r>
        <w:rPr>
          <w:rFonts w:cs="Arial"/>
        </w:rPr>
        <w:t>.</w:t>
      </w:r>
      <w:r w:rsidR="00F353B9">
        <w:rPr>
          <w:rFonts w:cs="Arial"/>
        </w:rPr>
        <w:t xml:space="preserve"> It is corrosive upon dermal contact. </w:t>
      </w:r>
    </w:p>
    <w:p w14:paraId="2EE07477" w14:textId="38452FD8" w:rsidR="000439BC" w:rsidRDefault="00D45741" w:rsidP="006639B4">
      <w:pPr>
        <w:rPr>
          <w:rFonts w:cs="Arial"/>
        </w:rPr>
      </w:pPr>
      <w:r>
        <w:rPr>
          <w:rFonts w:cs="Arial"/>
        </w:rPr>
        <w:t xml:space="preserve">Inhalational exposure data in humans and animals are limited. </w:t>
      </w:r>
      <w:r w:rsidR="001E79FB">
        <w:rPr>
          <w:rFonts w:cs="Arial"/>
        </w:rPr>
        <w:t xml:space="preserve">Oxidation products, such as phosphorus pentoxide and phosphoric acid, cause respiratory tract irritation </w:t>
      </w:r>
      <w:r w:rsidR="00514ABF">
        <w:rPr>
          <w:rFonts w:cs="Arial"/>
        </w:rPr>
        <w:t xml:space="preserve">in </w:t>
      </w:r>
      <w:r w:rsidR="001E79FB">
        <w:rPr>
          <w:rFonts w:cs="Arial"/>
        </w:rPr>
        <w:t xml:space="preserve">humans and animals (DFG, 2007). </w:t>
      </w:r>
      <w:r>
        <w:rPr>
          <w:rFonts w:cs="Arial"/>
        </w:rPr>
        <w:t>Accidental ingestion of 1 mg/kg was fatal in humans (ACGIH, 2018). A NOAEL of 0.015</w:t>
      </w:r>
      <w:r w:rsidR="00514ABF">
        <w:rPr>
          <w:rFonts w:cs="Arial"/>
        </w:rPr>
        <w:t> </w:t>
      </w:r>
      <w:r>
        <w:rPr>
          <w:rFonts w:cs="Arial"/>
        </w:rPr>
        <w:t xml:space="preserve">mg/kg/day for histopathological changes to liver, kidneys and bones with a corresponding LOAEL of 0.075 mg/kg/day are reported in two repeat gavage studies </w:t>
      </w:r>
      <w:r w:rsidR="00F353B9">
        <w:rPr>
          <w:rFonts w:cs="Arial"/>
        </w:rPr>
        <w:t>in</w:t>
      </w:r>
      <w:r>
        <w:rPr>
          <w:rFonts w:cs="Arial"/>
        </w:rPr>
        <w:t xml:space="preserve"> rats (DFG, 2007).</w:t>
      </w:r>
      <w:r w:rsidR="00F353B9">
        <w:rPr>
          <w:rFonts w:cs="Arial"/>
        </w:rPr>
        <w:t xml:space="preserve"> </w:t>
      </w:r>
      <w:r w:rsidR="009966A9">
        <w:rPr>
          <w:rFonts w:cs="Arial"/>
        </w:rPr>
        <w:t>T</w:t>
      </w:r>
      <w:r>
        <w:rPr>
          <w:rFonts w:cs="Arial"/>
        </w:rPr>
        <w:t xml:space="preserve">he systemic NOAEL of 0.015 mg/kg/day </w:t>
      </w:r>
      <w:r w:rsidR="00D76997">
        <w:rPr>
          <w:rFonts w:cs="Arial"/>
        </w:rPr>
        <w:t>noted above</w:t>
      </w:r>
      <w:r w:rsidR="009966A9">
        <w:rPr>
          <w:rFonts w:cs="Arial"/>
        </w:rPr>
        <w:t xml:space="preserve"> is approximately equivalent to an air concentration of 0.105 mg/m</w:t>
      </w:r>
      <w:r w:rsidR="009966A9">
        <w:rPr>
          <w:rFonts w:cs="Arial"/>
          <w:vertAlign w:val="superscript"/>
        </w:rPr>
        <w:t>3</w:t>
      </w:r>
      <w:r w:rsidR="009966A9">
        <w:rPr>
          <w:rFonts w:cs="Arial"/>
        </w:rPr>
        <w:t xml:space="preserve"> </w:t>
      </w:r>
      <w:r>
        <w:rPr>
          <w:rFonts w:cs="Arial"/>
        </w:rPr>
        <w:t xml:space="preserve">(DFG, 2007). </w:t>
      </w:r>
    </w:p>
    <w:p w14:paraId="766F140C" w14:textId="68D04A26" w:rsidR="00D45741" w:rsidRPr="009966A9" w:rsidRDefault="00D76997" w:rsidP="006639B4">
      <w:pPr>
        <w:rPr>
          <w:rFonts w:cs="Arial"/>
        </w:rPr>
      </w:pPr>
      <w:r>
        <w:rPr>
          <w:rFonts w:cs="Arial"/>
        </w:rPr>
        <w:t>Based</w:t>
      </w:r>
      <w:r w:rsidR="000439BC">
        <w:rPr>
          <w:rFonts w:cs="Arial"/>
        </w:rPr>
        <w:t xml:space="preserve"> on the NOAEL of 0.015 mg/kg/day in rats, </w:t>
      </w:r>
      <w:r w:rsidR="000466C9">
        <w:rPr>
          <w:rFonts w:cs="Arial"/>
        </w:rPr>
        <w:t xml:space="preserve">a </w:t>
      </w:r>
      <w:r w:rsidR="000439BC">
        <w:rPr>
          <w:rFonts w:cs="Arial"/>
        </w:rPr>
        <w:t xml:space="preserve">TWA </w:t>
      </w:r>
      <w:r w:rsidR="009966A9">
        <w:rPr>
          <w:rFonts w:cs="Arial"/>
        </w:rPr>
        <w:t>0.01 mg/m</w:t>
      </w:r>
      <w:r w:rsidR="009966A9">
        <w:rPr>
          <w:rFonts w:cs="Arial"/>
          <w:vertAlign w:val="superscript"/>
        </w:rPr>
        <w:t>3</w:t>
      </w:r>
      <w:r w:rsidR="009966A9">
        <w:rPr>
          <w:rFonts w:cs="Arial"/>
        </w:rPr>
        <w:t xml:space="preserve"> </w:t>
      </w:r>
      <w:r>
        <w:rPr>
          <w:rFonts w:cs="Arial"/>
        </w:rPr>
        <w:t xml:space="preserve">by DFG (2012) </w:t>
      </w:r>
      <w:r w:rsidR="000466C9">
        <w:rPr>
          <w:rFonts w:cs="Arial"/>
        </w:rPr>
        <w:t>i</w:t>
      </w:r>
      <w:r w:rsidR="000439BC">
        <w:rPr>
          <w:rFonts w:cs="Arial"/>
        </w:rPr>
        <w:t>s recommended</w:t>
      </w:r>
      <w:r w:rsidR="009966A9">
        <w:rPr>
          <w:rFonts w:cs="Arial"/>
        </w:rPr>
        <w:t xml:space="preserve">, which accounts for conversion from rats to humans and translation from experimental to workplace conditions. </w:t>
      </w:r>
      <w:r w:rsidR="000439BC">
        <w:rPr>
          <w:rFonts w:cs="Arial"/>
        </w:rPr>
        <w:t>The</w:t>
      </w:r>
      <w:r w:rsidR="000466C9">
        <w:rPr>
          <w:rFonts w:cs="Arial"/>
        </w:rPr>
        <w:t xml:space="preserve"> recommended</w:t>
      </w:r>
      <w:r w:rsidR="000439BC">
        <w:rPr>
          <w:rFonts w:cs="Arial"/>
        </w:rPr>
        <w:t xml:space="preserve"> </w:t>
      </w:r>
      <w:r w:rsidR="009966A9">
        <w:rPr>
          <w:rFonts w:cs="Arial"/>
        </w:rPr>
        <w:t xml:space="preserve">TWA is expected to protect </w:t>
      </w:r>
      <w:r w:rsidR="000439BC">
        <w:rPr>
          <w:rFonts w:cs="Arial"/>
        </w:rPr>
        <w:t>for the adverse effects o</w:t>
      </w:r>
      <w:r w:rsidR="00F353B9">
        <w:rPr>
          <w:rFonts w:cs="Arial"/>
        </w:rPr>
        <w:t>n</w:t>
      </w:r>
      <w:r w:rsidR="000439BC">
        <w:rPr>
          <w:rFonts w:cs="Arial"/>
        </w:rPr>
        <w:t xml:space="preserve"> the liver, kidney and bone and irritation effects in exposed workers</w:t>
      </w:r>
      <w:r w:rsidR="009966A9">
        <w:rPr>
          <w:rFonts w:cs="Arial"/>
        </w:rPr>
        <w:t xml:space="preserve">. </w:t>
      </w:r>
    </w:p>
    <w:p w14:paraId="5BB6645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13B9CFE" w14:textId="57F3B948" w:rsidR="00012F12" w:rsidRPr="0042777B" w:rsidRDefault="00012F12" w:rsidP="00012F12">
      <w:pPr>
        <w:rPr>
          <w:rFonts w:cs="Arial"/>
        </w:rPr>
      </w:pPr>
      <w:r w:rsidRPr="0042777B">
        <w:rPr>
          <w:rFonts w:cs="Arial"/>
        </w:rPr>
        <w:t>Not classified as a carcinogen according to the Globally Harmonized System of Classification and Labelling o</w:t>
      </w:r>
      <w:r w:rsidR="00BC63B0">
        <w:rPr>
          <w:rFonts w:cs="Arial"/>
        </w:rPr>
        <w:t>f</w:t>
      </w:r>
      <w:r w:rsidRPr="0042777B">
        <w:rPr>
          <w:rFonts w:cs="Arial"/>
        </w:rPr>
        <w:t xml:space="preserve"> Chemicals (GHS). </w:t>
      </w:r>
    </w:p>
    <w:p w14:paraId="4702949D" w14:textId="29925B70" w:rsidR="00012F12" w:rsidRPr="0042777B" w:rsidRDefault="00012F12" w:rsidP="00012F12">
      <w:pPr>
        <w:rPr>
          <w:rFonts w:cs="Arial"/>
        </w:rPr>
      </w:pPr>
      <w:r w:rsidRPr="0042777B">
        <w:rPr>
          <w:rFonts w:cs="Arial"/>
        </w:rPr>
        <w:lastRenderedPageBreak/>
        <w:t xml:space="preserve">Not classified as a skin </w:t>
      </w:r>
      <w:r w:rsidR="00BC63B0" w:rsidRPr="0042777B">
        <w:rPr>
          <w:rFonts w:cs="Arial"/>
        </w:rPr>
        <w:t xml:space="preserve">sensitiser </w:t>
      </w:r>
      <w:r w:rsidRPr="0042777B">
        <w:rPr>
          <w:rFonts w:cs="Arial"/>
        </w:rPr>
        <w:t>or respiratory sensitiser according to the GHS.</w:t>
      </w:r>
    </w:p>
    <w:p w14:paraId="490C2ACB" w14:textId="7A653AE0" w:rsidR="00012F12" w:rsidRPr="004C23F4" w:rsidRDefault="00A17982" w:rsidP="00012F12">
      <w:pPr>
        <w:rPr>
          <w:rFonts w:cs="Arial"/>
        </w:rPr>
      </w:pPr>
      <w:r>
        <w:rPr>
          <w:rFonts w:cs="Arial"/>
        </w:rPr>
        <w:t>There are i</w:t>
      </w:r>
      <w:r w:rsidR="00012F12" w:rsidRPr="0042777B">
        <w:rPr>
          <w:rFonts w:cs="Arial"/>
        </w:rPr>
        <w:t xml:space="preserve">nsufficient </w:t>
      </w:r>
      <w:r>
        <w:rPr>
          <w:rFonts w:cs="Arial"/>
        </w:rPr>
        <w:t>data</w:t>
      </w:r>
      <w:r w:rsidRPr="0042777B">
        <w:rPr>
          <w:rFonts w:cs="Arial"/>
        </w:rPr>
        <w:t xml:space="preserve"> </w:t>
      </w:r>
      <w:r w:rsidR="00012F12" w:rsidRPr="0042777B">
        <w:rPr>
          <w:rFonts w:cs="Arial"/>
        </w:rPr>
        <w:t>to recommend a skin notation.</w:t>
      </w:r>
    </w:p>
    <w:p w14:paraId="11E1188F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377E7B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A02039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0287975" w14:textId="77777777" w:rsidTr="00F353B9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A4FBD93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05E360C" w14:textId="77777777" w:rsidTr="00F353B9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BC85B2A" w14:textId="038ECE76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12F12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12F12">
                  <w:t>TWA: 0.1 mg/m</w:t>
                </w:r>
                <w:r w:rsidR="00012F12" w:rsidRPr="00012F12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B0FAAA9" w14:textId="77777777" w:rsidTr="00F353B9">
        <w:trPr>
          <w:gridAfter w:val="1"/>
          <w:wAfter w:w="8" w:type="pct"/>
        </w:trPr>
        <w:tc>
          <w:tcPr>
            <w:tcW w:w="4992" w:type="pct"/>
          </w:tcPr>
          <w:p w14:paraId="094C316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828C5B3" w14:textId="77777777" w:rsidTr="00F353B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312ED5D" w14:textId="358BE12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D6A8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D6A87">
                  <w:t>TLV-TWA: 0.1 mg/m</w:t>
                </w:r>
                <w:r w:rsidR="002D6A87" w:rsidRPr="002D6A8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C72F2B4" w14:textId="77777777" w:rsidTr="00F353B9">
        <w:trPr>
          <w:gridAfter w:val="1"/>
          <w:wAfter w:w="8" w:type="pct"/>
        </w:trPr>
        <w:tc>
          <w:tcPr>
            <w:tcW w:w="4992" w:type="pct"/>
          </w:tcPr>
          <w:p w14:paraId="38419030" w14:textId="5753F979" w:rsidR="00C978F0" w:rsidRDefault="008B6ED7" w:rsidP="003365A5">
            <w:pPr>
              <w:pStyle w:val="Tabletextprimarysource"/>
            </w:pPr>
            <w:r>
              <w:t xml:space="preserve">TLV-TWA intended to protect respiratory irritation and acute intoxication including liver cirrhosis, electrolyte imbalance, myocardial disruption and kidney necrosis; margin of safety to protect for potential chronic effects such as </w:t>
            </w:r>
            <w:r w:rsidR="00C33237">
              <w:t>jawbone</w:t>
            </w:r>
            <w:r>
              <w:t xml:space="preserve"> necrosis is unknown due to limited dataset.</w:t>
            </w:r>
            <w:r w:rsidR="009A11E4">
              <w:t xml:space="preserve"> Derivation of the TLV-TWA is not </w:t>
            </w:r>
            <w:r w:rsidR="00C33237">
              <w:t>reported</w:t>
            </w:r>
            <w:r w:rsidR="009A11E4">
              <w:t>.</w:t>
            </w:r>
          </w:p>
          <w:p w14:paraId="48A8B564" w14:textId="7807A4CC" w:rsidR="008B6ED7" w:rsidRDefault="008B6ED7" w:rsidP="003365A5">
            <w:pPr>
              <w:pStyle w:val="Tabletextprimarysource"/>
            </w:pPr>
            <w:r>
              <w:t>Summary of information:</w:t>
            </w:r>
          </w:p>
          <w:p w14:paraId="584A30A7" w14:textId="35FEEBB8" w:rsidR="00A9297D" w:rsidRPr="00A9297D" w:rsidRDefault="00A9297D" w:rsidP="003365A5">
            <w:pPr>
              <w:pStyle w:val="Tabletextprimarysource"/>
            </w:pPr>
            <w:r>
              <w:t>TLV-TWA of 0.02 ppm (0.1 mg/m</w:t>
            </w:r>
            <w:r>
              <w:rPr>
                <w:vertAlign w:val="superscript"/>
              </w:rPr>
              <w:t>3</w:t>
            </w:r>
            <w:r>
              <w:t>) intended to be measured as particulates and vapour</w:t>
            </w:r>
            <w:r w:rsidR="009A11E4">
              <w:t xml:space="preserve"> due to the relatively high vapour pressure under standard conditions.</w:t>
            </w:r>
          </w:p>
          <w:p w14:paraId="0617CAE2" w14:textId="08DA83D3" w:rsidR="008B6ED7" w:rsidRDefault="008B6ED7" w:rsidP="003365A5">
            <w:pPr>
              <w:pStyle w:val="Tabletextprimarysource"/>
            </w:pPr>
            <w:r>
              <w:t>Human data:</w:t>
            </w:r>
          </w:p>
          <w:p w14:paraId="41FFF1D2" w14:textId="75B8EC02" w:rsidR="00FF54CA" w:rsidRDefault="00FF54CA" w:rsidP="00FF54CA">
            <w:pPr>
              <w:pStyle w:val="Tabletextprimarysource"/>
              <w:numPr>
                <w:ilvl w:val="0"/>
                <w:numId w:val="2"/>
              </w:numPr>
            </w:pPr>
            <w:r>
              <w:t>Fatal accidental ingestions (as low as 1 mg/kg) caused gastroenteritis, hepatic insufficiency and cardiovascular collapse (no further details provided)</w:t>
            </w:r>
          </w:p>
          <w:p w14:paraId="52430542" w14:textId="1B8C9F37" w:rsidR="00A9297D" w:rsidRDefault="00A9297D" w:rsidP="00FF54CA">
            <w:pPr>
              <w:pStyle w:val="Tabletextprimarysource"/>
              <w:numPr>
                <w:ilvl w:val="0"/>
                <w:numId w:val="2"/>
              </w:numPr>
            </w:pPr>
            <w:r>
              <w:t>Dermal contact causes 2</w:t>
            </w:r>
            <w:r w:rsidRPr="00A9297D">
              <w:rPr>
                <w:vertAlign w:val="superscript"/>
              </w:rPr>
              <w:t>nd</w:t>
            </w:r>
            <w:r>
              <w:t xml:space="preserve"> and 3</w:t>
            </w:r>
            <w:r w:rsidRPr="00A9297D">
              <w:rPr>
                <w:vertAlign w:val="superscript"/>
              </w:rPr>
              <w:t>rd</w:t>
            </w:r>
            <w:r>
              <w:t xml:space="preserve"> degree burns; sudden death after dermal contact reported (no further details provided)</w:t>
            </w:r>
          </w:p>
          <w:p w14:paraId="77A08FA9" w14:textId="7E8F53AE" w:rsidR="00FF54CA" w:rsidRDefault="00FF54CA" w:rsidP="00FF54CA">
            <w:pPr>
              <w:pStyle w:val="Tabletextprimarysource"/>
              <w:numPr>
                <w:ilvl w:val="0"/>
                <w:numId w:val="2"/>
              </w:numPr>
            </w:pPr>
            <w:r>
              <w:t>Symptoms of acute poisoning include</w:t>
            </w:r>
            <w:r w:rsidR="00A9297D">
              <w:t xml:space="preserve"> itching skin,</w:t>
            </w:r>
            <w:r>
              <w:t xml:space="preserve"> nausea, vomiting, bloody diarrh</w:t>
            </w:r>
            <w:r w:rsidR="00A17982">
              <w:t>o</w:t>
            </w:r>
            <w:r>
              <w:t xml:space="preserve">ea, jaundice, </w:t>
            </w:r>
            <w:r w:rsidR="00A9297D">
              <w:t>acute hepatic necrosis/cirrhosis and cardiovascular collapse</w:t>
            </w:r>
          </w:p>
          <w:p w14:paraId="61DF4F35" w14:textId="447F1C25" w:rsidR="00A9297D" w:rsidRDefault="00A9297D" w:rsidP="00FF54CA">
            <w:pPr>
              <w:pStyle w:val="Tabletextprimarysource"/>
              <w:numPr>
                <w:ilvl w:val="0"/>
                <w:numId w:val="2"/>
              </w:numPr>
            </w:pPr>
            <w:r>
              <w:t>Necrosis of the jawbone reported in exposed fireworks production workers</w:t>
            </w:r>
          </w:p>
          <w:p w14:paraId="5B679E04" w14:textId="36A46F2A" w:rsidR="00A9297D" w:rsidRDefault="00A9297D" w:rsidP="00FF54CA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No evidence for </w:t>
            </w:r>
            <w:r w:rsidR="00C33237">
              <w:t>jawbone</w:t>
            </w:r>
            <w:r>
              <w:t xml:space="preserve"> necrosis from dental record survey (40 yr) of fertiliser production workers (no further study details provided)</w:t>
            </w:r>
          </w:p>
          <w:p w14:paraId="541E3A83" w14:textId="052CF5E9" w:rsidR="00A9297D" w:rsidRDefault="00A9297D" w:rsidP="00FF54CA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Changes in blood </w:t>
            </w:r>
            <w:r w:rsidR="00F353B9">
              <w:t>Ca</w:t>
            </w:r>
            <w:r w:rsidR="00F353B9" w:rsidRPr="00F353B9">
              <w:rPr>
                <w:vertAlign w:val="superscript"/>
              </w:rPr>
              <w:t>2</w:t>
            </w:r>
            <w:r w:rsidR="00F353B9">
              <w:t>+</w:t>
            </w:r>
            <w:r>
              <w:t xml:space="preserve"> levels and </w:t>
            </w:r>
            <w:proofErr w:type="spellStart"/>
            <w:r>
              <w:t>hypophosphataemia</w:t>
            </w:r>
            <w:proofErr w:type="spellEnd"/>
            <w:r>
              <w:t xml:space="preserve"> associated with chronic exposures (no further details provided)</w:t>
            </w:r>
            <w:r w:rsidR="00BC63B0">
              <w:t>.</w:t>
            </w:r>
          </w:p>
          <w:p w14:paraId="6978DA7B" w14:textId="77777777" w:rsidR="008B6ED7" w:rsidRDefault="008B6ED7" w:rsidP="003365A5">
            <w:pPr>
              <w:pStyle w:val="Tabletextprimarysource"/>
            </w:pPr>
            <w:r>
              <w:t>Animal data:</w:t>
            </w:r>
          </w:p>
          <w:p w14:paraId="6407D75E" w14:textId="7211C421" w:rsidR="008B6ED7" w:rsidRDefault="008B6ED7" w:rsidP="008B6ED7">
            <w:pPr>
              <w:pStyle w:val="Tabletextprimarysource"/>
              <w:numPr>
                <w:ilvl w:val="0"/>
                <w:numId w:val="1"/>
              </w:numPr>
            </w:pPr>
            <w:r>
              <w:t>Severe respiratory irritation and high mortality due to pulmonary oedema at 20 ppm</w:t>
            </w:r>
            <w:r w:rsidR="00D45741">
              <w:t xml:space="preserve"> </w:t>
            </w:r>
            <w:r w:rsidR="00D45741">
              <w:rPr>
                <w:rFonts w:cs="Arial"/>
              </w:rPr>
              <w:t>≡</w:t>
            </w:r>
            <w:r w:rsidR="00D45741">
              <w:t>101 mg/m</w:t>
            </w:r>
            <w:r w:rsidR="00D45741">
              <w:rPr>
                <w:vertAlign w:val="superscript"/>
              </w:rPr>
              <w:t>3</w:t>
            </w:r>
            <w:r>
              <w:t xml:space="preserve"> </w:t>
            </w:r>
            <w:r w:rsidR="00912DD6">
              <w:t>(rats, 7 h/d, 5 d/</w:t>
            </w:r>
            <w:proofErr w:type="spellStart"/>
            <w:r w:rsidR="00912DD6">
              <w:t>wk</w:t>
            </w:r>
            <w:proofErr w:type="spellEnd"/>
            <w:r w:rsidR="00912DD6">
              <w:t>)</w:t>
            </w:r>
          </w:p>
          <w:p w14:paraId="2B56C87D" w14:textId="44E6CCB2" w:rsidR="00F353B9" w:rsidRDefault="00912DD6" w:rsidP="008B6ED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change in growth at 13–16 ppm </w:t>
            </w:r>
            <w:r w:rsidR="00D45741">
              <w:rPr>
                <w:rFonts w:cs="Arial"/>
              </w:rPr>
              <w:t>≡</w:t>
            </w:r>
            <w:r w:rsidR="00D45741">
              <w:t>66–81 mg/m</w:t>
            </w:r>
            <w:r w:rsidR="00D45741">
              <w:rPr>
                <w:vertAlign w:val="superscript"/>
              </w:rPr>
              <w:t>3</w:t>
            </w:r>
            <w:r w:rsidR="00D45741">
              <w:t xml:space="preserve"> </w:t>
            </w:r>
            <w:r>
              <w:t>compared to controls (species not specified, 7 h/d, 5 d/</w:t>
            </w:r>
            <w:proofErr w:type="spellStart"/>
            <w:r>
              <w:t>wk</w:t>
            </w:r>
            <w:proofErr w:type="spellEnd"/>
            <w:r>
              <w:t xml:space="preserve">, 4 </w:t>
            </w:r>
            <w:proofErr w:type="spellStart"/>
            <w:r>
              <w:t>mo</w:t>
            </w:r>
            <w:proofErr w:type="spellEnd"/>
            <w:r>
              <w:t>)</w:t>
            </w:r>
            <w:r w:rsidR="003B0292">
              <w:t>:</w:t>
            </w:r>
          </w:p>
          <w:p w14:paraId="5A574997" w14:textId="163EF99F" w:rsidR="00912DD6" w:rsidRDefault="00912DD6" w:rsidP="00F353B9">
            <w:pPr>
              <w:pStyle w:val="Tabletextprimarysource"/>
              <w:numPr>
                <w:ilvl w:val="0"/>
                <w:numId w:val="4"/>
              </w:numPr>
            </w:pPr>
            <w:r>
              <w:t>prolonged exposure caused bone changes and severe liver and kidney damage (no further details provided)</w:t>
            </w:r>
          </w:p>
          <w:p w14:paraId="25C10DAF" w14:textId="77777777" w:rsidR="00912DD6" w:rsidRDefault="00912DD6" w:rsidP="008B6ED7">
            <w:pPr>
              <w:pStyle w:val="Tabletextprimarysource"/>
              <w:numPr>
                <w:ilvl w:val="0"/>
                <w:numId w:val="1"/>
              </w:numPr>
            </w:pPr>
            <w:r>
              <w:t>Bone changes (not specified) at 0.05 mg/kg/d (total 50 mg over study period) in repeat subcutaneous injection study (rats)</w:t>
            </w:r>
          </w:p>
          <w:p w14:paraId="79E05CDB" w14:textId="277B884C" w:rsidR="00912DD6" w:rsidRDefault="00912DD6" w:rsidP="008B6ED7">
            <w:pPr>
              <w:pStyle w:val="Tabletextprimarysource"/>
              <w:numPr>
                <w:ilvl w:val="0"/>
                <w:numId w:val="1"/>
              </w:numPr>
            </w:pPr>
            <w:r>
              <w:t>Liver damage at 0.1 mg/kg/d in repeat subcutaneous injection study (dogs, duration not specified)</w:t>
            </w:r>
          </w:p>
          <w:p w14:paraId="4928988F" w14:textId="148469A6" w:rsidR="00141902" w:rsidRDefault="00141902" w:rsidP="008B6ED7">
            <w:pPr>
              <w:pStyle w:val="Tabletextprimarysource"/>
              <w:numPr>
                <w:ilvl w:val="0"/>
                <w:numId w:val="1"/>
              </w:numPr>
            </w:pPr>
            <w:r>
              <w:t>Burned and damaged skin when applied dermally (rabbits)</w:t>
            </w:r>
            <w:r w:rsidR="00CF676A">
              <w:t>; absorption through damaged skin caused phosphorus/calcium electrolyte imbalance</w:t>
            </w:r>
          </w:p>
          <w:p w14:paraId="5BC7A649" w14:textId="4778A75E" w:rsidR="00F353B9" w:rsidRDefault="00141902" w:rsidP="008B6ED7">
            <w:pPr>
              <w:pStyle w:val="Tabletextprimarysource"/>
              <w:numPr>
                <w:ilvl w:val="0"/>
                <w:numId w:val="1"/>
              </w:numPr>
            </w:pPr>
            <w:r>
              <w:t>Inhalational dose distributed in descending order of concentration to lungs, bone, liver and kidney</w:t>
            </w:r>
            <w:r w:rsidR="003B0292">
              <w:t>:</w:t>
            </w:r>
          </w:p>
          <w:p w14:paraId="6E7C5ACC" w14:textId="216ECD88" w:rsidR="00F353B9" w:rsidRDefault="00141902" w:rsidP="00F353B9">
            <w:pPr>
              <w:pStyle w:val="Tabletextprimarysource"/>
              <w:numPr>
                <w:ilvl w:val="0"/>
                <w:numId w:val="4"/>
              </w:numPr>
            </w:pPr>
            <w:r>
              <w:t>soft tissue concentration dropped rapidly on exposure cessation</w:t>
            </w:r>
          </w:p>
          <w:p w14:paraId="2DDFC7F9" w14:textId="603800A0" w:rsidR="00141902" w:rsidRDefault="00141902" w:rsidP="00F353B9">
            <w:pPr>
              <w:pStyle w:val="Tabletextprimarysource"/>
              <w:numPr>
                <w:ilvl w:val="0"/>
                <w:numId w:val="4"/>
              </w:numPr>
            </w:pPr>
            <w:r>
              <w:t>clearance from bones was slow (no further details provided)</w:t>
            </w:r>
          </w:p>
          <w:p w14:paraId="22A1463E" w14:textId="54214DCA" w:rsidR="00912DD6" w:rsidRDefault="00141902" w:rsidP="008B6ED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Oral dose retained primarily in liver, skeletal muscle, </w:t>
            </w:r>
            <w:r w:rsidR="00F353B9">
              <w:t>GIT</w:t>
            </w:r>
            <w:r>
              <w:t>, blood and kidneys after 5 d (rats)</w:t>
            </w:r>
            <w:r w:rsidR="00514ABF">
              <w:t>:</w:t>
            </w:r>
          </w:p>
          <w:p w14:paraId="45109B0A" w14:textId="1CB21274" w:rsidR="00141902" w:rsidRDefault="00141902" w:rsidP="00F353B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lastRenderedPageBreak/>
              <w:t>converted to phosphates and excreted through urine, peak concentrations of phosphate in liver reached 2–3 h following oral dose</w:t>
            </w:r>
          </w:p>
          <w:p w14:paraId="5727AF1A" w14:textId="77777777" w:rsidR="00514ABF" w:rsidRDefault="00514ABF" w:rsidP="009A11E4">
            <w:pPr>
              <w:pStyle w:val="Tabletextprimarysource"/>
            </w:pPr>
          </w:p>
          <w:p w14:paraId="669A5CDB" w14:textId="767ABE55" w:rsidR="009A11E4" w:rsidRDefault="009A11E4" w:rsidP="009A11E4">
            <w:pPr>
              <w:pStyle w:val="Tabletextprimarysource"/>
            </w:pPr>
            <w:r>
              <w:t>Insufficient data available to recommend notations for carcinogenicity, skin absorption or sensitisation.</w:t>
            </w:r>
          </w:p>
          <w:p w14:paraId="4F3557B7" w14:textId="1D4E7990" w:rsidR="00514ABF" w:rsidRPr="00DA352E" w:rsidRDefault="00514ABF" w:rsidP="009A11E4">
            <w:pPr>
              <w:pStyle w:val="Tabletextprimarysource"/>
            </w:pPr>
          </w:p>
        </w:tc>
      </w:tr>
      <w:tr w:rsidR="00C978F0" w:rsidRPr="00DA352E" w14:paraId="525EF6E4" w14:textId="77777777" w:rsidTr="00F353B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0D5BA74" w14:textId="5DEE366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D6A87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D6A87">
                  <w:t>MAK: 0.01 mg/m</w:t>
                </w:r>
                <w:r w:rsidR="002D6A87" w:rsidRPr="002D6A8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7CC4E1F" w14:textId="77777777" w:rsidTr="00F353B9">
        <w:trPr>
          <w:gridAfter w:val="1"/>
          <w:wAfter w:w="8" w:type="pct"/>
        </w:trPr>
        <w:tc>
          <w:tcPr>
            <w:tcW w:w="4992" w:type="pct"/>
          </w:tcPr>
          <w:p w14:paraId="340FE266" w14:textId="3EF8F00D" w:rsidR="006C3B1F" w:rsidRDefault="006C3B1F" w:rsidP="003365A5">
            <w:pPr>
              <w:pStyle w:val="Tabletextprimarysource"/>
            </w:pPr>
            <w:r>
              <w:t>Summary of additional information:</w:t>
            </w:r>
          </w:p>
          <w:p w14:paraId="45E8B0B4" w14:textId="77777777" w:rsidR="00F353B9" w:rsidRDefault="0042777B" w:rsidP="003365A5">
            <w:pPr>
              <w:pStyle w:val="Tabletextprimarysource"/>
            </w:pPr>
            <w:r>
              <w:t>R</w:t>
            </w:r>
            <w:r w:rsidR="007B49C8">
              <w:t xml:space="preserve">espiratory irritant, presumably </w:t>
            </w:r>
            <w:r w:rsidR="00984435">
              <w:t>due to the</w:t>
            </w:r>
            <w:r w:rsidR="007B49C8">
              <w:t xml:space="preserve"> formation of phosphoric acid and phosphorus pentoxide on contact with air and moisture</w:t>
            </w:r>
            <w:r>
              <w:t>; systemic endpoints are liver, kidney, and bone damage.</w:t>
            </w:r>
            <w:r w:rsidR="007B49C8">
              <w:t xml:space="preserve"> </w:t>
            </w:r>
          </w:p>
          <w:p w14:paraId="6279E683" w14:textId="4AF6DA07" w:rsidR="00316241" w:rsidRDefault="00316241" w:rsidP="003365A5">
            <w:pPr>
              <w:pStyle w:val="Tabletextprimarysource"/>
            </w:pPr>
            <w:r>
              <w:t>A</w:t>
            </w:r>
            <w:r w:rsidR="007B49C8">
              <w:t xml:space="preserve"> NOAEL of 0.015 mg/kg/d for </w:t>
            </w:r>
            <w:r>
              <w:t>histopathological changes to liver, kidneys, and bones in sub</w:t>
            </w:r>
            <w:r w:rsidR="00C33237">
              <w:noBreakHyphen/>
            </w:r>
            <w:r>
              <w:t xml:space="preserve">chronically exposed rats </w:t>
            </w:r>
            <w:r w:rsidR="007B49C8">
              <w:t>is equivalent t</w:t>
            </w:r>
            <w:r w:rsidR="0042777B">
              <w:t>o an air concentration of 0.105 </w:t>
            </w:r>
            <w:r w:rsidR="007B49C8">
              <w:t>mg/m</w:t>
            </w:r>
            <w:r w:rsidR="007B49C8">
              <w:rPr>
                <w:vertAlign w:val="superscript"/>
              </w:rPr>
              <w:t>3</w:t>
            </w:r>
            <w:r w:rsidR="007B49C8">
              <w:t xml:space="preserve"> in humans, assuming a respiratory volume of 10 m</w:t>
            </w:r>
            <w:r w:rsidR="007B49C8">
              <w:rPr>
                <w:vertAlign w:val="superscript"/>
              </w:rPr>
              <w:t>3</w:t>
            </w:r>
            <w:r w:rsidR="007B49C8">
              <w:t xml:space="preserve"> for a 70</w:t>
            </w:r>
            <w:r w:rsidR="00BC63B0">
              <w:t xml:space="preserve"> </w:t>
            </w:r>
            <w:r>
              <w:t>kg worker during an 8</w:t>
            </w:r>
            <w:r w:rsidR="000466C9">
              <w:t>-</w:t>
            </w:r>
            <w:r>
              <w:t>h shift. Factors of 7/5 and 4 are applied to account for translation from continuous exposure to workplace conditions and allometric scaling from rats to humans, respectively, to arrive at the MAK of 0.01 mg/m</w:t>
            </w:r>
            <w:r>
              <w:rPr>
                <w:vertAlign w:val="superscript"/>
              </w:rPr>
              <w:t>3</w:t>
            </w:r>
            <w:r>
              <w:t>.</w:t>
            </w:r>
          </w:p>
          <w:p w14:paraId="2B24AD32" w14:textId="2408774B" w:rsidR="00C978F0" w:rsidRDefault="0042777B" w:rsidP="003365A5">
            <w:pPr>
              <w:pStyle w:val="Tabletextprimarysource"/>
            </w:pPr>
            <w:r>
              <w:t>Co-e</w:t>
            </w:r>
            <w:r w:rsidR="00316241">
              <w:t xml:space="preserve">xposure to phosphorus oxidation products, e.g. phosphorus pentoxide and phosphoric acid, </w:t>
            </w:r>
            <w:r>
              <w:t>is</w:t>
            </w:r>
            <w:r w:rsidR="00316241">
              <w:t xml:space="preserve"> considered in combination with the MAK for phosphorus. The MAKs for phosphoric acid and phosphorus pentoxide are 2 mg/m</w:t>
            </w:r>
            <w:r w:rsidR="00316241">
              <w:rPr>
                <w:vertAlign w:val="superscript"/>
              </w:rPr>
              <w:t>3</w:t>
            </w:r>
            <w:r w:rsidR="00984435">
              <w:t>; the MAK for phosphorus is therefore considered protective of potential irritation effects caused by these oxidation products.</w:t>
            </w:r>
          </w:p>
          <w:p w14:paraId="69EF2ADE" w14:textId="62678AFF" w:rsidR="00984435" w:rsidRPr="00316241" w:rsidRDefault="00984435" w:rsidP="003365A5">
            <w:pPr>
              <w:pStyle w:val="Tabletextprimarysource"/>
            </w:pPr>
            <w:r>
              <w:t>A skin notation is not warranted due to the high reactivity of elemental phosphorus.</w:t>
            </w:r>
          </w:p>
          <w:p w14:paraId="799F8C62" w14:textId="6E8EC221" w:rsidR="006C3B1F" w:rsidRDefault="006C3B1F" w:rsidP="006C3B1F">
            <w:pPr>
              <w:pStyle w:val="Tabletextprimarysource"/>
            </w:pPr>
            <w:r>
              <w:t>Human data:</w:t>
            </w:r>
          </w:p>
          <w:p w14:paraId="73E29947" w14:textId="12765A47" w:rsidR="006C3B1F" w:rsidRDefault="006C3B1F" w:rsidP="006C3B1F">
            <w:pPr>
              <w:pStyle w:val="Tabletextprimarysource"/>
              <w:numPr>
                <w:ilvl w:val="0"/>
                <w:numId w:val="1"/>
              </w:numPr>
            </w:pPr>
            <w:r>
              <w:t>Ingestion causes fatty liver degeneration due to impairment of transport lipoprotein synthesis and inhibits bone growth by inhibiting calcified cartilage absorption</w:t>
            </w:r>
          </w:p>
          <w:p w14:paraId="54772095" w14:textId="77777777" w:rsidR="000466C9" w:rsidRDefault="000466C9" w:rsidP="000466C9">
            <w:pPr>
              <w:pStyle w:val="Tabletextprimarysource"/>
              <w:numPr>
                <w:ilvl w:val="0"/>
                <w:numId w:val="1"/>
              </w:numPr>
            </w:pPr>
            <w:r>
              <w:t>Jawbone necrosis in 2/44 workers exposed for 1 yr, and 13/27 exposed for &gt;1 yr reported in workplace study of 3 fireworks factories (n=71); some workers also had irritant cough (no further details)</w:t>
            </w:r>
          </w:p>
          <w:p w14:paraId="7F09EC40" w14:textId="712983BD" w:rsidR="006C3B1F" w:rsidRDefault="006C3B1F" w:rsidP="006C3B1F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Mechanism for </w:t>
            </w:r>
            <w:r w:rsidR="00C33237">
              <w:t>jawbone</w:t>
            </w:r>
            <w:r>
              <w:t xml:space="preserve"> necrosis unclear, but possibly due to direct reaction of substance with mouth tissue; unclear if systemic availability contributes to this effect</w:t>
            </w:r>
            <w:r w:rsidR="00514ABF">
              <w:t>:</w:t>
            </w:r>
          </w:p>
          <w:p w14:paraId="06FFF493" w14:textId="61721987" w:rsidR="00DB5B8D" w:rsidRDefault="00DB5B8D" w:rsidP="00F353B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chronically exposed workers likely co-exposed to phosphoric acid</w:t>
            </w:r>
            <w:r w:rsidR="0057643E">
              <w:t xml:space="preserve"> due to oxidation of particulate phosphorus</w:t>
            </w:r>
          </w:p>
          <w:p w14:paraId="4AC0216A" w14:textId="26D7C68F" w:rsidR="006C3B1F" w:rsidRDefault="006C3B1F" w:rsidP="006C3B1F">
            <w:pPr>
              <w:pStyle w:val="Tabletextprimarysource"/>
              <w:numPr>
                <w:ilvl w:val="0"/>
                <w:numId w:val="1"/>
              </w:numPr>
            </w:pPr>
            <w:r>
              <w:t>Modelled dermal flux</w:t>
            </w:r>
            <w:r w:rsidR="00DB5B8D">
              <w:t xml:space="preserve"> of saturated aqueous solution</w:t>
            </w:r>
            <w:r>
              <w:t>: 0.0002 mg/cm</w:t>
            </w:r>
            <w:r>
              <w:rPr>
                <w:vertAlign w:val="superscript"/>
              </w:rPr>
              <w:t>2</w:t>
            </w:r>
            <w:r>
              <w:t>/h</w:t>
            </w:r>
          </w:p>
          <w:p w14:paraId="3EE924B4" w14:textId="3714BFD6" w:rsidR="00DB5B8D" w:rsidRDefault="00DB5B8D" w:rsidP="006C3B1F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</w:t>
            </w:r>
            <w:r w:rsidR="0057643E">
              <w:t xml:space="preserve">quantitative </w:t>
            </w:r>
            <w:r>
              <w:t>inhalational exposure studies available</w:t>
            </w:r>
            <w:r w:rsidR="00BC63B0">
              <w:t>.</w:t>
            </w:r>
          </w:p>
          <w:p w14:paraId="24C3D5AC" w14:textId="77777777" w:rsidR="006C3B1F" w:rsidRDefault="006C3B1F" w:rsidP="006B4CA1">
            <w:pPr>
              <w:pStyle w:val="Tabletextprimarysource"/>
            </w:pPr>
            <w:r>
              <w:t>Animal data:</w:t>
            </w:r>
          </w:p>
          <w:p w14:paraId="0D281240" w14:textId="77777777" w:rsidR="006B4CA1" w:rsidRDefault="006B4CA1" w:rsidP="006B4CA1">
            <w:pPr>
              <w:pStyle w:val="Tabletextprimarysource"/>
              <w:numPr>
                <w:ilvl w:val="0"/>
                <w:numId w:val="1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3.03–3.76 mg/kg (rats), 4.82–4.85 mg/kg (mice)</w:t>
            </w:r>
          </w:p>
          <w:p w14:paraId="588C57E2" w14:textId="3EA54A75" w:rsidR="006B4CA1" w:rsidRDefault="00547178" w:rsidP="006B4CA1">
            <w:pPr>
              <w:pStyle w:val="Tabletextprimarysource"/>
              <w:numPr>
                <w:ilvl w:val="0"/>
                <w:numId w:val="1"/>
              </w:numPr>
            </w:pPr>
            <w:r>
              <w:t>NOAEL: 0.015 mg/kg</w:t>
            </w:r>
            <w:r w:rsidR="00504556">
              <w:t>/d</w:t>
            </w:r>
            <w:r>
              <w:t xml:space="preserve"> </w:t>
            </w:r>
            <w:r w:rsidR="00504556">
              <w:t>for histopathological changes to liver, kidney</w:t>
            </w:r>
            <w:r w:rsidR="00F353B9">
              <w:t xml:space="preserve"> and</w:t>
            </w:r>
            <w:r w:rsidR="00504556">
              <w:t xml:space="preserve"> bones and decreased fertility reported in 2 repeat gavage </w:t>
            </w:r>
            <w:r w:rsidR="007B49C8">
              <w:t xml:space="preserve">reproductive </w:t>
            </w:r>
            <w:r w:rsidR="00504556">
              <w:t xml:space="preserve">studies (rats, 145 or 204 d); LOAEL: 0.075 mg/kg, mortality also observed in </w:t>
            </w:r>
            <w:r w:rsidR="00F223F5">
              <w:t>this</w:t>
            </w:r>
            <w:r w:rsidR="00504556">
              <w:t xml:space="preserve"> dose group</w:t>
            </w:r>
          </w:p>
          <w:p w14:paraId="7D1BFF10" w14:textId="1A6E8816" w:rsidR="006D0B2B" w:rsidRDefault="006D0B2B" w:rsidP="006B4CA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carcinogenic activity relative to controls reported in 2 chronic feeding and subcutaneous injection studies with respective exposure ranges 0.2–1.6 mg/kg/d </w:t>
            </w:r>
            <w:r w:rsidR="0055369E">
              <w:t xml:space="preserve">(rats, lifetime </w:t>
            </w:r>
            <w:r w:rsidR="0055369E">
              <w:rPr>
                <w:rFonts w:cs="Arial"/>
              </w:rPr>
              <w:t>≈</w:t>
            </w:r>
            <w:r w:rsidR="0055369E">
              <w:t xml:space="preserve">420 d) </w:t>
            </w:r>
            <w:r>
              <w:t xml:space="preserve">and </w:t>
            </w:r>
            <w:r w:rsidR="0055369E">
              <w:t>0.5–3.2 mg/kg (rats, 2 d/</w:t>
            </w:r>
            <w:proofErr w:type="spellStart"/>
            <w:r w:rsidR="0055369E">
              <w:t>wk</w:t>
            </w:r>
            <w:proofErr w:type="spellEnd"/>
            <w:r w:rsidR="0055369E">
              <w:t>, lifetime</w:t>
            </w:r>
            <w:r>
              <w:t xml:space="preserve">); agency considers </w:t>
            </w:r>
            <w:r w:rsidR="0055369E">
              <w:t>design of both studies</w:t>
            </w:r>
            <w:r>
              <w:t xml:space="preserve"> inadequate to draw conclusions on carcinogenicity</w:t>
            </w:r>
          </w:p>
          <w:p w14:paraId="3741F85B" w14:textId="32103DB9" w:rsidR="00984435" w:rsidRDefault="00984435" w:rsidP="006B4CA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in bacteria as aqueous solution with or without metabolic activation</w:t>
            </w:r>
            <w:r w:rsidR="00BC63B0">
              <w:t>.</w:t>
            </w:r>
          </w:p>
          <w:p w14:paraId="3AE41F12" w14:textId="77777777" w:rsidR="00514ABF" w:rsidRDefault="00514ABF" w:rsidP="00984435">
            <w:pPr>
              <w:pStyle w:val="Tabletextprimarysource"/>
            </w:pPr>
          </w:p>
          <w:p w14:paraId="12F91159" w14:textId="77777777" w:rsidR="00504556" w:rsidRDefault="00984435" w:rsidP="00984435">
            <w:pPr>
              <w:pStyle w:val="Tabletextprimarysource"/>
            </w:pPr>
            <w:r>
              <w:t>Insufficient data to recommend notations for carcinogenicity or sensitisation.</w:t>
            </w:r>
          </w:p>
          <w:p w14:paraId="20326152" w14:textId="6C444ADE" w:rsidR="00514ABF" w:rsidRPr="00DA352E" w:rsidRDefault="00514ABF" w:rsidP="00984435">
            <w:pPr>
              <w:pStyle w:val="Tabletextprimarysource"/>
            </w:pPr>
          </w:p>
        </w:tc>
      </w:tr>
      <w:tr w:rsidR="00C978F0" w:rsidRPr="00DA352E" w14:paraId="6FD21D4A" w14:textId="77777777" w:rsidTr="00F353B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3DDD21C" w14:textId="5783850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D6A8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2D6A87">
                  <w:t>NA</w:t>
                </w:r>
                <w:proofErr w:type="spellEnd"/>
              </w:sdtContent>
            </w:sdt>
          </w:p>
        </w:tc>
      </w:tr>
      <w:tr w:rsidR="00C978F0" w:rsidRPr="00DA352E" w14:paraId="10802D13" w14:textId="77777777" w:rsidTr="00F353B9">
        <w:trPr>
          <w:gridAfter w:val="1"/>
          <w:wAfter w:w="8" w:type="pct"/>
        </w:trPr>
        <w:tc>
          <w:tcPr>
            <w:tcW w:w="4992" w:type="pct"/>
          </w:tcPr>
          <w:p w14:paraId="6ABA84A9" w14:textId="341CB8E6" w:rsidR="00C978F0" w:rsidRPr="00DA352E" w:rsidRDefault="002D6A87" w:rsidP="003365A5">
            <w:pPr>
              <w:pStyle w:val="Tabletextprimarysource"/>
            </w:pPr>
            <w:r>
              <w:t>No report</w:t>
            </w:r>
            <w:r w:rsidR="00BC63B0">
              <w:t>.</w:t>
            </w:r>
          </w:p>
        </w:tc>
      </w:tr>
      <w:tr w:rsidR="00DA352E" w:rsidRPr="00DA352E" w14:paraId="6A314BB5" w14:textId="77777777" w:rsidTr="00F353B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04DF80A" w14:textId="7D434E1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D6A8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2D6A87">
                  <w:t>NA</w:t>
                </w:r>
                <w:proofErr w:type="spellEnd"/>
              </w:sdtContent>
            </w:sdt>
          </w:p>
        </w:tc>
      </w:tr>
      <w:tr w:rsidR="00DA352E" w:rsidRPr="00DA352E" w14:paraId="231380FC" w14:textId="77777777" w:rsidTr="00F353B9">
        <w:trPr>
          <w:gridAfter w:val="1"/>
          <w:wAfter w:w="8" w:type="pct"/>
        </w:trPr>
        <w:tc>
          <w:tcPr>
            <w:tcW w:w="4992" w:type="pct"/>
          </w:tcPr>
          <w:p w14:paraId="003241D0" w14:textId="4CEE2F76" w:rsidR="00DA352E" w:rsidRPr="00DA352E" w:rsidRDefault="002D6A87" w:rsidP="003365A5">
            <w:pPr>
              <w:pStyle w:val="Tabletextprimarysource"/>
            </w:pPr>
            <w:r>
              <w:t>No report</w:t>
            </w:r>
            <w:r w:rsidR="00BC63B0">
              <w:t>.</w:t>
            </w:r>
          </w:p>
        </w:tc>
      </w:tr>
      <w:tr w:rsidR="00DA352E" w:rsidRPr="00DA352E" w14:paraId="6E51ADE5" w14:textId="77777777" w:rsidTr="00F353B9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E4814C5" w14:textId="5FEB213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D6A8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2D6A87">
                  <w:t>NA</w:t>
                </w:r>
                <w:proofErr w:type="spellEnd"/>
              </w:sdtContent>
            </w:sdt>
          </w:p>
        </w:tc>
      </w:tr>
      <w:tr w:rsidR="00DA352E" w:rsidRPr="00DA352E" w14:paraId="7AAB8A5F" w14:textId="77777777" w:rsidTr="00F353B9">
        <w:trPr>
          <w:gridAfter w:val="1"/>
          <w:wAfter w:w="8" w:type="pct"/>
        </w:trPr>
        <w:tc>
          <w:tcPr>
            <w:tcW w:w="4992" w:type="pct"/>
          </w:tcPr>
          <w:p w14:paraId="4E890C59" w14:textId="689FAEE3" w:rsidR="00DA352E" w:rsidRPr="00DA352E" w:rsidRDefault="002D6A87" w:rsidP="003365A5">
            <w:pPr>
              <w:pStyle w:val="Tabletextprimarysource"/>
            </w:pPr>
            <w:r>
              <w:t>No report</w:t>
            </w:r>
            <w:r w:rsidR="00BC63B0">
              <w:t>.</w:t>
            </w:r>
          </w:p>
        </w:tc>
      </w:tr>
    </w:tbl>
    <w:p w14:paraId="21E848C3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3"/>
        <w:gridCol w:w="422"/>
        <w:gridCol w:w="661"/>
        <w:gridCol w:w="6450"/>
      </w:tblGrid>
      <w:tr w:rsidR="004966BF" w:rsidRPr="00263255" w14:paraId="6EA32392" w14:textId="77777777" w:rsidTr="00A17982">
        <w:trPr>
          <w:cantSplit/>
          <w:trHeight w:val="393"/>
          <w:tblHeader/>
        </w:trPr>
        <w:tc>
          <w:tcPr>
            <w:tcW w:w="1493" w:type="dxa"/>
            <w:shd w:val="clear" w:color="auto" w:fill="BFBFBF" w:themeFill="background1" w:themeFillShade="BF"/>
            <w:vAlign w:val="center"/>
          </w:tcPr>
          <w:p w14:paraId="673C2A3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0A2B9357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4C0158C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1807646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CACFDD6" w14:textId="77777777" w:rsidTr="00A17982">
        <w:trPr>
          <w:cantSplit/>
        </w:trPr>
        <w:tc>
          <w:tcPr>
            <w:tcW w:w="1493" w:type="dxa"/>
          </w:tcPr>
          <w:p w14:paraId="0063D0EE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1052E121" w14:textId="52D9D7EC" w:rsidR="004966BF" w:rsidRPr="00CE617F" w:rsidRDefault="0068102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2777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69357F9" w14:textId="04D9CFCD" w:rsidR="004966BF" w:rsidRPr="004C23F4" w:rsidRDefault="0042777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1990</w:t>
            </w:r>
          </w:p>
        </w:tc>
        <w:tc>
          <w:tcPr>
            <w:tcW w:w="6450" w:type="dxa"/>
          </w:tcPr>
          <w:p w14:paraId="6DA2E15F" w14:textId="4C8F52FF" w:rsidR="004966BF" w:rsidRPr="004C23F4" w:rsidRDefault="006D0B2B" w:rsidP="00F353B9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t xml:space="preserve">Not considered carcinogenic based on negative </w:t>
            </w:r>
            <w:r w:rsidR="0042777B">
              <w:t xml:space="preserve">results from bacterial </w:t>
            </w:r>
            <w:r>
              <w:t xml:space="preserve">mutagenicity and </w:t>
            </w:r>
            <w:r w:rsidR="0042777B">
              <w:t>chronic subcutaneous injection studies with rats (also cited in DFG, 2007)</w:t>
            </w:r>
            <w:r w:rsidR="00BC63B0">
              <w:t>.</w:t>
            </w:r>
          </w:p>
        </w:tc>
      </w:tr>
      <w:tr w:rsidR="004966BF" w:rsidRPr="004C23F4" w14:paraId="36B8051E" w14:textId="77777777" w:rsidTr="00A17982">
        <w:trPr>
          <w:cantSplit/>
        </w:trPr>
        <w:tc>
          <w:tcPr>
            <w:tcW w:w="1493" w:type="dxa"/>
          </w:tcPr>
          <w:p w14:paraId="3DC4F6F3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48428FFC" w14:textId="0CE3CD69" w:rsidR="004966BF" w:rsidRDefault="0068102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8443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C9A89DE" w14:textId="7B8A64E5" w:rsidR="004966BF" w:rsidRPr="004C23F4" w:rsidRDefault="0098443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0" w:type="dxa"/>
          </w:tcPr>
          <w:p w14:paraId="0FA7E2E4" w14:textId="3DDA3DBD" w:rsidR="004966BF" w:rsidRPr="004C23F4" w:rsidRDefault="00984435" w:rsidP="00F353B9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984435">
              <w:rPr>
                <w:rFonts w:cs="Arial"/>
              </w:rPr>
              <w:t>IDLH based on acu</w:t>
            </w:r>
            <w:r>
              <w:rPr>
                <w:rFonts w:cs="Arial"/>
              </w:rPr>
              <w:t>te oral toxicity data in humans</w:t>
            </w:r>
            <w:r w:rsidRPr="00984435">
              <w:rPr>
                <w:rFonts w:cs="Arial"/>
              </w:rPr>
              <w:t xml:space="preserve"> and animals</w:t>
            </w:r>
            <w:r>
              <w:rPr>
                <w:rFonts w:cs="Arial"/>
              </w:rPr>
              <w:t>.</w:t>
            </w:r>
          </w:p>
        </w:tc>
      </w:tr>
    </w:tbl>
    <w:bookmarkEnd w:id="0"/>
    <w:p w14:paraId="0FD2D36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F58CE38" w14:textId="77777777" w:rsidTr="00984435">
        <w:trPr>
          <w:trHeight w:val="454"/>
          <w:tblHeader/>
        </w:trPr>
        <w:tc>
          <w:tcPr>
            <w:tcW w:w="6597" w:type="dxa"/>
            <w:vAlign w:val="center"/>
          </w:tcPr>
          <w:p w14:paraId="260597C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F9D447A" w14:textId="2358138E" w:rsidR="002E0D61" w:rsidRDefault="0098443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C6B3CE9" w14:textId="77777777" w:rsidTr="00984435">
        <w:trPr>
          <w:trHeight w:val="454"/>
        </w:trPr>
        <w:tc>
          <w:tcPr>
            <w:tcW w:w="6597" w:type="dxa"/>
            <w:vAlign w:val="center"/>
          </w:tcPr>
          <w:p w14:paraId="5CEC024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5201FA7" w14:textId="66DF2945" w:rsidR="008A36CF" w:rsidRDefault="0098443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F353B9" w14:paraId="5236B1E0" w14:textId="77777777" w:rsidTr="00EF1904">
        <w:trPr>
          <w:trHeight w:val="454"/>
        </w:trPr>
        <w:sdt>
          <w:sdtPr>
            <w:rPr>
              <w:b/>
            </w:rPr>
            <w:id w:val="1830936485"/>
            <w:placeholder>
              <w:docPart w:val="77DE8E11DBF0425584DBA6C6F2A04B8D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4E66A0E1" w14:textId="709E568A" w:rsidR="00F353B9" w:rsidRDefault="00F353B9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584F009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EB6E5E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9D57F0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E7662B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C3A610E" w14:textId="77777777" w:rsidTr="00812887">
        <w:trPr>
          <w:cantSplit/>
        </w:trPr>
        <w:tc>
          <w:tcPr>
            <w:tcW w:w="3227" w:type="dxa"/>
          </w:tcPr>
          <w:p w14:paraId="299E57F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AA23790" w14:textId="5EBD0F9B" w:rsidR="00687890" w:rsidRPr="00DD2F9B" w:rsidRDefault="002223D4" w:rsidP="00DD2F9B">
            <w:pPr>
              <w:pStyle w:val="Tablefont"/>
            </w:pPr>
            <w:r w:rsidRPr="002223D4">
              <w:t>—</w:t>
            </w:r>
          </w:p>
        </w:tc>
      </w:tr>
      <w:tr w:rsidR="007925F0" w:rsidRPr="004C23F4" w14:paraId="0070AB35" w14:textId="77777777" w:rsidTr="00812887">
        <w:trPr>
          <w:cantSplit/>
        </w:trPr>
        <w:tc>
          <w:tcPr>
            <w:tcW w:w="3227" w:type="dxa"/>
          </w:tcPr>
          <w:p w14:paraId="66AA5CC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0B73B74" w14:textId="1B26ABCA" w:rsidR="007925F0" w:rsidRPr="00DD2F9B" w:rsidRDefault="002223D4" w:rsidP="00DD2F9B">
            <w:pPr>
              <w:pStyle w:val="Tablefont"/>
            </w:pPr>
            <w:r w:rsidRPr="002223D4">
              <w:t>—</w:t>
            </w:r>
          </w:p>
        </w:tc>
      </w:tr>
      <w:tr w:rsidR="00AF483F" w:rsidRPr="004C23F4" w14:paraId="18BAA6A7" w14:textId="77777777" w:rsidTr="00812887">
        <w:trPr>
          <w:cantSplit/>
        </w:trPr>
        <w:tc>
          <w:tcPr>
            <w:tcW w:w="3227" w:type="dxa"/>
          </w:tcPr>
          <w:p w14:paraId="7D64D07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F9E58A0" w14:textId="61EC7C23" w:rsidR="00AF483F" w:rsidRPr="00DD2F9B" w:rsidRDefault="002223D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74D2A73" w14:textId="77777777" w:rsidTr="00812887">
        <w:trPr>
          <w:cantSplit/>
        </w:trPr>
        <w:tc>
          <w:tcPr>
            <w:tcW w:w="3227" w:type="dxa"/>
          </w:tcPr>
          <w:p w14:paraId="4B9814C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4630F42" w14:textId="722D8D21" w:rsidR="00687890" w:rsidRPr="00DD2F9B" w:rsidRDefault="00984435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38BED673" w14:textId="77777777" w:rsidTr="00812887">
        <w:trPr>
          <w:cantSplit/>
        </w:trPr>
        <w:tc>
          <w:tcPr>
            <w:tcW w:w="3227" w:type="dxa"/>
          </w:tcPr>
          <w:p w14:paraId="36623E97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2080543" w14:textId="589A1DAF" w:rsidR="00E41A26" w:rsidRPr="00DD2F9B" w:rsidRDefault="00D60EA0" w:rsidP="00DD2F9B">
            <w:pPr>
              <w:pStyle w:val="Tablefont"/>
            </w:pPr>
            <w:r w:rsidRPr="002223D4">
              <w:t>—</w:t>
            </w:r>
          </w:p>
        </w:tc>
      </w:tr>
      <w:tr w:rsidR="002E0D61" w:rsidRPr="004C23F4" w14:paraId="12FE396C" w14:textId="77777777" w:rsidTr="00812887">
        <w:trPr>
          <w:cantSplit/>
        </w:trPr>
        <w:tc>
          <w:tcPr>
            <w:tcW w:w="3227" w:type="dxa"/>
          </w:tcPr>
          <w:p w14:paraId="0C35BE0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4C84B52" w14:textId="150816C8" w:rsidR="002E0D61" w:rsidRPr="00DD2F9B" w:rsidRDefault="00D60EA0" w:rsidP="00DD2F9B">
            <w:pPr>
              <w:pStyle w:val="Tablefont"/>
            </w:pPr>
            <w:r w:rsidRPr="002223D4">
              <w:t>—</w:t>
            </w:r>
          </w:p>
        </w:tc>
      </w:tr>
      <w:tr w:rsidR="002E0D61" w:rsidRPr="004C23F4" w14:paraId="32F1A139" w14:textId="77777777" w:rsidTr="00812887">
        <w:trPr>
          <w:cantSplit/>
        </w:trPr>
        <w:tc>
          <w:tcPr>
            <w:tcW w:w="3227" w:type="dxa"/>
          </w:tcPr>
          <w:p w14:paraId="3DED934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E385A6B" w14:textId="645CF3DF" w:rsidR="002E0D61" w:rsidRPr="00DD2F9B" w:rsidRDefault="00D60EA0" w:rsidP="00DD2F9B">
            <w:pPr>
              <w:pStyle w:val="Tablefont"/>
            </w:pPr>
            <w:r w:rsidRPr="002223D4">
              <w:t>—</w:t>
            </w:r>
          </w:p>
        </w:tc>
      </w:tr>
      <w:tr w:rsidR="002E0D61" w:rsidRPr="004C23F4" w14:paraId="51DDA504" w14:textId="77777777" w:rsidTr="00812887">
        <w:trPr>
          <w:cantSplit/>
        </w:trPr>
        <w:tc>
          <w:tcPr>
            <w:tcW w:w="3227" w:type="dxa"/>
          </w:tcPr>
          <w:p w14:paraId="7AC2E63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205C184" w14:textId="581D3048" w:rsidR="002E0D61" w:rsidRPr="00DD2F9B" w:rsidRDefault="00D60EA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355C7D1" w14:textId="77777777" w:rsidTr="00812887">
        <w:trPr>
          <w:cantSplit/>
        </w:trPr>
        <w:tc>
          <w:tcPr>
            <w:tcW w:w="3227" w:type="dxa"/>
          </w:tcPr>
          <w:p w14:paraId="3F106FE8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4A1EEDF" w14:textId="06B7DB03" w:rsidR="002E0D61" w:rsidRPr="00DD2F9B" w:rsidRDefault="00D60EA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51464F0" w14:textId="77777777" w:rsidTr="00812887">
        <w:trPr>
          <w:cantSplit/>
        </w:trPr>
        <w:tc>
          <w:tcPr>
            <w:tcW w:w="3227" w:type="dxa"/>
          </w:tcPr>
          <w:p w14:paraId="0CDF587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F52C31F" w14:textId="3CE5CD6D" w:rsidR="00386093" w:rsidRPr="00DD2F9B" w:rsidRDefault="00D60EA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D91AC26" w14:textId="77777777" w:rsidTr="00812887">
        <w:trPr>
          <w:cantSplit/>
        </w:trPr>
        <w:tc>
          <w:tcPr>
            <w:tcW w:w="3227" w:type="dxa"/>
          </w:tcPr>
          <w:p w14:paraId="0A711B97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03C1F83" w14:textId="7014E11F" w:rsidR="00386093" w:rsidRPr="00DD2F9B" w:rsidRDefault="00D60EA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885F33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5CF59EC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B61C27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EB9724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129BB2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506E43BE" w14:textId="29C6BCAD" w:rsidR="00932DCE" w:rsidRPr="004C23F4" w:rsidRDefault="0042777B" w:rsidP="00F9496B">
            <w:pPr>
              <w:pStyle w:val="Tablefont"/>
            </w:pPr>
            <w:r>
              <w:t>Insufficient data to assign a skin notation</w:t>
            </w:r>
            <w:r w:rsidR="00F353B9">
              <w:t>.</w:t>
            </w:r>
          </w:p>
        </w:tc>
      </w:tr>
    </w:tbl>
    <w:bookmarkEnd w:id="3"/>
    <w:p w14:paraId="28FE571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3F23D5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05FA12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FB593C2" w14:textId="3080FD44" w:rsidR="00EB3D1B" w:rsidRDefault="00D60EA0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5F28E1F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4D396BB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E72928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C6B58C5" w14:textId="7DFCB65D" w:rsidR="001B79E5" w:rsidRDefault="00D60EA0" w:rsidP="001B79E5">
                <w:pPr>
                  <w:pStyle w:val="Tablefont"/>
                </w:pPr>
                <w:r w:rsidRPr="00D60EA0">
                  <w:t>123.89</w:t>
                </w:r>
              </w:p>
            </w:tc>
          </w:sdtContent>
        </w:sdt>
      </w:tr>
      <w:tr w:rsidR="00A31D99" w:rsidRPr="004C23F4" w14:paraId="0D16179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EE5FF6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8840DE6" w14:textId="1CCFCDE0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D60EA0">
                  <w:t>5.97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D60EA0">
                  <w:t>0.197</w:t>
                </w:r>
              </w:sdtContent>
            </w:sdt>
            <w:r w:rsidRPr="00D60EA0">
              <w:t xml:space="preserve"> </w:t>
            </w:r>
            <w:r>
              <w:t>ppm</w:t>
            </w:r>
          </w:p>
        </w:tc>
      </w:tr>
      <w:tr w:rsidR="00687890" w:rsidRPr="004C23F4" w14:paraId="61707B4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3937F9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C9313EE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C29374B" w14:textId="77777777" w:rsidTr="00EA6243">
        <w:trPr>
          <w:cantSplit/>
        </w:trPr>
        <w:tc>
          <w:tcPr>
            <w:tcW w:w="4077" w:type="dxa"/>
            <w:vAlign w:val="center"/>
          </w:tcPr>
          <w:p w14:paraId="33357F1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659C00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A40F3AB" w14:textId="77777777" w:rsidTr="00EA6243">
        <w:trPr>
          <w:cantSplit/>
        </w:trPr>
        <w:tc>
          <w:tcPr>
            <w:tcW w:w="4077" w:type="dxa"/>
            <w:vAlign w:val="center"/>
          </w:tcPr>
          <w:p w14:paraId="343B152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9A7825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2A8928A" w14:textId="77777777" w:rsidTr="00EA6243">
        <w:trPr>
          <w:cantSplit/>
        </w:trPr>
        <w:tc>
          <w:tcPr>
            <w:tcW w:w="4077" w:type="dxa"/>
            <w:vAlign w:val="center"/>
          </w:tcPr>
          <w:p w14:paraId="78D09E5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6576AC9" w14:textId="77777777" w:rsidR="00E06F40" w:rsidRPr="00A006A0" w:rsidRDefault="0068102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80A72CD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0A5493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3E304E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740EBD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F66A98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FF5905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AAFA55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081D53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FDC8108" w14:textId="44636703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473BAED" w14:textId="62BF7CB5" w:rsidR="00D60EA0" w:rsidRDefault="0042777B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(2007) </w:t>
      </w:r>
      <w:r w:rsidRPr="00D60EA0">
        <w:t>Phosphorus, white/yellow</w:t>
      </w:r>
      <w:r>
        <w:t xml:space="preserve"> – MAK value documentation.</w:t>
      </w:r>
    </w:p>
    <w:p w14:paraId="68920754" w14:textId="5DCAEA52" w:rsidR="00D60EA0" w:rsidRDefault="00D60EA0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</w:t>
      </w:r>
      <w:r w:rsidR="0042777B">
        <w:t>2</w:t>
      </w:r>
      <w:r>
        <w:t xml:space="preserve">) </w:t>
      </w:r>
      <w:r w:rsidRPr="00D60EA0">
        <w:t>Phosphorus, white/yellow</w:t>
      </w:r>
      <w:r>
        <w:t xml:space="preserve"> – MAK value documentation.</w:t>
      </w:r>
    </w:p>
    <w:p w14:paraId="7DB669E4" w14:textId="34B1FEEB" w:rsidR="00D60EA0" w:rsidRDefault="00D60EA0" w:rsidP="00084859">
      <w:r>
        <w:t>European Chemicals Agency (ECHA) (20</w:t>
      </w:r>
      <w:r w:rsidR="0042777B">
        <w:t>20</w:t>
      </w:r>
      <w:r>
        <w:t xml:space="preserve">) </w:t>
      </w:r>
      <w:r w:rsidRPr="00D60EA0">
        <w:t>Phosphorus (yellow)</w:t>
      </w:r>
      <w:r>
        <w:t xml:space="preserve"> – REACH assessment.</w:t>
      </w:r>
    </w:p>
    <w:p w14:paraId="42E1DF5E" w14:textId="3CCEEF0F" w:rsidR="00D60EA0" w:rsidRDefault="00D60EA0" w:rsidP="00084859">
      <w:r w:rsidRPr="00D86E03">
        <w:t>US National Institute for Occupational Safety and Health (NIOSH)</w:t>
      </w:r>
      <w:r>
        <w:t xml:space="preserve"> (</w:t>
      </w:r>
      <w:r w:rsidRPr="00D60EA0">
        <w:t>1994</w:t>
      </w:r>
      <w:r>
        <w:t xml:space="preserve">) Immediately dangerous to life or health concentrations – </w:t>
      </w:r>
      <w:r w:rsidRPr="00D60EA0">
        <w:t>Phosphorus (yellow)</w:t>
      </w:r>
      <w:r>
        <w:t>.</w:t>
      </w:r>
    </w:p>
    <w:p w14:paraId="69B5ED69" w14:textId="24CE5BEA" w:rsidR="0042777B" w:rsidRPr="00351FE0" w:rsidRDefault="0042777B" w:rsidP="00084859">
      <w:r>
        <w:t xml:space="preserve">US Environmental Protection Authority (US EPA) (1990)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</w:t>
      </w:r>
      <w:r w:rsidRPr="0042777B">
        <w:t>White phosphorus</w:t>
      </w:r>
      <w:r>
        <w:t>.</w:t>
      </w:r>
    </w:p>
    <w:sectPr w:rsidR="0042777B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18078" w14:textId="77777777" w:rsidR="00925C65" w:rsidRDefault="00925C65" w:rsidP="00F43AD5">
      <w:pPr>
        <w:spacing w:after="0" w:line="240" w:lineRule="auto"/>
      </w:pPr>
      <w:r>
        <w:separator/>
      </w:r>
    </w:p>
  </w:endnote>
  <w:endnote w:type="continuationSeparator" w:id="0">
    <w:p w14:paraId="44D7D661" w14:textId="77777777" w:rsidR="00925C65" w:rsidRDefault="00925C6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812EF" w14:textId="77777777" w:rsidR="00D32063" w:rsidRDefault="00D320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AEB9F0B" w14:textId="728EE329" w:rsidR="008A36CF" w:rsidRDefault="00012F12" w:rsidP="0034744C">
        <w:pPr>
          <w:pStyle w:val="Footer"/>
          <w:rPr>
            <w:sz w:val="18"/>
            <w:szCs w:val="18"/>
          </w:rPr>
        </w:pPr>
        <w:r w:rsidRPr="00012F12">
          <w:rPr>
            <w:b/>
            <w:sz w:val="18"/>
            <w:szCs w:val="18"/>
          </w:rPr>
          <w:t>Phosphorus (yellow)</w:t>
        </w:r>
        <w:r w:rsidR="008A36CF">
          <w:rPr>
            <w:b/>
            <w:sz w:val="18"/>
            <w:szCs w:val="18"/>
          </w:rPr>
          <w:t xml:space="preserve"> (</w:t>
        </w:r>
        <w:r w:rsidRPr="00012F12">
          <w:rPr>
            <w:b/>
            <w:sz w:val="18"/>
            <w:szCs w:val="18"/>
          </w:rPr>
          <w:t>7723-14-0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42777B">
          <w:rPr>
            <w:sz w:val="18"/>
            <w:szCs w:val="18"/>
          </w:rPr>
          <w:t xml:space="preserve"> 2020</w:t>
        </w:r>
      </w:p>
      <w:p w14:paraId="1C415831" w14:textId="156106C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32063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E2DB5" w14:textId="77777777" w:rsidR="00D32063" w:rsidRDefault="00D320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52DA2" w14:textId="77777777" w:rsidR="00925C65" w:rsidRDefault="00925C65" w:rsidP="00F43AD5">
      <w:pPr>
        <w:spacing w:after="0" w:line="240" w:lineRule="auto"/>
      </w:pPr>
      <w:r>
        <w:separator/>
      </w:r>
    </w:p>
  </w:footnote>
  <w:footnote w:type="continuationSeparator" w:id="0">
    <w:p w14:paraId="1562D0A7" w14:textId="77777777" w:rsidR="00925C65" w:rsidRDefault="00925C6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68E42" w14:textId="77777777" w:rsidR="00D32063" w:rsidRDefault="00D320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03B69" w14:textId="691A895A" w:rsidR="00D32063" w:rsidRDefault="00D32063" w:rsidP="00D32063">
    <w:pPr>
      <w:pStyle w:val="Header"/>
      <w:jc w:val="right"/>
    </w:pPr>
    <w:r>
      <w:rPr>
        <w:noProof/>
        <w:lang w:eastAsia="en-AU"/>
      </w:rPr>
      <w:drawing>
        <wp:inline distT="0" distB="0" distL="0" distR="0" wp14:anchorId="2A54D51B" wp14:editId="5DE810B8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73F360" w14:textId="77777777" w:rsidR="00D32063" w:rsidRDefault="00D32063" w:rsidP="00D32063">
    <w:pPr>
      <w:pStyle w:val="Header"/>
      <w:jc w:val="right"/>
    </w:pPr>
  </w:p>
  <w:p w14:paraId="5D205D8A" w14:textId="60284B32" w:rsidR="008A36CF" w:rsidRPr="00D32063" w:rsidRDefault="008A36CF" w:rsidP="00D320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EB424" w14:textId="77777777" w:rsidR="00D32063" w:rsidRDefault="00D3206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56A38" w14:textId="3F8BEECC" w:rsidR="00D32063" w:rsidRDefault="00D32063" w:rsidP="00D32063">
    <w:pPr>
      <w:pStyle w:val="Header"/>
      <w:jc w:val="right"/>
    </w:pPr>
    <w:r>
      <w:rPr>
        <w:noProof/>
        <w:lang w:eastAsia="en-AU"/>
      </w:rPr>
      <w:drawing>
        <wp:inline distT="0" distB="0" distL="0" distR="0" wp14:anchorId="00EF35C5" wp14:editId="1C209CB9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F8C607" w14:textId="77777777" w:rsidR="00D32063" w:rsidRDefault="00D32063" w:rsidP="00D32063">
    <w:pPr>
      <w:pStyle w:val="Header"/>
      <w:jc w:val="right"/>
    </w:pPr>
  </w:p>
  <w:p w14:paraId="53FF8F55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E3544"/>
    <w:multiLevelType w:val="hybridMultilevel"/>
    <w:tmpl w:val="34E0D9D4"/>
    <w:lvl w:ilvl="0" w:tplc="826CE29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1126D"/>
    <w:multiLevelType w:val="hybridMultilevel"/>
    <w:tmpl w:val="40AA46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A44F17"/>
    <w:multiLevelType w:val="hybridMultilevel"/>
    <w:tmpl w:val="8B18A566"/>
    <w:lvl w:ilvl="0" w:tplc="863666E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603BCE"/>
    <w:multiLevelType w:val="hybridMultilevel"/>
    <w:tmpl w:val="BB0AE1C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46445164">
    <w:abstractNumId w:val="2"/>
  </w:num>
  <w:num w:numId="2" w16cid:durableId="909274111">
    <w:abstractNumId w:val="0"/>
  </w:num>
  <w:num w:numId="3" w16cid:durableId="1513840135">
    <w:abstractNumId w:val="1"/>
  </w:num>
  <w:num w:numId="4" w16cid:durableId="1989825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2F12"/>
    <w:rsid w:val="00013A22"/>
    <w:rsid w:val="00014C3F"/>
    <w:rsid w:val="00017C82"/>
    <w:rsid w:val="00032B88"/>
    <w:rsid w:val="000439BC"/>
    <w:rsid w:val="000466C9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1902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9FB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3D4"/>
    <w:rsid w:val="00222533"/>
    <w:rsid w:val="00222F30"/>
    <w:rsid w:val="00224EE2"/>
    <w:rsid w:val="0022586E"/>
    <w:rsid w:val="00227EC7"/>
    <w:rsid w:val="00244AD1"/>
    <w:rsid w:val="002463BC"/>
    <w:rsid w:val="002465CE"/>
    <w:rsid w:val="0025734A"/>
    <w:rsid w:val="00263255"/>
    <w:rsid w:val="00272B55"/>
    <w:rsid w:val="00276494"/>
    <w:rsid w:val="00276885"/>
    <w:rsid w:val="00277B0C"/>
    <w:rsid w:val="002B1A2C"/>
    <w:rsid w:val="002C34F2"/>
    <w:rsid w:val="002C58FF"/>
    <w:rsid w:val="002C7AFE"/>
    <w:rsid w:val="002D05D2"/>
    <w:rsid w:val="002D6A87"/>
    <w:rsid w:val="002E0D61"/>
    <w:rsid w:val="002E4C7B"/>
    <w:rsid w:val="003029C6"/>
    <w:rsid w:val="0030740C"/>
    <w:rsid w:val="00315833"/>
    <w:rsid w:val="00316241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0292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777B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4556"/>
    <w:rsid w:val="005142C4"/>
    <w:rsid w:val="00514ABF"/>
    <w:rsid w:val="0051509C"/>
    <w:rsid w:val="005272E2"/>
    <w:rsid w:val="0053108F"/>
    <w:rsid w:val="00532B56"/>
    <w:rsid w:val="00534B10"/>
    <w:rsid w:val="005446A2"/>
    <w:rsid w:val="00544D2F"/>
    <w:rsid w:val="00547178"/>
    <w:rsid w:val="00551BD8"/>
    <w:rsid w:val="0055369E"/>
    <w:rsid w:val="00563931"/>
    <w:rsid w:val="0057643E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1542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1024"/>
    <w:rsid w:val="006867F3"/>
    <w:rsid w:val="00687890"/>
    <w:rsid w:val="006901A2"/>
    <w:rsid w:val="00690368"/>
    <w:rsid w:val="0069079C"/>
    <w:rsid w:val="00690B53"/>
    <w:rsid w:val="00695B72"/>
    <w:rsid w:val="006B160A"/>
    <w:rsid w:val="006B4CA1"/>
    <w:rsid w:val="006B4E6C"/>
    <w:rsid w:val="006B50B6"/>
    <w:rsid w:val="006C3B1F"/>
    <w:rsid w:val="006D0B2B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49C8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6ED7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2DD6"/>
    <w:rsid w:val="00916909"/>
    <w:rsid w:val="00916EC0"/>
    <w:rsid w:val="00920467"/>
    <w:rsid w:val="00921DE7"/>
    <w:rsid w:val="00925C65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435"/>
    <w:rsid w:val="00984920"/>
    <w:rsid w:val="00991BAE"/>
    <w:rsid w:val="0099303A"/>
    <w:rsid w:val="009966A9"/>
    <w:rsid w:val="009971C2"/>
    <w:rsid w:val="009A11E4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17982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297D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63B0"/>
    <w:rsid w:val="00BD499F"/>
    <w:rsid w:val="00BD56DE"/>
    <w:rsid w:val="00BF2406"/>
    <w:rsid w:val="00C06E43"/>
    <w:rsid w:val="00C16315"/>
    <w:rsid w:val="00C3091E"/>
    <w:rsid w:val="00C33237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676A"/>
    <w:rsid w:val="00D048F7"/>
    <w:rsid w:val="00D0517E"/>
    <w:rsid w:val="00D140FC"/>
    <w:rsid w:val="00D21D8C"/>
    <w:rsid w:val="00D31357"/>
    <w:rsid w:val="00D32063"/>
    <w:rsid w:val="00D33220"/>
    <w:rsid w:val="00D334D1"/>
    <w:rsid w:val="00D44C89"/>
    <w:rsid w:val="00D45741"/>
    <w:rsid w:val="00D516CD"/>
    <w:rsid w:val="00D60EA0"/>
    <w:rsid w:val="00D668E6"/>
    <w:rsid w:val="00D70670"/>
    <w:rsid w:val="00D74D80"/>
    <w:rsid w:val="00D76624"/>
    <w:rsid w:val="00D76997"/>
    <w:rsid w:val="00D87570"/>
    <w:rsid w:val="00D91CB9"/>
    <w:rsid w:val="00D97989"/>
    <w:rsid w:val="00D97D8D"/>
    <w:rsid w:val="00DA352E"/>
    <w:rsid w:val="00DA4C4D"/>
    <w:rsid w:val="00DB5B8D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23F5"/>
    <w:rsid w:val="00F236DF"/>
    <w:rsid w:val="00F353B9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3E6F"/>
    <w:rsid w:val="00FC60A2"/>
    <w:rsid w:val="00FD1871"/>
    <w:rsid w:val="00FD3110"/>
    <w:rsid w:val="00FF54C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9966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66A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66A9"/>
    <w:rPr>
      <w:szCs w:val="20"/>
    </w:rPr>
  </w:style>
  <w:style w:type="paragraph" w:styleId="Revision">
    <w:name w:val="Revision"/>
    <w:hidden/>
    <w:uiPriority w:val="99"/>
    <w:semiHidden/>
    <w:rsid w:val="00A17982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39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39B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B1EE2D767BD4ADF9B1B5A79FD870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B593EB-60D4-46BA-A45E-C562872BE5AF}"/>
      </w:docPartPr>
      <w:docPartBody>
        <w:p w:rsidR="00A143F9" w:rsidRDefault="00193509" w:rsidP="00193509">
          <w:pPr>
            <w:pStyle w:val="DB1EE2D767BD4ADF9B1B5A79FD870285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77DE8E11DBF0425584DBA6C6F2A04B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B04006-69FF-4CB0-BE73-B1C9A960CE58}"/>
      </w:docPartPr>
      <w:docPartBody>
        <w:p w:rsidR="004E4C2E" w:rsidRDefault="00BE79E2" w:rsidP="00BE79E2">
          <w:pPr>
            <w:pStyle w:val="77DE8E11DBF0425584DBA6C6F2A04B8D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93509"/>
    <w:rsid w:val="0026033E"/>
    <w:rsid w:val="00272B55"/>
    <w:rsid w:val="004717E6"/>
    <w:rsid w:val="004E4C2E"/>
    <w:rsid w:val="005F1542"/>
    <w:rsid w:val="00A143F9"/>
    <w:rsid w:val="00BE79E2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79E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B1EE2D767BD4ADF9B1B5A79FD870285">
    <w:name w:val="DB1EE2D767BD4ADF9B1B5A79FD870285"/>
    <w:rsid w:val="00193509"/>
  </w:style>
  <w:style w:type="paragraph" w:customStyle="1" w:styleId="77DE8E11DBF0425584DBA6C6F2A04B8D">
    <w:name w:val="77DE8E11DBF0425584DBA6C6F2A04B8D"/>
    <w:rsid w:val="00BE79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7B8EEA2-771B-41C7-A40D-E80E9CFE9C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E71081-189A-4A1C-80D1-062DD59BED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6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20</cp:revision>
  <cp:lastPrinted>2018-10-22T22:41:00Z</cp:lastPrinted>
  <dcterms:created xsi:type="dcterms:W3CDTF">2019-09-25T08:14:00Z</dcterms:created>
  <dcterms:modified xsi:type="dcterms:W3CDTF">2026-01-09T00:36:00Z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2026-01-02T03:27:32Z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cd693b4f-5178-49c9-8ae7-aa5be72f32df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