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5DC7618" w14:textId="3D4DCED9" w:rsidR="00BD499F" w:rsidRPr="004C23F4" w:rsidRDefault="00E76B54" w:rsidP="00B40C60">
          <w:pPr>
            <w:pStyle w:val="Heading1"/>
            <w:jc w:val="center"/>
            <w:rPr>
              <w:rFonts w:ascii="Arial" w:hAnsi="Arial" w:cs="Arial"/>
            </w:rPr>
          </w:pPr>
          <w:r w:rsidRPr="00E76B54">
            <w:rPr>
              <w:rFonts w:ascii="Arial" w:hAnsi="Arial" w:cs="Arial"/>
            </w:rPr>
            <w:t>Phosphorus pentasu</w:t>
          </w:r>
          <w:r w:rsidR="00520D93">
            <w:rPr>
              <w:rFonts w:ascii="Arial" w:hAnsi="Arial" w:cs="Arial"/>
            </w:rPr>
            <w:t>LF</w:t>
          </w:r>
          <w:r w:rsidRPr="00E76B54">
            <w:rPr>
              <w:rFonts w:ascii="Arial" w:hAnsi="Arial" w:cs="Arial"/>
            </w:rPr>
            <w:t>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5DC8E14B" w14:textId="77777777" w:rsidTr="00B76A41">
        <w:trPr>
          <w:cantSplit/>
          <w:tblHeader/>
        </w:trPr>
        <w:tc>
          <w:tcPr>
            <w:tcW w:w="4077" w:type="dxa"/>
          </w:tcPr>
          <w:p w14:paraId="55AB56A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9272526" w14:textId="4F938679" w:rsidR="00F43AD5" w:rsidRPr="00717D45" w:rsidRDefault="00E76B54" w:rsidP="00B76A41">
            <w:pPr>
              <w:pStyle w:val="Tablefont"/>
            </w:pPr>
            <w:r w:rsidRPr="00E76B54">
              <w:t>1314-80-3</w:t>
            </w:r>
          </w:p>
        </w:tc>
      </w:tr>
      <w:tr w:rsidR="00F43AD5" w:rsidRPr="004C23F4" w14:paraId="74ABB8CF" w14:textId="77777777" w:rsidTr="00B76A41">
        <w:trPr>
          <w:cantSplit/>
        </w:trPr>
        <w:tc>
          <w:tcPr>
            <w:tcW w:w="4077" w:type="dxa"/>
          </w:tcPr>
          <w:p w14:paraId="7E77E6D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8DEC155" w14:textId="4A3B8FCB" w:rsidR="00F43AD5" w:rsidRPr="00717D45" w:rsidRDefault="00E76B54" w:rsidP="00B76A41">
            <w:pPr>
              <w:pStyle w:val="Tablefont"/>
            </w:pPr>
            <w:proofErr w:type="spellStart"/>
            <w:r>
              <w:t>Diphosphorus</w:t>
            </w:r>
            <w:proofErr w:type="spellEnd"/>
            <w:r>
              <w:t xml:space="preserve"> pentasulfide, phosphorus </w:t>
            </w:r>
            <w:proofErr w:type="spellStart"/>
            <w:r>
              <w:t>persulfide</w:t>
            </w:r>
            <w:proofErr w:type="spellEnd"/>
          </w:p>
        </w:tc>
      </w:tr>
      <w:tr w:rsidR="00F43AD5" w:rsidRPr="004C23F4" w14:paraId="62E28BCC" w14:textId="77777777" w:rsidTr="00B76A41">
        <w:trPr>
          <w:cantSplit/>
        </w:trPr>
        <w:tc>
          <w:tcPr>
            <w:tcW w:w="4077" w:type="dxa"/>
          </w:tcPr>
          <w:p w14:paraId="7ADDE2B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D4FA10F" w14:textId="7458C00E" w:rsidR="00F43AD5" w:rsidRPr="00717D45" w:rsidRDefault="00E76B54" w:rsidP="00B76A41">
            <w:pPr>
              <w:pStyle w:val="Tablefont"/>
            </w:pPr>
            <w:r>
              <w:t>P</w:t>
            </w:r>
            <w:r w:rsidRPr="00E76B54">
              <w:rPr>
                <w:vertAlign w:val="subscript"/>
              </w:rPr>
              <w:t>2</w:t>
            </w:r>
            <w:r>
              <w:t>S</w:t>
            </w:r>
            <w:r w:rsidRPr="00E76B54">
              <w:rPr>
                <w:vertAlign w:val="subscript"/>
              </w:rPr>
              <w:t>5</w:t>
            </w:r>
          </w:p>
        </w:tc>
      </w:tr>
      <w:tr w:rsidR="00F43AD5" w:rsidRPr="004C23F4" w14:paraId="53461EA8" w14:textId="77777777" w:rsidTr="00B76A41">
        <w:trPr>
          <w:cantSplit/>
        </w:trPr>
        <w:tc>
          <w:tcPr>
            <w:tcW w:w="4077" w:type="dxa"/>
          </w:tcPr>
          <w:p w14:paraId="2819F8A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7654649" w14:textId="0FF4875D" w:rsidR="00F43AD5" w:rsidRPr="00B40C60" w:rsidRDefault="00E76B54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4412FF74" w14:textId="280FD0F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C02A0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554C63E" w14:textId="77777777" w:rsidTr="00914F65">
        <w:trPr>
          <w:cantSplit/>
          <w:tblHeader/>
        </w:trPr>
        <w:tc>
          <w:tcPr>
            <w:tcW w:w="4005" w:type="dxa"/>
            <w:vAlign w:val="center"/>
          </w:tcPr>
          <w:p w14:paraId="27DED89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B28BFDA" w14:textId="6B7C71BB" w:rsidR="002C7AFE" w:rsidRPr="00EB3D1B" w:rsidRDefault="00323E16" w:rsidP="00017C82">
            <w:pPr>
              <w:pStyle w:val="Tablefont"/>
              <w:rPr>
                <w:b/>
              </w:rPr>
            </w:pPr>
            <w:r w:rsidRPr="00323E16">
              <w:rPr>
                <w:b/>
              </w:rPr>
              <w:t>1 mg/m</w:t>
            </w:r>
            <w:r w:rsidRPr="00323E16">
              <w:rPr>
                <w:b/>
                <w:vertAlign w:val="superscript"/>
              </w:rPr>
              <w:t>3</w:t>
            </w:r>
          </w:p>
        </w:tc>
      </w:tr>
      <w:tr w:rsidR="002C7AFE" w:rsidRPr="004C23F4" w14:paraId="32168054" w14:textId="77777777" w:rsidTr="00914F65">
        <w:trPr>
          <w:cantSplit/>
        </w:trPr>
        <w:tc>
          <w:tcPr>
            <w:tcW w:w="4005" w:type="dxa"/>
            <w:vAlign w:val="center"/>
          </w:tcPr>
          <w:p w14:paraId="30460D4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A77D441" w14:textId="543091BE" w:rsidR="002C7AFE" w:rsidRPr="00EB3D1B" w:rsidRDefault="00323E16" w:rsidP="00017C82">
            <w:pPr>
              <w:pStyle w:val="Tablefont"/>
              <w:rPr>
                <w:b/>
              </w:rPr>
            </w:pPr>
            <w:r w:rsidRPr="00323E16">
              <w:rPr>
                <w:b/>
              </w:rPr>
              <w:t>3 mg/m</w:t>
            </w:r>
            <w:r w:rsidRPr="00323E16">
              <w:rPr>
                <w:b/>
                <w:vertAlign w:val="superscript"/>
              </w:rPr>
              <w:t>3</w:t>
            </w:r>
          </w:p>
        </w:tc>
      </w:tr>
      <w:tr w:rsidR="002C7AFE" w:rsidRPr="004C23F4" w14:paraId="60C37B76" w14:textId="77777777" w:rsidTr="00914F65">
        <w:trPr>
          <w:cantSplit/>
        </w:trPr>
        <w:tc>
          <w:tcPr>
            <w:tcW w:w="4005" w:type="dxa"/>
            <w:vAlign w:val="center"/>
          </w:tcPr>
          <w:p w14:paraId="2445F1A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A538289" w14:textId="71F8A4E4" w:rsidR="002C7AFE" w:rsidRPr="00323E16" w:rsidRDefault="00323E16" w:rsidP="00017C82">
            <w:pPr>
              <w:pStyle w:val="Tablefont"/>
              <w:rPr>
                <w:b/>
              </w:rPr>
            </w:pPr>
            <w:r w:rsidRPr="00323E16">
              <w:rPr>
                <w:b/>
              </w:rPr>
              <w:t>—</w:t>
            </w:r>
          </w:p>
        </w:tc>
      </w:tr>
      <w:tr w:rsidR="002C7AFE" w:rsidRPr="004C23F4" w14:paraId="1642BEAA" w14:textId="77777777" w:rsidTr="00914F65">
        <w:trPr>
          <w:cantSplit/>
        </w:trPr>
        <w:tc>
          <w:tcPr>
            <w:tcW w:w="4005" w:type="dxa"/>
          </w:tcPr>
          <w:p w14:paraId="466458D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2B07344" w14:textId="6490C900" w:rsidR="002C7AFE" w:rsidRPr="00323E16" w:rsidRDefault="00323E16" w:rsidP="008A36CF">
            <w:pPr>
              <w:pStyle w:val="Tablefont"/>
              <w:rPr>
                <w:b/>
              </w:rPr>
            </w:pPr>
            <w:r w:rsidRPr="00323E16">
              <w:rPr>
                <w:b/>
              </w:rPr>
              <w:t>—</w:t>
            </w:r>
          </w:p>
        </w:tc>
      </w:tr>
      <w:tr w:rsidR="002C7AFE" w:rsidRPr="004C23F4" w14:paraId="73A1F837" w14:textId="77777777" w:rsidTr="00914F65">
        <w:trPr>
          <w:cantSplit/>
        </w:trPr>
        <w:tc>
          <w:tcPr>
            <w:tcW w:w="4005" w:type="dxa"/>
            <w:vAlign w:val="center"/>
          </w:tcPr>
          <w:p w14:paraId="199933C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25637591" w14:textId="16F23EAB" w:rsidR="002C7AFE" w:rsidRPr="00EB3D1B" w:rsidRDefault="00E76B5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250 mg/m</w:t>
            </w:r>
            <w:r w:rsidRPr="00E76B54">
              <w:rPr>
                <w:b/>
                <w:vertAlign w:val="superscript"/>
              </w:rPr>
              <w:t>3</w:t>
            </w:r>
          </w:p>
        </w:tc>
      </w:tr>
      <w:tr w:rsidR="00914F65" w:rsidRPr="004C23F4" w14:paraId="1B6727C5" w14:textId="77777777" w:rsidTr="009E3609">
        <w:trPr>
          <w:cantSplit/>
        </w:trPr>
        <w:tc>
          <w:tcPr>
            <w:tcW w:w="9026" w:type="dxa"/>
            <w:gridSpan w:val="2"/>
            <w:vAlign w:val="center"/>
          </w:tcPr>
          <w:p w14:paraId="7DEA2A56" w14:textId="12BB8E2C" w:rsidR="00914F65" w:rsidRPr="00EB3D1B" w:rsidRDefault="00914F6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</w:t>
            </w:r>
            <w:r w:rsidRPr="00914F65">
              <w:rPr>
                <w:b/>
              </w:rPr>
              <w:t xml:space="preserve"> analysis:</w:t>
            </w:r>
            <w:r w:rsidRPr="00914F65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63D128BCD3449D2A6507E56D593FA4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520D93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F6D743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A274A35" w14:textId="757C2E67" w:rsidR="00323E16" w:rsidRDefault="00323E16" w:rsidP="00323E16">
      <w:pPr>
        <w:rPr>
          <w:rFonts w:cs="Arial"/>
        </w:rPr>
      </w:pPr>
      <w:r w:rsidRPr="00D078DB">
        <w:rPr>
          <w:rFonts w:cs="Arial"/>
        </w:rPr>
        <w:t xml:space="preserve">A TWA of </w:t>
      </w:r>
      <w:r>
        <w:t>1</w:t>
      </w:r>
      <w:r w:rsidRPr="00D078DB">
        <w:t xml:space="preserve"> mg/m</w:t>
      </w:r>
      <w:r w:rsidRPr="00D078DB">
        <w:rPr>
          <w:vertAlign w:val="superscript"/>
        </w:rPr>
        <w:t>3</w:t>
      </w:r>
      <w:r w:rsidRPr="00323E16">
        <w:t xml:space="preserve"> and </w:t>
      </w:r>
      <w:r>
        <w:t>STEL of 3</w:t>
      </w:r>
      <w:r w:rsidRPr="00D078DB">
        <w:t xml:space="preserve"> mg/m</w:t>
      </w:r>
      <w:r w:rsidRPr="00D078DB">
        <w:rPr>
          <w:vertAlign w:val="superscript"/>
        </w:rPr>
        <w:t>3</w:t>
      </w:r>
      <w:r w:rsidRPr="00D078DB">
        <w:t xml:space="preserve"> </w:t>
      </w:r>
      <w:r w:rsidRPr="00D078DB">
        <w:rPr>
          <w:rFonts w:cs="Arial"/>
        </w:rPr>
        <w:t xml:space="preserve">is </w:t>
      </w:r>
      <w:r>
        <w:rPr>
          <w:rFonts w:cs="Arial"/>
        </w:rPr>
        <w:t>recommended</w:t>
      </w:r>
      <w:r w:rsidRPr="00D078DB">
        <w:rPr>
          <w:rFonts w:cs="Arial"/>
        </w:rPr>
        <w:t xml:space="preserve"> to protect for respiratory </w:t>
      </w:r>
      <w:r>
        <w:rPr>
          <w:rFonts w:cs="Arial"/>
        </w:rPr>
        <w:t>irritation</w:t>
      </w:r>
      <w:r w:rsidRPr="00D078DB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74F573EF" w14:textId="77777777" w:rsidR="00B41012" w:rsidRDefault="00B41012" w:rsidP="00B41012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5056DAA6" w14:textId="77777777" w:rsidR="00323E16" w:rsidRPr="004C23F4" w:rsidRDefault="00323E16" w:rsidP="00323E16">
      <w:pPr>
        <w:pStyle w:val="Heading2"/>
      </w:pPr>
      <w:r>
        <w:t>Discussion and conclusions</w:t>
      </w:r>
    </w:p>
    <w:p w14:paraId="0206C417" w14:textId="77777777" w:rsidR="00491BEA" w:rsidRDefault="00520D93" w:rsidP="00323E16">
      <w:pPr>
        <w:rPr>
          <w:rFonts w:cs="Arial"/>
        </w:rPr>
      </w:pPr>
      <w:r>
        <w:rPr>
          <w:rFonts w:cs="Arial"/>
        </w:rPr>
        <w:t>Phosphorus pentasulf</w:t>
      </w:r>
      <w:r w:rsidR="00323E16" w:rsidRPr="00323E16">
        <w:rPr>
          <w:rFonts w:cs="Arial"/>
        </w:rPr>
        <w:t xml:space="preserve">ide </w:t>
      </w:r>
      <w:r w:rsidR="00323E16">
        <w:rPr>
          <w:rFonts w:cs="Arial"/>
        </w:rPr>
        <w:t xml:space="preserve">is primarily used as a </w:t>
      </w:r>
      <w:r w:rsidR="00292994">
        <w:rPr>
          <w:rFonts w:cs="Arial"/>
        </w:rPr>
        <w:t>chemical intermediate</w:t>
      </w:r>
      <w:r>
        <w:rPr>
          <w:rFonts w:cs="Arial"/>
        </w:rPr>
        <w:t>, in matches</w:t>
      </w:r>
      <w:r w:rsidR="00292994">
        <w:rPr>
          <w:rFonts w:cs="Arial"/>
        </w:rPr>
        <w:t xml:space="preserve"> and </w:t>
      </w:r>
      <w:r w:rsidR="00292994" w:rsidRPr="00EF3A64">
        <w:rPr>
          <w:rFonts w:cs="Arial"/>
        </w:rPr>
        <w:t>for introducing sulphur into organic compounds</w:t>
      </w:r>
      <w:r w:rsidR="00323E16">
        <w:rPr>
          <w:rFonts w:cs="Arial"/>
        </w:rPr>
        <w:t xml:space="preserve">. </w:t>
      </w:r>
    </w:p>
    <w:p w14:paraId="2F0EF4D6" w14:textId="1AD81E5E" w:rsidR="00323E16" w:rsidRDefault="00491BEA" w:rsidP="00323E16">
      <w:pPr>
        <w:rPr>
          <w:rFonts w:cs="Arial"/>
        </w:rPr>
      </w:pPr>
      <w:r>
        <w:rPr>
          <w:rFonts w:cs="Arial"/>
        </w:rPr>
        <w:t xml:space="preserve">The critical </w:t>
      </w:r>
      <w:r w:rsidR="00292994">
        <w:rPr>
          <w:rFonts w:cs="Arial"/>
        </w:rPr>
        <w:t>effect</w:t>
      </w:r>
      <w:r>
        <w:rPr>
          <w:rFonts w:cs="Arial"/>
        </w:rPr>
        <w:t xml:space="preserve"> of exposure</w:t>
      </w:r>
      <w:r w:rsidR="00323E16" w:rsidRPr="00612AF7">
        <w:rPr>
          <w:rFonts w:cs="Arial"/>
        </w:rPr>
        <w:t xml:space="preserve"> </w:t>
      </w:r>
      <w:r w:rsidR="00292994">
        <w:rPr>
          <w:rFonts w:cs="Arial"/>
        </w:rPr>
        <w:t>is</w:t>
      </w:r>
      <w:r w:rsidR="00323E16" w:rsidRPr="00612AF7">
        <w:rPr>
          <w:rFonts w:cs="Arial"/>
        </w:rPr>
        <w:t xml:space="preserve"> </w:t>
      </w:r>
      <w:r w:rsidR="00B8283A">
        <w:rPr>
          <w:rFonts w:cs="Arial"/>
        </w:rPr>
        <w:t xml:space="preserve">eye, skin and </w:t>
      </w:r>
      <w:r w:rsidR="00323E16">
        <w:rPr>
          <w:rFonts w:cs="Arial"/>
        </w:rPr>
        <w:t>respiratory</w:t>
      </w:r>
      <w:r w:rsidR="00323E16" w:rsidRPr="00612AF7">
        <w:rPr>
          <w:rFonts w:cs="Arial"/>
        </w:rPr>
        <w:t xml:space="preserve"> irritation</w:t>
      </w:r>
      <w:r w:rsidR="00292994">
        <w:rPr>
          <w:rFonts w:cs="Arial"/>
        </w:rPr>
        <w:t>.</w:t>
      </w:r>
    </w:p>
    <w:p w14:paraId="048362E2" w14:textId="1C973775" w:rsidR="00292994" w:rsidRDefault="00491BEA" w:rsidP="00323E16">
      <w:pPr>
        <w:rPr>
          <w:rFonts w:cs="Arial"/>
        </w:rPr>
      </w:pPr>
      <w:r>
        <w:rPr>
          <w:rFonts w:cs="Arial"/>
        </w:rPr>
        <w:t xml:space="preserve">There are limited exposure data in both human and animals. </w:t>
      </w:r>
      <w:r w:rsidR="00B35C1A">
        <w:rPr>
          <w:rFonts w:cs="Arial"/>
        </w:rPr>
        <w:t>Phosphorus</w:t>
      </w:r>
      <w:r w:rsidR="00B35C1A" w:rsidRPr="00B35C1A">
        <w:rPr>
          <w:rFonts w:cs="Arial"/>
        </w:rPr>
        <w:t xml:space="preserve"> </w:t>
      </w:r>
      <w:r w:rsidR="00B35C1A">
        <w:rPr>
          <w:rFonts w:cs="Arial"/>
        </w:rPr>
        <w:t>pentasulf</w:t>
      </w:r>
      <w:r w:rsidR="00B35C1A" w:rsidRPr="00292994">
        <w:rPr>
          <w:rFonts w:cs="Arial"/>
        </w:rPr>
        <w:t>ide</w:t>
      </w:r>
      <w:r w:rsidR="00B35C1A">
        <w:rPr>
          <w:rFonts w:cs="Arial"/>
        </w:rPr>
        <w:t xml:space="preserve"> hydrolyses </w:t>
      </w:r>
      <w:r w:rsidR="001A1B6E">
        <w:rPr>
          <w:rFonts w:cs="Arial"/>
        </w:rPr>
        <w:t xml:space="preserve">to phosphoric acid and hydrogen </w:t>
      </w:r>
      <w:proofErr w:type="spellStart"/>
      <w:r w:rsidR="001A1B6E">
        <w:rPr>
          <w:rFonts w:cs="Arial"/>
        </w:rPr>
        <w:t>sulfide</w:t>
      </w:r>
      <w:proofErr w:type="spellEnd"/>
      <w:r w:rsidR="001A1B6E">
        <w:rPr>
          <w:rFonts w:cs="Arial"/>
        </w:rPr>
        <w:t xml:space="preserve"> in moist air.</w:t>
      </w:r>
      <w:r w:rsidR="00B35C1A">
        <w:rPr>
          <w:rFonts w:cs="Arial"/>
        </w:rPr>
        <w:t xml:space="preserve"> </w:t>
      </w:r>
      <w:r w:rsidR="000D7DC6">
        <w:rPr>
          <w:rFonts w:cs="Arial"/>
        </w:rPr>
        <w:t xml:space="preserve">The TLV-TWA of </w:t>
      </w:r>
      <w:r w:rsidR="000D7DC6">
        <w:t>1</w:t>
      </w:r>
      <w:r w:rsidR="000D7DC6" w:rsidRPr="00D078DB">
        <w:t xml:space="preserve"> mg/m</w:t>
      </w:r>
      <w:r w:rsidR="000D7DC6" w:rsidRPr="00D078DB">
        <w:rPr>
          <w:vertAlign w:val="superscript"/>
        </w:rPr>
        <w:t>3</w:t>
      </w:r>
      <w:r w:rsidR="000D7DC6" w:rsidRPr="00323E16">
        <w:t xml:space="preserve"> and </w:t>
      </w:r>
      <w:r w:rsidR="000D7DC6">
        <w:t>STEL of 3 </w:t>
      </w:r>
      <w:r w:rsidR="000D7DC6" w:rsidRPr="00D078DB">
        <w:t>mg/m</w:t>
      </w:r>
      <w:r w:rsidR="000D7DC6" w:rsidRPr="00D078DB">
        <w:rPr>
          <w:vertAlign w:val="superscript"/>
        </w:rPr>
        <w:t>3</w:t>
      </w:r>
      <w:r w:rsidR="000D7DC6">
        <w:rPr>
          <w:rFonts w:cs="Arial"/>
        </w:rPr>
        <w:t xml:space="preserve"> by </w:t>
      </w:r>
      <w:r w:rsidR="00323E16">
        <w:rPr>
          <w:rFonts w:cs="Arial"/>
        </w:rPr>
        <w:t xml:space="preserve">ACGIH (2018) </w:t>
      </w:r>
      <w:r w:rsidR="000D7DC6">
        <w:rPr>
          <w:rFonts w:cs="Arial"/>
        </w:rPr>
        <w:t xml:space="preserve">is based on </w:t>
      </w:r>
      <w:r w:rsidR="00323E16">
        <w:rPr>
          <w:rFonts w:cs="Arial"/>
        </w:rPr>
        <w:t xml:space="preserve">analogy to </w:t>
      </w:r>
      <w:r w:rsidR="00292994" w:rsidRPr="00292994">
        <w:rPr>
          <w:rFonts w:cs="Arial"/>
        </w:rPr>
        <w:t>phosphoric acid</w:t>
      </w:r>
      <w:r w:rsidR="00B41012">
        <w:rPr>
          <w:rFonts w:cs="Arial"/>
        </w:rPr>
        <w:t>.</w:t>
      </w:r>
    </w:p>
    <w:p w14:paraId="084FE8F9" w14:textId="3FB1EE4D" w:rsidR="00E55754" w:rsidRDefault="000D7DC6" w:rsidP="00323E16">
      <w:pPr>
        <w:rPr>
          <w:rFonts w:cs="Arial"/>
        </w:rPr>
      </w:pPr>
      <w:r>
        <w:rPr>
          <w:rFonts w:cs="Arial"/>
        </w:rPr>
        <w:t xml:space="preserve">The SWA </w:t>
      </w:r>
      <w:r w:rsidRPr="00D078DB">
        <w:rPr>
          <w:rFonts w:cs="Arial"/>
        </w:rPr>
        <w:t xml:space="preserve">TWA of </w:t>
      </w:r>
      <w:r>
        <w:t>1</w:t>
      </w:r>
      <w:r w:rsidRPr="00D078DB">
        <w:t xml:space="preserve"> mg/m</w:t>
      </w:r>
      <w:r w:rsidRPr="00D078DB">
        <w:rPr>
          <w:vertAlign w:val="superscript"/>
        </w:rPr>
        <w:t>3</w:t>
      </w:r>
      <w:r w:rsidRPr="00323E16">
        <w:t xml:space="preserve"> and </w:t>
      </w:r>
      <w:r>
        <w:t>STEL of 3</w:t>
      </w:r>
      <w:r w:rsidRPr="00D078DB">
        <w:t xml:space="preserve"> mg/m</w:t>
      </w:r>
      <w:r w:rsidRPr="00D078DB">
        <w:rPr>
          <w:vertAlign w:val="superscript"/>
        </w:rPr>
        <w:t>3</w:t>
      </w:r>
      <w:r w:rsidRPr="00D078DB">
        <w:t xml:space="preserve"> </w:t>
      </w:r>
      <w:r w:rsidR="006C02A0">
        <w:rPr>
          <w:rFonts w:cs="Arial"/>
        </w:rPr>
        <w:t>are</w:t>
      </w:r>
      <w:r>
        <w:rPr>
          <w:rFonts w:cs="Arial"/>
        </w:rPr>
        <w:t xml:space="preserve"> </w:t>
      </w:r>
      <w:r w:rsidR="006C02A0">
        <w:rPr>
          <w:rFonts w:cs="Arial"/>
        </w:rPr>
        <w:t>the same as the TLV -TWA and STEL by ACGIH and are</w:t>
      </w:r>
      <w:r w:rsidR="00323E16" w:rsidRPr="00D261A4">
        <w:rPr>
          <w:rFonts w:cs="Arial"/>
        </w:rPr>
        <w:t xml:space="preserve"> recommended to be retained to limit irritant effects. </w:t>
      </w:r>
    </w:p>
    <w:p w14:paraId="2D66423E" w14:textId="36C63742" w:rsidR="00323E16" w:rsidRPr="004C23F4" w:rsidRDefault="00323E16" w:rsidP="00323E16">
      <w:pPr>
        <w:rPr>
          <w:rFonts w:cs="Arial"/>
        </w:rPr>
      </w:pPr>
      <w:r w:rsidRPr="00D261A4">
        <w:rPr>
          <w:rFonts w:cs="Arial"/>
        </w:rPr>
        <w:t xml:space="preserve">A </w:t>
      </w:r>
      <w:r w:rsidR="006C02A0">
        <w:rPr>
          <w:rFonts w:cs="Arial"/>
        </w:rPr>
        <w:t xml:space="preserve">priority </w:t>
      </w:r>
      <w:r w:rsidRPr="00D261A4">
        <w:rPr>
          <w:rFonts w:cs="Arial"/>
        </w:rPr>
        <w:t>review of additional data sources is recommended at the next scheduled review to address the absence of chronic data.</w:t>
      </w:r>
    </w:p>
    <w:p w14:paraId="32792062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89B70E6" w14:textId="59CE0555" w:rsidR="00E76B54" w:rsidRPr="00323E16" w:rsidRDefault="00E76B54" w:rsidP="00E76B54">
      <w:pPr>
        <w:rPr>
          <w:rFonts w:cs="Arial"/>
        </w:rPr>
      </w:pPr>
      <w:r w:rsidRPr="00323E16">
        <w:rPr>
          <w:rFonts w:cs="Arial"/>
        </w:rPr>
        <w:t>Not classified as a carcinogen according to the Globally Harmonized System of Classification and Labelling o</w:t>
      </w:r>
      <w:r w:rsidR="007B27E9">
        <w:rPr>
          <w:rFonts w:cs="Arial"/>
        </w:rPr>
        <w:t>f</w:t>
      </w:r>
      <w:r w:rsidRPr="00323E16">
        <w:rPr>
          <w:rFonts w:cs="Arial"/>
        </w:rPr>
        <w:t xml:space="preserve"> Chemicals (GHS). </w:t>
      </w:r>
    </w:p>
    <w:p w14:paraId="4E46ECCA" w14:textId="60BBDBBF" w:rsidR="00E76B54" w:rsidRPr="00323E16" w:rsidRDefault="00E76B54" w:rsidP="00E76B54">
      <w:pPr>
        <w:rPr>
          <w:rFonts w:cs="Arial"/>
        </w:rPr>
      </w:pPr>
      <w:r w:rsidRPr="00323E16">
        <w:rPr>
          <w:rFonts w:cs="Arial"/>
        </w:rPr>
        <w:t xml:space="preserve">Not classified as a skin </w:t>
      </w:r>
      <w:r w:rsidR="007B27E9" w:rsidRPr="00323E16">
        <w:rPr>
          <w:rFonts w:cs="Arial"/>
        </w:rPr>
        <w:t xml:space="preserve">sensitiser </w:t>
      </w:r>
      <w:r w:rsidRPr="00323E16">
        <w:rPr>
          <w:rFonts w:cs="Arial"/>
        </w:rPr>
        <w:t>or respiratory sensitiser according to the GHS.</w:t>
      </w:r>
    </w:p>
    <w:p w14:paraId="7606BE8D" w14:textId="55AA11EE" w:rsidR="0025734A" w:rsidRPr="004C23F4" w:rsidRDefault="00323E16">
      <w:pPr>
        <w:rPr>
          <w:rFonts w:cs="Arial"/>
        </w:rPr>
      </w:pPr>
      <w:r w:rsidRPr="00323E16">
        <w:rPr>
          <w:rFonts w:cs="Arial"/>
        </w:rPr>
        <w:t>A skin notation is not warranted based on the available evidence.</w:t>
      </w:r>
    </w:p>
    <w:p w14:paraId="3287D8B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091BE1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23681D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1671299" w14:textId="77777777" w:rsidTr="0024460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020479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0969633" w14:textId="77777777" w:rsidTr="0024460B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A412789" w14:textId="5BF69CC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76B5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76B54">
                  <w:t xml:space="preserve">TWA: 1 </w:t>
                </w:r>
                <w:r w:rsidR="00A33DEF">
                  <w:t>mg/m</w:t>
                </w:r>
                <w:r w:rsidR="00A33DEF" w:rsidRPr="00A33DEF">
                  <w:rPr>
                    <w:vertAlign w:val="superscript"/>
                  </w:rPr>
                  <w:t>3</w:t>
                </w:r>
                <w:r w:rsidR="00A33DEF">
                  <w:t>; STEL: 3 mg/m</w:t>
                </w:r>
                <w:r w:rsidR="00A33DEF" w:rsidRPr="00A33DE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B28DD93" w14:textId="77777777" w:rsidTr="0024460B">
        <w:trPr>
          <w:gridAfter w:val="1"/>
          <w:wAfter w:w="8" w:type="pct"/>
          <w:cantSplit/>
        </w:trPr>
        <w:tc>
          <w:tcPr>
            <w:tcW w:w="4992" w:type="pct"/>
          </w:tcPr>
          <w:p w14:paraId="0C0D094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8577C63" w14:textId="77777777" w:rsidTr="0024460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9C93DE0" w14:textId="52A2904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33DEF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33DEF">
                  <w:t>TLV-TWA: 1 mg/m</w:t>
                </w:r>
                <w:r w:rsidR="00A33DEF" w:rsidRPr="00A33DEF">
                  <w:rPr>
                    <w:vertAlign w:val="superscript"/>
                  </w:rPr>
                  <w:t>3</w:t>
                </w:r>
                <w:r w:rsidR="00A33DEF">
                  <w:t>; TLV-STEL: 3 mg/m</w:t>
                </w:r>
                <w:r w:rsidR="00A33DEF" w:rsidRPr="00A33DE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795FDD5" w14:textId="77777777" w:rsidTr="0024460B">
        <w:trPr>
          <w:gridAfter w:val="1"/>
          <w:wAfter w:w="8" w:type="pct"/>
          <w:cantSplit/>
        </w:trPr>
        <w:tc>
          <w:tcPr>
            <w:tcW w:w="4992" w:type="pct"/>
          </w:tcPr>
          <w:p w14:paraId="1902AEAE" w14:textId="3819F186" w:rsidR="00B15CFF" w:rsidRDefault="00B15CFF" w:rsidP="007B27E9">
            <w:pPr>
              <w:pStyle w:val="Tabletextprimarysource"/>
            </w:pPr>
            <w:r>
              <w:t xml:space="preserve">TLV-TWA recommended to minimise the risk of </w:t>
            </w:r>
            <w:r w:rsidR="00EF3A64" w:rsidRPr="00EF3A64">
              <w:t>eye, skin, and respiratory tract irritation</w:t>
            </w:r>
            <w:r w:rsidR="00EF3A64">
              <w:t xml:space="preserve"> </w:t>
            </w:r>
            <w:r>
              <w:t>exposed workers.</w:t>
            </w:r>
          </w:p>
          <w:p w14:paraId="16F40947" w14:textId="77777777" w:rsidR="00B15CFF" w:rsidRDefault="00B15CFF" w:rsidP="007B27E9">
            <w:pPr>
              <w:pStyle w:val="Tabletextprimarysource"/>
            </w:pPr>
            <w:r>
              <w:t>Summary of data:</w:t>
            </w:r>
          </w:p>
          <w:p w14:paraId="7747B874" w14:textId="20ED0318" w:rsidR="001F1152" w:rsidRDefault="001F1152" w:rsidP="007B27E9">
            <w:pPr>
              <w:pStyle w:val="Tabletextprimarysource"/>
            </w:pPr>
            <w:r>
              <w:t xml:space="preserve">Due to </w:t>
            </w:r>
            <w:r w:rsidR="00E9352F">
              <w:t xml:space="preserve">the </w:t>
            </w:r>
            <w:r>
              <w:t>lack</w:t>
            </w:r>
            <w:r w:rsidRPr="001F1152">
              <w:t xml:space="preserve"> </w:t>
            </w:r>
            <w:r w:rsidR="00E9352F">
              <w:t xml:space="preserve">of </w:t>
            </w:r>
            <w:r w:rsidRPr="001F1152">
              <w:t xml:space="preserve">toxicity data </w:t>
            </w:r>
            <w:r>
              <w:t xml:space="preserve">and as </w:t>
            </w:r>
            <w:r w:rsidR="00520D93">
              <w:t>phosphorus pentasulf</w:t>
            </w:r>
            <w:r w:rsidRPr="001F1152">
              <w:t>ide</w:t>
            </w:r>
            <w:r w:rsidR="00EF3A64" w:rsidRPr="001F1152">
              <w:t xml:space="preserve"> hydrolyses in moist air to phosphoric acid (and hydrogen </w:t>
            </w:r>
            <w:proofErr w:type="spellStart"/>
            <w:r w:rsidR="00EF3A64" w:rsidRPr="001F1152">
              <w:t>sulfide</w:t>
            </w:r>
            <w:proofErr w:type="spellEnd"/>
            <w:r w:rsidR="00EF3A64" w:rsidRPr="001F1152">
              <w:t>)</w:t>
            </w:r>
            <w:r w:rsidR="00EF3A64">
              <w:t xml:space="preserve">, </w:t>
            </w:r>
            <w:r w:rsidR="00EF3A64" w:rsidRPr="001F1152">
              <w:t>the toxicity data and TLV</w:t>
            </w:r>
            <w:r w:rsidR="00E101F4">
              <w:t>-TWA</w:t>
            </w:r>
            <w:r w:rsidR="00EF3A64" w:rsidRPr="001F1152">
              <w:t xml:space="preserve"> for phosphoric acid </w:t>
            </w:r>
            <w:r w:rsidR="00E101F4">
              <w:rPr>
                <w:rFonts w:cs="Arial"/>
              </w:rPr>
              <w:t xml:space="preserve">(TLV-TWA </w:t>
            </w:r>
            <w:r w:rsidR="00E101F4">
              <w:t>1 </w:t>
            </w:r>
            <w:r w:rsidR="00E101F4" w:rsidRPr="00D078DB">
              <w:t>mg/m</w:t>
            </w:r>
            <w:r w:rsidR="00E101F4" w:rsidRPr="00D078DB">
              <w:rPr>
                <w:vertAlign w:val="superscript"/>
              </w:rPr>
              <w:t>3</w:t>
            </w:r>
            <w:r w:rsidR="00E101F4" w:rsidRPr="00323E16">
              <w:t xml:space="preserve"> and </w:t>
            </w:r>
            <w:r w:rsidR="00E101F4">
              <w:t>STEL 3 </w:t>
            </w:r>
            <w:r w:rsidR="00E101F4" w:rsidRPr="00D078DB">
              <w:t>mg/m</w:t>
            </w:r>
            <w:r w:rsidR="00E101F4" w:rsidRPr="00D078DB">
              <w:rPr>
                <w:vertAlign w:val="superscript"/>
              </w:rPr>
              <w:t>3</w:t>
            </w:r>
            <w:r w:rsidR="00E101F4">
              <w:rPr>
                <w:rFonts w:cs="Arial"/>
              </w:rPr>
              <w:t xml:space="preserve">) </w:t>
            </w:r>
            <w:r w:rsidR="00EF3A64" w:rsidRPr="001F1152">
              <w:t>are considered applicable for phosphorus pentasulfide</w:t>
            </w:r>
            <w:r w:rsidR="007B27E9">
              <w:t>.</w:t>
            </w:r>
          </w:p>
          <w:p w14:paraId="527960B1" w14:textId="77777777" w:rsidR="00B15CFF" w:rsidRDefault="00B15CFF" w:rsidP="00520D9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7446FD49" w14:textId="768E68C6" w:rsidR="00B15CFF" w:rsidRDefault="00B15CFF" w:rsidP="00520D93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Primary inhalation effect is respiratory irritation, </w:t>
            </w:r>
            <w:r w:rsidRPr="00B15CFF">
              <w:t>pulmonary irritation</w:t>
            </w:r>
            <w:r>
              <w:t xml:space="preserve"> estimated at 10 mg/m</w:t>
            </w:r>
            <w:r w:rsidRPr="00B15CFF">
              <w:rPr>
                <w:vertAlign w:val="superscript"/>
              </w:rPr>
              <w:t>3</w:t>
            </w:r>
            <w:r>
              <w:t>, no other details provided</w:t>
            </w:r>
          </w:p>
          <w:p w14:paraId="4FBDC060" w14:textId="21EA08D4" w:rsidR="00B15CFF" w:rsidRDefault="00AD5509" w:rsidP="00520D93">
            <w:pPr>
              <w:pStyle w:val="ListBullet"/>
              <w:spacing w:before="60" w:after="60"/>
              <w:ind w:left="720"/>
              <w:contextualSpacing w:val="0"/>
            </w:pPr>
            <w:r w:rsidRPr="00AD5509">
              <w:t xml:space="preserve">Phosphorus poisoning occurs most commonly </w:t>
            </w:r>
            <w:proofErr w:type="gramStart"/>
            <w:r w:rsidRPr="00AD5509">
              <w:t>as a result of</w:t>
            </w:r>
            <w:proofErr w:type="gramEnd"/>
            <w:r w:rsidRPr="00AD5509">
              <w:t xml:space="preserve"> ingestion</w:t>
            </w:r>
            <w:r>
              <w:t>,</w:t>
            </w:r>
            <w:r w:rsidRPr="00AD5509">
              <w:t xml:space="preserve"> death results from gastroenteritis, hepatic and renal failure</w:t>
            </w:r>
            <w:r>
              <w:t xml:space="preserve"> and in some cases </w:t>
            </w:r>
            <w:r w:rsidRPr="00AD5509">
              <w:t>acute myocardial infarction</w:t>
            </w:r>
            <w:r w:rsidR="007B27E9">
              <w:t>.</w:t>
            </w:r>
          </w:p>
          <w:p w14:paraId="3D8A0C3A" w14:textId="77777777" w:rsidR="00B15CFF" w:rsidRDefault="00B15CFF" w:rsidP="00520D9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57256F3E" w14:textId="530B8FCF" w:rsidR="001F1152" w:rsidRDefault="001F1152" w:rsidP="00520D93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animal data specific to </w:t>
            </w:r>
            <w:r w:rsidR="00520D93">
              <w:t>phosphorus pentasulf</w:t>
            </w:r>
            <w:r w:rsidRPr="001F1152">
              <w:t>ide</w:t>
            </w:r>
            <w:r>
              <w:t xml:space="preserve"> was reviewed, symptoms of acute poisoning include:</w:t>
            </w:r>
          </w:p>
          <w:p w14:paraId="2728B770" w14:textId="77777777" w:rsidR="001F1152" w:rsidRDefault="001F1152" w:rsidP="00B4101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monocytosis </w:t>
            </w:r>
            <w:r w:rsidRPr="001F1152">
              <w:t>and fatty degeneration of the Kupffer cells</w:t>
            </w:r>
            <w:r>
              <w:t xml:space="preserve"> </w:t>
            </w:r>
            <w:r w:rsidRPr="001F1152">
              <w:t>in gui</w:t>
            </w:r>
            <w:r>
              <w:t>nea pigs</w:t>
            </w:r>
          </w:p>
          <w:p w14:paraId="7C14C141" w14:textId="77777777" w:rsidR="001F1152" w:rsidRDefault="001F1152" w:rsidP="00B4101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 w:rsidRPr="001F1152">
              <w:t>acute hepatic necrosis in dogs and rats</w:t>
            </w:r>
          </w:p>
          <w:p w14:paraId="7C1CC5C1" w14:textId="04C5D171" w:rsidR="001F1152" w:rsidRDefault="001F1152" w:rsidP="00B4101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 w:rsidRPr="001F1152">
              <w:t>accumulates in rat liver with peak concentrations at 2</w:t>
            </w:r>
            <w:r w:rsidR="007B27E9">
              <w:t>–</w:t>
            </w:r>
            <w:r w:rsidRPr="001F1152">
              <w:t xml:space="preserve">3 </w:t>
            </w:r>
            <w:r w:rsidR="000D7DC6">
              <w:t>h</w:t>
            </w:r>
            <w:r>
              <w:t xml:space="preserve"> (oral)</w:t>
            </w:r>
          </w:p>
          <w:p w14:paraId="7643BA84" w14:textId="08709171" w:rsidR="00AD5509" w:rsidRDefault="001F1152" w:rsidP="00B4101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 w:rsidRPr="001F1152">
              <w:t>skin contact can induce severe burns</w:t>
            </w:r>
            <w:r>
              <w:t xml:space="preserve">, </w:t>
            </w:r>
            <w:r w:rsidRPr="001F1152">
              <w:t>can be absorbed through burned rabbit skin to induce acute electrocardiographic alterations</w:t>
            </w:r>
            <w:r w:rsidR="007B27E9">
              <w:t>.</w:t>
            </w:r>
          </w:p>
          <w:p w14:paraId="37F41354" w14:textId="77777777" w:rsidR="00E55754" w:rsidRDefault="00E55754" w:rsidP="00E9352F">
            <w:pPr>
              <w:pStyle w:val="ListBullet"/>
              <w:numPr>
                <w:ilvl w:val="0"/>
                <w:numId w:val="0"/>
              </w:numPr>
              <w:spacing w:before="60" w:after="60"/>
            </w:pPr>
          </w:p>
          <w:p w14:paraId="6AD50DC6" w14:textId="77777777" w:rsidR="00C978F0" w:rsidRDefault="00EF3A64" w:rsidP="00E9352F">
            <w:pPr>
              <w:pStyle w:val="ListBullet"/>
              <w:numPr>
                <w:ilvl w:val="0"/>
                <w:numId w:val="0"/>
              </w:numPr>
              <w:spacing w:before="60" w:after="60"/>
            </w:pPr>
            <w:r>
              <w:t>Insufficient data to recommend a skin, sensitiser or carcinogen notation.</w:t>
            </w:r>
          </w:p>
          <w:p w14:paraId="2F4BBCC7" w14:textId="0675A8B0" w:rsidR="00E55754" w:rsidRPr="00DA352E" w:rsidRDefault="00E55754" w:rsidP="00520D93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0B0AE943" w14:textId="77777777" w:rsidTr="0024460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377832" w14:textId="43B061B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33DEF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33DEF">
                  <w:t>Not assigned</w:t>
                </w:r>
              </w:sdtContent>
            </w:sdt>
          </w:p>
        </w:tc>
      </w:tr>
      <w:tr w:rsidR="00C978F0" w:rsidRPr="00DA352E" w14:paraId="6599807F" w14:textId="77777777" w:rsidTr="0024460B">
        <w:trPr>
          <w:gridAfter w:val="1"/>
          <w:wAfter w:w="8" w:type="pct"/>
          <w:cantSplit/>
        </w:trPr>
        <w:tc>
          <w:tcPr>
            <w:tcW w:w="4992" w:type="pct"/>
          </w:tcPr>
          <w:p w14:paraId="2F344749" w14:textId="5D07A06D" w:rsidR="00C978F0" w:rsidRDefault="000A5C40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Due to insufficient data, the existing MAK value is suspended</w:t>
            </w:r>
            <w:r w:rsidR="00836AE0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08A255F6" w14:textId="6E379AF1" w:rsidR="00E9352F" w:rsidRDefault="00E9352F" w:rsidP="003365A5">
            <w:pPr>
              <w:pStyle w:val="Tabletextprimarysource"/>
            </w:pPr>
            <w:r>
              <w:t>Summary of additional data:</w:t>
            </w:r>
          </w:p>
          <w:p w14:paraId="62A3F0AE" w14:textId="4A71312B" w:rsidR="000A5C40" w:rsidRDefault="000A5C40" w:rsidP="00520D93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0A5C40">
              <w:rPr>
                <w:vertAlign w:val="subscript"/>
              </w:rPr>
              <w:t>50</w:t>
            </w:r>
            <w:r>
              <w:t>: 389 mg/kg (rats, oral), 750 mg/kg (mice, oral)</w:t>
            </w:r>
          </w:p>
          <w:p w14:paraId="320CD287" w14:textId="00BBEB6B" w:rsidR="000A5C40" w:rsidRDefault="000A5C40" w:rsidP="00520D93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E03B15">
              <w:rPr>
                <w:vertAlign w:val="subscript"/>
              </w:rPr>
              <w:t>50</w:t>
            </w:r>
            <w:r>
              <w:t>: 3,160 mg/kg (rabbits, dermal)</w:t>
            </w:r>
          </w:p>
          <w:p w14:paraId="755AED2C" w14:textId="0E71A0A6" w:rsidR="000A5C40" w:rsidRDefault="000D7DC6" w:rsidP="00520D93">
            <w:pPr>
              <w:pStyle w:val="ListBullet"/>
              <w:spacing w:before="60" w:after="60"/>
              <w:ind w:left="720"/>
              <w:contextualSpacing w:val="0"/>
            </w:pPr>
            <w:r>
              <w:t>No observed adverse effects</w:t>
            </w:r>
            <w:r w:rsidDel="000D7DC6">
              <w:t xml:space="preserve"> </w:t>
            </w:r>
            <w:r w:rsidR="000A5C40">
              <w:t>at 100 mg/kg</w:t>
            </w:r>
            <w:r>
              <w:t>/d</w:t>
            </w:r>
            <w:r w:rsidR="000A5C40">
              <w:t xml:space="preserve"> (rats, 28 exposure, 43 d, oral)</w:t>
            </w:r>
            <w:r w:rsidR="00EC249A">
              <w:t>.</w:t>
            </w:r>
          </w:p>
          <w:p w14:paraId="3CA373AD" w14:textId="4613817A" w:rsidR="00E55754" w:rsidRPr="00DA352E" w:rsidRDefault="00E55754" w:rsidP="00B4101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4EE6EF4E" w14:textId="77777777" w:rsidTr="0024460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E3815F" w14:textId="4971B0D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33DE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A33DEF">
                  <w:t>NA</w:t>
                </w:r>
                <w:proofErr w:type="spellEnd"/>
              </w:sdtContent>
            </w:sdt>
          </w:p>
        </w:tc>
      </w:tr>
      <w:tr w:rsidR="00C978F0" w:rsidRPr="00DA352E" w14:paraId="5A1EBA71" w14:textId="77777777" w:rsidTr="0024460B">
        <w:trPr>
          <w:gridAfter w:val="1"/>
          <w:wAfter w:w="8" w:type="pct"/>
          <w:cantSplit/>
        </w:trPr>
        <w:tc>
          <w:tcPr>
            <w:tcW w:w="4992" w:type="pct"/>
          </w:tcPr>
          <w:p w14:paraId="0C775C5B" w14:textId="52FC3886" w:rsidR="00C978F0" w:rsidRPr="00DA352E" w:rsidRDefault="00A33DEF" w:rsidP="003365A5">
            <w:pPr>
              <w:pStyle w:val="Tabletextprimarysource"/>
            </w:pPr>
            <w:r>
              <w:t>No report</w:t>
            </w:r>
            <w:r w:rsidR="00EC249A">
              <w:t>.</w:t>
            </w:r>
          </w:p>
        </w:tc>
      </w:tr>
      <w:tr w:rsidR="00DA352E" w:rsidRPr="00DA352E" w14:paraId="191CC340" w14:textId="77777777" w:rsidTr="0024460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E36168" w14:textId="50CFEDA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33DE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33DEF">
                  <w:t>NA</w:t>
                </w:r>
                <w:proofErr w:type="spellEnd"/>
              </w:sdtContent>
            </w:sdt>
          </w:p>
        </w:tc>
      </w:tr>
      <w:tr w:rsidR="00DA352E" w:rsidRPr="00DA352E" w14:paraId="357B63B2" w14:textId="77777777" w:rsidTr="0024460B">
        <w:trPr>
          <w:gridAfter w:val="1"/>
          <w:wAfter w:w="8" w:type="pct"/>
          <w:cantSplit/>
        </w:trPr>
        <w:tc>
          <w:tcPr>
            <w:tcW w:w="4992" w:type="pct"/>
          </w:tcPr>
          <w:p w14:paraId="7F7B3A60" w14:textId="31114D1D" w:rsidR="00DA352E" w:rsidRPr="00DA352E" w:rsidRDefault="00A33DEF" w:rsidP="003365A5">
            <w:pPr>
              <w:pStyle w:val="Tabletextprimarysource"/>
            </w:pPr>
            <w:r>
              <w:t>No report</w:t>
            </w:r>
            <w:r w:rsidR="00EC249A">
              <w:t>.</w:t>
            </w:r>
          </w:p>
        </w:tc>
      </w:tr>
      <w:tr w:rsidR="00DA352E" w:rsidRPr="00DA352E" w14:paraId="475226D0" w14:textId="77777777" w:rsidTr="0024460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AC7004" w14:textId="7B45E89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33DE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A33DEF">
                  <w:t>NA</w:t>
                </w:r>
                <w:proofErr w:type="spellEnd"/>
              </w:sdtContent>
            </w:sdt>
          </w:p>
        </w:tc>
      </w:tr>
      <w:tr w:rsidR="00DA352E" w:rsidRPr="00DA352E" w14:paraId="044312A0" w14:textId="77777777" w:rsidTr="0024460B">
        <w:trPr>
          <w:gridAfter w:val="1"/>
          <w:wAfter w:w="8" w:type="pct"/>
          <w:cantSplit/>
        </w:trPr>
        <w:tc>
          <w:tcPr>
            <w:tcW w:w="4992" w:type="pct"/>
          </w:tcPr>
          <w:p w14:paraId="35A7DFD7" w14:textId="7FC8229B" w:rsidR="00DA352E" w:rsidRPr="00DA352E" w:rsidRDefault="00A33DEF" w:rsidP="003365A5">
            <w:pPr>
              <w:pStyle w:val="Tabletextprimarysource"/>
            </w:pPr>
            <w:r>
              <w:t>No report</w:t>
            </w:r>
            <w:r w:rsidR="00EC249A">
              <w:t>.</w:t>
            </w:r>
          </w:p>
        </w:tc>
      </w:tr>
    </w:tbl>
    <w:p w14:paraId="1C2E3D99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99B6F17" w14:textId="77777777" w:rsidTr="002446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34FDD64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0911FE0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24BB1D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7CF1F6F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8F0B56F" w14:textId="77777777" w:rsidTr="0024460B">
        <w:trPr>
          <w:cantSplit/>
        </w:trPr>
        <w:tc>
          <w:tcPr>
            <w:tcW w:w="1497" w:type="dxa"/>
          </w:tcPr>
          <w:p w14:paraId="2C6B8C87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34FAE126" w14:textId="3853BFEE" w:rsidR="004966BF" w:rsidRPr="00CE617F" w:rsidRDefault="00841B2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A5C4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79C3AEF" w14:textId="2761351A" w:rsidR="004966BF" w:rsidRPr="004C23F4" w:rsidRDefault="000A5C4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5F8DAB47" w14:textId="382CCBFC" w:rsidR="004966BF" w:rsidRPr="004C23F4" w:rsidRDefault="00E03B15" w:rsidP="00520D93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E03B15">
              <w:t>Negative</w:t>
            </w:r>
            <w:r>
              <w:rPr>
                <w:rStyle w:val="checkbox"/>
                <w:rFonts w:ascii="Arial" w:hAnsi="Arial" w:cs="Arial"/>
              </w:rPr>
              <w:t xml:space="preserve"> results in</w:t>
            </w:r>
            <w:r w:rsidR="00895DC5">
              <w:rPr>
                <w:rStyle w:val="checkbox"/>
                <w:rFonts w:ascii="Arial" w:hAnsi="Arial" w:cs="Arial"/>
              </w:rPr>
              <w:t xml:space="preserve"> </w:t>
            </w:r>
            <w:r w:rsidR="00895DC5">
              <w:rPr>
                <w:rStyle w:val="checkbox"/>
                <w:rFonts w:ascii="Arial" w:hAnsi="Arial" w:cs="Arial"/>
                <w:i/>
              </w:rPr>
              <w:t>S.</w:t>
            </w:r>
            <w:r w:rsidR="00E9352F">
              <w:rPr>
                <w:rStyle w:val="checkbox"/>
                <w:rFonts w:ascii="Arial" w:hAnsi="Arial" w:cs="Arial"/>
                <w:i/>
              </w:rPr>
              <w:t xml:space="preserve"> </w:t>
            </w:r>
            <w:r w:rsidR="00895DC5" w:rsidRPr="00895DC5">
              <w:rPr>
                <w:rStyle w:val="checkbox"/>
                <w:rFonts w:ascii="Arial" w:hAnsi="Arial" w:cs="Arial"/>
                <w:i/>
              </w:rPr>
              <w:t xml:space="preserve">typhimurium </w:t>
            </w:r>
            <w:r w:rsidRPr="00520D93">
              <w:t>mutagenicity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895DC5">
              <w:rPr>
                <w:rStyle w:val="checkbox"/>
                <w:rFonts w:ascii="Arial" w:hAnsi="Arial" w:cs="Arial"/>
              </w:rPr>
              <w:t>assay</w:t>
            </w:r>
            <w:r w:rsidR="00EC249A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A8429F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95B7DE8" w14:textId="77777777" w:rsidTr="00895DC5">
        <w:trPr>
          <w:trHeight w:val="454"/>
          <w:tblHeader/>
        </w:trPr>
        <w:tc>
          <w:tcPr>
            <w:tcW w:w="6597" w:type="dxa"/>
            <w:vAlign w:val="center"/>
          </w:tcPr>
          <w:p w14:paraId="6B4B748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8C21990" w14:textId="6503579D" w:rsidR="002E0D61" w:rsidRDefault="00895DC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9B4552C" w14:textId="77777777" w:rsidTr="00895DC5">
        <w:trPr>
          <w:trHeight w:val="454"/>
        </w:trPr>
        <w:tc>
          <w:tcPr>
            <w:tcW w:w="6597" w:type="dxa"/>
            <w:vAlign w:val="center"/>
          </w:tcPr>
          <w:p w14:paraId="25FA09E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45A5D27" w14:textId="143709B0" w:rsidR="008A36CF" w:rsidRDefault="00895DC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FE8FC3E" w14:textId="77777777" w:rsidTr="00895DC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36342EB5" w14:textId="14335CF5" w:rsidR="008A36CF" w:rsidRPr="006901A2" w:rsidRDefault="00895DC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0AF0B8A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2BCABD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02DCB95" w14:textId="77777777" w:rsidTr="002446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B19EAB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C4D652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D9F9F3C" w14:textId="77777777" w:rsidTr="0024460B">
        <w:trPr>
          <w:cantSplit/>
        </w:trPr>
        <w:tc>
          <w:tcPr>
            <w:tcW w:w="3227" w:type="dxa"/>
          </w:tcPr>
          <w:p w14:paraId="77E7BAC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FF4CE6B" w14:textId="499EA455" w:rsidR="00687890" w:rsidRPr="00DD2F9B" w:rsidRDefault="00A33DEF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37418237" w14:textId="77777777" w:rsidTr="0024460B">
        <w:trPr>
          <w:cantSplit/>
        </w:trPr>
        <w:tc>
          <w:tcPr>
            <w:tcW w:w="3227" w:type="dxa"/>
          </w:tcPr>
          <w:p w14:paraId="2FAC9BC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BE04EF3" w14:textId="5963057B" w:rsidR="007925F0" w:rsidRPr="00DD2F9B" w:rsidRDefault="00A33DEF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7D7EBD80" w14:textId="77777777" w:rsidTr="0024460B">
        <w:trPr>
          <w:cantSplit/>
        </w:trPr>
        <w:tc>
          <w:tcPr>
            <w:tcW w:w="3227" w:type="dxa"/>
          </w:tcPr>
          <w:p w14:paraId="672D4BD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FC2C14E" w14:textId="480B5016" w:rsidR="00AF483F" w:rsidRPr="00DD2F9B" w:rsidRDefault="00A33DE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92E03E7" w14:textId="77777777" w:rsidTr="0024460B">
        <w:trPr>
          <w:cantSplit/>
        </w:trPr>
        <w:tc>
          <w:tcPr>
            <w:tcW w:w="3227" w:type="dxa"/>
          </w:tcPr>
          <w:p w14:paraId="0238D47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93C4B9F" w14:textId="53A14C04" w:rsidR="00687890" w:rsidRPr="00DD2F9B" w:rsidRDefault="00A33DE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FFF962E" w14:textId="77777777" w:rsidTr="0024460B">
        <w:trPr>
          <w:cantSplit/>
        </w:trPr>
        <w:tc>
          <w:tcPr>
            <w:tcW w:w="3227" w:type="dxa"/>
          </w:tcPr>
          <w:p w14:paraId="7558B06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6742014" w14:textId="0D46EADC" w:rsidR="00E41A26" w:rsidRPr="00DD2F9B" w:rsidRDefault="00A33DE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1B23FCD" w14:textId="77777777" w:rsidTr="0024460B">
        <w:trPr>
          <w:cantSplit/>
        </w:trPr>
        <w:tc>
          <w:tcPr>
            <w:tcW w:w="3227" w:type="dxa"/>
          </w:tcPr>
          <w:p w14:paraId="5B31204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6B10FA7" w14:textId="4D1137A0" w:rsidR="002E0D61" w:rsidRPr="00DD2F9B" w:rsidRDefault="00A33DE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8A607D0" w14:textId="77777777" w:rsidTr="0024460B">
        <w:trPr>
          <w:cantSplit/>
        </w:trPr>
        <w:tc>
          <w:tcPr>
            <w:tcW w:w="3227" w:type="dxa"/>
          </w:tcPr>
          <w:p w14:paraId="3E4675E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0264EB3" w14:textId="1F1781B7" w:rsidR="002E0D61" w:rsidRPr="00DD2F9B" w:rsidRDefault="00A33DE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24F6752" w14:textId="77777777" w:rsidTr="0024460B">
        <w:trPr>
          <w:cantSplit/>
        </w:trPr>
        <w:tc>
          <w:tcPr>
            <w:tcW w:w="3227" w:type="dxa"/>
          </w:tcPr>
          <w:p w14:paraId="248687C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813FFF6" w14:textId="1E55FE4A" w:rsidR="002E0D61" w:rsidRPr="00DD2F9B" w:rsidRDefault="00A33DE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70D3A1F" w14:textId="77777777" w:rsidTr="0024460B">
        <w:trPr>
          <w:cantSplit/>
        </w:trPr>
        <w:tc>
          <w:tcPr>
            <w:tcW w:w="3227" w:type="dxa"/>
          </w:tcPr>
          <w:p w14:paraId="0B3B7E4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468E45B" w14:textId="1EF7FB5F" w:rsidR="002E0D61" w:rsidRPr="00DD2F9B" w:rsidRDefault="00A33DE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B964274" w14:textId="77777777" w:rsidTr="0024460B">
        <w:trPr>
          <w:cantSplit/>
        </w:trPr>
        <w:tc>
          <w:tcPr>
            <w:tcW w:w="3227" w:type="dxa"/>
          </w:tcPr>
          <w:p w14:paraId="617B808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9FF20B2" w14:textId="73816C15" w:rsidR="00386093" w:rsidRPr="00DD2F9B" w:rsidRDefault="00A33DE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4B49FC1" w14:textId="77777777" w:rsidTr="0024460B">
        <w:trPr>
          <w:cantSplit/>
        </w:trPr>
        <w:tc>
          <w:tcPr>
            <w:tcW w:w="3227" w:type="dxa"/>
          </w:tcPr>
          <w:p w14:paraId="3E80244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4FD4E60" w14:textId="6990AD78" w:rsidR="00386093" w:rsidRPr="00DD2F9B" w:rsidRDefault="00A33DE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06171A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551D28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A7CF92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F06948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123F73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761"/>
              <w:gridCol w:w="990"/>
              <w:gridCol w:w="990"/>
              <w:gridCol w:w="3069"/>
            </w:tblGrid>
            <w:tr w:rsidR="00895DC5" w:rsidRPr="00895DC5" w14:paraId="2F6053A0" w14:textId="77777777" w:rsidTr="00895DC5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AEF1FB" w14:textId="77777777" w:rsidR="00895DC5" w:rsidRPr="00895DC5" w:rsidRDefault="00895DC5" w:rsidP="00895DC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85EAE3" w14:textId="77777777" w:rsidR="00895DC5" w:rsidRPr="00895DC5" w:rsidRDefault="00895DC5" w:rsidP="00895DC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90C73D" w14:textId="77777777" w:rsidR="00895DC5" w:rsidRPr="00895DC5" w:rsidRDefault="00895DC5" w:rsidP="00895D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385D4F" w14:textId="77777777" w:rsidR="00895DC5" w:rsidRPr="00895DC5" w:rsidRDefault="00895DC5" w:rsidP="00895D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95DC5" w:rsidRPr="00895DC5" w14:paraId="1E99931B" w14:textId="77777777" w:rsidTr="00895DC5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74F63F" w14:textId="77777777" w:rsidR="00895DC5" w:rsidRPr="00895DC5" w:rsidRDefault="00895DC5" w:rsidP="00895DC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178F8D" w14:textId="77777777" w:rsidR="00895DC5" w:rsidRPr="00895DC5" w:rsidRDefault="00895DC5" w:rsidP="00895DC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AE4B2" w14:textId="77777777" w:rsidR="00895DC5" w:rsidRPr="00895DC5" w:rsidRDefault="00895DC5" w:rsidP="00895D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545DA6" w14:textId="77777777" w:rsidR="00895DC5" w:rsidRPr="00895DC5" w:rsidRDefault="00895DC5" w:rsidP="00895D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95DC5" w:rsidRPr="00895DC5" w14:paraId="33053555" w14:textId="77777777" w:rsidTr="00895DC5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AD3892" w14:textId="77777777" w:rsidR="00895DC5" w:rsidRPr="00895DC5" w:rsidRDefault="00895DC5" w:rsidP="00895DC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5FF0A4" w14:textId="77777777" w:rsidR="00895DC5" w:rsidRPr="00895DC5" w:rsidRDefault="00895DC5" w:rsidP="00895DC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9F6E82" w14:textId="77777777" w:rsidR="00895DC5" w:rsidRPr="00895DC5" w:rsidRDefault="00895DC5" w:rsidP="00895D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5F7480" w14:textId="77777777" w:rsidR="00895DC5" w:rsidRPr="00895DC5" w:rsidRDefault="00895DC5" w:rsidP="00895D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95DC5" w:rsidRPr="00895DC5" w14:paraId="0FC74253" w14:textId="77777777" w:rsidTr="00895DC5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DBC7C2" w14:textId="77777777" w:rsidR="00895DC5" w:rsidRPr="00895DC5" w:rsidRDefault="00895DC5" w:rsidP="00895DC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8B3B10" w14:textId="77777777" w:rsidR="00895DC5" w:rsidRPr="00895DC5" w:rsidRDefault="00895DC5" w:rsidP="00895DC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65A9A3" w14:textId="77777777" w:rsidR="00895DC5" w:rsidRPr="00895DC5" w:rsidRDefault="00895DC5" w:rsidP="00895D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297701" w14:textId="77777777" w:rsidR="00895DC5" w:rsidRPr="00895DC5" w:rsidRDefault="00895DC5" w:rsidP="00895D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95DC5" w:rsidRPr="00895DC5" w14:paraId="1795A821" w14:textId="77777777" w:rsidTr="00895DC5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481F46" w14:textId="77777777" w:rsidR="00895DC5" w:rsidRPr="00895DC5" w:rsidRDefault="00895DC5" w:rsidP="00895DC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E4B850" w14:textId="77777777" w:rsidR="00895DC5" w:rsidRPr="00895DC5" w:rsidRDefault="00895DC5" w:rsidP="00895DC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7FC6E1" w14:textId="77777777" w:rsidR="00895DC5" w:rsidRPr="00895DC5" w:rsidRDefault="00895DC5" w:rsidP="00895D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FD7C49" w14:textId="77777777" w:rsidR="00895DC5" w:rsidRPr="00895DC5" w:rsidRDefault="00895DC5" w:rsidP="00895D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95DC5" w:rsidRPr="00895DC5" w14:paraId="4FB458D3" w14:textId="77777777" w:rsidTr="00895DC5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5FC8E3" w14:textId="77777777" w:rsidR="00895DC5" w:rsidRPr="00895DC5" w:rsidRDefault="00895DC5" w:rsidP="00895DC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AA9C11" w14:textId="77777777" w:rsidR="00895DC5" w:rsidRPr="00895DC5" w:rsidRDefault="00895DC5" w:rsidP="00895DC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323A66" w14:textId="77777777" w:rsidR="00895DC5" w:rsidRPr="00895DC5" w:rsidRDefault="00895DC5" w:rsidP="00895D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F74F91" w14:textId="77777777" w:rsidR="00895DC5" w:rsidRPr="00895DC5" w:rsidRDefault="00895DC5" w:rsidP="00895D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895DC5" w:rsidRPr="00895DC5" w14:paraId="7FC85976" w14:textId="77777777" w:rsidTr="00895DC5">
              <w:trPr>
                <w:trHeight w:val="342"/>
              </w:trPr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C066C0" w14:textId="77777777" w:rsidR="00895DC5" w:rsidRPr="00895DC5" w:rsidRDefault="00895DC5" w:rsidP="00895DC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32B441" w14:textId="77777777" w:rsidR="00895DC5" w:rsidRPr="00895DC5" w:rsidRDefault="00895DC5" w:rsidP="00895DC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3A2004" w14:textId="77777777" w:rsidR="00895DC5" w:rsidRPr="00895DC5" w:rsidRDefault="00895DC5" w:rsidP="00895D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EB23C7" w14:textId="77777777" w:rsidR="00895DC5" w:rsidRPr="00895DC5" w:rsidRDefault="00895DC5" w:rsidP="00895DC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895DC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7770100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BCF0F67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F9B18A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18EE53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1FD5B0E" w14:textId="70CF661F" w:rsidR="00EB3D1B" w:rsidRDefault="00E76B5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C0CABB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6BEC56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D251D9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3EC2E74" w14:textId="02A0B5CF" w:rsidR="001B79E5" w:rsidRDefault="00A33DEF" w:rsidP="001B79E5">
                <w:pPr>
                  <w:pStyle w:val="Tablefont"/>
                </w:pPr>
                <w:r>
                  <w:t>444.56</w:t>
                </w:r>
              </w:p>
            </w:tc>
          </w:sdtContent>
        </w:sdt>
      </w:tr>
      <w:tr w:rsidR="00A31D99" w:rsidRPr="004C23F4" w14:paraId="0076A4D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FA7A8C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E03BD0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341095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29F491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C2CD0C" w14:textId="01BADB57" w:rsidR="00687890" w:rsidRPr="004C23F4" w:rsidRDefault="00323E16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0ED03464" w14:textId="77777777" w:rsidTr="00EA6243">
        <w:trPr>
          <w:cantSplit/>
        </w:trPr>
        <w:tc>
          <w:tcPr>
            <w:tcW w:w="4077" w:type="dxa"/>
            <w:vAlign w:val="center"/>
          </w:tcPr>
          <w:p w14:paraId="610F5EF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5BAEAD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C5C5721" w14:textId="77777777" w:rsidTr="00EA6243">
        <w:trPr>
          <w:cantSplit/>
        </w:trPr>
        <w:tc>
          <w:tcPr>
            <w:tcW w:w="4077" w:type="dxa"/>
            <w:vAlign w:val="center"/>
          </w:tcPr>
          <w:p w14:paraId="6476A49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694FA8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12C9DC3" w14:textId="77777777" w:rsidTr="00EA6243">
        <w:trPr>
          <w:cantSplit/>
        </w:trPr>
        <w:tc>
          <w:tcPr>
            <w:tcW w:w="4077" w:type="dxa"/>
            <w:vAlign w:val="center"/>
          </w:tcPr>
          <w:p w14:paraId="4D873C0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8174E88" w14:textId="77777777" w:rsidR="00E06F40" w:rsidRPr="00A006A0" w:rsidRDefault="00841B2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7ACF9F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673BAC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1FE2E1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F3A9BB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12456B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0D055B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374C13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A202D4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F760BD5" w14:textId="4DB5E724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6713F92" w14:textId="4D203D79" w:rsidR="00A33DEF" w:rsidRDefault="00A33DEF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B7472D">
        <w:t>2004</w:t>
      </w:r>
      <w:r>
        <w:t xml:space="preserve">) </w:t>
      </w:r>
      <w:proofErr w:type="spellStart"/>
      <w:r w:rsidR="00B7472D" w:rsidRPr="00B7472D">
        <w:t>diphosphorpentasulfid</w:t>
      </w:r>
      <w:proofErr w:type="spellEnd"/>
      <w:r>
        <w:t xml:space="preserve"> – MAK value documentation.</w:t>
      </w:r>
    </w:p>
    <w:p w14:paraId="4144A85B" w14:textId="181F4464" w:rsidR="00895DC5" w:rsidRDefault="00895DC5" w:rsidP="00084859">
      <w:r>
        <w:t xml:space="preserve">European Chemicals Agency (ECHA) (2011) </w:t>
      </w:r>
      <w:proofErr w:type="spellStart"/>
      <w:r w:rsidRPr="00895DC5">
        <w:t>Diphosphorus</w:t>
      </w:r>
      <w:proofErr w:type="spellEnd"/>
      <w:r w:rsidRPr="00895DC5">
        <w:t xml:space="preserve"> </w:t>
      </w:r>
      <w:proofErr w:type="spellStart"/>
      <w:r w:rsidRPr="00895DC5">
        <w:t>pentasulphide</w:t>
      </w:r>
      <w:proofErr w:type="spellEnd"/>
      <w:r>
        <w:t xml:space="preserve"> – REACH assessment.</w:t>
      </w:r>
    </w:p>
    <w:p w14:paraId="3079A08A" w14:textId="1F55FFD7" w:rsidR="00A33DEF" w:rsidRPr="00351FE0" w:rsidRDefault="00A33DEF" w:rsidP="00084859">
      <w:r w:rsidRPr="00D86E03">
        <w:t>US National Institute for Occupational Safety and Health (NIOSH)</w:t>
      </w:r>
      <w:r>
        <w:t xml:space="preserve"> (</w:t>
      </w:r>
      <w:r w:rsidR="00B7472D" w:rsidRPr="00B7472D">
        <w:t>1994</w:t>
      </w:r>
      <w:r>
        <w:t xml:space="preserve">) Immediately dangerous to life or health concentrations – </w:t>
      </w:r>
      <w:r w:rsidR="00B7472D" w:rsidRPr="00B7472D">
        <w:t>phosphorus pentasulfide</w:t>
      </w:r>
      <w:r>
        <w:t>.</w:t>
      </w:r>
    </w:p>
    <w:sectPr w:rsidR="00A33DE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13B5D" w14:textId="77777777" w:rsidR="00FD34CD" w:rsidRDefault="00FD34CD" w:rsidP="00F43AD5">
      <w:pPr>
        <w:spacing w:after="0" w:line="240" w:lineRule="auto"/>
      </w:pPr>
      <w:r>
        <w:separator/>
      </w:r>
    </w:p>
  </w:endnote>
  <w:endnote w:type="continuationSeparator" w:id="0">
    <w:p w14:paraId="49C3D961" w14:textId="77777777" w:rsidR="00FD34CD" w:rsidRDefault="00FD34C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B93C313" w14:textId="77777777" w:rsidR="00E76B54" w:rsidRPr="00E76B54" w:rsidRDefault="00E76B54" w:rsidP="00E76B54">
        <w:pPr>
          <w:pStyle w:val="Footer"/>
          <w:rPr>
            <w:b/>
            <w:sz w:val="18"/>
            <w:szCs w:val="18"/>
          </w:rPr>
        </w:pPr>
      </w:p>
      <w:p w14:paraId="6A9B0AD2" w14:textId="66189199" w:rsidR="008A36CF" w:rsidRDefault="00E76B54" w:rsidP="00E76B54">
        <w:pPr>
          <w:pStyle w:val="Footer"/>
          <w:rPr>
            <w:sz w:val="18"/>
            <w:szCs w:val="18"/>
          </w:rPr>
        </w:pPr>
        <w:r w:rsidRPr="00E76B54">
          <w:rPr>
            <w:b/>
            <w:sz w:val="18"/>
            <w:szCs w:val="18"/>
          </w:rPr>
          <w:t>Phosphorus pentasul</w:t>
        </w:r>
        <w:r w:rsidR="00520D93">
          <w:rPr>
            <w:b/>
            <w:sz w:val="18"/>
            <w:szCs w:val="18"/>
          </w:rPr>
          <w:t>f</w:t>
        </w:r>
        <w:r w:rsidRPr="00E76B54">
          <w:rPr>
            <w:b/>
            <w:sz w:val="18"/>
            <w:szCs w:val="18"/>
          </w:rPr>
          <w:t xml:space="preserve">ide </w:t>
        </w:r>
        <w:r w:rsidR="008A36CF">
          <w:rPr>
            <w:b/>
            <w:sz w:val="18"/>
            <w:szCs w:val="18"/>
          </w:rPr>
          <w:t>(</w:t>
        </w:r>
        <w:r w:rsidRPr="00E76B54">
          <w:rPr>
            <w:b/>
            <w:sz w:val="18"/>
            <w:szCs w:val="18"/>
          </w:rPr>
          <w:t>1314-80-3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520D93" w:rsidRPr="00F43AD5">
          <w:rPr>
            <w:sz w:val="18"/>
            <w:szCs w:val="18"/>
          </w:rPr>
          <w:t>20</w:t>
        </w:r>
        <w:r w:rsidR="00520D93">
          <w:rPr>
            <w:sz w:val="18"/>
            <w:szCs w:val="18"/>
          </w:rPr>
          <w:t>20</w:t>
        </w:r>
      </w:p>
      <w:p w14:paraId="58FB0F53" w14:textId="24DA44F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41012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A030E" w14:textId="77777777" w:rsidR="00FD34CD" w:rsidRDefault="00FD34CD" w:rsidP="00F43AD5">
      <w:pPr>
        <w:spacing w:after="0" w:line="240" w:lineRule="auto"/>
      </w:pPr>
      <w:r>
        <w:separator/>
      </w:r>
    </w:p>
  </w:footnote>
  <w:footnote w:type="continuationSeparator" w:id="0">
    <w:p w14:paraId="599D183D" w14:textId="77777777" w:rsidR="00FD34CD" w:rsidRDefault="00FD34C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0FBE3" w14:textId="544E5F2F" w:rsidR="005435F6" w:rsidRDefault="005435F6" w:rsidP="005435F6">
    <w:pPr>
      <w:pStyle w:val="Header"/>
      <w:jc w:val="right"/>
    </w:pPr>
    <w:r>
      <w:rPr>
        <w:noProof/>
        <w:lang w:eastAsia="en-AU"/>
      </w:rPr>
      <w:drawing>
        <wp:inline distT="0" distB="0" distL="0" distR="0" wp14:anchorId="5279302E" wp14:editId="64864A73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C6EBB1" w14:textId="53E40B2E" w:rsidR="008A36CF" w:rsidRPr="005435F6" w:rsidRDefault="008A36CF" w:rsidP="005435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74148" w14:textId="381DDBB6" w:rsidR="005435F6" w:rsidRDefault="005435F6" w:rsidP="005435F6">
    <w:pPr>
      <w:pStyle w:val="Header"/>
      <w:jc w:val="right"/>
    </w:pPr>
    <w:r>
      <w:rPr>
        <w:noProof/>
        <w:lang w:eastAsia="en-AU"/>
      </w:rPr>
      <w:drawing>
        <wp:inline distT="0" distB="0" distL="0" distR="0" wp14:anchorId="72FF3E55" wp14:editId="1A58B322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F75A71" w14:textId="77777777" w:rsidR="008A36CF" w:rsidRDefault="008A36CF" w:rsidP="005435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6CA27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9B83A2F"/>
    <w:multiLevelType w:val="hybridMultilevel"/>
    <w:tmpl w:val="B0B460D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2911163">
    <w:abstractNumId w:val="0"/>
  </w:num>
  <w:num w:numId="2" w16cid:durableId="1522158187">
    <w:abstractNumId w:val="0"/>
  </w:num>
  <w:num w:numId="3" w16cid:durableId="1792823835">
    <w:abstractNumId w:val="0"/>
  </w:num>
  <w:num w:numId="4" w16cid:durableId="2053799640">
    <w:abstractNumId w:val="1"/>
  </w:num>
  <w:num w:numId="5" w16cid:durableId="428047403">
    <w:abstractNumId w:val="0"/>
  </w:num>
  <w:num w:numId="6" w16cid:durableId="883365919">
    <w:abstractNumId w:val="0"/>
  </w:num>
  <w:num w:numId="7" w16cid:durableId="160124858">
    <w:abstractNumId w:val="0"/>
  </w:num>
  <w:num w:numId="8" w16cid:durableId="164050567">
    <w:abstractNumId w:val="0"/>
  </w:num>
  <w:num w:numId="9" w16cid:durableId="430440476">
    <w:abstractNumId w:val="0"/>
  </w:num>
  <w:num w:numId="10" w16cid:durableId="527109584">
    <w:abstractNumId w:val="0"/>
  </w:num>
  <w:num w:numId="11" w16cid:durableId="1200389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CAC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5C40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7DC6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1B6E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1152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60B"/>
    <w:rsid w:val="00244AD1"/>
    <w:rsid w:val="002463BC"/>
    <w:rsid w:val="002465CE"/>
    <w:rsid w:val="0025734A"/>
    <w:rsid w:val="00263255"/>
    <w:rsid w:val="00276494"/>
    <w:rsid w:val="00277B0C"/>
    <w:rsid w:val="00292994"/>
    <w:rsid w:val="002B1A2C"/>
    <w:rsid w:val="002C2469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3E16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1BEA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0D93"/>
    <w:rsid w:val="005272E2"/>
    <w:rsid w:val="0053108F"/>
    <w:rsid w:val="00532B56"/>
    <w:rsid w:val="00534B10"/>
    <w:rsid w:val="005435F6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7DC6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1979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02A0"/>
    <w:rsid w:val="006D79EA"/>
    <w:rsid w:val="006E5D05"/>
    <w:rsid w:val="006F22F1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27E9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6AE0"/>
    <w:rsid w:val="00837113"/>
    <w:rsid w:val="008414E4"/>
    <w:rsid w:val="00841B2D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5DC5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4F65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51B1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3DEF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5509"/>
    <w:rsid w:val="00AE2745"/>
    <w:rsid w:val="00AE2F64"/>
    <w:rsid w:val="00AF42CB"/>
    <w:rsid w:val="00AF483F"/>
    <w:rsid w:val="00AF5E07"/>
    <w:rsid w:val="00AF5F06"/>
    <w:rsid w:val="00B00A25"/>
    <w:rsid w:val="00B1422A"/>
    <w:rsid w:val="00B15CFF"/>
    <w:rsid w:val="00B1765C"/>
    <w:rsid w:val="00B213C4"/>
    <w:rsid w:val="00B35C1A"/>
    <w:rsid w:val="00B40C60"/>
    <w:rsid w:val="00B41012"/>
    <w:rsid w:val="00B479A9"/>
    <w:rsid w:val="00B52EDF"/>
    <w:rsid w:val="00B71188"/>
    <w:rsid w:val="00B7472D"/>
    <w:rsid w:val="00B76A41"/>
    <w:rsid w:val="00B8283A"/>
    <w:rsid w:val="00B87D4C"/>
    <w:rsid w:val="00B93646"/>
    <w:rsid w:val="00BA0B38"/>
    <w:rsid w:val="00BA1DBB"/>
    <w:rsid w:val="00BA4510"/>
    <w:rsid w:val="00BA529A"/>
    <w:rsid w:val="00BB0C59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0A95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4AC9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5DDC"/>
    <w:rsid w:val="00DF6F36"/>
    <w:rsid w:val="00E0084C"/>
    <w:rsid w:val="00E025AB"/>
    <w:rsid w:val="00E02B23"/>
    <w:rsid w:val="00E03B15"/>
    <w:rsid w:val="00E06F40"/>
    <w:rsid w:val="00E07CE8"/>
    <w:rsid w:val="00E101F4"/>
    <w:rsid w:val="00E26A07"/>
    <w:rsid w:val="00E32595"/>
    <w:rsid w:val="00E37CFD"/>
    <w:rsid w:val="00E41A26"/>
    <w:rsid w:val="00E46BCB"/>
    <w:rsid w:val="00E51CAF"/>
    <w:rsid w:val="00E55754"/>
    <w:rsid w:val="00E60F04"/>
    <w:rsid w:val="00E62AAC"/>
    <w:rsid w:val="00E67C2F"/>
    <w:rsid w:val="00E67EF5"/>
    <w:rsid w:val="00E76B54"/>
    <w:rsid w:val="00E804EA"/>
    <w:rsid w:val="00E80A71"/>
    <w:rsid w:val="00E82337"/>
    <w:rsid w:val="00E92499"/>
    <w:rsid w:val="00E9352F"/>
    <w:rsid w:val="00E949AF"/>
    <w:rsid w:val="00E96077"/>
    <w:rsid w:val="00EA0A06"/>
    <w:rsid w:val="00EA6243"/>
    <w:rsid w:val="00EA74AB"/>
    <w:rsid w:val="00EB3D1B"/>
    <w:rsid w:val="00EC249A"/>
    <w:rsid w:val="00ED1D89"/>
    <w:rsid w:val="00ED66BC"/>
    <w:rsid w:val="00EF233A"/>
    <w:rsid w:val="00EF303E"/>
    <w:rsid w:val="00EF3A40"/>
    <w:rsid w:val="00EF3A64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34C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15CFF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36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6AE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6AE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6AE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4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63D128BCD3449D2A6507E56D593FA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45481-4E1B-4D66-A76B-C4E7CE3501A9}"/>
      </w:docPartPr>
      <w:docPartBody>
        <w:p w:rsidR="00AC51CA" w:rsidRDefault="00E01C79" w:rsidP="00E01C79">
          <w:pPr>
            <w:pStyle w:val="D63D128BCD3449D2A6507E56D593FA4E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5D7DC6"/>
    <w:rsid w:val="00607F49"/>
    <w:rsid w:val="006F22F1"/>
    <w:rsid w:val="00A35B0D"/>
    <w:rsid w:val="00AC51CA"/>
    <w:rsid w:val="00D21A9F"/>
    <w:rsid w:val="00E01C79"/>
    <w:rsid w:val="00F0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1C79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63D128BCD3449D2A6507E56D593FA4E">
    <w:name w:val="D63D128BCD3449D2A6507E56D593FA4E"/>
    <w:rsid w:val="00E01C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a0509f21-ed56-4150-9955-96be669e5f2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6366BE-ED5C-4D83-A718-ED22D89F61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FE5F29-624D-44CE-B0AB-F776F0571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4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20</cp:revision>
  <cp:lastPrinted>2018-10-22T22:41:00Z</cp:lastPrinted>
  <dcterms:created xsi:type="dcterms:W3CDTF">2019-09-26T00:19:00Z</dcterms:created>
  <dcterms:modified xsi:type="dcterms:W3CDTF">2026-01-09T01:52:00Z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2026-01-07T01:20:19Z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50029907-8217-4377-9ad9-1e6cf6421aa4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