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CDCA16B" w14:textId="6DDC12F0" w:rsidR="00BD499F" w:rsidRPr="004C23F4" w:rsidRDefault="00EB3BA2" w:rsidP="00B40C60">
          <w:pPr>
            <w:pStyle w:val="Heading1"/>
            <w:jc w:val="center"/>
            <w:rPr>
              <w:rFonts w:ascii="Arial" w:hAnsi="Arial" w:cs="Arial"/>
            </w:rPr>
          </w:pPr>
          <w:r w:rsidRPr="00EB3BA2">
            <w:rPr>
              <w:rFonts w:ascii="Arial" w:hAnsi="Arial" w:cs="Arial"/>
            </w:rPr>
            <w:t>Phosphorus oxychloride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6BBC7DAC" w14:textId="77777777" w:rsidTr="00B76A41">
        <w:trPr>
          <w:cantSplit/>
          <w:tblHeader/>
        </w:trPr>
        <w:tc>
          <w:tcPr>
            <w:tcW w:w="4077" w:type="dxa"/>
          </w:tcPr>
          <w:p w14:paraId="3729861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F0AC88C" w14:textId="2121E6EF" w:rsidR="00F43AD5" w:rsidRPr="00717D45" w:rsidRDefault="00EB3BA2" w:rsidP="00B76A41">
            <w:pPr>
              <w:pStyle w:val="Tablefont"/>
            </w:pPr>
            <w:r w:rsidRPr="00EB3BA2">
              <w:t>10025-87-3</w:t>
            </w:r>
          </w:p>
        </w:tc>
      </w:tr>
      <w:tr w:rsidR="00F43AD5" w:rsidRPr="004C23F4" w14:paraId="08B3759B" w14:textId="77777777" w:rsidTr="00B76A41">
        <w:trPr>
          <w:cantSplit/>
        </w:trPr>
        <w:tc>
          <w:tcPr>
            <w:tcW w:w="4077" w:type="dxa"/>
          </w:tcPr>
          <w:p w14:paraId="392E0F0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702FD12" w14:textId="5A530721" w:rsidR="00F43AD5" w:rsidRPr="00717D45" w:rsidRDefault="00A23A77" w:rsidP="00B76A41">
            <w:pPr>
              <w:pStyle w:val="Tablefont"/>
            </w:pPr>
            <w:r>
              <w:t>Phosphoryl chloride, phosphoryl trichloride</w:t>
            </w:r>
          </w:p>
        </w:tc>
      </w:tr>
      <w:tr w:rsidR="00F43AD5" w:rsidRPr="004C23F4" w14:paraId="0A3A3F1B" w14:textId="77777777" w:rsidTr="00B76A41">
        <w:trPr>
          <w:cantSplit/>
        </w:trPr>
        <w:tc>
          <w:tcPr>
            <w:tcW w:w="4077" w:type="dxa"/>
          </w:tcPr>
          <w:p w14:paraId="67B37B8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B9690B4" w14:textId="1A2951F9" w:rsidR="00F43AD5" w:rsidRPr="00717D45" w:rsidRDefault="0044698C" w:rsidP="00B76A41">
            <w:pPr>
              <w:pStyle w:val="Tablefont"/>
            </w:pPr>
            <w:r>
              <w:t>POCl</w:t>
            </w:r>
            <w:r w:rsidRPr="0044698C">
              <w:rPr>
                <w:vertAlign w:val="subscript"/>
              </w:rPr>
              <w:t>3</w:t>
            </w:r>
          </w:p>
        </w:tc>
      </w:tr>
      <w:tr w:rsidR="00F43AD5" w:rsidRPr="004C23F4" w14:paraId="7BA1F938" w14:textId="77777777" w:rsidTr="00B76A41">
        <w:trPr>
          <w:cantSplit/>
        </w:trPr>
        <w:tc>
          <w:tcPr>
            <w:tcW w:w="4077" w:type="dxa"/>
          </w:tcPr>
          <w:p w14:paraId="7793B01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7D68464" w14:textId="4433C9E7" w:rsidR="00F43AD5" w:rsidRPr="00B40C60" w:rsidRDefault="0044698C" w:rsidP="00B76A41">
            <w:pPr>
              <w:pStyle w:val="Tablerowheading"/>
              <w:rPr>
                <w:b w:val="0"/>
              </w:rPr>
            </w:pPr>
            <w:r w:rsidRPr="0044698C">
              <w:rPr>
                <w:b w:val="0"/>
              </w:rPr>
              <w:t>—</w:t>
            </w:r>
          </w:p>
        </w:tc>
      </w:tr>
    </w:tbl>
    <w:p w14:paraId="0FE2D428" w14:textId="5D65E7A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37C5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EC4B6A0" w14:textId="77777777" w:rsidTr="00321598">
        <w:trPr>
          <w:cantSplit/>
          <w:tblHeader/>
        </w:trPr>
        <w:tc>
          <w:tcPr>
            <w:tcW w:w="4010" w:type="dxa"/>
            <w:vAlign w:val="center"/>
          </w:tcPr>
          <w:p w14:paraId="0BF1AAE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136CF8A" w14:textId="486615F7" w:rsidR="002C7AFE" w:rsidRPr="00EB3D1B" w:rsidRDefault="00ED43EB" w:rsidP="00017C82">
            <w:pPr>
              <w:pStyle w:val="Tablefont"/>
              <w:rPr>
                <w:b/>
              </w:rPr>
            </w:pPr>
            <w:r w:rsidRPr="00ED43EB">
              <w:rPr>
                <w:b/>
              </w:rPr>
              <w:t>0.0</w:t>
            </w:r>
            <w:r w:rsidR="00E37C53">
              <w:rPr>
                <w:b/>
              </w:rPr>
              <w:t>2</w:t>
            </w:r>
            <w:r w:rsidRPr="00ED43EB">
              <w:rPr>
                <w:b/>
              </w:rPr>
              <w:t xml:space="preserve"> ppm (0.</w:t>
            </w:r>
            <w:r w:rsidR="00E37C53">
              <w:rPr>
                <w:b/>
              </w:rPr>
              <w:t>13</w:t>
            </w:r>
            <w:r w:rsidRPr="00ED43EB">
              <w:rPr>
                <w:b/>
              </w:rPr>
              <w:t xml:space="preserve"> mg/m</w:t>
            </w:r>
            <w:r w:rsidRPr="00ED43EB">
              <w:rPr>
                <w:b/>
                <w:vertAlign w:val="superscript"/>
              </w:rPr>
              <w:t>3</w:t>
            </w:r>
            <w:r w:rsidRPr="00ED43EB">
              <w:rPr>
                <w:b/>
              </w:rPr>
              <w:t>)</w:t>
            </w:r>
          </w:p>
        </w:tc>
      </w:tr>
      <w:tr w:rsidR="002C7AFE" w:rsidRPr="004C23F4" w14:paraId="4A083EB4" w14:textId="77777777" w:rsidTr="00321598">
        <w:trPr>
          <w:cantSplit/>
        </w:trPr>
        <w:tc>
          <w:tcPr>
            <w:tcW w:w="4010" w:type="dxa"/>
            <w:vAlign w:val="center"/>
          </w:tcPr>
          <w:p w14:paraId="1B9EFBA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3D2831B8" w14:textId="0126E69F" w:rsidR="002C7AFE" w:rsidRPr="00EB3D1B" w:rsidRDefault="00E37C53" w:rsidP="00017C82">
            <w:pPr>
              <w:pStyle w:val="Tablefont"/>
              <w:rPr>
                <w:b/>
              </w:rPr>
            </w:pPr>
            <w:r w:rsidRPr="0044698C">
              <w:t>—</w:t>
            </w:r>
          </w:p>
        </w:tc>
      </w:tr>
      <w:tr w:rsidR="002C7AFE" w:rsidRPr="004C23F4" w14:paraId="519D119A" w14:textId="77777777" w:rsidTr="00321598">
        <w:trPr>
          <w:cantSplit/>
        </w:trPr>
        <w:tc>
          <w:tcPr>
            <w:tcW w:w="4010" w:type="dxa"/>
            <w:vAlign w:val="center"/>
          </w:tcPr>
          <w:p w14:paraId="395A579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9DEC0F3" w14:textId="60A7046F" w:rsidR="002C7AFE" w:rsidRPr="00EB3D1B" w:rsidRDefault="00D56F64" w:rsidP="00017C82">
            <w:pPr>
              <w:pStyle w:val="Tablefont"/>
              <w:rPr>
                <w:b/>
              </w:rPr>
            </w:pPr>
            <w:r w:rsidRPr="0044698C">
              <w:t>—</w:t>
            </w:r>
          </w:p>
        </w:tc>
      </w:tr>
      <w:tr w:rsidR="002C7AFE" w:rsidRPr="004C23F4" w14:paraId="37D824AF" w14:textId="77777777" w:rsidTr="00321598">
        <w:trPr>
          <w:cantSplit/>
        </w:trPr>
        <w:tc>
          <w:tcPr>
            <w:tcW w:w="4010" w:type="dxa"/>
          </w:tcPr>
          <w:p w14:paraId="11B92D4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080B62C0" w14:textId="58CAE933" w:rsidR="002C7AFE" w:rsidRPr="00EB3D1B" w:rsidRDefault="00321598" w:rsidP="008A36CF">
            <w:pPr>
              <w:pStyle w:val="Tablefont"/>
              <w:rPr>
                <w:b/>
              </w:rPr>
            </w:pPr>
            <w:r w:rsidRPr="0044698C">
              <w:t>—</w:t>
            </w:r>
          </w:p>
        </w:tc>
      </w:tr>
      <w:tr w:rsidR="002C7AFE" w:rsidRPr="004C23F4" w14:paraId="4DADEB20" w14:textId="77777777" w:rsidTr="00321598">
        <w:trPr>
          <w:cantSplit/>
        </w:trPr>
        <w:tc>
          <w:tcPr>
            <w:tcW w:w="4010" w:type="dxa"/>
            <w:vAlign w:val="center"/>
          </w:tcPr>
          <w:p w14:paraId="7A042B9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D09D7F1" w14:textId="61BE8D7F" w:rsidR="002C7AFE" w:rsidRPr="00EB3D1B" w:rsidRDefault="0044698C" w:rsidP="00017C82">
            <w:pPr>
              <w:pStyle w:val="Tablefont"/>
              <w:rPr>
                <w:b/>
              </w:rPr>
            </w:pPr>
            <w:r w:rsidRPr="0044698C">
              <w:t>—</w:t>
            </w:r>
          </w:p>
        </w:tc>
      </w:tr>
      <w:tr w:rsidR="00321598" w:rsidRPr="004C23F4" w14:paraId="71298D4D" w14:textId="77777777" w:rsidTr="00437D32">
        <w:trPr>
          <w:cantSplit/>
        </w:trPr>
        <w:tc>
          <w:tcPr>
            <w:tcW w:w="9026" w:type="dxa"/>
            <w:gridSpan w:val="2"/>
            <w:vAlign w:val="center"/>
          </w:tcPr>
          <w:p w14:paraId="4B9012AE" w14:textId="28E17D0F" w:rsidR="00321598" w:rsidRPr="00321598" w:rsidRDefault="00321598" w:rsidP="00017C82">
            <w:pPr>
              <w:pStyle w:val="Tablefont"/>
              <w:rPr>
                <w:b/>
              </w:rPr>
            </w:pPr>
            <w:r w:rsidRPr="00321598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65AA4C2957F49FEBC85EAA2499E156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A3D1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21EB8F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FAB78AF" w14:textId="25C7A599" w:rsidR="006639B4" w:rsidRDefault="00ED43EB" w:rsidP="000C139A">
      <w:pPr>
        <w:rPr>
          <w:lang w:eastAsia="en-AU"/>
        </w:rPr>
      </w:pPr>
      <w:r>
        <w:rPr>
          <w:lang w:eastAsia="en-AU"/>
        </w:rPr>
        <w:t xml:space="preserve">A TWA of </w:t>
      </w:r>
      <w:r>
        <w:rPr>
          <w:rFonts w:cs="Arial"/>
        </w:rPr>
        <w:t>0.0</w:t>
      </w:r>
      <w:r w:rsidR="00E37C53">
        <w:rPr>
          <w:rFonts w:cs="Arial"/>
        </w:rPr>
        <w:t>2</w:t>
      </w:r>
      <w:r>
        <w:rPr>
          <w:rFonts w:cs="Arial"/>
        </w:rPr>
        <w:t xml:space="preserve"> ppm (0.</w:t>
      </w:r>
      <w:r w:rsidR="00E37C53">
        <w:rPr>
          <w:rFonts w:cs="Arial"/>
        </w:rPr>
        <w:t>13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086210">
        <w:rPr>
          <w:rFonts w:cs="Arial"/>
        </w:rPr>
        <w:t xml:space="preserve"> </w:t>
      </w:r>
      <w:r w:rsidRPr="005E2584">
        <w:rPr>
          <w:lang w:eastAsia="en-AU"/>
        </w:rPr>
        <w:t>is recommended</w:t>
      </w:r>
      <w:r w:rsidRPr="00500623">
        <w:rPr>
          <w:lang w:eastAsia="en-AU"/>
        </w:rPr>
        <w:t xml:space="preserve"> to </w:t>
      </w:r>
      <w:r>
        <w:rPr>
          <w:lang w:eastAsia="en-AU"/>
        </w:rPr>
        <w:t xml:space="preserve">protect for irritation of the </w:t>
      </w:r>
      <w:r w:rsidR="001443A3">
        <w:rPr>
          <w:lang w:eastAsia="en-AU"/>
        </w:rPr>
        <w:t>eyes, mucous membranes and</w:t>
      </w:r>
      <w:r>
        <w:rPr>
          <w:lang w:eastAsia="en-AU"/>
        </w:rPr>
        <w:t xml:space="preserve"> respiratory tract </w:t>
      </w:r>
      <w:r w:rsidRPr="00500623">
        <w:rPr>
          <w:lang w:eastAsia="en-AU"/>
        </w:rPr>
        <w:t>in exposed workers</w:t>
      </w:r>
      <w:r w:rsidR="001443A3">
        <w:rPr>
          <w:lang w:eastAsia="en-AU"/>
        </w:rPr>
        <w:t>.</w:t>
      </w:r>
    </w:p>
    <w:p w14:paraId="0041A2F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EC2BF13" w14:textId="7D203EBE" w:rsidR="00B5377D" w:rsidRDefault="00162F92" w:rsidP="006639B4">
      <w:pPr>
        <w:rPr>
          <w:rFonts w:cs="Arial"/>
        </w:rPr>
      </w:pPr>
      <w:r>
        <w:rPr>
          <w:rFonts w:cs="Arial"/>
        </w:rPr>
        <w:t>Phosphorus oxychloride is not a persistent chemical as it completely hydrolyses in water</w:t>
      </w:r>
      <w:r w:rsidR="00AC34AD">
        <w:rPr>
          <w:rFonts w:cs="Arial"/>
        </w:rPr>
        <w:t>. It is used as an intermediate in the manufacture of numerous products including plastics and elastomers, lubricant oil, surfactants</w:t>
      </w:r>
      <w:r w:rsidR="00380EB3">
        <w:rPr>
          <w:rFonts w:cs="Arial"/>
        </w:rPr>
        <w:t>,</w:t>
      </w:r>
      <w:r w:rsidR="00AC34AD">
        <w:rPr>
          <w:rFonts w:cs="Arial"/>
        </w:rPr>
        <w:t xml:space="preserve"> and </w:t>
      </w:r>
      <w:r w:rsidR="00156060">
        <w:rPr>
          <w:rFonts w:cs="Arial"/>
        </w:rPr>
        <w:t>sequestrants</w:t>
      </w:r>
      <w:r w:rsidR="00AC34AD">
        <w:rPr>
          <w:rFonts w:cs="Arial"/>
        </w:rPr>
        <w:t xml:space="preserve"> and organophosphorus pesticides (SCOEL, 2015).</w:t>
      </w:r>
      <w:r w:rsidR="0033398F">
        <w:rPr>
          <w:rFonts w:cs="Arial"/>
        </w:rPr>
        <w:t xml:space="preserve"> </w:t>
      </w:r>
    </w:p>
    <w:p w14:paraId="154AFEC8" w14:textId="049159DC" w:rsidR="00B22B8F" w:rsidRDefault="0033398F" w:rsidP="006639B4">
      <w:pPr>
        <w:rPr>
          <w:rFonts w:cs="Arial"/>
        </w:rPr>
      </w:pPr>
      <w:r>
        <w:rPr>
          <w:rFonts w:cs="Arial"/>
        </w:rPr>
        <w:t>Critical effects</w:t>
      </w:r>
      <w:r w:rsidR="00B5377D">
        <w:rPr>
          <w:rFonts w:cs="Arial"/>
        </w:rPr>
        <w:t xml:space="preserve"> of exposure</w:t>
      </w:r>
      <w:r>
        <w:rPr>
          <w:rFonts w:cs="Arial"/>
        </w:rPr>
        <w:t xml:space="preserve"> are irritation </w:t>
      </w:r>
      <w:r w:rsidR="006F2C8E">
        <w:rPr>
          <w:rFonts w:cs="Arial"/>
        </w:rPr>
        <w:t>of the respiratory tract, mucous membrane</w:t>
      </w:r>
      <w:r w:rsidR="00824197">
        <w:rPr>
          <w:rFonts w:cs="Arial"/>
        </w:rPr>
        <w:t>s</w:t>
      </w:r>
      <w:r w:rsidR="006F2C8E">
        <w:rPr>
          <w:rFonts w:cs="Arial"/>
        </w:rPr>
        <w:t xml:space="preserve"> and eyes (ACGIH, 20</w:t>
      </w:r>
      <w:r w:rsidR="00156060">
        <w:rPr>
          <w:rFonts w:cs="Arial"/>
        </w:rPr>
        <w:t>18</w:t>
      </w:r>
      <w:r w:rsidR="006F2C8E">
        <w:rPr>
          <w:rFonts w:cs="Arial"/>
        </w:rPr>
        <w:t>: SCOEL, 2015).</w:t>
      </w:r>
      <w:r w:rsidR="00B5377D">
        <w:rPr>
          <w:rFonts w:cs="Arial"/>
        </w:rPr>
        <w:t xml:space="preserve"> </w:t>
      </w:r>
    </w:p>
    <w:p w14:paraId="06CC4C44" w14:textId="5EB66D83" w:rsidR="00BA18A6" w:rsidRDefault="006F2C8E" w:rsidP="00CC604A">
      <w:pPr>
        <w:spacing w:before="240"/>
        <w:rPr>
          <w:rFonts w:cs="Arial"/>
        </w:rPr>
      </w:pPr>
      <w:r>
        <w:rPr>
          <w:rFonts w:cs="Arial"/>
        </w:rPr>
        <w:t xml:space="preserve">Limited data </w:t>
      </w:r>
      <w:r w:rsidR="00B13B3D">
        <w:rPr>
          <w:rFonts w:cs="Arial"/>
        </w:rPr>
        <w:t>are</w:t>
      </w:r>
      <w:r>
        <w:rPr>
          <w:rFonts w:cs="Arial"/>
        </w:rPr>
        <w:t xml:space="preserve"> available from human and animal studies with a lack of repeat exposure inhalation studies. </w:t>
      </w:r>
      <w:r w:rsidR="00C26563">
        <w:rPr>
          <w:rFonts w:cs="Arial"/>
        </w:rPr>
        <w:t xml:space="preserve">DFG (2015) </w:t>
      </w:r>
      <w:proofErr w:type="gramStart"/>
      <w:r w:rsidR="00C26563">
        <w:t>derive</w:t>
      </w:r>
      <w:proofErr w:type="gramEnd"/>
      <w:r w:rsidR="00C26563">
        <w:t xml:space="preserve"> a </w:t>
      </w:r>
      <w:r w:rsidR="00067AC0">
        <w:t xml:space="preserve">MAK </w:t>
      </w:r>
      <w:r w:rsidR="00C26563">
        <w:t>based on a read-across to phosphorus trichloride</w:t>
      </w:r>
      <w:r w:rsidR="00824197">
        <w:t>,</w:t>
      </w:r>
      <w:r w:rsidR="00FC16A7">
        <w:t xml:space="preserve"> whereby </w:t>
      </w:r>
      <w:r w:rsidR="00955361">
        <w:t xml:space="preserve">the </w:t>
      </w:r>
      <w:r w:rsidR="00CC604A">
        <w:t xml:space="preserve">reported </w:t>
      </w:r>
      <w:r w:rsidR="00FC16A7">
        <w:t xml:space="preserve">irritation threshold </w:t>
      </w:r>
      <w:r w:rsidR="00CC604A">
        <w:t xml:space="preserve">is at </w:t>
      </w:r>
      <w:r w:rsidR="00300DD3">
        <w:t>1 mg/m</w:t>
      </w:r>
      <w:r w:rsidR="00300DD3" w:rsidRPr="003171A7">
        <w:rPr>
          <w:vertAlign w:val="superscript"/>
        </w:rPr>
        <w:t>3</w:t>
      </w:r>
      <w:r w:rsidR="00300DD3">
        <w:t xml:space="preserve"> </w:t>
      </w:r>
      <w:r w:rsidR="00067AC0">
        <w:t>in</w:t>
      </w:r>
      <w:r w:rsidR="00CC604A">
        <w:t xml:space="preserve"> rat</w:t>
      </w:r>
      <w:r w:rsidR="00067AC0">
        <w:t>s</w:t>
      </w:r>
      <w:r w:rsidR="00CC604A">
        <w:t xml:space="preserve"> </w:t>
      </w:r>
      <w:r w:rsidR="00FC16A7">
        <w:t xml:space="preserve">and humans </w:t>
      </w:r>
      <w:r w:rsidR="00067AC0">
        <w:t xml:space="preserve">and </w:t>
      </w:r>
      <w:r w:rsidR="00384A87">
        <w:t xml:space="preserve">it is </w:t>
      </w:r>
      <w:r w:rsidR="00FC16A7">
        <w:t>five times lower than phosphorus trichloride</w:t>
      </w:r>
      <w:r w:rsidR="00156060">
        <w:t xml:space="preserve"> </w:t>
      </w:r>
      <w:r w:rsidR="005E43CC">
        <w:t>(</w:t>
      </w:r>
      <w:r w:rsidR="00156060">
        <w:t>5 </w:t>
      </w:r>
      <w:r w:rsidR="009924EF">
        <w:t>mg/m</w:t>
      </w:r>
      <w:r w:rsidR="009924EF" w:rsidRPr="009924EF">
        <w:rPr>
          <w:vertAlign w:val="superscript"/>
        </w:rPr>
        <w:t>3</w:t>
      </w:r>
      <w:r w:rsidR="005E43CC">
        <w:t>)</w:t>
      </w:r>
      <w:r w:rsidR="00955361">
        <w:t xml:space="preserve">. A NOAEC </w:t>
      </w:r>
      <w:r w:rsidR="00B5377D">
        <w:t>i</w:t>
      </w:r>
      <w:r w:rsidR="00955361">
        <w:t xml:space="preserve">s not identified </w:t>
      </w:r>
      <w:r w:rsidR="00B22B8F">
        <w:t xml:space="preserve">in </w:t>
      </w:r>
      <w:r w:rsidR="00357F2A">
        <w:t>available studies</w:t>
      </w:r>
      <w:r w:rsidR="00384A87">
        <w:t>. A</w:t>
      </w:r>
      <w:r w:rsidR="00D66C47">
        <w:t xml:space="preserve"> LOAEC of 0.48</w:t>
      </w:r>
      <w:r w:rsidR="00CC604A">
        <w:t> </w:t>
      </w:r>
      <w:r w:rsidR="00D66C47">
        <w:t>mg/m</w:t>
      </w:r>
      <w:r w:rsidR="00D66C47" w:rsidRPr="00197569">
        <w:rPr>
          <w:vertAlign w:val="superscript"/>
        </w:rPr>
        <w:t>3</w:t>
      </w:r>
      <w:r w:rsidR="00156060">
        <w:t xml:space="preserve"> (0.08 </w:t>
      </w:r>
      <w:r w:rsidR="00D66C47">
        <w:t>ppm</w:t>
      </w:r>
      <w:r w:rsidR="00F90AE8">
        <w:t>)</w:t>
      </w:r>
      <w:r w:rsidR="00B5377D">
        <w:t xml:space="preserve"> is reported</w:t>
      </w:r>
      <w:r w:rsidR="00F90AE8">
        <w:t xml:space="preserve"> based on</w:t>
      </w:r>
      <w:r w:rsidR="00F90AE8" w:rsidRPr="00F90AE8">
        <w:t xml:space="preserve"> </w:t>
      </w:r>
      <w:r w:rsidR="00F90AE8">
        <w:t>weight loss, respiratory irritation and increased kidney weights (SCOEL, 2015)</w:t>
      </w:r>
      <w:r w:rsidR="008D3F76">
        <w:t>. Th</w:t>
      </w:r>
      <w:r w:rsidR="00F90AE8">
        <w:t>e validity of this</w:t>
      </w:r>
      <w:r w:rsidR="008D3F76">
        <w:t xml:space="preserve"> </w:t>
      </w:r>
      <w:r w:rsidR="00B22B8F">
        <w:t>four-month</w:t>
      </w:r>
      <w:r w:rsidR="00F90AE8">
        <w:t xml:space="preserve"> </w:t>
      </w:r>
      <w:r w:rsidR="008D3F76">
        <w:t>study</w:t>
      </w:r>
      <w:r w:rsidR="00D66C47">
        <w:t xml:space="preserve"> in rats and guinea pigs</w:t>
      </w:r>
      <w:r w:rsidR="00F90AE8">
        <w:t xml:space="preserve"> was questioned by DFG (2015) and OECD</w:t>
      </w:r>
      <w:r w:rsidR="00B13B3D">
        <w:t> </w:t>
      </w:r>
      <w:r w:rsidR="00F90AE8">
        <w:t>(2004)</w:t>
      </w:r>
      <w:r w:rsidR="00ED43EB">
        <w:t>.</w:t>
      </w:r>
    </w:p>
    <w:p w14:paraId="6B303B78" w14:textId="73490D03" w:rsidR="00BA18A6" w:rsidRPr="004C23F4" w:rsidRDefault="00B13B3D" w:rsidP="006639B4">
      <w:pPr>
        <w:rPr>
          <w:rFonts w:cs="Arial"/>
        </w:rPr>
      </w:pPr>
      <w:r>
        <w:rPr>
          <w:rFonts w:cs="Arial"/>
        </w:rPr>
        <w:t>Based on the available evidence, a</w:t>
      </w:r>
      <w:r w:rsidR="00BA18A6" w:rsidRPr="00086210">
        <w:rPr>
          <w:rFonts w:cs="Arial"/>
        </w:rPr>
        <w:t xml:space="preserve"> TWA of </w:t>
      </w:r>
      <w:r w:rsidR="00ED43EB">
        <w:rPr>
          <w:rFonts w:cs="Arial"/>
        </w:rPr>
        <w:t>0.0</w:t>
      </w:r>
      <w:r w:rsidR="00E37C53">
        <w:rPr>
          <w:rFonts w:cs="Arial"/>
        </w:rPr>
        <w:t>2</w:t>
      </w:r>
      <w:r w:rsidR="00ED43EB">
        <w:rPr>
          <w:rFonts w:cs="Arial"/>
        </w:rPr>
        <w:t xml:space="preserve"> ppm (0.</w:t>
      </w:r>
      <w:r w:rsidR="00E37C53">
        <w:rPr>
          <w:rFonts w:cs="Arial"/>
        </w:rPr>
        <w:t>13</w:t>
      </w:r>
      <w:r w:rsidR="00BA18A6">
        <w:rPr>
          <w:rFonts w:cs="Arial"/>
        </w:rPr>
        <w:t xml:space="preserve"> mg/m</w:t>
      </w:r>
      <w:r w:rsidR="00BA18A6">
        <w:rPr>
          <w:rFonts w:cs="Arial"/>
          <w:vertAlign w:val="superscript"/>
        </w:rPr>
        <w:t>3</w:t>
      </w:r>
      <w:r w:rsidR="00ED43EB">
        <w:rPr>
          <w:rFonts w:cs="Arial"/>
        </w:rPr>
        <w:t>)</w:t>
      </w:r>
      <w:r w:rsidR="00B22B8F">
        <w:rPr>
          <w:rFonts w:cs="Arial"/>
        </w:rPr>
        <w:t xml:space="preserve"> by DFG</w:t>
      </w:r>
      <w:r w:rsidR="00B22B8F">
        <w:t> </w:t>
      </w:r>
      <w:r w:rsidR="00B22B8F">
        <w:rPr>
          <w:rFonts w:cs="Arial"/>
        </w:rPr>
        <w:t>(2015)</w:t>
      </w:r>
      <w:r w:rsidR="00BA18A6" w:rsidRPr="00086210">
        <w:rPr>
          <w:rFonts w:cs="Arial"/>
        </w:rPr>
        <w:t xml:space="preserve"> </w:t>
      </w:r>
      <w:r>
        <w:rPr>
          <w:rFonts w:cs="Arial"/>
        </w:rPr>
        <w:t>is recommended to protect for irritation of the eyes, mucous membranes and respiratory tract in exposed workers.</w:t>
      </w:r>
      <w:r w:rsidR="00BA18A6">
        <w:rPr>
          <w:rFonts w:cs="Arial"/>
        </w:rPr>
        <w:t xml:space="preserve"> </w:t>
      </w:r>
    </w:p>
    <w:p w14:paraId="4DF2A77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30CE424" w14:textId="48002561" w:rsidR="0044698C" w:rsidRPr="00265858" w:rsidRDefault="0044698C" w:rsidP="0044698C">
      <w:pPr>
        <w:rPr>
          <w:rFonts w:cs="Arial"/>
        </w:rPr>
      </w:pPr>
      <w:r w:rsidRPr="00265858">
        <w:rPr>
          <w:rFonts w:cs="Arial"/>
        </w:rPr>
        <w:t>Not classified as a carcinogen according to the Globally Harmonized System of Classification and Labelling o</w:t>
      </w:r>
      <w:r w:rsidR="00AC34AD">
        <w:rPr>
          <w:rFonts w:cs="Arial"/>
        </w:rPr>
        <w:t>f</w:t>
      </w:r>
      <w:r w:rsidRPr="00265858">
        <w:rPr>
          <w:rFonts w:cs="Arial"/>
        </w:rPr>
        <w:t xml:space="preserve"> Chemicals (GHS). </w:t>
      </w:r>
    </w:p>
    <w:p w14:paraId="2098F699" w14:textId="7A861B84" w:rsidR="0044698C" w:rsidRPr="00265858" w:rsidRDefault="0044698C" w:rsidP="0044698C">
      <w:pPr>
        <w:rPr>
          <w:rFonts w:cs="Arial"/>
        </w:rPr>
      </w:pPr>
      <w:r w:rsidRPr="00265858">
        <w:rPr>
          <w:rFonts w:cs="Arial"/>
        </w:rPr>
        <w:lastRenderedPageBreak/>
        <w:t>Not classified as a skin</w:t>
      </w:r>
      <w:r w:rsidR="00AC34AD">
        <w:rPr>
          <w:rFonts w:cs="Arial"/>
        </w:rPr>
        <w:t xml:space="preserve"> </w:t>
      </w:r>
      <w:r w:rsidR="00AC34AD" w:rsidRPr="00265858">
        <w:rPr>
          <w:rFonts w:cs="Arial"/>
        </w:rPr>
        <w:t>sensitiser</w:t>
      </w:r>
      <w:r w:rsidRPr="00265858">
        <w:rPr>
          <w:rFonts w:cs="Arial"/>
        </w:rPr>
        <w:t xml:space="preserve"> or respiratory sensitiser according to the GHS.</w:t>
      </w:r>
    </w:p>
    <w:p w14:paraId="6951BCB5" w14:textId="7C956370" w:rsidR="0025734A" w:rsidRPr="004C23F4" w:rsidRDefault="007B1765">
      <w:pPr>
        <w:rPr>
          <w:rFonts w:cs="Arial"/>
        </w:rPr>
      </w:pPr>
      <w:r w:rsidRPr="007B1765">
        <w:rPr>
          <w:rFonts w:cs="Arial"/>
        </w:rPr>
        <w:t>A skin notation is not warranted based on the available evidence</w:t>
      </w:r>
      <w:r w:rsidR="0044698C" w:rsidRPr="007B1765">
        <w:rPr>
          <w:rFonts w:cs="Arial"/>
        </w:rPr>
        <w:t>.</w:t>
      </w:r>
    </w:p>
    <w:p w14:paraId="6FB4C51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4F9497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A8317F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280379C" w14:textId="77777777" w:rsidTr="00156060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23A529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3FFE829" w14:textId="77777777" w:rsidTr="0015606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BE24F10" w14:textId="2D3EDC4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348E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348E1">
                  <w:t xml:space="preserve">TWA: </w:t>
                </w:r>
                <w:r w:rsidR="004E1032">
                  <w:t>0.1 ppm (0.63 mg/m</w:t>
                </w:r>
                <w:r w:rsidR="004E1032" w:rsidRPr="004E1032">
                  <w:rPr>
                    <w:vertAlign w:val="superscript"/>
                  </w:rPr>
                  <w:t>3</w:t>
                </w:r>
                <w:r w:rsidR="004E1032">
                  <w:t>)</w:t>
                </w:r>
              </w:sdtContent>
            </w:sdt>
          </w:p>
        </w:tc>
      </w:tr>
      <w:tr w:rsidR="00C978F0" w:rsidRPr="00DA352E" w14:paraId="3F06744D" w14:textId="77777777" w:rsidTr="00156060">
        <w:trPr>
          <w:gridAfter w:val="1"/>
          <w:wAfter w:w="8" w:type="pct"/>
        </w:trPr>
        <w:tc>
          <w:tcPr>
            <w:tcW w:w="4992" w:type="pct"/>
          </w:tcPr>
          <w:p w14:paraId="389CA8C2" w14:textId="144CAB7D" w:rsidR="00C978F0" w:rsidRPr="00156060" w:rsidRDefault="00C978F0" w:rsidP="00156060"/>
        </w:tc>
      </w:tr>
      <w:tr w:rsidR="00C978F0" w:rsidRPr="00DA352E" w14:paraId="5F54D260" w14:textId="77777777" w:rsidTr="001560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5A89479" w14:textId="1317EED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E103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E1032">
                  <w:t>TLV-TWA: 0.1 ppm (0.63 mg/m</w:t>
                </w:r>
                <w:r w:rsidR="004E1032" w:rsidRPr="004E1032">
                  <w:rPr>
                    <w:vertAlign w:val="superscript"/>
                  </w:rPr>
                  <w:t>3</w:t>
                </w:r>
                <w:r w:rsidR="004E1032">
                  <w:t>)</w:t>
                </w:r>
              </w:sdtContent>
            </w:sdt>
          </w:p>
        </w:tc>
      </w:tr>
      <w:tr w:rsidR="00C978F0" w:rsidRPr="00DA352E" w14:paraId="2A6634CD" w14:textId="77777777" w:rsidTr="00156060">
        <w:trPr>
          <w:gridAfter w:val="1"/>
          <w:wAfter w:w="8" w:type="pct"/>
        </w:trPr>
        <w:tc>
          <w:tcPr>
            <w:tcW w:w="4992" w:type="pct"/>
          </w:tcPr>
          <w:p w14:paraId="5F6B6749" w14:textId="6079DFF7" w:rsidR="00C978F0" w:rsidRDefault="00470D31" w:rsidP="003365A5">
            <w:pPr>
              <w:pStyle w:val="Tabletextprimarysource"/>
            </w:pPr>
            <w:r>
              <w:t>TLV-TWA recommended to minimise eye, skin and muc</w:t>
            </w:r>
            <w:r w:rsidR="006F2C8E">
              <w:t>o</w:t>
            </w:r>
            <w:r>
              <w:t>us membrane irritation, respiratory difficulties and kidney damage in exposed workers.</w:t>
            </w:r>
            <w:r w:rsidR="00955361">
              <w:t xml:space="preserve"> Derivation of TLV-TWA is not provided.</w:t>
            </w:r>
          </w:p>
          <w:p w14:paraId="2C22771D" w14:textId="77777777" w:rsidR="00470D31" w:rsidRDefault="00470D31" w:rsidP="003365A5">
            <w:pPr>
              <w:pStyle w:val="Tabletextprimarysource"/>
            </w:pPr>
            <w:r>
              <w:t>Summary of data:</w:t>
            </w:r>
          </w:p>
          <w:p w14:paraId="518A32C1" w14:textId="77777777" w:rsidR="00470D31" w:rsidRDefault="00470D31" w:rsidP="003365A5">
            <w:pPr>
              <w:pStyle w:val="Tabletextprimarysource"/>
            </w:pPr>
            <w:r>
              <w:t>Human data:</w:t>
            </w:r>
          </w:p>
          <w:p w14:paraId="291A1149" w14:textId="1B529E23" w:rsidR="000048F7" w:rsidRDefault="00470D31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Chronic and acute </w:t>
            </w:r>
            <w:r w:rsidR="000048F7">
              <w:t xml:space="preserve">cases of occupational poisoning </w:t>
            </w:r>
            <w:r w:rsidR="00B22B8F">
              <w:t>reported,</w:t>
            </w:r>
            <w:r w:rsidR="000048F7">
              <w:t xml:space="preserve"> no further information</w:t>
            </w:r>
          </w:p>
          <w:p w14:paraId="4A1BDB01" w14:textId="29325134" w:rsidR="000048F7" w:rsidRDefault="000048F7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Symptoms include intense irritation of eyes, skin and mucus membranes</w:t>
            </w:r>
            <w:r w:rsidR="00B5377D">
              <w:t>,</w:t>
            </w:r>
            <w:r>
              <w:t xml:space="preserve"> dizziness, headache, weakness anorexia, nausea, vomiting, chest pain, cough, </w:t>
            </w:r>
            <w:r w:rsidR="00156060">
              <w:t>dyspnoea</w:t>
            </w:r>
            <w:r>
              <w:t>, bronchitis, bronchopneumonia, pulmonary oedema and nephritis</w:t>
            </w:r>
            <w:r w:rsidR="003171A7">
              <w:t>.</w:t>
            </w:r>
          </w:p>
          <w:p w14:paraId="05C20973" w14:textId="77777777" w:rsidR="000048F7" w:rsidRDefault="000048F7" w:rsidP="000048F7">
            <w:pPr>
              <w:pStyle w:val="Tabletextprimarysource"/>
            </w:pPr>
            <w:r>
              <w:t>Animal data:</w:t>
            </w:r>
          </w:p>
          <w:p w14:paraId="41BA72EE" w14:textId="01CE8435" w:rsidR="00470D31" w:rsidRDefault="000048F7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</w:t>
            </w:r>
            <w:r w:rsidR="00B5377D">
              <w:t xml:space="preserve"> </w:t>
            </w:r>
            <w:r>
              <w:t>h LC</w:t>
            </w:r>
            <w:r w:rsidRPr="000048F7">
              <w:rPr>
                <w:vertAlign w:val="subscript"/>
              </w:rPr>
              <w:t>50</w:t>
            </w:r>
            <w:r>
              <w:t>: 48 ppm (rats)</w:t>
            </w:r>
            <w:r w:rsidR="006A7A7A">
              <w:t>; 52 ppm (guinea pigs)</w:t>
            </w:r>
          </w:p>
          <w:p w14:paraId="2C7D17DD" w14:textId="23BCDBB9" w:rsidR="00156060" w:rsidRDefault="003171A7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="00BE2337">
              <w:t xml:space="preserve">rritant effects reduced when neutralised with ammonia, </w:t>
            </w:r>
            <w:r>
              <w:t xml:space="preserve">however </w:t>
            </w:r>
            <w:r w:rsidR="00BE2337">
              <w:t xml:space="preserve">toxicity increased </w:t>
            </w:r>
          </w:p>
          <w:p w14:paraId="3F4FB167" w14:textId="6AB2A4CB" w:rsidR="006A7A7A" w:rsidRDefault="00BE2337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</w:t>
            </w:r>
            <w:r w:rsidR="00B5377D">
              <w:t xml:space="preserve"> </w:t>
            </w:r>
            <w:r>
              <w:t>h LC</w:t>
            </w:r>
            <w:r w:rsidRPr="00BE2337">
              <w:rPr>
                <w:vertAlign w:val="subscript"/>
              </w:rPr>
              <w:t>50</w:t>
            </w:r>
            <w:r>
              <w:t>: 44 ppm (rats); 41 ppm (guinea pigs)</w:t>
            </w:r>
          </w:p>
          <w:p w14:paraId="3EE6EF86" w14:textId="7ACC1FFB" w:rsidR="00FC591C" w:rsidRDefault="00FC591C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More toxic than phosphorus trichloride based on acute inhalation studies</w:t>
            </w:r>
            <w:r w:rsidR="003171A7">
              <w:t>.</w:t>
            </w:r>
          </w:p>
          <w:p w14:paraId="7E5771BB" w14:textId="77777777" w:rsidR="00B13B3D" w:rsidRDefault="00B13B3D" w:rsidP="00FC591C">
            <w:pPr>
              <w:pStyle w:val="Tabletextprimarysource"/>
            </w:pPr>
          </w:p>
          <w:p w14:paraId="5417A6C8" w14:textId="1F460F8B" w:rsidR="00156060" w:rsidRDefault="00FC591C" w:rsidP="00FC591C">
            <w:pPr>
              <w:pStyle w:val="Tabletextprimarysource"/>
            </w:pPr>
            <w:r>
              <w:t xml:space="preserve">Limited toxicological data available but can </w:t>
            </w:r>
            <w:r w:rsidR="008D742C">
              <w:t>hydroly</w:t>
            </w:r>
            <w:r>
              <w:t>se to phosphoric and hydrochloric acids. Insufficient data to recommend Skin, SEN or carcinogenicity notations or TLV-STEL.</w:t>
            </w:r>
          </w:p>
          <w:p w14:paraId="00D798A4" w14:textId="68B30092" w:rsidR="00BE2337" w:rsidRPr="00156060" w:rsidRDefault="00BE2337" w:rsidP="00156060"/>
        </w:tc>
      </w:tr>
      <w:tr w:rsidR="00C978F0" w:rsidRPr="00DA352E" w14:paraId="7C4CEBF4" w14:textId="77777777" w:rsidTr="001560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0476C3" w14:textId="69479FA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E1032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E1032">
                  <w:t>MAK: 0.02 ppm (0.13 mg/m</w:t>
                </w:r>
                <w:r w:rsidR="004E1032" w:rsidRPr="004E1032">
                  <w:rPr>
                    <w:vertAlign w:val="superscript"/>
                  </w:rPr>
                  <w:t>3</w:t>
                </w:r>
                <w:r w:rsidR="004E1032">
                  <w:t>)</w:t>
                </w:r>
              </w:sdtContent>
            </w:sdt>
          </w:p>
        </w:tc>
      </w:tr>
      <w:tr w:rsidR="00C978F0" w:rsidRPr="00DA352E" w14:paraId="106BEC75" w14:textId="77777777" w:rsidTr="00156060">
        <w:trPr>
          <w:gridAfter w:val="1"/>
          <w:wAfter w:w="8" w:type="pct"/>
        </w:trPr>
        <w:tc>
          <w:tcPr>
            <w:tcW w:w="4992" w:type="pct"/>
          </w:tcPr>
          <w:p w14:paraId="160C111A" w14:textId="77777777" w:rsidR="00C978F0" w:rsidRDefault="00B10D6C" w:rsidP="003365A5">
            <w:pPr>
              <w:pStyle w:val="Tabletextprimarysource"/>
            </w:pPr>
            <w:r>
              <w:t>Summary of additional data:</w:t>
            </w:r>
          </w:p>
          <w:p w14:paraId="7744B807" w14:textId="77777777" w:rsidR="00B10D6C" w:rsidRDefault="00B10D6C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Insufficient data to set MAK due to lack of repeat exposure inhalation studies</w:t>
            </w:r>
          </w:p>
          <w:p w14:paraId="7D1BA372" w14:textId="10229190" w:rsidR="005A6994" w:rsidRDefault="005A6994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</w:t>
            </w:r>
            <w:r w:rsidR="00B5377D">
              <w:t xml:space="preserve"> </w:t>
            </w:r>
            <w:r>
              <w:t>min exposure in volunteers caused subjective annoyance at 1 mg/</w:t>
            </w:r>
            <w:proofErr w:type="gramStart"/>
            <w:r>
              <w:t>m</w:t>
            </w:r>
            <w:r w:rsidRPr="003171A7">
              <w:rPr>
                <w:vertAlign w:val="superscript"/>
              </w:rPr>
              <w:t>3</w:t>
            </w:r>
            <w:r>
              <w:t>;</w:t>
            </w:r>
            <w:proofErr w:type="gramEnd"/>
            <w:r>
              <w:t xml:space="preserve"> no further information</w:t>
            </w:r>
          </w:p>
          <w:p w14:paraId="285A4BCB" w14:textId="1937020E" w:rsidR="005A6994" w:rsidRDefault="005A6994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‘Irritation threshold’ of 1 mg/m</w:t>
            </w:r>
            <w:r w:rsidRPr="003171A7">
              <w:rPr>
                <w:vertAlign w:val="superscript"/>
              </w:rPr>
              <w:t>3</w:t>
            </w:r>
            <w:r>
              <w:t xml:space="preserve"> in rats; decreased respiratory rate</w:t>
            </w:r>
            <w:r w:rsidR="00B5377D">
              <w:t>;</w:t>
            </w:r>
            <w:r>
              <w:t xml:space="preserve"> 5 mg/m</w:t>
            </w:r>
            <w:r w:rsidRPr="003171A7">
              <w:rPr>
                <w:vertAlign w:val="superscript"/>
              </w:rPr>
              <w:t>3</w:t>
            </w:r>
            <w:r>
              <w:t xml:space="preserve"> for phosphorus trichloride </w:t>
            </w:r>
          </w:p>
          <w:p w14:paraId="106557BB" w14:textId="6E568429" w:rsidR="00B10D6C" w:rsidRDefault="00B10D6C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derived based on </w:t>
            </w:r>
            <w:proofErr w:type="gramStart"/>
            <w:r>
              <w:t>read-across</w:t>
            </w:r>
            <w:proofErr w:type="gramEnd"/>
            <w:r>
              <w:t xml:space="preserve"> </w:t>
            </w:r>
            <w:r w:rsidR="00FF56F9">
              <w:t xml:space="preserve">to phosphorus trichloride (MAK 0.1 ppm); NOAEC of phosphorus trichloride for sensory irritation in rats and volunteers is </w:t>
            </w:r>
            <w:proofErr w:type="gramStart"/>
            <w:r w:rsidR="00FF56F9">
              <w:t>5</w:t>
            </w:r>
            <w:r w:rsidR="00B5377D">
              <w:t xml:space="preserve"> </w:t>
            </w:r>
            <w:r w:rsidR="00FF56F9">
              <w:t>fold</w:t>
            </w:r>
            <w:proofErr w:type="gramEnd"/>
            <w:r w:rsidR="00FF56F9">
              <w:t xml:space="preserve"> higher</w:t>
            </w:r>
            <w:r w:rsidR="005A6994">
              <w:t>, thus MAK lowered to 0.02 ppm</w:t>
            </w:r>
          </w:p>
          <w:p w14:paraId="2C32A5BF" w14:textId="45BF4796" w:rsidR="003171A7" w:rsidRDefault="00AA05B2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Target organs of 4</w:t>
            </w:r>
            <w:r w:rsidR="00B5377D">
              <w:t xml:space="preserve"> </w:t>
            </w:r>
            <w:r>
              <w:t>h inhalation study cited in ACGIH (20</w:t>
            </w:r>
            <w:r w:rsidR="004D18EE">
              <w:t>01</w:t>
            </w:r>
            <w:r>
              <w:t>) were trachea and lungs</w:t>
            </w:r>
          </w:p>
          <w:p w14:paraId="72675ACF" w14:textId="04B71B82" w:rsidR="00AA05B2" w:rsidRDefault="00AA05B2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Severe caustic effect caused on rabbit skin</w:t>
            </w:r>
            <w:r w:rsidR="00384A87">
              <w:t>,</w:t>
            </w:r>
            <w:r>
              <w:t xml:space="preserve"> occlusive </w:t>
            </w:r>
            <w:r w:rsidR="00B22B8F">
              <w:t xml:space="preserve">treatment </w:t>
            </w:r>
            <w:r>
              <w:t>with undiluted chemical for 24</w:t>
            </w:r>
            <w:r w:rsidR="00B5377D">
              <w:t xml:space="preserve"> </w:t>
            </w:r>
            <w:r>
              <w:t>h; 1</w:t>
            </w:r>
            <w:r w:rsidR="00B5377D">
              <w:t xml:space="preserve"> </w:t>
            </w:r>
            <w:r>
              <w:t>min exposure to shaved rabbit skin also caused irreversible caustic effect</w:t>
            </w:r>
          </w:p>
          <w:p w14:paraId="2E04FD08" w14:textId="6721F551" w:rsidR="00156060" w:rsidRDefault="00AA05B2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Corrosive to eyes of rabbits</w:t>
            </w:r>
            <w:r w:rsidR="004B7C4B">
              <w:t>.</w:t>
            </w:r>
          </w:p>
          <w:p w14:paraId="1CCD089B" w14:textId="1168BBAD" w:rsidR="00AA05B2" w:rsidRPr="00156060" w:rsidRDefault="00AA05B2" w:rsidP="00156060"/>
        </w:tc>
      </w:tr>
      <w:tr w:rsidR="00C978F0" w:rsidRPr="00DA352E" w14:paraId="196C3866" w14:textId="77777777" w:rsidTr="001560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75B0219" w14:textId="40B6B0E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E1032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E1032">
                  <w:t>TWA: 0.01 ppm (0.064 mg/m</w:t>
                </w:r>
                <w:r w:rsidR="004E1032" w:rsidRPr="00DF60F6">
                  <w:rPr>
                    <w:vertAlign w:val="superscript"/>
                  </w:rPr>
                  <w:t>3</w:t>
                </w:r>
                <w:r w:rsidR="00156060">
                  <w:t>); STEL</w:t>
                </w:r>
                <w:r w:rsidR="004E1032">
                  <w:t>: 0.02 ppm (0.13 mg/m</w:t>
                </w:r>
                <w:r w:rsidR="004E1032" w:rsidRPr="00DF60F6">
                  <w:rPr>
                    <w:vertAlign w:val="superscript"/>
                  </w:rPr>
                  <w:t>3</w:t>
                </w:r>
                <w:r w:rsidR="004E1032">
                  <w:t>)</w:t>
                </w:r>
              </w:sdtContent>
            </w:sdt>
          </w:p>
        </w:tc>
      </w:tr>
      <w:tr w:rsidR="00C978F0" w:rsidRPr="00DA352E" w14:paraId="41CF76E0" w14:textId="77777777" w:rsidTr="00156060">
        <w:trPr>
          <w:gridAfter w:val="1"/>
          <w:wAfter w:w="8" w:type="pct"/>
        </w:trPr>
        <w:tc>
          <w:tcPr>
            <w:tcW w:w="4992" w:type="pct"/>
          </w:tcPr>
          <w:p w14:paraId="209DD2BF" w14:textId="77777777" w:rsidR="00C978F0" w:rsidRDefault="004B7C4B" w:rsidP="003365A5">
            <w:pPr>
              <w:pStyle w:val="Tabletextprimarysource"/>
            </w:pPr>
            <w:r>
              <w:t>Summary of additional data:</w:t>
            </w:r>
          </w:p>
          <w:p w14:paraId="737F76FC" w14:textId="77777777" w:rsidR="00156060" w:rsidRDefault="00156060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0C1976">
              <w:rPr>
                <w:vertAlign w:val="subscript"/>
              </w:rPr>
              <w:t>50</w:t>
            </w:r>
            <w:r>
              <w:t>: 380 mg/kg (rats, oral)</w:t>
            </w:r>
          </w:p>
          <w:p w14:paraId="0396F70D" w14:textId="1E0CC45F" w:rsidR="004B7C4B" w:rsidRDefault="00552B5E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ascii="Times New Roman" w:hAnsi="Times New Roman" w:cs="Times New Roman"/>
              </w:rPr>
              <w:lastRenderedPageBreak/>
              <w:t>≈</w:t>
            </w:r>
            <w:r>
              <w:t>15% hydrolysed in the atmosphere; distribution in the organism is limited by rate of hydrolysis</w:t>
            </w:r>
          </w:p>
          <w:p w14:paraId="6973D419" w14:textId="6AD63FDC" w:rsidR="00552B5E" w:rsidRDefault="00185F2C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Severe damage to GI</w:t>
            </w:r>
            <w:r w:rsidR="00B5377D">
              <w:t>T</w:t>
            </w:r>
            <w:r>
              <w:t xml:space="preserve"> tissue in humans following oral ingestion</w:t>
            </w:r>
            <w:r w:rsidR="00C5555C">
              <w:t>; no further information</w:t>
            </w:r>
          </w:p>
          <w:p w14:paraId="76C32B5D" w14:textId="7380310F" w:rsidR="009A76EC" w:rsidRDefault="000C1976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exposure of rats, mice, rabbits, guinea pigs at lethal concentrations caused acute irritation of respiratory tract, dystrophic changes in CNS, liver and kidney</w:t>
            </w:r>
          </w:p>
          <w:p w14:paraId="1B0FB231" w14:textId="599D76FE" w:rsidR="000C1976" w:rsidRDefault="000C1976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Single 4</w:t>
            </w:r>
            <w:r w:rsidR="00B5377D">
              <w:t xml:space="preserve"> </w:t>
            </w:r>
            <w:r>
              <w:t xml:space="preserve">h exposure </w:t>
            </w:r>
            <w:r w:rsidR="00B5377D">
              <w:t>in</w:t>
            </w:r>
            <w:r>
              <w:t xml:space="preserve"> rodents caused decreased oxygen consumption at 6 mg/m</w:t>
            </w:r>
            <w:r w:rsidRPr="000C1976">
              <w:rPr>
                <w:vertAlign w:val="superscript"/>
              </w:rPr>
              <w:t>3</w:t>
            </w:r>
            <w:r>
              <w:t>, and decrease in breathing rate at 1 mg/m</w:t>
            </w:r>
            <w:r w:rsidRPr="000C1976">
              <w:rPr>
                <w:vertAlign w:val="superscript"/>
              </w:rPr>
              <w:t>3</w:t>
            </w:r>
          </w:p>
          <w:p w14:paraId="335FA417" w14:textId="7630EBD3" w:rsidR="00B8125D" w:rsidRDefault="00B8125D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Workers exposed at 10</w:t>
            </w:r>
            <w:r w:rsidR="00B13B3D">
              <w:t>–</w:t>
            </w:r>
            <w:r>
              <w:t>20 mg/m</w:t>
            </w:r>
            <w:r w:rsidRPr="00197569">
              <w:rPr>
                <w:vertAlign w:val="superscript"/>
              </w:rPr>
              <w:t>3</w:t>
            </w:r>
            <w:r>
              <w:t xml:space="preserve"> in production plant caused </w:t>
            </w:r>
            <w:r w:rsidR="00197569">
              <w:t>symptoms</w:t>
            </w:r>
            <w:r>
              <w:t xml:space="preserve"> 1</w:t>
            </w:r>
            <w:r w:rsidR="00B13B3D">
              <w:t>–</w:t>
            </w:r>
            <w:r w:rsidR="00197569">
              <w:t>7</w:t>
            </w:r>
            <w:r>
              <w:t xml:space="preserve"> </w:t>
            </w:r>
            <w:proofErr w:type="spellStart"/>
            <w:r w:rsidR="00197569">
              <w:t>wk</w:t>
            </w:r>
            <w:proofErr w:type="spellEnd"/>
            <w:r>
              <w:t xml:space="preserve"> following inhalation</w:t>
            </w:r>
            <w:r w:rsidR="00197569">
              <w:t>, including ocular and respiratory irritation, cough, acute dyspnoea and asthmatic bronchitis; symptoms after peak exposures at 70 mg/m</w:t>
            </w:r>
            <w:r w:rsidR="00197569">
              <w:rPr>
                <w:vertAlign w:val="superscript"/>
              </w:rPr>
              <w:t>3</w:t>
            </w:r>
            <w:r w:rsidR="00197569">
              <w:t xml:space="preserve"> manifest after 1</w:t>
            </w:r>
            <w:r w:rsidR="00B13B3D">
              <w:t>–</w:t>
            </w:r>
            <w:r w:rsidR="00197569">
              <w:t>3 h</w:t>
            </w:r>
          </w:p>
          <w:p w14:paraId="28D5B6F0" w14:textId="2C75D767" w:rsidR="00197569" w:rsidRDefault="00684333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</w:t>
            </w:r>
            <w:r w:rsidR="00197569">
              <w:t xml:space="preserve"> 0.48 mg/m</w:t>
            </w:r>
            <w:r w:rsidR="00197569" w:rsidRPr="00197569">
              <w:rPr>
                <w:vertAlign w:val="superscript"/>
              </w:rPr>
              <w:t>3</w:t>
            </w:r>
            <w:r w:rsidR="00197569">
              <w:t xml:space="preserve"> </w:t>
            </w:r>
            <w:r>
              <w:t>(0.08 ppm)</w:t>
            </w:r>
            <w:r w:rsidR="00B55D92">
              <w:t xml:space="preserve"> </w:t>
            </w:r>
            <w:r w:rsidR="00197569">
              <w:t>(rats and guinea pigs, 4</w:t>
            </w:r>
            <w:r w:rsidR="00B5377D">
              <w:t xml:space="preserve"> </w:t>
            </w:r>
            <w:r w:rsidR="00197569">
              <w:t>h/d, 5 d/</w:t>
            </w:r>
            <w:proofErr w:type="spellStart"/>
            <w:r w:rsidR="00197569">
              <w:t>wk</w:t>
            </w:r>
            <w:proofErr w:type="spellEnd"/>
            <w:r w:rsidR="00197569">
              <w:t xml:space="preserve">, 4 </w:t>
            </w:r>
            <w:proofErr w:type="spellStart"/>
            <w:r w:rsidR="00197569">
              <w:t>mo</w:t>
            </w:r>
            <w:proofErr w:type="spellEnd"/>
            <w:r w:rsidR="00197569">
              <w:t xml:space="preserve"> duration)</w:t>
            </w:r>
            <w:r w:rsidR="00E75725">
              <w:t xml:space="preserve">; </w:t>
            </w:r>
            <w:r w:rsidR="00B55D92">
              <w:t xml:space="preserve">lowest dose tested; </w:t>
            </w:r>
            <w:r w:rsidR="00E75725">
              <w:t xml:space="preserve">weight loss, respiratory irritation and increased kidney weights; </w:t>
            </w:r>
            <w:r>
              <w:t>effects mild and reversible, therefore considered by OECD as LOAEC</w:t>
            </w:r>
            <w:r w:rsidR="00B13B3D">
              <w:t>:</w:t>
            </w:r>
          </w:p>
          <w:p w14:paraId="0F93C47C" w14:textId="4DD40426" w:rsidR="00EC31FD" w:rsidRDefault="00EC31FD" w:rsidP="00B5377D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Exposure at 1.34 mg/m</w:t>
            </w:r>
            <w:r w:rsidRPr="00197569">
              <w:rPr>
                <w:vertAlign w:val="superscript"/>
              </w:rPr>
              <w:t>3</w:t>
            </w:r>
            <w:r>
              <w:t xml:space="preserve"> (0.2 ppm) (only other dose </w:t>
            </w:r>
            <w:r w:rsidR="00EE3B9D">
              <w:t>tested</w:t>
            </w:r>
            <w:r>
              <w:t>) caused severe irritation of respiratory tract, chronic rhinitis, tracheitis and hyperplasia of mucous glands</w:t>
            </w:r>
          </w:p>
          <w:p w14:paraId="36B178DE" w14:textId="5FFCB299" w:rsidR="00E75725" w:rsidRDefault="00C5555C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Accidental dermal exposure </w:t>
            </w:r>
            <w:r w:rsidR="00313E74">
              <w:t xml:space="preserve">in humans </w:t>
            </w:r>
            <w:r>
              <w:t xml:space="preserve">caused redness, inflammation and corrosion </w:t>
            </w:r>
          </w:p>
          <w:p w14:paraId="688FA318" w14:textId="2F8DAD81" w:rsidR="00B5377D" w:rsidRDefault="00C5555C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Chromosomal aberrations in bone marrow of rats following 4 </w:t>
            </w:r>
            <w:proofErr w:type="spellStart"/>
            <w:r>
              <w:t>mo</w:t>
            </w:r>
            <w:proofErr w:type="spellEnd"/>
            <w:r>
              <w:t xml:space="preserve"> inhalation exposure at 1.34 mg/m</w:t>
            </w:r>
            <w:r w:rsidRPr="00C5555C">
              <w:rPr>
                <w:vertAlign w:val="superscript"/>
              </w:rPr>
              <w:t>3</w:t>
            </w:r>
            <w:r w:rsidR="00313E74">
              <w:t>; due to lack of experimental information, data cannot be adequately assessed</w:t>
            </w:r>
            <w:r w:rsidR="00144D3E">
              <w:t>:</w:t>
            </w:r>
          </w:p>
          <w:p w14:paraId="5A00713A" w14:textId="50342B82" w:rsidR="00C5555C" w:rsidRDefault="00B5377D" w:rsidP="00B5377D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a</w:t>
            </w:r>
            <w:r w:rsidR="00321598">
              <w:t>uthors concluded transfer of compound to bone marrow unlikely</w:t>
            </w:r>
          </w:p>
          <w:p w14:paraId="433D2F96" w14:textId="77777777" w:rsidR="00313E74" w:rsidRDefault="00313E74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Negative results in </w:t>
            </w:r>
            <w:proofErr w:type="gramStart"/>
            <w:r>
              <w:t>Ames</w:t>
            </w:r>
            <w:proofErr w:type="gramEnd"/>
            <w:r>
              <w:t xml:space="preserve"> test</w:t>
            </w:r>
          </w:p>
          <w:p w14:paraId="5B180BC0" w14:textId="74DEB0FE" w:rsidR="00313E74" w:rsidRDefault="00313E74" w:rsidP="00B5377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carcinogenicity data from animals or humans</w:t>
            </w:r>
            <w:r w:rsidR="00911F00">
              <w:t>.</w:t>
            </w:r>
          </w:p>
          <w:p w14:paraId="20B772A9" w14:textId="77777777" w:rsidR="00B13B3D" w:rsidRDefault="00B13B3D" w:rsidP="00684333">
            <w:pPr>
              <w:pStyle w:val="Tabletextprimarysource"/>
            </w:pPr>
          </w:p>
          <w:p w14:paraId="69E28023" w14:textId="25B8677A" w:rsidR="00684333" w:rsidRDefault="00684333" w:rsidP="00684333">
            <w:pPr>
              <w:pStyle w:val="Tabletextprimarysource"/>
            </w:pPr>
            <w:r>
              <w:t>OEL based on LOAEC of 0.48 mg/m</w:t>
            </w:r>
            <w:r w:rsidRPr="00197569">
              <w:rPr>
                <w:vertAlign w:val="superscript"/>
              </w:rPr>
              <w:t>3</w:t>
            </w:r>
            <w:r>
              <w:t xml:space="preserve"> (0.08 ppm), AF of 3 for LOAEC to NOAEC, 3 for sub</w:t>
            </w:r>
            <w:r w:rsidR="00B22B8F">
              <w:t>-</w:t>
            </w:r>
            <w:r>
              <w:t>chronic to chronic, rounded to 0.01 ppm. STEL recommended due to local irritancy.</w:t>
            </w:r>
          </w:p>
          <w:p w14:paraId="67BC672F" w14:textId="34E254F8" w:rsidR="00B13B3D" w:rsidRPr="00DA352E" w:rsidRDefault="00B13B3D" w:rsidP="00684333">
            <w:pPr>
              <w:pStyle w:val="Tabletextprimarysource"/>
            </w:pPr>
          </w:p>
        </w:tc>
      </w:tr>
      <w:tr w:rsidR="00DA352E" w:rsidRPr="00DA352E" w14:paraId="403724BF" w14:textId="77777777" w:rsidTr="001560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F10526E" w14:textId="404C2A3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F60F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F60F6">
                  <w:t>NA</w:t>
                </w:r>
                <w:proofErr w:type="spellEnd"/>
              </w:sdtContent>
            </w:sdt>
          </w:p>
        </w:tc>
      </w:tr>
      <w:tr w:rsidR="00DA352E" w:rsidRPr="00DA352E" w14:paraId="1CB12A9E" w14:textId="77777777" w:rsidTr="00156060">
        <w:trPr>
          <w:gridAfter w:val="1"/>
          <w:wAfter w:w="8" w:type="pct"/>
        </w:trPr>
        <w:tc>
          <w:tcPr>
            <w:tcW w:w="4992" w:type="pct"/>
          </w:tcPr>
          <w:p w14:paraId="1E89849D" w14:textId="01400F7A" w:rsidR="00DA352E" w:rsidRPr="00DA352E" w:rsidRDefault="00DF60F6" w:rsidP="003365A5">
            <w:pPr>
              <w:pStyle w:val="Tabletextprimarysource"/>
            </w:pPr>
            <w:r>
              <w:t>No report</w:t>
            </w:r>
            <w:r w:rsidR="00156060">
              <w:t>.</w:t>
            </w:r>
          </w:p>
        </w:tc>
      </w:tr>
      <w:tr w:rsidR="00DA352E" w:rsidRPr="00DA352E" w14:paraId="08B8466B" w14:textId="77777777" w:rsidTr="0015606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3BCAFFC" w14:textId="31ECA6A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F60F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F60F6">
                  <w:t>NA</w:t>
                </w:r>
                <w:proofErr w:type="spellEnd"/>
              </w:sdtContent>
            </w:sdt>
          </w:p>
        </w:tc>
      </w:tr>
      <w:tr w:rsidR="00DA352E" w:rsidRPr="00DA352E" w14:paraId="57E63D75" w14:textId="77777777" w:rsidTr="00156060">
        <w:trPr>
          <w:gridAfter w:val="1"/>
          <w:wAfter w:w="8" w:type="pct"/>
        </w:trPr>
        <w:tc>
          <w:tcPr>
            <w:tcW w:w="4992" w:type="pct"/>
          </w:tcPr>
          <w:p w14:paraId="2072319E" w14:textId="0E74D66E" w:rsidR="00DA352E" w:rsidRPr="00DA352E" w:rsidRDefault="00DF60F6" w:rsidP="003365A5">
            <w:pPr>
              <w:pStyle w:val="Tabletextprimarysource"/>
            </w:pPr>
            <w:r>
              <w:t>No report</w:t>
            </w:r>
            <w:r w:rsidR="00156060">
              <w:t>.</w:t>
            </w:r>
          </w:p>
        </w:tc>
      </w:tr>
    </w:tbl>
    <w:p w14:paraId="36D0A12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1CCFA340" w14:textId="77777777" w:rsidTr="00D56F64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7CC2FB0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F244B2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E63DF5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287B49E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2C6D629" w14:textId="77777777" w:rsidTr="00D56F64">
        <w:trPr>
          <w:cantSplit/>
        </w:trPr>
        <w:tc>
          <w:tcPr>
            <w:tcW w:w="1496" w:type="dxa"/>
          </w:tcPr>
          <w:p w14:paraId="04A3F544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104F72A" w14:textId="3099E3C1" w:rsidR="004966BF" w:rsidRPr="00CE617F" w:rsidRDefault="00F26D9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56F6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68AC858" w14:textId="45D41D0F" w:rsidR="004966BF" w:rsidRPr="004C23F4" w:rsidRDefault="00D56F6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2534B9C1" w14:textId="631CCF60" w:rsidR="004966BF" w:rsidRPr="004C23F4" w:rsidRDefault="00BC584B" w:rsidP="00B5377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8D742C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551BC4E" w14:textId="77777777" w:rsidTr="00D56F64">
        <w:trPr>
          <w:cantSplit/>
        </w:trPr>
        <w:tc>
          <w:tcPr>
            <w:tcW w:w="1496" w:type="dxa"/>
          </w:tcPr>
          <w:p w14:paraId="431A115B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5A18AF84" w14:textId="3A94DCBC" w:rsidR="004966BF" w:rsidRPr="00CE617F" w:rsidRDefault="00F26D9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37EE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0124488" w14:textId="66E73CAB" w:rsidR="004966BF" w:rsidRPr="004C23F4" w:rsidRDefault="00337EE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6CC28585" w14:textId="77777777" w:rsidR="004966BF" w:rsidRDefault="00995A90" w:rsidP="00B5377D">
            <w:pPr>
              <w:pStyle w:val="ListBullet"/>
              <w:spacing w:before="60" w:after="60"/>
              <w:ind w:left="714" w:right="35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995A90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1,000 mg/kg (rabbits, dermal)</w:t>
            </w:r>
          </w:p>
          <w:p w14:paraId="57DBC642" w14:textId="39299CF3" w:rsidR="008D742C" w:rsidRPr="004C23F4" w:rsidRDefault="008D742C" w:rsidP="00B5377D">
            <w:pPr>
              <w:pStyle w:val="ListBullet"/>
              <w:spacing w:before="60" w:after="60"/>
              <w:ind w:left="714" w:righ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information.</w:t>
            </w:r>
          </w:p>
        </w:tc>
      </w:tr>
      <w:tr w:rsidR="004966BF" w:rsidRPr="004C23F4" w14:paraId="2B73DDCF" w14:textId="77777777" w:rsidTr="00D56F64">
        <w:trPr>
          <w:cantSplit/>
        </w:trPr>
        <w:tc>
          <w:tcPr>
            <w:tcW w:w="1496" w:type="dxa"/>
          </w:tcPr>
          <w:p w14:paraId="4BB1B3C8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7B4AE960" w14:textId="79D14800" w:rsidR="004966BF" w:rsidRPr="00CE617F" w:rsidRDefault="00F26D9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56F6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3E81365" w14:textId="4213852F" w:rsidR="004966BF" w:rsidRPr="004C23F4" w:rsidRDefault="00D56F6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2004</w:t>
            </w:r>
          </w:p>
        </w:tc>
        <w:tc>
          <w:tcPr>
            <w:tcW w:w="6446" w:type="dxa"/>
          </w:tcPr>
          <w:p w14:paraId="67F1F58C" w14:textId="77777777" w:rsidR="00995A90" w:rsidRDefault="00995A90" w:rsidP="00B5377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Toxicant acting at portal of entry; systemic tox</w:t>
            </w:r>
            <w:r w:rsidR="00B55D92">
              <w:rPr>
                <w:rStyle w:val="checkbox"/>
                <w:rFonts w:ascii="Arial" w:hAnsi="Arial" w:cs="Arial"/>
              </w:rPr>
              <w:t>icity not expected by any route</w:t>
            </w:r>
          </w:p>
          <w:p w14:paraId="793CC58E" w14:textId="1C50560D" w:rsidR="00B55D92" w:rsidRPr="004C23F4" w:rsidRDefault="00EE3B9D" w:rsidP="00B5377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Evaluation of </w:t>
            </w:r>
            <w:r w:rsidR="00B55D92">
              <w:rPr>
                <w:rStyle w:val="checkbox"/>
                <w:rFonts w:ascii="Arial" w:hAnsi="Arial" w:cs="Arial"/>
              </w:rPr>
              <w:t xml:space="preserve">LOAEC </w:t>
            </w:r>
            <w:r>
              <w:rPr>
                <w:rStyle w:val="checkbox"/>
                <w:rFonts w:ascii="Arial" w:hAnsi="Arial" w:cs="Arial"/>
              </w:rPr>
              <w:t xml:space="preserve">(as </w:t>
            </w:r>
            <w:r w:rsidR="00B55D92">
              <w:rPr>
                <w:rStyle w:val="checkbox"/>
                <w:rFonts w:ascii="Arial" w:hAnsi="Arial" w:cs="Arial"/>
              </w:rPr>
              <w:t xml:space="preserve">cited by </w:t>
            </w:r>
            <w:r>
              <w:rPr>
                <w:rStyle w:val="checkbox"/>
                <w:rFonts w:ascii="Arial" w:hAnsi="Arial" w:cs="Arial"/>
              </w:rPr>
              <w:t xml:space="preserve">SCOEL, </w:t>
            </w:r>
            <w:r w:rsidR="00B55D92">
              <w:rPr>
                <w:rStyle w:val="checkbox"/>
                <w:rFonts w:ascii="Arial" w:hAnsi="Arial" w:cs="Arial"/>
              </w:rPr>
              <w:t xml:space="preserve">2015) </w:t>
            </w:r>
            <w:r>
              <w:rPr>
                <w:rStyle w:val="checkbox"/>
                <w:rFonts w:ascii="Arial" w:hAnsi="Arial" w:cs="Arial"/>
              </w:rPr>
              <w:t>study limited; methodology and results lacking detail.</w:t>
            </w:r>
          </w:p>
        </w:tc>
      </w:tr>
      <w:tr w:rsidR="004966BF" w:rsidRPr="004C23F4" w14:paraId="4E21317B" w14:textId="77777777" w:rsidTr="00D56F64">
        <w:trPr>
          <w:cantSplit/>
        </w:trPr>
        <w:tc>
          <w:tcPr>
            <w:tcW w:w="1496" w:type="dxa"/>
          </w:tcPr>
          <w:p w14:paraId="1711268B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08005BE5" w14:textId="1DE851D5" w:rsidR="004966BF" w:rsidRDefault="00F26D9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528D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0D218EA" w14:textId="0DD3A3E3" w:rsidR="004966BF" w:rsidRPr="004C23F4" w:rsidRDefault="006528D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2007</w:t>
            </w:r>
          </w:p>
        </w:tc>
        <w:tc>
          <w:tcPr>
            <w:tcW w:w="6446" w:type="dxa"/>
          </w:tcPr>
          <w:p w14:paraId="67128FBD" w14:textId="192C3936" w:rsidR="004966BF" w:rsidRPr="004C23F4" w:rsidRDefault="00321598" w:rsidP="00B5377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REL: TWA 0.1 ppm (0.6 mg/m</w:t>
            </w:r>
            <w:r w:rsidRPr="0032159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); ST 0.5 ppm (3 mg/m</w:t>
            </w:r>
            <w:r w:rsidRPr="00321598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8D742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6A742422" w14:textId="77777777" w:rsidR="007E2A4B" w:rsidRDefault="007E2A4B"/>
    <w:bookmarkEnd w:id="0"/>
    <w:p w14:paraId="049B0E23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6"/>
        <w:gridCol w:w="2417"/>
      </w:tblGrid>
      <w:tr w:rsidR="002E0D61" w14:paraId="4E06D80D" w14:textId="77777777" w:rsidTr="00321598">
        <w:trPr>
          <w:trHeight w:val="454"/>
          <w:tblHeader/>
        </w:trPr>
        <w:tc>
          <w:tcPr>
            <w:tcW w:w="6603" w:type="dxa"/>
            <w:vAlign w:val="center"/>
          </w:tcPr>
          <w:p w14:paraId="4B7A09C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gridSpan w:val="2"/>
                <w:vAlign w:val="center"/>
              </w:tcPr>
              <w:p w14:paraId="23D56EC2" w14:textId="014B0C0D" w:rsidR="002E0D61" w:rsidRDefault="00F04F3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F04F38" w14:paraId="2F1CDE98" w14:textId="77777777" w:rsidTr="00AC1583">
        <w:trPr>
          <w:trHeight w:val="454"/>
        </w:trPr>
        <w:tc>
          <w:tcPr>
            <w:tcW w:w="6609" w:type="dxa"/>
            <w:gridSpan w:val="2"/>
            <w:vAlign w:val="center"/>
          </w:tcPr>
          <w:p w14:paraId="71EDBA47" w14:textId="77777777" w:rsidR="00F04F38" w:rsidRDefault="00F04F38" w:rsidP="00AC1583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3BEB1AFC2146471581454714FDEA078F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81029B5" w14:textId="68DF06D6" w:rsidR="00F04F38" w:rsidRDefault="00F04F38" w:rsidP="00AC1583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5377D" w14:paraId="245B1CFF" w14:textId="77777777" w:rsidTr="00DD321F">
        <w:trPr>
          <w:trHeight w:val="454"/>
        </w:trPr>
        <w:sdt>
          <w:sdtPr>
            <w:rPr>
              <w:b/>
            </w:rPr>
            <w:id w:val="1830936485"/>
            <w:placeholder>
              <w:docPart w:val="92ABA86691D24951B88F3127AEDA0A6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3"/>
                <w:vAlign w:val="center"/>
              </w:tcPr>
              <w:p w14:paraId="4D4327CF" w14:textId="02336F1A" w:rsidR="00B5377D" w:rsidRDefault="00B5377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A30DD7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BA704D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FAE021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192111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F006347" w14:textId="77777777" w:rsidTr="00812887">
        <w:trPr>
          <w:cantSplit/>
        </w:trPr>
        <w:tc>
          <w:tcPr>
            <w:tcW w:w="3227" w:type="dxa"/>
          </w:tcPr>
          <w:p w14:paraId="517253C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A04A37B" w14:textId="7B0963C2" w:rsidR="00687890" w:rsidRPr="00DD2F9B" w:rsidRDefault="00DF60F6" w:rsidP="00DD2F9B">
            <w:pPr>
              <w:pStyle w:val="Tablefont"/>
            </w:pPr>
            <w:r w:rsidRPr="00DF60F6">
              <w:t>—</w:t>
            </w:r>
          </w:p>
        </w:tc>
      </w:tr>
      <w:tr w:rsidR="007925F0" w:rsidRPr="004C23F4" w14:paraId="0CE04CC7" w14:textId="77777777" w:rsidTr="00812887">
        <w:trPr>
          <w:cantSplit/>
        </w:trPr>
        <w:tc>
          <w:tcPr>
            <w:tcW w:w="3227" w:type="dxa"/>
          </w:tcPr>
          <w:p w14:paraId="1CED5A1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8A6AA4E" w14:textId="1608C50D" w:rsidR="007925F0" w:rsidRPr="00DD2F9B" w:rsidRDefault="007D0F7D" w:rsidP="00DD2F9B">
            <w:pPr>
              <w:pStyle w:val="Tablefont"/>
            </w:pPr>
            <w:r w:rsidRPr="00DF60F6">
              <w:t>—</w:t>
            </w:r>
          </w:p>
        </w:tc>
      </w:tr>
      <w:tr w:rsidR="00AF483F" w:rsidRPr="004C23F4" w14:paraId="518B621A" w14:textId="77777777" w:rsidTr="00812887">
        <w:trPr>
          <w:cantSplit/>
        </w:trPr>
        <w:tc>
          <w:tcPr>
            <w:tcW w:w="3227" w:type="dxa"/>
          </w:tcPr>
          <w:p w14:paraId="13EE2AF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2F3E455" w14:textId="4AE02BB3" w:rsidR="00AF483F" w:rsidRPr="00DD2F9B" w:rsidRDefault="007D0F7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3A60A06" w14:textId="77777777" w:rsidTr="00812887">
        <w:trPr>
          <w:cantSplit/>
        </w:trPr>
        <w:tc>
          <w:tcPr>
            <w:tcW w:w="3227" w:type="dxa"/>
          </w:tcPr>
          <w:p w14:paraId="6B3F556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7BB9DEA" w14:textId="523F1402" w:rsidR="00687890" w:rsidRPr="00DD2F9B" w:rsidRDefault="007D0F7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54D8C9F" w14:textId="77777777" w:rsidTr="00812887">
        <w:trPr>
          <w:cantSplit/>
        </w:trPr>
        <w:tc>
          <w:tcPr>
            <w:tcW w:w="3227" w:type="dxa"/>
          </w:tcPr>
          <w:p w14:paraId="43DB774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57C86D5" w14:textId="26ADD0A7" w:rsidR="00E41A26" w:rsidRPr="00DD2F9B" w:rsidRDefault="007D0F7D" w:rsidP="00DD2F9B">
            <w:pPr>
              <w:pStyle w:val="Tablefont"/>
            </w:pPr>
            <w:r w:rsidRPr="00DF60F6">
              <w:t>—</w:t>
            </w:r>
          </w:p>
        </w:tc>
      </w:tr>
      <w:tr w:rsidR="002E0D61" w:rsidRPr="004C23F4" w14:paraId="07EA706F" w14:textId="77777777" w:rsidTr="00812887">
        <w:trPr>
          <w:cantSplit/>
        </w:trPr>
        <w:tc>
          <w:tcPr>
            <w:tcW w:w="3227" w:type="dxa"/>
          </w:tcPr>
          <w:p w14:paraId="2B18712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3BA94C7" w14:textId="08FEA657" w:rsidR="002E0D61" w:rsidRPr="00DD2F9B" w:rsidRDefault="007D0F7D" w:rsidP="00DD2F9B">
            <w:pPr>
              <w:pStyle w:val="Tablefont"/>
            </w:pPr>
            <w:r w:rsidRPr="00DF60F6">
              <w:t>—</w:t>
            </w:r>
          </w:p>
        </w:tc>
      </w:tr>
      <w:tr w:rsidR="002E0D61" w:rsidRPr="004C23F4" w14:paraId="36933D13" w14:textId="77777777" w:rsidTr="00812887">
        <w:trPr>
          <w:cantSplit/>
        </w:trPr>
        <w:tc>
          <w:tcPr>
            <w:tcW w:w="3227" w:type="dxa"/>
          </w:tcPr>
          <w:p w14:paraId="47E8198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E275922" w14:textId="4468FCEA" w:rsidR="002E0D61" w:rsidRPr="00DD2F9B" w:rsidRDefault="007D0F7D" w:rsidP="00DD2F9B">
            <w:pPr>
              <w:pStyle w:val="Tablefont"/>
            </w:pPr>
            <w:r w:rsidRPr="00DF60F6">
              <w:t>—</w:t>
            </w:r>
          </w:p>
        </w:tc>
      </w:tr>
      <w:tr w:rsidR="002E0D61" w:rsidRPr="004C23F4" w14:paraId="32D09C2F" w14:textId="77777777" w:rsidTr="00812887">
        <w:trPr>
          <w:cantSplit/>
        </w:trPr>
        <w:tc>
          <w:tcPr>
            <w:tcW w:w="3227" w:type="dxa"/>
          </w:tcPr>
          <w:p w14:paraId="499AE5E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673C81B" w14:textId="53BF06C6" w:rsidR="002E0D61" w:rsidRPr="00DD2F9B" w:rsidRDefault="007D0F7D" w:rsidP="00DD2F9B">
            <w:pPr>
              <w:pStyle w:val="Tablefont"/>
            </w:pPr>
            <w:r w:rsidRPr="00DF60F6">
              <w:t>—</w:t>
            </w:r>
          </w:p>
        </w:tc>
      </w:tr>
      <w:tr w:rsidR="002E0D61" w:rsidRPr="004C23F4" w14:paraId="4A90772E" w14:textId="77777777" w:rsidTr="00812887">
        <w:trPr>
          <w:cantSplit/>
        </w:trPr>
        <w:tc>
          <w:tcPr>
            <w:tcW w:w="3227" w:type="dxa"/>
          </w:tcPr>
          <w:p w14:paraId="080491E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25D9100" w14:textId="396F5725" w:rsidR="002E0D61" w:rsidRPr="00DD2F9B" w:rsidRDefault="007D0F7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A3F5B6C" w14:textId="77777777" w:rsidTr="00812887">
        <w:trPr>
          <w:cantSplit/>
        </w:trPr>
        <w:tc>
          <w:tcPr>
            <w:tcW w:w="3227" w:type="dxa"/>
          </w:tcPr>
          <w:p w14:paraId="2338F2C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AC7B388" w14:textId="3F0C21E8" w:rsidR="00386093" w:rsidRPr="00DD2F9B" w:rsidRDefault="007D0F7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74102F6" w14:textId="77777777" w:rsidTr="00812887">
        <w:trPr>
          <w:cantSplit/>
        </w:trPr>
        <w:tc>
          <w:tcPr>
            <w:tcW w:w="3227" w:type="dxa"/>
          </w:tcPr>
          <w:p w14:paraId="2BA3111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9D40E9A" w14:textId="36D67108" w:rsidR="00386093" w:rsidRPr="00DD2F9B" w:rsidRDefault="007D0F7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41B69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A9C5DE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1A503B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BCAE44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DC8752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30"/>
              <w:gridCol w:w="1182"/>
              <w:gridCol w:w="1183"/>
              <w:gridCol w:w="2915"/>
            </w:tblGrid>
            <w:tr w:rsidR="007B1765" w:rsidRPr="007B1765" w14:paraId="74A32495" w14:textId="77777777" w:rsidTr="007B1765">
              <w:trPr>
                <w:trHeight w:val="342"/>
              </w:trPr>
              <w:tc>
                <w:tcPr>
                  <w:tcW w:w="1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6ABCD0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DA60E9" w14:textId="77777777" w:rsidR="007B1765" w:rsidRPr="007B1765" w:rsidRDefault="007B1765" w:rsidP="007B176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C4B352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1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20211D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1765" w:rsidRPr="007B1765" w14:paraId="0F8C4EC3" w14:textId="77777777" w:rsidTr="007B1765">
              <w:trPr>
                <w:trHeight w:val="342"/>
              </w:trPr>
              <w:tc>
                <w:tcPr>
                  <w:tcW w:w="1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BF5A2C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4F30F25" w14:textId="77777777" w:rsidR="007B1765" w:rsidRPr="007B1765" w:rsidRDefault="007B1765" w:rsidP="007B176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98CB05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21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B14AB8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1765" w:rsidRPr="007B1765" w14:paraId="7E6193EB" w14:textId="77777777" w:rsidTr="007B1765">
              <w:trPr>
                <w:trHeight w:val="342"/>
              </w:trPr>
              <w:tc>
                <w:tcPr>
                  <w:tcW w:w="1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B6411F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ECF12B" w14:textId="77777777" w:rsidR="007B1765" w:rsidRPr="007B1765" w:rsidRDefault="007B1765" w:rsidP="007B176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ECCD38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1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89CBF0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1765" w:rsidRPr="007B1765" w14:paraId="6C4CE336" w14:textId="77777777" w:rsidTr="007B1765">
              <w:trPr>
                <w:trHeight w:val="342"/>
              </w:trPr>
              <w:tc>
                <w:tcPr>
                  <w:tcW w:w="1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74A77E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4A4FD6" w14:textId="77777777" w:rsidR="007B1765" w:rsidRPr="007B1765" w:rsidRDefault="007B1765" w:rsidP="007B176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E58E06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121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8653E1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1765" w:rsidRPr="007B1765" w14:paraId="6F1E8BFC" w14:textId="77777777" w:rsidTr="007B1765">
              <w:trPr>
                <w:trHeight w:val="342"/>
              </w:trPr>
              <w:tc>
                <w:tcPr>
                  <w:tcW w:w="1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B56DDA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4418F1" w14:textId="77777777" w:rsidR="007B1765" w:rsidRPr="007B1765" w:rsidRDefault="007B1765" w:rsidP="007B176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7D99BC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1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7FA660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1765" w:rsidRPr="007B1765" w14:paraId="3F6BA278" w14:textId="77777777" w:rsidTr="007B1765">
              <w:trPr>
                <w:trHeight w:val="342"/>
              </w:trPr>
              <w:tc>
                <w:tcPr>
                  <w:tcW w:w="1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ED3DF5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6E99C7" w14:textId="77777777" w:rsidR="007B1765" w:rsidRPr="007B1765" w:rsidRDefault="007B1765" w:rsidP="007B176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0E1C7E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1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67FD42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1765" w:rsidRPr="007B1765" w14:paraId="2E69B7EC" w14:textId="77777777" w:rsidTr="007B1765">
              <w:trPr>
                <w:trHeight w:val="342"/>
              </w:trPr>
              <w:tc>
                <w:tcPr>
                  <w:tcW w:w="16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44B91A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7DD651" w14:textId="77777777" w:rsidR="007B1765" w:rsidRPr="007B1765" w:rsidRDefault="007B1765" w:rsidP="007B176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9399EC" w14:textId="77777777" w:rsidR="007B1765" w:rsidRPr="007B1765" w:rsidRDefault="007B1765" w:rsidP="007B176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0</w:t>
                  </w:r>
                </w:p>
              </w:tc>
              <w:tc>
                <w:tcPr>
                  <w:tcW w:w="121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84CAEE" w14:textId="77777777" w:rsidR="007B1765" w:rsidRPr="007B1765" w:rsidRDefault="007B1765" w:rsidP="007B176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176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128D321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E4415B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C08D03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502DE0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A0DBC97" w14:textId="43E29A9F" w:rsidR="00EB3D1B" w:rsidRDefault="007D0F7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9287BE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47AFBE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12680B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D25F6D4" w14:textId="7131B6A7" w:rsidR="001B79E5" w:rsidRDefault="007D0F7D" w:rsidP="001B79E5">
                <w:pPr>
                  <w:pStyle w:val="Tablefont"/>
                </w:pPr>
                <w:r w:rsidRPr="007D0F7D">
                  <w:t>153.33</w:t>
                </w:r>
              </w:p>
            </w:tc>
          </w:sdtContent>
        </w:sdt>
      </w:tr>
      <w:tr w:rsidR="00A31D99" w:rsidRPr="004C23F4" w14:paraId="23C0313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1DD0E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BE4633F" w14:textId="2B29AA4C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D0F7D">
                  <w:t>6.26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D0F7D">
                  <w:t>0.160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B00E7A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2DEAB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F9179F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6CD7193" w14:textId="77777777" w:rsidTr="00EA6243">
        <w:trPr>
          <w:cantSplit/>
        </w:trPr>
        <w:tc>
          <w:tcPr>
            <w:tcW w:w="4077" w:type="dxa"/>
            <w:vAlign w:val="center"/>
          </w:tcPr>
          <w:p w14:paraId="7CC2B85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27E6C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83D840E" w14:textId="77777777" w:rsidTr="00EA6243">
        <w:trPr>
          <w:cantSplit/>
        </w:trPr>
        <w:tc>
          <w:tcPr>
            <w:tcW w:w="4077" w:type="dxa"/>
            <w:vAlign w:val="center"/>
          </w:tcPr>
          <w:p w14:paraId="428B1C5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DCA62C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28D4A63" w14:textId="77777777" w:rsidTr="00EA6243">
        <w:trPr>
          <w:cantSplit/>
        </w:trPr>
        <w:tc>
          <w:tcPr>
            <w:tcW w:w="4077" w:type="dxa"/>
            <w:vAlign w:val="center"/>
          </w:tcPr>
          <w:p w14:paraId="3AFFD37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35F8566" w14:textId="77777777" w:rsidR="00E06F40" w:rsidRPr="00A006A0" w:rsidRDefault="00F26D9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16B718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1F13C0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1EE754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414EDB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64DC17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E99298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4D9E5B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003F05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227E19E" w14:textId="613593FD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F7B4C3E" w14:textId="4C5F2C2B" w:rsidR="007D0F7D" w:rsidRDefault="007D0F7D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(2016) </w:t>
      </w:r>
      <w:proofErr w:type="spellStart"/>
      <w:r w:rsidRPr="007D0F7D">
        <w:t>Phosphorylchlorid</w:t>
      </w:r>
      <w:proofErr w:type="spellEnd"/>
      <w:r>
        <w:t xml:space="preserve"> – MAK value documentation.</w:t>
      </w:r>
    </w:p>
    <w:p w14:paraId="3D538D31" w14:textId="3A857D52" w:rsidR="007D0F7D" w:rsidRDefault="007D0F7D" w:rsidP="00084859">
      <w:r>
        <w:t xml:space="preserve">European Chemicals Agency (ECHA) (2019) </w:t>
      </w:r>
      <w:r w:rsidRPr="007D0F7D">
        <w:t>Phosphorus oxychloride</w:t>
      </w:r>
      <w:r>
        <w:t xml:space="preserve"> – REACH assessment.</w:t>
      </w:r>
    </w:p>
    <w:p w14:paraId="4F20F8CC" w14:textId="368C8F85" w:rsidR="007D0F7D" w:rsidRDefault="007D0F7D" w:rsidP="00084859">
      <w:r w:rsidRPr="002022B6">
        <w:t>EU Scientific Committee on Occupational Exposure Limits (SCOEL)</w:t>
      </w:r>
      <w:r>
        <w:t xml:space="preserve"> (</w:t>
      </w:r>
      <w:r w:rsidR="00EF1EA8">
        <w:t>2015</w:t>
      </w:r>
      <w:r>
        <w:t xml:space="preserve">) Recommendation from the Scientific Committee on Occupational Exposure Limits for </w:t>
      </w:r>
      <w:r w:rsidR="00EF1EA8" w:rsidRPr="00EF1EA8">
        <w:t>phosphoryl trichloride</w:t>
      </w:r>
      <w:r>
        <w:t>. SCOEL/</w:t>
      </w:r>
      <w:r w:rsidR="00EF1EA8" w:rsidRPr="00EF1EA8">
        <w:t>REC/181</w:t>
      </w:r>
      <w:r>
        <w:t>.</w:t>
      </w:r>
    </w:p>
    <w:p w14:paraId="6A73E127" w14:textId="19BAF7CC" w:rsidR="007D0F7D" w:rsidRDefault="00BC584B" w:rsidP="00084859">
      <w:r w:rsidRPr="00DB0A36">
        <w:t>National Industrial Chemicals Notification and Assessment Scheme (NICNAS) (201</w:t>
      </w:r>
      <w:r>
        <w:t>9</w:t>
      </w:r>
      <w:r w:rsidRPr="00DB0A36">
        <w:t xml:space="preserve">) </w:t>
      </w:r>
      <w:r>
        <w:t>Phosphoryl chloride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34C11ABC" w14:textId="007A4949" w:rsidR="007B1765" w:rsidRDefault="007B1765" w:rsidP="00084859">
      <w:r w:rsidRPr="00E819F5">
        <w:t>Organisation for Economic Cooperation and Development (OECD) (</w:t>
      </w:r>
      <w:r>
        <w:t>2004</w:t>
      </w:r>
      <w:r w:rsidRPr="00E819F5">
        <w:t>) SIDS initial assessment profile</w:t>
      </w:r>
      <w:r>
        <w:t xml:space="preserve"> – Phosphoryl trichloride.</w:t>
      </w:r>
    </w:p>
    <w:p w14:paraId="32780D00" w14:textId="4910896D" w:rsidR="00321598" w:rsidRPr="00351FE0" w:rsidRDefault="00321598" w:rsidP="00084859">
      <w:r w:rsidRPr="00D86E03">
        <w:t>US National Institute for Occupational Safety and Health (NIOSH)</w:t>
      </w:r>
      <w:r>
        <w:t xml:space="preserve"> (2007) NIOSH Pocket Guide to Chemical Hazards – Phosphorus oxychloride.</w:t>
      </w:r>
    </w:p>
    <w:sectPr w:rsidR="00321598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FEF0B" w14:textId="77777777" w:rsidR="003C5962" w:rsidRDefault="003C5962" w:rsidP="00F43AD5">
      <w:pPr>
        <w:spacing w:after="0" w:line="240" w:lineRule="auto"/>
      </w:pPr>
      <w:r>
        <w:separator/>
      </w:r>
    </w:p>
  </w:endnote>
  <w:endnote w:type="continuationSeparator" w:id="0">
    <w:p w14:paraId="26BB192F" w14:textId="77777777" w:rsidR="003C5962" w:rsidRDefault="003C596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A9C39" w14:textId="77777777" w:rsidR="009E05E0" w:rsidRDefault="009E05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22211F" w14:textId="0C9FA9DE" w:rsidR="008A36CF" w:rsidRDefault="00C120DF" w:rsidP="0034744C">
        <w:pPr>
          <w:pStyle w:val="Footer"/>
          <w:rPr>
            <w:sz w:val="18"/>
            <w:szCs w:val="18"/>
          </w:rPr>
        </w:pPr>
        <w:r w:rsidRPr="00C120DF">
          <w:rPr>
            <w:b/>
            <w:sz w:val="18"/>
            <w:szCs w:val="18"/>
          </w:rPr>
          <w:t>Phosphorus oxychloride</w:t>
        </w:r>
        <w:r w:rsidR="008A36CF">
          <w:rPr>
            <w:b/>
            <w:sz w:val="18"/>
            <w:szCs w:val="18"/>
          </w:rPr>
          <w:t xml:space="preserve"> (</w:t>
        </w:r>
        <w:r w:rsidR="004348E1" w:rsidRPr="004348E1">
          <w:rPr>
            <w:b/>
            <w:sz w:val="18"/>
            <w:szCs w:val="18"/>
          </w:rPr>
          <w:t>10025-87-3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156060">
          <w:rPr>
            <w:sz w:val="18"/>
            <w:szCs w:val="18"/>
          </w:rPr>
          <w:t>20</w:t>
        </w:r>
      </w:p>
      <w:p w14:paraId="385D55E3" w14:textId="5C33D75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E05E0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CE7D8" w14:textId="77777777" w:rsidR="009E05E0" w:rsidRDefault="009E0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D24C0" w14:textId="77777777" w:rsidR="003C5962" w:rsidRDefault="003C5962" w:rsidP="00F43AD5">
      <w:pPr>
        <w:spacing w:after="0" w:line="240" w:lineRule="auto"/>
      </w:pPr>
      <w:r>
        <w:separator/>
      </w:r>
    </w:p>
  </w:footnote>
  <w:footnote w:type="continuationSeparator" w:id="0">
    <w:p w14:paraId="3B5267E2" w14:textId="77777777" w:rsidR="003C5962" w:rsidRDefault="003C596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AD58B" w14:textId="77777777" w:rsidR="009E05E0" w:rsidRDefault="009E0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26595" w14:textId="548AF6DF" w:rsidR="009E05E0" w:rsidRDefault="009E05E0" w:rsidP="009E05E0">
    <w:pPr>
      <w:pStyle w:val="Header"/>
      <w:jc w:val="right"/>
    </w:pPr>
    <w:r>
      <w:rPr>
        <w:noProof/>
        <w:lang w:eastAsia="en-AU"/>
      </w:rPr>
      <w:drawing>
        <wp:inline distT="0" distB="0" distL="0" distR="0" wp14:anchorId="50645875" wp14:editId="7DBD6C70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1FE03E" w14:textId="77777777" w:rsidR="009E05E0" w:rsidRDefault="009E05E0" w:rsidP="009E05E0">
    <w:pPr>
      <w:pStyle w:val="Header"/>
      <w:jc w:val="right"/>
    </w:pPr>
  </w:p>
  <w:p w14:paraId="38ADFAD1" w14:textId="0C621F4C" w:rsidR="008A36CF" w:rsidRPr="009E05E0" w:rsidRDefault="008A36CF" w:rsidP="009E05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3A0AC" w14:textId="77777777" w:rsidR="009E05E0" w:rsidRDefault="009E05E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9C43" w14:textId="2D76135B" w:rsidR="009E05E0" w:rsidRDefault="009E05E0" w:rsidP="009E05E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A7C4DD9" wp14:editId="2A1D0AE1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6C7416" w14:textId="77777777" w:rsidR="009E05E0" w:rsidRDefault="009E05E0" w:rsidP="009E05E0">
    <w:pPr>
      <w:pStyle w:val="Header"/>
      <w:jc w:val="right"/>
    </w:pPr>
  </w:p>
  <w:p w14:paraId="14CBF7EB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3880F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84AA0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B4275A7"/>
    <w:multiLevelType w:val="hybridMultilevel"/>
    <w:tmpl w:val="99A28C7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B7F5C18"/>
    <w:multiLevelType w:val="hybridMultilevel"/>
    <w:tmpl w:val="821E4FD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8841404">
    <w:abstractNumId w:val="1"/>
  </w:num>
  <w:num w:numId="2" w16cid:durableId="730732252">
    <w:abstractNumId w:val="0"/>
  </w:num>
  <w:num w:numId="3" w16cid:durableId="779955861">
    <w:abstractNumId w:val="3"/>
  </w:num>
  <w:num w:numId="4" w16cid:durableId="1385444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8F7"/>
    <w:rsid w:val="00007B80"/>
    <w:rsid w:val="00013A22"/>
    <w:rsid w:val="00014C3F"/>
    <w:rsid w:val="00017C82"/>
    <w:rsid w:val="00032B88"/>
    <w:rsid w:val="00043373"/>
    <w:rsid w:val="00046DF5"/>
    <w:rsid w:val="00052060"/>
    <w:rsid w:val="0005574A"/>
    <w:rsid w:val="00055FE1"/>
    <w:rsid w:val="00056EC2"/>
    <w:rsid w:val="00060B48"/>
    <w:rsid w:val="00067AC0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1976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152F6"/>
    <w:rsid w:val="001269A7"/>
    <w:rsid w:val="00131092"/>
    <w:rsid w:val="00140E6A"/>
    <w:rsid w:val="001443A3"/>
    <w:rsid w:val="00144D3E"/>
    <w:rsid w:val="00146545"/>
    <w:rsid w:val="00146B75"/>
    <w:rsid w:val="0015266D"/>
    <w:rsid w:val="0015288A"/>
    <w:rsid w:val="00156060"/>
    <w:rsid w:val="00160F47"/>
    <w:rsid w:val="00162F92"/>
    <w:rsid w:val="00177CA1"/>
    <w:rsid w:val="00183823"/>
    <w:rsid w:val="00183942"/>
    <w:rsid w:val="00185F2C"/>
    <w:rsid w:val="00197569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019D"/>
    <w:rsid w:val="00300DD3"/>
    <w:rsid w:val="0030740C"/>
    <w:rsid w:val="00313E74"/>
    <w:rsid w:val="00315833"/>
    <w:rsid w:val="003171A7"/>
    <w:rsid w:val="00321598"/>
    <w:rsid w:val="003215EE"/>
    <w:rsid w:val="003224BF"/>
    <w:rsid w:val="003241A8"/>
    <w:rsid w:val="003253F0"/>
    <w:rsid w:val="003337DA"/>
    <w:rsid w:val="0033398F"/>
    <w:rsid w:val="00334EFB"/>
    <w:rsid w:val="00335168"/>
    <w:rsid w:val="00335CDE"/>
    <w:rsid w:val="003365A5"/>
    <w:rsid w:val="00337EEC"/>
    <w:rsid w:val="00347192"/>
    <w:rsid w:val="0034744C"/>
    <w:rsid w:val="00351FE0"/>
    <w:rsid w:val="00352615"/>
    <w:rsid w:val="0035412B"/>
    <w:rsid w:val="003567A8"/>
    <w:rsid w:val="00357F2A"/>
    <w:rsid w:val="00362895"/>
    <w:rsid w:val="00370DBF"/>
    <w:rsid w:val="00380EB3"/>
    <w:rsid w:val="00384A87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5962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48E1"/>
    <w:rsid w:val="004414B5"/>
    <w:rsid w:val="00444482"/>
    <w:rsid w:val="00444B42"/>
    <w:rsid w:val="00445E44"/>
    <w:rsid w:val="0044698C"/>
    <w:rsid w:val="004509E2"/>
    <w:rsid w:val="004515EE"/>
    <w:rsid w:val="004529F0"/>
    <w:rsid w:val="00460A03"/>
    <w:rsid w:val="00470D31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C4B"/>
    <w:rsid w:val="004C1E3F"/>
    <w:rsid w:val="004C23F4"/>
    <w:rsid w:val="004C3475"/>
    <w:rsid w:val="004C58B6"/>
    <w:rsid w:val="004D16A3"/>
    <w:rsid w:val="004D18EE"/>
    <w:rsid w:val="004D4AA1"/>
    <w:rsid w:val="004D6D68"/>
    <w:rsid w:val="004E1032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2B5E"/>
    <w:rsid w:val="00581055"/>
    <w:rsid w:val="00586922"/>
    <w:rsid w:val="00591E38"/>
    <w:rsid w:val="005A19C5"/>
    <w:rsid w:val="005A3034"/>
    <w:rsid w:val="005A462D"/>
    <w:rsid w:val="005A6994"/>
    <w:rsid w:val="005B253B"/>
    <w:rsid w:val="005B771D"/>
    <w:rsid w:val="005C5D16"/>
    <w:rsid w:val="005D3193"/>
    <w:rsid w:val="005D4A6E"/>
    <w:rsid w:val="005E43CC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28DE"/>
    <w:rsid w:val="006532ED"/>
    <w:rsid w:val="006549F2"/>
    <w:rsid w:val="006567B7"/>
    <w:rsid w:val="00657BFB"/>
    <w:rsid w:val="0066333C"/>
    <w:rsid w:val="006639B4"/>
    <w:rsid w:val="006650FE"/>
    <w:rsid w:val="006709A4"/>
    <w:rsid w:val="0067305D"/>
    <w:rsid w:val="00677D9B"/>
    <w:rsid w:val="00684333"/>
    <w:rsid w:val="006867F3"/>
    <w:rsid w:val="00687890"/>
    <w:rsid w:val="006901A2"/>
    <w:rsid w:val="00690368"/>
    <w:rsid w:val="0069079C"/>
    <w:rsid w:val="00690B53"/>
    <w:rsid w:val="00695B72"/>
    <w:rsid w:val="006A7A7A"/>
    <w:rsid w:val="006B160A"/>
    <w:rsid w:val="006B4E6C"/>
    <w:rsid w:val="006B50B6"/>
    <w:rsid w:val="006D48A5"/>
    <w:rsid w:val="006D79EA"/>
    <w:rsid w:val="006E5D05"/>
    <w:rsid w:val="006F2C8E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6F92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765"/>
    <w:rsid w:val="007B1B42"/>
    <w:rsid w:val="007C30EB"/>
    <w:rsid w:val="007D0F7D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419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3D15"/>
    <w:rsid w:val="008B403C"/>
    <w:rsid w:val="008B7983"/>
    <w:rsid w:val="008C2511"/>
    <w:rsid w:val="008C6E27"/>
    <w:rsid w:val="008D026D"/>
    <w:rsid w:val="008D23AB"/>
    <w:rsid w:val="008D3F76"/>
    <w:rsid w:val="008D4B8B"/>
    <w:rsid w:val="008D5A78"/>
    <w:rsid w:val="008D742C"/>
    <w:rsid w:val="008E7B64"/>
    <w:rsid w:val="008F5DCD"/>
    <w:rsid w:val="00900951"/>
    <w:rsid w:val="009118A6"/>
    <w:rsid w:val="00911F00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361"/>
    <w:rsid w:val="009578DD"/>
    <w:rsid w:val="00961124"/>
    <w:rsid w:val="009621B6"/>
    <w:rsid w:val="00974F2D"/>
    <w:rsid w:val="00977524"/>
    <w:rsid w:val="00977E88"/>
    <w:rsid w:val="00984920"/>
    <w:rsid w:val="009924EF"/>
    <w:rsid w:val="0099303A"/>
    <w:rsid w:val="00995A90"/>
    <w:rsid w:val="009971C2"/>
    <w:rsid w:val="009A1254"/>
    <w:rsid w:val="009A76EC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5E0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A77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05B2"/>
    <w:rsid w:val="00AB2672"/>
    <w:rsid w:val="00AB2817"/>
    <w:rsid w:val="00AB43C4"/>
    <w:rsid w:val="00AC32E7"/>
    <w:rsid w:val="00AC34AD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0D6C"/>
    <w:rsid w:val="00B13B3D"/>
    <w:rsid w:val="00B1422A"/>
    <w:rsid w:val="00B1765C"/>
    <w:rsid w:val="00B213C4"/>
    <w:rsid w:val="00B22B8F"/>
    <w:rsid w:val="00B40C60"/>
    <w:rsid w:val="00B44A1E"/>
    <w:rsid w:val="00B479A9"/>
    <w:rsid w:val="00B52EDF"/>
    <w:rsid w:val="00B5377D"/>
    <w:rsid w:val="00B55D92"/>
    <w:rsid w:val="00B71188"/>
    <w:rsid w:val="00B76A41"/>
    <w:rsid w:val="00B8125D"/>
    <w:rsid w:val="00B87D4C"/>
    <w:rsid w:val="00B93646"/>
    <w:rsid w:val="00BA0B38"/>
    <w:rsid w:val="00BA18A6"/>
    <w:rsid w:val="00BA1DBB"/>
    <w:rsid w:val="00BA4510"/>
    <w:rsid w:val="00BA529A"/>
    <w:rsid w:val="00BB612A"/>
    <w:rsid w:val="00BC584B"/>
    <w:rsid w:val="00BD499F"/>
    <w:rsid w:val="00BD56DE"/>
    <w:rsid w:val="00BE2337"/>
    <w:rsid w:val="00BF2406"/>
    <w:rsid w:val="00C06E43"/>
    <w:rsid w:val="00C120DF"/>
    <w:rsid w:val="00C16315"/>
    <w:rsid w:val="00C26563"/>
    <w:rsid w:val="00C3091E"/>
    <w:rsid w:val="00C40FF1"/>
    <w:rsid w:val="00C419E2"/>
    <w:rsid w:val="00C5020E"/>
    <w:rsid w:val="00C54F8B"/>
    <w:rsid w:val="00C5555C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324F"/>
    <w:rsid w:val="00CC604A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6F64"/>
    <w:rsid w:val="00D668E6"/>
    <w:rsid w:val="00D66C47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0F6"/>
    <w:rsid w:val="00DF6F36"/>
    <w:rsid w:val="00E0084C"/>
    <w:rsid w:val="00E025AB"/>
    <w:rsid w:val="00E02B23"/>
    <w:rsid w:val="00E06F40"/>
    <w:rsid w:val="00E07CE8"/>
    <w:rsid w:val="00E26A07"/>
    <w:rsid w:val="00E32595"/>
    <w:rsid w:val="00E37C53"/>
    <w:rsid w:val="00E37CFD"/>
    <w:rsid w:val="00E41A26"/>
    <w:rsid w:val="00E46BCB"/>
    <w:rsid w:val="00E51CAF"/>
    <w:rsid w:val="00E60F04"/>
    <w:rsid w:val="00E62AAC"/>
    <w:rsid w:val="00E67C2F"/>
    <w:rsid w:val="00E67EF5"/>
    <w:rsid w:val="00E7572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BA2"/>
    <w:rsid w:val="00EB3D1B"/>
    <w:rsid w:val="00EC31FD"/>
    <w:rsid w:val="00ED1D89"/>
    <w:rsid w:val="00ED43EB"/>
    <w:rsid w:val="00ED66BC"/>
    <w:rsid w:val="00EE3B9D"/>
    <w:rsid w:val="00EF1EA8"/>
    <w:rsid w:val="00EF233A"/>
    <w:rsid w:val="00EF303E"/>
    <w:rsid w:val="00EF3A40"/>
    <w:rsid w:val="00EF7F78"/>
    <w:rsid w:val="00F01B08"/>
    <w:rsid w:val="00F01C4D"/>
    <w:rsid w:val="00F04F38"/>
    <w:rsid w:val="00F053FA"/>
    <w:rsid w:val="00F10C97"/>
    <w:rsid w:val="00F11C71"/>
    <w:rsid w:val="00F16019"/>
    <w:rsid w:val="00F20E68"/>
    <w:rsid w:val="00F22093"/>
    <w:rsid w:val="00F236DF"/>
    <w:rsid w:val="00F26D9E"/>
    <w:rsid w:val="00F43AD5"/>
    <w:rsid w:val="00F4402E"/>
    <w:rsid w:val="00F56DD0"/>
    <w:rsid w:val="00F6491C"/>
    <w:rsid w:val="00F67BBB"/>
    <w:rsid w:val="00F87D92"/>
    <w:rsid w:val="00F90AA7"/>
    <w:rsid w:val="00F90AE8"/>
    <w:rsid w:val="00F92498"/>
    <w:rsid w:val="00F9496B"/>
    <w:rsid w:val="00F970C9"/>
    <w:rsid w:val="00FA06A8"/>
    <w:rsid w:val="00FA3DF5"/>
    <w:rsid w:val="00FA741F"/>
    <w:rsid w:val="00FB4E07"/>
    <w:rsid w:val="00FB755A"/>
    <w:rsid w:val="00FC16A7"/>
    <w:rsid w:val="00FC591C"/>
    <w:rsid w:val="00FC60A2"/>
    <w:rsid w:val="00FD1871"/>
    <w:rsid w:val="00FD3110"/>
    <w:rsid w:val="00FF56F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70D3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4F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F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F38"/>
    <w:rPr>
      <w:szCs w:val="20"/>
    </w:rPr>
  </w:style>
  <w:style w:type="paragraph" w:styleId="ListBullet2">
    <w:name w:val="List Bullet 2"/>
    <w:basedOn w:val="Normal"/>
    <w:uiPriority w:val="99"/>
    <w:unhideWhenUsed/>
    <w:rsid w:val="00EC31FD"/>
    <w:pPr>
      <w:numPr>
        <w:numId w:val="2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E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65AA4C2957F49FEBC85EAA2499E15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FF05F-7B5C-4BE5-B377-0E51FBF48CE4}"/>
      </w:docPartPr>
      <w:docPartBody>
        <w:p w:rsidR="0074585E" w:rsidRDefault="005D6133" w:rsidP="005D6133">
          <w:pPr>
            <w:pStyle w:val="765AA4C2957F49FEBC85EAA2499E1565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3BEB1AFC2146471581454714FDEA0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A4A7E-A9E9-4A00-832F-67A3F3164638}"/>
      </w:docPartPr>
      <w:docPartBody>
        <w:p w:rsidR="009C01B5" w:rsidRDefault="0074585E" w:rsidP="0074585E">
          <w:pPr>
            <w:pStyle w:val="3BEB1AFC2146471581454714FDEA078F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92ABA86691D24951B88F3127AEDA0A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B6F894-E655-447D-B890-1D32D726118E}"/>
      </w:docPartPr>
      <w:docPartBody>
        <w:p w:rsidR="009341FD" w:rsidRDefault="000723A5" w:rsidP="000723A5">
          <w:pPr>
            <w:pStyle w:val="92ABA86691D24951B88F3127AEDA0A6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23A5"/>
    <w:rsid w:val="00355F0A"/>
    <w:rsid w:val="005D6133"/>
    <w:rsid w:val="0074585E"/>
    <w:rsid w:val="008C6E27"/>
    <w:rsid w:val="009341FD"/>
    <w:rsid w:val="009C01B5"/>
    <w:rsid w:val="00B44A1E"/>
    <w:rsid w:val="00C11541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723A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65AA4C2957F49FEBC85EAA2499E1565">
    <w:name w:val="765AA4C2957F49FEBC85EAA2499E1565"/>
    <w:rsid w:val="005D6133"/>
  </w:style>
  <w:style w:type="paragraph" w:customStyle="1" w:styleId="3BEB1AFC2146471581454714FDEA078F">
    <w:name w:val="3BEB1AFC2146471581454714FDEA078F"/>
    <w:rsid w:val="0074585E"/>
  </w:style>
  <w:style w:type="paragraph" w:customStyle="1" w:styleId="92ABA86691D24951B88F3127AEDA0A65">
    <w:name w:val="92ABA86691D24951B88F3127AEDA0A65"/>
    <w:rsid w:val="000723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CB2A72-376A-43AB-8104-4C2E1A97A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A75C6-335C-405D-9EA8-5A99C5B55D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1c567317-0c4d-4a62-8516-c22afd1b5354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13</cp:revision>
  <cp:lastPrinted>2018-10-22T22:41:00Z</cp:lastPrinted>
  <dcterms:created xsi:type="dcterms:W3CDTF">2020-01-10T05:42:00Z</dcterms:created>
  <dcterms:modified xsi:type="dcterms:W3CDTF">2026-01-09T00:35:00Z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2026-01-02T03:27:12Z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8a661467-0974-4140-931b-edaade43bbf8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