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33A85EF5" w14:textId="57755B1F" w:rsidR="00BD499F" w:rsidRPr="004C23F4" w:rsidRDefault="00C11F32" w:rsidP="00B40C60">
          <w:pPr>
            <w:pStyle w:val="Heading1"/>
            <w:jc w:val="center"/>
            <w:rPr>
              <w:rFonts w:ascii="Arial" w:hAnsi="Arial" w:cs="Arial"/>
            </w:rPr>
          </w:pPr>
          <w:r w:rsidRPr="00C11F32">
            <w:rPr>
              <w:rFonts w:ascii="Arial" w:hAnsi="Arial" w:cs="Arial"/>
            </w:rPr>
            <w:t>Phosphoric acid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1"/>
        <w:gridCol w:w="5045"/>
      </w:tblGrid>
      <w:tr w:rsidR="00F43AD5" w:rsidRPr="004C23F4" w14:paraId="1CA297FB" w14:textId="77777777" w:rsidTr="00B76A41">
        <w:trPr>
          <w:cantSplit/>
          <w:tblHeader/>
        </w:trPr>
        <w:tc>
          <w:tcPr>
            <w:tcW w:w="4077" w:type="dxa"/>
          </w:tcPr>
          <w:p w14:paraId="5D4FB053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552C3964" w14:textId="174E34C0" w:rsidR="00F43AD5" w:rsidRPr="00717D45" w:rsidRDefault="00A97F4B" w:rsidP="00B76A41">
            <w:pPr>
              <w:pStyle w:val="Tablefont"/>
            </w:pPr>
            <w:r w:rsidRPr="00A97F4B">
              <w:t>7664-38-2</w:t>
            </w:r>
          </w:p>
        </w:tc>
      </w:tr>
      <w:tr w:rsidR="00F43AD5" w:rsidRPr="004C23F4" w14:paraId="4E7E1E1D" w14:textId="77777777" w:rsidTr="00B76A41">
        <w:trPr>
          <w:cantSplit/>
        </w:trPr>
        <w:tc>
          <w:tcPr>
            <w:tcW w:w="4077" w:type="dxa"/>
          </w:tcPr>
          <w:p w14:paraId="24AD4C2E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27504BF1" w14:textId="38967B50" w:rsidR="00F43AD5" w:rsidRPr="00717D45" w:rsidRDefault="00781C8B" w:rsidP="00B76A41">
            <w:pPr>
              <w:pStyle w:val="Tablefont"/>
            </w:pPr>
            <w:r>
              <w:t>Orthophosphoric acid, white phosphoric acid</w:t>
            </w:r>
          </w:p>
        </w:tc>
      </w:tr>
      <w:tr w:rsidR="00F43AD5" w:rsidRPr="004C23F4" w14:paraId="50F8E9DB" w14:textId="77777777" w:rsidTr="00B76A41">
        <w:trPr>
          <w:cantSplit/>
        </w:trPr>
        <w:tc>
          <w:tcPr>
            <w:tcW w:w="4077" w:type="dxa"/>
          </w:tcPr>
          <w:p w14:paraId="575615E7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1C9310D1" w14:textId="0150C953" w:rsidR="00F43AD5" w:rsidRPr="00717D45" w:rsidRDefault="00642E32" w:rsidP="00B76A41">
            <w:pPr>
              <w:pStyle w:val="Tablefont"/>
            </w:pPr>
            <w:r>
              <w:t>H</w:t>
            </w:r>
            <w:r w:rsidRPr="00642E32">
              <w:rPr>
                <w:vertAlign w:val="subscript"/>
              </w:rPr>
              <w:t>3</w:t>
            </w:r>
            <w:r>
              <w:t>PO</w:t>
            </w:r>
            <w:r w:rsidRPr="00642E32">
              <w:rPr>
                <w:vertAlign w:val="subscript"/>
              </w:rPr>
              <w:t>4</w:t>
            </w:r>
          </w:p>
        </w:tc>
      </w:tr>
      <w:tr w:rsidR="00F43AD5" w:rsidRPr="004C23F4" w14:paraId="0E08661F" w14:textId="77777777" w:rsidTr="00B76A41">
        <w:trPr>
          <w:cantSplit/>
        </w:trPr>
        <w:tc>
          <w:tcPr>
            <w:tcW w:w="4077" w:type="dxa"/>
          </w:tcPr>
          <w:p w14:paraId="78305EC8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72B111E5" w14:textId="25CB8DD0" w:rsidR="00F43AD5" w:rsidRPr="00F76E01" w:rsidRDefault="00464DA5" w:rsidP="00B76A41">
            <w:pPr>
              <w:pStyle w:val="Tablerowheading"/>
              <w:rPr>
                <w:b w:val="0"/>
              </w:rPr>
            </w:pPr>
            <w:r w:rsidRPr="00F76E01">
              <w:rPr>
                <w:b w:val="0"/>
              </w:rPr>
              <w:t>—</w:t>
            </w:r>
          </w:p>
        </w:tc>
      </w:tr>
    </w:tbl>
    <w:p w14:paraId="73426456" w14:textId="22FD07B9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D7462F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16FF9E8C" w14:textId="77777777" w:rsidTr="00107118">
        <w:trPr>
          <w:cantSplit/>
          <w:tblHeader/>
        </w:trPr>
        <w:tc>
          <w:tcPr>
            <w:tcW w:w="4005" w:type="dxa"/>
            <w:vAlign w:val="center"/>
          </w:tcPr>
          <w:p w14:paraId="55103678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6A0683EA" w14:textId="41CA380B" w:rsidR="002C7AFE" w:rsidRPr="00107118" w:rsidRDefault="00107118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1 mg/m</w:t>
            </w:r>
            <w:r>
              <w:rPr>
                <w:b/>
                <w:vertAlign w:val="superscript"/>
              </w:rPr>
              <w:t>3</w:t>
            </w:r>
          </w:p>
        </w:tc>
      </w:tr>
      <w:tr w:rsidR="002C7AFE" w:rsidRPr="004C23F4" w14:paraId="07A34A80" w14:textId="77777777" w:rsidTr="00107118">
        <w:trPr>
          <w:cantSplit/>
        </w:trPr>
        <w:tc>
          <w:tcPr>
            <w:tcW w:w="4005" w:type="dxa"/>
            <w:vAlign w:val="center"/>
          </w:tcPr>
          <w:p w14:paraId="677221F8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208E2161" w14:textId="1331F80C" w:rsidR="002C7AFE" w:rsidRPr="00107118" w:rsidRDefault="00107118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3 mg/m</w:t>
            </w:r>
            <w:r>
              <w:rPr>
                <w:b/>
                <w:vertAlign w:val="superscript"/>
              </w:rPr>
              <w:t>3</w:t>
            </w:r>
          </w:p>
        </w:tc>
      </w:tr>
      <w:tr w:rsidR="002C7AFE" w:rsidRPr="004C23F4" w14:paraId="0A0F8199" w14:textId="77777777" w:rsidTr="00107118">
        <w:trPr>
          <w:cantSplit/>
        </w:trPr>
        <w:tc>
          <w:tcPr>
            <w:tcW w:w="4005" w:type="dxa"/>
            <w:vAlign w:val="center"/>
          </w:tcPr>
          <w:p w14:paraId="1E6DD630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76BEA010" w14:textId="5218A954" w:rsidR="002C7AFE" w:rsidRPr="00EB3D1B" w:rsidRDefault="00107118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0BE37DB8" w14:textId="77777777" w:rsidTr="00107118">
        <w:trPr>
          <w:cantSplit/>
        </w:trPr>
        <w:tc>
          <w:tcPr>
            <w:tcW w:w="4005" w:type="dxa"/>
          </w:tcPr>
          <w:p w14:paraId="0FEB80C2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58B75277" w14:textId="36EDE69A" w:rsidR="002C7AFE" w:rsidRPr="00EB3D1B" w:rsidRDefault="00107118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36861586" w14:textId="77777777" w:rsidTr="00107118">
        <w:trPr>
          <w:cantSplit/>
        </w:trPr>
        <w:tc>
          <w:tcPr>
            <w:tcW w:w="4005" w:type="dxa"/>
            <w:vAlign w:val="center"/>
          </w:tcPr>
          <w:p w14:paraId="315AB132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7F4C8B39" w14:textId="30EB0FCC" w:rsidR="002C7AFE" w:rsidRPr="00EB3D1B" w:rsidRDefault="00464DA5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1</w:t>
            </w:r>
            <w:r w:rsidR="00F76E01">
              <w:rPr>
                <w:b/>
              </w:rPr>
              <w:t>,</w:t>
            </w:r>
            <w:r>
              <w:rPr>
                <w:b/>
              </w:rPr>
              <w:t>000 mg/m</w:t>
            </w:r>
            <w:r w:rsidRPr="00464DA5">
              <w:rPr>
                <w:b/>
                <w:vertAlign w:val="superscript"/>
              </w:rPr>
              <w:t>3</w:t>
            </w:r>
          </w:p>
        </w:tc>
      </w:tr>
      <w:tr w:rsidR="00107118" w:rsidRPr="004C23F4" w14:paraId="1155D85D" w14:textId="77777777" w:rsidTr="00697B71">
        <w:trPr>
          <w:cantSplit/>
        </w:trPr>
        <w:tc>
          <w:tcPr>
            <w:tcW w:w="9026" w:type="dxa"/>
            <w:gridSpan w:val="2"/>
            <w:vAlign w:val="center"/>
          </w:tcPr>
          <w:p w14:paraId="50E2369C" w14:textId="351DAA24" w:rsidR="00107118" w:rsidRPr="00EB3D1B" w:rsidRDefault="00107118" w:rsidP="00017C82">
            <w:pPr>
              <w:pStyle w:val="Tablefont"/>
              <w:rPr>
                <w:b/>
              </w:rPr>
            </w:pPr>
            <w:r w:rsidRPr="00107118">
              <w:rPr>
                <w:b/>
              </w:rPr>
              <w:t>Sampling and analysis:</w:t>
            </w:r>
            <w:r w:rsidRPr="00107118">
              <w:t xml:space="preserve"> </w:t>
            </w:r>
            <w:sdt>
              <w:sdtPr>
                <w:id w:val="-2105258949"/>
                <w:placeholder>
                  <w:docPart w:val="21A7F73F8E054162952993A6E27720EE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/>
              <w:sdtContent>
                <w: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255A2B86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08C876EB" w14:textId="1DA9AAD9" w:rsidR="00107118" w:rsidRPr="00107118" w:rsidRDefault="00107118" w:rsidP="00107118">
      <w:pPr>
        <w:rPr>
          <w:rFonts w:cs="Arial"/>
        </w:rPr>
      </w:pPr>
      <w:r w:rsidRPr="00107118">
        <w:rPr>
          <w:rFonts w:cs="Arial"/>
        </w:rPr>
        <w:t xml:space="preserve">A TWA </w:t>
      </w:r>
      <w:r>
        <w:rPr>
          <w:rFonts w:cs="Arial"/>
        </w:rPr>
        <w:t>of 1</w:t>
      </w:r>
      <w:r w:rsidRPr="00107118">
        <w:rPr>
          <w:rFonts w:cs="Arial"/>
        </w:rPr>
        <w:t xml:space="preserve"> mg/m</w:t>
      </w:r>
      <w:r w:rsidRPr="00107118">
        <w:rPr>
          <w:rFonts w:cs="Arial"/>
          <w:vertAlign w:val="superscript"/>
        </w:rPr>
        <w:t>3</w:t>
      </w:r>
      <w:r w:rsidRPr="00107118">
        <w:rPr>
          <w:rFonts w:cs="Arial"/>
        </w:rPr>
        <w:t xml:space="preserve"> is recommended to protect for irrita</w:t>
      </w:r>
      <w:r w:rsidR="00D7462F">
        <w:rPr>
          <w:rFonts w:cs="Arial"/>
        </w:rPr>
        <w:t>tion</w:t>
      </w:r>
      <w:r w:rsidRPr="00107118">
        <w:rPr>
          <w:rFonts w:cs="Arial"/>
        </w:rPr>
        <w:t xml:space="preserve"> in exposed workers. </w:t>
      </w:r>
    </w:p>
    <w:p w14:paraId="0F446EF4" w14:textId="430EADE4" w:rsidR="006639B4" w:rsidRPr="004C23F4" w:rsidRDefault="00107118" w:rsidP="00BB5514">
      <w:pPr>
        <w:rPr>
          <w:rFonts w:cs="Arial"/>
        </w:rPr>
      </w:pPr>
      <w:r w:rsidRPr="00107118">
        <w:rPr>
          <w:rFonts w:cs="Arial"/>
        </w:rPr>
        <w:t xml:space="preserve">A STEL of </w:t>
      </w:r>
      <w:r>
        <w:rPr>
          <w:rFonts w:cs="Arial"/>
        </w:rPr>
        <w:t>3</w:t>
      </w:r>
      <w:r w:rsidRPr="00107118">
        <w:rPr>
          <w:rFonts w:cs="Arial"/>
        </w:rPr>
        <w:t xml:space="preserve"> mg/m</w:t>
      </w:r>
      <w:r w:rsidRPr="00107118">
        <w:rPr>
          <w:rFonts w:cs="Arial"/>
          <w:vertAlign w:val="superscript"/>
        </w:rPr>
        <w:t>3</w:t>
      </w:r>
      <w:r w:rsidRPr="00107118">
        <w:rPr>
          <w:rFonts w:cs="Arial"/>
        </w:rPr>
        <w:t xml:space="preserve"> is recommended to protect for </w:t>
      </w:r>
      <w:r w:rsidR="00D7462F">
        <w:rPr>
          <w:rFonts w:cs="Arial"/>
        </w:rPr>
        <w:t>acute irritation in</w:t>
      </w:r>
      <w:r w:rsidR="003A758C">
        <w:rPr>
          <w:rFonts w:cs="Arial"/>
        </w:rPr>
        <w:t xml:space="preserve"> exposed workers.</w:t>
      </w:r>
    </w:p>
    <w:p w14:paraId="4F612DC1" w14:textId="77777777" w:rsidR="00C7155E" w:rsidRPr="004C23F4" w:rsidRDefault="00F10C97" w:rsidP="003365A5">
      <w:pPr>
        <w:pStyle w:val="Heading2"/>
      </w:pPr>
      <w:r>
        <w:t>Discussion and conclusions</w:t>
      </w:r>
    </w:p>
    <w:p w14:paraId="7F2DF489" w14:textId="17A26C28" w:rsidR="00D7462F" w:rsidRDefault="00D05F3E" w:rsidP="006639B4">
      <w:pPr>
        <w:rPr>
          <w:rFonts w:cs="Arial"/>
        </w:rPr>
      </w:pPr>
      <w:r>
        <w:rPr>
          <w:rFonts w:cs="Arial"/>
        </w:rPr>
        <w:t xml:space="preserve">Phosphoric acid </w:t>
      </w:r>
      <w:r w:rsidR="00683906">
        <w:rPr>
          <w:rFonts w:cs="Arial"/>
        </w:rPr>
        <w:t xml:space="preserve">is used in fertiliser production and as a pH adjuster in cosmetics. </w:t>
      </w:r>
      <w:r w:rsidR="00D7462F">
        <w:rPr>
          <w:rFonts w:cs="Arial"/>
        </w:rPr>
        <w:t>It</w:t>
      </w:r>
      <w:r w:rsidR="00107118">
        <w:rPr>
          <w:rFonts w:cs="Arial"/>
        </w:rPr>
        <w:t xml:space="preserve"> is formed from the hydrolysis of phosphorus pentoxide or products of phosphorus combustion (DFG,</w:t>
      </w:r>
      <w:r w:rsidR="003A758C">
        <w:rPr>
          <w:rFonts w:cs="Arial"/>
        </w:rPr>
        <w:t> </w:t>
      </w:r>
      <w:r w:rsidR="00107118">
        <w:rPr>
          <w:rFonts w:cs="Arial"/>
        </w:rPr>
        <w:t xml:space="preserve">2006). </w:t>
      </w:r>
    </w:p>
    <w:p w14:paraId="5CBBA102" w14:textId="77777777" w:rsidR="00593F14" w:rsidRDefault="00683906" w:rsidP="006639B4">
      <w:pPr>
        <w:rPr>
          <w:rFonts w:cs="Arial"/>
        </w:rPr>
      </w:pPr>
      <w:r>
        <w:rPr>
          <w:rFonts w:cs="Arial"/>
        </w:rPr>
        <w:t>The critical effect</w:t>
      </w:r>
      <w:r w:rsidR="00D7462F">
        <w:rPr>
          <w:rFonts w:cs="Arial"/>
        </w:rPr>
        <w:t xml:space="preserve"> of exposure</w:t>
      </w:r>
      <w:r>
        <w:rPr>
          <w:rFonts w:cs="Arial"/>
        </w:rPr>
        <w:t xml:space="preserve"> is irritation of the eyes, skin and upper respiratory tract.</w:t>
      </w:r>
      <w:r w:rsidR="00D7462F">
        <w:rPr>
          <w:rFonts w:cs="Arial"/>
        </w:rPr>
        <w:t xml:space="preserve"> </w:t>
      </w:r>
    </w:p>
    <w:p w14:paraId="08EA2F50" w14:textId="20C18DBD" w:rsidR="00683906" w:rsidRDefault="00683906" w:rsidP="006639B4">
      <w:pPr>
        <w:rPr>
          <w:rFonts w:cs="Arial"/>
        </w:rPr>
      </w:pPr>
      <w:r>
        <w:rPr>
          <w:rFonts w:cs="Arial"/>
        </w:rPr>
        <w:t xml:space="preserve">Quantitative substance-specific exposure data are limited. </w:t>
      </w:r>
      <w:r w:rsidR="00EF0767">
        <w:rPr>
          <w:rFonts w:cs="Arial"/>
        </w:rPr>
        <w:t xml:space="preserve">Air concentrations between </w:t>
      </w:r>
      <w:r w:rsidR="00EF0767">
        <w:t>0.8 and 5.4 mg/m</w:t>
      </w:r>
      <w:r w:rsidR="00EF0767">
        <w:rPr>
          <w:vertAlign w:val="superscript"/>
        </w:rPr>
        <w:t>3</w:t>
      </w:r>
      <w:r w:rsidR="00EF0767">
        <w:t xml:space="preserve"> were tolerable to unacclimated </w:t>
      </w:r>
      <w:proofErr w:type="gramStart"/>
      <w:r w:rsidR="00EF0767">
        <w:t>workers</w:t>
      </w:r>
      <w:r w:rsidR="00D7462F">
        <w:t>;</w:t>
      </w:r>
      <w:proofErr w:type="gramEnd"/>
      <w:r w:rsidR="00EF0767">
        <w:t xml:space="preserve"> whereas 3.6 to 11.3 mg/m</w:t>
      </w:r>
      <w:r w:rsidR="00EF0767">
        <w:rPr>
          <w:vertAlign w:val="superscript"/>
        </w:rPr>
        <w:t>3</w:t>
      </w:r>
      <w:r w:rsidR="00EF0767">
        <w:t xml:space="preserve"> caused respiratory tract irritation</w:t>
      </w:r>
      <w:r w:rsidR="00EF0767">
        <w:rPr>
          <w:rFonts w:cs="Arial"/>
        </w:rPr>
        <w:t xml:space="preserve"> (ACGIH, 2018). </w:t>
      </w:r>
      <w:r>
        <w:rPr>
          <w:rFonts w:cs="Arial"/>
        </w:rPr>
        <w:t>A NOAEC of 50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 </w:t>
      </w:r>
      <w:r w:rsidR="00373E8E">
        <w:rPr>
          <w:rFonts w:cs="Arial"/>
        </w:rPr>
        <w:t>for</w:t>
      </w:r>
      <w:r>
        <w:rPr>
          <w:rFonts w:cs="Arial"/>
        </w:rPr>
        <w:t xml:space="preserve"> hydrolysed phosphorus combustion products, equivalent to 37.5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 of phosphoric acid, </w:t>
      </w:r>
      <w:r w:rsidR="00D7462F">
        <w:rPr>
          <w:rFonts w:cs="Arial"/>
        </w:rPr>
        <w:t xml:space="preserve">is reported </w:t>
      </w:r>
      <w:r>
        <w:rPr>
          <w:rFonts w:cs="Arial"/>
        </w:rPr>
        <w:t xml:space="preserve">for lung tissue damage </w:t>
      </w:r>
      <w:r w:rsidR="00EF0767">
        <w:rPr>
          <w:rFonts w:cs="Arial"/>
        </w:rPr>
        <w:t>with a corresponding LOAEC of 135 mg/m</w:t>
      </w:r>
      <w:r w:rsidR="00EF0767">
        <w:rPr>
          <w:rFonts w:cs="Arial"/>
          <w:vertAlign w:val="superscript"/>
        </w:rPr>
        <w:t>3</w:t>
      </w:r>
      <w:r w:rsidR="00EF0767">
        <w:rPr>
          <w:rFonts w:cs="Arial"/>
        </w:rPr>
        <w:t xml:space="preserve"> (phosphoric acid) </w:t>
      </w:r>
      <w:r w:rsidR="00D7462F">
        <w:rPr>
          <w:rFonts w:cs="Arial"/>
        </w:rPr>
        <w:t>from</w:t>
      </w:r>
      <w:r>
        <w:rPr>
          <w:rFonts w:cs="Arial"/>
        </w:rPr>
        <w:t xml:space="preserve"> a sub</w:t>
      </w:r>
      <w:r w:rsidR="00593F14">
        <w:rPr>
          <w:rFonts w:cs="Arial"/>
        </w:rPr>
        <w:t>-</w:t>
      </w:r>
      <w:r>
        <w:rPr>
          <w:rFonts w:cs="Arial"/>
        </w:rPr>
        <w:t xml:space="preserve">chronic inhalation study </w:t>
      </w:r>
      <w:r w:rsidR="00D7462F">
        <w:rPr>
          <w:rFonts w:cs="Arial"/>
        </w:rPr>
        <w:t>in</w:t>
      </w:r>
      <w:r>
        <w:rPr>
          <w:rFonts w:cs="Arial"/>
        </w:rPr>
        <w:t xml:space="preserve"> rats (DFG, 2006).</w:t>
      </w:r>
    </w:p>
    <w:p w14:paraId="767CDFA5" w14:textId="74104DE7" w:rsidR="00593F14" w:rsidRDefault="00EF0767" w:rsidP="006639B4">
      <w:pPr>
        <w:rPr>
          <w:rFonts w:cs="Arial"/>
        </w:rPr>
      </w:pPr>
      <w:r>
        <w:rPr>
          <w:rFonts w:cs="Arial"/>
        </w:rPr>
        <w:t xml:space="preserve">Due to the limited substance-specific dataset, assessments </w:t>
      </w:r>
      <w:r w:rsidR="007020BD">
        <w:rPr>
          <w:rFonts w:cs="Arial"/>
        </w:rPr>
        <w:t xml:space="preserve">reported </w:t>
      </w:r>
      <w:r>
        <w:rPr>
          <w:rFonts w:cs="Arial"/>
        </w:rPr>
        <w:t>by ACGIH (2018) and DFG (2006) are supported by analogies to sulfuric acid and phosphorus pentoxide, respectively. In view of these assessments, the TWA of 1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 and STEL of 3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 are </w:t>
      </w:r>
      <w:r w:rsidR="00D7462F">
        <w:rPr>
          <w:rFonts w:cs="Arial"/>
        </w:rPr>
        <w:t xml:space="preserve">recommended to be </w:t>
      </w:r>
      <w:r>
        <w:rPr>
          <w:rFonts w:cs="Arial"/>
        </w:rPr>
        <w:t xml:space="preserve">retained and </w:t>
      </w:r>
      <w:r w:rsidR="00D7462F">
        <w:rPr>
          <w:rFonts w:cs="Arial"/>
        </w:rPr>
        <w:t xml:space="preserve">are </w:t>
      </w:r>
      <w:r>
        <w:rPr>
          <w:rFonts w:cs="Arial"/>
        </w:rPr>
        <w:t>expected to protect</w:t>
      </w:r>
      <w:r w:rsidR="00107118">
        <w:rPr>
          <w:rFonts w:cs="Arial"/>
        </w:rPr>
        <w:t xml:space="preserve"> </w:t>
      </w:r>
      <w:r w:rsidR="00C44C9D">
        <w:rPr>
          <w:rFonts w:cs="Arial"/>
        </w:rPr>
        <w:t>for</w:t>
      </w:r>
      <w:r w:rsidR="00107118">
        <w:rPr>
          <w:rFonts w:cs="Arial"/>
        </w:rPr>
        <w:t xml:space="preserve"> irritation</w:t>
      </w:r>
      <w:r w:rsidR="00D7462F">
        <w:rPr>
          <w:rFonts w:cs="Arial"/>
        </w:rPr>
        <w:t>. These recommendations are supported by the</w:t>
      </w:r>
      <w:r w:rsidR="00107118">
        <w:rPr>
          <w:rFonts w:cs="Arial"/>
        </w:rPr>
        <w:t xml:space="preserve"> report of respiratory tract irritation in </w:t>
      </w:r>
      <w:r w:rsidR="00C44C9D">
        <w:rPr>
          <w:rFonts w:cs="Arial"/>
        </w:rPr>
        <w:t>exposed workers</w:t>
      </w:r>
      <w:r w:rsidR="00107118">
        <w:rPr>
          <w:rFonts w:cs="Arial"/>
        </w:rPr>
        <w:t xml:space="preserve"> </w:t>
      </w:r>
      <w:r w:rsidR="00D7462F">
        <w:rPr>
          <w:rFonts w:cs="Arial"/>
        </w:rPr>
        <w:t xml:space="preserve">at </w:t>
      </w:r>
      <w:r w:rsidR="00107118">
        <w:rPr>
          <w:rFonts w:cs="Arial"/>
        </w:rPr>
        <w:t>above 3.6 mg/m</w:t>
      </w:r>
      <w:r w:rsidR="00107118">
        <w:rPr>
          <w:rFonts w:cs="Arial"/>
          <w:vertAlign w:val="superscript"/>
        </w:rPr>
        <w:t>3</w:t>
      </w:r>
      <w:r w:rsidR="00107118">
        <w:rPr>
          <w:rFonts w:cs="Arial"/>
        </w:rPr>
        <w:t xml:space="preserve"> (ACGIH, 2018)</w:t>
      </w:r>
      <w:r w:rsidR="00D7462F">
        <w:rPr>
          <w:rFonts w:cs="Arial"/>
        </w:rPr>
        <w:t xml:space="preserve"> and</w:t>
      </w:r>
      <w:r w:rsidR="00107118">
        <w:rPr>
          <w:rFonts w:cs="Arial"/>
        </w:rPr>
        <w:t xml:space="preserve"> a NOAEC of 37.5 mg/m</w:t>
      </w:r>
      <w:r w:rsidR="00107118">
        <w:rPr>
          <w:rFonts w:cs="Arial"/>
          <w:vertAlign w:val="superscript"/>
        </w:rPr>
        <w:t>3</w:t>
      </w:r>
      <w:r w:rsidR="00107118">
        <w:rPr>
          <w:rFonts w:cs="Arial"/>
        </w:rPr>
        <w:t xml:space="preserve"> for lung tissue damage in rats (DFG, 2006). </w:t>
      </w:r>
    </w:p>
    <w:p w14:paraId="66BB1A05" w14:textId="53CEF61E" w:rsidR="00EF0767" w:rsidRPr="00107118" w:rsidRDefault="00EF0767" w:rsidP="006639B4">
      <w:pPr>
        <w:rPr>
          <w:rFonts w:cs="Arial"/>
        </w:rPr>
      </w:pPr>
    </w:p>
    <w:p w14:paraId="50131478" w14:textId="77777777" w:rsidR="004529F0" w:rsidRPr="004C23F4" w:rsidRDefault="004529F0" w:rsidP="00F76E01">
      <w:pPr>
        <w:pStyle w:val="Heading2"/>
      </w:pPr>
      <w:r>
        <w:lastRenderedPageBreak/>
        <w:t>Recommendation for notations</w:t>
      </w:r>
    </w:p>
    <w:p w14:paraId="0DD7685F" w14:textId="22C15CEB" w:rsidR="00464DA5" w:rsidRPr="00107118" w:rsidRDefault="00464DA5" w:rsidP="00516EDF">
      <w:pPr>
        <w:keepNext/>
        <w:rPr>
          <w:rFonts w:cs="Arial"/>
        </w:rPr>
      </w:pPr>
      <w:r w:rsidRPr="00107118">
        <w:rPr>
          <w:rFonts w:cs="Arial"/>
        </w:rPr>
        <w:t>Not classified as a carcinogen according to the Globally Harmonized System of Classification and Labelling o</w:t>
      </w:r>
      <w:r w:rsidR="009F6660">
        <w:rPr>
          <w:rFonts w:cs="Arial"/>
        </w:rPr>
        <w:t>f</w:t>
      </w:r>
      <w:r w:rsidRPr="00107118">
        <w:rPr>
          <w:rFonts w:cs="Arial"/>
        </w:rPr>
        <w:t xml:space="preserve"> Chemicals (GHS). </w:t>
      </w:r>
    </w:p>
    <w:p w14:paraId="1BCBBB36" w14:textId="45CA865F" w:rsidR="00464DA5" w:rsidRPr="00107118" w:rsidRDefault="00464DA5" w:rsidP="00516EDF">
      <w:pPr>
        <w:keepNext/>
        <w:rPr>
          <w:rFonts w:cs="Arial"/>
        </w:rPr>
      </w:pPr>
      <w:r w:rsidRPr="00107118">
        <w:rPr>
          <w:rFonts w:cs="Arial"/>
        </w:rPr>
        <w:t xml:space="preserve">Not classified as a skin </w:t>
      </w:r>
      <w:r w:rsidR="009F6660" w:rsidRPr="00107118">
        <w:rPr>
          <w:rFonts w:cs="Arial"/>
        </w:rPr>
        <w:t xml:space="preserve">sensitiser </w:t>
      </w:r>
      <w:r w:rsidRPr="00107118">
        <w:rPr>
          <w:rFonts w:cs="Arial"/>
        </w:rPr>
        <w:t>or respiratory sensitiser according to the GHS.</w:t>
      </w:r>
    </w:p>
    <w:p w14:paraId="6A2C034E" w14:textId="54FC872C" w:rsidR="0025734A" w:rsidRPr="00107118" w:rsidRDefault="00107118">
      <w:pPr>
        <w:rPr>
          <w:rFonts w:cs="Arial"/>
        </w:rPr>
      </w:pPr>
      <w:r w:rsidRPr="00107118">
        <w:rPr>
          <w:rFonts w:cs="Arial"/>
        </w:rPr>
        <w:t xml:space="preserve">A skin notation is not </w:t>
      </w:r>
      <w:r w:rsidR="00D7462F">
        <w:rPr>
          <w:rFonts w:cs="Arial"/>
        </w:rPr>
        <w:t>recommend</w:t>
      </w:r>
      <w:r w:rsidRPr="00107118">
        <w:rPr>
          <w:rFonts w:cs="Arial"/>
        </w:rPr>
        <w:t>ed based on the available evidence.</w:t>
      </w:r>
    </w:p>
    <w:p w14:paraId="65663D20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1E43EA57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2E81CCCB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71C6C75A" w14:textId="77777777" w:rsidTr="00516EDF">
        <w:trPr>
          <w:gridAfter w:val="1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449A62A2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6E3CB671" w14:textId="77777777" w:rsidTr="00516EDF">
        <w:tc>
          <w:tcPr>
            <w:tcW w:w="5000" w:type="pct"/>
            <w:gridSpan w:val="2"/>
            <w:shd w:val="clear" w:color="auto" w:fill="F2F2F2" w:themeFill="background1" w:themeFillShade="F2"/>
          </w:tcPr>
          <w:p w14:paraId="71DAB41D" w14:textId="2CFA67E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464DA5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464DA5">
                  <w:t>TWA: 1</w:t>
                </w:r>
                <w:r w:rsidR="00107118">
                  <w:t xml:space="preserve"> </w:t>
                </w:r>
                <w:r w:rsidR="00464DA5">
                  <w:t>mg/m</w:t>
                </w:r>
                <w:r w:rsidR="00464DA5" w:rsidRPr="00464DA5">
                  <w:rPr>
                    <w:vertAlign w:val="superscript"/>
                  </w:rPr>
                  <w:t>3</w:t>
                </w:r>
                <w:r w:rsidR="00464DA5">
                  <w:t>; STEL: 3 mg/m</w:t>
                </w:r>
                <w:r w:rsidR="00464DA5" w:rsidRPr="00464DA5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0DC76767" w14:textId="77777777" w:rsidTr="00516EDF">
        <w:trPr>
          <w:gridAfter w:val="1"/>
          <w:wAfter w:w="8" w:type="pct"/>
        </w:trPr>
        <w:tc>
          <w:tcPr>
            <w:tcW w:w="4992" w:type="pct"/>
          </w:tcPr>
          <w:p w14:paraId="2A2FFB46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02C67F1A" w14:textId="77777777" w:rsidTr="00516EDF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35D68C05" w14:textId="6C58B78D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464DA5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464DA5">
                  <w:t>TLV-TWA: 1 mg/m</w:t>
                </w:r>
                <w:r w:rsidR="00464DA5" w:rsidRPr="00464DA5">
                  <w:rPr>
                    <w:vertAlign w:val="superscript"/>
                  </w:rPr>
                  <w:t>3</w:t>
                </w:r>
                <w:r w:rsidR="00464DA5">
                  <w:t>; TLV-STEL: 3 mg/m</w:t>
                </w:r>
                <w:r w:rsidR="00464DA5" w:rsidRPr="00464DA5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5F841401" w14:textId="77777777" w:rsidTr="00516EDF">
        <w:trPr>
          <w:gridAfter w:val="1"/>
          <w:wAfter w:w="8" w:type="pct"/>
        </w:trPr>
        <w:tc>
          <w:tcPr>
            <w:tcW w:w="4992" w:type="pct"/>
          </w:tcPr>
          <w:p w14:paraId="3F50E273" w14:textId="6349D082" w:rsidR="00C978F0" w:rsidRDefault="00342863" w:rsidP="003365A5">
            <w:pPr>
              <w:pStyle w:val="Tabletextprimarysource"/>
            </w:pPr>
            <w:r>
              <w:t>TLV-TWA and TLV-STEL intended to protect for irritation of the skin, eyes and upper respiratory tract in unacclimat</w:t>
            </w:r>
            <w:r w:rsidR="00E069D4">
              <w:t xml:space="preserve">ed workers. </w:t>
            </w:r>
            <w:r w:rsidR="00516EDF">
              <w:t>V</w:t>
            </w:r>
            <w:r w:rsidR="00E069D4">
              <w:t xml:space="preserve">alues </w:t>
            </w:r>
            <w:r w:rsidR="007020BD">
              <w:t xml:space="preserve">are </w:t>
            </w:r>
            <w:r w:rsidR="00E069D4">
              <w:t xml:space="preserve">based on the agency’s </w:t>
            </w:r>
            <w:r w:rsidR="00E011BE">
              <w:t xml:space="preserve">previous </w:t>
            </w:r>
            <w:r w:rsidR="00E069D4">
              <w:t>evaluation of sulfuric acid</w:t>
            </w:r>
            <w:r w:rsidR="00E011BE">
              <w:t>, which has since been reviewed to lower the TLV-TWA to 0.2 mg/m</w:t>
            </w:r>
            <w:r w:rsidR="00E011BE">
              <w:rPr>
                <w:vertAlign w:val="superscript"/>
              </w:rPr>
              <w:t>3</w:t>
            </w:r>
            <w:r w:rsidR="00471458">
              <w:t xml:space="preserve"> and</w:t>
            </w:r>
            <w:r w:rsidR="00E011BE">
              <w:t xml:space="preserve"> remove the TLV</w:t>
            </w:r>
            <w:r w:rsidR="00593F14">
              <w:noBreakHyphen/>
            </w:r>
            <w:r w:rsidR="00E011BE">
              <w:t>STEL</w:t>
            </w:r>
            <w:r w:rsidR="007020BD">
              <w:t xml:space="preserve"> (2003)</w:t>
            </w:r>
            <w:r w:rsidR="00E011BE">
              <w:t xml:space="preserve"> and assign an A2–suspected human carcinogen notation (2004). </w:t>
            </w:r>
          </w:p>
          <w:p w14:paraId="3FC7E2AC" w14:textId="4FEC778E" w:rsidR="00342863" w:rsidRDefault="00342863" w:rsidP="003365A5">
            <w:pPr>
              <w:pStyle w:val="Tabletextprimarysource"/>
            </w:pPr>
            <w:r>
              <w:t>Summary of information:</w:t>
            </w:r>
          </w:p>
          <w:p w14:paraId="3DB36B1D" w14:textId="26C956FF" w:rsidR="00E069D4" w:rsidRDefault="00E069D4" w:rsidP="003365A5">
            <w:pPr>
              <w:pStyle w:val="Tabletextprimarysource"/>
            </w:pPr>
            <w:r>
              <w:t xml:space="preserve">TLV-TWA and TLV-STEL based on analogy to those for sulfuric acid. TLV-TWA is below the threshold for throat irritation in both unacclimated and acclimated workers. </w:t>
            </w:r>
          </w:p>
          <w:p w14:paraId="6EDE4D59" w14:textId="4124870E" w:rsidR="00342863" w:rsidRDefault="00342863" w:rsidP="003365A5">
            <w:pPr>
              <w:pStyle w:val="Tabletextprimarysource"/>
            </w:pPr>
            <w:r>
              <w:t>Human data:</w:t>
            </w:r>
          </w:p>
          <w:p w14:paraId="4E2B9EFC" w14:textId="140DB47A" w:rsidR="00342863" w:rsidRDefault="00342863" w:rsidP="00342863">
            <w:pPr>
              <w:pStyle w:val="Tabletextprimarysource"/>
              <w:numPr>
                <w:ilvl w:val="0"/>
                <w:numId w:val="1"/>
              </w:numPr>
            </w:pPr>
            <w:r>
              <w:t>Less hazardous than nitric acid and sulfuric acid, equally corrosive upon ingestion (no further details provided)</w:t>
            </w:r>
          </w:p>
          <w:p w14:paraId="38C8221F" w14:textId="6CD17705" w:rsidR="00342863" w:rsidRDefault="00342863" w:rsidP="00342863">
            <w:pPr>
              <w:pStyle w:val="Tabletextprimarysource"/>
              <w:numPr>
                <w:ilvl w:val="0"/>
                <w:numId w:val="1"/>
              </w:numPr>
            </w:pPr>
            <w:r>
              <w:t>Necrosis of the upper and lower digestive tracts and pancreas 19 d after fatal ingestion (no further details provided)</w:t>
            </w:r>
          </w:p>
          <w:p w14:paraId="7C64CDD2" w14:textId="3ACFFEB1" w:rsidR="00342863" w:rsidRDefault="00342863" w:rsidP="00342863">
            <w:pPr>
              <w:pStyle w:val="Tabletextprimarysource"/>
              <w:numPr>
                <w:ilvl w:val="0"/>
                <w:numId w:val="1"/>
              </w:numPr>
            </w:pPr>
            <w:r>
              <w:t>In the presence of moisture, mist is a mild irritant of the eyes, skin and upper respiratory tract</w:t>
            </w:r>
          </w:p>
          <w:p w14:paraId="792B5F95" w14:textId="6E92A8FB" w:rsidR="00D7462F" w:rsidRDefault="00342863" w:rsidP="00342863">
            <w:pPr>
              <w:pStyle w:val="Tabletextprimarysource"/>
              <w:numPr>
                <w:ilvl w:val="0"/>
                <w:numId w:val="1"/>
              </w:numPr>
            </w:pPr>
            <w:r>
              <w:t>Exposure to fumes at 0.8–5.4 mg/m</w:t>
            </w:r>
            <w:r>
              <w:rPr>
                <w:vertAlign w:val="superscript"/>
              </w:rPr>
              <w:t>3</w:t>
            </w:r>
            <w:r>
              <w:t xml:space="preserve"> was noticeable, but not uncomfortable</w:t>
            </w:r>
            <w:r w:rsidR="00471458">
              <w:t>:</w:t>
            </w:r>
          </w:p>
          <w:p w14:paraId="6FB16C07" w14:textId="64070454" w:rsidR="00D7462F" w:rsidRDefault="00342863" w:rsidP="00D7462F">
            <w:pPr>
              <w:pStyle w:val="Tabletextprimarysource"/>
              <w:numPr>
                <w:ilvl w:val="0"/>
                <w:numId w:val="2"/>
              </w:numPr>
            </w:pPr>
            <w:r>
              <w:t>3.6–11.3 mg/m</w:t>
            </w:r>
            <w:r>
              <w:rPr>
                <w:vertAlign w:val="superscript"/>
              </w:rPr>
              <w:t>3</w:t>
            </w:r>
            <w:r>
              <w:t xml:space="preserve"> caused coughing in unacclimated workers, but was tolerable</w:t>
            </w:r>
          </w:p>
          <w:p w14:paraId="72F11898" w14:textId="0CA89972" w:rsidR="00342863" w:rsidRDefault="00342863" w:rsidP="00D7462F">
            <w:pPr>
              <w:pStyle w:val="Tabletextprimarysource"/>
              <w:numPr>
                <w:ilvl w:val="0"/>
                <w:numId w:val="2"/>
              </w:numPr>
            </w:pPr>
            <w:r>
              <w:t>100 mg/m</w:t>
            </w:r>
            <w:r>
              <w:rPr>
                <w:vertAlign w:val="superscript"/>
              </w:rPr>
              <w:t>3</w:t>
            </w:r>
            <w:r>
              <w:t xml:space="preserve"> was intolerable except to </w:t>
            </w:r>
            <w:r w:rsidR="00E069D4">
              <w:t>acclimated workers (no further details provided)</w:t>
            </w:r>
            <w:r w:rsidR="009F6660">
              <w:t>.</w:t>
            </w:r>
          </w:p>
          <w:p w14:paraId="315DFBD4" w14:textId="03256F4D" w:rsidR="00342863" w:rsidRDefault="00342863" w:rsidP="003365A5">
            <w:pPr>
              <w:pStyle w:val="Tabletextprimarysource"/>
            </w:pPr>
            <w:r>
              <w:t>Animal data:</w:t>
            </w:r>
          </w:p>
          <w:p w14:paraId="73068CFD" w14:textId="706BA402" w:rsidR="00342863" w:rsidRDefault="00E069D4" w:rsidP="00E069D4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None </w:t>
            </w:r>
            <w:r w:rsidR="00471458">
              <w:t>reported</w:t>
            </w:r>
            <w:r>
              <w:t>.</w:t>
            </w:r>
          </w:p>
          <w:p w14:paraId="71BC5777" w14:textId="77777777" w:rsidR="00C44C9D" w:rsidRDefault="00C44C9D" w:rsidP="003365A5">
            <w:pPr>
              <w:pStyle w:val="Tabletextprimarysource"/>
            </w:pPr>
          </w:p>
          <w:p w14:paraId="35C5FA41" w14:textId="3B1364A2" w:rsidR="00342863" w:rsidRDefault="00342863" w:rsidP="003365A5">
            <w:pPr>
              <w:pStyle w:val="Tabletextprimarysource"/>
            </w:pPr>
            <w:r>
              <w:t>Insufficient data to recommend notations for carcinogenicity, skin absorption or sensitisation.</w:t>
            </w:r>
          </w:p>
          <w:p w14:paraId="1406AF69" w14:textId="468D4CBE" w:rsidR="00C44C9D" w:rsidRPr="00DA352E" w:rsidRDefault="00C44C9D" w:rsidP="003365A5">
            <w:pPr>
              <w:pStyle w:val="Tabletextprimarysource"/>
            </w:pPr>
          </w:p>
        </w:tc>
      </w:tr>
      <w:tr w:rsidR="00C978F0" w:rsidRPr="00DA352E" w14:paraId="4D4D6DA5" w14:textId="77777777" w:rsidTr="00516EDF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6900586E" w14:textId="55E7F368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464DA5">
                  <w:t>2005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464DA5">
                  <w:t>MAK: 2 mg/m</w:t>
                </w:r>
                <w:r w:rsidR="00464DA5" w:rsidRPr="00464DA5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39CFC75D" w14:textId="77777777" w:rsidTr="00516EDF">
        <w:trPr>
          <w:gridAfter w:val="1"/>
          <w:wAfter w:w="8" w:type="pct"/>
        </w:trPr>
        <w:tc>
          <w:tcPr>
            <w:tcW w:w="4992" w:type="pct"/>
          </w:tcPr>
          <w:p w14:paraId="05259344" w14:textId="22BEF1EF" w:rsidR="00144450" w:rsidRDefault="00144450" w:rsidP="003365A5">
            <w:pPr>
              <w:pStyle w:val="Tabletextprimarysource"/>
            </w:pPr>
            <w:r>
              <w:t>Summary of additional information:</w:t>
            </w:r>
          </w:p>
          <w:p w14:paraId="6D1C4406" w14:textId="110CED47" w:rsidR="00D7462F" w:rsidRDefault="00144450" w:rsidP="003365A5">
            <w:pPr>
              <w:pStyle w:val="Tabletextprimarysource"/>
            </w:pPr>
            <w:r>
              <w:t xml:space="preserve">Due to lack of substance-specific exposure data, MAK based on inhalation study </w:t>
            </w:r>
            <w:r w:rsidR="00D7462F">
              <w:t>in</w:t>
            </w:r>
            <w:r>
              <w:t xml:space="preserve"> rats exposed to combustion products of phosphorus and analogy to phosphorus pentoxide. </w:t>
            </w:r>
          </w:p>
          <w:p w14:paraId="23635E5B" w14:textId="77777777" w:rsidR="00D7462F" w:rsidRDefault="00144450" w:rsidP="003365A5">
            <w:pPr>
              <w:pStyle w:val="Tabletextprimarysource"/>
            </w:pPr>
            <w:r>
              <w:t xml:space="preserve">Phosphoric acid is the major hydrolysis product of phosphorus pentoxide, which forms from the combustion of elemental phosphorus. </w:t>
            </w:r>
          </w:p>
          <w:p w14:paraId="7770D7D7" w14:textId="0D6A9F67" w:rsidR="00C978F0" w:rsidRDefault="00144450" w:rsidP="003365A5">
            <w:pPr>
              <w:pStyle w:val="Tabletextprimarysource"/>
            </w:pPr>
            <w:r>
              <w:t>A NOAEC of 50 mg/m</w:t>
            </w:r>
            <w:r>
              <w:rPr>
                <w:vertAlign w:val="superscript"/>
              </w:rPr>
              <w:t>3</w:t>
            </w:r>
            <w:r>
              <w:t xml:space="preserve"> </w:t>
            </w:r>
            <w:r w:rsidR="006C22A2">
              <w:t xml:space="preserve">of phosphorus combustion products </w:t>
            </w:r>
            <w:r>
              <w:t xml:space="preserve">for lung tissue damage </w:t>
            </w:r>
            <w:r w:rsidR="006C22A2">
              <w:t>is reported in a sub</w:t>
            </w:r>
            <w:r w:rsidR="00593F14">
              <w:noBreakHyphen/>
            </w:r>
            <w:r w:rsidR="006C22A2">
              <w:t>chronic inhalation study with rats. The inhaled aerosol contained 75% phosphoric acid, the NOAEC for phosphoric acid and phosphorus pentoxide are therefore estimated at 37.5 mg/m</w:t>
            </w:r>
            <w:r w:rsidR="006C22A2">
              <w:rPr>
                <w:vertAlign w:val="superscript"/>
              </w:rPr>
              <w:t>3</w:t>
            </w:r>
            <w:r w:rsidR="006C22A2">
              <w:t xml:space="preserve"> and 27 mg/m</w:t>
            </w:r>
            <w:r w:rsidR="006C22A2">
              <w:rPr>
                <w:vertAlign w:val="superscript"/>
              </w:rPr>
              <w:t>3</w:t>
            </w:r>
            <w:r w:rsidR="006C22A2">
              <w:t>, respectively. The MAK for phosphorus pentoxide is 2 mg/m</w:t>
            </w:r>
            <w:r w:rsidR="006C22A2">
              <w:rPr>
                <w:vertAlign w:val="superscript"/>
              </w:rPr>
              <w:t>3</w:t>
            </w:r>
            <w:r w:rsidR="006C22A2">
              <w:t xml:space="preserve">, which </w:t>
            </w:r>
            <w:r w:rsidR="0086316C">
              <w:t>is equivalent</w:t>
            </w:r>
            <w:r w:rsidR="006C22A2">
              <w:t xml:space="preserve"> to </w:t>
            </w:r>
            <w:r w:rsidR="00D7462F">
              <w:br/>
            </w:r>
            <w:r w:rsidR="006C22A2">
              <w:t>2.5 mg/m</w:t>
            </w:r>
            <w:r w:rsidR="006C22A2">
              <w:rPr>
                <w:vertAlign w:val="superscript"/>
              </w:rPr>
              <w:t>3</w:t>
            </w:r>
            <w:r w:rsidR="006C22A2">
              <w:t xml:space="preserve"> </w:t>
            </w:r>
            <w:r w:rsidR="0086316C">
              <w:t>phosphoric acid. The MAK for phosphoric acid is therefore rounded to 2 mg/m</w:t>
            </w:r>
            <w:r w:rsidR="0086316C">
              <w:rPr>
                <w:vertAlign w:val="superscript"/>
              </w:rPr>
              <w:t>3</w:t>
            </w:r>
            <w:r w:rsidR="0086316C">
              <w:t xml:space="preserve"> </w:t>
            </w:r>
            <w:r w:rsidR="00BB5514">
              <w:t xml:space="preserve">according to </w:t>
            </w:r>
            <w:r w:rsidR="0086316C">
              <w:t xml:space="preserve">the </w:t>
            </w:r>
            <w:r w:rsidR="00BB5514">
              <w:t>DFG methodology</w:t>
            </w:r>
            <w:r w:rsidR="0086316C">
              <w:t>.</w:t>
            </w:r>
          </w:p>
          <w:p w14:paraId="58744D01" w14:textId="77777777" w:rsidR="00F0770E" w:rsidRDefault="00F0770E" w:rsidP="003365A5">
            <w:pPr>
              <w:pStyle w:val="Tabletextprimarysource"/>
            </w:pPr>
            <w:r>
              <w:t>Notations for skin absorption and sensitisation not assigned by analogy to phosphorus pentoxide.</w:t>
            </w:r>
          </w:p>
          <w:p w14:paraId="6785718B" w14:textId="05074749" w:rsidR="00F0770E" w:rsidRDefault="00F0770E" w:rsidP="003365A5">
            <w:pPr>
              <w:pStyle w:val="Tabletextprimarysource"/>
            </w:pPr>
            <w:r>
              <w:t>Human data:</w:t>
            </w:r>
          </w:p>
          <w:p w14:paraId="74781120" w14:textId="6CB37A09" w:rsidR="00F0770E" w:rsidRDefault="00F614B5" w:rsidP="00F614B5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None </w:t>
            </w:r>
            <w:r w:rsidR="00471458">
              <w:t>reported</w:t>
            </w:r>
            <w:r w:rsidR="009F6660">
              <w:t>.</w:t>
            </w:r>
          </w:p>
          <w:p w14:paraId="03466D80" w14:textId="32F4CD63" w:rsidR="00F0770E" w:rsidRDefault="00F0770E" w:rsidP="003365A5">
            <w:pPr>
              <w:pStyle w:val="Tabletextprimarysource"/>
            </w:pPr>
            <w:r>
              <w:lastRenderedPageBreak/>
              <w:t>Animal data:</w:t>
            </w:r>
          </w:p>
          <w:p w14:paraId="6DBEB6B1" w14:textId="2F059F2E" w:rsidR="00604D16" w:rsidRDefault="00604D16" w:rsidP="00604D16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Lung tissue damage, particularly within terminal bronchioles, </w:t>
            </w:r>
            <w:r w:rsidR="00F614B5">
              <w:t xml:space="preserve">from exposure to phosphorus combustion products and rubber (95:5) </w:t>
            </w:r>
            <w:r>
              <w:t>reported in</w:t>
            </w:r>
            <w:r w:rsidR="00EF0767">
              <w:t xml:space="preserve"> 2</w:t>
            </w:r>
            <w:r>
              <w:t xml:space="preserve"> sub</w:t>
            </w:r>
            <w:r w:rsidR="00593F14">
              <w:t>-</w:t>
            </w:r>
            <w:r>
              <w:t xml:space="preserve">chronic inhalation studies </w:t>
            </w:r>
            <w:r w:rsidR="00F614B5">
              <w:t>(rats, 2.25 h/d, 4 d/</w:t>
            </w:r>
            <w:proofErr w:type="spellStart"/>
            <w:r w:rsidR="00F614B5">
              <w:t>wk</w:t>
            </w:r>
            <w:proofErr w:type="spellEnd"/>
            <w:r w:rsidR="00F614B5">
              <w:t xml:space="preserve">, 13 </w:t>
            </w:r>
            <w:proofErr w:type="spellStart"/>
            <w:r w:rsidR="00F614B5">
              <w:t>wk</w:t>
            </w:r>
            <w:proofErr w:type="spellEnd"/>
            <w:r w:rsidR="00F614B5">
              <w:t>)</w:t>
            </w:r>
            <w:r w:rsidR="00C44C9D">
              <w:t>:</w:t>
            </w:r>
          </w:p>
          <w:p w14:paraId="30852D32" w14:textId="58C1DBC7" w:rsidR="00F614B5" w:rsidRDefault="00F614B5" w:rsidP="00D7462F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NOAEC: 50 mg/m</w:t>
            </w:r>
            <w:r>
              <w:rPr>
                <w:vertAlign w:val="superscript"/>
              </w:rPr>
              <w:t>3</w:t>
            </w:r>
            <w:r>
              <w:t xml:space="preserve"> </w:t>
            </w:r>
            <w:r>
              <w:rPr>
                <w:rFonts w:cs="Arial"/>
              </w:rPr>
              <w:t>≡</w:t>
            </w:r>
            <w:r>
              <w:t>37.5 mg/m</w:t>
            </w:r>
            <w:r>
              <w:rPr>
                <w:vertAlign w:val="superscript"/>
              </w:rPr>
              <w:t>3</w:t>
            </w:r>
            <w:r>
              <w:t xml:space="preserve"> phosphoric acid</w:t>
            </w:r>
          </w:p>
          <w:p w14:paraId="201957E8" w14:textId="2913EA54" w:rsidR="00F614B5" w:rsidRDefault="00F614B5" w:rsidP="00D7462F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LOAEC: 180 mg/m</w:t>
            </w:r>
            <w:r>
              <w:rPr>
                <w:vertAlign w:val="superscript"/>
              </w:rPr>
              <w:t>3</w:t>
            </w:r>
            <w:r>
              <w:t xml:space="preserve"> </w:t>
            </w:r>
            <w:r>
              <w:rPr>
                <w:rFonts w:cs="Arial"/>
              </w:rPr>
              <w:t>≡</w:t>
            </w:r>
            <w:r>
              <w:t>135 mg/m</w:t>
            </w:r>
            <w:r>
              <w:rPr>
                <w:vertAlign w:val="superscript"/>
              </w:rPr>
              <w:t>3</w:t>
            </w:r>
            <w:r>
              <w:t xml:space="preserve"> phosphoric acid</w:t>
            </w:r>
            <w:r w:rsidR="00EF0767">
              <w:t>; LOAEC (of second study): 300 mg/m</w:t>
            </w:r>
            <w:r w:rsidR="00EF0767">
              <w:rPr>
                <w:vertAlign w:val="superscript"/>
              </w:rPr>
              <w:t>3</w:t>
            </w:r>
            <w:r w:rsidR="00EF0767">
              <w:t xml:space="preserve"> </w:t>
            </w:r>
            <w:r w:rsidR="00EF0767">
              <w:rPr>
                <w:rFonts w:cs="Arial"/>
              </w:rPr>
              <w:t>≡</w:t>
            </w:r>
            <w:r w:rsidR="00EF0767">
              <w:t>225 mg/m</w:t>
            </w:r>
            <w:r w:rsidR="00EF0767">
              <w:rPr>
                <w:vertAlign w:val="superscript"/>
              </w:rPr>
              <w:t>3</w:t>
            </w:r>
            <w:r w:rsidR="00EF0767">
              <w:t xml:space="preserve"> phosphoric acid</w:t>
            </w:r>
          </w:p>
          <w:p w14:paraId="3121CD0F" w14:textId="5C34E806" w:rsidR="00F0770E" w:rsidRDefault="00604D16" w:rsidP="00604D16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Non-mutagenic </w:t>
            </w:r>
            <w:r>
              <w:rPr>
                <w:i/>
              </w:rPr>
              <w:t>in vitro</w:t>
            </w:r>
            <w:r>
              <w:t xml:space="preserve"> in bacteria and rat hepatocytes; DNA repair suppression at high concentrations attributed to low pH rather than substance-specific action</w:t>
            </w:r>
          </w:p>
          <w:p w14:paraId="74B6168D" w14:textId="21E2B2C8" w:rsidR="00604D16" w:rsidRDefault="00604D16" w:rsidP="00604D16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Non-mutagenic </w:t>
            </w:r>
            <w:r>
              <w:rPr>
                <w:i/>
              </w:rPr>
              <w:t>in vivo</w:t>
            </w:r>
            <w:r>
              <w:t xml:space="preserve"> in recessive lethal mutation assay with </w:t>
            </w:r>
            <w:r w:rsidR="00516EDF">
              <w:rPr>
                <w:i/>
              </w:rPr>
              <w:t>D.</w:t>
            </w:r>
            <w:r>
              <w:rPr>
                <w:i/>
              </w:rPr>
              <w:t xml:space="preserve"> melanogaster</w:t>
            </w:r>
          </w:p>
          <w:p w14:paraId="530C6AE9" w14:textId="46A898AF" w:rsidR="00604D16" w:rsidRDefault="00604D16" w:rsidP="00604D16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Clastogenic </w:t>
            </w:r>
            <w:r>
              <w:rPr>
                <w:i/>
              </w:rPr>
              <w:t>in vitro</w:t>
            </w:r>
            <w:r>
              <w:t xml:space="preserve"> in Chinese hamster ovarian cells at high concentrations due to low pH</w:t>
            </w:r>
          </w:p>
          <w:p w14:paraId="4CF641F9" w14:textId="42C4A9DE" w:rsidR="00F614B5" w:rsidRDefault="00F614B5" w:rsidP="00604D16">
            <w:pPr>
              <w:pStyle w:val="Tabletextprimarysource"/>
              <w:numPr>
                <w:ilvl w:val="0"/>
                <w:numId w:val="1"/>
              </w:numPr>
            </w:pPr>
            <w:r>
              <w:t>No ADME data presented</w:t>
            </w:r>
            <w:r w:rsidR="009F6660">
              <w:t>.</w:t>
            </w:r>
          </w:p>
          <w:p w14:paraId="6150ADE4" w14:textId="77777777" w:rsidR="00C44C9D" w:rsidRDefault="00C44C9D" w:rsidP="003365A5">
            <w:pPr>
              <w:pStyle w:val="Tabletextprimarysource"/>
            </w:pPr>
          </w:p>
          <w:p w14:paraId="1FA44967" w14:textId="77777777" w:rsidR="00F0770E" w:rsidRDefault="00F0770E" w:rsidP="003365A5">
            <w:pPr>
              <w:pStyle w:val="Tabletextprimarysource"/>
            </w:pPr>
            <w:r>
              <w:t>Insufficient data to assign carcinogenicity notation.</w:t>
            </w:r>
          </w:p>
          <w:p w14:paraId="2E742C2F" w14:textId="4903536D" w:rsidR="00C44C9D" w:rsidRPr="0086316C" w:rsidRDefault="00C44C9D" w:rsidP="003365A5">
            <w:pPr>
              <w:pStyle w:val="Tabletextprimarysource"/>
            </w:pPr>
          </w:p>
        </w:tc>
      </w:tr>
      <w:tr w:rsidR="00C978F0" w:rsidRPr="00DA352E" w14:paraId="2FE3D9E3" w14:textId="77777777" w:rsidTr="00516EDF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73200EC7" w14:textId="19100F99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464DA5">
                  <w:t>1991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464DA5">
                  <w:t>TWA: 0.2 ppm (1 mg/m</w:t>
                </w:r>
                <w:r w:rsidR="00464DA5" w:rsidRPr="00464DA5">
                  <w:rPr>
                    <w:vertAlign w:val="superscript"/>
                  </w:rPr>
                  <w:t>3</w:t>
                </w:r>
                <w:r w:rsidR="00516EDF">
                  <w:t>); STEL</w:t>
                </w:r>
                <w:r w:rsidR="00464DA5">
                  <w:t>: 0.5 ppm (2</w:t>
                </w:r>
                <w:r w:rsidR="00107118">
                  <w:t> </w:t>
                </w:r>
                <w:r w:rsidR="00464DA5">
                  <w:t>mg/m</w:t>
                </w:r>
                <w:r w:rsidR="00464DA5" w:rsidRPr="00464DA5">
                  <w:rPr>
                    <w:vertAlign w:val="superscript"/>
                  </w:rPr>
                  <w:t>3</w:t>
                </w:r>
                <w:r w:rsidR="00464DA5">
                  <w:t>)</w:t>
                </w:r>
              </w:sdtContent>
            </w:sdt>
          </w:p>
        </w:tc>
      </w:tr>
      <w:tr w:rsidR="00C978F0" w:rsidRPr="00DA352E" w14:paraId="248A32E9" w14:textId="77777777" w:rsidTr="00516EDF">
        <w:trPr>
          <w:gridAfter w:val="1"/>
          <w:wAfter w:w="8" w:type="pct"/>
        </w:trPr>
        <w:tc>
          <w:tcPr>
            <w:tcW w:w="4992" w:type="pct"/>
          </w:tcPr>
          <w:p w14:paraId="4D866AB2" w14:textId="18EC5372" w:rsidR="00C978F0" w:rsidRDefault="00A829C7" w:rsidP="003365A5">
            <w:pPr>
              <w:pStyle w:val="Tabletextprimarysource"/>
            </w:pPr>
            <w:r>
              <w:t>Summary of additional information:</w:t>
            </w:r>
          </w:p>
          <w:p w14:paraId="3D49F24A" w14:textId="0CBB28E1" w:rsidR="003465E7" w:rsidRDefault="003465E7" w:rsidP="003365A5">
            <w:pPr>
              <w:pStyle w:val="Tabletextprimarysource"/>
            </w:pPr>
            <w:r>
              <w:t>Further data regarding irritation threshold in humans are required for a complete assessment. OEL recommendation adopted from TLV presented by ACGIH (1989).</w:t>
            </w:r>
          </w:p>
          <w:p w14:paraId="0546A6E6" w14:textId="77777777" w:rsidR="00A829C7" w:rsidRDefault="00A829C7" w:rsidP="003365A5">
            <w:pPr>
              <w:pStyle w:val="Tabletextprimarysource"/>
            </w:pPr>
            <w:r>
              <w:t>Human data:</w:t>
            </w:r>
          </w:p>
          <w:p w14:paraId="14A84E5C" w14:textId="77777777" w:rsidR="00A829C7" w:rsidRDefault="00A829C7" w:rsidP="00A829C7">
            <w:pPr>
              <w:pStyle w:val="Tabletextprimarysource"/>
              <w:numPr>
                <w:ilvl w:val="0"/>
                <w:numId w:val="1"/>
              </w:numPr>
            </w:pPr>
            <w:r>
              <w:t>Occupational exposure not expected to significantly impact total phosphate burden, irritational effects due to substance acidity therefore expected to be critical</w:t>
            </w:r>
          </w:p>
          <w:p w14:paraId="6F8C6EE9" w14:textId="77777777" w:rsidR="00A829C7" w:rsidRDefault="003465E7" w:rsidP="00A829C7">
            <w:pPr>
              <w:pStyle w:val="Tabletextprimarysource"/>
              <w:numPr>
                <w:ilvl w:val="0"/>
                <w:numId w:val="1"/>
              </w:numPr>
            </w:pPr>
            <w:r>
              <w:t>Assessments</w:t>
            </w:r>
            <w:r w:rsidR="00A829C7">
              <w:t xml:space="preserve"> based on phosphorus pentoxide likely to overestimate potential risk due to </w:t>
            </w:r>
            <w:r>
              <w:t>additional desiccant action</w:t>
            </w:r>
            <w:r w:rsidR="009F6660">
              <w:t>.</w:t>
            </w:r>
          </w:p>
          <w:p w14:paraId="532A9B07" w14:textId="68B7D5A8" w:rsidR="00C44C9D" w:rsidRPr="00DA352E" w:rsidRDefault="00C44C9D" w:rsidP="00D7462F">
            <w:pPr>
              <w:pStyle w:val="Tabletextprimarysource"/>
            </w:pPr>
          </w:p>
        </w:tc>
      </w:tr>
      <w:tr w:rsidR="00DA352E" w:rsidRPr="00DA352E" w14:paraId="16CC2A6E" w14:textId="77777777" w:rsidTr="00516EDF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64CFE68A" w14:textId="2BA270C6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464DA5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464DA5">
                  <w:t>NA</w:t>
                </w:r>
                <w:proofErr w:type="spellEnd"/>
              </w:sdtContent>
            </w:sdt>
          </w:p>
        </w:tc>
      </w:tr>
      <w:tr w:rsidR="00DA352E" w:rsidRPr="00DA352E" w14:paraId="43288E87" w14:textId="77777777" w:rsidTr="00516EDF">
        <w:trPr>
          <w:gridAfter w:val="1"/>
          <w:wAfter w:w="8" w:type="pct"/>
        </w:trPr>
        <w:tc>
          <w:tcPr>
            <w:tcW w:w="4992" w:type="pct"/>
          </w:tcPr>
          <w:p w14:paraId="31847FD3" w14:textId="08FAB325" w:rsidR="00DA352E" w:rsidRPr="00DA352E" w:rsidRDefault="00464DA5" w:rsidP="003365A5">
            <w:pPr>
              <w:pStyle w:val="Tabletextprimarysource"/>
            </w:pPr>
            <w:r>
              <w:t>No report</w:t>
            </w:r>
            <w:r w:rsidR="009F6660">
              <w:t>.</w:t>
            </w:r>
          </w:p>
        </w:tc>
      </w:tr>
      <w:tr w:rsidR="00DA352E" w:rsidRPr="00DA352E" w14:paraId="7EEF19B7" w14:textId="77777777" w:rsidTr="00516EDF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05F0B8D3" w14:textId="051A3219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464DA5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464DA5">
                  <w:t>NA</w:t>
                </w:r>
                <w:proofErr w:type="spellEnd"/>
              </w:sdtContent>
            </w:sdt>
          </w:p>
        </w:tc>
      </w:tr>
      <w:tr w:rsidR="00DA352E" w:rsidRPr="00DA352E" w14:paraId="4F1967CE" w14:textId="77777777" w:rsidTr="00516EDF">
        <w:trPr>
          <w:gridAfter w:val="1"/>
          <w:wAfter w:w="8" w:type="pct"/>
        </w:trPr>
        <w:tc>
          <w:tcPr>
            <w:tcW w:w="4992" w:type="pct"/>
          </w:tcPr>
          <w:p w14:paraId="35BA81FC" w14:textId="14B742B3" w:rsidR="00DA352E" w:rsidRPr="00DA352E" w:rsidRDefault="00464DA5" w:rsidP="003365A5">
            <w:pPr>
              <w:pStyle w:val="Tabletextprimarysource"/>
            </w:pPr>
            <w:r>
              <w:t>No report</w:t>
            </w:r>
            <w:r w:rsidR="009F6660">
              <w:t>.</w:t>
            </w:r>
          </w:p>
        </w:tc>
      </w:tr>
    </w:tbl>
    <w:p w14:paraId="1CB019B6" w14:textId="77777777" w:rsidR="00A20751" w:rsidRPr="004C23F4" w:rsidRDefault="00A20751" w:rsidP="009F6660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1"/>
        <w:gridCol w:w="422"/>
        <w:gridCol w:w="661"/>
        <w:gridCol w:w="6452"/>
      </w:tblGrid>
      <w:tr w:rsidR="009F561F" w:rsidRPr="00263255" w14:paraId="5615459B" w14:textId="77777777" w:rsidTr="00516EDF">
        <w:trPr>
          <w:cantSplit/>
          <w:trHeight w:val="393"/>
          <w:tblHeader/>
        </w:trPr>
        <w:tc>
          <w:tcPr>
            <w:tcW w:w="1491" w:type="dxa"/>
            <w:shd w:val="clear" w:color="auto" w:fill="BFBFBF" w:themeFill="background1" w:themeFillShade="BF"/>
            <w:vAlign w:val="center"/>
          </w:tcPr>
          <w:p w14:paraId="2AD726B9" w14:textId="77777777" w:rsidR="004966BF" w:rsidRPr="00263255" w:rsidRDefault="004966BF" w:rsidP="00516EDF">
            <w:pPr>
              <w:pStyle w:val="Tableheader"/>
              <w:keepNext/>
            </w:pPr>
            <w:r w:rsidRPr="00263255">
              <w:t>Source</w:t>
            </w:r>
          </w:p>
        </w:tc>
        <w:tc>
          <w:tcPr>
            <w:tcW w:w="422" w:type="dxa"/>
            <w:shd w:val="clear" w:color="auto" w:fill="BFBFBF" w:themeFill="background1" w:themeFillShade="BF"/>
            <w:vAlign w:val="center"/>
          </w:tcPr>
          <w:p w14:paraId="1AF54540" w14:textId="77777777" w:rsidR="004966BF" w:rsidRPr="00263255" w:rsidRDefault="004966BF" w:rsidP="00516EDF">
            <w:pPr>
              <w:pStyle w:val="Tableheader"/>
              <w:keepNext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4E6E6B03" w14:textId="77777777" w:rsidR="004966BF" w:rsidRPr="00263255" w:rsidRDefault="004966BF" w:rsidP="00516EDF">
            <w:pPr>
              <w:pStyle w:val="Tableheader"/>
              <w:keepNext/>
            </w:pPr>
            <w:r>
              <w:t>Year</w:t>
            </w:r>
          </w:p>
        </w:tc>
        <w:tc>
          <w:tcPr>
            <w:tcW w:w="6452" w:type="dxa"/>
            <w:shd w:val="clear" w:color="auto" w:fill="BFBFBF" w:themeFill="background1" w:themeFillShade="BF"/>
            <w:vAlign w:val="center"/>
          </w:tcPr>
          <w:p w14:paraId="7D0C25DB" w14:textId="77777777" w:rsidR="004966BF" w:rsidRPr="00263255" w:rsidRDefault="004966BF" w:rsidP="00516EDF">
            <w:pPr>
              <w:pStyle w:val="Tableheader"/>
              <w:keepNext/>
            </w:pPr>
            <w:r>
              <w:t>Additional information</w:t>
            </w:r>
          </w:p>
        </w:tc>
      </w:tr>
      <w:tr w:rsidR="004966BF" w:rsidRPr="004C23F4" w14:paraId="737FB568" w14:textId="77777777" w:rsidTr="00516EDF">
        <w:trPr>
          <w:cantSplit/>
        </w:trPr>
        <w:tc>
          <w:tcPr>
            <w:tcW w:w="1491" w:type="dxa"/>
          </w:tcPr>
          <w:p w14:paraId="0668F082" w14:textId="77777777" w:rsidR="004966BF" w:rsidRPr="004C23F4" w:rsidRDefault="004966BF" w:rsidP="00516EDF">
            <w:pPr>
              <w:pStyle w:val="Tablefont"/>
              <w:keepNext/>
            </w:pPr>
            <w:r>
              <w:t>NICNAS</w:t>
            </w:r>
          </w:p>
        </w:tc>
        <w:tc>
          <w:tcPr>
            <w:tcW w:w="422" w:type="dxa"/>
          </w:tcPr>
          <w:p w14:paraId="02DF5650" w14:textId="465D245A" w:rsidR="004966BF" w:rsidRPr="00CE617F" w:rsidRDefault="00B90F85" w:rsidP="00516EDF">
            <w:pPr>
              <w:keepNext/>
              <w:spacing w:before="40"/>
              <w:jc w:val="center"/>
              <w:rPr>
                <w:rStyle w:val="checkbox"/>
                <w:lang w:eastAsia="en-AU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D05F3E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4CFEFF8C" w14:textId="0A34B7CB" w:rsidR="004966BF" w:rsidRPr="004C23F4" w:rsidRDefault="00D05F3E" w:rsidP="00516EDF">
            <w:pPr>
              <w:pStyle w:val="Tablefont"/>
              <w:keepNext/>
              <w:rPr>
                <w:rStyle w:val="checkbox"/>
                <w:rFonts w:ascii="Arial" w:hAnsi="Arial" w:cs="Arial"/>
                <w:lang w:eastAsia="en-US"/>
              </w:rPr>
            </w:pPr>
            <w:r>
              <w:rPr>
                <w:rStyle w:val="checkbox"/>
                <w:rFonts w:ascii="Arial" w:hAnsi="Arial" w:cs="Arial"/>
              </w:rPr>
              <w:t>2016</w:t>
            </w:r>
          </w:p>
        </w:tc>
        <w:tc>
          <w:tcPr>
            <w:tcW w:w="6452" w:type="dxa"/>
          </w:tcPr>
          <w:p w14:paraId="5E8FFE60" w14:textId="776E7A0C" w:rsidR="00D05F3E" w:rsidRDefault="00D05F3E" w:rsidP="00D7462F">
            <w:pPr>
              <w:pStyle w:val="Tablefont"/>
              <w:keepNext/>
              <w:numPr>
                <w:ilvl w:val="0"/>
                <w:numId w:val="1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Critical effects are irritation of the eyes, skin, </w:t>
            </w:r>
            <w:r w:rsidR="00D7462F">
              <w:rPr>
                <w:rStyle w:val="checkbox"/>
                <w:rFonts w:ascii="Arial" w:hAnsi="Arial" w:cs="Arial"/>
              </w:rPr>
              <w:t>GIT</w:t>
            </w:r>
            <w:r>
              <w:rPr>
                <w:rStyle w:val="checkbox"/>
                <w:rFonts w:ascii="Arial" w:hAnsi="Arial" w:cs="Arial"/>
              </w:rPr>
              <w:t xml:space="preserve"> and respiratory tract</w:t>
            </w:r>
          </w:p>
          <w:p w14:paraId="3876393F" w14:textId="644D1232" w:rsidR="00D05F3E" w:rsidRDefault="007F0943" w:rsidP="00D7462F">
            <w:pPr>
              <w:pStyle w:val="Tablefont"/>
              <w:keepNext/>
              <w:numPr>
                <w:ilvl w:val="0"/>
                <w:numId w:val="1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Dermal LD</w:t>
            </w:r>
            <w:r>
              <w:rPr>
                <w:rStyle w:val="checkbox"/>
                <w:rFonts w:ascii="Arial" w:hAnsi="Arial" w:cs="Arial"/>
                <w:vertAlign w:val="subscript"/>
              </w:rPr>
              <w:t>50</w:t>
            </w:r>
            <w:r>
              <w:rPr>
                <w:rStyle w:val="checkbox"/>
                <w:rFonts w:ascii="Arial" w:hAnsi="Arial" w:cs="Arial"/>
              </w:rPr>
              <w:t>: 1,260</w:t>
            </w:r>
            <w:r w:rsidR="00D05F3E">
              <w:rPr>
                <w:rStyle w:val="checkbox"/>
                <w:rFonts w:ascii="Arial" w:hAnsi="Arial" w:cs="Arial"/>
              </w:rPr>
              <w:t xml:space="preserve"> mg/kg (rabbits, 85% phosphoric acid) study limited by number of test animals</w:t>
            </w:r>
          </w:p>
          <w:p w14:paraId="6D9E7873" w14:textId="55867F9A" w:rsidR="00D05F3E" w:rsidRPr="007F0943" w:rsidRDefault="00D05F3E" w:rsidP="00D7462F">
            <w:pPr>
              <w:pStyle w:val="Tablefont"/>
              <w:keepNext/>
              <w:numPr>
                <w:ilvl w:val="0"/>
                <w:numId w:val="1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LC</w:t>
            </w:r>
            <w:r>
              <w:rPr>
                <w:rStyle w:val="checkbox"/>
                <w:rFonts w:ascii="Arial" w:hAnsi="Arial" w:cs="Arial"/>
                <w:vertAlign w:val="subscript"/>
              </w:rPr>
              <w:t>50</w:t>
            </w:r>
            <w:r>
              <w:rPr>
                <w:rStyle w:val="checkbox"/>
                <w:rFonts w:ascii="Arial" w:hAnsi="Arial" w:cs="Arial"/>
              </w:rPr>
              <w:t xml:space="preserve"> (1 h): 5,337 mg/m</w:t>
            </w:r>
            <w:r>
              <w:rPr>
                <w:rStyle w:val="checkbox"/>
                <w:rFonts w:ascii="Arial" w:hAnsi="Arial" w:cs="Arial"/>
                <w:vertAlign w:val="superscript"/>
              </w:rPr>
              <w:t>3</w:t>
            </w:r>
            <w:r>
              <w:rPr>
                <w:rStyle w:val="checkbox"/>
                <w:rFonts w:ascii="Arial" w:hAnsi="Arial" w:cs="Arial"/>
              </w:rPr>
              <w:t xml:space="preserve"> (rabbits), 3,846 mg/m</w:t>
            </w:r>
            <w:r>
              <w:rPr>
                <w:rStyle w:val="checkbox"/>
                <w:rFonts w:ascii="Arial" w:hAnsi="Arial" w:cs="Arial"/>
                <w:vertAlign w:val="superscript"/>
              </w:rPr>
              <w:t>3</w:t>
            </w:r>
            <w:r>
              <w:rPr>
                <w:rStyle w:val="checkbox"/>
                <w:rFonts w:ascii="Arial" w:hAnsi="Arial" w:cs="Arial"/>
              </w:rPr>
              <w:t xml:space="preserve"> (rats), 856 mg/m</w:t>
            </w:r>
            <w:r>
              <w:rPr>
                <w:rStyle w:val="checkbox"/>
                <w:rFonts w:ascii="Arial" w:hAnsi="Arial" w:cs="Arial"/>
                <w:vertAlign w:val="superscript"/>
              </w:rPr>
              <w:t>3</w:t>
            </w:r>
            <w:r>
              <w:rPr>
                <w:rStyle w:val="checkbox"/>
                <w:rFonts w:ascii="Arial" w:hAnsi="Arial" w:cs="Arial"/>
              </w:rPr>
              <w:t xml:space="preserve"> (mice), 193 mg/m</w:t>
            </w:r>
            <w:r>
              <w:rPr>
                <w:rStyle w:val="checkbox"/>
                <w:rFonts w:ascii="Arial" w:hAnsi="Arial" w:cs="Arial"/>
                <w:vertAlign w:val="superscript"/>
              </w:rPr>
              <w:t>3</w:t>
            </w:r>
            <w:r>
              <w:rPr>
                <w:rStyle w:val="checkbox"/>
                <w:rFonts w:ascii="Arial" w:hAnsi="Arial" w:cs="Arial"/>
              </w:rPr>
              <w:t xml:space="preserve"> (guinea pigs)</w:t>
            </w:r>
            <w:r w:rsidR="009F6660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1D40C6A1" w14:textId="77777777" w:rsidTr="00516EDF">
        <w:trPr>
          <w:cantSplit/>
        </w:trPr>
        <w:tc>
          <w:tcPr>
            <w:tcW w:w="1491" w:type="dxa"/>
          </w:tcPr>
          <w:p w14:paraId="45063627" w14:textId="77777777" w:rsidR="004966BF" w:rsidRPr="004C23F4" w:rsidRDefault="004966BF" w:rsidP="00224EE2">
            <w:pPr>
              <w:pStyle w:val="Tablefont"/>
            </w:pPr>
            <w:r>
              <w:t>ECHA</w:t>
            </w:r>
          </w:p>
        </w:tc>
        <w:tc>
          <w:tcPr>
            <w:tcW w:w="422" w:type="dxa"/>
          </w:tcPr>
          <w:p w14:paraId="1A585FE5" w14:textId="25302FC5" w:rsidR="004966BF" w:rsidRPr="00CE617F" w:rsidRDefault="00B90F85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9F561F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4B6392FB" w14:textId="45E7E689" w:rsidR="004966BF" w:rsidRPr="004C23F4" w:rsidRDefault="009F561F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2020</w:t>
            </w:r>
          </w:p>
        </w:tc>
        <w:tc>
          <w:tcPr>
            <w:tcW w:w="6452" w:type="dxa"/>
          </w:tcPr>
          <w:p w14:paraId="0C9A3ECB" w14:textId="1C9B4592" w:rsidR="009F561F" w:rsidRDefault="009F561F" w:rsidP="00D7462F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DNELs based on NOAEL of 323 mg/kg/d for </w:t>
            </w:r>
            <w:proofErr w:type="spellStart"/>
            <w:r>
              <w:rPr>
                <w:rStyle w:val="checkbox"/>
                <w:rFonts w:ascii="Arial" w:hAnsi="Arial" w:cs="Arial"/>
              </w:rPr>
              <w:t>bw</w:t>
            </w:r>
            <w:proofErr w:type="spellEnd"/>
            <w:r>
              <w:rPr>
                <w:rStyle w:val="checkbox"/>
                <w:rFonts w:ascii="Arial" w:hAnsi="Arial" w:cs="Arial"/>
              </w:rPr>
              <w:t xml:space="preserve"> reduction reported in chronic feeding study (dogs, 6 </w:t>
            </w:r>
            <w:proofErr w:type="spellStart"/>
            <w:r>
              <w:rPr>
                <w:rStyle w:val="checkbox"/>
                <w:rFonts w:ascii="Arial" w:hAnsi="Arial" w:cs="Arial"/>
              </w:rPr>
              <w:t>mo</w:t>
            </w:r>
            <w:proofErr w:type="spellEnd"/>
            <w:r>
              <w:rPr>
                <w:rStyle w:val="checkbox"/>
                <w:rFonts w:ascii="Arial" w:hAnsi="Arial" w:cs="Arial"/>
              </w:rPr>
              <w:t>)</w:t>
            </w:r>
            <w:r w:rsidR="00C44C9D">
              <w:rPr>
                <w:rStyle w:val="checkbox"/>
                <w:rFonts w:ascii="Arial" w:hAnsi="Arial" w:cs="Arial"/>
              </w:rPr>
              <w:t>:</w:t>
            </w:r>
          </w:p>
          <w:p w14:paraId="6D22D232" w14:textId="1AE5BFC8" w:rsidR="009F561F" w:rsidRPr="009F561F" w:rsidRDefault="009F561F" w:rsidP="00D7462F">
            <w:pPr>
              <w:pStyle w:val="Tablefont"/>
              <w:numPr>
                <w:ilvl w:val="1"/>
                <w:numId w:val="1"/>
              </w:numPr>
              <w:spacing w:before="60" w:after="60"/>
              <w:ind w:left="1077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long-term systemic DNEL: 10.7 mg/m</w:t>
            </w:r>
            <w:r>
              <w:rPr>
                <w:rStyle w:val="checkbox"/>
                <w:rFonts w:ascii="Arial" w:hAnsi="Arial" w:cs="Arial"/>
                <w:vertAlign w:val="superscript"/>
              </w:rPr>
              <w:t>3</w:t>
            </w:r>
          </w:p>
          <w:p w14:paraId="70FCFE0F" w14:textId="628A8D8F" w:rsidR="004966BF" w:rsidRDefault="009F561F" w:rsidP="00D7462F">
            <w:pPr>
              <w:pStyle w:val="Tablefont"/>
              <w:numPr>
                <w:ilvl w:val="1"/>
                <w:numId w:val="1"/>
              </w:numPr>
              <w:spacing w:before="60" w:after="60"/>
              <w:ind w:left="1077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long-term local irritation DNEL: 1 mg/m</w:t>
            </w:r>
            <w:r>
              <w:rPr>
                <w:rStyle w:val="checkbox"/>
                <w:rFonts w:ascii="Arial" w:hAnsi="Arial" w:cs="Arial"/>
                <w:vertAlign w:val="superscript"/>
              </w:rPr>
              <w:t>3</w:t>
            </w:r>
          </w:p>
          <w:p w14:paraId="460A8944" w14:textId="7373A8E4" w:rsidR="009F561F" w:rsidRPr="009F561F" w:rsidRDefault="009F561F" w:rsidP="00D7462F">
            <w:pPr>
              <w:pStyle w:val="Tablefont"/>
              <w:numPr>
                <w:ilvl w:val="1"/>
                <w:numId w:val="1"/>
              </w:numPr>
              <w:spacing w:before="60" w:after="60"/>
              <w:ind w:left="1077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short-term local DNEL: 2 mg/m</w:t>
            </w:r>
            <w:r>
              <w:rPr>
                <w:rStyle w:val="checkbox"/>
                <w:rFonts w:ascii="Arial" w:hAnsi="Arial" w:cs="Arial"/>
                <w:vertAlign w:val="superscript"/>
              </w:rPr>
              <w:t>3</w:t>
            </w:r>
            <w:r w:rsidR="00BE7A7D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3EB9F2B1" w14:textId="77777777" w:rsidTr="00516EDF">
        <w:trPr>
          <w:cantSplit/>
        </w:trPr>
        <w:tc>
          <w:tcPr>
            <w:tcW w:w="1491" w:type="dxa"/>
          </w:tcPr>
          <w:p w14:paraId="5910C88E" w14:textId="77777777" w:rsidR="004966BF" w:rsidRPr="004C23F4" w:rsidRDefault="004966BF" w:rsidP="00224EE2">
            <w:pPr>
              <w:pStyle w:val="Tablefont"/>
            </w:pPr>
            <w:r>
              <w:lastRenderedPageBreak/>
              <w:t>OECD</w:t>
            </w:r>
          </w:p>
        </w:tc>
        <w:tc>
          <w:tcPr>
            <w:tcW w:w="422" w:type="dxa"/>
          </w:tcPr>
          <w:p w14:paraId="73EAE705" w14:textId="04794322" w:rsidR="004966BF" w:rsidRPr="00CE617F" w:rsidRDefault="00B90F85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491947220"/>
                <w:placeholder>
                  <w:docPart w:val="320A77D155374054996F168A20882C2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981738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15AD9930" w14:textId="3F92C005" w:rsidR="004966BF" w:rsidRPr="004C23F4" w:rsidRDefault="007F0943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2009</w:t>
            </w:r>
          </w:p>
        </w:tc>
        <w:tc>
          <w:tcPr>
            <w:tcW w:w="6452" w:type="dxa"/>
          </w:tcPr>
          <w:p w14:paraId="3FDA8F58" w14:textId="5F1B59ED" w:rsidR="004966BF" w:rsidRPr="004C23F4" w:rsidRDefault="00981738" w:rsidP="00D7462F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Fonts w:cs="Arial"/>
              </w:rPr>
              <w:t xml:space="preserve">No effects on reproduction and development in controlled repeat gavage study with exposure groups 125–500 mg/kg/d (rats, 2 </w:t>
            </w:r>
            <w:proofErr w:type="spellStart"/>
            <w:r>
              <w:rPr>
                <w:rFonts w:cs="Arial"/>
              </w:rPr>
              <w:t>wk</w:t>
            </w:r>
            <w:proofErr w:type="spellEnd"/>
            <w:r>
              <w:rPr>
                <w:rFonts w:cs="Arial"/>
              </w:rPr>
              <w:t>)</w:t>
            </w:r>
            <w:r w:rsidR="00BE7A7D">
              <w:rPr>
                <w:rFonts w:cs="Arial"/>
              </w:rPr>
              <w:t>.</w:t>
            </w:r>
          </w:p>
        </w:tc>
      </w:tr>
      <w:tr w:rsidR="004966BF" w:rsidRPr="004C23F4" w14:paraId="1784900E" w14:textId="77777777" w:rsidTr="00516EDF">
        <w:trPr>
          <w:cantSplit/>
        </w:trPr>
        <w:tc>
          <w:tcPr>
            <w:tcW w:w="1491" w:type="dxa"/>
          </w:tcPr>
          <w:p w14:paraId="7EA05454" w14:textId="77777777" w:rsidR="004966BF" w:rsidRDefault="004966BF" w:rsidP="00224EE2">
            <w:pPr>
              <w:pStyle w:val="Tablefont"/>
            </w:pPr>
            <w:r>
              <w:t>US NIOSH</w:t>
            </w:r>
          </w:p>
        </w:tc>
        <w:tc>
          <w:tcPr>
            <w:tcW w:w="422" w:type="dxa"/>
          </w:tcPr>
          <w:p w14:paraId="67D00729" w14:textId="3F2B74A4" w:rsidR="004966BF" w:rsidRDefault="00B90F85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EA51C8540A4D4F0A9062F5B1698DCBB0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3465E7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32AF986C" w14:textId="219FA802" w:rsidR="004966BF" w:rsidRPr="004C23F4" w:rsidRDefault="003465E7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1994</w:t>
            </w:r>
          </w:p>
        </w:tc>
        <w:tc>
          <w:tcPr>
            <w:tcW w:w="6452" w:type="dxa"/>
          </w:tcPr>
          <w:p w14:paraId="157729A0" w14:textId="1743A562" w:rsidR="004966BF" w:rsidRPr="004C23F4" w:rsidRDefault="003465E7" w:rsidP="00D7462F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 w:rsidRPr="003465E7">
              <w:rPr>
                <w:rFonts w:cs="Arial"/>
              </w:rPr>
              <w:t>IDLH based on acute oral toxicity data in animals</w:t>
            </w:r>
            <w:r>
              <w:rPr>
                <w:rFonts w:cs="Arial"/>
              </w:rPr>
              <w:t>.</w:t>
            </w:r>
          </w:p>
        </w:tc>
      </w:tr>
    </w:tbl>
    <w:bookmarkEnd w:id="0"/>
    <w:p w14:paraId="6AB34981" w14:textId="77777777" w:rsidR="007E2A4B" w:rsidRDefault="007E2A4B" w:rsidP="00516EDF">
      <w:pPr>
        <w:pStyle w:val="Heading3"/>
        <w:keepNext w:val="0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1FD7E2D5" w14:textId="77777777" w:rsidTr="00604D16">
        <w:trPr>
          <w:trHeight w:val="454"/>
          <w:tblHeader/>
        </w:trPr>
        <w:tc>
          <w:tcPr>
            <w:tcW w:w="6603" w:type="dxa"/>
            <w:vAlign w:val="center"/>
          </w:tcPr>
          <w:p w14:paraId="7B17C1B6" w14:textId="77777777" w:rsidR="002E0D61" w:rsidRDefault="00B1422A" w:rsidP="00516EDF">
            <w:pPr>
              <w:pStyle w:val="Tablefont"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596F59E1" w14:textId="31C84B36" w:rsidR="002E0D61" w:rsidRDefault="00604D16" w:rsidP="00516EDF">
                <w:pPr>
                  <w:pStyle w:val="Tablefont"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641A24D8" w14:textId="77777777" w:rsidTr="00604D16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2E730914" w14:textId="7E68F202" w:rsidR="008A36CF" w:rsidRPr="006901A2" w:rsidRDefault="00604D16" w:rsidP="00516EDF">
                <w:pPr>
                  <w:pStyle w:val="Tablefont"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0E300AC7" w14:textId="77777777" w:rsidR="008A36CF" w:rsidRDefault="008A36CF" w:rsidP="00516EDF">
            <w:pPr>
              <w:pStyle w:val="Tablefont"/>
              <w:keepLines/>
              <w:spacing w:before="40" w:after="40"/>
            </w:pPr>
          </w:p>
        </w:tc>
      </w:tr>
    </w:tbl>
    <w:bookmarkEnd w:id="1"/>
    <w:p w14:paraId="3157CA8E" w14:textId="77777777" w:rsidR="00687890" w:rsidRPr="004C23F4" w:rsidRDefault="00B479A9" w:rsidP="009F6660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2BDD6F8E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10026B60" w14:textId="77777777" w:rsidR="00687890" w:rsidRPr="004C23F4" w:rsidRDefault="00687890" w:rsidP="00516EDF">
            <w:pPr>
              <w:pStyle w:val="Tableheader"/>
              <w:keepNext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47DE07C8" w14:textId="77777777" w:rsidR="00687890" w:rsidRPr="004C23F4" w:rsidRDefault="00687890" w:rsidP="00516EDF">
            <w:pPr>
              <w:pStyle w:val="Tableheader"/>
              <w:keepNext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410FC7F3" w14:textId="77777777" w:rsidTr="00812887">
        <w:trPr>
          <w:cantSplit/>
        </w:trPr>
        <w:tc>
          <w:tcPr>
            <w:tcW w:w="3227" w:type="dxa"/>
          </w:tcPr>
          <w:p w14:paraId="690D63A4" w14:textId="77777777" w:rsidR="004079B4" w:rsidRPr="004C23F4" w:rsidRDefault="00084513" w:rsidP="00516EDF">
            <w:pPr>
              <w:pStyle w:val="Tablefont"/>
              <w:keepNext/>
            </w:pPr>
            <w:r w:rsidRPr="004C23F4">
              <w:t>SWA</w:t>
            </w:r>
          </w:p>
        </w:tc>
        <w:tc>
          <w:tcPr>
            <w:tcW w:w="6015" w:type="dxa"/>
          </w:tcPr>
          <w:p w14:paraId="41B4683D" w14:textId="1DD48A6D" w:rsidR="00687890" w:rsidRPr="00DD2F9B" w:rsidRDefault="00464DA5" w:rsidP="00516EDF">
            <w:pPr>
              <w:pStyle w:val="Tablefont"/>
              <w:keepNext/>
            </w:pPr>
            <w:r>
              <w:t>—</w:t>
            </w:r>
          </w:p>
        </w:tc>
      </w:tr>
      <w:tr w:rsidR="007925F0" w:rsidRPr="004C23F4" w14:paraId="75EC3EDE" w14:textId="77777777" w:rsidTr="00812887">
        <w:trPr>
          <w:cantSplit/>
        </w:trPr>
        <w:tc>
          <w:tcPr>
            <w:tcW w:w="3227" w:type="dxa"/>
          </w:tcPr>
          <w:p w14:paraId="15767C50" w14:textId="77777777" w:rsidR="004079B4" w:rsidRPr="004C23F4" w:rsidRDefault="007925F0" w:rsidP="00516EDF">
            <w:pPr>
              <w:pStyle w:val="Tablefont"/>
              <w:keepNext/>
            </w:pPr>
            <w:r>
              <w:t>HCIS</w:t>
            </w:r>
          </w:p>
        </w:tc>
        <w:tc>
          <w:tcPr>
            <w:tcW w:w="6015" w:type="dxa"/>
          </w:tcPr>
          <w:p w14:paraId="7D8BC407" w14:textId="6722CE85" w:rsidR="007925F0" w:rsidRPr="00DD2F9B" w:rsidRDefault="00464DA5" w:rsidP="00516EDF">
            <w:pPr>
              <w:pStyle w:val="Tablefont"/>
              <w:keepNext/>
            </w:pPr>
            <w:r>
              <w:t>—</w:t>
            </w:r>
          </w:p>
        </w:tc>
      </w:tr>
      <w:tr w:rsidR="00AF483F" w:rsidRPr="004C23F4" w14:paraId="11E895EB" w14:textId="77777777" w:rsidTr="00812887">
        <w:trPr>
          <w:cantSplit/>
        </w:trPr>
        <w:tc>
          <w:tcPr>
            <w:tcW w:w="3227" w:type="dxa"/>
          </w:tcPr>
          <w:p w14:paraId="0334D472" w14:textId="77777777" w:rsidR="00AF483F" w:rsidRPr="004C23F4" w:rsidRDefault="00AF483F" w:rsidP="00516EDF">
            <w:pPr>
              <w:pStyle w:val="Tablefont"/>
              <w:keepNext/>
            </w:pPr>
            <w:r>
              <w:t>NICNAS</w:t>
            </w:r>
          </w:p>
        </w:tc>
        <w:tc>
          <w:tcPr>
            <w:tcW w:w="6015" w:type="dxa"/>
          </w:tcPr>
          <w:p w14:paraId="1CC6CE64" w14:textId="7DB05C7F" w:rsidR="00AF483F" w:rsidRPr="00DD2F9B" w:rsidRDefault="00464DA5" w:rsidP="00516EDF">
            <w:pPr>
              <w:pStyle w:val="Tablefont"/>
              <w:keepNext/>
            </w:pPr>
            <w:r>
              <w:t>—</w:t>
            </w:r>
          </w:p>
        </w:tc>
      </w:tr>
      <w:tr w:rsidR="00687890" w:rsidRPr="004C23F4" w14:paraId="4C9320A7" w14:textId="77777777" w:rsidTr="00812887">
        <w:trPr>
          <w:cantSplit/>
        </w:trPr>
        <w:tc>
          <w:tcPr>
            <w:tcW w:w="3227" w:type="dxa"/>
          </w:tcPr>
          <w:p w14:paraId="22CC1CB5" w14:textId="77777777" w:rsidR="004079B4" w:rsidRPr="004C23F4" w:rsidRDefault="00687890" w:rsidP="00516EDF">
            <w:pPr>
              <w:pStyle w:val="Tablefont"/>
              <w:keepNext/>
            </w:pPr>
            <w:r w:rsidRPr="004C23F4">
              <w:t>EU Annex</w:t>
            </w:r>
          </w:p>
        </w:tc>
        <w:tc>
          <w:tcPr>
            <w:tcW w:w="6015" w:type="dxa"/>
          </w:tcPr>
          <w:p w14:paraId="0B761869" w14:textId="77BB30E5" w:rsidR="00687890" w:rsidRPr="00DD2F9B" w:rsidRDefault="003465E7" w:rsidP="00516EDF">
            <w:pPr>
              <w:pStyle w:val="Tablefont"/>
              <w:keepNext/>
            </w:pPr>
            <w:r>
              <w:t>—</w:t>
            </w:r>
          </w:p>
        </w:tc>
      </w:tr>
      <w:tr w:rsidR="00E41A26" w:rsidRPr="004C23F4" w14:paraId="355516D9" w14:textId="77777777" w:rsidTr="00812887">
        <w:trPr>
          <w:cantSplit/>
        </w:trPr>
        <w:tc>
          <w:tcPr>
            <w:tcW w:w="3227" w:type="dxa"/>
          </w:tcPr>
          <w:p w14:paraId="43587C76" w14:textId="77777777" w:rsidR="00E41A26" w:rsidRDefault="00E41A26" w:rsidP="00516EDF">
            <w:pPr>
              <w:pStyle w:val="Tablefont"/>
              <w:keepNext/>
            </w:pPr>
            <w:r>
              <w:t>ECHA</w:t>
            </w:r>
          </w:p>
        </w:tc>
        <w:tc>
          <w:tcPr>
            <w:tcW w:w="6015" w:type="dxa"/>
          </w:tcPr>
          <w:p w14:paraId="34AB93E2" w14:textId="45A3AE12" w:rsidR="00E41A26" w:rsidRPr="00DD2F9B" w:rsidRDefault="00464DA5" w:rsidP="00516EDF">
            <w:pPr>
              <w:pStyle w:val="Tablefont"/>
              <w:keepNext/>
            </w:pPr>
            <w:r>
              <w:t>—</w:t>
            </w:r>
          </w:p>
        </w:tc>
      </w:tr>
      <w:tr w:rsidR="002E0D61" w:rsidRPr="004C23F4" w14:paraId="49744868" w14:textId="77777777" w:rsidTr="00812887">
        <w:trPr>
          <w:cantSplit/>
        </w:trPr>
        <w:tc>
          <w:tcPr>
            <w:tcW w:w="3227" w:type="dxa"/>
          </w:tcPr>
          <w:p w14:paraId="1C5A6331" w14:textId="77777777" w:rsidR="004079B4" w:rsidRPr="004C23F4" w:rsidRDefault="002E0D61" w:rsidP="00516EDF">
            <w:pPr>
              <w:pStyle w:val="Tablefont"/>
              <w:keepNext/>
            </w:pPr>
            <w:r>
              <w:t>ACGIH</w:t>
            </w:r>
          </w:p>
        </w:tc>
        <w:tc>
          <w:tcPr>
            <w:tcW w:w="6015" w:type="dxa"/>
          </w:tcPr>
          <w:p w14:paraId="529C18E7" w14:textId="7D959501" w:rsidR="002E0D61" w:rsidRPr="00DD2F9B" w:rsidRDefault="00464DA5" w:rsidP="00516EDF">
            <w:pPr>
              <w:pStyle w:val="Tablefont"/>
              <w:keepNext/>
            </w:pPr>
            <w:r>
              <w:t>—</w:t>
            </w:r>
          </w:p>
        </w:tc>
      </w:tr>
      <w:tr w:rsidR="002E0D61" w:rsidRPr="004C23F4" w14:paraId="3CBACD1A" w14:textId="77777777" w:rsidTr="00812887">
        <w:trPr>
          <w:cantSplit/>
        </w:trPr>
        <w:tc>
          <w:tcPr>
            <w:tcW w:w="3227" w:type="dxa"/>
          </w:tcPr>
          <w:p w14:paraId="0D0AAC9B" w14:textId="77777777" w:rsidR="004079B4" w:rsidRPr="004C23F4" w:rsidRDefault="002E0D61" w:rsidP="00516EDF">
            <w:pPr>
              <w:pStyle w:val="Tablefont"/>
              <w:keepNext/>
            </w:pPr>
            <w:r>
              <w:t>DFG</w:t>
            </w:r>
          </w:p>
        </w:tc>
        <w:tc>
          <w:tcPr>
            <w:tcW w:w="6015" w:type="dxa"/>
          </w:tcPr>
          <w:p w14:paraId="6D8C5C38" w14:textId="47AFF5A3" w:rsidR="002E0D61" w:rsidRPr="00DD2F9B" w:rsidRDefault="00464DA5" w:rsidP="00516EDF">
            <w:pPr>
              <w:pStyle w:val="Tablefont"/>
              <w:keepNext/>
            </w:pPr>
            <w:r>
              <w:t>—</w:t>
            </w:r>
          </w:p>
        </w:tc>
      </w:tr>
      <w:tr w:rsidR="002E0D61" w:rsidRPr="004C23F4" w14:paraId="42B4AEE6" w14:textId="77777777" w:rsidTr="00812887">
        <w:trPr>
          <w:cantSplit/>
        </w:trPr>
        <w:tc>
          <w:tcPr>
            <w:tcW w:w="3227" w:type="dxa"/>
          </w:tcPr>
          <w:p w14:paraId="655B228E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74497FB1" w14:textId="6128607D" w:rsidR="002E0D61" w:rsidRPr="00DD2F9B" w:rsidRDefault="00464DA5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65314B9C" w14:textId="77777777" w:rsidTr="00812887">
        <w:trPr>
          <w:cantSplit/>
        </w:trPr>
        <w:tc>
          <w:tcPr>
            <w:tcW w:w="3227" w:type="dxa"/>
          </w:tcPr>
          <w:p w14:paraId="28A6824D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16E18829" w14:textId="3A7324C5" w:rsidR="002E0D61" w:rsidRPr="00DD2F9B" w:rsidRDefault="00464DA5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3B71B3DF" w14:textId="77777777" w:rsidTr="00812887">
        <w:trPr>
          <w:cantSplit/>
        </w:trPr>
        <w:tc>
          <w:tcPr>
            <w:tcW w:w="3227" w:type="dxa"/>
          </w:tcPr>
          <w:p w14:paraId="2F2E7AC9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25294611" w14:textId="09B0B8C0" w:rsidR="00386093" w:rsidRPr="00DD2F9B" w:rsidRDefault="00464DA5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57318B1" w14:textId="77777777" w:rsidTr="00812887">
        <w:trPr>
          <w:cantSplit/>
        </w:trPr>
        <w:tc>
          <w:tcPr>
            <w:tcW w:w="3227" w:type="dxa"/>
          </w:tcPr>
          <w:p w14:paraId="140E469C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02B784ED" w14:textId="524D4172" w:rsidR="00386093" w:rsidRPr="00DD2F9B" w:rsidRDefault="00464DA5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3B8718AB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48CA24D9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75E00227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0DF472AD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294DD909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9209" w:type="dxa"/>
              <w:tblLook w:val="04A0" w:firstRow="1" w:lastRow="0" w:firstColumn="1" w:lastColumn="0" w:noHBand="0" w:noVBand="1"/>
            </w:tblPr>
            <w:tblGrid>
              <w:gridCol w:w="3660"/>
              <w:gridCol w:w="1084"/>
              <w:gridCol w:w="1084"/>
              <w:gridCol w:w="2982"/>
            </w:tblGrid>
            <w:tr w:rsidR="00D05F3E" w:rsidRPr="00D05F3E" w14:paraId="28853AC7" w14:textId="77777777" w:rsidTr="00D05F3E">
              <w:trPr>
                <w:trHeight w:val="231"/>
              </w:trPr>
              <w:tc>
                <w:tcPr>
                  <w:tcW w:w="38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CCADE8D" w14:textId="77777777" w:rsidR="00D05F3E" w:rsidRPr="00D05F3E" w:rsidRDefault="00D05F3E" w:rsidP="00D05F3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05F3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DC88D0E" w14:textId="77777777" w:rsidR="00D05F3E" w:rsidRPr="00D05F3E" w:rsidRDefault="00D05F3E" w:rsidP="00D05F3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05F3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1D83704" w14:textId="77777777" w:rsidR="00D05F3E" w:rsidRPr="00D05F3E" w:rsidRDefault="00D05F3E" w:rsidP="00D05F3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05F3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EC361A0" w14:textId="77777777" w:rsidR="00D05F3E" w:rsidRPr="00D05F3E" w:rsidRDefault="00D05F3E" w:rsidP="00D05F3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05F3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05F3E" w:rsidRPr="00D05F3E" w14:paraId="2D6ABAD6" w14:textId="77777777" w:rsidTr="00D05F3E">
              <w:trPr>
                <w:trHeight w:val="231"/>
              </w:trPr>
              <w:tc>
                <w:tcPr>
                  <w:tcW w:w="38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A2C9D51" w14:textId="77777777" w:rsidR="00D05F3E" w:rsidRPr="00D05F3E" w:rsidRDefault="00D05F3E" w:rsidP="00D05F3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05F3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D05F3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D05F3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C9BE8AB" w14:textId="77777777" w:rsidR="00D05F3E" w:rsidRPr="00D05F3E" w:rsidRDefault="00D05F3E" w:rsidP="00D05F3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05F3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439C375" w14:textId="77777777" w:rsidR="00D05F3E" w:rsidRPr="00D05F3E" w:rsidRDefault="00D05F3E" w:rsidP="00D05F3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05F3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70C4973" w14:textId="77777777" w:rsidR="00D05F3E" w:rsidRPr="00D05F3E" w:rsidRDefault="00D05F3E" w:rsidP="00D05F3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05F3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05F3E" w:rsidRPr="00D05F3E" w14:paraId="0A625A6C" w14:textId="77777777" w:rsidTr="00D05F3E">
              <w:trPr>
                <w:trHeight w:val="231"/>
              </w:trPr>
              <w:tc>
                <w:tcPr>
                  <w:tcW w:w="38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28E7988" w14:textId="77777777" w:rsidR="00D05F3E" w:rsidRPr="00D05F3E" w:rsidRDefault="00D05F3E" w:rsidP="00D05F3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05F3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ED955C8" w14:textId="77777777" w:rsidR="00D05F3E" w:rsidRPr="00D05F3E" w:rsidRDefault="00D05F3E" w:rsidP="00D05F3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05F3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2BCD1C4" w14:textId="77777777" w:rsidR="00D05F3E" w:rsidRPr="00D05F3E" w:rsidRDefault="00D05F3E" w:rsidP="00D05F3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05F3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0C82C90" w14:textId="77777777" w:rsidR="00D05F3E" w:rsidRPr="00D05F3E" w:rsidRDefault="00D05F3E" w:rsidP="00D05F3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05F3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05F3E" w:rsidRPr="00D05F3E" w14:paraId="585266A6" w14:textId="77777777" w:rsidTr="00D05F3E">
              <w:trPr>
                <w:trHeight w:val="231"/>
              </w:trPr>
              <w:tc>
                <w:tcPr>
                  <w:tcW w:w="38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A3386FF" w14:textId="77777777" w:rsidR="00D05F3E" w:rsidRPr="00D05F3E" w:rsidRDefault="00D05F3E" w:rsidP="00D05F3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05F3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D05F3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D05F3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D05F3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D05F3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5CED375" w14:textId="77777777" w:rsidR="00D05F3E" w:rsidRPr="00D05F3E" w:rsidRDefault="00D05F3E" w:rsidP="00D05F3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05F3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A92FBDC" w14:textId="77777777" w:rsidR="00D05F3E" w:rsidRPr="00D05F3E" w:rsidRDefault="00D05F3E" w:rsidP="00D05F3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05F3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3D4DDEB" w14:textId="77777777" w:rsidR="00D05F3E" w:rsidRPr="00D05F3E" w:rsidRDefault="00D05F3E" w:rsidP="00D05F3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05F3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05F3E" w:rsidRPr="00D05F3E" w14:paraId="0322ED83" w14:textId="77777777" w:rsidTr="00D05F3E">
              <w:trPr>
                <w:trHeight w:val="231"/>
              </w:trPr>
              <w:tc>
                <w:tcPr>
                  <w:tcW w:w="38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C38C5D2" w14:textId="77777777" w:rsidR="00D05F3E" w:rsidRPr="00D05F3E" w:rsidRDefault="00D05F3E" w:rsidP="00D05F3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D05F3E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D05F3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909E91F" w14:textId="77777777" w:rsidR="00D05F3E" w:rsidRPr="00D05F3E" w:rsidRDefault="00D05F3E" w:rsidP="00D05F3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05F3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C413063" w14:textId="77777777" w:rsidR="00D05F3E" w:rsidRPr="00D05F3E" w:rsidRDefault="00D05F3E" w:rsidP="00D05F3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05F3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BEA35E9" w14:textId="77777777" w:rsidR="00D05F3E" w:rsidRPr="00D05F3E" w:rsidRDefault="00D05F3E" w:rsidP="00D05F3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05F3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05F3E" w:rsidRPr="00D05F3E" w14:paraId="71B47352" w14:textId="77777777" w:rsidTr="00D05F3E">
              <w:trPr>
                <w:trHeight w:val="231"/>
              </w:trPr>
              <w:tc>
                <w:tcPr>
                  <w:tcW w:w="38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DFE611A" w14:textId="77777777" w:rsidR="00D05F3E" w:rsidRPr="00D05F3E" w:rsidRDefault="00D05F3E" w:rsidP="00D05F3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05F3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2E00A39" w14:textId="77777777" w:rsidR="00D05F3E" w:rsidRPr="00D05F3E" w:rsidRDefault="00D05F3E" w:rsidP="00D05F3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05F3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7F50D23" w14:textId="77777777" w:rsidR="00D05F3E" w:rsidRPr="00D05F3E" w:rsidRDefault="00D05F3E" w:rsidP="00D05F3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05F3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F05EF27" w14:textId="77777777" w:rsidR="00D05F3E" w:rsidRPr="00D05F3E" w:rsidRDefault="00D05F3E" w:rsidP="00D05F3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05F3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05F3E" w:rsidRPr="00D05F3E" w14:paraId="64D790BA" w14:textId="77777777" w:rsidTr="00D05F3E">
              <w:trPr>
                <w:trHeight w:val="231"/>
              </w:trPr>
              <w:tc>
                <w:tcPr>
                  <w:tcW w:w="38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2B90DEC" w14:textId="77777777" w:rsidR="00D05F3E" w:rsidRPr="00D05F3E" w:rsidRDefault="00D05F3E" w:rsidP="00D05F3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05F3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057D767" w14:textId="77777777" w:rsidR="00D05F3E" w:rsidRPr="00D05F3E" w:rsidRDefault="00D05F3E" w:rsidP="00D05F3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05F3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4EF3487" w14:textId="77777777" w:rsidR="00D05F3E" w:rsidRPr="00D05F3E" w:rsidRDefault="00D05F3E" w:rsidP="00D05F3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05F3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7BEFC08" w14:textId="77777777" w:rsidR="00D05F3E" w:rsidRPr="00D05F3E" w:rsidRDefault="00D05F3E" w:rsidP="00D05F3E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D05F3E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not warranted</w:t>
                  </w:r>
                </w:p>
              </w:tc>
            </w:tr>
          </w:tbl>
          <w:p w14:paraId="2DBF91EC" w14:textId="54ACEBD6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2A8C00FE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570180E2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580ED821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4C864B3F" w14:textId="4F2F1A6E" w:rsidR="00EB3D1B" w:rsidRDefault="00464DA5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6FBA4580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3D1F2FE1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80932D0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73EF4461" w14:textId="32C200F9" w:rsidR="001B79E5" w:rsidRDefault="00464DA5" w:rsidP="001B79E5">
                <w:pPr>
                  <w:pStyle w:val="Tablefont"/>
                </w:pPr>
                <w:r w:rsidRPr="00464DA5">
                  <w:t>97.99</w:t>
                </w:r>
              </w:p>
            </w:tc>
          </w:sdtContent>
        </w:sdt>
      </w:tr>
      <w:tr w:rsidR="00A31D99" w:rsidRPr="004C23F4" w14:paraId="6784D60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07CA147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78441920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7D808C94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E140962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1B8E6F2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0FF5C9C3" w14:textId="77777777" w:rsidTr="00EA6243">
        <w:trPr>
          <w:cantSplit/>
        </w:trPr>
        <w:tc>
          <w:tcPr>
            <w:tcW w:w="4077" w:type="dxa"/>
            <w:vAlign w:val="center"/>
          </w:tcPr>
          <w:p w14:paraId="479E1296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63BD20C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0BBF0C95" w14:textId="77777777" w:rsidTr="00EA6243">
        <w:trPr>
          <w:cantSplit/>
        </w:trPr>
        <w:tc>
          <w:tcPr>
            <w:tcW w:w="4077" w:type="dxa"/>
            <w:vAlign w:val="center"/>
          </w:tcPr>
          <w:p w14:paraId="634A088B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A369A02" w14:textId="2F8B05BA" w:rsidR="00687890" w:rsidRPr="004C23F4" w:rsidRDefault="00D05F3E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E06F40" w:rsidRPr="004C23F4" w14:paraId="57EADDFD" w14:textId="77777777" w:rsidTr="00EA6243">
        <w:trPr>
          <w:cantSplit/>
        </w:trPr>
        <w:tc>
          <w:tcPr>
            <w:tcW w:w="4077" w:type="dxa"/>
            <w:vAlign w:val="center"/>
          </w:tcPr>
          <w:p w14:paraId="3B52590A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612EB537" w14:textId="77777777" w:rsidR="00E06F40" w:rsidRPr="00A006A0" w:rsidRDefault="00B90F85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68531909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60E5DC9A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56F45E36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77CF25B1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4F56607A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6D4CEFF6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3B9E9F69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3FC00049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43D7D3CD" w14:textId="4AA92A1A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56C0FB10" w14:textId="09804A1B" w:rsidR="00464DA5" w:rsidRDefault="00464DA5" w:rsidP="00464DA5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(2006) Phosphorsäure (ortho-Phosphorsäure) – MAK value documentation.</w:t>
      </w:r>
    </w:p>
    <w:p w14:paraId="2E990522" w14:textId="44B12CEF" w:rsidR="00464DA5" w:rsidRDefault="00464DA5" w:rsidP="00084859">
      <w:r>
        <w:t>European Chemicals Agency (ECHA) (20</w:t>
      </w:r>
      <w:r w:rsidR="00D05F3E">
        <w:t>20</w:t>
      </w:r>
      <w:r>
        <w:t xml:space="preserve">) </w:t>
      </w:r>
      <w:r w:rsidRPr="00464DA5">
        <w:t>Phosphoric acid</w:t>
      </w:r>
      <w:r>
        <w:t xml:space="preserve"> – REACH assessment.</w:t>
      </w:r>
    </w:p>
    <w:p w14:paraId="4CEBDF13" w14:textId="3DE54906" w:rsidR="00464DA5" w:rsidRDefault="00464DA5" w:rsidP="00084859">
      <w:r w:rsidRPr="002022B6">
        <w:t>EU Scientific Committee on Occupational Exposure Limits (SCOEL)</w:t>
      </w:r>
      <w:r>
        <w:t xml:space="preserve"> (1991) Recommendation from the Scientific Committee on Occupational Exposure Limits for </w:t>
      </w:r>
      <w:r w:rsidRPr="00464DA5">
        <w:t>Phosphoric acid</w:t>
      </w:r>
      <w:r>
        <w:t>. SCOEL/SUM/14.</w:t>
      </w:r>
    </w:p>
    <w:p w14:paraId="5AB763B8" w14:textId="4452BC5E" w:rsidR="00464DA5" w:rsidRDefault="00464DA5" w:rsidP="00084859">
      <w:r w:rsidRPr="002022B6">
        <w:t>Industrial Chemicals Notification and Assessment Scheme (NICNAS)</w:t>
      </w:r>
      <w:r>
        <w:t xml:space="preserve"> (</w:t>
      </w:r>
      <w:r w:rsidRPr="00464DA5">
        <w:t>2016</w:t>
      </w:r>
      <w:r>
        <w:t xml:space="preserve">) </w:t>
      </w:r>
      <w:r w:rsidRPr="00464DA5">
        <w:t>Phosphoric acid</w:t>
      </w:r>
      <w:r w:rsidRPr="0071660C">
        <w:t xml:space="preserve">: Human health </w:t>
      </w:r>
      <w:r w:rsidRPr="00464DA5">
        <w:t>tier II</w:t>
      </w:r>
      <w:r>
        <w:t xml:space="preserve"> </w:t>
      </w:r>
      <w:r w:rsidRPr="0071660C">
        <w:t>assessment</w:t>
      </w:r>
      <w:r>
        <w:t xml:space="preserve"> – IMAP report.</w:t>
      </w:r>
    </w:p>
    <w:p w14:paraId="35114774" w14:textId="6D03C808" w:rsidR="009C658A" w:rsidRDefault="009C658A" w:rsidP="00084859">
      <w:r>
        <w:t>National Industrial Chemicals Notification and Assessment Scheme (NICNAS) (2016) Phosphoric acid: Human health assessment – IMAP report.</w:t>
      </w:r>
    </w:p>
    <w:p w14:paraId="5A80E4C4" w14:textId="77777777" w:rsidR="009F6660" w:rsidRPr="00351FE0" w:rsidRDefault="009F6660" w:rsidP="009F6660">
      <w:r w:rsidRPr="00E819F5">
        <w:t>Organisation for Economic Cooperation and Development (OECD) (</w:t>
      </w:r>
      <w:r>
        <w:t>2009</w:t>
      </w:r>
      <w:r w:rsidRPr="00E819F5">
        <w:t xml:space="preserve">) SIDS initial assessment profile – </w:t>
      </w:r>
      <w:r>
        <w:t>Phosphoric acid</w:t>
      </w:r>
      <w:r w:rsidRPr="00E819F5">
        <w:t>.</w:t>
      </w:r>
    </w:p>
    <w:p w14:paraId="216F9E72" w14:textId="5A892122" w:rsidR="00464DA5" w:rsidRDefault="00464DA5" w:rsidP="00084859">
      <w:r w:rsidRPr="00D86E03">
        <w:t>US National Institute for Occupational Safety and Health (NIOSH)</w:t>
      </w:r>
      <w:r>
        <w:t xml:space="preserve"> (</w:t>
      </w:r>
      <w:r w:rsidRPr="00464DA5">
        <w:t>1994</w:t>
      </w:r>
      <w:r>
        <w:t xml:space="preserve">) Immediately dangerous to life or health concentrations – </w:t>
      </w:r>
      <w:r w:rsidRPr="00464DA5">
        <w:t>Phosphoric acid</w:t>
      </w:r>
      <w:r>
        <w:t>.</w:t>
      </w:r>
    </w:p>
    <w:p w14:paraId="59C8F675" w14:textId="16027C3E" w:rsidR="00A8561E" w:rsidRPr="00351FE0" w:rsidRDefault="00A8561E" w:rsidP="00084859"/>
    <w:sectPr w:rsidR="00A8561E" w:rsidRPr="00351FE0" w:rsidSect="00B87D4C">
      <w:headerReference w:type="default" r:id="rId18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4FE697" w14:textId="77777777" w:rsidR="00AF433B" w:rsidRDefault="00AF433B" w:rsidP="00F43AD5">
      <w:pPr>
        <w:spacing w:after="0" w:line="240" w:lineRule="auto"/>
      </w:pPr>
      <w:r>
        <w:separator/>
      </w:r>
    </w:p>
  </w:endnote>
  <w:endnote w:type="continuationSeparator" w:id="0">
    <w:p w14:paraId="63597C2D" w14:textId="77777777" w:rsidR="00AF433B" w:rsidRDefault="00AF433B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17C3F6" w14:textId="77777777" w:rsidR="0009353B" w:rsidRDefault="0009353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05C784A7" w14:textId="46307773" w:rsidR="008A36CF" w:rsidRDefault="00464DA5" w:rsidP="0034744C">
        <w:pPr>
          <w:pStyle w:val="Footer"/>
          <w:rPr>
            <w:sz w:val="18"/>
            <w:szCs w:val="18"/>
          </w:rPr>
        </w:pPr>
        <w:r w:rsidRPr="00464DA5">
          <w:rPr>
            <w:b/>
            <w:sz w:val="18"/>
            <w:szCs w:val="18"/>
          </w:rPr>
          <w:t>Phosphoric acid</w:t>
        </w:r>
        <w:r w:rsidR="008A36CF">
          <w:rPr>
            <w:b/>
            <w:sz w:val="18"/>
            <w:szCs w:val="18"/>
          </w:rPr>
          <w:t xml:space="preserve"> (</w:t>
        </w:r>
        <w:r w:rsidRPr="00464DA5">
          <w:rPr>
            <w:b/>
            <w:sz w:val="18"/>
            <w:szCs w:val="18"/>
          </w:rPr>
          <w:t>7664-38-2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</w:t>
        </w:r>
        <w:r w:rsidR="009F561F">
          <w:rPr>
            <w:sz w:val="18"/>
            <w:szCs w:val="18"/>
          </w:rPr>
          <w:t>20</w:t>
        </w:r>
      </w:p>
      <w:p w14:paraId="5238BAE1" w14:textId="69620A99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09353B">
          <w:rPr>
            <w:noProof/>
            <w:sz w:val="18"/>
            <w:szCs w:val="18"/>
          </w:rPr>
          <w:t>3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16B881" w14:textId="77777777" w:rsidR="0009353B" w:rsidRDefault="000935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66062C" w14:textId="77777777" w:rsidR="00AF433B" w:rsidRDefault="00AF433B" w:rsidP="00F43AD5">
      <w:pPr>
        <w:spacing w:after="0" w:line="240" w:lineRule="auto"/>
      </w:pPr>
      <w:r>
        <w:separator/>
      </w:r>
    </w:p>
  </w:footnote>
  <w:footnote w:type="continuationSeparator" w:id="0">
    <w:p w14:paraId="1AA4E6A7" w14:textId="77777777" w:rsidR="00AF433B" w:rsidRDefault="00AF433B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18B65" w14:textId="77777777" w:rsidR="0009353B" w:rsidRDefault="0009353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73AEBB" w14:textId="2A393B72" w:rsidR="0009353B" w:rsidRDefault="0009353B" w:rsidP="0009353B">
    <w:pPr>
      <w:pStyle w:val="Header"/>
      <w:jc w:val="right"/>
    </w:pPr>
    <w:r>
      <w:rPr>
        <w:noProof/>
        <w:lang w:eastAsia="en-AU"/>
      </w:rPr>
      <w:drawing>
        <wp:inline distT="0" distB="0" distL="0" distR="0" wp14:anchorId="3CEF8FFD" wp14:editId="3F732DC4">
          <wp:extent cx="2945130" cy="595630"/>
          <wp:effectExtent l="0" t="0" r="762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3225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A032342" w14:textId="77777777" w:rsidR="0009353B" w:rsidRDefault="0009353B" w:rsidP="0009353B">
    <w:pPr>
      <w:pStyle w:val="Header"/>
      <w:jc w:val="right"/>
    </w:pPr>
  </w:p>
  <w:p w14:paraId="30C03BB1" w14:textId="6E15C9F1" w:rsidR="008A36CF" w:rsidRPr="0009353B" w:rsidRDefault="008A36CF" w:rsidP="0009353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0D021" w14:textId="77777777" w:rsidR="0009353B" w:rsidRDefault="0009353B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6090FF" w14:textId="315F91F8" w:rsidR="0009353B" w:rsidRDefault="0009353B" w:rsidP="0009353B">
    <w:pPr>
      <w:pStyle w:val="Header"/>
      <w:jc w:val="right"/>
    </w:pPr>
    <w:r>
      <w:rPr>
        <w:noProof/>
        <w:lang w:eastAsia="en-AU"/>
      </w:rPr>
      <w:drawing>
        <wp:inline distT="0" distB="0" distL="0" distR="0" wp14:anchorId="2AE92700" wp14:editId="4993046D">
          <wp:extent cx="2945130" cy="595630"/>
          <wp:effectExtent l="0" t="0" r="762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3225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DA7669E" w14:textId="77777777" w:rsidR="0009353B" w:rsidRDefault="0009353B" w:rsidP="0009353B">
    <w:pPr>
      <w:pStyle w:val="Header"/>
      <w:jc w:val="right"/>
    </w:pPr>
  </w:p>
  <w:p w14:paraId="77F47954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12680B"/>
    <w:multiLevelType w:val="hybridMultilevel"/>
    <w:tmpl w:val="A0A8DA32"/>
    <w:lvl w:ilvl="0" w:tplc="A9189110">
      <w:start w:val="9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422447"/>
    <w:multiLevelType w:val="hybridMultilevel"/>
    <w:tmpl w:val="F0CAFE32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078043077">
    <w:abstractNumId w:val="0"/>
  </w:num>
  <w:num w:numId="2" w16cid:durableId="14254208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819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9353B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461E"/>
    <w:rsid w:val="00106FAA"/>
    <w:rsid w:val="00107118"/>
    <w:rsid w:val="00113443"/>
    <w:rsid w:val="001269A7"/>
    <w:rsid w:val="00131092"/>
    <w:rsid w:val="00140E6A"/>
    <w:rsid w:val="00144450"/>
    <w:rsid w:val="00146545"/>
    <w:rsid w:val="00146B75"/>
    <w:rsid w:val="0015266D"/>
    <w:rsid w:val="0015288A"/>
    <w:rsid w:val="00160F47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31D3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B1A2C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2863"/>
    <w:rsid w:val="003465E7"/>
    <w:rsid w:val="00347192"/>
    <w:rsid w:val="0034744C"/>
    <w:rsid w:val="00351FE0"/>
    <w:rsid w:val="00352615"/>
    <w:rsid w:val="0035412B"/>
    <w:rsid w:val="003567A8"/>
    <w:rsid w:val="00362895"/>
    <w:rsid w:val="00370DBF"/>
    <w:rsid w:val="00373E8E"/>
    <w:rsid w:val="00386093"/>
    <w:rsid w:val="003904A4"/>
    <w:rsid w:val="00391841"/>
    <w:rsid w:val="00391B6D"/>
    <w:rsid w:val="00394922"/>
    <w:rsid w:val="003A0E32"/>
    <w:rsid w:val="003A2B94"/>
    <w:rsid w:val="003A758C"/>
    <w:rsid w:val="003B387D"/>
    <w:rsid w:val="003C0D58"/>
    <w:rsid w:val="003D4FA3"/>
    <w:rsid w:val="003E0807"/>
    <w:rsid w:val="003E51FB"/>
    <w:rsid w:val="003E6B22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64DA5"/>
    <w:rsid w:val="00471458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371B"/>
    <w:rsid w:val="004E5EDD"/>
    <w:rsid w:val="004F448A"/>
    <w:rsid w:val="004F493D"/>
    <w:rsid w:val="004F65E8"/>
    <w:rsid w:val="0050005E"/>
    <w:rsid w:val="00502B88"/>
    <w:rsid w:val="005142C4"/>
    <w:rsid w:val="0051509C"/>
    <w:rsid w:val="00516EDF"/>
    <w:rsid w:val="005272E2"/>
    <w:rsid w:val="0053108F"/>
    <w:rsid w:val="00532B56"/>
    <w:rsid w:val="00534B10"/>
    <w:rsid w:val="005446A2"/>
    <w:rsid w:val="00544D2F"/>
    <w:rsid w:val="00551BD8"/>
    <w:rsid w:val="00581055"/>
    <w:rsid w:val="00591E38"/>
    <w:rsid w:val="00593F14"/>
    <w:rsid w:val="005A19C5"/>
    <w:rsid w:val="005A3034"/>
    <w:rsid w:val="005A462D"/>
    <w:rsid w:val="005A7AD3"/>
    <w:rsid w:val="005B253B"/>
    <w:rsid w:val="005B771D"/>
    <w:rsid w:val="005C5D16"/>
    <w:rsid w:val="005D3193"/>
    <w:rsid w:val="005D4A6E"/>
    <w:rsid w:val="005E6979"/>
    <w:rsid w:val="005E75CB"/>
    <w:rsid w:val="006013C1"/>
    <w:rsid w:val="00604D16"/>
    <w:rsid w:val="0060669E"/>
    <w:rsid w:val="00610F2E"/>
    <w:rsid w:val="00611399"/>
    <w:rsid w:val="00624C4E"/>
    <w:rsid w:val="00625200"/>
    <w:rsid w:val="006363A8"/>
    <w:rsid w:val="00636DB7"/>
    <w:rsid w:val="00642E32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3906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C22A2"/>
    <w:rsid w:val="006D79EA"/>
    <w:rsid w:val="006E5D05"/>
    <w:rsid w:val="006F0DE4"/>
    <w:rsid w:val="00701053"/>
    <w:rsid w:val="00701507"/>
    <w:rsid w:val="007020BD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70F1"/>
    <w:rsid w:val="00781C8B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0943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316C"/>
    <w:rsid w:val="00864D13"/>
    <w:rsid w:val="00871CD5"/>
    <w:rsid w:val="008745A2"/>
    <w:rsid w:val="008768A8"/>
    <w:rsid w:val="00881170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173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C658A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9F561F"/>
    <w:rsid w:val="009F6660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829C7"/>
    <w:rsid w:val="00A84504"/>
    <w:rsid w:val="00A8561E"/>
    <w:rsid w:val="00A8672F"/>
    <w:rsid w:val="00A93057"/>
    <w:rsid w:val="00A968B0"/>
    <w:rsid w:val="00A97F4B"/>
    <w:rsid w:val="00AB2672"/>
    <w:rsid w:val="00AB2817"/>
    <w:rsid w:val="00AB43C4"/>
    <w:rsid w:val="00AC32E7"/>
    <w:rsid w:val="00AC3A9F"/>
    <w:rsid w:val="00AC6D2F"/>
    <w:rsid w:val="00AE1F48"/>
    <w:rsid w:val="00AE2745"/>
    <w:rsid w:val="00AE2F64"/>
    <w:rsid w:val="00AF42CB"/>
    <w:rsid w:val="00AF433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71188"/>
    <w:rsid w:val="00B76A41"/>
    <w:rsid w:val="00B87D4C"/>
    <w:rsid w:val="00B90F85"/>
    <w:rsid w:val="00B93646"/>
    <w:rsid w:val="00BA0B38"/>
    <w:rsid w:val="00BA1DBB"/>
    <w:rsid w:val="00BA4510"/>
    <w:rsid w:val="00BA529A"/>
    <w:rsid w:val="00BB5514"/>
    <w:rsid w:val="00BB612A"/>
    <w:rsid w:val="00BD499F"/>
    <w:rsid w:val="00BD56DE"/>
    <w:rsid w:val="00BE7A7D"/>
    <w:rsid w:val="00BF2406"/>
    <w:rsid w:val="00C06E43"/>
    <w:rsid w:val="00C11F32"/>
    <w:rsid w:val="00C16315"/>
    <w:rsid w:val="00C3091E"/>
    <w:rsid w:val="00C40FF1"/>
    <w:rsid w:val="00C419E2"/>
    <w:rsid w:val="00C44C9D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05F3E"/>
    <w:rsid w:val="00D140FC"/>
    <w:rsid w:val="00D21D8C"/>
    <w:rsid w:val="00D31357"/>
    <w:rsid w:val="00D33220"/>
    <w:rsid w:val="00D334D1"/>
    <w:rsid w:val="00D44C89"/>
    <w:rsid w:val="00D516CD"/>
    <w:rsid w:val="00D668E6"/>
    <w:rsid w:val="00D70670"/>
    <w:rsid w:val="00D7462F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6F36"/>
    <w:rsid w:val="00E0084C"/>
    <w:rsid w:val="00E011BE"/>
    <w:rsid w:val="00E025AB"/>
    <w:rsid w:val="00E02B23"/>
    <w:rsid w:val="00E069D4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F0767"/>
    <w:rsid w:val="00EF233A"/>
    <w:rsid w:val="00EF303E"/>
    <w:rsid w:val="00EF3A40"/>
    <w:rsid w:val="00EF7F78"/>
    <w:rsid w:val="00F01B08"/>
    <w:rsid w:val="00F01C4D"/>
    <w:rsid w:val="00F053FA"/>
    <w:rsid w:val="00F0770E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14B5"/>
    <w:rsid w:val="00F6491C"/>
    <w:rsid w:val="00F67BBB"/>
    <w:rsid w:val="00F76E01"/>
    <w:rsid w:val="00F87D92"/>
    <w:rsid w:val="00F90AA7"/>
    <w:rsid w:val="00F92498"/>
    <w:rsid w:val="00F9496B"/>
    <w:rsid w:val="00F970C9"/>
    <w:rsid w:val="00FA06A8"/>
    <w:rsid w:val="00FA3DF5"/>
    <w:rsid w:val="00FA741F"/>
    <w:rsid w:val="00FB4037"/>
    <w:rsid w:val="00FB4E07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5"/>
    <o:shapelayout v:ext="edit">
      <o:idmap v:ext="edit" data="1"/>
    </o:shapelayout>
  </w:shapeDefaults>
  <w:decimalSymbol w:val="."/>
  <w:listSeparator w:val=","/>
  <w14:docId w14:val="090CACBD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1071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7118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7118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65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658A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479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0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320A77D155374054996F168A20882C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DC0181-19B2-490D-83F0-D85D1689E2A9}"/>
      </w:docPartPr>
      <w:docPartBody>
        <w:p w:rsidR="00D21A9F" w:rsidRDefault="00D21A9F">
          <w:pPr>
            <w:pStyle w:val="320A77D155374054996F168A20882C2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51C8540A4D4F0A9062F5B1698DC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D35A6-51B4-4D9C-B1D2-B881B06F755D}"/>
      </w:docPartPr>
      <w:docPartBody>
        <w:p w:rsidR="00D21A9F" w:rsidRDefault="00D21A9F">
          <w:pPr>
            <w:pStyle w:val="EA51C8540A4D4F0A9062F5B1698DCBB0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21A7F73F8E054162952993A6E27720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8EC2C2-298B-4144-BC19-28D83D1391AB}"/>
      </w:docPartPr>
      <w:docPartBody>
        <w:p w:rsidR="00D54231" w:rsidRDefault="00980130" w:rsidP="00980130">
          <w:pPr>
            <w:pStyle w:val="21A7F73F8E054162952993A6E27720EE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312DAC"/>
    <w:rsid w:val="003E6B22"/>
    <w:rsid w:val="004E371B"/>
    <w:rsid w:val="00980130"/>
    <w:rsid w:val="00AB7BFE"/>
    <w:rsid w:val="00D21A9F"/>
    <w:rsid w:val="00D54231"/>
    <w:rsid w:val="00FC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B7BFE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EA32968BF93744FAABC5FC124DBE04BD">
    <w:name w:val="EA32968BF93744FAABC5FC124DBE04BD"/>
  </w:style>
  <w:style w:type="paragraph" w:customStyle="1" w:styleId="320A77D155374054996F168A20882C28">
    <w:name w:val="320A77D155374054996F168A20882C28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21A7F73F8E054162952993A6E27720EE">
    <w:name w:val="21A7F73F8E054162952993A6E27720EE"/>
    <w:rsid w:val="0098013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6FD3B4-E5FF-44D0-A85D-1656AEB7AF7B}">
  <ds:schemaRefs>
    <ds:schemaRef ds:uri="http://schemas.microsoft.com/office/2006/documentManagement/types"/>
    <ds:schemaRef ds:uri="http://schemas.microsoft.com/office/2006/metadata/properties"/>
    <ds:schemaRef ds:uri="1c567317-0c4d-4a62-8516-c22afd1b5354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terms/"/>
    <ds:schemaRef ds:uri="a0509f21-ed56-4150-9955-96be669e5f2d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69A181-9456-49EB-86CD-9695DF49AB3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FF09C00-C200-4750-9C7C-634F96475A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</TotalTime>
  <Pages>6</Pages>
  <Words>1403</Words>
  <Characters>7998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9383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KITE,Jonathon</cp:lastModifiedBy>
  <cp:revision>19</cp:revision>
  <cp:lastPrinted>2018-10-22T22:41:00Z</cp:lastPrinted>
  <dcterms:created xsi:type="dcterms:W3CDTF">2019-09-24T06:25:00Z</dcterms:created>
  <dcterms:modified xsi:type="dcterms:W3CDTF">2026-01-09T00:34:00Z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2026-01-02T03:26:51Z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6fd7676c-94c5-4003-b80c-387622d07120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