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07A3FCA" w14:textId="77777777" w:rsidR="00BD499F" w:rsidRPr="004C23F4" w:rsidRDefault="0016554C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Phenyl ether (vapouR)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1E95255B" w14:textId="77777777" w:rsidTr="00B76A41">
        <w:trPr>
          <w:cantSplit/>
          <w:tblHeader/>
        </w:trPr>
        <w:tc>
          <w:tcPr>
            <w:tcW w:w="4077" w:type="dxa"/>
          </w:tcPr>
          <w:p w14:paraId="3CEDED2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EB05AB9" w14:textId="77777777" w:rsidR="00F43AD5" w:rsidRPr="00717D45" w:rsidRDefault="00761FB0" w:rsidP="00B76A41">
            <w:pPr>
              <w:pStyle w:val="Tablefont"/>
            </w:pPr>
            <w:r w:rsidRPr="00761FB0">
              <w:t>101-84-8</w:t>
            </w:r>
          </w:p>
        </w:tc>
      </w:tr>
      <w:tr w:rsidR="00F43AD5" w:rsidRPr="004C23F4" w14:paraId="12D46F11" w14:textId="77777777" w:rsidTr="00B76A41">
        <w:trPr>
          <w:cantSplit/>
        </w:trPr>
        <w:tc>
          <w:tcPr>
            <w:tcW w:w="4077" w:type="dxa"/>
          </w:tcPr>
          <w:p w14:paraId="5AC6C5BC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69CA78C" w14:textId="433DD2EA" w:rsidR="00F43AD5" w:rsidRPr="00717D45" w:rsidRDefault="009832DD" w:rsidP="00B76A41">
            <w:pPr>
              <w:pStyle w:val="Tablefont"/>
            </w:pPr>
            <w:r w:rsidRPr="009832DD">
              <w:t>1,1'-Oxybis(benzene)</w:t>
            </w:r>
            <w:r>
              <w:t>,</w:t>
            </w:r>
            <w:r w:rsidRPr="009832DD">
              <w:t xml:space="preserve"> biphenyl oxide</w:t>
            </w:r>
            <w:r>
              <w:t>,</w:t>
            </w:r>
            <w:r w:rsidRPr="009832DD">
              <w:t xml:space="preserve"> diphenyl oxide</w:t>
            </w:r>
            <w:r>
              <w:t>,</w:t>
            </w:r>
            <w:r w:rsidRPr="009832DD">
              <w:t xml:space="preserve"> phenyl oxide</w:t>
            </w:r>
            <w:r>
              <w:t>,</w:t>
            </w:r>
            <w:r w:rsidRPr="009832DD">
              <w:t xml:space="preserve"> phenyl ether</w:t>
            </w:r>
            <w:r>
              <w:t>,</w:t>
            </w:r>
            <w:r w:rsidRPr="009832DD">
              <w:t xml:space="preserve"> </w:t>
            </w:r>
            <w:proofErr w:type="spellStart"/>
            <w:r w:rsidRPr="009832DD">
              <w:t>phenoxybenzene</w:t>
            </w:r>
            <w:proofErr w:type="spellEnd"/>
          </w:p>
        </w:tc>
      </w:tr>
      <w:tr w:rsidR="00F43AD5" w:rsidRPr="004C23F4" w14:paraId="00730529" w14:textId="77777777" w:rsidTr="00B76A41">
        <w:trPr>
          <w:cantSplit/>
        </w:trPr>
        <w:tc>
          <w:tcPr>
            <w:tcW w:w="4077" w:type="dxa"/>
          </w:tcPr>
          <w:p w14:paraId="7AB5A46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57123B1" w14:textId="77777777" w:rsidR="00F43AD5" w:rsidRPr="00717D45" w:rsidRDefault="00452D6D" w:rsidP="00B76A41">
            <w:pPr>
              <w:pStyle w:val="Tablefont"/>
            </w:pPr>
            <w:r w:rsidRPr="00452D6D">
              <w:t>C</w:t>
            </w:r>
            <w:r w:rsidRPr="00452D6D">
              <w:rPr>
                <w:vertAlign w:val="subscript"/>
              </w:rPr>
              <w:t>12</w:t>
            </w:r>
            <w:r w:rsidRPr="00452D6D">
              <w:t>H</w:t>
            </w:r>
            <w:r w:rsidRPr="00452D6D">
              <w:rPr>
                <w:vertAlign w:val="subscript"/>
              </w:rPr>
              <w:t>10</w:t>
            </w:r>
            <w:r w:rsidRPr="00452D6D">
              <w:t>O</w:t>
            </w:r>
          </w:p>
        </w:tc>
      </w:tr>
      <w:tr w:rsidR="00F43AD5" w:rsidRPr="004C23F4" w14:paraId="6DA1AA1A" w14:textId="77777777" w:rsidTr="00B76A41">
        <w:trPr>
          <w:cantSplit/>
        </w:trPr>
        <w:tc>
          <w:tcPr>
            <w:tcW w:w="4077" w:type="dxa"/>
          </w:tcPr>
          <w:p w14:paraId="5799B0C9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E200662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6E0792BD" w14:textId="0D2D013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A64A6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54F6A924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3395610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04B954CB" w14:textId="77E2F8C9" w:rsidR="002C7AFE" w:rsidRPr="002A64A6" w:rsidRDefault="002A64A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 ppm (7 mg/m</w:t>
            </w:r>
            <w:r w:rsidRPr="002A64A6"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) </w:t>
            </w:r>
          </w:p>
        </w:tc>
      </w:tr>
      <w:tr w:rsidR="00037E52" w:rsidRPr="004C23F4" w14:paraId="670AB3BB" w14:textId="77777777" w:rsidTr="00037E52">
        <w:trPr>
          <w:cantSplit/>
        </w:trPr>
        <w:tc>
          <w:tcPr>
            <w:tcW w:w="4010" w:type="dxa"/>
            <w:vAlign w:val="center"/>
          </w:tcPr>
          <w:p w14:paraId="15C3A92A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0E3D76FE" w14:textId="48383E87" w:rsidR="00037E52" w:rsidRPr="00EB3D1B" w:rsidRDefault="002A64A6" w:rsidP="00037E52">
            <w:pPr>
              <w:pStyle w:val="Tablefont"/>
              <w:rPr>
                <w:b/>
              </w:rPr>
            </w:pPr>
            <w:r w:rsidRPr="002A64A6">
              <w:rPr>
                <w:b/>
              </w:rPr>
              <w:t>2 ppm (14 mg/m</w:t>
            </w:r>
            <w:r w:rsidRPr="002A64A6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108B9504" w14:textId="77777777" w:rsidTr="00037E52">
        <w:trPr>
          <w:cantSplit/>
        </w:trPr>
        <w:tc>
          <w:tcPr>
            <w:tcW w:w="4010" w:type="dxa"/>
            <w:vAlign w:val="center"/>
          </w:tcPr>
          <w:p w14:paraId="209DF563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66DB9262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4B7CF911" w14:textId="77777777" w:rsidTr="00037E52">
        <w:trPr>
          <w:cantSplit/>
        </w:trPr>
        <w:tc>
          <w:tcPr>
            <w:tcW w:w="4010" w:type="dxa"/>
          </w:tcPr>
          <w:p w14:paraId="55E08501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215B6D4D" w14:textId="2C9D92ED" w:rsidR="00037E52" w:rsidRPr="00EB3D1B" w:rsidRDefault="00F64B09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6FA90186" w14:textId="77777777" w:rsidTr="00037E52">
        <w:trPr>
          <w:cantSplit/>
        </w:trPr>
        <w:tc>
          <w:tcPr>
            <w:tcW w:w="4010" w:type="dxa"/>
            <w:vAlign w:val="center"/>
          </w:tcPr>
          <w:p w14:paraId="146BCFB4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070BEDA8" w14:textId="0CFCEFD5" w:rsidR="00037E52" w:rsidRPr="00EB3D1B" w:rsidRDefault="00222491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100 ppm</w:t>
            </w:r>
          </w:p>
        </w:tc>
      </w:tr>
      <w:tr w:rsidR="002A64A6" w:rsidRPr="004C23F4" w14:paraId="267610B5" w14:textId="77777777" w:rsidTr="00EB2BDB">
        <w:trPr>
          <w:cantSplit/>
        </w:trPr>
        <w:tc>
          <w:tcPr>
            <w:tcW w:w="9026" w:type="dxa"/>
            <w:gridSpan w:val="2"/>
            <w:vAlign w:val="center"/>
          </w:tcPr>
          <w:p w14:paraId="0B21B053" w14:textId="32B17E6A" w:rsidR="002A64A6" w:rsidRPr="002A64A6" w:rsidRDefault="002A64A6" w:rsidP="00037E52">
            <w:pPr>
              <w:pStyle w:val="Tablefont"/>
              <w:rPr>
                <w:b/>
              </w:rPr>
            </w:pPr>
            <w:r w:rsidRPr="002A64A6">
              <w:rPr>
                <w:b/>
              </w:rPr>
              <w:t>Sampling and analysis: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13F68CC268EB4D9F855F5531B41AC45F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F64B09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A6BBE3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26CB18D" w14:textId="178CDBB7" w:rsidR="006639B4" w:rsidRDefault="00682828" w:rsidP="000C139A">
      <w:pPr>
        <w:rPr>
          <w:rFonts w:cs="Arial"/>
        </w:rPr>
      </w:pPr>
      <w:r>
        <w:rPr>
          <w:rFonts w:cs="Arial"/>
        </w:rPr>
        <w:t>A TWA of 1 ppm (7 mg/m</w:t>
      </w:r>
      <w:r w:rsidRPr="00682828">
        <w:rPr>
          <w:rFonts w:cs="Arial"/>
          <w:vertAlign w:val="superscript"/>
        </w:rPr>
        <w:t>3</w:t>
      </w:r>
      <w:r>
        <w:rPr>
          <w:rFonts w:cs="Arial"/>
        </w:rPr>
        <w:t>) is recommended to protect for eye</w:t>
      </w:r>
      <w:r w:rsidR="00C82218">
        <w:rPr>
          <w:rFonts w:cs="Arial"/>
        </w:rPr>
        <w:t>,</w:t>
      </w:r>
      <w:r>
        <w:rPr>
          <w:rFonts w:cs="Arial"/>
        </w:rPr>
        <w:t xml:space="preserve"> </w:t>
      </w:r>
      <w:r w:rsidR="00C82218">
        <w:rPr>
          <w:rFonts w:cs="Arial"/>
        </w:rPr>
        <w:t>nasal and upper respiratory tract irritation in exposed workers.</w:t>
      </w:r>
    </w:p>
    <w:p w14:paraId="11D5BD45" w14:textId="3F9D9BAF" w:rsidR="009D5C53" w:rsidRPr="004C23F4" w:rsidRDefault="009D5C53" w:rsidP="000C139A">
      <w:pPr>
        <w:rPr>
          <w:rFonts w:cs="Arial"/>
        </w:rPr>
      </w:pPr>
      <w:r>
        <w:rPr>
          <w:rFonts w:cs="Arial"/>
        </w:rPr>
        <w:t>A STEL of 2 ppm (14 mg/m</w:t>
      </w:r>
      <w:r w:rsidRPr="00682828"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</w:t>
      </w:r>
      <w:r w:rsidR="001954FE">
        <w:rPr>
          <w:rFonts w:cs="Arial"/>
        </w:rPr>
        <w:t xml:space="preserve">acute </w:t>
      </w:r>
      <w:r>
        <w:rPr>
          <w:rFonts w:cs="Arial"/>
        </w:rPr>
        <w:t xml:space="preserve">eye, nasal and upper respiratory tract irritation in </w:t>
      </w:r>
      <w:r w:rsidR="001954FE">
        <w:rPr>
          <w:rFonts w:cs="Arial"/>
        </w:rPr>
        <w:t>exposed</w:t>
      </w:r>
      <w:r>
        <w:rPr>
          <w:rFonts w:cs="Arial"/>
        </w:rPr>
        <w:t xml:space="preserve"> workers.</w:t>
      </w:r>
    </w:p>
    <w:p w14:paraId="0EE42DD7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57D5F4B" w14:textId="52DCC9B2" w:rsidR="00F64B09" w:rsidRDefault="00C82218" w:rsidP="006639B4">
      <w:r>
        <w:rPr>
          <w:rFonts w:cs="Arial"/>
        </w:rPr>
        <w:t xml:space="preserve">Phenyl ether is used </w:t>
      </w:r>
      <w:r>
        <w:t xml:space="preserve">as a heat transfer agent, in perfumery for its geranium-like odour and as a chemical intermediate in the production of </w:t>
      </w:r>
      <w:r w:rsidR="002C2797">
        <w:t>surface-</w:t>
      </w:r>
      <w:r>
        <w:t>active agents and high temperature lubricants</w:t>
      </w:r>
      <w:r w:rsidR="00D831F7">
        <w:t xml:space="preserve">. </w:t>
      </w:r>
    </w:p>
    <w:p w14:paraId="366284F8" w14:textId="77777777" w:rsidR="002C2797" w:rsidRDefault="00F64B09" w:rsidP="006639B4">
      <w:r>
        <w:t xml:space="preserve">Critical effects </w:t>
      </w:r>
      <w:r w:rsidR="001954FE">
        <w:t>of</w:t>
      </w:r>
      <w:r>
        <w:t xml:space="preserve"> exposure are irritation to the eyes, nose and upper respiratory tract. </w:t>
      </w:r>
    </w:p>
    <w:p w14:paraId="62BF4CBF" w14:textId="3E677522" w:rsidR="006639B4" w:rsidRDefault="00D831F7" w:rsidP="006639B4">
      <w:r>
        <w:t>Very limited human toxicological data for phenyl ether alone is available, with more data pertaining to the eutectic mixture phenyl ether-diphenyl (ACGIH, 2001). Exposure at 7</w:t>
      </w:r>
      <w:r w:rsidR="009D5C53">
        <w:t xml:space="preserve"> to </w:t>
      </w:r>
      <w:r>
        <w:t>10 ppm (50</w:t>
      </w:r>
      <w:r w:rsidR="009D5C53">
        <w:t xml:space="preserve"> to </w:t>
      </w:r>
      <w:r>
        <w:t>71 mg/m</w:t>
      </w:r>
      <w:r w:rsidRPr="00115CDA">
        <w:rPr>
          <w:vertAlign w:val="superscript"/>
        </w:rPr>
        <w:t>3</w:t>
      </w:r>
      <w:r>
        <w:t xml:space="preserve">) in humans of eutectic mixture caused nausea and irritation to eyes and upper respiratory tract, </w:t>
      </w:r>
      <w:r w:rsidR="00D73834">
        <w:t xml:space="preserve">which is </w:t>
      </w:r>
      <w:r>
        <w:t>presumed to be due to biphenyl. Short-term exposure (up to one minute) at 5 ppm (35 mg/m</w:t>
      </w:r>
      <w:r w:rsidRPr="009F444C">
        <w:rPr>
          <w:vertAlign w:val="superscript"/>
        </w:rPr>
        <w:t>3</w:t>
      </w:r>
      <w:r>
        <w:t>) to perfume-grade phenyl ether (99.9% pure) in humans was ‘well tolerated’ (SCOEL, 2012; HCOTN, 2005).</w:t>
      </w:r>
      <w:r w:rsidR="00E74073">
        <w:t xml:space="preserve"> A </w:t>
      </w:r>
      <w:r w:rsidR="002C2797">
        <w:t xml:space="preserve">NOAEC </w:t>
      </w:r>
      <w:r w:rsidR="00E74073">
        <w:t>of 5 ppm (35 mg/m</w:t>
      </w:r>
      <w:r w:rsidR="00E74073" w:rsidRPr="00E74073">
        <w:rPr>
          <w:vertAlign w:val="superscript"/>
        </w:rPr>
        <w:t>3</w:t>
      </w:r>
      <w:r w:rsidR="00E74073">
        <w:t xml:space="preserve">) </w:t>
      </w:r>
      <w:r w:rsidR="00D73834">
        <w:t xml:space="preserve">for eye, nasal </w:t>
      </w:r>
      <w:r w:rsidR="00D73834">
        <w:rPr>
          <w:rFonts w:cs="Arial"/>
        </w:rPr>
        <w:t xml:space="preserve">and upper respiratory tract </w:t>
      </w:r>
      <w:r w:rsidR="00D73834">
        <w:t xml:space="preserve">irritation </w:t>
      </w:r>
      <w:r w:rsidR="00E74073">
        <w:t xml:space="preserve">was identified in rats and rabbits from </w:t>
      </w:r>
      <w:r w:rsidR="00D73834">
        <w:t xml:space="preserve">an </w:t>
      </w:r>
      <w:r w:rsidR="00E74073">
        <w:t>inhalation study over 31</w:t>
      </w:r>
      <w:r w:rsidR="009D5C53">
        <w:t xml:space="preserve"> to </w:t>
      </w:r>
      <w:r w:rsidR="00E74073">
        <w:t>33 days</w:t>
      </w:r>
      <w:r w:rsidR="00D73834">
        <w:t xml:space="preserve"> </w:t>
      </w:r>
      <w:r w:rsidR="00E74073">
        <w:t>(ACGIH, 2001; SCOEL, 2012, HCOTN, 2005).</w:t>
      </w:r>
    </w:p>
    <w:p w14:paraId="537E98D3" w14:textId="0EB81D6A" w:rsidR="00E74073" w:rsidRPr="004C23F4" w:rsidRDefault="00E74073" w:rsidP="006639B4">
      <w:pPr>
        <w:rPr>
          <w:rFonts w:cs="Arial"/>
        </w:rPr>
      </w:pPr>
      <w:r>
        <w:t xml:space="preserve">The TWA of 1 ppm </w:t>
      </w:r>
      <w:r>
        <w:rPr>
          <w:rFonts w:cs="Arial"/>
        </w:rPr>
        <w:t>(7 mg/m</w:t>
      </w:r>
      <w:r w:rsidRPr="00682828">
        <w:rPr>
          <w:rFonts w:cs="Arial"/>
          <w:vertAlign w:val="superscript"/>
        </w:rPr>
        <w:t>3</w:t>
      </w:r>
      <w:r>
        <w:rPr>
          <w:rFonts w:cs="Arial"/>
        </w:rPr>
        <w:t xml:space="preserve">) </w:t>
      </w:r>
      <w:r w:rsidR="0063144E">
        <w:rPr>
          <w:rFonts w:cs="Arial"/>
        </w:rPr>
        <w:t>and STEL of 2 ppm (14 mg/m</w:t>
      </w:r>
      <w:r w:rsidR="0063144E" w:rsidRPr="00682828">
        <w:rPr>
          <w:rFonts w:cs="Arial"/>
          <w:vertAlign w:val="superscript"/>
        </w:rPr>
        <w:t>3</w:t>
      </w:r>
      <w:r w:rsidR="0063144E">
        <w:rPr>
          <w:rFonts w:cs="Arial"/>
        </w:rPr>
        <w:t xml:space="preserve">) </w:t>
      </w:r>
      <w:r w:rsidR="002C2797">
        <w:t xml:space="preserve">are </w:t>
      </w:r>
      <w:r>
        <w:t xml:space="preserve">recommended to be retained </w:t>
      </w:r>
      <w:r w:rsidR="0063144E">
        <w:t>as assigned by ACGIH (2001), SCOEL (2012) and HCOTN (2005)</w:t>
      </w:r>
      <w:r w:rsidR="00D73834">
        <w:t>. B</w:t>
      </w:r>
      <w:r>
        <w:t>ased on the available evidence</w:t>
      </w:r>
      <w:r w:rsidR="00D73834">
        <w:t>, the recommended TWA</w:t>
      </w:r>
      <w:r>
        <w:t xml:space="preserve"> is considered protective for irritant effects. </w:t>
      </w:r>
    </w:p>
    <w:p w14:paraId="5FF02BB4" w14:textId="77777777" w:rsidR="004529F0" w:rsidRPr="004C23F4" w:rsidRDefault="004529F0" w:rsidP="004E6E49">
      <w:pPr>
        <w:pStyle w:val="Heading2"/>
      </w:pPr>
      <w:r>
        <w:lastRenderedPageBreak/>
        <w:t>Recommendation for notations</w:t>
      </w:r>
    </w:p>
    <w:p w14:paraId="1BC97CF2" w14:textId="012743C1" w:rsidR="008E4F1F" w:rsidRPr="002A64A6" w:rsidRDefault="008E4F1F" w:rsidP="00F64B09">
      <w:pPr>
        <w:keepNext/>
        <w:rPr>
          <w:rFonts w:cs="Arial"/>
        </w:rPr>
      </w:pPr>
      <w:r w:rsidRPr="002A64A6">
        <w:rPr>
          <w:rFonts w:cs="Arial"/>
        </w:rPr>
        <w:t>Not classified as a carcinogen according to the Globally Harmonized System of Classification and Labelling o</w:t>
      </w:r>
      <w:r w:rsidR="002A64A6" w:rsidRPr="002A64A6">
        <w:rPr>
          <w:rFonts w:cs="Arial"/>
        </w:rPr>
        <w:t>f</w:t>
      </w:r>
      <w:r w:rsidRPr="002A64A6">
        <w:rPr>
          <w:rFonts w:cs="Arial"/>
        </w:rPr>
        <w:t xml:space="preserve"> Chemicals (GHS). </w:t>
      </w:r>
    </w:p>
    <w:p w14:paraId="1BCB209D" w14:textId="21A7123D" w:rsidR="008E4F1F" w:rsidRPr="002A64A6" w:rsidRDefault="008E4F1F" w:rsidP="00F64B09">
      <w:pPr>
        <w:keepNext/>
        <w:rPr>
          <w:rFonts w:cs="Arial"/>
        </w:rPr>
      </w:pPr>
      <w:r w:rsidRPr="002A64A6">
        <w:rPr>
          <w:rFonts w:cs="Arial"/>
        </w:rPr>
        <w:t>Not classified as a skin</w:t>
      </w:r>
      <w:r w:rsidR="002A64A6" w:rsidRPr="002A64A6">
        <w:rPr>
          <w:rFonts w:cs="Arial"/>
        </w:rPr>
        <w:t xml:space="preserve"> sensitiser</w:t>
      </w:r>
      <w:r w:rsidRPr="002A64A6">
        <w:rPr>
          <w:rFonts w:cs="Arial"/>
        </w:rPr>
        <w:t xml:space="preserve"> or respiratory sensitiser according to the GHS.</w:t>
      </w:r>
    </w:p>
    <w:p w14:paraId="5AAEF290" w14:textId="25BFF897" w:rsidR="004529F0" w:rsidRPr="004C23F4" w:rsidRDefault="00F64B09" w:rsidP="00F64B09">
      <w:pPr>
        <w:keepNext/>
        <w:rPr>
          <w:rFonts w:cs="Arial"/>
        </w:rPr>
      </w:pPr>
      <w:r>
        <w:rPr>
          <w:rFonts w:cs="Arial"/>
        </w:rPr>
        <w:t>There are insufficient data to recommend a skin notation</w:t>
      </w:r>
      <w:r w:rsidR="00B44614">
        <w:rPr>
          <w:rFonts w:cs="Arial"/>
        </w:rPr>
        <w:t>.</w:t>
      </w:r>
    </w:p>
    <w:p w14:paraId="049C5BC1" w14:textId="77777777" w:rsidR="0025734A" w:rsidRPr="004C23F4" w:rsidRDefault="0025734A">
      <w:pPr>
        <w:rPr>
          <w:rFonts w:cs="Arial"/>
        </w:rPr>
      </w:pPr>
    </w:p>
    <w:p w14:paraId="7D789BA1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6F76940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C8D762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5CB2A83" w14:textId="77777777" w:rsidTr="001D6EBB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9FB391F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608B548" w14:textId="77777777" w:rsidTr="001D6EBB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E2AABAC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775D2E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1E16FB">
                  <w:t>TWA: 1 ppm (7 mg/m</w:t>
                </w:r>
                <w:r w:rsidR="001E16FB" w:rsidRPr="001E16FB">
                  <w:rPr>
                    <w:vertAlign w:val="superscript"/>
                  </w:rPr>
                  <w:t>3</w:t>
                </w:r>
                <w:r w:rsidR="001E16FB">
                  <w:t>); STEL: 2 ppm (14 mg/m</w:t>
                </w:r>
                <w:r w:rsidR="001E16FB" w:rsidRPr="001E16FB">
                  <w:rPr>
                    <w:vertAlign w:val="superscript"/>
                  </w:rPr>
                  <w:t>3</w:t>
                </w:r>
                <w:r w:rsidR="001E16FB">
                  <w:t>)</w:t>
                </w:r>
              </w:sdtContent>
            </w:sdt>
          </w:p>
        </w:tc>
      </w:tr>
      <w:tr w:rsidR="00C978F0" w:rsidRPr="00DA352E" w14:paraId="0D049EB2" w14:textId="77777777" w:rsidTr="001D6EBB">
        <w:trPr>
          <w:gridAfter w:val="1"/>
          <w:wAfter w:w="8" w:type="pct"/>
          <w:cantSplit/>
        </w:trPr>
        <w:tc>
          <w:tcPr>
            <w:tcW w:w="4992" w:type="pct"/>
          </w:tcPr>
          <w:p w14:paraId="771F7627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6250AE2" w14:textId="77777777" w:rsidTr="001D6EB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548D521" w14:textId="77777777" w:rsidR="00C978F0" w:rsidRPr="00DA352E" w:rsidRDefault="00DA352E" w:rsidP="00B5783B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7" w:hanging="2857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E16FB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1E16FB">
                  <w:t>TLV-</w:t>
                </w:r>
                <w:r w:rsidR="001E16FB" w:rsidRPr="001E16FB">
                  <w:t>TWA: 1 ppm (7 mg/m</w:t>
                </w:r>
                <w:r w:rsidR="001E16FB" w:rsidRPr="00AC1E7D">
                  <w:rPr>
                    <w:vertAlign w:val="superscript"/>
                  </w:rPr>
                  <w:t>3</w:t>
                </w:r>
                <w:r w:rsidR="001E16FB" w:rsidRPr="001E16FB">
                  <w:t xml:space="preserve">); </w:t>
                </w:r>
                <w:r w:rsidR="001E16FB">
                  <w:t>TLV-</w:t>
                </w:r>
                <w:r w:rsidR="001E16FB" w:rsidRPr="001E16FB">
                  <w:t>STEL: 2 ppm (14 mg/m</w:t>
                </w:r>
                <w:r w:rsidR="001E16FB" w:rsidRPr="00AC1E7D">
                  <w:rPr>
                    <w:vertAlign w:val="superscript"/>
                  </w:rPr>
                  <w:t>3</w:t>
                </w:r>
                <w:r w:rsidR="001E16FB" w:rsidRPr="001E16FB">
                  <w:t>)</w:t>
                </w:r>
                <w:r w:rsidR="00B5783B">
                  <w:t xml:space="preserve"> (Vapour fraction)</w:t>
                </w:r>
              </w:sdtContent>
            </w:sdt>
          </w:p>
        </w:tc>
      </w:tr>
      <w:tr w:rsidR="00C978F0" w:rsidRPr="00DA352E" w14:paraId="5EAFE2DB" w14:textId="77777777" w:rsidTr="001D6EBB">
        <w:trPr>
          <w:gridAfter w:val="1"/>
          <w:wAfter w:w="8" w:type="pct"/>
          <w:cantSplit/>
        </w:trPr>
        <w:tc>
          <w:tcPr>
            <w:tcW w:w="4992" w:type="pct"/>
          </w:tcPr>
          <w:p w14:paraId="300B872C" w14:textId="77777777" w:rsidR="00C978F0" w:rsidRDefault="002D5EA2" w:rsidP="004E6E49">
            <w:pPr>
              <w:pStyle w:val="Tabletextprimarysource"/>
            </w:pPr>
            <w:r>
              <w:t>TLV-TWA recommended to minimise the potential for eye and upper respiratory tract irritation and nausea in exposed workers.</w:t>
            </w:r>
          </w:p>
          <w:p w14:paraId="4E7BE791" w14:textId="04852269" w:rsidR="002D5EA2" w:rsidRDefault="002D5EA2" w:rsidP="004E6E49">
            <w:pPr>
              <w:pStyle w:val="Tabletextprimarysource"/>
            </w:pPr>
            <w:r>
              <w:t>Summary of data:</w:t>
            </w:r>
          </w:p>
          <w:p w14:paraId="0285C940" w14:textId="089BDB1A" w:rsidR="002D5EA2" w:rsidRDefault="002D5EA2" w:rsidP="004E6E49">
            <w:pPr>
              <w:pStyle w:val="Tabletextprimarysource"/>
            </w:pPr>
            <w:r>
              <w:t xml:space="preserve">Used as a heat transfer agent, in perfumery for its geranium-like odour and as a chemical intermediate in the production of </w:t>
            </w:r>
            <w:r w:rsidR="002C2797">
              <w:t>surface-</w:t>
            </w:r>
            <w:r>
              <w:t>active agents and high temperature lubricants.</w:t>
            </w:r>
          </w:p>
          <w:p w14:paraId="7707823C" w14:textId="77777777" w:rsidR="002D5EA2" w:rsidRDefault="002D5EA2" w:rsidP="004E6E49">
            <w:pPr>
              <w:pStyle w:val="Tabletextprimarysource"/>
            </w:pPr>
            <w:r>
              <w:t>Human data:</w:t>
            </w:r>
          </w:p>
          <w:p w14:paraId="72E172BA" w14:textId="77777777" w:rsidR="002D5EA2" w:rsidRDefault="00F806EA" w:rsidP="00194C0E">
            <w:pPr>
              <w:pStyle w:val="ListBullet"/>
              <w:numPr>
                <w:ilvl w:val="0"/>
                <w:numId w:val="20"/>
              </w:numPr>
              <w:spacing w:before="60" w:after="60"/>
              <w:contextualSpacing w:val="0"/>
            </w:pPr>
            <w:r>
              <w:t>No evidence in industrial setting that the liquid mist or vapour was a human health hazard, under normal manufacturing conditions, handling and use</w:t>
            </w:r>
          </w:p>
          <w:p w14:paraId="76A5C89E" w14:textId="4992177C" w:rsidR="00F806EA" w:rsidRPr="006F5902" w:rsidRDefault="0023378C" w:rsidP="00194C0E">
            <w:pPr>
              <w:pStyle w:val="ListBullet"/>
              <w:numPr>
                <w:ilvl w:val="0"/>
                <w:numId w:val="20"/>
              </w:numPr>
              <w:spacing w:before="60" w:after="60"/>
              <w:contextualSpacing w:val="0"/>
            </w:pPr>
            <w:r>
              <w:t>Limited toxicological data for phenyl ether alone</w:t>
            </w:r>
            <w:r w:rsidR="0031476C">
              <w:t xml:space="preserve"> suggested there was no apparent systemic toxicity </w:t>
            </w:r>
            <w:r w:rsidR="0031476C" w:rsidRPr="006F5902">
              <w:t xml:space="preserve">at concentrations that </w:t>
            </w:r>
            <w:r w:rsidR="006F5902">
              <w:t>did</w:t>
            </w:r>
            <w:r w:rsidR="0031476C" w:rsidRPr="006F5902">
              <w:t xml:space="preserve"> not</w:t>
            </w:r>
            <w:r w:rsidR="006F5902">
              <w:t xml:space="preserve"> produce a</w:t>
            </w:r>
            <w:r w:rsidR="0031476C" w:rsidRPr="006F5902">
              <w:t xml:space="preserve"> disagreeable</w:t>
            </w:r>
            <w:r w:rsidR="006F5902" w:rsidRPr="006F5902">
              <w:t xml:space="preserve"> </w:t>
            </w:r>
            <w:r w:rsidR="006F5902">
              <w:t>odour</w:t>
            </w:r>
          </w:p>
          <w:p w14:paraId="5BC9E67E" w14:textId="55178D6E" w:rsidR="0031476C" w:rsidRDefault="006F5902" w:rsidP="00194C0E">
            <w:pPr>
              <w:pStyle w:val="ListBullet"/>
              <w:numPr>
                <w:ilvl w:val="0"/>
                <w:numId w:val="20"/>
              </w:numPr>
              <w:spacing w:before="60" w:after="60"/>
              <w:contextualSpacing w:val="0"/>
            </w:pPr>
            <w:r>
              <w:t xml:space="preserve">One study recommended vapour concentrations be kept below 1 ppm to </w:t>
            </w:r>
            <w:r w:rsidR="00116B60">
              <w:t>avoid objectionable odours and nausea</w:t>
            </w:r>
            <w:r w:rsidR="004E6E49">
              <w:t>.</w:t>
            </w:r>
          </w:p>
          <w:p w14:paraId="5FD92C82" w14:textId="77777777" w:rsidR="00205F37" w:rsidRDefault="00205F37" w:rsidP="004E6E49">
            <w:pPr>
              <w:pStyle w:val="Tabletextprimarysource"/>
            </w:pPr>
            <w:r>
              <w:t>Animal data:</w:t>
            </w:r>
          </w:p>
          <w:p w14:paraId="31E0E481" w14:textId="1BAB0148" w:rsidR="00D362A1" w:rsidRDefault="00205F37" w:rsidP="00194C0E">
            <w:pPr>
              <w:pStyle w:val="ListBullet"/>
              <w:numPr>
                <w:ilvl w:val="0"/>
                <w:numId w:val="21"/>
              </w:numPr>
              <w:spacing w:before="60" w:after="60"/>
              <w:contextualSpacing w:val="0"/>
            </w:pPr>
            <w:r>
              <w:t>LD</w:t>
            </w:r>
            <w:r w:rsidRPr="00205F37">
              <w:rPr>
                <w:vertAlign w:val="subscript"/>
              </w:rPr>
              <w:t>50</w:t>
            </w:r>
            <w:r>
              <w:t xml:space="preserve">: </w:t>
            </w:r>
            <w:r w:rsidR="001F0457">
              <w:rPr>
                <w:rFonts w:cs="Arial"/>
              </w:rPr>
              <w:t>≈</w:t>
            </w:r>
            <w:r>
              <w:t>4,000 mg/kg (rats and guinea pigs, oral); surviving animals displayed injury to liver, spleen, kidneys, thyroid and intestinal tract</w:t>
            </w:r>
          </w:p>
          <w:p w14:paraId="51C174B0" w14:textId="0C19567C" w:rsidR="00194C0E" w:rsidRDefault="00541723" w:rsidP="00D362A1">
            <w:pPr>
              <w:pStyle w:val="ListBullet"/>
              <w:numPr>
                <w:ilvl w:val="0"/>
                <w:numId w:val="21"/>
              </w:numPr>
              <w:spacing w:before="60" w:after="60"/>
              <w:contextualSpacing w:val="0"/>
            </w:pPr>
            <w:r>
              <w:t>Exposure at 0, 4.9 and 10 ppm for 7 h/d, 5 d/</w:t>
            </w:r>
            <w:proofErr w:type="spellStart"/>
            <w:r>
              <w:t>wk</w:t>
            </w:r>
            <w:proofErr w:type="spellEnd"/>
            <w:r>
              <w:t>, total of 20 exposures</w:t>
            </w:r>
            <w:r w:rsidR="00706EC5">
              <w:t>, in rats, rabbits and dogs, plus additional exposure at 20 ppm in rats (same duration)</w:t>
            </w:r>
            <w:r w:rsidR="002C2797">
              <w:t>:</w:t>
            </w:r>
            <w:r w:rsidR="00706EC5">
              <w:t xml:space="preserve"> </w:t>
            </w:r>
          </w:p>
          <w:p w14:paraId="79DBC733" w14:textId="78909459" w:rsidR="00194C0E" w:rsidRDefault="002C2797" w:rsidP="00D362A1">
            <w:pPr>
              <w:pStyle w:val="ListBullet"/>
              <w:numPr>
                <w:ilvl w:val="0"/>
                <w:numId w:val="22"/>
              </w:numPr>
              <w:spacing w:before="60" w:after="60"/>
              <w:contextualSpacing w:val="0"/>
            </w:pPr>
            <w:r>
              <w:t>no</w:t>
            </w:r>
            <w:r w:rsidR="00706EC5">
              <w:t xml:space="preserve"> signs of toxicity or irritation at 4.9 ppm</w:t>
            </w:r>
          </w:p>
          <w:p w14:paraId="14BADB28" w14:textId="244850F4" w:rsidR="00205F37" w:rsidRDefault="00706EC5" w:rsidP="00D362A1">
            <w:pPr>
              <w:pStyle w:val="ListBullet"/>
              <w:numPr>
                <w:ilvl w:val="0"/>
                <w:numId w:val="22"/>
              </w:numPr>
              <w:spacing w:before="60" w:after="60"/>
              <w:contextualSpacing w:val="0"/>
            </w:pPr>
            <w:r>
              <w:t xml:space="preserve">mild ocular and upper respiratory tract irritation </w:t>
            </w:r>
            <w:r w:rsidR="00AD7962">
              <w:t xml:space="preserve">at 10 ppm in rats and rabbits, </w:t>
            </w:r>
            <w:r>
              <w:t xml:space="preserve">(not noted in dogs) and </w:t>
            </w:r>
            <w:r w:rsidR="00AD7962">
              <w:t xml:space="preserve">eye and nasal irritation </w:t>
            </w:r>
            <w:r>
              <w:t xml:space="preserve">at 20 ppm in rats </w:t>
            </w:r>
          </w:p>
          <w:p w14:paraId="20D0F20E" w14:textId="2AF70FE1" w:rsidR="00706EC5" w:rsidRDefault="00706EC5" w:rsidP="00D362A1">
            <w:pPr>
              <w:pStyle w:val="ListBullet"/>
              <w:numPr>
                <w:ilvl w:val="0"/>
                <w:numId w:val="23"/>
              </w:numPr>
              <w:spacing w:before="60" w:after="60"/>
              <w:contextualSpacing w:val="0"/>
            </w:pPr>
            <w:r>
              <w:t xml:space="preserve">Somewhat irritating following local skin and eye application in concentrated </w:t>
            </w:r>
            <w:proofErr w:type="gramStart"/>
            <w:r>
              <w:t>form, but</w:t>
            </w:r>
            <w:proofErr w:type="gramEnd"/>
            <w:r>
              <w:t xml:space="preserve"> not irritating in dilution</w:t>
            </w:r>
            <w:r w:rsidR="00116B60">
              <w:t>.</w:t>
            </w:r>
          </w:p>
          <w:p w14:paraId="7DEF4D2E" w14:textId="77777777" w:rsidR="006E61E2" w:rsidRDefault="006E61E2" w:rsidP="00F51001">
            <w:pPr>
              <w:pStyle w:val="Tabletextprimarysource"/>
              <w:contextualSpacing/>
            </w:pPr>
          </w:p>
          <w:p w14:paraId="1864C1A7" w14:textId="77777777" w:rsidR="00706EC5" w:rsidRDefault="00116B60" w:rsidP="00D362A1">
            <w:pPr>
              <w:pStyle w:val="Tabletextprimarysource"/>
              <w:contextualSpacing/>
            </w:pPr>
            <w:r>
              <w:t>Insufficient data to recommend skin, SEN or carcinogenicity notations.</w:t>
            </w:r>
          </w:p>
          <w:p w14:paraId="661F6D45" w14:textId="6E323D40" w:rsidR="006E61E2" w:rsidRPr="00DA352E" w:rsidRDefault="006E61E2" w:rsidP="004E6E49">
            <w:pPr>
              <w:pStyle w:val="Tabletextprimarysource"/>
            </w:pPr>
          </w:p>
        </w:tc>
      </w:tr>
      <w:tr w:rsidR="00C978F0" w:rsidRPr="00DA352E" w14:paraId="139A19A0" w14:textId="77777777" w:rsidTr="001D6EB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C9ECFE4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9351EC" w:rsidRPr="00F64B09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9351EC">
                  <w:t>MAK: 1 ppm (7.1 mg/m</w:t>
                </w:r>
                <w:r w:rsidR="009351EC" w:rsidRPr="009351EC">
                  <w:rPr>
                    <w:vertAlign w:val="superscript"/>
                  </w:rPr>
                  <w:t>3</w:t>
                </w:r>
                <w:r w:rsidR="009351EC">
                  <w:t>)</w:t>
                </w:r>
              </w:sdtContent>
            </w:sdt>
          </w:p>
        </w:tc>
      </w:tr>
      <w:tr w:rsidR="00C978F0" w:rsidRPr="00DA352E" w14:paraId="384CA2FB" w14:textId="77777777" w:rsidTr="001D6EBB">
        <w:trPr>
          <w:gridAfter w:val="1"/>
          <w:wAfter w:w="8" w:type="pct"/>
          <w:cantSplit/>
        </w:trPr>
        <w:tc>
          <w:tcPr>
            <w:tcW w:w="4992" w:type="pct"/>
          </w:tcPr>
          <w:p w14:paraId="315D7FA5" w14:textId="77777777" w:rsidR="00C978F0" w:rsidRDefault="00116B60" w:rsidP="003365A5">
            <w:pPr>
              <w:pStyle w:val="Tabletextprimarysource"/>
            </w:pPr>
            <w:r>
              <w:t>Summary of additional data:</w:t>
            </w:r>
          </w:p>
          <w:p w14:paraId="7D0E64B9" w14:textId="77777777" w:rsidR="00116B60" w:rsidRDefault="00E514E5" w:rsidP="00D362A1">
            <w:pPr>
              <w:pStyle w:val="ListBullet"/>
              <w:numPr>
                <w:ilvl w:val="0"/>
                <w:numId w:val="24"/>
              </w:numPr>
              <w:spacing w:before="60" w:after="60"/>
              <w:contextualSpacing w:val="0"/>
            </w:pPr>
            <w:r>
              <w:t>Peak limitation designated category I: local irritant effects determine MAK</w:t>
            </w:r>
          </w:p>
          <w:p w14:paraId="0C497CAB" w14:textId="77777777" w:rsidR="00E514E5" w:rsidRDefault="00E514E5" w:rsidP="00D362A1">
            <w:pPr>
              <w:pStyle w:val="ListBullet"/>
              <w:numPr>
                <w:ilvl w:val="0"/>
                <w:numId w:val="24"/>
              </w:numPr>
              <w:spacing w:before="60" w:after="60"/>
              <w:contextualSpacing w:val="0"/>
            </w:pPr>
            <w:r>
              <w:t>No further information</w:t>
            </w:r>
            <w:r w:rsidR="004E6E49">
              <w:t>.</w:t>
            </w:r>
          </w:p>
          <w:p w14:paraId="19D5C0A8" w14:textId="37CB4602" w:rsidR="00F51001" w:rsidRPr="00DA352E" w:rsidRDefault="00F51001" w:rsidP="00F51001">
            <w:pPr>
              <w:pStyle w:val="ListBullet"/>
              <w:spacing w:before="60" w:after="60"/>
              <w:ind w:left="1077"/>
              <w:contextualSpacing w:val="0"/>
            </w:pPr>
          </w:p>
        </w:tc>
      </w:tr>
      <w:tr w:rsidR="00C978F0" w:rsidRPr="00DA352E" w14:paraId="1E903357" w14:textId="77777777" w:rsidTr="001D6EB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F1548A1" w14:textId="388D4020" w:rsidR="00C978F0" w:rsidRPr="00DA352E" w:rsidRDefault="00DA352E" w:rsidP="00B65706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7" w:hanging="2857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C1E7D">
                  <w:t>2012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AC1E7D" w:rsidRPr="00AC1E7D">
                  <w:t>TWA</w:t>
                </w:r>
                <w:r w:rsidR="00AC1E7D">
                  <w:t>: 1 ppm (7 mg/m</w:t>
                </w:r>
                <w:r w:rsidR="00AC1E7D" w:rsidRPr="00AC1E7D">
                  <w:rPr>
                    <w:vertAlign w:val="superscript"/>
                  </w:rPr>
                  <w:t>3</w:t>
                </w:r>
                <w:r w:rsidR="00F64B09">
                  <w:t>); STEL</w:t>
                </w:r>
                <w:r w:rsidR="00AC1E7D">
                  <w:t>: 2 ppm (14 mg/m</w:t>
                </w:r>
                <w:r w:rsidR="00AC1E7D" w:rsidRPr="00AC1E7D">
                  <w:rPr>
                    <w:vertAlign w:val="superscript"/>
                  </w:rPr>
                  <w:t>3</w:t>
                </w:r>
                <w:r w:rsidR="00AC1E7D">
                  <w:t>)</w:t>
                </w:r>
              </w:sdtContent>
            </w:sdt>
          </w:p>
        </w:tc>
      </w:tr>
      <w:tr w:rsidR="00C978F0" w:rsidRPr="00DA352E" w14:paraId="477929C0" w14:textId="77777777" w:rsidTr="001D6EBB">
        <w:trPr>
          <w:gridAfter w:val="1"/>
          <w:wAfter w:w="8" w:type="pct"/>
        </w:trPr>
        <w:tc>
          <w:tcPr>
            <w:tcW w:w="4992" w:type="pct"/>
          </w:tcPr>
          <w:p w14:paraId="0AF0E902" w14:textId="77777777" w:rsidR="003E0E70" w:rsidRDefault="003E0E70" w:rsidP="003E0E70">
            <w:pPr>
              <w:pStyle w:val="Tabletextprimarysource"/>
            </w:pPr>
            <w:r>
              <w:t>Summary of additional data:</w:t>
            </w:r>
          </w:p>
          <w:p w14:paraId="25711D88" w14:textId="1CD3F3A7" w:rsidR="003E0E70" w:rsidRDefault="00D362A1" w:rsidP="00D362A1">
            <w:pPr>
              <w:pStyle w:val="ListBullet"/>
              <w:numPr>
                <w:ilvl w:val="0"/>
                <w:numId w:val="25"/>
              </w:numPr>
              <w:spacing w:before="60" w:after="60"/>
              <w:contextualSpacing w:val="0"/>
            </w:pPr>
            <w:r>
              <w:t xml:space="preserve">Distributed in all organs and tissues </w:t>
            </w:r>
            <w:r w:rsidR="003E0E70">
              <w:t>1 h</w:t>
            </w:r>
            <w:r w:rsidR="00F64B09">
              <w:t xml:space="preserve"> following IP</w:t>
            </w:r>
            <w:r w:rsidR="003E0E70">
              <w:t xml:space="preserve"> injection in rats,</w:t>
            </w:r>
            <w:r>
              <w:t xml:space="preserve"> </w:t>
            </w:r>
            <w:r w:rsidR="00AD7962">
              <w:t>with</w:t>
            </w:r>
            <w:r w:rsidR="003E0E70">
              <w:t xml:space="preserve"> </w:t>
            </w:r>
            <w:r w:rsidR="00F64B09">
              <w:t>maximum</w:t>
            </w:r>
            <w:r w:rsidR="003E0E70">
              <w:t xml:space="preserve"> concentrations in liver, lung, kidneys and spleen</w:t>
            </w:r>
          </w:p>
          <w:p w14:paraId="787DBACC" w14:textId="35367D90" w:rsidR="003E0E70" w:rsidRDefault="003E0E70" w:rsidP="00D362A1">
            <w:pPr>
              <w:pStyle w:val="ListBullet"/>
              <w:numPr>
                <w:ilvl w:val="0"/>
                <w:numId w:val="25"/>
              </w:numPr>
              <w:spacing w:before="60" w:after="60"/>
              <w:contextualSpacing w:val="0"/>
            </w:pPr>
            <w:r>
              <w:t xml:space="preserve">Short-term </w:t>
            </w:r>
            <w:r w:rsidR="00115CDA">
              <w:t xml:space="preserve">and prolonged </w:t>
            </w:r>
            <w:r>
              <w:t xml:space="preserve">exposure </w:t>
            </w:r>
            <w:r w:rsidR="00B13C12">
              <w:t xml:space="preserve">(duration not given) </w:t>
            </w:r>
            <w:r>
              <w:t xml:space="preserve">at 5 ppm </w:t>
            </w:r>
            <w:r w:rsidR="009F444C">
              <w:t>(35 mg/m</w:t>
            </w:r>
            <w:r w:rsidR="009F444C" w:rsidRPr="009F444C">
              <w:rPr>
                <w:vertAlign w:val="superscript"/>
              </w:rPr>
              <w:t>3</w:t>
            </w:r>
            <w:r w:rsidR="009F444C">
              <w:t xml:space="preserve">) </w:t>
            </w:r>
            <w:r>
              <w:t>to perfume-grade phenyl ether (99.9% pure) in humans ‘well tolerated’; no further information</w:t>
            </w:r>
          </w:p>
          <w:p w14:paraId="0519DCDF" w14:textId="59BA8523" w:rsidR="00115CDA" w:rsidRDefault="00115CDA" w:rsidP="00D362A1">
            <w:pPr>
              <w:pStyle w:val="ListBullet"/>
              <w:numPr>
                <w:ilvl w:val="0"/>
                <w:numId w:val="25"/>
              </w:numPr>
              <w:spacing w:before="60" w:after="60"/>
              <w:contextualSpacing w:val="0"/>
            </w:pPr>
            <w:r>
              <w:lastRenderedPageBreak/>
              <w:t>Exposure at 7–10 ppm (50</w:t>
            </w:r>
            <w:r w:rsidR="004E6E49">
              <w:t>–</w:t>
            </w:r>
            <w:r>
              <w:t>71 mg/m</w:t>
            </w:r>
            <w:r w:rsidRPr="00115CDA">
              <w:rPr>
                <w:vertAlign w:val="superscript"/>
              </w:rPr>
              <w:t>3</w:t>
            </w:r>
            <w:r>
              <w:t>) in humans of eutectic mixture (containing biphenyl and phenyl ether) caused nausea and irritation to eyes and upper respiratory tract, presumed to be due to biphenyl</w:t>
            </w:r>
          </w:p>
          <w:p w14:paraId="61483A99" w14:textId="63927D7C" w:rsidR="009F444C" w:rsidRDefault="009F444C" w:rsidP="00D362A1">
            <w:pPr>
              <w:pStyle w:val="ListBullet"/>
              <w:numPr>
                <w:ilvl w:val="0"/>
                <w:numId w:val="25"/>
              </w:numPr>
              <w:spacing w:before="60" w:after="60"/>
              <w:contextualSpacing w:val="0"/>
            </w:pPr>
            <w:r>
              <w:t>Reported odour thresholds of 0.0012</w:t>
            </w:r>
            <w:r w:rsidR="004E6E49">
              <w:t>–</w:t>
            </w:r>
            <w:r>
              <w:t xml:space="preserve">0.1 ppm </w:t>
            </w:r>
          </w:p>
          <w:p w14:paraId="00712761" w14:textId="31D7D561" w:rsidR="003E0E70" w:rsidRDefault="009F444C" w:rsidP="00D362A1">
            <w:pPr>
              <w:pStyle w:val="ListBullet"/>
              <w:numPr>
                <w:ilvl w:val="0"/>
                <w:numId w:val="25"/>
              </w:numPr>
              <w:spacing w:before="60" w:after="60"/>
              <w:contextualSpacing w:val="0"/>
            </w:pPr>
            <w:r>
              <w:t xml:space="preserve">Rats inhaling </w:t>
            </w:r>
            <w:r w:rsidR="00F64B09">
              <w:t xml:space="preserve">saturated atmosphere of 28 ppm </w:t>
            </w:r>
            <w:r>
              <w:t xml:space="preserve">for 6 h did not </w:t>
            </w:r>
            <w:r w:rsidR="00AD7962">
              <w:t xml:space="preserve">have </w:t>
            </w:r>
            <w:r>
              <w:t>signs of toxicity</w:t>
            </w:r>
          </w:p>
          <w:p w14:paraId="08D9A384" w14:textId="6A4BAA69" w:rsidR="009F444C" w:rsidRDefault="009F444C" w:rsidP="00D362A1">
            <w:pPr>
              <w:pStyle w:val="ListBullet"/>
              <w:numPr>
                <w:ilvl w:val="0"/>
                <w:numId w:val="25"/>
              </w:numPr>
              <w:spacing w:before="60" w:after="60"/>
              <w:contextualSpacing w:val="0"/>
            </w:pPr>
            <w:r>
              <w:t>LD</w:t>
            </w:r>
            <w:r w:rsidRPr="009F444C">
              <w:rPr>
                <w:vertAlign w:val="subscript"/>
              </w:rPr>
              <w:t>50</w:t>
            </w:r>
            <w:r>
              <w:t>: &gt;5,000 mg/kg (rabbits, dermal); &gt;7,490 mg/kg (rats, dermal)</w:t>
            </w:r>
          </w:p>
          <w:p w14:paraId="73D56278" w14:textId="4021BA7D" w:rsidR="00A2397E" w:rsidRDefault="00A2397E" w:rsidP="00D362A1">
            <w:pPr>
              <w:pStyle w:val="ListBullet"/>
              <w:numPr>
                <w:ilvl w:val="0"/>
                <w:numId w:val="25"/>
              </w:numPr>
              <w:spacing w:before="60" w:after="60"/>
              <w:contextualSpacing w:val="0"/>
            </w:pPr>
            <w:r>
              <w:t>NOAEL: 100 mg/kg</w:t>
            </w:r>
            <w:r w:rsidR="00AD7962">
              <w:t>/d</w:t>
            </w:r>
            <w:r>
              <w:t xml:space="preserve"> (male and female rats, dermal, 13 </w:t>
            </w:r>
            <w:proofErr w:type="spellStart"/>
            <w:r>
              <w:t>wk</w:t>
            </w:r>
            <w:proofErr w:type="spellEnd"/>
            <w:r>
              <w:t>); exposure at 0, 10, 100, 300 and 1,000 mg/kg/d, 6</w:t>
            </w:r>
            <w:r w:rsidR="004E6E49">
              <w:t xml:space="preserve"> </w:t>
            </w:r>
            <w:r>
              <w:t>h/d</w:t>
            </w:r>
            <w:r w:rsidR="002A64A6">
              <w:t>; based on dose-dependent increase desquamation incidence and erythema of the skin and increase in liver weight</w:t>
            </w:r>
          </w:p>
          <w:p w14:paraId="317C1113" w14:textId="77777777" w:rsidR="009F444C" w:rsidRDefault="00B655A2" w:rsidP="00D362A1">
            <w:pPr>
              <w:pStyle w:val="ListBullet"/>
              <w:numPr>
                <w:ilvl w:val="0"/>
                <w:numId w:val="25"/>
              </w:numPr>
              <w:spacing w:before="60" w:after="60"/>
              <w:contextualSpacing w:val="0"/>
            </w:pPr>
            <w:r>
              <w:t>Did not produce skin sensitisation in maximisation test on 25 volunteers</w:t>
            </w:r>
          </w:p>
          <w:p w14:paraId="3579765C" w14:textId="1420F981" w:rsidR="00B655A2" w:rsidRDefault="001323B4" w:rsidP="00D362A1">
            <w:pPr>
              <w:pStyle w:val="ListBullet"/>
              <w:numPr>
                <w:ilvl w:val="0"/>
                <w:numId w:val="25"/>
              </w:numPr>
              <w:spacing w:before="60" w:after="60"/>
              <w:contextualSpacing w:val="0"/>
            </w:pPr>
            <w:r>
              <w:t xml:space="preserve">Sub-chronic or chronic inhalation studies </w:t>
            </w:r>
            <w:r w:rsidR="009C5F33">
              <w:t xml:space="preserve">with phenyl ether alone </w:t>
            </w:r>
            <w:r>
              <w:t>not available</w:t>
            </w:r>
          </w:p>
          <w:p w14:paraId="50109145" w14:textId="3ACD40AF" w:rsidR="0039608F" w:rsidRDefault="0039608F" w:rsidP="00D362A1">
            <w:pPr>
              <w:pStyle w:val="ListBullet"/>
              <w:numPr>
                <w:ilvl w:val="0"/>
                <w:numId w:val="25"/>
              </w:numPr>
              <w:spacing w:before="60" w:after="60"/>
              <w:contextualSpacing w:val="0"/>
            </w:pPr>
            <w:r>
              <w:t>Sub-</w:t>
            </w:r>
            <w:r w:rsidR="009237D9">
              <w:t>acute</w:t>
            </w:r>
            <w:r>
              <w:t xml:space="preserve"> exposure of rats, rabbits and dogs to vapours</w:t>
            </w:r>
            <w:r w:rsidR="009237D9">
              <w:t xml:space="preserve"> (also cited by ACGIH, 2018)</w:t>
            </w:r>
            <w:r>
              <w:t>:</w:t>
            </w:r>
          </w:p>
          <w:p w14:paraId="4E1C8A3C" w14:textId="78E7DE50" w:rsidR="0039608F" w:rsidRDefault="0039608F" w:rsidP="00EF0C4E">
            <w:pPr>
              <w:pStyle w:val="ListBullet"/>
              <w:numPr>
                <w:ilvl w:val="0"/>
                <w:numId w:val="27"/>
              </w:numPr>
              <w:spacing w:before="60" w:after="60"/>
              <w:contextualSpacing w:val="0"/>
            </w:pPr>
            <w:r w:rsidRPr="0039608F">
              <w:t>NOAEL of 5 ppm (35 mg/m</w:t>
            </w:r>
            <w:r w:rsidRPr="007362E5">
              <w:rPr>
                <w:vertAlign w:val="superscript"/>
              </w:rPr>
              <w:t>3</w:t>
            </w:r>
            <w:r w:rsidRPr="0039608F">
              <w:t xml:space="preserve">) </w:t>
            </w:r>
            <w:r>
              <w:t xml:space="preserve">with LOAEL of 10 </w:t>
            </w:r>
            <w:r w:rsidRPr="0039608F">
              <w:t>ppm (71 mg/m</w:t>
            </w:r>
            <w:r w:rsidRPr="009237D9">
              <w:rPr>
                <w:vertAlign w:val="superscript"/>
              </w:rPr>
              <w:t>3</w:t>
            </w:r>
            <w:r w:rsidRPr="0039608F">
              <w:t xml:space="preserve">) </w:t>
            </w:r>
            <w:r w:rsidR="009237D9" w:rsidRPr="0039608F">
              <w:t xml:space="preserve">for irritation of eyes and nose </w:t>
            </w:r>
            <w:r w:rsidRPr="0039608F">
              <w:t xml:space="preserve">in rats and rabbits </w:t>
            </w:r>
          </w:p>
          <w:p w14:paraId="6EA4B7EA" w14:textId="16D3197D" w:rsidR="0039608F" w:rsidRDefault="0039608F" w:rsidP="009237D9">
            <w:pPr>
              <w:pStyle w:val="ListBullet"/>
              <w:numPr>
                <w:ilvl w:val="0"/>
                <w:numId w:val="27"/>
              </w:numPr>
              <w:spacing w:before="60" w:after="60"/>
              <w:contextualSpacing w:val="0"/>
            </w:pPr>
            <w:r w:rsidRPr="0039608F">
              <w:t xml:space="preserve">NOAEL </w:t>
            </w:r>
            <w:r>
              <w:t xml:space="preserve">of </w:t>
            </w:r>
            <w:r w:rsidRPr="0039608F">
              <w:t>10 ppm (71 mg/m</w:t>
            </w:r>
            <w:r w:rsidRPr="009237D9">
              <w:rPr>
                <w:vertAlign w:val="superscript"/>
              </w:rPr>
              <w:t>3</w:t>
            </w:r>
            <w:r w:rsidRPr="0039608F">
              <w:t>)</w:t>
            </w:r>
            <w:r>
              <w:t xml:space="preserve"> in dogs</w:t>
            </w:r>
          </w:p>
          <w:p w14:paraId="4CEA6B5F" w14:textId="2C0650CE" w:rsidR="009C5F33" w:rsidRDefault="009C5F33" w:rsidP="00D362A1">
            <w:pPr>
              <w:pStyle w:val="ListBullet"/>
              <w:numPr>
                <w:ilvl w:val="0"/>
                <w:numId w:val="25"/>
              </w:numPr>
              <w:spacing w:before="60" w:after="60"/>
              <w:contextualSpacing w:val="0"/>
            </w:pPr>
            <w:r>
              <w:t xml:space="preserve">Oral administration of 400 mg/kg/d to male rats for 2 </w:t>
            </w:r>
            <w:proofErr w:type="spellStart"/>
            <w:r>
              <w:t>mo</w:t>
            </w:r>
            <w:proofErr w:type="spellEnd"/>
            <w:r>
              <w:t xml:space="preserve"> produced GI tract irritation, degenerative changes in liver and kidneys and increased thyroid function at 13 </w:t>
            </w:r>
            <w:proofErr w:type="spellStart"/>
            <w:r>
              <w:t>mo</w:t>
            </w:r>
            <w:proofErr w:type="spellEnd"/>
            <w:r>
              <w:t>; study insufficiently reported</w:t>
            </w:r>
            <w:r w:rsidR="00AD7962">
              <w:t>, hence, unreliable</w:t>
            </w:r>
          </w:p>
          <w:p w14:paraId="513EF9DB" w14:textId="68FC157D" w:rsidR="009C5F33" w:rsidRDefault="00424499" w:rsidP="00D362A1">
            <w:pPr>
              <w:pStyle w:val="ListBullet"/>
              <w:numPr>
                <w:ilvl w:val="0"/>
                <w:numId w:val="25"/>
              </w:numPr>
              <w:spacing w:before="60" w:after="60"/>
              <w:contextualSpacing w:val="0"/>
            </w:pPr>
            <w:r>
              <w:t xml:space="preserve">NOAEL: 20 mg/kg/d (male and female rats, 13 </w:t>
            </w:r>
            <w:proofErr w:type="spellStart"/>
            <w:r>
              <w:t>wk</w:t>
            </w:r>
            <w:proofErr w:type="spellEnd"/>
            <w:r>
              <w:t>); based on organ weight changes, attributed to reduced body weight</w:t>
            </w:r>
          </w:p>
          <w:p w14:paraId="2AE6F7AD" w14:textId="4D6CD1B7" w:rsidR="00424499" w:rsidRDefault="000C2234" w:rsidP="00D362A1">
            <w:pPr>
              <w:pStyle w:val="ListBullet"/>
              <w:numPr>
                <w:ilvl w:val="0"/>
                <w:numId w:val="25"/>
              </w:numPr>
              <w:spacing w:before="60" w:after="60"/>
              <w:contextualSpacing w:val="0"/>
            </w:pPr>
            <w:r w:rsidRPr="000C2234">
              <w:t>Genotoxicity not observed</w:t>
            </w:r>
            <w:r>
              <w:t xml:space="preserve"> in </w:t>
            </w:r>
            <w:r>
              <w:rPr>
                <w:i/>
              </w:rPr>
              <w:t>in vitro</w:t>
            </w:r>
            <w:r>
              <w:t xml:space="preserve"> studies and</w:t>
            </w:r>
            <w:r w:rsidR="004F22C2">
              <w:t xml:space="preserve"> no</w:t>
            </w:r>
            <w:r>
              <w:t xml:space="preserve"> </w:t>
            </w:r>
            <w:r>
              <w:rPr>
                <w:i/>
              </w:rPr>
              <w:t xml:space="preserve">in vivo </w:t>
            </w:r>
            <w:r w:rsidRPr="000C2234">
              <w:t>d</w:t>
            </w:r>
            <w:r>
              <w:t>ata available</w:t>
            </w:r>
            <w:r w:rsidR="002A64A6">
              <w:t>.</w:t>
            </w:r>
          </w:p>
          <w:p w14:paraId="187AD172" w14:textId="77777777" w:rsidR="006E61E2" w:rsidRDefault="006E61E2" w:rsidP="00F51001">
            <w:pPr>
              <w:pStyle w:val="Tabletextprimarysource"/>
              <w:contextualSpacing/>
            </w:pPr>
          </w:p>
          <w:p w14:paraId="1A970BC1" w14:textId="66F71078" w:rsidR="00B13C12" w:rsidRDefault="00444259" w:rsidP="00444259">
            <w:pPr>
              <w:pStyle w:val="Tabletextprimarysource"/>
            </w:pPr>
            <w:r>
              <w:t>NOAEL of 20 mg/kg/d correspond</w:t>
            </w:r>
            <w:r w:rsidR="00BA503A">
              <w:t>s</w:t>
            </w:r>
            <w:r>
              <w:t xml:space="preserve"> to </w:t>
            </w:r>
            <w:r w:rsidR="00BA503A">
              <w:t xml:space="preserve">inhalation concentration of </w:t>
            </w:r>
            <w:r>
              <w:t>140 mg/m</w:t>
            </w:r>
            <w:r w:rsidRPr="00444259">
              <w:rPr>
                <w:vertAlign w:val="superscript"/>
              </w:rPr>
              <w:t>3</w:t>
            </w:r>
            <w:r>
              <w:t xml:space="preserve"> (assuming 70 kg </w:t>
            </w:r>
            <w:proofErr w:type="spellStart"/>
            <w:r>
              <w:t>bw</w:t>
            </w:r>
            <w:proofErr w:type="spellEnd"/>
            <w:r>
              <w:t xml:space="preserve"> and 10 mg/m</w:t>
            </w:r>
            <w:r>
              <w:rPr>
                <w:vertAlign w:val="superscript"/>
              </w:rPr>
              <w:t>3</w:t>
            </w:r>
            <w:r>
              <w:t xml:space="preserve"> inhalation volume)</w:t>
            </w:r>
            <w:r w:rsidR="00ED5266">
              <w:t>.</w:t>
            </w:r>
            <w:r>
              <w:t xml:space="preserve"> </w:t>
            </w:r>
            <w:r w:rsidR="000C2DED">
              <w:t xml:space="preserve">This is </w:t>
            </w:r>
            <w:r>
              <w:t>adjusted to 35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0C2DED">
              <w:t xml:space="preserve">by applying an </w:t>
            </w:r>
            <w:r w:rsidR="00531CA3">
              <w:t>U</w:t>
            </w:r>
            <w:r w:rsidR="000C2DED">
              <w:t xml:space="preserve">F of 4 </w:t>
            </w:r>
            <w:r>
              <w:t xml:space="preserve">to account for interspecies differences. This NOAEL for systemic toxicity corresponds to the NOAEL </w:t>
            </w:r>
            <w:r w:rsidR="009237D9">
              <w:t>of 5 ppm (35 mg/m</w:t>
            </w:r>
            <w:r w:rsidR="009237D9">
              <w:rPr>
                <w:vertAlign w:val="superscript"/>
              </w:rPr>
              <w:t>3</w:t>
            </w:r>
            <w:r w:rsidR="009237D9">
              <w:t xml:space="preserve">) </w:t>
            </w:r>
            <w:r>
              <w:t>for irritat</w:t>
            </w:r>
            <w:r w:rsidR="00ED3F3F">
              <w:t>ion</w:t>
            </w:r>
            <w:r w:rsidR="000C2DED">
              <w:t>.</w:t>
            </w:r>
            <w:r>
              <w:t xml:space="preserve"> </w:t>
            </w:r>
            <w:r w:rsidR="000C2DED">
              <w:t>The NOAEL of 5</w:t>
            </w:r>
            <w:r w:rsidR="0039608F">
              <w:t> </w:t>
            </w:r>
            <w:r w:rsidR="000C2DED">
              <w:t>ppm (35 mg/m</w:t>
            </w:r>
            <w:r w:rsidR="000C2DED">
              <w:rPr>
                <w:vertAlign w:val="superscript"/>
              </w:rPr>
              <w:t>3</w:t>
            </w:r>
            <w:r w:rsidR="000C2DED">
              <w:t xml:space="preserve">) </w:t>
            </w:r>
            <w:r>
              <w:t xml:space="preserve">is used as POD </w:t>
            </w:r>
            <w:r w:rsidR="000C2DED">
              <w:t>to propose an</w:t>
            </w:r>
            <w:r>
              <w:t xml:space="preserve"> OEL of 1 ppm (7 mg/m</w:t>
            </w:r>
            <w:r w:rsidRPr="00444259">
              <w:rPr>
                <w:vertAlign w:val="superscript"/>
              </w:rPr>
              <w:t>3</w:t>
            </w:r>
            <w:r>
              <w:t>)</w:t>
            </w:r>
            <w:r w:rsidR="000C2DED">
              <w:t xml:space="preserve"> </w:t>
            </w:r>
            <w:proofErr w:type="gramStart"/>
            <w:r w:rsidR="000C2DED">
              <w:t>taking into account</w:t>
            </w:r>
            <w:proofErr w:type="gramEnd"/>
            <w:r w:rsidR="000C2DED">
              <w:t xml:space="preserve"> limited data with short durations of exposure</w:t>
            </w:r>
            <w:r w:rsidR="009237D9">
              <w:t xml:space="preserve"> (uncertainty factor not specified)</w:t>
            </w:r>
            <w:r>
              <w:t xml:space="preserve">. </w:t>
            </w:r>
          </w:p>
          <w:p w14:paraId="1D0E44FC" w14:textId="2A47ABD0" w:rsidR="006E61E2" w:rsidRPr="00444259" w:rsidRDefault="006E61E2" w:rsidP="00F51001">
            <w:pPr>
              <w:pStyle w:val="Tabletextprimarysource"/>
              <w:contextualSpacing/>
            </w:pPr>
          </w:p>
        </w:tc>
      </w:tr>
      <w:tr w:rsidR="00DA352E" w:rsidRPr="00DA352E" w14:paraId="4D87BA71" w14:textId="77777777" w:rsidTr="001D6EB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E43790E" w14:textId="59ABAF4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D67E4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D67E48">
                  <w:t>NA</w:t>
                </w:r>
                <w:proofErr w:type="spellEnd"/>
              </w:sdtContent>
            </w:sdt>
          </w:p>
        </w:tc>
      </w:tr>
      <w:tr w:rsidR="00DA352E" w:rsidRPr="00DA352E" w14:paraId="3DA18B53" w14:textId="77777777" w:rsidTr="001D6EBB">
        <w:trPr>
          <w:gridAfter w:val="1"/>
          <w:wAfter w:w="8" w:type="pct"/>
          <w:cantSplit/>
        </w:trPr>
        <w:tc>
          <w:tcPr>
            <w:tcW w:w="4992" w:type="pct"/>
          </w:tcPr>
          <w:p w14:paraId="6B086F45" w14:textId="74F4AAE9" w:rsidR="00DA352E" w:rsidRPr="00DA352E" w:rsidRDefault="00D67E48" w:rsidP="003365A5">
            <w:pPr>
              <w:pStyle w:val="Tabletextprimarysource"/>
            </w:pPr>
            <w:r>
              <w:t>No report</w:t>
            </w:r>
            <w:r w:rsidR="00B44614">
              <w:t>.</w:t>
            </w:r>
          </w:p>
        </w:tc>
      </w:tr>
      <w:tr w:rsidR="00DA352E" w:rsidRPr="00DA352E" w14:paraId="0F6018F3" w14:textId="77777777" w:rsidTr="001D6EB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96AC04C" w14:textId="4F87042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C424A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CC424A">
                  <w:t>Not assigned</w:t>
                </w:r>
              </w:sdtContent>
            </w:sdt>
          </w:p>
        </w:tc>
      </w:tr>
      <w:tr w:rsidR="00DA352E" w:rsidRPr="00DA352E" w14:paraId="351500C8" w14:textId="77777777" w:rsidTr="001D6EBB">
        <w:trPr>
          <w:gridAfter w:val="1"/>
          <w:wAfter w:w="8" w:type="pct"/>
          <w:cantSplit/>
        </w:trPr>
        <w:tc>
          <w:tcPr>
            <w:tcW w:w="4992" w:type="pct"/>
          </w:tcPr>
          <w:p w14:paraId="3A29679D" w14:textId="77777777" w:rsidR="00190F78" w:rsidRDefault="00190F78" w:rsidP="00190F78">
            <w:pPr>
              <w:pStyle w:val="Tabletextprimarysource"/>
            </w:pPr>
            <w:r>
              <w:t>Summary of additional data:</w:t>
            </w:r>
          </w:p>
          <w:p w14:paraId="2814CE64" w14:textId="365EF5AE" w:rsidR="00190F78" w:rsidRDefault="00190F78" w:rsidP="00270284">
            <w:pPr>
              <w:pStyle w:val="ListBullet"/>
              <w:numPr>
                <w:ilvl w:val="0"/>
                <w:numId w:val="26"/>
              </w:numPr>
              <w:spacing w:before="60" w:after="60"/>
              <w:contextualSpacing w:val="0"/>
            </w:pPr>
            <w:r>
              <w:t>Duration of short-term exposure at 5 ppm (cited in SCOEL</w:t>
            </w:r>
            <w:r w:rsidR="004F22C2">
              <w:t>,</w:t>
            </w:r>
            <w:r>
              <w:t xml:space="preserve"> 2012) </w:t>
            </w:r>
            <w:r w:rsidR="00B44614">
              <w:rPr>
                <w:rFonts w:cs="Arial"/>
              </w:rPr>
              <w:t>≤</w:t>
            </w:r>
            <w:r>
              <w:t xml:space="preserve">1 min </w:t>
            </w:r>
          </w:p>
          <w:p w14:paraId="1BC131D6" w14:textId="64F5A0DF" w:rsidR="00DA352E" w:rsidRDefault="004F22C2" w:rsidP="00270284">
            <w:pPr>
              <w:pStyle w:val="ListBullet"/>
              <w:numPr>
                <w:ilvl w:val="0"/>
                <w:numId w:val="26"/>
              </w:numPr>
              <w:spacing w:before="60" w:after="60"/>
              <w:contextualSpacing w:val="0"/>
            </w:pPr>
            <w:r>
              <w:t xml:space="preserve">Committee utilises NOAEL of </w:t>
            </w:r>
            <w:r w:rsidR="0039608F">
              <w:t>35 mg/m</w:t>
            </w:r>
            <w:r w:rsidR="0039608F">
              <w:rPr>
                <w:vertAlign w:val="superscript"/>
              </w:rPr>
              <w:t>3</w:t>
            </w:r>
            <w:r>
              <w:t xml:space="preserve"> (</w:t>
            </w:r>
            <w:r w:rsidR="0039608F">
              <w:t>5 ppm</w:t>
            </w:r>
            <w:r>
              <w:t>)</w:t>
            </w:r>
            <w:r w:rsidR="00190F78">
              <w:t xml:space="preserve"> </w:t>
            </w:r>
            <w:r>
              <w:t xml:space="preserve">to derive HBROEL. Following application of AF of 3 for intraspecies variation, a HBROEL of </w:t>
            </w:r>
            <w:r w:rsidR="0039608F">
              <w:t>10 mg/m</w:t>
            </w:r>
            <w:r w:rsidR="0039608F">
              <w:rPr>
                <w:vertAlign w:val="superscript"/>
              </w:rPr>
              <w:t>3</w:t>
            </w:r>
            <w:r>
              <w:t xml:space="preserve"> (</w:t>
            </w:r>
            <w:r w:rsidR="0039608F">
              <w:t>1.4 ppm</w:t>
            </w:r>
            <w:r>
              <w:t>) is recommended</w:t>
            </w:r>
          </w:p>
          <w:p w14:paraId="2E56BA36" w14:textId="77777777" w:rsidR="00A2397E" w:rsidRDefault="00A2397E" w:rsidP="00270284">
            <w:pPr>
              <w:pStyle w:val="ListBullet"/>
              <w:numPr>
                <w:ilvl w:val="0"/>
                <w:numId w:val="26"/>
              </w:numPr>
              <w:spacing w:before="60" w:after="60"/>
              <w:contextualSpacing w:val="0"/>
            </w:pPr>
            <w:r>
              <w:t>Skin notation not considered necessary.</w:t>
            </w:r>
          </w:p>
          <w:p w14:paraId="74A9E722" w14:textId="1E293804" w:rsidR="006E61E2" w:rsidRPr="00DA352E" w:rsidRDefault="006E61E2" w:rsidP="001954FE">
            <w:pPr>
              <w:pStyle w:val="ListBullet"/>
              <w:spacing w:before="60" w:after="60"/>
              <w:ind w:left="360" w:hanging="360"/>
              <w:contextualSpacing w:val="0"/>
            </w:pPr>
          </w:p>
        </w:tc>
      </w:tr>
    </w:tbl>
    <w:p w14:paraId="01CBD532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3417E24A" w14:textId="3E17CBB2" w:rsidR="007E2A4B" w:rsidRDefault="004E6E49">
      <w:r>
        <w:t>NIL</w:t>
      </w:r>
      <w:r w:rsidR="00B44614">
        <w:t>.</w:t>
      </w:r>
    </w:p>
    <w:bookmarkEnd w:id="0"/>
    <w:p w14:paraId="1350F931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05DCA9C5" w14:textId="77777777" w:rsidTr="00A2397E">
        <w:trPr>
          <w:trHeight w:val="454"/>
          <w:tblHeader/>
        </w:trPr>
        <w:tc>
          <w:tcPr>
            <w:tcW w:w="6603" w:type="dxa"/>
            <w:vAlign w:val="center"/>
          </w:tcPr>
          <w:p w14:paraId="24748B25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60AC2B7" w14:textId="53F47104" w:rsidR="002E0D61" w:rsidRDefault="00A2397E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5D881C4" w14:textId="77777777" w:rsidTr="00A2397E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53111593" w14:textId="0EDA30D1" w:rsidR="008A36CF" w:rsidRPr="006901A2" w:rsidRDefault="00A2397E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1758E14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4FF86A4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0F243F4" w14:textId="77777777" w:rsidTr="001D6E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812625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453E12D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D7656E8" w14:textId="77777777" w:rsidTr="001D6EBB">
        <w:trPr>
          <w:cantSplit/>
        </w:trPr>
        <w:tc>
          <w:tcPr>
            <w:tcW w:w="3227" w:type="dxa"/>
          </w:tcPr>
          <w:p w14:paraId="4925C1D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88ABCB5" w14:textId="77777777" w:rsidR="00687890" w:rsidRPr="00DD2F9B" w:rsidRDefault="001E16FB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75FFB668" w14:textId="77777777" w:rsidTr="001D6EBB">
        <w:trPr>
          <w:cantSplit/>
        </w:trPr>
        <w:tc>
          <w:tcPr>
            <w:tcW w:w="3227" w:type="dxa"/>
          </w:tcPr>
          <w:p w14:paraId="0FF0AC05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F03F5F7" w14:textId="222C612C" w:rsidR="007925F0" w:rsidRPr="00DD2F9B" w:rsidRDefault="00CC424A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6CA27795" w14:textId="77777777" w:rsidTr="001D6EBB">
        <w:trPr>
          <w:cantSplit/>
        </w:trPr>
        <w:tc>
          <w:tcPr>
            <w:tcW w:w="3227" w:type="dxa"/>
          </w:tcPr>
          <w:p w14:paraId="6E059E07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88C6242" w14:textId="485A9D6F" w:rsidR="00AF483F" w:rsidRPr="00DD2F9B" w:rsidRDefault="00CC424A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DA1D065" w14:textId="77777777" w:rsidTr="001D6EBB">
        <w:trPr>
          <w:cantSplit/>
        </w:trPr>
        <w:tc>
          <w:tcPr>
            <w:tcW w:w="3227" w:type="dxa"/>
          </w:tcPr>
          <w:p w14:paraId="2FD287C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AAF2EC3" w14:textId="57E5530E" w:rsidR="00687890" w:rsidRPr="00DD2F9B" w:rsidRDefault="00821866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23F3BD4" w14:textId="77777777" w:rsidTr="001D6EBB">
        <w:trPr>
          <w:cantSplit/>
        </w:trPr>
        <w:tc>
          <w:tcPr>
            <w:tcW w:w="3227" w:type="dxa"/>
          </w:tcPr>
          <w:p w14:paraId="73C49F8F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92A2E4E" w14:textId="43835F36" w:rsidR="00E41A26" w:rsidRPr="00DD2F9B" w:rsidRDefault="0082186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D5978B8" w14:textId="77777777" w:rsidTr="001D6EBB">
        <w:trPr>
          <w:cantSplit/>
        </w:trPr>
        <w:tc>
          <w:tcPr>
            <w:tcW w:w="3227" w:type="dxa"/>
          </w:tcPr>
          <w:p w14:paraId="0EE71786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27E2B8C" w14:textId="77777777" w:rsidR="002E0D61" w:rsidRPr="00DD2F9B" w:rsidRDefault="009351E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8D253AE" w14:textId="77777777" w:rsidTr="001D6EBB">
        <w:trPr>
          <w:cantSplit/>
        </w:trPr>
        <w:tc>
          <w:tcPr>
            <w:tcW w:w="3227" w:type="dxa"/>
          </w:tcPr>
          <w:p w14:paraId="7C790308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9764217" w14:textId="77777777" w:rsidR="002E0D61" w:rsidRPr="00DD2F9B" w:rsidRDefault="00AC1E7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DFE0F13" w14:textId="77777777" w:rsidTr="001D6EBB">
        <w:trPr>
          <w:cantSplit/>
        </w:trPr>
        <w:tc>
          <w:tcPr>
            <w:tcW w:w="3227" w:type="dxa"/>
          </w:tcPr>
          <w:p w14:paraId="17E1268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3910874" w14:textId="5E2C54C0" w:rsidR="002E0D61" w:rsidRPr="00DD2F9B" w:rsidRDefault="00D67E4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BF59F16" w14:textId="77777777" w:rsidTr="001D6EBB">
        <w:trPr>
          <w:cantSplit/>
        </w:trPr>
        <w:tc>
          <w:tcPr>
            <w:tcW w:w="3227" w:type="dxa"/>
          </w:tcPr>
          <w:p w14:paraId="769529EF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376B474" w14:textId="43E7EF2B" w:rsidR="002E0D61" w:rsidRPr="00DD2F9B" w:rsidRDefault="00CC424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F42B111" w14:textId="77777777" w:rsidTr="001D6EBB">
        <w:trPr>
          <w:cantSplit/>
        </w:trPr>
        <w:tc>
          <w:tcPr>
            <w:tcW w:w="3227" w:type="dxa"/>
          </w:tcPr>
          <w:p w14:paraId="68E4B368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8C38143" w14:textId="04552403" w:rsidR="00386093" w:rsidRPr="00DD2F9B" w:rsidRDefault="0022249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53C75D9" w14:textId="77777777" w:rsidTr="001D6EBB">
        <w:trPr>
          <w:cantSplit/>
        </w:trPr>
        <w:tc>
          <w:tcPr>
            <w:tcW w:w="3227" w:type="dxa"/>
          </w:tcPr>
          <w:p w14:paraId="6C8FCF2F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640C4192" w14:textId="1FC95754" w:rsidR="00386093" w:rsidRPr="00DD2F9B" w:rsidRDefault="00222491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B81F0A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2FB1DCE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DE417FD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6B30C19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3653"/>
        <w:gridCol w:w="1100"/>
        <w:gridCol w:w="1099"/>
        <w:gridCol w:w="3174"/>
      </w:tblGrid>
      <w:tr w:rsidR="002A64A6" w14:paraId="7F1AD613" w14:textId="77777777" w:rsidTr="002A64A6">
        <w:trPr>
          <w:trHeight w:val="342"/>
        </w:trPr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bookmarkEnd w:id="3"/>
          <w:p w14:paraId="06639D98" w14:textId="77777777" w:rsidR="002A64A6" w:rsidRDefault="002A64A6">
            <w:pPr>
              <w:spacing w:after="0"/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Adverse effects in human case study: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6A18C89" w14:textId="77777777" w:rsidR="002A64A6" w:rsidRDefault="002A64A6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E994613" w14:textId="77777777" w:rsidR="002A64A6" w:rsidRDefault="002A64A6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7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9222CBC" w14:textId="77777777" w:rsidR="002A64A6" w:rsidRDefault="002A64A6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2A64A6" w14:paraId="716F96D3" w14:textId="77777777" w:rsidTr="002A64A6">
        <w:trPr>
          <w:trHeight w:val="342"/>
        </w:trPr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393966E" w14:textId="77777777" w:rsidR="002A64A6" w:rsidRDefault="002A64A6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≤1000 mg/kg: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FFED9CC" w14:textId="77777777" w:rsidR="002A64A6" w:rsidRDefault="002A64A6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EF626CC" w14:textId="77777777" w:rsidR="002A64A6" w:rsidRDefault="002A64A6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7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43B4916" w14:textId="77777777" w:rsidR="002A64A6" w:rsidRDefault="002A64A6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2A64A6" w14:paraId="15A1D020" w14:textId="77777777" w:rsidTr="002A64A6">
        <w:trPr>
          <w:trHeight w:val="342"/>
        </w:trPr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0FA0194" w14:textId="77777777" w:rsidR="002A64A6" w:rsidRDefault="002A64A6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repeat-dose NOAEL ≤200 mg/kg: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721B7E61" w14:textId="77777777" w:rsidR="002A64A6" w:rsidRDefault="002A64A6">
            <w:pPr>
              <w:jc w:val="center"/>
              <w:rPr>
                <w:rFonts w:ascii="Segoe UI" w:hAnsi="Segoe UI" w:cs="Segoe UI"/>
                <w:color w:val="9C6500"/>
                <w:sz w:val="18"/>
                <w:szCs w:val="18"/>
              </w:rPr>
            </w:pPr>
            <w:r>
              <w:rPr>
                <w:rFonts w:ascii="Segoe UI" w:hAnsi="Segoe UI" w:cs="Segoe UI"/>
                <w:color w:val="9C6500"/>
                <w:sz w:val="18"/>
                <w:szCs w:val="18"/>
              </w:rPr>
              <w:t>yes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3CC337F" w14:textId="77777777" w:rsidR="002A64A6" w:rsidRDefault="002A64A6">
            <w:pPr>
              <w:jc w:val="right"/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3.00</w:t>
            </w:r>
          </w:p>
        </w:tc>
        <w:tc>
          <w:tcPr>
            <w:tcW w:w="17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BE0441C" w14:textId="77777777" w:rsidR="002A64A6" w:rsidRDefault="002A64A6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2A64A6" w14:paraId="29D79F30" w14:textId="77777777" w:rsidTr="002A64A6">
        <w:trPr>
          <w:trHeight w:val="342"/>
        </w:trPr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BBA091A" w14:textId="77777777" w:rsidR="002A64A6" w:rsidRDefault="002A64A6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Dermal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/Inhalation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&lt;10: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AFC3477" w14:textId="77777777" w:rsidR="002A64A6" w:rsidRDefault="002A64A6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8758330" w14:textId="77777777" w:rsidR="002A64A6" w:rsidRDefault="002A64A6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7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F3686A1" w14:textId="77777777" w:rsidR="002A64A6" w:rsidRDefault="002A64A6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2A64A6" w14:paraId="35FC982F" w14:textId="77777777" w:rsidTr="002A64A6">
        <w:trPr>
          <w:trHeight w:val="342"/>
        </w:trPr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002BFF7" w14:textId="77777777" w:rsidR="002A64A6" w:rsidRDefault="002A64A6">
            <w:pPr>
              <w:jc w:val="right"/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  <w:t>In vivo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dermal absorption rate &gt;10%: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48B442B" w14:textId="77777777" w:rsidR="002A64A6" w:rsidRDefault="002A64A6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DC2EC81" w14:textId="77777777" w:rsidR="002A64A6" w:rsidRDefault="002A64A6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7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9F7E441" w14:textId="77777777" w:rsidR="002A64A6" w:rsidRDefault="002A64A6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2A64A6" w14:paraId="0A46A68B" w14:textId="77777777" w:rsidTr="002A64A6">
        <w:trPr>
          <w:trHeight w:val="342"/>
        </w:trPr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667259B" w14:textId="77777777" w:rsidR="002A64A6" w:rsidRDefault="002A64A6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Estimated dermal exposure at WES &gt;10%: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E1A7FAE" w14:textId="77777777" w:rsidR="002A64A6" w:rsidRDefault="002A64A6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9A0FDEB" w14:textId="77777777" w:rsidR="002A64A6" w:rsidRDefault="002A64A6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17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039F3B1" w14:textId="77777777" w:rsidR="002A64A6" w:rsidRDefault="002A64A6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2A64A6" w14:paraId="3EC90A15" w14:textId="77777777" w:rsidTr="002A64A6">
        <w:trPr>
          <w:trHeight w:val="342"/>
        </w:trPr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36FE2C9" w14:textId="77777777" w:rsidR="002A64A6" w:rsidRDefault="002A64A6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65C0D05" w14:textId="77777777" w:rsidR="002A64A6" w:rsidRDefault="002A64A6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46C1DAF" w14:textId="77777777" w:rsidR="002A64A6" w:rsidRDefault="002A64A6">
            <w:pPr>
              <w:jc w:val="right"/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3</w:t>
            </w:r>
          </w:p>
        </w:tc>
        <w:tc>
          <w:tcPr>
            <w:tcW w:w="1758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2BB8424" w14:textId="77777777" w:rsidR="002A64A6" w:rsidRDefault="002A64A6">
            <w:pP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consider assigning a skin notation</w:t>
            </w:r>
          </w:p>
        </w:tc>
      </w:tr>
    </w:tbl>
    <w:p w14:paraId="2770FF8A" w14:textId="4E218409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214337D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5081E4F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37F99FD" w14:textId="20672DDA" w:rsidR="00EB3D1B" w:rsidRDefault="00222491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AC2A833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B33B07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8BB65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8366E57" w14:textId="77777777" w:rsidR="001B79E5" w:rsidRDefault="009351EC" w:rsidP="001B79E5">
                <w:pPr>
                  <w:pStyle w:val="Tablefont"/>
                </w:pPr>
                <w:r>
                  <w:t>170.20</w:t>
                </w:r>
              </w:p>
            </w:tc>
          </w:sdtContent>
        </w:sdt>
      </w:tr>
      <w:tr w:rsidR="00A31D99" w:rsidRPr="004C23F4" w14:paraId="44FB0B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90562D5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EAD2F44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E14274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DFFEDD1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E5355ED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B5AF637" w14:textId="77777777" w:rsidTr="00EA6243">
        <w:trPr>
          <w:cantSplit/>
        </w:trPr>
        <w:tc>
          <w:tcPr>
            <w:tcW w:w="4077" w:type="dxa"/>
            <w:vAlign w:val="center"/>
          </w:tcPr>
          <w:p w14:paraId="5632F7B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C5671DC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402FCE0" w14:textId="77777777" w:rsidTr="00EA6243">
        <w:trPr>
          <w:cantSplit/>
        </w:trPr>
        <w:tc>
          <w:tcPr>
            <w:tcW w:w="4077" w:type="dxa"/>
            <w:vAlign w:val="center"/>
          </w:tcPr>
          <w:p w14:paraId="0BA4680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D37E2C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85F29A2" w14:textId="77777777" w:rsidTr="00EA6243">
        <w:trPr>
          <w:cantSplit/>
        </w:trPr>
        <w:tc>
          <w:tcPr>
            <w:tcW w:w="4077" w:type="dxa"/>
            <w:vAlign w:val="center"/>
          </w:tcPr>
          <w:p w14:paraId="21ABF365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CA5313F" w14:textId="77777777" w:rsidR="00E06F40" w:rsidRPr="00A006A0" w:rsidRDefault="003803E6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5CD0D56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CEB94B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6855BC9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51EE2B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CB4D62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4B5FAD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464DE6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08893FA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2A19053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B2A83F6" w14:textId="0C1A2A54" w:rsidR="008E4F1F" w:rsidRDefault="008E4F1F" w:rsidP="008E4F1F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106389">
        <w:t>2014</w:t>
      </w:r>
      <w:r>
        <w:t xml:space="preserve">) </w:t>
      </w:r>
      <w:r w:rsidR="00106389" w:rsidRPr="00106389">
        <w:t>Diphenyl ether (vapour)</w:t>
      </w:r>
      <w:r>
        <w:t xml:space="preserve"> – MAK value documentation.</w:t>
      </w:r>
    </w:p>
    <w:p w14:paraId="29155CF8" w14:textId="4AC68712" w:rsidR="008E4F1F" w:rsidRDefault="008E4F1F" w:rsidP="008E4F1F">
      <w:pPr>
        <w:rPr>
          <w:b/>
        </w:rPr>
      </w:pPr>
      <w:r w:rsidRPr="002022B6">
        <w:t>EU Scientific Committee on Occupational Exposure Limits (SCOEL)</w:t>
      </w:r>
      <w:r>
        <w:t xml:space="preserve"> (</w:t>
      </w:r>
      <w:r w:rsidR="003412AE">
        <w:t>2012</w:t>
      </w:r>
      <w:r>
        <w:t xml:space="preserve">) Recommendation from the Scientific Committee on Occupational Exposure Limits for </w:t>
      </w:r>
      <w:r w:rsidR="005318F0" w:rsidRPr="005318F0">
        <w:t>Diphenyl ether</w:t>
      </w:r>
      <w:r>
        <w:t>. SCOEL/</w:t>
      </w:r>
      <w:r w:rsidR="00491B30">
        <w:t>SUM/182</w:t>
      </w:r>
      <w:r>
        <w:t>.</w:t>
      </w:r>
    </w:p>
    <w:p w14:paraId="339C5F73" w14:textId="5FC7E154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4B5230">
        <w:t>2005</w:t>
      </w:r>
      <w:r>
        <w:t xml:space="preserve">) </w:t>
      </w:r>
      <w:r w:rsidR="004B5230" w:rsidRPr="004B5230">
        <w:t>Diphenyl ether</w:t>
      </w:r>
      <w:r w:rsidRPr="005F7416">
        <w:t xml:space="preserve">. </w:t>
      </w:r>
      <w:r w:rsidR="004B5230" w:rsidRPr="004B5230">
        <w:t>Health-based Reassessment of Administrative Occupational Exposure Limits</w:t>
      </w:r>
      <w:r w:rsidRPr="005F7416">
        <w:t xml:space="preserve">. The Hague: Health Council of the Netherlands; publication no. </w:t>
      </w:r>
      <w:r w:rsidR="004B5230">
        <w:t>2000/15OSH/147</w:t>
      </w:r>
      <w:r>
        <w:t>.</w:t>
      </w:r>
    </w:p>
    <w:p w14:paraId="301636A9" w14:textId="1DC5905F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FB0307FD2095404C9CFBE1E594ADF091"/>
          </w:placeholder>
          <w:temporary/>
          <w:showingPlcHdr/>
        </w:sdtPr>
        <w:sdtEndPr/>
        <w:sdtContent>
          <w:r w:rsidRPr="008B2770">
            <w:rPr>
              <w:color w:val="000000" w:themeColor="text1"/>
            </w:rPr>
            <w:t>1994</w:t>
          </w:r>
        </w:sdtContent>
      </w:sdt>
      <w:r>
        <w:t xml:space="preserve">) Immediately dangerous to life or health concentrations – </w:t>
      </w:r>
      <w:r w:rsidR="008B2770">
        <w:t>p</w:t>
      </w:r>
      <w:r w:rsidR="008B2770" w:rsidRPr="008B2770">
        <w:t>henyl ether (vapor)</w:t>
      </w:r>
      <w:r>
        <w:t>.</w:t>
      </w:r>
    </w:p>
    <w:p w14:paraId="5F3BC4A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2518A" w14:textId="77777777" w:rsidR="004C01DE" w:rsidRDefault="004C01DE" w:rsidP="00F43AD5">
      <w:pPr>
        <w:spacing w:after="0" w:line="240" w:lineRule="auto"/>
      </w:pPr>
      <w:r>
        <w:separator/>
      </w:r>
    </w:p>
  </w:endnote>
  <w:endnote w:type="continuationSeparator" w:id="0">
    <w:p w14:paraId="33810EB9" w14:textId="77777777" w:rsidR="004C01DE" w:rsidRDefault="004C01D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8F28585" w14:textId="3A6F685A" w:rsidR="008A36CF" w:rsidRDefault="00761FB0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Phenyl ether (vapour)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101-84-8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F64B09">
          <w:rPr>
            <w:sz w:val="18"/>
            <w:szCs w:val="18"/>
          </w:rPr>
          <w:t>2020</w:t>
        </w:r>
      </w:p>
      <w:p w14:paraId="3AF930AF" w14:textId="3A0021A5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018D1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ADCAB" w14:textId="77777777" w:rsidR="004C01DE" w:rsidRDefault="004C01DE" w:rsidP="00F43AD5">
      <w:pPr>
        <w:spacing w:after="0" w:line="240" w:lineRule="auto"/>
      </w:pPr>
      <w:r>
        <w:separator/>
      </w:r>
    </w:p>
  </w:footnote>
  <w:footnote w:type="continuationSeparator" w:id="0">
    <w:p w14:paraId="02E9B2C0" w14:textId="77777777" w:rsidR="004C01DE" w:rsidRDefault="004C01D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CFB75" w14:textId="27FA2F97" w:rsidR="001D6EBB" w:rsidRDefault="001D6EBB" w:rsidP="001D6EBB">
    <w:pPr>
      <w:pStyle w:val="Header"/>
      <w:jc w:val="right"/>
    </w:pPr>
    <w:r>
      <w:rPr>
        <w:noProof/>
        <w:lang w:eastAsia="en-AU"/>
      </w:rPr>
      <w:drawing>
        <wp:inline distT="0" distB="0" distL="0" distR="0" wp14:anchorId="151860F9" wp14:editId="779624C1">
          <wp:extent cx="2945130" cy="593725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57B0E4" w14:textId="77777777" w:rsidR="001D6EBB" w:rsidRDefault="001D6EBB" w:rsidP="001D6EBB">
    <w:pPr>
      <w:pStyle w:val="Header"/>
    </w:pPr>
  </w:p>
  <w:p w14:paraId="5C86CB99" w14:textId="4F6788F4" w:rsidR="008A36CF" w:rsidRPr="001D6EBB" w:rsidRDefault="008A36CF" w:rsidP="001D6E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7A0BF" w14:textId="0A2F3097" w:rsidR="001D6EBB" w:rsidRDefault="001D6EBB" w:rsidP="001D6EBB">
    <w:pPr>
      <w:pStyle w:val="Header"/>
      <w:jc w:val="right"/>
    </w:pPr>
    <w:r>
      <w:rPr>
        <w:noProof/>
        <w:lang w:eastAsia="en-AU"/>
      </w:rPr>
      <w:drawing>
        <wp:inline distT="0" distB="0" distL="0" distR="0" wp14:anchorId="5829DCC7" wp14:editId="1719A849">
          <wp:extent cx="2945130" cy="593725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31B6F2" w14:textId="77777777" w:rsidR="008A36CF" w:rsidRDefault="008A36CF" w:rsidP="001D6E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C09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03050617"/>
    <w:multiLevelType w:val="hybridMultilevel"/>
    <w:tmpl w:val="82F20956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8607C71"/>
    <w:multiLevelType w:val="hybridMultilevel"/>
    <w:tmpl w:val="B0BEEB66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A15401B"/>
    <w:multiLevelType w:val="hybridMultilevel"/>
    <w:tmpl w:val="F9D28344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7FE797C"/>
    <w:multiLevelType w:val="hybridMultilevel"/>
    <w:tmpl w:val="96C45318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DDF7FB8"/>
    <w:multiLevelType w:val="hybridMultilevel"/>
    <w:tmpl w:val="F0D82F18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46706EE8"/>
    <w:multiLevelType w:val="hybridMultilevel"/>
    <w:tmpl w:val="146CF682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46975CCE"/>
    <w:multiLevelType w:val="hybridMultilevel"/>
    <w:tmpl w:val="1C0EB1E0"/>
    <w:lvl w:ilvl="0" w:tplc="0C090003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45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7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9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1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3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5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7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98" w:hanging="360"/>
      </w:pPr>
      <w:rPr>
        <w:rFonts w:ascii="Wingdings" w:hAnsi="Wingdings" w:hint="default"/>
      </w:rPr>
    </w:lvl>
  </w:abstractNum>
  <w:abstractNum w:abstractNumId="8" w15:restartNumberingAfterBreak="0">
    <w:nsid w:val="673535B4"/>
    <w:multiLevelType w:val="hybridMultilevel"/>
    <w:tmpl w:val="F6C0AEC4"/>
    <w:lvl w:ilvl="0" w:tplc="0C0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9" w15:restartNumberingAfterBreak="0">
    <w:nsid w:val="68A9734B"/>
    <w:multiLevelType w:val="hybridMultilevel"/>
    <w:tmpl w:val="8E4A1BD4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457287075">
    <w:abstractNumId w:val="0"/>
  </w:num>
  <w:num w:numId="2" w16cid:durableId="2079936427">
    <w:abstractNumId w:val="0"/>
  </w:num>
  <w:num w:numId="3" w16cid:durableId="1505589422">
    <w:abstractNumId w:val="0"/>
  </w:num>
  <w:num w:numId="4" w16cid:durableId="322199722">
    <w:abstractNumId w:val="0"/>
  </w:num>
  <w:num w:numId="5" w16cid:durableId="1600134669">
    <w:abstractNumId w:val="0"/>
  </w:num>
  <w:num w:numId="6" w16cid:durableId="823543744">
    <w:abstractNumId w:val="0"/>
  </w:num>
  <w:num w:numId="7" w16cid:durableId="938103938">
    <w:abstractNumId w:val="0"/>
  </w:num>
  <w:num w:numId="8" w16cid:durableId="832257024">
    <w:abstractNumId w:val="0"/>
  </w:num>
  <w:num w:numId="9" w16cid:durableId="1171725379">
    <w:abstractNumId w:val="0"/>
  </w:num>
  <w:num w:numId="10" w16cid:durableId="853151800">
    <w:abstractNumId w:val="0"/>
  </w:num>
  <w:num w:numId="11" w16cid:durableId="94987285">
    <w:abstractNumId w:val="0"/>
  </w:num>
  <w:num w:numId="12" w16cid:durableId="1660228809">
    <w:abstractNumId w:val="0"/>
  </w:num>
  <w:num w:numId="13" w16cid:durableId="1352367811">
    <w:abstractNumId w:val="0"/>
  </w:num>
  <w:num w:numId="14" w16cid:durableId="305626725">
    <w:abstractNumId w:val="0"/>
  </w:num>
  <w:num w:numId="15" w16cid:durableId="748579898">
    <w:abstractNumId w:val="0"/>
  </w:num>
  <w:num w:numId="16" w16cid:durableId="1485857508">
    <w:abstractNumId w:val="0"/>
  </w:num>
  <w:num w:numId="17" w16cid:durableId="221989767">
    <w:abstractNumId w:val="0"/>
  </w:num>
  <w:num w:numId="18" w16cid:durableId="583146656">
    <w:abstractNumId w:val="0"/>
  </w:num>
  <w:num w:numId="19" w16cid:durableId="1998529078">
    <w:abstractNumId w:val="5"/>
  </w:num>
  <w:num w:numId="20" w16cid:durableId="87429935">
    <w:abstractNumId w:val="3"/>
  </w:num>
  <w:num w:numId="21" w16cid:durableId="488979009">
    <w:abstractNumId w:val="2"/>
  </w:num>
  <w:num w:numId="22" w16cid:durableId="978846182">
    <w:abstractNumId w:val="7"/>
  </w:num>
  <w:num w:numId="23" w16cid:durableId="2103522652">
    <w:abstractNumId w:val="4"/>
  </w:num>
  <w:num w:numId="24" w16cid:durableId="1024937976">
    <w:abstractNumId w:val="9"/>
  </w:num>
  <w:num w:numId="25" w16cid:durableId="291640924">
    <w:abstractNumId w:val="6"/>
  </w:num>
  <w:num w:numId="26" w16cid:durableId="822353951">
    <w:abstractNumId w:val="1"/>
  </w:num>
  <w:num w:numId="27" w16cid:durableId="1113629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8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1CCF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234"/>
    <w:rsid w:val="000C248C"/>
    <w:rsid w:val="000C2DED"/>
    <w:rsid w:val="000D291C"/>
    <w:rsid w:val="000E5A54"/>
    <w:rsid w:val="000E63D3"/>
    <w:rsid w:val="000E67CF"/>
    <w:rsid w:val="0010461E"/>
    <w:rsid w:val="00106389"/>
    <w:rsid w:val="00106FAA"/>
    <w:rsid w:val="00113443"/>
    <w:rsid w:val="00115CDA"/>
    <w:rsid w:val="00116B60"/>
    <w:rsid w:val="00122E3E"/>
    <w:rsid w:val="001269A7"/>
    <w:rsid w:val="00131092"/>
    <w:rsid w:val="001323B4"/>
    <w:rsid w:val="00140E6A"/>
    <w:rsid w:val="00146545"/>
    <w:rsid w:val="00146B75"/>
    <w:rsid w:val="00147FED"/>
    <w:rsid w:val="0015266D"/>
    <w:rsid w:val="0015288A"/>
    <w:rsid w:val="00160F47"/>
    <w:rsid w:val="0016554C"/>
    <w:rsid w:val="00177CA1"/>
    <w:rsid w:val="00183823"/>
    <w:rsid w:val="00183942"/>
    <w:rsid w:val="00190F78"/>
    <w:rsid w:val="001915F6"/>
    <w:rsid w:val="00194C0E"/>
    <w:rsid w:val="001954FE"/>
    <w:rsid w:val="001A009E"/>
    <w:rsid w:val="001A1287"/>
    <w:rsid w:val="001A3859"/>
    <w:rsid w:val="001A3C9D"/>
    <w:rsid w:val="001A43F8"/>
    <w:rsid w:val="001B79E5"/>
    <w:rsid w:val="001C3C6B"/>
    <w:rsid w:val="001D56F0"/>
    <w:rsid w:val="001D663B"/>
    <w:rsid w:val="001D6EBB"/>
    <w:rsid w:val="001D7B41"/>
    <w:rsid w:val="001E16FB"/>
    <w:rsid w:val="001E46DA"/>
    <w:rsid w:val="001E7D80"/>
    <w:rsid w:val="001F0457"/>
    <w:rsid w:val="001F4B6C"/>
    <w:rsid w:val="001F62CB"/>
    <w:rsid w:val="001F6ED0"/>
    <w:rsid w:val="001F72E6"/>
    <w:rsid w:val="001F73C5"/>
    <w:rsid w:val="002046A6"/>
    <w:rsid w:val="00204956"/>
    <w:rsid w:val="00205F37"/>
    <w:rsid w:val="00207EE0"/>
    <w:rsid w:val="00213640"/>
    <w:rsid w:val="00221547"/>
    <w:rsid w:val="002216FC"/>
    <w:rsid w:val="00222491"/>
    <w:rsid w:val="00222533"/>
    <w:rsid w:val="00222F30"/>
    <w:rsid w:val="00224EE2"/>
    <w:rsid w:val="00227EC7"/>
    <w:rsid w:val="0023378C"/>
    <w:rsid w:val="00244AD1"/>
    <w:rsid w:val="002463BC"/>
    <w:rsid w:val="002465CE"/>
    <w:rsid w:val="0025734A"/>
    <w:rsid w:val="00261577"/>
    <w:rsid w:val="00263255"/>
    <w:rsid w:val="00270284"/>
    <w:rsid w:val="00276494"/>
    <w:rsid w:val="00277B0C"/>
    <w:rsid w:val="002A64A6"/>
    <w:rsid w:val="002B1A2C"/>
    <w:rsid w:val="002C2797"/>
    <w:rsid w:val="002C34F2"/>
    <w:rsid w:val="002C58FF"/>
    <w:rsid w:val="002C7AFE"/>
    <w:rsid w:val="002D05D2"/>
    <w:rsid w:val="002D5EA2"/>
    <w:rsid w:val="002E0D61"/>
    <w:rsid w:val="002E4C7B"/>
    <w:rsid w:val="0030546F"/>
    <w:rsid w:val="00305AF5"/>
    <w:rsid w:val="0030740C"/>
    <w:rsid w:val="0031476C"/>
    <w:rsid w:val="00315833"/>
    <w:rsid w:val="0032107D"/>
    <w:rsid w:val="003215EE"/>
    <w:rsid w:val="003224BF"/>
    <w:rsid w:val="003241A8"/>
    <w:rsid w:val="003253F0"/>
    <w:rsid w:val="003337DA"/>
    <w:rsid w:val="00334EFB"/>
    <w:rsid w:val="00335CDE"/>
    <w:rsid w:val="003365A5"/>
    <w:rsid w:val="003412AE"/>
    <w:rsid w:val="00347192"/>
    <w:rsid w:val="0034744C"/>
    <w:rsid w:val="00351FE0"/>
    <w:rsid w:val="00352615"/>
    <w:rsid w:val="0035412B"/>
    <w:rsid w:val="003567A8"/>
    <w:rsid w:val="00362895"/>
    <w:rsid w:val="00370DBF"/>
    <w:rsid w:val="003734FD"/>
    <w:rsid w:val="003803E6"/>
    <w:rsid w:val="00386093"/>
    <w:rsid w:val="003904A4"/>
    <w:rsid w:val="00391841"/>
    <w:rsid w:val="00391B6D"/>
    <w:rsid w:val="003947BC"/>
    <w:rsid w:val="00394922"/>
    <w:rsid w:val="0039608F"/>
    <w:rsid w:val="003A0E32"/>
    <w:rsid w:val="003A2B94"/>
    <w:rsid w:val="003B387D"/>
    <w:rsid w:val="003C0D58"/>
    <w:rsid w:val="003D4FA3"/>
    <w:rsid w:val="003E0807"/>
    <w:rsid w:val="003E0E70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4499"/>
    <w:rsid w:val="00430179"/>
    <w:rsid w:val="004414B5"/>
    <w:rsid w:val="00444259"/>
    <w:rsid w:val="00444482"/>
    <w:rsid w:val="00444B42"/>
    <w:rsid w:val="00445E44"/>
    <w:rsid w:val="004509E2"/>
    <w:rsid w:val="004515EE"/>
    <w:rsid w:val="004529F0"/>
    <w:rsid w:val="00452D6D"/>
    <w:rsid w:val="00460A03"/>
    <w:rsid w:val="00464B1C"/>
    <w:rsid w:val="00470F9E"/>
    <w:rsid w:val="00472A11"/>
    <w:rsid w:val="00472AAD"/>
    <w:rsid w:val="00474E33"/>
    <w:rsid w:val="00476803"/>
    <w:rsid w:val="00485BFD"/>
    <w:rsid w:val="004867A2"/>
    <w:rsid w:val="004873F2"/>
    <w:rsid w:val="00490D4C"/>
    <w:rsid w:val="00491B30"/>
    <w:rsid w:val="00493A35"/>
    <w:rsid w:val="0049527A"/>
    <w:rsid w:val="004966BF"/>
    <w:rsid w:val="00497984"/>
    <w:rsid w:val="004A5088"/>
    <w:rsid w:val="004B5230"/>
    <w:rsid w:val="004C01DE"/>
    <w:rsid w:val="004C1E3F"/>
    <w:rsid w:val="004C23F4"/>
    <w:rsid w:val="004C3475"/>
    <w:rsid w:val="004C58B6"/>
    <w:rsid w:val="004D16A3"/>
    <w:rsid w:val="004D4AA1"/>
    <w:rsid w:val="004D6D68"/>
    <w:rsid w:val="004E5EDD"/>
    <w:rsid w:val="004E6E49"/>
    <w:rsid w:val="004F22C2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18F0"/>
    <w:rsid w:val="00531CA3"/>
    <w:rsid w:val="00532B56"/>
    <w:rsid w:val="00534B10"/>
    <w:rsid w:val="00541723"/>
    <w:rsid w:val="005446A2"/>
    <w:rsid w:val="00544D2F"/>
    <w:rsid w:val="00551BD8"/>
    <w:rsid w:val="00555A95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144E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2828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6E61E2"/>
    <w:rsid w:val="006E682B"/>
    <w:rsid w:val="006F5902"/>
    <w:rsid w:val="00701053"/>
    <w:rsid w:val="00701507"/>
    <w:rsid w:val="007018D1"/>
    <w:rsid w:val="00706EC5"/>
    <w:rsid w:val="00714021"/>
    <w:rsid w:val="00716A0F"/>
    <w:rsid w:val="00717D45"/>
    <w:rsid w:val="007208F7"/>
    <w:rsid w:val="007218AF"/>
    <w:rsid w:val="007307F0"/>
    <w:rsid w:val="007365D1"/>
    <w:rsid w:val="00740E0E"/>
    <w:rsid w:val="007433A4"/>
    <w:rsid w:val="00750212"/>
    <w:rsid w:val="00754779"/>
    <w:rsid w:val="0075716D"/>
    <w:rsid w:val="00761FB0"/>
    <w:rsid w:val="00765F14"/>
    <w:rsid w:val="00770E31"/>
    <w:rsid w:val="0077373D"/>
    <w:rsid w:val="00775D2E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35A6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1866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AA4"/>
    <w:rsid w:val="00871CD5"/>
    <w:rsid w:val="008745A2"/>
    <w:rsid w:val="008768A8"/>
    <w:rsid w:val="0088798F"/>
    <w:rsid w:val="00887E4B"/>
    <w:rsid w:val="00891114"/>
    <w:rsid w:val="008915C8"/>
    <w:rsid w:val="008A36CF"/>
    <w:rsid w:val="008A3BC4"/>
    <w:rsid w:val="008B2770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8F7533"/>
    <w:rsid w:val="00900951"/>
    <w:rsid w:val="009118A6"/>
    <w:rsid w:val="00916909"/>
    <w:rsid w:val="00916EC0"/>
    <w:rsid w:val="00920467"/>
    <w:rsid w:val="00921DE7"/>
    <w:rsid w:val="009237D9"/>
    <w:rsid w:val="0093041A"/>
    <w:rsid w:val="00930714"/>
    <w:rsid w:val="00931B03"/>
    <w:rsid w:val="009323B9"/>
    <w:rsid w:val="00932DCE"/>
    <w:rsid w:val="0093327E"/>
    <w:rsid w:val="00934028"/>
    <w:rsid w:val="009351EC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32DD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C5F33"/>
    <w:rsid w:val="009D3B5A"/>
    <w:rsid w:val="009D5C53"/>
    <w:rsid w:val="009D687A"/>
    <w:rsid w:val="009E0C05"/>
    <w:rsid w:val="009E0D1C"/>
    <w:rsid w:val="009E2214"/>
    <w:rsid w:val="009E355A"/>
    <w:rsid w:val="009E63E2"/>
    <w:rsid w:val="009F04D2"/>
    <w:rsid w:val="009F05CF"/>
    <w:rsid w:val="009F0F3A"/>
    <w:rsid w:val="009F3C56"/>
    <w:rsid w:val="009F4292"/>
    <w:rsid w:val="009F444C"/>
    <w:rsid w:val="00A01D0C"/>
    <w:rsid w:val="00A0643F"/>
    <w:rsid w:val="00A067EE"/>
    <w:rsid w:val="00A10FCE"/>
    <w:rsid w:val="00A16D91"/>
    <w:rsid w:val="00A174CC"/>
    <w:rsid w:val="00A2073D"/>
    <w:rsid w:val="00A20751"/>
    <w:rsid w:val="00A2397E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1E7D"/>
    <w:rsid w:val="00AC32E7"/>
    <w:rsid w:val="00AC3A9F"/>
    <w:rsid w:val="00AC6D2F"/>
    <w:rsid w:val="00AD38D5"/>
    <w:rsid w:val="00AD7962"/>
    <w:rsid w:val="00AE2745"/>
    <w:rsid w:val="00AE2F64"/>
    <w:rsid w:val="00AF42CB"/>
    <w:rsid w:val="00AF483F"/>
    <w:rsid w:val="00AF5E07"/>
    <w:rsid w:val="00AF5F06"/>
    <w:rsid w:val="00B00A25"/>
    <w:rsid w:val="00B11C71"/>
    <w:rsid w:val="00B13C12"/>
    <w:rsid w:val="00B1422A"/>
    <w:rsid w:val="00B1765C"/>
    <w:rsid w:val="00B213C4"/>
    <w:rsid w:val="00B40C60"/>
    <w:rsid w:val="00B44614"/>
    <w:rsid w:val="00B479A9"/>
    <w:rsid w:val="00B52EDF"/>
    <w:rsid w:val="00B5783B"/>
    <w:rsid w:val="00B655A2"/>
    <w:rsid w:val="00B65706"/>
    <w:rsid w:val="00B71188"/>
    <w:rsid w:val="00B76A41"/>
    <w:rsid w:val="00B87D4C"/>
    <w:rsid w:val="00B93646"/>
    <w:rsid w:val="00BA0B38"/>
    <w:rsid w:val="00BA1DBB"/>
    <w:rsid w:val="00BA4510"/>
    <w:rsid w:val="00BA503A"/>
    <w:rsid w:val="00BA529A"/>
    <w:rsid w:val="00BB612A"/>
    <w:rsid w:val="00BD499F"/>
    <w:rsid w:val="00BD56DE"/>
    <w:rsid w:val="00BD5DB1"/>
    <w:rsid w:val="00BF2406"/>
    <w:rsid w:val="00C00788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2218"/>
    <w:rsid w:val="00C850A0"/>
    <w:rsid w:val="00C85A86"/>
    <w:rsid w:val="00C92860"/>
    <w:rsid w:val="00C93AA2"/>
    <w:rsid w:val="00C96068"/>
    <w:rsid w:val="00C978F0"/>
    <w:rsid w:val="00CA58FE"/>
    <w:rsid w:val="00CB1CB1"/>
    <w:rsid w:val="00CB6BC1"/>
    <w:rsid w:val="00CB6CB8"/>
    <w:rsid w:val="00CC1A68"/>
    <w:rsid w:val="00CC2123"/>
    <w:rsid w:val="00CC424A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362A1"/>
    <w:rsid w:val="00D44C89"/>
    <w:rsid w:val="00D516CD"/>
    <w:rsid w:val="00D668E6"/>
    <w:rsid w:val="00D67E48"/>
    <w:rsid w:val="00D70670"/>
    <w:rsid w:val="00D73834"/>
    <w:rsid w:val="00D74D80"/>
    <w:rsid w:val="00D76624"/>
    <w:rsid w:val="00D831F7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3E22"/>
    <w:rsid w:val="00DF6F36"/>
    <w:rsid w:val="00E0084C"/>
    <w:rsid w:val="00E025AB"/>
    <w:rsid w:val="00E02B23"/>
    <w:rsid w:val="00E06F40"/>
    <w:rsid w:val="00E07CE8"/>
    <w:rsid w:val="00E26A07"/>
    <w:rsid w:val="00E32595"/>
    <w:rsid w:val="00E34737"/>
    <w:rsid w:val="00E3742E"/>
    <w:rsid w:val="00E37CFD"/>
    <w:rsid w:val="00E41A26"/>
    <w:rsid w:val="00E46BCB"/>
    <w:rsid w:val="00E514E5"/>
    <w:rsid w:val="00E51CAF"/>
    <w:rsid w:val="00E60F04"/>
    <w:rsid w:val="00E62AAC"/>
    <w:rsid w:val="00E67C2F"/>
    <w:rsid w:val="00E67EF5"/>
    <w:rsid w:val="00E74073"/>
    <w:rsid w:val="00E804EA"/>
    <w:rsid w:val="00E80A71"/>
    <w:rsid w:val="00E82337"/>
    <w:rsid w:val="00E92499"/>
    <w:rsid w:val="00E949AF"/>
    <w:rsid w:val="00E96077"/>
    <w:rsid w:val="00EA0A06"/>
    <w:rsid w:val="00EA417F"/>
    <w:rsid w:val="00EA6243"/>
    <w:rsid w:val="00EA74AB"/>
    <w:rsid w:val="00EB3D1B"/>
    <w:rsid w:val="00ED1D89"/>
    <w:rsid w:val="00ED3F3F"/>
    <w:rsid w:val="00ED5266"/>
    <w:rsid w:val="00ED66BC"/>
    <w:rsid w:val="00EF0C4E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44BB"/>
    <w:rsid w:val="00F314DA"/>
    <w:rsid w:val="00F43AD5"/>
    <w:rsid w:val="00F4402E"/>
    <w:rsid w:val="00F51001"/>
    <w:rsid w:val="00F56DD0"/>
    <w:rsid w:val="00F6491C"/>
    <w:rsid w:val="00F64B09"/>
    <w:rsid w:val="00F67BBB"/>
    <w:rsid w:val="00F806EA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3"/>
    <o:shapelayout v:ext="edit">
      <o:idmap v:ext="edit" data="1"/>
    </o:shapelayout>
  </w:shapeDefaults>
  <w:decimalSymbol w:val="."/>
  <w:listSeparator w:val=","/>
  <w14:docId w14:val="129114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C1E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1E7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1E7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1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1E7D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2D5EA2"/>
    <w:pPr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16B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2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B0307FD2095404C9CFBE1E594ADF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25C447-0BA0-4090-95C6-CC9FF0695D56}"/>
      </w:docPartPr>
      <w:docPartBody>
        <w:p w:rsidR="00667220" w:rsidRDefault="00347D16" w:rsidP="00347D16">
          <w:pPr>
            <w:pStyle w:val="FB0307FD2095404C9CFBE1E594ADF091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13F68CC268EB4D9F855F5531B41AC4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B16F5D-A883-47F2-A4C1-A9A06880BC04}"/>
      </w:docPartPr>
      <w:docPartBody>
        <w:p w:rsidR="00194588" w:rsidRDefault="008722B4" w:rsidP="008722B4">
          <w:pPr>
            <w:pStyle w:val="13F68CC268EB4D9F855F5531B41AC45F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94588"/>
    <w:rsid w:val="00347D16"/>
    <w:rsid w:val="003E0149"/>
    <w:rsid w:val="00464B1C"/>
    <w:rsid w:val="00667220"/>
    <w:rsid w:val="007307F0"/>
    <w:rsid w:val="008722B4"/>
    <w:rsid w:val="00AC7DD8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722B4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B0307FD2095404C9CFBE1E594ADF091">
    <w:name w:val="FB0307FD2095404C9CFBE1E594ADF091"/>
    <w:rsid w:val="00347D16"/>
    <w:rPr>
      <w:lang w:val="en-US" w:eastAsia="en-US"/>
    </w:rPr>
  </w:style>
  <w:style w:type="paragraph" w:customStyle="1" w:styleId="13F68CC268EB4D9F855F5531B41AC45F">
    <w:name w:val="13F68CC268EB4D9F855F5531B41AC45F"/>
    <w:rsid w:val="008722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D420B3-F67A-4CAA-8D52-CCE97D0B4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ECC047-54CB-4520-8FD8-1D0A53238CC8}">
  <ds:schemaRefs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1c567317-0c4d-4a62-8516-c22afd1b5354"/>
    <ds:schemaRef ds:uri="a0509f21-ed56-4150-9955-96be669e5f2d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BA3C69-AC52-4BEA-8ABC-23E72B8BFB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B8BCEB-1A11-43F8-9505-340392CD4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1375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2020-03-18T04:57:00Z</dcterms:created>
  <dcterms:modified xsi:type="dcterms:W3CDTF">2026-01-09T01:50:00Z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2026-01-07T01:19:09Z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9c2fceef-6bcb-40ea-9e58-22adca3298a6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