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C1828A3" w14:textId="3567DB65" w:rsidR="00BD499F" w:rsidRPr="004C23F4" w:rsidRDefault="00F32BC1" w:rsidP="00B40C60">
          <w:pPr>
            <w:pStyle w:val="Heading1"/>
            <w:jc w:val="center"/>
            <w:rPr>
              <w:rFonts w:ascii="Arial" w:hAnsi="Arial" w:cs="Arial"/>
            </w:rPr>
          </w:pPr>
          <w:r w:rsidRPr="00F32BC1">
            <w:rPr>
              <w:rFonts w:ascii="Arial" w:hAnsi="Arial" w:cs="Arial"/>
            </w:rPr>
            <w:t>Phosphorus trichloride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28D891FA" w14:textId="77777777" w:rsidTr="00D97D46">
        <w:trPr>
          <w:cantSplit/>
          <w:tblHeader/>
        </w:trPr>
        <w:tc>
          <w:tcPr>
            <w:tcW w:w="3987" w:type="dxa"/>
          </w:tcPr>
          <w:p w14:paraId="35DBCA2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9" w:type="dxa"/>
          </w:tcPr>
          <w:p w14:paraId="4BE8462A" w14:textId="2CBFE98C" w:rsidR="00F43AD5" w:rsidRPr="00717D45" w:rsidRDefault="00F52BF1" w:rsidP="00B76A41">
            <w:pPr>
              <w:pStyle w:val="Tablefont"/>
            </w:pPr>
            <w:r w:rsidRPr="00F52BF1">
              <w:t>7719-12-2</w:t>
            </w:r>
          </w:p>
        </w:tc>
      </w:tr>
      <w:tr w:rsidR="00F43AD5" w:rsidRPr="004C23F4" w14:paraId="0D75F00D" w14:textId="77777777" w:rsidTr="00D97D46">
        <w:trPr>
          <w:cantSplit/>
        </w:trPr>
        <w:tc>
          <w:tcPr>
            <w:tcW w:w="3987" w:type="dxa"/>
          </w:tcPr>
          <w:p w14:paraId="1764D9B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9" w:type="dxa"/>
          </w:tcPr>
          <w:p w14:paraId="13004C25" w14:textId="785F6816" w:rsidR="00F43AD5" w:rsidRPr="00717D45" w:rsidRDefault="00F52BF1" w:rsidP="00B76A41">
            <w:pPr>
              <w:pStyle w:val="Tablefont"/>
            </w:pPr>
            <w:r>
              <w:t>Phosphorus chloride</w:t>
            </w:r>
          </w:p>
        </w:tc>
      </w:tr>
      <w:tr w:rsidR="00F43AD5" w:rsidRPr="004C23F4" w14:paraId="4243735F" w14:textId="77777777" w:rsidTr="00D97D46">
        <w:trPr>
          <w:cantSplit/>
        </w:trPr>
        <w:tc>
          <w:tcPr>
            <w:tcW w:w="3987" w:type="dxa"/>
          </w:tcPr>
          <w:p w14:paraId="0086D69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9" w:type="dxa"/>
          </w:tcPr>
          <w:p w14:paraId="4FE2938D" w14:textId="4B67E182" w:rsidR="00F43AD5" w:rsidRPr="00717D45" w:rsidRDefault="00F52BF1" w:rsidP="00B76A41">
            <w:pPr>
              <w:pStyle w:val="Tablefont"/>
            </w:pPr>
            <w:r>
              <w:t>PCl</w:t>
            </w:r>
            <w:r w:rsidRPr="00F52BF1">
              <w:rPr>
                <w:vertAlign w:val="subscript"/>
              </w:rPr>
              <w:t>3</w:t>
            </w:r>
          </w:p>
        </w:tc>
      </w:tr>
    </w:tbl>
    <w:p w14:paraId="138A1306" w14:textId="534625F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97D46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7460996" w14:textId="77777777" w:rsidTr="00526EC4">
        <w:trPr>
          <w:cantSplit/>
          <w:tblHeader/>
        </w:trPr>
        <w:tc>
          <w:tcPr>
            <w:tcW w:w="4005" w:type="dxa"/>
            <w:vAlign w:val="center"/>
          </w:tcPr>
          <w:p w14:paraId="330894A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6B3BFC2C" w14:textId="13002705" w:rsidR="002C7AFE" w:rsidRPr="00EB3D1B" w:rsidRDefault="00EE7A2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0.2 ppm (1.1 mg/m</w:t>
            </w:r>
            <w:r w:rsidRPr="00EE7A28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7791186C" w14:textId="77777777" w:rsidTr="00526EC4">
        <w:trPr>
          <w:cantSplit/>
        </w:trPr>
        <w:tc>
          <w:tcPr>
            <w:tcW w:w="4005" w:type="dxa"/>
            <w:vAlign w:val="center"/>
          </w:tcPr>
          <w:p w14:paraId="54EAA50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48C98F73" w14:textId="606B21BD" w:rsidR="002C7AFE" w:rsidRPr="00EB3D1B" w:rsidRDefault="00EE7A28" w:rsidP="00017C82">
            <w:pPr>
              <w:pStyle w:val="Tablefont"/>
              <w:rPr>
                <w:b/>
              </w:rPr>
            </w:pPr>
            <w:r w:rsidRPr="00EE7A28">
              <w:rPr>
                <w:b/>
              </w:rPr>
              <w:t>0.5 ppm (2.8 mg/m</w:t>
            </w:r>
            <w:r w:rsidRPr="00EE7A28">
              <w:rPr>
                <w:b/>
                <w:vertAlign w:val="superscript"/>
              </w:rPr>
              <w:t>3</w:t>
            </w:r>
            <w:r w:rsidRPr="00EE7A28">
              <w:rPr>
                <w:b/>
              </w:rPr>
              <w:t>)</w:t>
            </w:r>
          </w:p>
        </w:tc>
      </w:tr>
      <w:tr w:rsidR="002C7AFE" w:rsidRPr="004C23F4" w14:paraId="34E0D157" w14:textId="77777777" w:rsidTr="00526EC4">
        <w:trPr>
          <w:cantSplit/>
        </w:trPr>
        <w:tc>
          <w:tcPr>
            <w:tcW w:w="4005" w:type="dxa"/>
            <w:vAlign w:val="center"/>
          </w:tcPr>
          <w:p w14:paraId="1462EBC9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1FC3DEF" w14:textId="461C496A" w:rsidR="002C7AFE" w:rsidRPr="00EE7A28" w:rsidRDefault="00EE7A28" w:rsidP="00017C82">
            <w:pPr>
              <w:pStyle w:val="Tablefont"/>
              <w:rPr>
                <w:b/>
              </w:rPr>
            </w:pPr>
            <w:r w:rsidRPr="00EE7A28">
              <w:rPr>
                <w:b/>
              </w:rPr>
              <w:t>—</w:t>
            </w:r>
          </w:p>
        </w:tc>
      </w:tr>
      <w:tr w:rsidR="002C7AFE" w:rsidRPr="004C23F4" w14:paraId="0ACE77A3" w14:textId="77777777" w:rsidTr="00526EC4">
        <w:trPr>
          <w:cantSplit/>
        </w:trPr>
        <w:tc>
          <w:tcPr>
            <w:tcW w:w="4005" w:type="dxa"/>
          </w:tcPr>
          <w:p w14:paraId="2FCBD671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9EE6CBE" w14:textId="4C4518C4" w:rsidR="002C7AFE" w:rsidRPr="00EB3D1B" w:rsidRDefault="00EE7A28" w:rsidP="008A36CF">
            <w:pPr>
              <w:pStyle w:val="Tablefont"/>
              <w:rPr>
                <w:b/>
              </w:rPr>
            </w:pPr>
            <w:r w:rsidRPr="00EE7A28">
              <w:rPr>
                <w:b/>
              </w:rPr>
              <w:t>—</w:t>
            </w:r>
          </w:p>
        </w:tc>
      </w:tr>
      <w:tr w:rsidR="002C7AFE" w:rsidRPr="004C23F4" w14:paraId="09908F10" w14:textId="77777777" w:rsidTr="00526EC4">
        <w:trPr>
          <w:cantSplit/>
        </w:trPr>
        <w:tc>
          <w:tcPr>
            <w:tcW w:w="4005" w:type="dxa"/>
            <w:vAlign w:val="center"/>
          </w:tcPr>
          <w:p w14:paraId="2DD06E0D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301AA74A" w14:textId="0DBA07D0" w:rsidR="002C7AFE" w:rsidRPr="00EB3D1B" w:rsidRDefault="00F52BF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25 ppm</w:t>
            </w:r>
          </w:p>
        </w:tc>
      </w:tr>
      <w:tr w:rsidR="00526EC4" w14:paraId="74E2825E" w14:textId="77777777" w:rsidTr="00CF31A7">
        <w:trPr>
          <w:cantSplit/>
        </w:trPr>
        <w:tc>
          <w:tcPr>
            <w:tcW w:w="9026" w:type="dxa"/>
            <w:gridSpan w:val="2"/>
            <w:vAlign w:val="center"/>
          </w:tcPr>
          <w:p w14:paraId="4B180E1E" w14:textId="5ABB67FB" w:rsidR="00526EC4" w:rsidRDefault="00526EC4" w:rsidP="00CF31A7">
            <w:pPr>
              <w:pStyle w:val="Tablefont"/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30C7981E23214F7FAD2B82BDECCE8B5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</w:p>
        </w:tc>
      </w:tr>
    </w:tbl>
    <w:p w14:paraId="697CB25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D6D1773" w14:textId="6789026C" w:rsidR="00EE7A28" w:rsidRDefault="00EE7A28" w:rsidP="003365A5">
      <w:pPr>
        <w:pStyle w:val="Heading2"/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</w:pPr>
      <w:r w:rsidRPr="00EE7A28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A TWA of 0.2 ppm (1.1 mg/m</w:t>
      </w:r>
      <w:r w:rsidRPr="00EE7A28">
        <w:rPr>
          <w:rFonts w:eastAsiaTheme="minorHAnsi"/>
          <w:b w:val="0"/>
          <w:bCs w:val="0"/>
          <w:iCs w:val="0"/>
          <w:color w:val="auto"/>
          <w:sz w:val="20"/>
          <w:szCs w:val="22"/>
          <w:vertAlign w:val="superscript"/>
          <w:lang w:eastAsia="en-US"/>
        </w:rPr>
        <w:t>3</w:t>
      </w:r>
      <w:r w:rsidRPr="00EE7A28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)</w:t>
      </w:r>
      <w:r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 </w:t>
      </w:r>
      <w:r w:rsidRPr="00EE7A28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is recommended to protect for eye and respiratory irritation in exposed workers.</w:t>
      </w:r>
    </w:p>
    <w:p w14:paraId="55E8EE91" w14:textId="6D1BD447" w:rsidR="001E4D3F" w:rsidRDefault="001E4D3F" w:rsidP="001E4D3F">
      <w:pPr>
        <w:pStyle w:val="Heading2"/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</w:pPr>
      <w:r w:rsidRPr="00EE7A28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A </w:t>
      </w:r>
      <w:r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STEL of </w:t>
      </w:r>
      <w:r w:rsidRPr="00EE7A28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0.5 ppm (2.8 mg/m</w:t>
      </w:r>
      <w:r w:rsidRPr="00EE7A28">
        <w:rPr>
          <w:rFonts w:eastAsiaTheme="minorHAnsi"/>
          <w:b w:val="0"/>
          <w:bCs w:val="0"/>
          <w:iCs w:val="0"/>
          <w:color w:val="auto"/>
          <w:sz w:val="20"/>
          <w:szCs w:val="22"/>
          <w:vertAlign w:val="superscript"/>
          <w:lang w:eastAsia="en-US"/>
        </w:rPr>
        <w:t>3</w:t>
      </w:r>
      <w:r w:rsidRPr="00EE7A28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)</w:t>
      </w:r>
      <w:r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 </w:t>
      </w:r>
      <w:r w:rsidRPr="00EE7A28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is recommended to protect for </w:t>
      </w:r>
      <w:r w:rsidR="00D97D46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acute </w:t>
      </w:r>
      <w:r w:rsidRPr="00EE7A28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eye and respiratory irritation</w:t>
      </w:r>
      <w:r w:rsidR="00D97D46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 in exposed workers</w:t>
      </w:r>
      <w:r w:rsidRPr="00EE7A28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.</w:t>
      </w:r>
    </w:p>
    <w:p w14:paraId="009CD23E" w14:textId="4372ACC1" w:rsidR="00DE7582" w:rsidRDefault="00DE7582" w:rsidP="00DE7582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2BE2B336" w14:textId="037FEB28" w:rsidR="00C7155E" w:rsidRDefault="00F10C97" w:rsidP="003365A5">
      <w:pPr>
        <w:pStyle w:val="Heading2"/>
      </w:pPr>
      <w:r>
        <w:t>Discussion and conclusions</w:t>
      </w:r>
    </w:p>
    <w:p w14:paraId="4A6E0E71" w14:textId="77777777" w:rsidR="00DE7582" w:rsidRDefault="00D30317" w:rsidP="00D30317">
      <w:r w:rsidRPr="00D30317">
        <w:t xml:space="preserve">Phosphorus trichloride </w:t>
      </w:r>
      <w:r>
        <w:t>is primarily u</w:t>
      </w:r>
      <w:r w:rsidRPr="00D30317">
        <w:t xml:space="preserve">sed as a chemical intermediate, chlorinating agent, catalyst and a textile finishing agent. </w:t>
      </w:r>
    </w:p>
    <w:p w14:paraId="5930121E" w14:textId="6F2E2C38" w:rsidR="00D30317" w:rsidRPr="00D30317" w:rsidRDefault="00D30317" w:rsidP="00D30317">
      <w:pPr>
        <w:rPr>
          <w:lang w:eastAsia="en-AU"/>
        </w:rPr>
      </w:pPr>
      <w:r>
        <w:rPr>
          <w:rFonts w:cs="Arial"/>
        </w:rPr>
        <w:t>C</w:t>
      </w:r>
      <w:r w:rsidRPr="00612AF7">
        <w:rPr>
          <w:rFonts w:cs="Arial"/>
        </w:rPr>
        <w:t>ritical effects</w:t>
      </w:r>
      <w:r w:rsidR="00DE7582">
        <w:rPr>
          <w:rFonts w:cs="Arial"/>
        </w:rPr>
        <w:t xml:space="preserve"> </w:t>
      </w:r>
      <w:r w:rsidR="00D97D46">
        <w:rPr>
          <w:rFonts w:cs="Arial"/>
        </w:rPr>
        <w:t>of</w:t>
      </w:r>
      <w:r w:rsidR="00DE7582">
        <w:rPr>
          <w:rFonts w:cs="Arial"/>
        </w:rPr>
        <w:t xml:space="preserve"> exposure</w:t>
      </w:r>
      <w:r w:rsidRPr="00612AF7">
        <w:rPr>
          <w:rFonts w:cs="Arial"/>
        </w:rPr>
        <w:t xml:space="preserve"> are </w:t>
      </w:r>
      <w:r w:rsidRPr="00D30317">
        <w:t>eye, mucous membrane and respiratory tract irritation</w:t>
      </w:r>
      <w:r>
        <w:t>.</w:t>
      </w:r>
      <w:r w:rsidR="00513F6D">
        <w:t xml:space="preserve"> E</w:t>
      </w:r>
      <w:r w:rsidR="00CE36DE">
        <w:t xml:space="preserve">xposure of workers at concentrations ranging from 2 to 27 ppm </w:t>
      </w:r>
      <w:r w:rsidR="00D97D46">
        <w:t>i</w:t>
      </w:r>
      <w:r w:rsidR="00CE36DE">
        <w:t xml:space="preserve">s reported to induce </w:t>
      </w:r>
      <w:r w:rsidR="00513F6D">
        <w:t xml:space="preserve">acute </w:t>
      </w:r>
      <w:r w:rsidR="00CE36DE">
        <w:t xml:space="preserve">irritation of the pharynx, coughing, </w:t>
      </w:r>
      <w:r w:rsidR="00D97D46">
        <w:t>dyspnoea</w:t>
      </w:r>
      <w:r w:rsidR="00CE36DE">
        <w:t xml:space="preserve"> and severe asthmatic bronchitis. Cats and guinea pigs exposed at 0.7</w:t>
      </w:r>
      <w:r w:rsidR="00513F6D">
        <w:t> </w:t>
      </w:r>
      <w:r w:rsidR="00CE36DE">
        <w:t xml:space="preserve">ppm by inhalation for </w:t>
      </w:r>
      <w:r w:rsidR="000B36FD">
        <w:t>six</w:t>
      </w:r>
      <w:r w:rsidR="00CE36DE">
        <w:t xml:space="preserve"> hours showed mild signs of intoxication. Exposure at 2 to</w:t>
      </w:r>
      <w:r w:rsidR="00535011">
        <w:t xml:space="preserve"> </w:t>
      </w:r>
      <w:r w:rsidR="00CE36DE">
        <w:t xml:space="preserve">4 ppm for </w:t>
      </w:r>
      <w:r w:rsidR="000B36FD">
        <w:t>one</w:t>
      </w:r>
      <w:r w:rsidR="00CE36DE">
        <w:t xml:space="preserve"> hour produce</w:t>
      </w:r>
      <w:r w:rsidR="003C6E5B">
        <w:t>d</w:t>
      </w:r>
      <w:r w:rsidR="00CE36DE">
        <w:t xml:space="preserve"> no severe signs of poisoning and 50 to 90 ppm resulted in severe disturbances</w:t>
      </w:r>
      <w:r w:rsidR="00D97D46">
        <w:t xml:space="preserve"> in the same study</w:t>
      </w:r>
      <w:r w:rsidR="00CE36DE">
        <w:t xml:space="preserve">. No specific symptoms </w:t>
      </w:r>
      <w:r w:rsidR="00D97D46">
        <w:t>a</w:t>
      </w:r>
      <w:r w:rsidR="00CE36DE">
        <w:t>re provided.</w:t>
      </w:r>
      <w:r w:rsidR="00535011">
        <w:t xml:space="preserve"> Based on the evidence from this</w:t>
      </w:r>
      <w:r w:rsidR="00535011" w:rsidRPr="00535011">
        <w:t xml:space="preserve"> study, separate authors recommended that a maximum allowable concentration for prolonged exposure to phosphorus trichloride should be less than 0.7 ppm</w:t>
      </w:r>
      <w:r w:rsidR="00535011">
        <w:t>.</w:t>
      </w:r>
      <w:r w:rsidR="00CE36DE">
        <w:t xml:space="preserve"> </w:t>
      </w:r>
      <w:r w:rsidR="00535011">
        <w:rPr>
          <w:rFonts w:cs="Arial"/>
        </w:rPr>
        <w:t>Taking this into account</w:t>
      </w:r>
      <w:r w:rsidR="00D97D46">
        <w:rPr>
          <w:rFonts w:cs="Arial"/>
        </w:rPr>
        <w:t>,</w:t>
      </w:r>
      <w:r w:rsidR="00535011">
        <w:rPr>
          <w:rFonts w:cs="Arial"/>
        </w:rPr>
        <w:t xml:space="preserve"> </w:t>
      </w:r>
      <w:r>
        <w:rPr>
          <w:rFonts w:cs="Arial"/>
        </w:rPr>
        <w:t xml:space="preserve">ACGIH (2018) </w:t>
      </w:r>
      <w:r w:rsidR="00535011">
        <w:rPr>
          <w:rFonts w:cs="Arial"/>
        </w:rPr>
        <w:t>derive</w:t>
      </w:r>
      <w:r w:rsidR="00485685">
        <w:rPr>
          <w:rFonts w:cs="Arial"/>
        </w:rPr>
        <w:t>s</w:t>
      </w:r>
      <w:r w:rsidR="00535011">
        <w:rPr>
          <w:rFonts w:cs="Arial"/>
        </w:rPr>
        <w:t xml:space="preserve"> </w:t>
      </w:r>
      <w:r w:rsidR="00D97D46">
        <w:rPr>
          <w:rFonts w:cs="Arial"/>
        </w:rPr>
        <w:t>TLV-</w:t>
      </w:r>
      <w:r w:rsidR="00AD021A">
        <w:rPr>
          <w:rFonts w:cs="Arial"/>
        </w:rPr>
        <w:t xml:space="preserve">TWA </w:t>
      </w:r>
      <w:r>
        <w:rPr>
          <w:rFonts w:cs="Arial"/>
        </w:rPr>
        <w:t>by analogy</w:t>
      </w:r>
      <w:r w:rsidR="000B36FD">
        <w:rPr>
          <w:rFonts w:cs="Arial"/>
        </w:rPr>
        <w:t xml:space="preserve"> </w:t>
      </w:r>
      <w:r>
        <w:rPr>
          <w:rFonts w:cs="Arial"/>
        </w:rPr>
        <w:t xml:space="preserve">to </w:t>
      </w:r>
      <w:r>
        <w:t>hydrogen chloride</w:t>
      </w:r>
      <w:r w:rsidR="00CE36DE">
        <w:t xml:space="preserve"> (TLV-Ceiling</w:t>
      </w:r>
      <w:r w:rsidR="00D97D46">
        <w:t>:</w:t>
      </w:r>
      <w:r w:rsidR="00CE36DE">
        <w:t xml:space="preserve"> 2 ppm)</w:t>
      </w:r>
      <w:r>
        <w:t xml:space="preserve">. DFG (2016) </w:t>
      </w:r>
      <w:r w:rsidR="00EE7A28">
        <w:t>calculate</w:t>
      </w:r>
      <w:r>
        <w:t xml:space="preserve"> a MAK based on a </w:t>
      </w:r>
      <w:r w:rsidR="00A4677C">
        <w:t xml:space="preserve">NOAEC of </w:t>
      </w:r>
      <w:r w:rsidR="00D97D46">
        <w:t>3 </w:t>
      </w:r>
      <w:r>
        <w:t xml:space="preserve">ppm </w:t>
      </w:r>
      <w:r w:rsidR="00C76F00">
        <w:t xml:space="preserve">for local effects on the respiratory tract </w:t>
      </w:r>
      <w:r w:rsidR="00EE7A28">
        <w:t xml:space="preserve">from a subchronic inhalation study in rats. Both the </w:t>
      </w:r>
      <w:r w:rsidR="00B9366F">
        <w:t>ACGIH (2018) and DFG (2016)</w:t>
      </w:r>
      <w:r w:rsidR="00EE7A28">
        <w:t xml:space="preserve"> calculated </w:t>
      </w:r>
      <w:r w:rsidR="00B9366F">
        <w:t xml:space="preserve">a </w:t>
      </w:r>
      <w:r w:rsidR="00EE7A28">
        <w:t>TWA of 0.17 ppm.</w:t>
      </w:r>
    </w:p>
    <w:p w14:paraId="2BDC7436" w14:textId="77777777" w:rsidR="007671FC" w:rsidRDefault="00D30317" w:rsidP="00D30317">
      <w:r>
        <w:t>Given the limited available data</w:t>
      </w:r>
      <w:r w:rsidR="00032355">
        <w:t xml:space="preserve"> and remaining uncertainties</w:t>
      </w:r>
      <w:r>
        <w:t>, the TWA</w:t>
      </w:r>
      <w:r w:rsidR="00030CC9">
        <w:t xml:space="preserve"> </w:t>
      </w:r>
      <w:r w:rsidR="00030CC9" w:rsidRPr="00EE7A28">
        <w:t>of 0.2 ppm (1.1 mg/m</w:t>
      </w:r>
      <w:r w:rsidR="00030CC9" w:rsidRPr="00EE7A28">
        <w:rPr>
          <w:vertAlign w:val="superscript"/>
        </w:rPr>
        <w:t>3</w:t>
      </w:r>
      <w:r w:rsidR="00030CC9" w:rsidRPr="00EE7A28">
        <w:t>)</w:t>
      </w:r>
      <w:r w:rsidR="00030CC9">
        <w:t xml:space="preserve"> </w:t>
      </w:r>
      <w:r w:rsidR="00485685">
        <w:t xml:space="preserve">derived </w:t>
      </w:r>
      <w:r w:rsidR="00485685" w:rsidRPr="00D30317">
        <w:t>by ACGIH</w:t>
      </w:r>
      <w:r w:rsidR="00485685">
        <w:t xml:space="preserve"> (2018)</w:t>
      </w:r>
      <w:r w:rsidR="00485685" w:rsidRPr="00D30317">
        <w:t xml:space="preserve"> and DFG</w:t>
      </w:r>
      <w:r w:rsidR="00485685">
        <w:t xml:space="preserve"> (2016) </w:t>
      </w:r>
      <w:r w:rsidR="00A4677C">
        <w:t xml:space="preserve">is </w:t>
      </w:r>
      <w:r>
        <w:t xml:space="preserve">recommended to be retained to </w:t>
      </w:r>
      <w:r w:rsidRPr="00D30317">
        <w:t>limit irrita</w:t>
      </w:r>
      <w:r w:rsidR="00D97D46">
        <w:t>tion</w:t>
      </w:r>
      <w:r>
        <w:t>.</w:t>
      </w:r>
      <w:r w:rsidR="009256D8">
        <w:t xml:space="preserve"> </w:t>
      </w:r>
      <w:r w:rsidR="00AD021A">
        <w:t>A</w:t>
      </w:r>
      <w:r w:rsidR="00A4677C">
        <w:t xml:space="preserve"> STEL </w:t>
      </w:r>
      <w:r w:rsidR="00AD021A">
        <w:t>of</w:t>
      </w:r>
      <w:r w:rsidR="00A4677C">
        <w:t xml:space="preserve"> </w:t>
      </w:r>
      <w:r w:rsidR="00A4677C" w:rsidRPr="00EE7A28">
        <w:t>0.5</w:t>
      </w:r>
      <w:r w:rsidR="00B9366F">
        <w:t> </w:t>
      </w:r>
      <w:r w:rsidR="00A4677C" w:rsidRPr="00EE7A28">
        <w:t>ppm (2.8 mg/m</w:t>
      </w:r>
      <w:r w:rsidR="00A4677C" w:rsidRPr="00EE7A28">
        <w:rPr>
          <w:vertAlign w:val="superscript"/>
        </w:rPr>
        <w:t>3</w:t>
      </w:r>
      <w:r w:rsidR="00A4677C" w:rsidRPr="00EE7A28">
        <w:t>)</w:t>
      </w:r>
      <w:r w:rsidR="00AD021A">
        <w:t xml:space="preserve"> </w:t>
      </w:r>
      <w:r w:rsidR="00EA3D35">
        <w:t xml:space="preserve">by ACGIH (2018) </w:t>
      </w:r>
      <w:r w:rsidR="00AD021A">
        <w:t xml:space="preserve">is also recommended to </w:t>
      </w:r>
      <w:r w:rsidR="00EA3D35">
        <w:t xml:space="preserve">be retained </w:t>
      </w:r>
      <w:r w:rsidR="001D6867">
        <w:t xml:space="preserve">to </w:t>
      </w:r>
      <w:r w:rsidR="00AD021A">
        <w:t xml:space="preserve">protect acute </w:t>
      </w:r>
      <w:r w:rsidR="00AD021A" w:rsidRPr="00EE7A28">
        <w:t>eye and respiratory irritation</w:t>
      </w:r>
      <w:r w:rsidR="00AD021A">
        <w:t xml:space="preserve"> in exposed workers. </w:t>
      </w:r>
    </w:p>
    <w:p w14:paraId="3A7716DE" w14:textId="1166B28D" w:rsidR="00D30317" w:rsidRPr="00D30317" w:rsidRDefault="00D97D46" w:rsidP="00D30317">
      <w:r>
        <w:lastRenderedPageBreak/>
        <w:t>Noting the uncertainties presented by the primary source material,</w:t>
      </w:r>
      <w:r w:rsidR="00D30317">
        <w:t xml:space="preserve"> a review of additional data sources is recommended at the next scheduled review.</w:t>
      </w:r>
    </w:p>
    <w:p w14:paraId="6A5E17F0" w14:textId="697E1F01" w:rsidR="004529F0" w:rsidRPr="004C23F4" w:rsidRDefault="004529F0" w:rsidP="004529F0">
      <w:pPr>
        <w:pStyle w:val="Heading2"/>
      </w:pPr>
      <w:r>
        <w:t>Recommendation for notations</w:t>
      </w:r>
    </w:p>
    <w:p w14:paraId="6319D1C3" w14:textId="37EC68CD" w:rsidR="00F52BF1" w:rsidRPr="00425616" w:rsidRDefault="00F52BF1" w:rsidP="00F52BF1">
      <w:pPr>
        <w:rPr>
          <w:rFonts w:cs="Arial"/>
        </w:rPr>
      </w:pPr>
      <w:r w:rsidRPr="00425616">
        <w:rPr>
          <w:rFonts w:cs="Arial"/>
        </w:rPr>
        <w:t>Not classified as a carcinogen according to the Globally Harmonized System of Classification and Labelling o</w:t>
      </w:r>
      <w:r w:rsidR="003F27E5">
        <w:rPr>
          <w:rFonts w:cs="Arial"/>
        </w:rPr>
        <w:t>f</w:t>
      </w:r>
      <w:r w:rsidRPr="00425616">
        <w:rPr>
          <w:rFonts w:cs="Arial"/>
        </w:rPr>
        <w:t xml:space="preserve"> Chemicals (GHS). </w:t>
      </w:r>
    </w:p>
    <w:p w14:paraId="709120A5" w14:textId="68D26F7B" w:rsidR="00F52BF1" w:rsidRPr="00425616" w:rsidRDefault="00F52BF1" w:rsidP="00F52BF1">
      <w:pPr>
        <w:rPr>
          <w:rFonts w:cs="Arial"/>
        </w:rPr>
      </w:pPr>
      <w:r w:rsidRPr="00425616">
        <w:rPr>
          <w:rFonts w:cs="Arial"/>
        </w:rPr>
        <w:t xml:space="preserve">Not classified as a skin </w:t>
      </w:r>
      <w:r w:rsidR="003F27E5" w:rsidRPr="00425616">
        <w:rPr>
          <w:rFonts w:cs="Arial"/>
        </w:rPr>
        <w:t xml:space="preserve">sensitiser </w:t>
      </w:r>
      <w:r w:rsidRPr="00425616">
        <w:rPr>
          <w:rFonts w:cs="Arial"/>
        </w:rPr>
        <w:t>or respiratory sensitiser according to the GHS.</w:t>
      </w:r>
    </w:p>
    <w:p w14:paraId="3CB2A9E8" w14:textId="09A08F52" w:rsidR="00425616" w:rsidRDefault="00425616" w:rsidP="00425616">
      <w:pPr>
        <w:rPr>
          <w:rFonts w:cs="Arial"/>
        </w:rPr>
      </w:pPr>
      <w:r w:rsidRPr="00425616">
        <w:rPr>
          <w:rFonts w:cs="Arial"/>
        </w:rPr>
        <w:t xml:space="preserve">A skin notation is not </w:t>
      </w:r>
      <w:r w:rsidR="00D97D46">
        <w:rPr>
          <w:rFonts w:cs="Arial"/>
        </w:rPr>
        <w:t>recommend</w:t>
      </w:r>
      <w:r w:rsidRPr="00425616">
        <w:rPr>
          <w:rFonts w:cs="Arial"/>
        </w:rPr>
        <w:t>ed based on the available evidence.</w:t>
      </w:r>
    </w:p>
    <w:p w14:paraId="7648C288" w14:textId="77777777" w:rsidR="00F52BF1" w:rsidRPr="004C23F4" w:rsidRDefault="00F52BF1" w:rsidP="00F52BF1">
      <w:pPr>
        <w:rPr>
          <w:rFonts w:cs="Arial"/>
        </w:rPr>
      </w:pPr>
    </w:p>
    <w:p w14:paraId="6CABE30F" w14:textId="776340DE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9329BF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596A47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9A3445" w14:paraId="2AA92692" w14:textId="77777777" w:rsidTr="009A344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F2FDFCA" w14:textId="77777777" w:rsidR="00C978F0" w:rsidRPr="009A3445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9A3445">
              <w:rPr>
                <w:b/>
              </w:rPr>
              <w:t>Source</w:t>
            </w:r>
            <w:r w:rsidR="00DA352E" w:rsidRPr="009A3445">
              <w:rPr>
                <w:b/>
              </w:rPr>
              <w:tab/>
              <w:t>Year set</w:t>
            </w:r>
            <w:r w:rsidR="00DA352E" w:rsidRPr="009A3445">
              <w:rPr>
                <w:b/>
              </w:rPr>
              <w:tab/>
              <w:t>Standard</w:t>
            </w:r>
            <w:r w:rsidR="00974F2D" w:rsidRPr="009A3445">
              <w:rPr>
                <w:b/>
              </w:rPr>
              <w:tab/>
            </w:r>
          </w:p>
        </w:tc>
      </w:tr>
      <w:tr w:rsidR="00DE26E8" w:rsidRPr="003365A5" w14:paraId="545F7E49" w14:textId="77777777" w:rsidTr="009A3445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6396EE1" w14:textId="1FEA4C4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52BF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52BF1">
                  <w:t>TWA: 0.2 ppm (1.1 mg/m</w:t>
                </w:r>
                <w:r w:rsidR="00F52BF1" w:rsidRPr="00F52BF1">
                  <w:rPr>
                    <w:vertAlign w:val="superscript"/>
                  </w:rPr>
                  <w:t>3</w:t>
                </w:r>
                <w:r w:rsidR="00F52BF1">
                  <w:t>); STEL: 0.5 ppm (2.8 mg/m</w:t>
                </w:r>
                <w:r w:rsidR="00F52BF1" w:rsidRPr="00F52BF1">
                  <w:rPr>
                    <w:vertAlign w:val="superscript"/>
                  </w:rPr>
                  <w:t>3</w:t>
                </w:r>
                <w:r w:rsidR="00F52BF1">
                  <w:t>)</w:t>
                </w:r>
              </w:sdtContent>
            </w:sdt>
          </w:p>
        </w:tc>
      </w:tr>
      <w:tr w:rsidR="00C978F0" w:rsidRPr="00DA352E" w14:paraId="3D3EF9A3" w14:textId="77777777" w:rsidTr="009A3445">
        <w:trPr>
          <w:gridAfter w:val="1"/>
          <w:wAfter w:w="8" w:type="pct"/>
        </w:trPr>
        <w:tc>
          <w:tcPr>
            <w:tcW w:w="4992" w:type="pct"/>
          </w:tcPr>
          <w:p w14:paraId="7DEDF370" w14:textId="20C9F896" w:rsidR="00C978F0" w:rsidRPr="00030CC9" w:rsidRDefault="00C978F0" w:rsidP="00030CC9"/>
        </w:tc>
      </w:tr>
      <w:tr w:rsidR="00C978F0" w:rsidRPr="00DA352E" w14:paraId="587918A4" w14:textId="77777777" w:rsidTr="009A344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3FBA86C" w14:textId="1D3F584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52BF1">
                  <w:t>2001</w:t>
                </w:r>
              </w:sdtContent>
            </w:sdt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176C7">
                  <w:t xml:space="preserve">    </w:t>
                </w:r>
                <w:r w:rsidR="00F52BF1">
                  <w:t>TLV-TWA: 0.2 ppm (1.1 mg/m</w:t>
                </w:r>
                <w:r w:rsidR="00F52BF1" w:rsidRPr="001626E9">
                  <w:rPr>
                    <w:vertAlign w:val="superscript"/>
                  </w:rPr>
                  <w:t>3</w:t>
                </w:r>
                <w:r w:rsidR="00F52BF1">
                  <w:t>); TLV-STEL: 0.5 ppm (2.8 mg/m</w:t>
                </w:r>
                <w:r w:rsidR="00F52BF1" w:rsidRPr="001626E9">
                  <w:rPr>
                    <w:vertAlign w:val="superscript"/>
                  </w:rPr>
                  <w:t>3</w:t>
                </w:r>
                <w:r w:rsidR="00F52BF1">
                  <w:t>)</w:t>
                </w:r>
              </w:sdtContent>
            </w:sdt>
          </w:p>
        </w:tc>
      </w:tr>
      <w:tr w:rsidR="00C978F0" w:rsidRPr="00DA352E" w14:paraId="4C72C2C0" w14:textId="77777777" w:rsidTr="009A3445">
        <w:trPr>
          <w:gridAfter w:val="1"/>
          <w:wAfter w:w="8" w:type="pct"/>
        </w:trPr>
        <w:tc>
          <w:tcPr>
            <w:tcW w:w="4992" w:type="pct"/>
          </w:tcPr>
          <w:p w14:paraId="6C528223" w14:textId="45C6DD16" w:rsidR="0019332F" w:rsidRDefault="0019332F" w:rsidP="000E4090">
            <w:pPr>
              <w:pStyle w:val="Tabletextprimarysource"/>
            </w:pPr>
            <w:r>
              <w:t xml:space="preserve">TLV-TWA and TLV-STEL recommended to minimise the risk of </w:t>
            </w:r>
            <w:r w:rsidR="008439AE">
              <w:t>eye, mucous membrane and respiratory tract irritation</w:t>
            </w:r>
            <w:r>
              <w:t>.</w:t>
            </w:r>
            <w:r w:rsidR="000056F0">
              <w:t xml:space="preserve"> </w:t>
            </w:r>
          </w:p>
          <w:p w14:paraId="286A93EA" w14:textId="77777777" w:rsidR="00CE36DE" w:rsidRDefault="0019332F" w:rsidP="000E4090">
            <w:pPr>
              <w:pStyle w:val="Tabletextprimarysource"/>
            </w:pPr>
            <w:r>
              <w:t>Summary of data:</w:t>
            </w:r>
            <w:r w:rsidR="00CE36DE">
              <w:t xml:space="preserve"> </w:t>
            </w:r>
          </w:p>
          <w:p w14:paraId="34575C38" w14:textId="2A9FDBA0" w:rsidR="0019332F" w:rsidRDefault="00CE36DE" w:rsidP="00AD021A">
            <w:pPr>
              <w:pStyle w:val="ListBullet"/>
              <w:numPr>
                <w:ilvl w:val="0"/>
                <w:numId w:val="0"/>
              </w:numPr>
            </w:pPr>
            <w:r>
              <w:t>TLV</w:t>
            </w:r>
            <w:r w:rsidR="00AD021A">
              <w:t>-TWA</w:t>
            </w:r>
            <w:r>
              <w:t xml:space="preserve"> </w:t>
            </w:r>
            <w:r w:rsidR="00AD021A">
              <w:t xml:space="preserve">and TLV-STEL </w:t>
            </w:r>
            <w:r>
              <w:t xml:space="preserve">derived by comparison to effects from exposure to </w:t>
            </w:r>
            <w:r w:rsidR="00D97D46">
              <w:t>HCl</w:t>
            </w:r>
            <w:r w:rsidR="00AD021A">
              <w:t xml:space="preserve"> (</w:t>
            </w:r>
            <w:r>
              <w:t>TLV-Ceiling 2</w:t>
            </w:r>
            <w:r w:rsidR="00EF1857">
              <w:t> </w:t>
            </w:r>
            <w:r>
              <w:t>ppm</w:t>
            </w:r>
            <w:r w:rsidR="00AD021A">
              <w:t>)</w:t>
            </w:r>
            <w:r>
              <w:t>.</w:t>
            </w:r>
          </w:p>
          <w:p w14:paraId="55C49043" w14:textId="77777777" w:rsidR="0019332F" w:rsidRDefault="0019332F" w:rsidP="00030CC9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58059608" w14:textId="55C4567B" w:rsidR="0019332F" w:rsidRDefault="0019332F" w:rsidP="00030CC9">
            <w:pPr>
              <w:pStyle w:val="ListBullet"/>
              <w:spacing w:before="60" w:after="60"/>
              <w:ind w:left="720"/>
              <w:contextualSpacing w:val="0"/>
            </w:pPr>
            <w:r>
              <w:t>Workers exposed at 1.8–27 ppm (inhalation) exhibited symptoms including burning eyes and throat, mucous membrane irritation and mild bronchitis within 2–6 h</w:t>
            </w:r>
          </w:p>
          <w:p w14:paraId="32D8DCE3" w14:textId="711A3840" w:rsidR="0019332F" w:rsidRDefault="0019332F" w:rsidP="00030CC9">
            <w:pPr>
              <w:pStyle w:val="ListBullet"/>
              <w:spacing w:before="60" w:after="60"/>
              <w:ind w:left="720"/>
              <w:contextualSpacing w:val="0"/>
            </w:pPr>
            <w:r>
              <w:t>Sub-acute poisoning symptoms include</w:t>
            </w:r>
            <w:r w:rsidR="000718D6">
              <w:t xml:space="preserve"> pharynx irritation, coughing, dyspnoea and severe asthmatic bronchitis occurring 1</w:t>
            </w:r>
            <w:r w:rsidR="000E4090">
              <w:t>–</w:t>
            </w:r>
            <w:r w:rsidR="000718D6">
              <w:t>8 wk after exposure</w:t>
            </w:r>
            <w:r w:rsidR="00AC44A8">
              <w:t xml:space="preserve"> (no concentrations noted)</w:t>
            </w:r>
          </w:p>
          <w:p w14:paraId="6A5AD3B5" w14:textId="0E773E50" w:rsidR="000718D6" w:rsidRDefault="000718D6" w:rsidP="00030CC9">
            <w:pPr>
              <w:pStyle w:val="ListBullet"/>
              <w:spacing w:before="60" w:after="60"/>
              <w:ind w:left="720"/>
              <w:contextualSpacing w:val="0"/>
            </w:pPr>
            <w:r>
              <w:t>Exposure at 1 ppm during truck loading operations</w:t>
            </w:r>
            <w:r w:rsidR="00D97D46">
              <w:t xml:space="preserve"> recorded</w:t>
            </w:r>
            <w:r>
              <w:t xml:space="preserve"> normal result</w:t>
            </w:r>
            <w:r w:rsidR="00CE36DE">
              <w:t xml:space="preserve">s </w:t>
            </w:r>
            <w:r>
              <w:t>on a lung function test</w:t>
            </w:r>
          </w:p>
          <w:p w14:paraId="69FFE50B" w14:textId="46A6DE57" w:rsidR="00D97D46" w:rsidRDefault="000718D6" w:rsidP="00030CC9">
            <w:pPr>
              <w:pStyle w:val="ListBullet"/>
              <w:spacing w:before="60" w:after="60"/>
              <w:ind w:left="720"/>
              <w:contextualSpacing w:val="0"/>
            </w:pPr>
            <w:r>
              <w:t>In a recorded case</w:t>
            </w:r>
            <w:r w:rsidR="00D97D46">
              <w:t>,</w:t>
            </w:r>
            <w:r>
              <w:t xml:space="preserve"> 17 people were exposed to unknown ambient air concentrations resulting from a spill, reported symptoms included burning eyes, lacrimation, </w:t>
            </w:r>
            <w:r w:rsidR="00A7147A">
              <w:t>nausea, vomiting, dyspnoea and coughing</w:t>
            </w:r>
            <w:r w:rsidR="003C6E5B">
              <w:t>:</w:t>
            </w:r>
          </w:p>
          <w:p w14:paraId="2123CDAC" w14:textId="05860712" w:rsidR="0019332F" w:rsidRDefault="00D97D46" w:rsidP="00D97D46">
            <w:pPr>
              <w:pStyle w:val="ListBullet"/>
              <w:numPr>
                <w:ilvl w:val="0"/>
                <w:numId w:val="18"/>
              </w:numPr>
              <w:spacing w:before="60" w:after="60"/>
              <w:contextualSpacing w:val="0"/>
            </w:pPr>
            <w:r>
              <w:t>d</w:t>
            </w:r>
            <w:r w:rsidR="00A7147A">
              <w:t>iminished capacity observed in follow-up lung function tests</w:t>
            </w:r>
            <w:r w:rsidR="000E4090">
              <w:t>.</w:t>
            </w:r>
          </w:p>
          <w:p w14:paraId="18DF6166" w14:textId="77777777" w:rsidR="0019332F" w:rsidRDefault="0019332F" w:rsidP="00030CC9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639D003D" w14:textId="1B735C4E" w:rsidR="0019332F" w:rsidRDefault="00A7147A" w:rsidP="00030CC9">
            <w:pPr>
              <w:pStyle w:val="ListBullet"/>
              <w:spacing w:before="60" w:after="60"/>
              <w:ind w:left="720"/>
              <w:contextualSpacing w:val="0"/>
            </w:pPr>
            <w:r>
              <w:t>Cats and guinea pigs exposed at 0.7 ppm (inhalation) for 6 h showed mild signs of intoxication, 2–4 ppm for 1 h produce no severe signs of poisoning, 50–90 ppm resulted in severe disturbances (specific symptoms were not referenced)</w:t>
            </w:r>
            <w:r w:rsidR="007176C7">
              <w:t>:</w:t>
            </w:r>
          </w:p>
          <w:p w14:paraId="72A4585A" w14:textId="39EA64A9" w:rsidR="0019332F" w:rsidRDefault="00EC2871" w:rsidP="001626E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b</w:t>
            </w:r>
            <w:r w:rsidR="00A7147A">
              <w:t xml:space="preserve">ased on these results the inhalation effect of </w:t>
            </w:r>
            <w:r w:rsidR="00D97D46">
              <w:t>PCl</w:t>
            </w:r>
            <w:r w:rsidR="00D97D46" w:rsidRPr="00D97D46">
              <w:rPr>
                <w:vertAlign w:val="subscript"/>
              </w:rPr>
              <w:t>3</w:t>
            </w:r>
            <w:r w:rsidR="00A7147A">
              <w:t xml:space="preserve"> considered 5–10 times as intense as </w:t>
            </w:r>
            <w:r w:rsidR="00EF1857">
              <w:t xml:space="preserve">resulting from exposure to </w:t>
            </w:r>
            <w:r w:rsidR="00D97D46">
              <w:t>HCl</w:t>
            </w:r>
            <w:r w:rsidR="00A7147A">
              <w:t xml:space="preserve"> produced by hydrolysis</w:t>
            </w:r>
            <w:r w:rsidR="008439AE">
              <w:t xml:space="preserve">, using this as a basis a limit of 0.17 ppm </w:t>
            </w:r>
            <w:r w:rsidR="00485685">
              <w:t xml:space="preserve">is </w:t>
            </w:r>
            <w:r w:rsidR="008439AE">
              <w:t>derived</w:t>
            </w:r>
          </w:p>
          <w:p w14:paraId="03354071" w14:textId="0AAC8627" w:rsidR="00CE36DE" w:rsidRDefault="00CE36DE" w:rsidP="001626E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based on this study, separate authors recommended a maximum allowable concentration for prolonged exposure to phosphorus trichloride </w:t>
            </w:r>
            <w:r w:rsidR="000B36FD">
              <w:t>&lt;</w:t>
            </w:r>
            <w:r>
              <w:t>0.7 ppm</w:t>
            </w:r>
          </w:p>
          <w:p w14:paraId="77298C3E" w14:textId="733CB37B" w:rsidR="0019332F" w:rsidRDefault="008439AE" w:rsidP="00030CC9">
            <w:pPr>
              <w:pStyle w:val="ListBullet"/>
              <w:spacing w:before="60" w:after="60"/>
              <w:ind w:left="720"/>
              <w:contextualSpacing w:val="0"/>
            </w:pPr>
            <w:r>
              <w:t>LC</w:t>
            </w:r>
            <w:r w:rsidRPr="008439AE">
              <w:rPr>
                <w:vertAlign w:val="subscript"/>
              </w:rPr>
              <w:t>50</w:t>
            </w:r>
            <w:r>
              <w:t>: 104 ppm (rats, 4</w:t>
            </w:r>
            <w:r w:rsidR="000E4090">
              <w:t xml:space="preserve"> </w:t>
            </w:r>
            <w:r>
              <w:t>h), 50 ppm (guinea pigs, 4</w:t>
            </w:r>
            <w:r w:rsidR="000E4090">
              <w:t xml:space="preserve"> </w:t>
            </w:r>
            <w:r>
              <w:t>h)</w:t>
            </w:r>
            <w:r w:rsidR="000E4090">
              <w:t>.</w:t>
            </w:r>
          </w:p>
          <w:p w14:paraId="72A5A825" w14:textId="77777777" w:rsidR="007176C7" w:rsidRDefault="007176C7" w:rsidP="003C6E5B">
            <w:pPr>
              <w:pStyle w:val="ListBullet"/>
              <w:numPr>
                <w:ilvl w:val="0"/>
                <w:numId w:val="0"/>
              </w:numPr>
              <w:spacing w:before="60" w:after="60"/>
              <w:ind w:left="357" w:hanging="357"/>
            </w:pPr>
          </w:p>
          <w:p w14:paraId="38B32A83" w14:textId="058FA47B" w:rsidR="00030CC9" w:rsidRDefault="00546CC1" w:rsidP="00030CC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Insufficient data to recommend a skin, sensitiser or carcinogen notation.</w:t>
            </w:r>
          </w:p>
          <w:p w14:paraId="169F834F" w14:textId="693E41C5" w:rsidR="0019332F" w:rsidRPr="00030CC9" w:rsidRDefault="0019332F" w:rsidP="00030CC9">
            <w:pPr>
              <w:contextualSpacing/>
            </w:pPr>
          </w:p>
        </w:tc>
      </w:tr>
      <w:tr w:rsidR="00C978F0" w:rsidRPr="00DA352E" w14:paraId="225EDC7B" w14:textId="77777777" w:rsidTr="009A344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9A60D73" w14:textId="403602B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52BF1">
                  <w:t>201</w:t>
                </w:r>
                <w:r w:rsidR="00D30317">
                  <w:t>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96725">
                  <w:t>MAK: 0.1 ppm (0.57 mg/m</w:t>
                </w:r>
                <w:r w:rsidR="00E96725" w:rsidRPr="00E96725">
                  <w:rPr>
                    <w:vertAlign w:val="superscript"/>
                  </w:rPr>
                  <w:t>3</w:t>
                </w:r>
                <w:r w:rsidR="00E96725">
                  <w:t>)</w:t>
                </w:r>
              </w:sdtContent>
            </w:sdt>
          </w:p>
        </w:tc>
      </w:tr>
      <w:tr w:rsidR="00C978F0" w:rsidRPr="00DA352E" w14:paraId="3F93F2B4" w14:textId="77777777" w:rsidTr="009A3445">
        <w:trPr>
          <w:gridAfter w:val="1"/>
          <w:wAfter w:w="8" w:type="pct"/>
        </w:trPr>
        <w:tc>
          <w:tcPr>
            <w:tcW w:w="4992" w:type="pct"/>
          </w:tcPr>
          <w:p w14:paraId="0CEAC54E" w14:textId="527318AE" w:rsidR="00C978F0" w:rsidRDefault="00663A33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Starting from 3 ppm NOAEC</w:t>
            </w:r>
            <w:r w:rsidR="009F732A">
              <w:rPr>
                <w:rFonts w:cs="Arial"/>
                <w:color w:val="1C1D1E"/>
                <w:shd w:val="clear" w:color="auto" w:fill="FFFFFF"/>
              </w:rPr>
              <w:t xml:space="preserve"> and using </w:t>
            </w:r>
            <w:r w:rsidR="00EE7A28" w:rsidRPr="00EE7A28">
              <w:rPr>
                <w:rFonts w:cs="Arial"/>
                <w:color w:val="1C1D1E"/>
                <w:shd w:val="clear" w:color="auto" w:fill="FFFFFF"/>
              </w:rPr>
              <w:t xml:space="preserve">the procedure of Brüning </w:t>
            </w:r>
            <w:r w:rsidR="00EE7A28" w:rsidRPr="00030CC9">
              <w:rPr>
                <w:rFonts w:cs="Arial"/>
                <w:i/>
                <w:color w:val="1C1D1E"/>
                <w:shd w:val="clear" w:color="auto" w:fill="FFFFFF"/>
              </w:rPr>
              <w:t>et al.</w:t>
            </w:r>
            <w:r w:rsidR="00EE7A28" w:rsidRPr="00EE7A28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030CC9">
              <w:rPr>
                <w:rFonts w:cs="Arial"/>
                <w:color w:val="1C1D1E"/>
                <w:shd w:val="clear" w:color="auto" w:fill="FFFFFF"/>
              </w:rPr>
              <w:t>(</w:t>
            </w:r>
            <w:r w:rsidR="00EE7A28" w:rsidRPr="00EE7A28">
              <w:rPr>
                <w:rFonts w:cs="Arial"/>
                <w:color w:val="1C1D1E"/>
                <w:shd w:val="clear" w:color="auto" w:fill="FFFFFF"/>
              </w:rPr>
              <w:t>2014</w:t>
            </w:r>
            <w:r w:rsidR="00030CC9">
              <w:rPr>
                <w:rFonts w:cs="Arial"/>
                <w:color w:val="1C1D1E"/>
                <w:shd w:val="clear" w:color="auto" w:fill="FFFFFF"/>
              </w:rPr>
              <w:t>)</w:t>
            </w:r>
            <w:r w:rsidR="009F732A">
              <w:rPr>
                <w:rFonts w:cs="Arial"/>
                <w:color w:val="1C1D1E"/>
                <w:shd w:val="clear" w:color="auto" w:fill="FFFFFF"/>
              </w:rPr>
              <w:t xml:space="preserve">, </w:t>
            </w:r>
            <w:r w:rsidR="00EE7A28">
              <w:rPr>
                <w:rFonts w:cs="Arial"/>
                <w:color w:val="1C1D1E"/>
                <w:shd w:val="clear" w:color="auto" w:fill="FFFFFF"/>
              </w:rPr>
              <w:t>a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concentration of 1</w:t>
            </w:r>
            <w:r w:rsidR="00B64EE6">
              <w:rPr>
                <w:rFonts w:cs="Arial"/>
                <w:color w:val="1C1D1E"/>
                <w:shd w:val="clear" w:color="auto" w:fill="FFFFFF"/>
              </w:rPr>
              <w:t> </w:t>
            </w:r>
            <w:r>
              <w:rPr>
                <w:rFonts w:cs="Arial"/>
                <w:color w:val="1C1D1E"/>
                <w:shd w:val="clear" w:color="auto" w:fill="FFFFFF"/>
              </w:rPr>
              <w:t>ppm </w:t>
            </w:r>
            <w:r w:rsidR="009F732A">
              <w:rPr>
                <w:rFonts w:cs="Arial"/>
                <w:color w:val="1C1D1E"/>
                <w:shd w:val="clear" w:color="auto" w:fill="FFFFFF"/>
              </w:rPr>
              <w:t xml:space="preserve">is calculated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for </w:t>
            </w:r>
            <w:r w:rsidR="009F732A">
              <w:rPr>
                <w:rFonts w:cs="Arial"/>
                <w:color w:val="1C1D1E"/>
                <w:shd w:val="clear" w:color="auto" w:fill="FFFFFF"/>
              </w:rPr>
              <w:t xml:space="preserve">the </w:t>
            </w:r>
            <w:r>
              <w:rPr>
                <w:rFonts w:cs="Arial"/>
                <w:color w:val="1C1D1E"/>
                <w:shd w:val="clear" w:color="auto" w:fill="FFFFFF"/>
              </w:rPr>
              <w:t>transfer of findings on the respiratory epithelium of the rat to humans. Considering a possible increase in effectiveness in the event of chronic exposure leads to a concentration of 0.17</w:t>
            </w:r>
            <w:r w:rsidR="00B64EE6">
              <w:rPr>
                <w:rFonts w:cs="Arial"/>
                <w:color w:val="1C1D1E"/>
                <w:shd w:val="clear" w:color="auto" w:fill="FFFFFF"/>
              </w:rPr>
              <w:t> </w:t>
            </w:r>
            <w:r>
              <w:rPr>
                <w:rFonts w:cs="Arial"/>
                <w:color w:val="1C1D1E"/>
                <w:shd w:val="clear" w:color="auto" w:fill="FFFFFF"/>
              </w:rPr>
              <w:t>ppm.</w:t>
            </w:r>
            <w:r w:rsidR="009F732A">
              <w:rPr>
                <w:rFonts w:cs="Arial"/>
                <w:color w:val="1C1D1E"/>
                <w:shd w:val="clear" w:color="auto" w:fill="FFFFFF"/>
              </w:rPr>
              <w:t xml:space="preserve"> This concentration is rounded according to DFG methodology to obtain a MAK of 0.1 ppm.</w:t>
            </w:r>
          </w:p>
          <w:p w14:paraId="3FC37085" w14:textId="1311FE0F" w:rsidR="003C6E5B" w:rsidRDefault="003C6E5B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t>Summary of additional data:</w:t>
            </w:r>
          </w:p>
          <w:p w14:paraId="3B44985E" w14:textId="5A3E0121" w:rsidR="0078488F" w:rsidRDefault="0078488F" w:rsidP="00030CC9">
            <w:pPr>
              <w:pStyle w:val="ListBullet"/>
              <w:spacing w:before="60" w:after="60"/>
              <w:ind w:left="720"/>
              <w:contextualSpacing w:val="0"/>
            </w:pPr>
            <w:r>
              <w:t>Exposure at</w:t>
            </w:r>
            <w:r w:rsidR="00A7701F">
              <w:t xml:space="preserve"> 0, 0.5, 3 or 10 ppm (rats, 6 h/d, 5 d/wk, 4 wk)</w:t>
            </w:r>
            <w:r w:rsidR="00BE576E">
              <w:rPr>
                <w:rFonts w:cs="Arial"/>
                <w:color w:val="1C1D1E"/>
                <w:shd w:val="clear" w:color="auto" w:fill="FFFFFF"/>
              </w:rPr>
              <w:t>; n</w:t>
            </w:r>
            <w:r w:rsidR="00663A33">
              <w:rPr>
                <w:rFonts w:cs="Arial"/>
                <w:color w:val="1C1D1E"/>
                <w:shd w:val="clear" w:color="auto" w:fill="FFFFFF"/>
              </w:rPr>
              <w:t xml:space="preserve">o effects in organ weights, urine </w:t>
            </w:r>
            <w:r w:rsidR="00663A33" w:rsidRPr="00030CC9">
              <w:t>analysis</w:t>
            </w:r>
            <w:r w:rsidR="00663A33">
              <w:rPr>
                <w:rFonts w:cs="Arial"/>
                <w:color w:val="1C1D1E"/>
                <w:shd w:val="clear" w:color="auto" w:fill="FFFFFF"/>
              </w:rPr>
              <w:t xml:space="preserve"> or clinical, histopathological, haematological, clinical-chemical and ophthalmological examinations</w:t>
            </w:r>
            <w:r w:rsidR="007176C7">
              <w:rPr>
                <w:rFonts w:cs="Arial"/>
                <w:color w:val="1C1D1E"/>
                <w:shd w:val="clear" w:color="auto" w:fill="FFFFFF"/>
              </w:rPr>
              <w:t>:</w:t>
            </w:r>
          </w:p>
          <w:p w14:paraId="5F0DA556" w14:textId="13413720" w:rsidR="00663A33" w:rsidRDefault="00663A33" w:rsidP="001626E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lastRenderedPageBreak/>
              <w:t xml:space="preserve">10 ppm: </w:t>
            </w:r>
            <w:r w:rsidRPr="00663A33">
              <w:t>squamous metaplasia of the respiratory epithelium and focal purulent inflammation with protein-containing fluid in the anterior nasal cavity</w:t>
            </w:r>
          </w:p>
          <w:p w14:paraId="3C69EF7B" w14:textId="38900AA7" w:rsidR="0078488F" w:rsidRDefault="00663A33" w:rsidP="001626E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3 ppm</w:t>
            </w:r>
            <w:r w:rsidR="00535011">
              <w:t xml:space="preserve"> stated as the overall NOAEC</w:t>
            </w:r>
            <w:r w:rsidR="00F71AFF">
              <w:t xml:space="preserve"> for</w:t>
            </w:r>
            <w:r w:rsidR="00535011">
              <w:t xml:space="preserve"> local respiratory effects</w:t>
            </w:r>
          </w:p>
          <w:p w14:paraId="7B339A8D" w14:textId="076053BB" w:rsidR="007176C7" w:rsidRDefault="00030CC9" w:rsidP="001626E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s</w:t>
            </w:r>
            <w:r w:rsidR="00EE7A28" w:rsidRPr="00EE7A28">
              <w:t xml:space="preserve">ince 2014, </w:t>
            </w:r>
            <w:r>
              <w:t>DFG</w:t>
            </w:r>
            <w:r w:rsidR="00EE7A28" w:rsidRPr="00EE7A28">
              <w:t xml:space="preserve"> uses empirical </w:t>
            </w:r>
            <w:r w:rsidRPr="00EE7A28">
              <w:t>approach</w:t>
            </w:r>
            <w:r>
              <w:t>es</w:t>
            </w:r>
            <w:r w:rsidR="00EE7A28" w:rsidRPr="00EE7A28">
              <w:t xml:space="preserve"> to set MAK values for substances with critical effects on the upper respiratory tract or the eyes. According to this approach, a concentration of 0.17 ppm for </w:t>
            </w:r>
            <w:r w:rsidR="00AC280F" w:rsidRPr="00EE7A28">
              <w:t>workplace</w:t>
            </w:r>
            <w:r w:rsidR="00EE7A28" w:rsidRPr="00EE7A28">
              <w:t xml:space="preserve"> air </w:t>
            </w:r>
            <w:r w:rsidR="00B64EE6">
              <w:t>is</w:t>
            </w:r>
            <w:r w:rsidR="00EE7A28" w:rsidRPr="00EE7A28">
              <w:t xml:space="preserve"> calculated from this study</w:t>
            </w:r>
            <w:r w:rsidR="00B64EE6">
              <w:t>; rounded according to DFG methodology to establish a MAK of 0.1 ppm</w:t>
            </w:r>
            <w:r w:rsidR="00EE7A28">
              <w:t xml:space="preserve"> (no further details provided)</w:t>
            </w:r>
            <w:r w:rsidR="000E4090">
              <w:t>.</w:t>
            </w:r>
          </w:p>
          <w:p w14:paraId="2A899BF9" w14:textId="65C13D44" w:rsidR="00EE7A28" w:rsidRPr="00030CC9" w:rsidRDefault="00EE7A28" w:rsidP="001626E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11D832F5" w14:textId="77777777" w:rsidTr="009A344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9D2AA33" w14:textId="6E81D3F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9672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E96725">
                  <w:t>NA</w:t>
                </w:r>
              </w:sdtContent>
            </w:sdt>
          </w:p>
        </w:tc>
      </w:tr>
      <w:tr w:rsidR="00DA352E" w:rsidRPr="00DA352E" w14:paraId="679155C6" w14:textId="77777777" w:rsidTr="009A3445">
        <w:trPr>
          <w:gridAfter w:val="1"/>
          <w:wAfter w:w="8" w:type="pct"/>
        </w:trPr>
        <w:tc>
          <w:tcPr>
            <w:tcW w:w="4992" w:type="pct"/>
          </w:tcPr>
          <w:p w14:paraId="3037CBC7" w14:textId="1264C046" w:rsidR="00DA352E" w:rsidRPr="00DA352E" w:rsidRDefault="00E96725" w:rsidP="003365A5">
            <w:pPr>
              <w:pStyle w:val="Tabletextprimarysource"/>
            </w:pPr>
            <w:r>
              <w:t>No report</w:t>
            </w:r>
            <w:r w:rsidR="000E4090">
              <w:t>.</w:t>
            </w:r>
          </w:p>
        </w:tc>
      </w:tr>
      <w:tr w:rsidR="00DA352E" w:rsidRPr="00DA352E" w14:paraId="5713E1BB" w14:textId="77777777" w:rsidTr="009A344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D948DE1" w14:textId="04F0345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9672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96725">
                  <w:t>NA</w:t>
                </w:r>
              </w:sdtContent>
            </w:sdt>
          </w:p>
        </w:tc>
      </w:tr>
      <w:tr w:rsidR="00DA352E" w:rsidRPr="00DA352E" w14:paraId="7457AF4A" w14:textId="77777777" w:rsidTr="009A3445">
        <w:trPr>
          <w:gridAfter w:val="1"/>
          <w:wAfter w:w="8" w:type="pct"/>
        </w:trPr>
        <w:tc>
          <w:tcPr>
            <w:tcW w:w="4992" w:type="pct"/>
          </w:tcPr>
          <w:p w14:paraId="30C7997A" w14:textId="23ABD706" w:rsidR="00DA352E" w:rsidRPr="00DA352E" w:rsidRDefault="00E96725" w:rsidP="003365A5">
            <w:pPr>
              <w:pStyle w:val="Tabletextprimarysource"/>
            </w:pPr>
            <w:r>
              <w:t>No report</w:t>
            </w:r>
            <w:r w:rsidR="000E4090">
              <w:t>.</w:t>
            </w:r>
          </w:p>
        </w:tc>
      </w:tr>
    </w:tbl>
    <w:p w14:paraId="62EC9F25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9A3445" w14:paraId="2CA0428D" w14:textId="77777777" w:rsidTr="009A34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2AA2329F" w14:textId="77777777" w:rsidR="004966BF" w:rsidRPr="009A3445" w:rsidRDefault="004966BF" w:rsidP="00263255">
            <w:pPr>
              <w:pStyle w:val="Tableheader"/>
              <w:rPr>
                <w:b/>
              </w:rPr>
            </w:pPr>
            <w:r w:rsidRPr="009A3445">
              <w:rPr>
                <w:b/>
              </w:rPr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B7CD1FC" w14:textId="77777777" w:rsidR="004966BF" w:rsidRPr="009A3445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6E906A50" w14:textId="77777777" w:rsidR="004966BF" w:rsidRPr="009A3445" w:rsidRDefault="004966BF" w:rsidP="00263255">
            <w:pPr>
              <w:pStyle w:val="Tableheader"/>
              <w:rPr>
                <w:b/>
              </w:rPr>
            </w:pPr>
            <w:r w:rsidRPr="009A3445">
              <w:rPr>
                <w:b/>
              </w:rP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354B80FD" w14:textId="77777777" w:rsidR="004966BF" w:rsidRPr="009A3445" w:rsidRDefault="004966BF" w:rsidP="00263255">
            <w:pPr>
              <w:pStyle w:val="Tableheader"/>
              <w:rPr>
                <w:b/>
              </w:rPr>
            </w:pPr>
            <w:r w:rsidRPr="009A3445">
              <w:rPr>
                <w:b/>
              </w:rPr>
              <w:t>Additional information</w:t>
            </w:r>
          </w:p>
        </w:tc>
      </w:tr>
      <w:tr w:rsidR="004966BF" w:rsidRPr="004C23F4" w14:paraId="2DF722B8" w14:textId="77777777" w:rsidTr="009A3445">
        <w:trPr>
          <w:cantSplit/>
        </w:trPr>
        <w:tc>
          <w:tcPr>
            <w:tcW w:w="1498" w:type="dxa"/>
          </w:tcPr>
          <w:p w14:paraId="18014E28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0520253C" w14:textId="2D51E0A5" w:rsidR="004966BF" w:rsidRPr="00CE617F" w:rsidRDefault="007060F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157D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3D4113F6" w14:textId="1D94B95A" w:rsidR="004966BF" w:rsidRPr="004C23F4" w:rsidRDefault="002157D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54" w:type="dxa"/>
          </w:tcPr>
          <w:p w14:paraId="7B815F7A" w14:textId="6D9F2A04" w:rsidR="002157D8" w:rsidRDefault="002157D8" w:rsidP="00030CC9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2157D8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250</w:t>
            </w:r>
            <w:r>
              <w:t>–</w:t>
            </w:r>
            <w:r>
              <w:rPr>
                <w:rStyle w:val="checkbox"/>
                <w:rFonts w:ascii="Arial" w:hAnsi="Arial" w:cs="Arial"/>
              </w:rPr>
              <w:t>500 mg/kg (rabbits, dermal)</w:t>
            </w:r>
          </w:p>
          <w:p w14:paraId="5D524572" w14:textId="655D74A7" w:rsidR="002157D8" w:rsidRDefault="002157D8" w:rsidP="00030CC9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Negative results </w:t>
            </w:r>
            <w:r w:rsidR="00AC280F">
              <w:rPr>
                <w:rStyle w:val="checkbox"/>
                <w:rFonts w:ascii="Arial" w:hAnsi="Arial" w:cs="Arial"/>
                <w:i/>
              </w:rPr>
              <w:t>i</w:t>
            </w:r>
            <w:r w:rsidRPr="002157D8">
              <w:rPr>
                <w:rStyle w:val="checkbox"/>
                <w:rFonts w:ascii="Arial" w:hAnsi="Arial" w:cs="Arial"/>
                <w:i/>
              </w:rPr>
              <w:t>n vitro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030CC9">
              <w:t>assays</w:t>
            </w:r>
          </w:p>
          <w:p w14:paraId="04A7A1CF" w14:textId="38493F59" w:rsidR="002157D8" w:rsidRPr="002157D8" w:rsidRDefault="002157D8" w:rsidP="00030CC9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 w:rsidRPr="002157D8">
              <w:rPr>
                <w:rStyle w:val="checkbox"/>
                <w:rFonts w:ascii="Arial" w:hAnsi="Arial" w:cs="Arial"/>
              </w:rPr>
              <w:t>Negative results</w:t>
            </w:r>
            <w:r w:rsidR="00AC280F">
              <w:rPr>
                <w:rStyle w:val="checkbox"/>
                <w:rFonts w:ascii="Arial" w:hAnsi="Arial" w:cs="Arial"/>
              </w:rPr>
              <w:t xml:space="preserve"> </w:t>
            </w:r>
            <w:r w:rsidR="00AC280F">
              <w:rPr>
                <w:rStyle w:val="checkbox"/>
                <w:rFonts w:ascii="Arial" w:hAnsi="Arial" w:cs="Arial"/>
                <w:i/>
              </w:rPr>
              <w:t>i</w:t>
            </w:r>
            <w:r w:rsidRPr="002157D8">
              <w:rPr>
                <w:rStyle w:val="checkbox"/>
                <w:rFonts w:ascii="Arial" w:hAnsi="Arial" w:cs="Arial"/>
                <w:i/>
              </w:rPr>
              <w:t>n vivo</w:t>
            </w:r>
            <w:r w:rsidRPr="002157D8">
              <w:rPr>
                <w:rStyle w:val="checkbox"/>
                <w:rFonts w:ascii="Arial" w:hAnsi="Arial" w:cs="Arial"/>
              </w:rPr>
              <w:t xml:space="preserve"> </w:t>
            </w:r>
            <w:r w:rsidRPr="00030CC9">
              <w:t>chromosome</w:t>
            </w:r>
            <w:r w:rsidRPr="002157D8">
              <w:rPr>
                <w:rStyle w:val="checkbox"/>
                <w:rFonts w:ascii="Arial" w:hAnsi="Arial" w:cs="Arial"/>
              </w:rPr>
              <w:t xml:space="preserve"> aberration </w:t>
            </w:r>
            <w:r>
              <w:rPr>
                <w:rStyle w:val="checkbox"/>
                <w:rFonts w:ascii="Arial" w:hAnsi="Arial" w:cs="Arial"/>
              </w:rPr>
              <w:t>assay</w:t>
            </w:r>
            <w:r w:rsidR="000E409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522992FC" w14:textId="77777777" w:rsidTr="009A3445">
        <w:trPr>
          <w:cantSplit/>
        </w:trPr>
        <w:tc>
          <w:tcPr>
            <w:tcW w:w="1498" w:type="dxa"/>
          </w:tcPr>
          <w:p w14:paraId="7CFBC03C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4" w:type="dxa"/>
          </w:tcPr>
          <w:p w14:paraId="610AC45E" w14:textId="223B145B" w:rsidR="004966BF" w:rsidRPr="00CE617F" w:rsidRDefault="007060F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33AD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751C2CAD" w14:textId="11A815FC" w:rsidR="004966BF" w:rsidRPr="004C23F4" w:rsidRDefault="00F33AD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2004</w:t>
            </w:r>
          </w:p>
        </w:tc>
        <w:tc>
          <w:tcPr>
            <w:tcW w:w="6454" w:type="dxa"/>
          </w:tcPr>
          <w:p w14:paraId="54EAE394" w14:textId="21997007" w:rsidR="004966BF" w:rsidRPr="004C23F4" w:rsidRDefault="00F33ADC" w:rsidP="001626E9">
            <w:pPr>
              <w:pStyle w:val="Tablefont"/>
              <w:numPr>
                <w:ilvl w:val="0"/>
                <w:numId w:val="17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  <w:r w:rsidR="000E409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3BC11521" w14:textId="77777777" w:rsidTr="009A3445">
        <w:trPr>
          <w:cantSplit/>
        </w:trPr>
        <w:tc>
          <w:tcPr>
            <w:tcW w:w="1498" w:type="dxa"/>
          </w:tcPr>
          <w:p w14:paraId="1FF8AECE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4" w:type="dxa"/>
          </w:tcPr>
          <w:p w14:paraId="2256E5D6" w14:textId="657744E0" w:rsidR="004966BF" w:rsidRDefault="007060F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33AD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7ABC03C7" w14:textId="6F2BF40F" w:rsidR="004966BF" w:rsidRPr="004C23F4" w:rsidRDefault="00F33AD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4" w:type="dxa"/>
          </w:tcPr>
          <w:p w14:paraId="19E9DC9C" w14:textId="422105B0" w:rsidR="004966BF" w:rsidRPr="004C23F4" w:rsidRDefault="00F33ADC" w:rsidP="00030CC9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t>LD</w:t>
            </w:r>
            <w:r w:rsidRPr="008439AE">
              <w:rPr>
                <w:vertAlign w:val="subscript"/>
              </w:rPr>
              <w:t>50</w:t>
            </w:r>
            <w:r>
              <w:t xml:space="preserve">: 18 ppm (rats, </w:t>
            </w:r>
            <w:r w:rsidRPr="00030CC9">
              <w:rPr>
                <w:rStyle w:val="checkbox"/>
                <w:rFonts w:ascii="Arial" w:hAnsi="Arial" w:cs="Arial"/>
              </w:rPr>
              <w:t>oral</w:t>
            </w:r>
            <w:r>
              <w:t>)</w:t>
            </w:r>
            <w:r w:rsidR="00030CC9">
              <w:t>.</w:t>
            </w:r>
          </w:p>
        </w:tc>
      </w:tr>
    </w:tbl>
    <w:bookmarkEnd w:id="0"/>
    <w:p w14:paraId="34D78A1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91897E1" w14:textId="77777777" w:rsidTr="00F33ADC">
        <w:trPr>
          <w:trHeight w:val="454"/>
          <w:tblHeader/>
        </w:trPr>
        <w:tc>
          <w:tcPr>
            <w:tcW w:w="6603" w:type="dxa"/>
            <w:vAlign w:val="center"/>
          </w:tcPr>
          <w:p w14:paraId="4BD9A531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7A326E8" w14:textId="780E7A77" w:rsidR="002E0D61" w:rsidRDefault="00F33AD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6E66463" w14:textId="77777777" w:rsidTr="00F33AD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E5CACB4" w14:textId="1A401489" w:rsidR="008A36CF" w:rsidRPr="006901A2" w:rsidRDefault="00F33ADC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45A4A7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7BB5AD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9A3445" w14:paraId="15C06B87" w14:textId="77777777" w:rsidTr="009A34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997B78E" w14:textId="77777777" w:rsidR="00687890" w:rsidRPr="009A3445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9A3445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C697BD5" w14:textId="77777777" w:rsidR="00687890" w:rsidRPr="009A3445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9A3445">
              <w:rPr>
                <w:b/>
              </w:rPr>
              <w:t>Notations</w:t>
            </w:r>
            <w:r w:rsidR="003A2B94" w:rsidRPr="009A3445">
              <w:rPr>
                <w:b/>
              </w:rPr>
              <w:tab/>
            </w:r>
          </w:p>
        </w:tc>
      </w:tr>
      <w:tr w:rsidR="00687890" w:rsidRPr="004C23F4" w14:paraId="094EE92D" w14:textId="77777777" w:rsidTr="009A3445">
        <w:trPr>
          <w:cantSplit/>
        </w:trPr>
        <w:tc>
          <w:tcPr>
            <w:tcW w:w="3227" w:type="dxa"/>
          </w:tcPr>
          <w:p w14:paraId="6DBD9917" w14:textId="7F8FF753" w:rsidR="004079B4" w:rsidRPr="007B35D2" w:rsidRDefault="00084513" w:rsidP="00F33ADC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59D2986" w14:textId="778FA6C4" w:rsidR="00687890" w:rsidRPr="00DD2F9B" w:rsidRDefault="00E96725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65BCCFCC" w14:textId="77777777" w:rsidTr="009A3445">
        <w:trPr>
          <w:cantSplit/>
        </w:trPr>
        <w:tc>
          <w:tcPr>
            <w:tcW w:w="3227" w:type="dxa"/>
          </w:tcPr>
          <w:p w14:paraId="2F29DEDF" w14:textId="2EF07714" w:rsidR="004079B4" w:rsidRPr="007B35D2" w:rsidRDefault="007925F0" w:rsidP="00F33ADC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D9A5BB4" w14:textId="5D2F38B5" w:rsidR="007925F0" w:rsidRPr="00DD2F9B" w:rsidRDefault="00E96725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72E7ACDF" w14:textId="77777777" w:rsidTr="009A3445">
        <w:trPr>
          <w:cantSplit/>
        </w:trPr>
        <w:tc>
          <w:tcPr>
            <w:tcW w:w="3227" w:type="dxa"/>
          </w:tcPr>
          <w:p w14:paraId="5159931F" w14:textId="4D1CA2CE" w:rsidR="00AF483F" w:rsidRPr="007B35D2" w:rsidRDefault="00AF483F" w:rsidP="00F33ADC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382FB19" w14:textId="2EC9AA10" w:rsidR="00AF483F" w:rsidRPr="00DD2F9B" w:rsidRDefault="00E9672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9CE49E1" w14:textId="77777777" w:rsidTr="009A3445">
        <w:trPr>
          <w:cantSplit/>
        </w:trPr>
        <w:tc>
          <w:tcPr>
            <w:tcW w:w="3227" w:type="dxa"/>
          </w:tcPr>
          <w:p w14:paraId="12A841CF" w14:textId="1BC80EF2" w:rsidR="004079B4" w:rsidRPr="007B35D2" w:rsidRDefault="00687890" w:rsidP="00F33ADC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0326EB7" w14:textId="43F6B4F1" w:rsidR="00687890" w:rsidRPr="00DD2F9B" w:rsidRDefault="00E9672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ADF2DE8" w14:textId="77777777" w:rsidTr="009A3445">
        <w:trPr>
          <w:cantSplit/>
        </w:trPr>
        <w:tc>
          <w:tcPr>
            <w:tcW w:w="3227" w:type="dxa"/>
          </w:tcPr>
          <w:p w14:paraId="71D1411F" w14:textId="05F252A9" w:rsidR="00E41A26" w:rsidRPr="007B35D2" w:rsidRDefault="00E41A26" w:rsidP="00F33ADC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E415178" w14:textId="66C72C57" w:rsidR="00E41A26" w:rsidRPr="00DD2F9B" w:rsidRDefault="00E9672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363F6849" w14:textId="77777777" w:rsidTr="009A3445">
        <w:trPr>
          <w:cantSplit/>
        </w:trPr>
        <w:tc>
          <w:tcPr>
            <w:tcW w:w="3227" w:type="dxa"/>
          </w:tcPr>
          <w:p w14:paraId="7EF0D16E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79F52FB" w14:textId="4732546E" w:rsidR="002E0D61" w:rsidRPr="00DD2F9B" w:rsidRDefault="00E9672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EA2C4DB" w14:textId="77777777" w:rsidTr="009A3445">
        <w:trPr>
          <w:cantSplit/>
        </w:trPr>
        <w:tc>
          <w:tcPr>
            <w:tcW w:w="3227" w:type="dxa"/>
          </w:tcPr>
          <w:p w14:paraId="3990912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A1DA729" w14:textId="2748C82B" w:rsidR="002E0D61" w:rsidRPr="00DD2F9B" w:rsidRDefault="00E9672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2193F91" w14:textId="77777777" w:rsidTr="009A3445">
        <w:trPr>
          <w:cantSplit/>
        </w:trPr>
        <w:tc>
          <w:tcPr>
            <w:tcW w:w="3227" w:type="dxa"/>
          </w:tcPr>
          <w:p w14:paraId="2566F43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9B439C5" w14:textId="3BDEFB46" w:rsidR="002E0D61" w:rsidRPr="00DD2F9B" w:rsidRDefault="00E9672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44EC077" w14:textId="77777777" w:rsidTr="009A3445">
        <w:trPr>
          <w:cantSplit/>
        </w:trPr>
        <w:tc>
          <w:tcPr>
            <w:tcW w:w="3227" w:type="dxa"/>
          </w:tcPr>
          <w:p w14:paraId="6DA8610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F9F7B6C" w14:textId="0DE1F728" w:rsidR="002E0D61" w:rsidRPr="00DD2F9B" w:rsidRDefault="00E9672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6D82CB8" w14:textId="77777777" w:rsidTr="009A3445">
        <w:trPr>
          <w:cantSplit/>
        </w:trPr>
        <w:tc>
          <w:tcPr>
            <w:tcW w:w="3227" w:type="dxa"/>
          </w:tcPr>
          <w:p w14:paraId="6C3A742A" w14:textId="77777777" w:rsidR="004079B4" w:rsidRDefault="00386093" w:rsidP="00F4402E">
            <w:pPr>
              <w:pStyle w:val="Tablefont"/>
            </w:pPr>
            <w:r>
              <w:lastRenderedPageBreak/>
              <w:t>IARC</w:t>
            </w:r>
          </w:p>
        </w:tc>
        <w:tc>
          <w:tcPr>
            <w:tcW w:w="6015" w:type="dxa"/>
          </w:tcPr>
          <w:p w14:paraId="19874E6B" w14:textId="77E7EEF5" w:rsidR="00386093" w:rsidRPr="00DD2F9B" w:rsidRDefault="00E9672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B0A2674" w14:textId="77777777" w:rsidTr="009A3445">
        <w:trPr>
          <w:cantSplit/>
        </w:trPr>
        <w:tc>
          <w:tcPr>
            <w:tcW w:w="3227" w:type="dxa"/>
          </w:tcPr>
          <w:p w14:paraId="5E38847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93F436B" w14:textId="4F49A446" w:rsidR="00386093" w:rsidRPr="00DD2F9B" w:rsidRDefault="00E9672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F720E0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590ECD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B2D707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3DC080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26FA36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05" w:type="dxa"/>
              <w:tblLook w:val="04A0" w:firstRow="1" w:lastRow="0" w:firstColumn="1" w:lastColumn="0" w:noHBand="0" w:noVBand="1"/>
            </w:tblPr>
            <w:tblGrid>
              <w:gridCol w:w="3765"/>
              <w:gridCol w:w="900"/>
              <w:gridCol w:w="990"/>
              <w:gridCol w:w="3150"/>
            </w:tblGrid>
            <w:tr w:rsidR="00425616" w:rsidRPr="00425616" w14:paraId="51C42782" w14:textId="77777777" w:rsidTr="00425616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04352D" w14:textId="77777777" w:rsidR="00425616" w:rsidRPr="00425616" w:rsidRDefault="00425616" w:rsidP="0042561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78EA44" w14:textId="77777777" w:rsidR="00425616" w:rsidRPr="00425616" w:rsidRDefault="00425616" w:rsidP="0042561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C03AA0" w14:textId="77777777" w:rsidR="00425616" w:rsidRPr="00425616" w:rsidRDefault="00425616" w:rsidP="0042561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95D2C9" w14:textId="77777777" w:rsidR="00425616" w:rsidRPr="00425616" w:rsidRDefault="00425616" w:rsidP="0042561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25616" w:rsidRPr="00425616" w14:paraId="44E205FA" w14:textId="77777777" w:rsidTr="00425616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2C92CC" w14:textId="77777777" w:rsidR="00425616" w:rsidRPr="00425616" w:rsidRDefault="00425616" w:rsidP="0042561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2087D84" w14:textId="77777777" w:rsidR="00425616" w:rsidRPr="00425616" w:rsidRDefault="00425616" w:rsidP="0042561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C40FE2" w14:textId="77777777" w:rsidR="00425616" w:rsidRPr="00425616" w:rsidRDefault="00425616" w:rsidP="0042561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3.00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A256A0" w14:textId="77777777" w:rsidR="00425616" w:rsidRPr="00425616" w:rsidRDefault="00425616" w:rsidP="0042561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25616" w:rsidRPr="00425616" w14:paraId="54D029A4" w14:textId="77777777" w:rsidTr="00425616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0C1719" w14:textId="77777777" w:rsidR="00425616" w:rsidRPr="00425616" w:rsidRDefault="00425616" w:rsidP="0042561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DED44E" w14:textId="77777777" w:rsidR="00425616" w:rsidRPr="00425616" w:rsidRDefault="00425616" w:rsidP="0042561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836CFC" w14:textId="77777777" w:rsidR="00425616" w:rsidRPr="00425616" w:rsidRDefault="00425616" w:rsidP="0042561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F8BF50" w14:textId="77777777" w:rsidR="00425616" w:rsidRPr="00425616" w:rsidRDefault="00425616" w:rsidP="0042561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25616" w:rsidRPr="00425616" w14:paraId="6FFA7D4F" w14:textId="77777777" w:rsidTr="00425616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DA60A7" w14:textId="77777777" w:rsidR="00425616" w:rsidRPr="00425616" w:rsidRDefault="00425616" w:rsidP="0042561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BACBF8" w14:textId="77777777" w:rsidR="00425616" w:rsidRPr="00425616" w:rsidRDefault="00425616" w:rsidP="0042561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2FD91C" w14:textId="77777777" w:rsidR="00425616" w:rsidRPr="00425616" w:rsidRDefault="00425616" w:rsidP="0042561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-3.00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A8F637" w14:textId="77777777" w:rsidR="00425616" w:rsidRPr="00425616" w:rsidRDefault="00425616" w:rsidP="0042561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25616" w:rsidRPr="00425616" w14:paraId="1A4E6D83" w14:textId="77777777" w:rsidTr="00425616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A63E06" w14:textId="77777777" w:rsidR="00425616" w:rsidRPr="00425616" w:rsidRDefault="00425616" w:rsidP="0042561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A675F9" w14:textId="77777777" w:rsidR="00425616" w:rsidRPr="00425616" w:rsidRDefault="00425616" w:rsidP="0042561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08ACCB" w14:textId="77777777" w:rsidR="00425616" w:rsidRPr="00425616" w:rsidRDefault="00425616" w:rsidP="0042561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D9D1B3" w14:textId="77777777" w:rsidR="00425616" w:rsidRPr="00425616" w:rsidRDefault="00425616" w:rsidP="0042561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25616" w:rsidRPr="00425616" w14:paraId="7788B6E9" w14:textId="77777777" w:rsidTr="00425616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CBF7E1" w14:textId="77777777" w:rsidR="00425616" w:rsidRPr="00425616" w:rsidRDefault="00425616" w:rsidP="0042561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F162E8" w14:textId="77777777" w:rsidR="00425616" w:rsidRPr="00425616" w:rsidRDefault="00425616" w:rsidP="0042561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6C34E6" w14:textId="77777777" w:rsidR="00425616" w:rsidRPr="00425616" w:rsidRDefault="00425616" w:rsidP="0042561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36347E" w14:textId="77777777" w:rsidR="00425616" w:rsidRPr="00425616" w:rsidRDefault="00425616" w:rsidP="0042561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25616" w:rsidRPr="00425616" w14:paraId="2D4C9D76" w14:textId="77777777" w:rsidTr="00425616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DE137C" w14:textId="77777777" w:rsidR="00425616" w:rsidRPr="00425616" w:rsidRDefault="00425616" w:rsidP="0042561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9E6C37" w14:textId="77777777" w:rsidR="00425616" w:rsidRPr="00425616" w:rsidRDefault="00425616" w:rsidP="0042561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AA5099" w14:textId="77777777" w:rsidR="00425616" w:rsidRPr="00425616" w:rsidRDefault="00425616" w:rsidP="0042561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E2D686" w14:textId="77777777" w:rsidR="00425616" w:rsidRPr="00425616" w:rsidRDefault="00425616" w:rsidP="0042561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42561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193FDF8B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FDC59F8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2C1354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37457B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1569C91" w14:textId="4BAC76B9" w:rsidR="00EB3D1B" w:rsidRDefault="00E9672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925AD0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150E51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56B9CE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C6F9FC4" w14:textId="7D93F056" w:rsidR="001B79E5" w:rsidRDefault="00E96725" w:rsidP="001B79E5">
                <w:pPr>
                  <w:pStyle w:val="Tablefont"/>
                </w:pPr>
                <w:r w:rsidRPr="00E96725">
                  <w:t>137.33</w:t>
                </w:r>
              </w:p>
            </w:tc>
          </w:sdtContent>
        </w:sdt>
      </w:tr>
      <w:tr w:rsidR="00A31D99" w:rsidRPr="004C23F4" w14:paraId="0183E1C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7726B3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B88FDF7" w14:textId="3034DB3B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E96725">
                  <w:t>5.60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E96725">
                  <w:t>0.179</w:t>
                </w:r>
              </w:sdtContent>
            </w:sdt>
            <w:r w:rsidRPr="00E96725">
              <w:t xml:space="preserve"> </w:t>
            </w:r>
            <w:r>
              <w:t>ppm</w:t>
            </w:r>
          </w:p>
        </w:tc>
      </w:tr>
      <w:tr w:rsidR="00687890" w:rsidRPr="004C23F4" w14:paraId="5CFAC54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B7911E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EB12590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4B6F968" w14:textId="77777777" w:rsidTr="00EA6243">
        <w:trPr>
          <w:cantSplit/>
        </w:trPr>
        <w:tc>
          <w:tcPr>
            <w:tcW w:w="4077" w:type="dxa"/>
            <w:vAlign w:val="center"/>
          </w:tcPr>
          <w:p w14:paraId="1B6FF97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1C1D93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9F44D82" w14:textId="77777777" w:rsidTr="00EA6243">
        <w:trPr>
          <w:cantSplit/>
        </w:trPr>
        <w:tc>
          <w:tcPr>
            <w:tcW w:w="4077" w:type="dxa"/>
            <w:vAlign w:val="center"/>
          </w:tcPr>
          <w:p w14:paraId="2A8AF03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F2F058A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6149170" w14:textId="77777777" w:rsidTr="00EA6243">
        <w:trPr>
          <w:cantSplit/>
        </w:trPr>
        <w:tc>
          <w:tcPr>
            <w:tcW w:w="4077" w:type="dxa"/>
            <w:vAlign w:val="center"/>
          </w:tcPr>
          <w:p w14:paraId="6C4E4DE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30FF41C" w14:textId="77777777" w:rsidR="00E06F40" w:rsidRPr="00A006A0" w:rsidRDefault="007060F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E1C698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391F79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30932D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2F030E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5BE5BE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1D47A0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F5A496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2D9110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C6E038A" w14:textId="791B9408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0AF46A" w14:textId="4BABD2CE" w:rsidR="00E96725" w:rsidRDefault="00E96725" w:rsidP="00084859">
      <w:r w:rsidRPr="002022B6">
        <w:t>Deutsche Forschungsgemeinschaft (DFG)</w:t>
      </w:r>
      <w:r>
        <w:t xml:space="preserve"> (2016) </w:t>
      </w:r>
      <w:r w:rsidRPr="00E96725">
        <w:t>phosphortrichlorid</w:t>
      </w:r>
      <w:r>
        <w:t xml:space="preserve"> – MAK value documentation.</w:t>
      </w:r>
    </w:p>
    <w:p w14:paraId="70D55976" w14:textId="0F16FEFE" w:rsidR="00E96725" w:rsidRDefault="00E96725" w:rsidP="00084859">
      <w:r>
        <w:t>Europe</w:t>
      </w:r>
      <w:r w:rsidR="00F33ADC">
        <w:t>an Chemicals Agency (ECHA) (2011</w:t>
      </w:r>
      <w:r>
        <w:t xml:space="preserve">) </w:t>
      </w:r>
      <w:r w:rsidRPr="00E96725">
        <w:t>Phosphorus trichloride</w:t>
      </w:r>
      <w:r>
        <w:t xml:space="preserve"> – REACH assessment.</w:t>
      </w:r>
    </w:p>
    <w:p w14:paraId="148254DD" w14:textId="13625A1D" w:rsidR="00030CC9" w:rsidRDefault="00030CC9" w:rsidP="00084859">
      <w:r>
        <w:lastRenderedPageBreak/>
        <w:t>Organisation for Economic Cooperation and Development (OECD) (2004) SIDS initial assessment profile - Phosphorus Trichloride.</w:t>
      </w:r>
    </w:p>
    <w:p w14:paraId="2C0AF983" w14:textId="7368BF5D" w:rsidR="00E96725" w:rsidRPr="00351FE0" w:rsidRDefault="00E96725" w:rsidP="00084859">
      <w:r w:rsidRPr="00D86E03">
        <w:t>US National Institute for Occupational Safety and Health (NIOSH)</w:t>
      </w:r>
      <w:r>
        <w:t xml:space="preserve"> (</w:t>
      </w:r>
      <w:r w:rsidRPr="00E96725">
        <w:t>1994</w:t>
      </w:r>
      <w:r>
        <w:t xml:space="preserve">) Immediately dangerous to life or health concentrations – </w:t>
      </w:r>
      <w:r w:rsidRPr="00E96725">
        <w:t>phosphorus trichloride</w:t>
      </w:r>
      <w:r>
        <w:t>.</w:t>
      </w:r>
    </w:p>
    <w:sectPr w:rsidR="00E96725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ECC48" w14:textId="77777777" w:rsidR="00796C87" w:rsidRDefault="00796C87" w:rsidP="00F43AD5">
      <w:pPr>
        <w:spacing w:after="0" w:line="240" w:lineRule="auto"/>
      </w:pPr>
      <w:r>
        <w:separator/>
      </w:r>
    </w:p>
  </w:endnote>
  <w:endnote w:type="continuationSeparator" w:id="0">
    <w:p w14:paraId="587F09D4" w14:textId="77777777" w:rsidR="00796C87" w:rsidRDefault="00796C8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C67E1" w14:textId="77777777" w:rsidR="009A3445" w:rsidRDefault="009A34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7ACA37B" w14:textId="77777777" w:rsidR="00F52BF1" w:rsidRPr="00F52BF1" w:rsidRDefault="00F52BF1" w:rsidP="00F52BF1">
        <w:pPr>
          <w:pStyle w:val="Footer"/>
          <w:rPr>
            <w:b/>
            <w:sz w:val="18"/>
            <w:szCs w:val="18"/>
          </w:rPr>
        </w:pPr>
      </w:p>
      <w:p w14:paraId="7E646C74" w14:textId="01F4FD23" w:rsidR="008A36CF" w:rsidRDefault="00F52BF1" w:rsidP="00F52BF1">
        <w:pPr>
          <w:pStyle w:val="Footer"/>
          <w:rPr>
            <w:sz w:val="18"/>
            <w:szCs w:val="18"/>
          </w:rPr>
        </w:pPr>
        <w:r w:rsidRPr="00F52BF1">
          <w:rPr>
            <w:b/>
            <w:sz w:val="18"/>
            <w:szCs w:val="18"/>
          </w:rPr>
          <w:t xml:space="preserve">Phosphorus trichloride </w:t>
        </w:r>
        <w:r w:rsidR="008A36CF">
          <w:rPr>
            <w:b/>
            <w:sz w:val="18"/>
            <w:szCs w:val="18"/>
          </w:rPr>
          <w:t>(</w:t>
        </w:r>
        <w:r w:rsidRPr="00F52BF1">
          <w:rPr>
            <w:b/>
            <w:sz w:val="18"/>
            <w:szCs w:val="18"/>
          </w:rPr>
          <w:t>7719-12-2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030CC9">
          <w:rPr>
            <w:sz w:val="18"/>
            <w:szCs w:val="18"/>
          </w:rPr>
          <w:t>20</w:t>
        </w:r>
      </w:p>
      <w:p w14:paraId="6DA1A10A" w14:textId="11E3BD8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B4143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3CDBC" w14:textId="77777777" w:rsidR="009A3445" w:rsidRDefault="009A34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B3BB1" w14:textId="77777777" w:rsidR="00796C87" w:rsidRDefault="00796C87" w:rsidP="00F43AD5">
      <w:pPr>
        <w:spacing w:after="0" w:line="240" w:lineRule="auto"/>
      </w:pPr>
      <w:r>
        <w:separator/>
      </w:r>
    </w:p>
  </w:footnote>
  <w:footnote w:type="continuationSeparator" w:id="0">
    <w:p w14:paraId="0F34FAD3" w14:textId="77777777" w:rsidR="00796C87" w:rsidRDefault="00796C8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15FFC" w14:textId="01D1E905" w:rsidR="009A3445" w:rsidRDefault="009A34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694A5" w14:textId="6CE50E2D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9895F" w14:textId="53FBE6CB" w:rsidR="009A3445" w:rsidRDefault="009A344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1E973" w14:textId="68773E86" w:rsidR="009A3445" w:rsidRDefault="009A344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373A6" w14:textId="41A679FD" w:rsidR="008A36CF" w:rsidRDefault="009A3445" w:rsidP="00F43AD5">
    <w:pPr>
      <w:pStyle w:val="Header"/>
      <w:jc w:val="right"/>
    </w:pPr>
    <w:r>
      <w:rPr>
        <w:noProof/>
      </w:rPr>
      <w:drawing>
        <wp:inline distT="0" distB="0" distL="0" distR="0" wp14:anchorId="4C170BE8" wp14:editId="2B309E05">
          <wp:extent cx="2938145" cy="59436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659B3" w14:textId="2A5DB862" w:rsidR="009A3445" w:rsidRDefault="009A34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DC01D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E914BC"/>
    <w:multiLevelType w:val="hybridMultilevel"/>
    <w:tmpl w:val="5D10CC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931EA"/>
    <w:multiLevelType w:val="hybridMultilevel"/>
    <w:tmpl w:val="1436B82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9D0213"/>
    <w:multiLevelType w:val="hybridMultilevel"/>
    <w:tmpl w:val="64D4A4F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F5D6388"/>
    <w:multiLevelType w:val="hybridMultilevel"/>
    <w:tmpl w:val="B6320CA6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58638984">
    <w:abstractNumId w:val="0"/>
  </w:num>
  <w:num w:numId="2" w16cid:durableId="57213307">
    <w:abstractNumId w:val="3"/>
  </w:num>
  <w:num w:numId="3" w16cid:durableId="497815195">
    <w:abstractNumId w:val="0"/>
  </w:num>
  <w:num w:numId="4" w16cid:durableId="730427850">
    <w:abstractNumId w:val="2"/>
  </w:num>
  <w:num w:numId="5" w16cid:durableId="1518228761">
    <w:abstractNumId w:val="0"/>
  </w:num>
  <w:num w:numId="6" w16cid:durableId="338046244">
    <w:abstractNumId w:val="0"/>
  </w:num>
  <w:num w:numId="7" w16cid:durableId="1527793198">
    <w:abstractNumId w:val="0"/>
  </w:num>
  <w:num w:numId="8" w16cid:durableId="1743792914">
    <w:abstractNumId w:val="0"/>
  </w:num>
  <w:num w:numId="9" w16cid:durableId="1181965189">
    <w:abstractNumId w:val="0"/>
  </w:num>
  <w:num w:numId="10" w16cid:durableId="418671640">
    <w:abstractNumId w:val="0"/>
  </w:num>
  <w:num w:numId="11" w16cid:durableId="1684044144">
    <w:abstractNumId w:val="0"/>
  </w:num>
  <w:num w:numId="12" w16cid:durableId="1577976262">
    <w:abstractNumId w:val="0"/>
  </w:num>
  <w:num w:numId="13" w16cid:durableId="1823156236">
    <w:abstractNumId w:val="0"/>
  </w:num>
  <w:num w:numId="14" w16cid:durableId="1204563349">
    <w:abstractNumId w:val="0"/>
  </w:num>
  <w:num w:numId="15" w16cid:durableId="269171176">
    <w:abstractNumId w:val="0"/>
  </w:num>
  <w:num w:numId="16" w16cid:durableId="1744795914">
    <w:abstractNumId w:val="0"/>
  </w:num>
  <w:num w:numId="17" w16cid:durableId="504244236">
    <w:abstractNumId w:val="1"/>
  </w:num>
  <w:num w:numId="18" w16cid:durableId="6458612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56F0"/>
    <w:rsid w:val="00007B80"/>
    <w:rsid w:val="00013A22"/>
    <w:rsid w:val="00014C3F"/>
    <w:rsid w:val="00017C82"/>
    <w:rsid w:val="00030CC9"/>
    <w:rsid w:val="00032355"/>
    <w:rsid w:val="00032B88"/>
    <w:rsid w:val="00046DF5"/>
    <w:rsid w:val="00052060"/>
    <w:rsid w:val="0005574A"/>
    <w:rsid w:val="00055FE1"/>
    <w:rsid w:val="00056EC2"/>
    <w:rsid w:val="00060B48"/>
    <w:rsid w:val="00067F32"/>
    <w:rsid w:val="00070001"/>
    <w:rsid w:val="00071807"/>
    <w:rsid w:val="000718D6"/>
    <w:rsid w:val="000803E1"/>
    <w:rsid w:val="00084513"/>
    <w:rsid w:val="00084859"/>
    <w:rsid w:val="00092D94"/>
    <w:rsid w:val="000B0868"/>
    <w:rsid w:val="000B36FD"/>
    <w:rsid w:val="000B3E12"/>
    <w:rsid w:val="000B3E78"/>
    <w:rsid w:val="000B4143"/>
    <w:rsid w:val="000B7B48"/>
    <w:rsid w:val="000C096D"/>
    <w:rsid w:val="000C139A"/>
    <w:rsid w:val="000C2053"/>
    <w:rsid w:val="000C248C"/>
    <w:rsid w:val="000D291C"/>
    <w:rsid w:val="000E4090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26E9"/>
    <w:rsid w:val="00177CA1"/>
    <w:rsid w:val="00183823"/>
    <w:rsid w:val="00183942"/>
    <w:rsid w:val="0019332F"/>
    <w:rsid w:val="001A009E"/>
    <w:rsid w:val="001A1287"/>
    <w:rsid w:val="001A3859"/>
    <w:rsid w:val="001A3C9D"/>
    <w:rsid w:val="001A43F8"/>
    <w:rsid w:val="001B79E5"/>
    <w:rsid w:val="001D56F0"/>
    <w:rsid w:val="001D663B"/>
    <w:rsid w:val="001D6867"/>
    <w:rsid w:val="001D7B41"/>
    <w:rsid w:val="001E46DA"/>
    <w:rsid w:val="001E4D3F"/>
    <w:rsid w:val="001E7D80"/>
    <w:rsid w:val="001F4B6C"/>
    <w:rsid w:val="001F62CB"/>
    <w:rsid w:val="001F6ED0"/>
    <w:rsid w:val="001F72E6"/>
    <w:rsid w:val="001F73C5"/>
    <w:rsid w:val="002046A6"/>
    <w:rsid w:val="00204956"/>
    <w:rsid w:val="0020550D"/>
    <w:rsid w:val="00213640"/>
    <w:rsid w:val="002157D8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4414"/>
    <w:rsid w:val="0025734A"/>
    <w:rsid w:val="00263255"/>
    <w:rsid w:val="00276494"/>
    <w:rsid w:val="00277B0C"/>
    <w:rsid w:val="002B1A2C"/>
    <w:rsid w:val="002C34F2"/>
    <w:rsid w:val="002C58FF"/>
    <w:rsid w:val="002C6B96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6E5B"/>
    <w:rsid w:val="003D4FA3"/>
    <w:rsid w:val="003E0807"/>
    <w:rsid w:val="003E51FB"/>
    <w:rsid w:val="003E6B39"/>
    <w:rsid w:val="003F07E1"/>
    <w:rsid w:val="003F27E5"/>
    <w:rsid w:val="004030BC"/>
    <w:rsid w:val="00403F7D"/>
    <w:rsid w:val="00406785"/>
    <w:rsid w:val="004079B4"/>
    <w:rsid w:val="00417A56"/>
    <w:rsid w:val="00420957"/>
    <w:rsid w:val="00422A10"/>
    <w:rsid w:val="00425616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2C13"/>
    <w:rsid w:val="00474E33"/>
    <w:rsid w:val="00476803"/>
    <w:rsid w:val="00485685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3F6D"/>
    <w:rsid w:val="005142C4"/>
    <w:rsid w:val="0051509C"/>
    <w:rsid w:val="00526EC4"/>
    <w:rsid w:val="005272E2"/>
    <w:rsid w:val="0053108F"/>
    <w:rsid w:val="00532B56"/>
    <w:rsid w:val="00534B10"/>
    <w:rsid w:val="00535011"/>
    <w:rsid w:val="005446A2"/>
    <w:rsid w:val="00544D2F"/>
    <w:rsid w:val="00546CC1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3A33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060F9"/>
    <w:rsid w:val="00714021"/>
    <w:rsid w:val="00716A0F"/>
    <w:rsid w:val="007176C7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671FC"/>
    <w:rsid w:val="00770E31"/>
    <w:rsid w:val="007770F1"/>
    <w:rsid w:val="00783FB1"/>
    <w:rsid w:val="0078488F"/>
    <w:rsid w:val="00785CDD"/>
    <w:rsid w:val="00791847"/>
    <w:rsid w:val="007925F0"/>
    <w:rsid w:val="007939B3"/>
    <w:rsid w:val="0079509C"/>
    <w:rsid w:val="00796708"/>
    <w:rsid w:val="00796C87"/>
    <w:rsid w:val="007B1B42"/>
    <w:rsid w:val="007B35D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9AE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56D8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3445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732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677C"/>
    <w:rsid w:val="00A53681"/>
    <w:rsid w:val="00A633D4"/>
    <w:rsid w:val="00A6461A"/>
    <w:rsid w:val="00A7147A"/>
    <w:rsid w:val="00A7701F"/>
    <w:rsid w:val="00A84504"/>
    <w:rsid w:val="00A8672F"/>
    <w:rsid w:val="00A93057"/>
    <w:rsid w:val="00A968B0"/>
    <w:rsid w:val="00AB2672"/>
    <w:rsid w:val="00AB2817"/>
    <w:rsid w:val="00AB43C4"/>
    <w:rsid w:val="00AC280F"/>
    <w:rsid w:val="00AC32E7"/>
    <w:rsid w:val="00AC3A9F"/>
    <w:rsid w:val="00AC44A8"/>
    <w:rsid w:val="00AC6D2F"/>
    <w:rsid w:val="00AC7E20"/>
    <w:rsid w:val="00AD021A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53AE6"/>
    <w:rsid w:val="00B64EE6"/>
    <w:rsid w:val="00B71188"/>
    <w:rsid w:val="00B76A41"/>
    <w:rsid w:val="00B87D4C"/>
    <w:rsid w:val="00B93646"/>
    <w:rsid w:val="00B9366F"/>
    <w:rsid w:val="00BA0B38"/>
    <w:rsid w:val="00BA1DBB"/>
    <w:rsid w:val="00BA4510"/>
    <w:rsid w:val="00BA529A"/>
    <w:rsid w:val="00BB612A"/>
    <w:rsid w:val="00BD3774"/>
    <w:rsid w:val="00BD499F"/>
    <w:rsid w:val="00BD56DE"/>
    <w:rsid w:val="00BE576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6F00"/>
    <w:rsid w:val="00C850A0"/>
    <w:rsid w:val="00C85A86"/>
    <w:rsid w:val="00C978F0"/>
    <w:rsid w:val="00C97EED"/>
    <w:rsid w:val="00CA58FE"/>
    <w:rsid w:val="00CB1CB1"/>
    <w:rsid w:val="00CB6BC1"/>
    <w:rsid w:val="00CB6CB8"/>
    <w:rsid w:val="00CC1A68"/>
    <w:rsid w:val="00CC2123"/>
    <w:rsid w:val="00CD2BFD"/>
    <w:rsid w:val="00CE36DE"/>
    <w:rsid w:val="00CE5AD6"/>
    <w:rsid w:val="00CE617F"/>
    <w:rsid w:val="00CE78EF"/>
    <w:rsid w:val="00D048F7"/>
    <w:rsid w:val="00D0517E"/>
    <w:rsid w:val="00D140FC"/>
    <w:rsid w:val="00D21D8C"/>
    <w:rsid w:val="00D30317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46"/>
    <w:rsid w:val="00D97D8D"/>
    <w:rsid w:val="00DA352E"/>
    <w:rsid w:val="00DC7694"/>
    <w:rsid w:val="00DD1BF6"/>
    <w:rsid w:val="00DD2F9B"/>
    <w:rsid w:val="00DE2513"/>
    <w:rsid w:val="00DE26E8"/>
    <w:rsid w:val="00DE7582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96725"/>
    <w:rsid w:val="00EA0A06"/>
    <w:rsid w:val="00EA3D35"/>
    <w:rsid w:val="00EA6243"/>
    <w:rsid w:val="00EA74AB"/>
    <w:rsid w:val="00EB3D1B"/>
    <w:rsid w:val="00EC2871"/>
    <w:rsid w:val="00ED1D89"/>
    <w:rsid w:val="00ED66BC"/>
    <w:rsid w:val="00EE7A28"/>
    <w:rsid w:val="00EF1857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2BC1"/>
    <w:rsid w:val="00F33ADC"/>
    <w:rsid w:val="00F43AD5"/>
    <w:rsid w:val="00F4402E"/>
    <w:rsid w:val="00F52BF1"/>
    <w:rsid w:val="00F56DD0"/>
    <w:rsid w:val="00F6491C"/>
    <w:rsid w:val="00F67BBB"/>
    <w:rsid w:val="00F70F24"/>
    <w:rsid w:val="00F71AFF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19332F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97E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EE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EE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E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EE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0C7981E23214F7FAD2B82BDECCE8B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5181F7-0666-432C-A5B4-47EFECE2CF00}"/>
      </w:docPartPr>
      <w:docPartBody>
        <w:p w:rsidR="004C77A2" w:rsidRDefault="00E34CD2" w:rsidP="00E34CD2">
          <w:pPr>
            <w:pStyle w:val="30C7981E23214F7FAD2B82BDECCE8B5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C41B6"/>
    <w:rsid w:val="004C77A2"/>
    <w:rsid w:val="00A81833"/>
    <w:rsid w:val="00BD3774"/>
    <w:rsid w:val="00D21A9F"/>
    <w:rsid w:val="00E3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34CD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0C7981E23214F7FAD2B82BDECCE8B5C">
    <w:name w:val="30C7981E23214F7FAD2B82BDECCE8B5C"/>
    <w:rsid w:val="00E34CD2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F715D4-1539-4375-A304-3FAF0C93C8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43E895-8A48-45D6-97C4-B5B77C7373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61F1EE-EA2F-4516-A7F1-DC8F682EAE37}"/>
</file>

<file path=customXml/itemProps4.xml><?xml version="1.0" encoding="utf-8"?>
<ds:datastoreItem xmlns:ds="http://schemas.openxmlformats.org/officeDocument/2006/customXml" ds:itemID="{3F69A19F-28C5-4211-BCE8-628F41DFF598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bf54d604-3e62-4e70-ba33-9e9084b96a66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2020-02-10T04:23:00Z</dcterms:created>
  <dcterms:modified xsi:type="dcterms:W3CDTF">2026-01-02T05:24:00Z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2026-01-02T05:24:13Z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b6c6d480-d0b5-4645-9984-7bf00d69b899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